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9588" w14:textId="3C95CDBF" w:rsidR="00AA0527" w:rsidRPr="00694F0F" w:rsidRDefault="001149D8" w:rsidP="00694F0F">
      <w:pPr>
        <w:spacing w:line="360" w:lineRule="auto"/>
        <w:rPr>
          <w:rFonts w:ascii="Arial" w:hAnsi="Arial" w:cs="Arial"/>
          <w:sz w:val="24"/>
          <w:szCs w:val="24"/>
          <w:highlight w:val="yellow"/>
        </w:rPr>
      </w:pPr>
      <w:r w:rsidRPr="00694F0F">
        <w:rPr>
          <w:rFonts w:ascii="Arial" w:hAnsi="Arial" w:cs="Arial"/>
          <w:b/>
          <w:bCs/>
          <w:sz w:val="24"/>
          <w:szCs w:val="24"/>
        </w:rPr>
        <w:t>Título</w:t>
      </w:r>
      <w:r w:rsidRPr="00694F0F">
        <w:rPr>
          <w:rFonts w:ascii="Arial" w:hAnsi="Arial" w:cs="Arial"/>
          <w:sz w:val="24"/>
          <w:szCs w:val="24"/>
        </w:rPr>
        <w:t>:</w:t>
      </w:r>
      <w:r w:rsidR="00DE094D" w:rsidRPr="00694F0F">
        <w:rPr>
          <w:rFonts w:ascii="Arial" w:hAnsi="Arial" w:cs="Arial"/>
          <w:sz w:val="24"/>
          <w:szCs w:val="24"/>
        </w:rPr>
        <w:t xml:space="preserve"> </w:t>
      </w:r>
      <w:r w:rsidR="00130241" w:rsidRPr="00694F0F">
        <w:rPr>
          <w:rFonts w:ascii="Arial" w:hAnsi="Arial" w:cs="Arial"/>
          <w:sz w:val="24"/>
          <w:szCs w:val="24"/>
        </w:rPr>
        <w:t>LA ORIENTACIÓN SOCIOSEXUAL Y SU RELACIÓN CON LAS ACTITUDES ANTE LA NO MONOGAMIA CONSENSUADA (NMC)</w:t>
      </w:r>
    </w:p>
    <w:p w14:paraId="5AFA030C" w14:textId="77777777" w:rsidR="00317BE4" w:rsidRPr="00694F0F" w:rsidRDefault="00A02BD1" w:rsidP="00694F0F">
      <w:pPr>
        <w:spacing w:line="360" w:lineRule="auto"/>
        <w:jc w:val="center"/>
        <w:rPr>
          <w:rFonts w:ascii="Arial" w:hAnsi="Arial" w:cs="Arial"/>
          <w:b/>
          <w:bCs/>
          <w:sz w:val="24"/>
          <w:szCs w:val="24"/>
        </w:rPr>
      </w:pPr>
      <w:r w:rsidRPr="00694F0F">
        <w:rPr>
          <w:rFonts w:ascii="Arial" w:hAnsi="Arial" w:cs="Arial"/>
          <w:b/>
          <w:bCs/>
          <w:sz w:val="24"/>
          <w:szCs w:val="24"/>
        </w:rPr>
        <w:t>Resumen</w:t>
      </w:r>
    </w:p>
    <w:p w14:paraId="58CD8193" w14:textId="53C644B8" w:rsidR="00317BE4" w:rsidRPr="00694F0F" w:rsidRDefault="007B655F" w:rsidP="000C53CC">
      <w:pPr>
        <w:spacing w:line="360" w:lineRule="auto"/>
        <w:jc w:val="both"/>
        <w:rPr>
          <w:rFonts w:ascii="Arial" w:hAnsi="Arial" w:cs="Arial"/>
          <w:sz w:val="24"/>
          <w:szCs w:val="24"/>
        </w:rPr>
      </w:pPr>
      <w:r w:rsidRPr="00694F0F">
        <w:rPr>
          <w:rFonts w:ascii="Arial" w:hAnsi="Arial" w:cs="Arial"/>
          <w:sz w:val="24"/>
          <w:szCs w:val="24"/>
        </w:rPr>
        <w:t xml:space="preserve">Actualmente, nuevas construcciones defienden la posibilidad de relaciones amorosas y/o sexuales con más de una persona al mismo tiempo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{"citationItems":[{"id":"ITEM-1","itemData":{"DOI":"10.1080/19419899.2013.832934","ISBN":"1941-9899","ISSN":"19419902","abstract":"ISSN: 1941-9899 (Print) 1941-9902 (Online) Journal homepage: http://www.tandfonline.com/loi/rpse20 Love and sex: polyamorous relationships are perceived more favourably than swinging and open relationships Consensual non-monogamy (CNM) refers to romantic relationships in which all part-ners agree to engage in sexual, romantic and/or emotional relationships with others. Within the general framework of CNM, subtypes of relationships differ in the extent to which partners intend for love and emotional involvement to be a part of their multiple relationships (that is, some relationships may prioritise love over sex with multiple part-ners, or vice versa). The present study examined whether individuals were more likely to stigmatise relationships that: (i) focus on loving more than one person (which is characteristic of polyamory), (ii) focus on having sex without love (which is character-istic of swinging lifestyles), or (iii) involve having sex without love without a partner's participation (which is characteristic of open relationships). In the present research, participants were assigned to read a definition of one of the three CNM relationship types (i.e. a swinging, polyamorous or open relationship) and to indicate their attitudes towards individuals who participate in those relationships. Results show that swingers were overwhelmingly perceived more negatively (e.g. less responsible) than individu-als in polyamorous relationships and that people in open relationships were sometimes perceived more negatively (e.g. less moral) than people in polyamorous relationships. Overall, findings suggest that people are more uncomfortable with the idea of strictly sexual relationships (i.e. swinging relationships) than relationships involving multiple romantic/emotional attachments (i.e. polyamorous relationships).","author":[{"dropping-particle":"","family":"Matsick","given":"Jes L.","non-dropping-particle":"","parse-names":false,"suffix":""},{"dropping-particle":"","family":"Conley","given":"Terri D.","non-dropping-particle":"","parse-names":false,"suffix":""},{"dropping-particle":"","family":"Ziegler","given":"Ali","non-dropping-particle":"","parse-names":false,"suffix":""},{"dropping-particle":"","family":"Moors","given":"Amy C.","non-dropping-particle":"","parse-names":false,"suffix":""},{"dropping-particle":"","family":"Rubin","given":"Jennifer D.","non-dropping-particle":"","parse-names":false,"suffix":""}],"container-title":"Psychology and Sexuality","id":"ITEM-1","issue":"4","issued":{"date-parts":[["2014"]]},"title":"Love and sex: polyamorous relationships are perceived more favourably than swinging and open relationships","type":"article-journal","volume":"5"},"uris":["http://www.mendeley.com/documents/?uuid=47d8521c-76f3-346c-9100-08933b458029"]}],"mendeley":{"formattedCitation":"(Matsick, Conley, Ziegler, Moors, &amp; Rubin, 2014)","plainTextFormattedCitation":"(Matsick, Conley, Ziegler, Moors, &amp; Rubin, 2014)","previouslyFormattedCitation":"(Matsick, Conley, Ziegler, Moors, &amp; Rubin, 2014)"},"properties":{"noteIndex":0},"schema":"https://github.com/citation-style-language/schema/raw/master/csl-citation.json"}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(Matsick, Conley, Ziegler, Moors, &amp; Rubin, 2014)</w:t>
      </w:r>
      <w:r w:rsidRPr="00694F0F">
        <w:rPr>
          <w:rFonts w:ascii="Arial" w:hAnsi="Arial" w:cs="Arial"/>
          <w:sz w:val="24"/>
          <w:szCs w:val="24"/>
        </w:rPr>
        <w:fldChar w:fldCharType="end"/>
      </w:r>
      <w:r w:rsidRPr="00694F0F">
        <w:rPr>
          <w:rFonts w:ascii="Arial" w:hAnsi="Arial" w:cs="Arial"/>
          <w:sz w:val="24"/>
          <w:szCs w:val="24"/>
        </w:rPr>
        <w:t xml:space="preserve"> sin embargo, </w:t>
      </w:r>
      <w:r w:rsidR="00D326A6" w:rsidRPr="00694F0F">
        <w:rPr>
          <w:rFonts w:ascii="Arial" w:hAnsi="Arial" w:cs="Arial"/>
          <w:sz w:val="24"/>
          <w:szCs w:val="24"/>
        </w:rPr>
        <w:t>aun</w:t>
      </w:r>
      <w:r w:rsidRPr="00694F0F">
        <w:rPr>
          <w:rFonts w:ascii="Arial" w:hAnsi="Arial" w:cs="Arial"/>
          <w:sz w:val="24"/>
          <w:szCs w:val="24"/>
        </w:rPr>
        <w:t xml:space="preserve"> cuando la visibilidad de las relaciones no monógamas consensuadas ha aumentado en los últimos años, todavía hay una falta de información y un aumento en la información errónea sobre la dinámica de éste tipo de relaciones (Conley, Moors, Matsick y Ziegler, 2012; Conley, Ziegler, Moors, Matsick, Y Valentine, 2012). El presente estudio </w:t>
      </w:r>
      <w:r w:rsidR="00317BE4" w:rsidRPr="00694F0F">
        <w:rPr>
          <w:rFonts w:ascii="Arial" w:hAnsi="Arial" w:cs="Arial"/>
          <w:sz w:val="24"/>
          <w:szCs w:val="24"/>
        </w:rPr>
        <w:t xml:space="preserve">explora </w:t>
      </w:r>
      <w:r w:rsidRPr="00694F0F">
        <w:rPr>
          <w:rFonts w:ascii="Arial" w:hAnsi="Arial" w:cs="Arial"/>
          <w:sz w:val="24"/>
          <w:szCs w:val="24"/>
        </w:rPr>
        <w:t xml:space="preserve">la relación existente entre el rasgo de orientación sociosexual y las actitudes ante la No Monogamia Consensuada (NMC), esperando que la sociosexualidad </w:t>
      </w:r>
      <w:r w:rsidR="00A55A51" w:rsidRPr="00694F0F">
        <w:rPr>
          <w:rFonts w:ascii="Arial" w:hAnsi="Arial" w:cs="Arial"/>
          <w:sz w:val="24"/>
          <w:szCs w:val="24"/>
        </w:rPr>
        <w:t>debiese</w:t>
      </w:r>
      <w:r w:rsidRPr="00694F0F">
        <w:rPr>
          <w:rFonts w:ascii="Arial" w:hAnsi="Arial" w:cs="Arial"/>
          <w:sz w:val="24"/>
          <w:szCs w:val="24"/>
        </w:rPr>
        <w:t xml:space="preserve"> correlacionar con actitudes más positivas ante la CNM</w:t>
      </w:r>
      <w:r w:rsidR="00317BE4" w:rsidRPr="00694F0F">
        <w:rPr>
          <w:rFonts w:ascii="Arial" w:hAnsi="Arial" w:cs="Arial"/>
          <w:sz w:val="24"/>
          <w:szCs w:val="24"/>
        </w:rPr>
        <w:t xml:space="preserve"> en 218 individuos, mostrando que existe una relación significativa y positiva entre </w:t>
      </w:r>
      <w:r w:rsidRPr="00694F0F">
        <w:rPr>
          <w:rFonts w:ascii="Arial" w:hAnsi="Arial" w:cs="Arial"/>
          <w:sz w:val="24"/>
          <w:szCs w:val="24"/>
        </w:rPr>
        <w:t>individuos no restringidos</w:t>
      </w:r>
      <w:r w:rsidR="00317BE4" w:rsidRPr="00694F0F">
        <w:rPr>
          <w:rFonts w:ascii="Arial" w:hAnsi="Arial" w:cs="Arial"/>
          <w:sz w:val="24"/>
          <w:szCs w:val="24"/>
        </w:rPr>
        <w:t xml:space="preserve"> y </w:t>
      </w:r>
      <w:r w:rsidRPr="00694F0F">
        <w:rPr>
          <w:rFonts w:ascii="Arial" w:hAnsi="Arial" w:cs="Arial"/>
          <w:sz w:val="24"/>
          <w:szCs w:val="24"/>
        </w:rPr>
        <w:t>una mayor apertura a modelos menos restrictivos que el monógamo.</w:t>
      </w:r>
    </w:p>
    <w:p w14:paraId="2828DDC6" w14:textId="4EF858CA" w:rsidR="00694F0F" w:rsidRPr="00694F0F" w:rsidRDefault="00317BE4" w:rsidP="00694F0F">
      <w:pPr>
        <w:spacing w:line="360" w:lineRule="auto"/>
        <w:jc w:val="center"/>
        <w:rPr>
          <w:rFonts w:ascii="Arial" w:hAnsi="Arial" w:cs="Arial"/>
          <w:i/>
          <w:iCs/>
          <w:sz w:val="24"/>
          <w:szCs w:val="24"/>
        </w:rPr>
      </w:pPr>
      <w:r w:rsidRPr="00694F0F">
        <w:rPr>
          <w:rFonts w:ascii="Arial" w:hAnsi="Arial" w:cs="Arial"/>
          <w:b/>
          <w:bCs/>
          <w:i/>
          <w:iCs/>
          <w:sz w:val="24"/>
          <w:szCs w:val="24"/>
        </w:rPr>
        <w:t>Palabras clave</w:t>
      </w:r>
      <w:r w:rsidRPr="00694F0F">
        <w:rPr>
          <w:rFonts w:ascii="Arial" w:hAnsi="Arial" w:cs="Arial"/>
          <w:i/>
          <w:iCs/>
          <w:sz w:val="24"/>
          <w:szCs w:val="24"/>
        </w:rPr>
        <w:t>: Actitudes, no monogamia consensuada, orientación sociosexual, escala, validación</w:t>
      </w:r>
      <w:r w:rsidR="00A55A51">
        <w:rPr>
          <w:rFonts w:ascii="Arial" w:hAnsi="Arial" w:cs="Arial"/>
          <w:i/>
          <w:iCs/>
          <w:sz w:val="24"/>
          <w:szCs w:val="24"/>
        </w:rPr>
        <w:t xml:space="preserve">, </w:t>
      </w:r>
      <w:r w:rsidRPr="00694F0F">
        <w:rPr>
          <w:rFonts w:ascii="Arial" w:hAnsi="Arial" w:cs="Arial"/>
          <w:i/>
          <w:iCs/>
          <w:sz w:val="24"/>
          <w:szCs w:val="24"/>
        </w:rPr>
        <w:t xml:space="preserve">correlación. </w:t>
      </w:r>
    </w:p>
    <w:p w14:paraId="3E1B2571" w14:textId="264E6296" w:rsidR="00694F0F" w:rsidRPr="00694F0F" w:rsidRDefault="00694F0F" w:rsidP="00694F0F">
      <w:pPr>
        <w:spacing w:line="360" w:lineRule="auto"/>
        <w:jc w:val="center"/>
        <w:rPr>
          <w:rFonts w:ascii="Arial" w:hAnsi="Arial" w:cs="Arial"/>
          <w:b/>
          <w:bCs/>
          <w:sz w:val="24"/>
          <w:szCs w:val="24"/>
          <w:lang w:val="en-US"/>
        </w:rPr>
      </w:pPr>
      <w:r w:rsidRPr="00694F0F">
        <w:rPr>
          <w:rFonts w:ascii="Arial" w:hAnsi="Arial" w:cs="Arial"/>
          <w:b/>
          <w:bCs/>
          <w:sz w:val="24"/>
          <w:szCs w:val="24"/>
          <w:lang w:val="en-US"/>
        </w:rPr>
        <w:t>Abstract</w:t>
      </w:r>
    </w:p>
    <w:p w14:paraId="13258099" w14:textId="1F814AB1" w:rsidR="00694F0F" w:rsidRPr="00694F0F" w:rsidRDefault="00694F0F" w:rsidP="008C5B28">
      <w:pPr>
        <w:spacing w:line="360" w:lineRule="auto"/>
        <w:jc w:val="both"/>
        <w:rPr>
          <w:rFonts w:ascii="Arial" w:hAnsi="Arial" w:cs="Arial"/>
          <w:sz w:val="24"/>
          <w:szCs w:val="24"/>
          <w:lang w:val="en-US"/>
        </w:rPr>
      </w:pPr>
      <w:r w:rsidRPr="00694F0F">
        <w:rPr>
          <w:rFonts w:ascii="Arial" w:hAnsi="Arial" w:cs="Arial"/>
          <w:sz w:val="24"/>
          <w:szCs w:val="24"/>
          <w:lang w:val="en-US"/>
        </w:rPr>
        <w:t>Currently, new constructions defend the possibility of love and/or sexual relationships with more than one person at the same time (Matsick, Conley, Ziegler, Moors, &amp; Rubin, 2014), however, even when the visibility of consensual non-monogamous relationships has increased in recent years, there is still a lack of information and an increase in misinformation about the dynamics of these types of relationships (Conley, Moors, Matsick, &amp; Ziegler, 2012; Conley, Ziegler, Moors, Matsick, &amp; Valentine, 2012). ). The present study explores the relationship between the sociosexual orientation trait and attitudes towards Consensual Non-Monogamy (NMC), expecting that sociosexuality should correlate with more positive attitudes towards CNM in 218 individuals, showing that there is a significant and positive relationship between unrestricted individuals and a greater openness to models less restrictive than the monogamous.</w:t>
      </w:r>
    </w:p>
    <w:p w14:paraId="2CB90F36" w14:textId="20C31A64" w:rsidR="00694F0F" w:rsidRPr="00694F0F" w:rsidRDefault="00694F0F" w:rsidP="00694F0F">
      <w:pPr>
        <w:spacing w:line="360" w:lineRule="auto"/>
        <w:rPr>
          <w:rFonts w:ascii="Arial" w:hAnsi="Arial" w:cs="Arial"/>
          <w:i/>
          <w:iCs/>
          <w:sz w:val="24"/>
          <w:szCs w:val="24"/>
        </w:rPr>
      </w:pPr>
      <w:r w:rsidRPr="00694F0F">
        <w:rPr>
          <w:rFonts w:ascii="Arial" w:hAnsi="Arial" w:cs="Arial"/>
          <w:b/>
          <w:bCs/>
          <w:i/>
          <w:iCs/>
          <w:sz w:val="24"/>
          <w:szCs w:val="24"/>
          <w:lang w:val="en-US"/>
        </w:rPr>
        <w:lastRenderedPageBreak/>
        <w:t>Keywords</w:t>
      </w:r>
      <w:r w:rsidRPr="00694F0F">
        <w:rPr>
          <w:rFonts w:ascii="Arial" w:hAnsi="Arial" w:cs="Arial"/>
          <w:i/>
          <w:iCs/>
          <w:sz w:val="24"/>
          <w:szCs w:val="24"/>
          <w:lang w:val="en-US"/>
        </w:rPr>
        <w:t xml:space="preserve">: Attitudes, consensual non-monogamy, sociosexual orientation, scale, validation. </w:t>
      </w:r>
      <w:r w:rsidRPr="00694F0F">
        <w:rPr>
          <w:rFonts w:ascii="Arial" w:hAnsi="Arial" w:cs="Arial"/>
          <w:i/>
          <w:iCs/>
          <w:sz w:val="24"/>
          <w:szCs w:val="24"/>
        </w:rPr>
        <w:t>Correlation.</w:t>
      </w:r>
    </w:p>
    <w:p w14:paraId="5D8E04C6" w14:textId="77777777" w:rsidR="00694F0F" w:rsidRDefault="00694F0F">
      <w:pPr>
        <w:rPr>
          <w:rFonts w:ascii="Arial" w:hAnsi="Arial" w:cs="Arial"/>
          <w:sz w:val="24"/>
          <w:szCs w:val="24"/>
        </w:rPr>
      </w:pPr>
      <w:r>
        <w:rPr>
          <w:rFonts w:ascii="Arial" w:hAnsi="Arial" w:cs="Arial"/>
          <w:sz w:val="24"/>
          <w:szCs w:val="24"/>
        </w:rPr>
        <w:br w:type="page"/>
      </w:r>
    </w:p>
    <w:p w14:paraId="7D12B94A" w14:textId="42D0C122" w:rsidR="00BE7E89" w:rsidRPr="00694F0F" w:rsidRDefault="007E74F1" w:rsidP="008C5B28">
      <w:pPr>
        <w:spacing w:line="360" w:lineRule="auto"/>
        <w:jc w:val="both"/>
        <w:rPr>
          <w:rFonts w:ascii="Arial" w:hAnsi="Arial" w:cs="Arial"/>
          <w:sz w:val="24"/>
          <w:szCs w:val="24"/>
        </w:rPr>
      </w:pPr>
      <w:r w:rsidRPr="00694F0F">
        <w:rPr>
          <w:rFonts w:ascii="Arial" w:hAnsi="Arial" w:cs="Arial"/>
          <w:sz w:val="24"/>
          <w:szCs w:val="24"/>
        </w:rPr>
        <w:lastRenderedPageBreak/>
        <w:t>El</w:t>
      </w:r>
      <w:r w:rsidR="00497399" w:rsidRPr="00694F0F">
        <w:rPr>
          <w:rFonts w:ascii="Arial" w:hAnsi="Arial" w:cs="Arial"/>
          <w:sz w:val="24"/>
          <w:szCs w:val="24"/>
        </w:rPr>
        <w:t xml:space="preserve"> concepto de</w:t>
      </w:r>
      <w:r w:rsidRPr="00694F0F">
        <w:rPr>
          <w:rFonts w:ascii="Arial" w:hAnsi="Arial" w:cs="Arial"/>
          <w:sz w:val="24"/>
          <w:szCs w:val="24"/>
        </w:rPr>
        <w:t xml:space="preserve"> amor se construyó históricamente basado en el de</w:t>
      </w:r>
      <w:r w:rsidR="00497399" w:rsidRPr="00694F0F">
        <w:rPr>
          <w:rFonts w:ascii="Arial" w:hAnsi="Arial" w:cs="Arial"/>
          <w:sz w:val="24"/>
          <w:szCs w:val="24"/>
        </w:rPr>
        <w:t>l</w:t>
      </w:r>
      <w:r w:rsidRPr="00694F0F">
        <w:rPr>
          <w:rFonts w:ascii="Arial" w:hAnsi="Arial" w:cs="Arial"/>
          <w:sz w:val="24"/>
          <w:szCs w:val="24"/>
        </w:rPr>
        <w:t xml:space="preserve"> amor romántico</w:t>
      </w:r>
      <w:r w:rsidR="00BC2EB2" w:rsidRPr="00694F0F">
        <w:rPr>
          <w:rFonts w:ascii="Arial" w:hAnsi="Arial" w:cs="Arial"/>
          <w:sz w:val="24"/>
          <w:szCs w:val="24"/>
        </w:rPr>
        <w:t xml:space="preserve"> y</w:t>
      </w:r>
      <w:r w:rsidRPr="00694F0F">
        <w:rPr>
          <w:rFonts w:ascii="Arial" w:hAnsi="Arial" w:cs="Arial"/>
          <w:sz w:val="24"/>
          <w:szCs w:val="24"/>
        </w:rPr>
        <w:t xml:space="preserve"> patriarcal, heteronormativo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{"citationItems":[{"id":"ITEM-1","itemData":{"ISSN":"2182-018X","abstract":"En este trabajo se analiza la conceptualización teórica, social y afectiva del amor en la cultura occidental. Una construcción social y cultural que ha influido en la educación y vida de las mujeres a lo largo de la historia. La idea occidental del “amor romántico” ha servido a los distintos poderes para perpetuar un sistema social patriarcal que promueve la desigualdad entre hombres y mujeres. Unas formas de amar que se aprenden desde los núcleos familiares, grupos de pares y productos culturales. Así, analizamos el mito del amor romántico patriarcal desde textos y lecturas feministas para comprender el porqué de su origen y, en especial, su continuidad en el presente. El amor romántico es uno de los ejes temáticos centrales de muchos productos culturales, desde la literatura al cine, generando discursos con gran impacto en la construcción de la subjetividad e identidad de las personas. Siendo la adolescencia una época difícil en la que los grupos de pares y la presión social tienen gran impacto en la construcción de la identidad, dentro de la Educación sexual y afectiva, el cine se puede convertir en un aliado. Un aliado en la formación de unos estudiantes más libres y críticos.\\r\\n","author":[{"dropping-particle":"","family":"Pascual Fernández","given":"Alicia","non-dropping-particle":"","parse-names":false,"suffix":""}],"container-title":"Dedica. Revista de Educação e Humanidades, ISSN-e 2182-018X, Nº. 10, 2016, págs. 63-78","id":"ITEM-1","issue":"10","issued":{"date-parts":[["2016"]]},"page":"63-78","title":"Sobre el mito del amor romántico.: Amores cinematográficos y educación","type":"article-journal","volume":"10"},"uris":["http://www.mendeley.com/documents/?uuid=c6c92f83-915b-46b2-83e5-87d0ab2dc92c"]}],"mendeley":{"formattedCitation":"(Pascual Fernández, 2016)","plainTextFormattedCitation":"(Pascual Fernández, 2016)","previouslyFormattedCitation":"(Pascual Fernández, 2016)"},"properties":{"noteIndex":0},"schema":"https://github.com/citation-style-language/schema/raw/master/csl-citation.json"}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(Pascual Fernández, 2016)</w:t>
      </w:r>
      <w:r w:rsidRPr="00694F0F">
        <w:rPr>
          <w:rFonts w:ascii="Arial" w:hAnsi="Arial" w:cs="Arial"/>
          <w:sz w:val="24"/>
          <w:szCs w:val="24"/>
        </w:rPr>
        <w:fldChar w:fldCharType="end"/>
      </w:r>
      <w:r w:rsidR="00BC2EB2" w:rsidRPr="00694F0F">
        <w:rPr>
          <w:rFonts w:ascii="Arial" w:hAnsi="Arial" w:cs="Arial"/>
          <w:sz w:val="24"/>
          <w:szCs w:val="24"/>
        </w:rPr>
        <w:t xml:space="preserve">, por lo </w:t>
      </w:r>
      <w:r w:rsidR="00497399" w:rsidRPr="00694F0F">
        <w:rPr>
          <w:rFonts w:ascii="Arial" w:hAnsi="Arial" w:cs="Arial"/>
          <w:sz w:val="24"/>
          <w:szCs w:val="24"/>
        </w:rPr>
        <w:t>que</w:t>
      </w:r>
      <w:r w:rsidR="00BC2EB2" w:rsidRPr="00694F0F">
        <w:rPr>
          <w:rFonts w:ascii="Arial" w:hAnsi="Arial" w:cs="Arial"/>
          <w:sz w:val="24"/>
          <w:szCs w:val="24"/>
        </w:rPr>
        <w:t xml:space="preserve"> la investigación empírica</w:t>
      </w:r>
      <w:r w:rsidR="00497399" w:rsidRPr="00694F0F">
        <w:rPr>
          <w:rFonts w:ascii="Arial" w:hAnsi="Arial" w:cs="Arial"/>
          <w:sz w:val="24"/>
          <w:szCs w:val="24"/>
        </w:rPr>
        <w:t xml:space="preserve"> en torno a éste,</w:t>
      </w:r>
      <w:r w:rsidR="00BC2EB2" w:rsidRPr="00694F0F">
        <w:rPr>
          <w:rFonts w:ascii="Arial" w:hAnsi="Arial" w:cs="Arial"/>
          <w:sz w:val="24"/>
          <w:szCs w:val="24"/>
        </w:rPr>
        <w:t xml:space="preserve"> a menudo se basa en conceptualizaciones de occidente, que dan por hecho la monogamia</w:t>
      </w:r>
      <w:r w:rsidR="00497399" w:rsidRPr="00694F0F">
        <w:rPr>
          <w:rFonts w:ascii="Arial" w:hAnsi="Arial" w:cs="Arial"/>
          <w:sz w:val="24"/>
          <w:szCs w:val="24"/>
        </w:rPr>
        <w:t xml:space="preserve"> como el modelo</w:t>
      </w:r>
      <w:r w:rsidR="00BC2EB2" w:rsidRPr="00694F0F">
        <w:rPr>
          <w:rFonts w:ascii="Arial" w:hAnsi="Arial" w:cs="Arial"/>
          <w:sz w:val="24"/>
          <w:szCs w:val="24"/>
        </w:rPr>
        <w:t xml:space="preserve"> </w:t>
      </w:r>
      <w:r w:rsidR="00497399" w:rsidRPr="00694F0F">
        <w:rPr>
          <w:rFonts w:ascii="Arial" w:hAnsi="Arial" w:cs="Arial"/>
          <w:sz w:val="24"/>
          <w:szCs w:val="24"/>
        </w:rPr>
        <w:t xml:space="preserve">predominante y </w:t>
      </w:r>
      <w:r w:rsidR="00BC2EB2" w:rsidRPr="00694F0F">
        <w:rPr>
          <w:rFonts w:ascii="Arial" w:hAnsi="Arial" w:cs="Arial"/>
          <w:sz w:val="24"/>
          <w:szCs w:val="24"/>
        </w:rPr>
        <w:t>obligatori</w:t>
      </w:r>
      <w:r w:rsidR="00497399" w:rsidRPr="00694F0F">
        <w:rPr>
          <w:rFonts w:ascii="Arial" w:hAnsi="Arial" w:cs="Arial"/>
          <w:sz w:val="24"/>
          <w:szCs w:val="24"/>
        </w:rPr>
        <w:t>o</w:t>
      </w:r>
      <w:r w:rsidR="00BC2EB2" w:rsidRPr="00694F0F">
        <w:rPr>
          <w:rFonts w:ascii="Arial" w:hAnsi="Arial" w:cs="Arial"/>
          <w:sz w:val="24"/>
          <w:szCs w:val="24"/>
        </w:rPr>
        <w:t xml:space="preserve"> </w:t>
      </w:r>
      <w:r w:rsidR="00BC2EB2" w:rsidRPr="00694F0F">
        <w:rPr>
          <w:rFonts w:ascii="Arial" w:hAnsi="Arial" w:cs="Arial"/>
          <w:sz w:val="24"/>
          <w:szCs w:val="24"/>
        </w:rPr>
        <w:fldChar w:fldCharType="begin" w:fldLock="1"/>
      </w:r>
      <w:r w:rsidR="00BC2EB2" w:rsidRPr="00694F0F">
        <w:rPr>
          <w:rFonts w:ascii="Arial" w:hAnsi="Arial" w:cs="Arial"/>
          <w:sz w:val="24"/>
          <w:szCs w:val="24"/>
        </w:rPr>
        <w:instrText>ADDIN CSL_CITATION {"citationItems":[{"id":"ITEM-1","itemData":{"author":[{"dropping-particle":"","family":"Ryan","given":"Christopher","non-dropping-particle":"","parse-names":false,"suffix":""},{"dropping-particle":"","family":"Jethá","given":"Casilda","non-dropping-particle":"","parse-names":false,"suffix":""}],"id":"ITEM-1","issued":{"date-parts":[["2010"]]},"publisher":"Harper Perennial","publisher-place":"New York, N. Y.","title":"Sex at dawn: The prehistoric origins of modern sexuality","type":"book"},"uris":["http://www.mendeley.com/documents/?uuid=040fc0b5-e0df-492c-bea0-ebace5d749e7"]}],"mendeley":{"formattedCitation":"(Ryan &amp; Jethá, 2010)","plainTextFormattedCitation":"(Ryan &amp; Jethá, 2010)","previouslyFormattedCitation":"(Ryan &amp; Jethá, 2010)"},"properties":{"noteIndex":0},"schema":"https://github.com/citation-style-language/schema/raw/master/csl-citation.json"}</w:instrText>
      </w:r>
      <w:r w:rsidR="00BC2EB2" w:rsidRPr="00694F0F">
        <w:rPr>
          <w:rFonts w:ascii="Arial" w:hAnsi="Arial" w:cs="Arial"/>
          <w:sz w:val="24"/>
          <w:szCs w:val="24"/>
        </w:rPr>
        <w:fldChar w:fldCharType="separate"/>
      </w:r>
      <w:r w:rsidR="00BC2EB2" w:rsidRPr="00694F0F">
        <w:rPr>
          <w:rFonts w:ascii="Arial" w:hAnsi="Arial" w:cs="Arial"/>
          <w:noProof/>
          <w:sz w:val="24"/>
          <w:szCs w:val="24"/>
        </w:rPr>
        <w:t>(Ryan &amp; Jethá, 2010)</w:t>
      </w:r>
      <w:r w:rsidR="00BC2EB2" w:rsidRPr="00694F0F">
        <w:rPr>
          <w:rFonts w:ascii="Arial" w:hAnsi="Arial" w:cs="Arial"/>
          <w:sz w:val="24"/>
          <w:szCs w:val="24"/>
        </w:rPr>
        <w:fldChar w:fldCharType="end"/>
      </w:r>
      <w:r w:rsidR="00BC2EB2" w:rsidRPr="00694F0F">
        <w:rPr>
          <w:rFonts w:ascii="Arial" w:hAnsi="Arial" w:cs="Arial"/>
          <w:sz w:val="24"/>
          <w:szCs w:val="24"/>
        </w:rPr>
        <w:t>. Tan solo e</w:t>
      </w:r>
      <w:r w:rsidR="00065D49" w:rsidRPr="00694F0F">
        <w:rPr>
          <w:rFonts w:ascii="Arial" w:hAnsi="Arial" w:cs="Arial"/>
          <w:sz w:val="24"/>
          <w:szCs w:val="24"/>
        </w:rPr>
        <w:t xml:space="preserve">n México, de acuerdo al Censo de Población y Vivienda 2020 </w:t>
      </w:r>
      <w:r w:rsidR="00065D49" w:rsidRPr="00694F0F">
        <w:rPr>
          <w:rFonts w:ascii="Arial" w:hAnsi="Arial" w:cs="Arial"/>
          <w:sz w:val="24"/>
          <w:szCs w:val="24"/>
        </w:rPr>
        <w:fldChar w:fldCharType="begin" w:fldLock="1"/>
      </w:r>
      <w:r w:rsidR="00D44976" w:rsidRPr="00694F0F">
        <w:rPr>
          <w:rFonts w:ascii="Arial" w:hAnsi="Arial" w:cs="Arial"/>
          <w:sz w:val="24"/>
          <w:szCs w:val="24"/>
        </w:rPr>
        <w:instrText xml:space="preserve">ADDIN CSL_CITATION {"citationItems":[{"id":"ITEM-1","itemData":{"abstract":", MATRIMONIOS Y DIVORCIOS EN MÉXICO\" DATOS NACIONALES </w:instrText>
      </w:r>
      <w:r w:rsidR="00D44976" w:rsidRPr="00694F0F">
        <w:rPr>
          <w:rFonts w:ascii="Arial" w:hAnsi="Arial" w:cs="Arial"/>
          <w:sz w:val="24"/>
          <w:szCs w:val="24"/>
        </w:rPr>
        <w:instrText xml:space="preserve"> En 2016, conforme a los resultados de la Encuesta Nacional de Ocupación y Empleo (ENOE), 58.1% de la población de 15 y más años se encuentra unida: 31.4% es soltera y 10.5% es separada, divorciada o viuda. </w:instrText>
      </w:r>
      <w:r w:rsidR="00D44976" w:rsidRPr="00694F0F">
        <w:rPr>
          <w:rFonts w:ascii="Arial" w:hAnsi="Arial" w:cs="Arial"/>
          <w:sz w:val="24"/>
          <w:szCs w:val="24"/>
        </w:rPr>
        <w:instrText xml:space="preserve"> Datos de la Encuesta Intercensal señalan que en el país residen 12.4 millones de personas de 60 y más años; 1 381 509 viven solas, y de estas, 94.4% son ex unidas o son solteras, mientras que 5% declararon estar casadas o en unión libre. </w:instrText>
      </w:r>
      <w:r w:rsidR="00D44976" w:rsidRPr="00694F0F">
        <w:rPr>
          <w:rFonts w:ascii="Arial" w:hAnsi="Arial" w:cs="Arial"/>
          <w:sz w:val="24"/>
          <w:szCs w:val="24"/>
        </w:rPr>
        <w:instrText xml:space="preserve"> De acuerdo con la ENOE, 9.6%, de las mujeres de 15 y más años con hijos nacidos vivos son solteras. En las adolescentes de 15 a 19 años este porcentaje es del 22.8 por ciento. </w:instrText>
      </w:r>
      <w:r w:rsidR="00D44976" w:rsidRPr="00694F0F">
        <w:rPr>
          <w:rFonts w:ascii="Arial" w:hAnsi="Arial" w:cs="Arial"/>
          <w:sz w:val="24"/>
          <w:szCs w:val="24"/>
        </w:rPr>
        <w:instrText> En 2015 se registraron 558 018 matrimonios. De estos, 556 269 correspondieron a uniones legales de personas de distinto sexo (99.7%), mientras que 1 749 (0.3%) fueron matrimonios legales entre población del mismo sexo. El origen de la celebración del Día de San Valentín, data de la época del Imperio Romano, aproximadamente en el año 270 de nuestra era. En esa época, bajo el reinado del emperador Claudio II, había un sacerdote en Roma llamado Valentín; el emperador prohibió a los jóvenes casarse y vivir en matrimonio porque pensaba que solteros y sin familia serían mejores soldados al no tener compromisos en el momento de ir a la guerra. El sacerdote Valentín consideró injusto el decreto dictado por el emperador, por lo que comenzó a celebrar en secreto los matrimonios de los jóvenes enamorados. La \"rebeldía\" del cura fue descubierta, por lo que se le encarceló y sentenció a ser decapitado el 14 de febrero, fecha retomada para celebrar a las parejas. Con motivo del Día de San Valentín, el Instituto Nacional de Estadística y Geografía (INEGI), integró indicadores sobre la situación conyugal de la población y el registro de matrimonios y divorcios ocurridos en el país. Situación conyugal La mayor parte de la población de 15 y más años se encuentra unida. Así lo indica la Encuesta Nacional de Ocupación y Empleo (ENOE) en el tercer trimestre del 2016: casi tres quintas partes (58.1%) se encuentra en esta situación conyugal, mientras que 31.4% está soltera y 10.5% se encuentra separada, divorciada o viuda. Esta estructura cambia radicalmente conforme la edad de la población; por ejemplo, gran parte de los hombres jóvenes (15 a 29 años) son solteros (73.3%), en tanto que en edades más avanzadas el","author":[{"dropping-particle":"","family":"INEGI","given":"","non-dropping-particle":"","parse-names":false,"suffix":""}],"container-title":"Comunicado de prensa núm . 114/21 .","id":"ITEM-1","issued":{"date-parts":[["2021"]]},"number-of-pages":"1-7","publisher-place":"Ciudad de México","title":"Encuesta Nacional de Ocupación y Empleo (ENOE)","type":"report"},"uris":["http://www.mendeley.com/documents/?uuid=b526151b-6c02-436a-a858-34000c909122"]}],"mendeley":{"formattedCitation":"(INEGI, 2021)","plainTextFormattedCitation":"(INEGI, 2021)","previouslyFormattedCitation":"(INEGI, 2021)"},"properties":{"noteIndex":0},"schema":"https://github.com/citation-style-language/schema/raw/master/csl-citation.json"}</w:instrText>
      </w:r>
      <w:r w:rsidR="00065D49" w:rsidRPr="00694F0F">
        <w:rPr>
          <w:rFonts w:ascii="Arial" w:hAnsi="Arial" w:cs="Arial"/>
          <w:sz w:val="24"/>
          <w:szCs w:val="24"/>
        </w:rPr>
        <w:fldChar w:fldCharType="separate"/>
      </w:r>
      <w:r w:rsidR="00065D49" w:rsidRPr="00694F0F">
        <w:rPr>
          <w:rFonts w:ascii="Arial" w:hAnsi="Arial" w:cs="Arial"/>
          <w:noProof/>
          <w:sz w:val="24"/>
          <w:szCs w:val="24"/>
        </w:rPr>
        <w:t>(INEGI, 2021)</w:t>
      </w:r>
      <w:r w:rsidR="00065D49" w:rsidRPr="00694F0F">
        <w:rPr>
          <w:rFonts w:ascii="Arial" w:hAnsi="Arial" w:cs="Arial"/>
          <w:sz w:val="24"/>
          <w:szCs w:val="24"/>
        </w:rPr>
        <w:fldChar w:fldCharType="end"/>
      </w:r>
      <w:r w:rsidRPr="00694F0F">
        <w:rPr>
          <w:rFonts w:ascii="Arial" w:hAnsi="Arial" w:cs="Arial"/>
          <w:sz w:val="24"/>
          <w:szCs w:val="24"/>
        </w:rPr>
        <w:t>,</w:t>
      </w:r>
      <w:r w:rsidR="00065D49" w:rsidRPr="00694F0F">
        <w:rPr>
          <w:rFonts w:ascii="Arial" w:hAnsi="Arial" w:cs="Arial"/>
          <w:sz w:val="24"/>
          <w:szCs w:val="24"/>
        </w:rPr>
        <w:t xml:space="preserve"> </w:t>
      </w:r>
      <w:r w:rsidR="008F4FEE" w:rsidRPr="00694F0F">
        <w:rPr>
          <w:rFonts w:ascii="Arial" w:hAnsi="Arial" w:cs="Arial"/>
          <w:sz w:val="24"/>
          <w:szCs w:val="24"/>
        </w:rPr>
        <w:t>más de la mitad de la población vive en pareja (</w:t>
      </w:r>
      <w:r w:rsidR="00065D49" w:rsidRPr="00694F0F">
        <w:rPr>
          <w:rFonts w:ascii="Arial" w:hAnsi="Arial" w:cs="Arial"/>
          <w:sz w:val="24"/>
          <w:szCs w:val="24"/>
        </w:rPr>
        <w:t>38%</w:t>
      </w:r>
      <w:r w:rsidR="008F4FEE" w:rsidRPr="00694F0F">
        <w:rPr>
          <w:rFonts w:ascii="Arial" w:hAnsi="Arial" w:cs="Arial"/>
          <w:sz w:val="24"/>
          <w:szCs w:val="24"/>
        </w:rPr>
        <w:t xml:space="preserve"> </w:t>
      </w:r>
      <w:r w:rsidR="00065D49" w:rsidRPr="00694F0F">
        <w:rPr>
          <w:rFonts w:ascii="Arial" w:hAnsi="Arial" w:cs="Arial"/>
          <w:sz w:val="24"/>
          <w:szCs w:val="24"/>
        </w:rPr>
        <w:t>está casada</w:t>
      </w:r>
      <w:r w:rsidR="008F4FEE" w:rsidRPr="00694F0F">
        <w:rPr>
          <w:rFonts w:ascii="Arial" w:hAnsi="Arial" w:cs="Arial"/>
          <w:sz w:val="24"/>
          <w:szCs w:val="24"/>
        </w:rPr>
        <w:t xml:space="preserve"> y</w:t>
      </w:r>
      <w:r w:rsidR="00EC4384" w:rsidRPr="00694F0F">
        <w:rPr>
          <w:rFonts w:ascii="Arial" w:hAnsi="Arial" w:cs="Arial"/>
          <w:sz w:val="24"/>
          <w:szCs w:val="24"/>
        </w:rPr>
        <w:t xml:space="preserve"> </w:t>
      </w:r>
      <w:r w:rsidR="00065D49" w:rsidRPr="00694F0F">
        <w:rPr>
          <w:rFonts w:ascii="Arial" w:hAnsi="Arial" w:cs="Arial"/>
          <w:sz w:val="24"/>
          <w:szCs w:val="24"/>
        </w:rPr>
        <w:t>20% vive en unión libre</w:t>
      </w:r>
      <w:r w:rsidR="008F4FEE" w:rsidRPr="00694F0F">
        <w:rPr>
          <w:rFonts w:ascii="Arial" w:hAnsi="Arial" w:cs="Arial"/>
          <w:sz w:val="24"/>
          <w:szCs w:val="24"/>
        </w:rPr>
        <w:t>)</w:t>
      </w:r>
      <w:r w:rsidR="00BC2EB2" w:rsidRPr="00694F0F">
        <w:rPr>
          <w:rFonts w:ascii="Arial" w:hAnsi="Arial" w:cs="Arial"/>
          <w:sz w:val="24"/>
          <w:szCs w:val="24"/>
        </w:rPr>
        <w:t xml:space="preserve">. Sin embargo, </w:t>
      </w:r>
      <w:r w:rsidR="00EC4384" w:rsidRPr="00694F0F">
        <w:rPr>
          <w:rFonts w:ascii="Arial" w:hAnsi="Arial" w:cs="Arial"/>
          <w:sz w:val="24"/>
          <w:szCs w:val="24"/>
        </w:rPr>
        <w:t>l</w:t>
      </w:r>
      <w:r w:rsidR="000F39CF" w:rsidRPr="00694F0F">
        <w:rPr>
          <w:rFonts w:ascii="Arial" w:hAnsi="Arial" w:cs="Arial"/>
          <w:sz w:val="24"/>
          <w:szCs w:val="24"/>
        </w:rPr>
        <w:t>a trayectoria en el tiempo indica que de 2000 a 2020, el porcentaje de la población casada ha disminuido 11 puntos (de 49 a 38%)</w:t>
      </w:r>
      <w:r w:rsidR="00E468D5" w:rsidRPr="00694F0F">
        <w:rPr>
          <w:rFonts w:ascii="Arial" w:hAnsi="Arial" w:cs="Arial"/>
          <w:sz w:val="24"/>
          <w:szCs w:val="24"/>
        </w:rPr>
        <w:t>, e</w:t>
      </w:r>
      <w:r w:rsidR="000F39CF" w:rsidRPr="00694F0F">
        <w:rPr>
          <w:rFonts w:ascii="Arial" w:hAnsi="Arial" w:cs="Arial"/>
          <w:sz w:val="24"/>
          <w:szCs w:val="24"/>
        </w:rPr>
        <w:t>n tanto que la población en unión libre aumentó nueve puntos porcentuales (pasó de 11 a 20%)</w:t>
      </w:r>
      <w:r w:rsidR="00EC4384" w:rsidRPr="00694F0F">
        <w:rPr>
          <w:rFonts w:ascii="Arial" w:hAnsi="Arial" w:cs="Arial"/>
          <w:sz w:val="24"/>
          <w:szCs w:val="24"/>
        </w:rPr>
        <w:t xml:space="preserve">. </w:t>
      </w:r>
      <w:r w:rsidRPr="00694F0F">
        <w:rPr>
          <w:rFonts w:ascii="Arial" w:hAnsi="Arial" w:cs="Arial"/>
          <w:sz w:val="24"/>
          <w:szCs w:val="24"/>
        </w:rPr>
        <w:t xml:space="preserve">Es decir, que las personas </w:t>
      </w:r>
      <w:r w:rsidR="008F4FEE" w:rsidRPr="00694F0F">
        <w:rPr>
          <w:rFonts w:ascii="Arial" w:hAnsi="Arial" w:cs="Arial"/>
          <w:sz w:val="24"/>
          <w:szCs w:val="24"/>
        </w:rPr>
        <w:t>siguen</w:t>
      </w:r>
      <w:r w:rsidRPr="00694F0F">
        <w:rPr>
          <w:rFonts w:ascii="Arial" w:hAnsi="Arial" w:cs="Arial"/>
          <w:sz w:val="24"/>
          <w:szCs w:val="24"/>
        </w:rPr>
        <w:t xml:space="preserve"> buscando compartir su vida en pareja, </w:t>
      </w:r>
      <w:r w:rsidR="008F4FEE" w:rsidRPr="00694F0F">
        <w:rPr>
          <w:rFonts w:ascii="Arial" w:hAnsi="Arial" w:cs="Arial"/>
          <w:sz w:val="24"/>
          <w:szCs w:val="24"/>
        </w:rPr>
        <w:t>apostando al compromiso</w:t>
      </w:r>
      <w:r w:rsidRPr="00694F0F">
        <w:rPr>
          <w:rFonts w:ascii="Arial" w:hAnsi="Arial" w:cs="Arial"/>
          <w:sz w:val="24"/>
          <w:szCs w:val="24"/>
        </w:rPr>
        <w:t xml:space="preserve"> entendido de diversas maneras, pero en su mayoría exclusivamente </w:t>
      </w:r>
      <w:r w:rsidR="00BC2EB2" w:rsidRPr="00694F0F">
        <w:rPr>
          <w:rFonts w:ascii="Arial" w:hAnsi="Arial" w:cs="Arial"/>
          <w:sz w:val="24"/>
          <w:szCs w:val="24"/>
        </w:rPr>
        <w:t>monógamo</w:t>
      </w:r>
      <w:r w:rsidRPr="00694F0F">
        <w:rPr>
          <w:rFonts w:ascii="Arial" w:hAnsi="Arial" w:cs="Arial"/>
          <w:sz w:val="24"/>
          <w:szCs w:val="24"/>
        </w:rPr>
        <w:t xml:space="preserve">, </w:t>
      </w:r>
      <w:r w:rsidR="008F4FEE" w:rsidRPr="00694F0F">
        <w:rPr>
          <w:rFonts w:ascii="Arial" w:hAnsi="Arial" w:cs="Arial"/>
          <w:sz w:val="24"/>
          <w:szCs w:val="24"/>
        </w:rPr>
        <w:t xml:space="preserve">a pesar de estar en un momento cultural donde </w:t>
      </w:r>
      <w:r w:rsidRPr="00694F0F">
        <w:rPr>
          <w:rFonts w:ascii="Arial" w:hAnsi="Arial" w:cs="Arial"/>
          <w:sz w:val="24"/>
          <w:szCs w:val="24"/>
        </w:rPr>
        <w:t>la modernidad, y sus contrastantes cambios, promueven la</w:t>
      </w:r>
      <w:r w:rsidR="008F4FEE" w:rsidRPr="00694F0F">
        <w:rPr>
          <w:rFonts w:ascii="Arial" w:hAnsi="Arial" w:cs="Arial"/>
          <w:sz w:val="24"/>
          <w:szCs w:val="24"/>
        </w:rPr>
        <w:t xml:space="preserve"> ligereza y transitoriedad</w:t>
      </w:r>
      <w:r w:rsidR="00E468D5" w:rsidRPr="00694F0F">
        <w:rPr>
          <w:rFonts w:ascii="Arial" w:hAnsi="Arial" w:cs="Arial"/>
          <w:sz w:val="24"/>
          <w:szCs w:val="24"/>
        </w:rPr>
        <w:t xml:space="preserve">, </w:t>
      </w:r>
      <w:r w:rsidRPr="00694F0F">
        <w:rPr>
          <w:rFonts w:ascii="Arial" w:hAnsi="Arial" w:cs="Arial"/>
          <w:sz w:val="24"/>
          <w:szCs w:val="24"/>
        </w:rPr>
        <w:t>proponiendo</w:t>
      </w:r>
      <w:r w:rsidR="00E468D5" w:rsidRPr="00694F0F">
        <w:rPr>
          <w:rFonts w:ascii="Arial" w:hAnsi="Arial" w:cs="Arial"/>
          <w:sz w:val="24"/>
          <w:szCs w:val="24"/>
        </w:rPr>
        <w:t xml:space="preserve"> nuevas formas de relacionarse </w:t>
      </w:r>
      <w:r w:rsidR="008F4FEE" w:rsidRPr="00694F0F">
        <w:rPr>
          <w:rFonts w:ascii="Arial" w:hAnsi="Arial" w:cs="Arial"/>
          <w:sz w:val="24"/>
          <w:szCs w:val="24"/>
        </w:rPr>
        <w:fldChar w:fldCharType="begin" w:fldLock="1"/>
      </w:r>
      <w:r w:rsidR="008F4FEE" w:rsidRPr="00694F0F">
        <w:rPr>
          <w:rFonts w:ascii="Arial" w:hAnsi="Arial" w:cs="Arial"/>
          <w:sz w:val="24"/>
          <w:szCs w:val="24"/>
        </w:rPr>
        <w:instrText>ADDIN CSL_CITATION {"citationItems":[{"id":"ITEM-1","itemData":{"DOI":"10.11600/1692715x.14134271014","ISSN":"1692-715X","abstract":"Compreensões sobre casais na atualidade: Jovens em busca de estabilidade • Resumo (analítico): Objetivo: Construir uma aproximação compreensiva do relacionamento de casais antes da convivência, a partir dos significados e formas de se configurar na atualidade em jovens de 18 a 25 anos de idade. Método: fenomenológico hermenêutico; realizaram-se entrevistas em profundidade. Resultados: apareceram configurações de casal na atualidade como \"amigos com benefícios\", \"rolos\" \"ficantes\", \"relações sexuais\", \"relações virtuais\", frente a relações com compromisso, amor, confiança e construção de intimidade. Conclusão: Existem novas maneiras de criar e estar em um relacionamento suportadas pelas características de incerteza e transitoriedade constantes e de individualidade, mas os jovens continuam na busca de laços sólidos e estáveis que os vincule de novo à possibilidade de construir futuro e projeções, o qual decorre em bem-estar e saúde. Palavras-chave: juventude, psicologia do adolescente, cultura contemporânea (Thesaurus de Ciências Sociais da Unesco). Palavras-chave autores: relacionamento de casal, transformações, permanências, estabilidade.-1. Introducción.-2. Método.-3. Resultados.-4.Discusión.-5. Conclusión.-Lista de referencias. 1. Introducción \"A partir del nacimiento, nuestra vida será […] una sucesión de experiencias, relaciones, vínculos y conexiones que darán cuenta de una historia personal de permanente interacción, con el mundo, con los otros […]\" (Rodríguez, 2004, pp. 3-4). En tal sentido, existe un amplio espectro de relaciones que se configuran en el transcurso de la vida de las personas, entre los cuales está la relación de pareja, que permite que las personas ofrezcan y reciban valoración intelectual, emocional y física (Cervantes, 2011). Para De la Espriella (2008), este vínculo es significativo, supone una estabilidad temporal, consensos, características definitorias y proyecciones futuras y según Díaz-Morfa (1998), la relación de pareja es, \"relación prolongada en el tiempo, […] capaz de poder soportar e intentar superar el conflicto […] La pareja se diferencia de la relación breve que sólo busca la satisfacción inmediata […]\" Podría plantearse, que en cada época de la historia la cultura adquiere características que influyen en el establecimiento y mantenimiento de los vínculos de pareja. Según Fernández: La dinámica modernizadora, impulsada por una parte, por la sociedad política y por la otra, por una sociedad civil que se reproduce, …","author":[{"dropping-particle":"","family":"Blandón-Hincapié","given":"Aleida Isabel","non-dropping-particle":"","parse-names":false,"suffix":""},{"dropping-particle":"","family":"López-Serna","given":"Lina María","non-dropping-particle":"","parse-names":false,"suffix":""}],"container-title":"Revista Latinoamericana de Ciencias Sociales, Niñez y Juventud","id":"ITEM-1","issue":"1","issued":{"date-parts":[["2016"]]},"page":"505-517","title":"Comprensiones sobre pareja en la actualidad: Jóvenes en busca de estabilidad","type":"article-journal","volume":"14"},"uris":["http://www.mendeley.com/documents/?uuid=977b1513-a205-4686-a041-5f07b95c334b"]}],"mendeley":{"formattedCitation":"(Blandón-Hincapié &amp; López-Serna, 2016)","plainTextFormattedCitation":"(Blandón-Hincapié &amp; López-Serna, 2016)","previouslyFormattedCitation":"(Blandón-Hincapié &amp; López-Serna, 2016)"},"properties":{"noteIndex":0},"schema":"https://github.com/citation-style-language/schema/raw/master/csl-citation.json"}</w:instrText>
      </w:r>
      <w:r w:rsidR="008F4FEE" w:rsidRPr="00694F0F">
        <w:rPr>
          <w:rFonts w:ascii="Arial" w:hAnsi="Arial" w:cs="Arial"/>
          <w:sz w:val="24"/>
          <w:szCs w:val="24"/>
        </w:rPr>
        <w:fldChar w:fldCharType="separate"/>
      </w:r>
      <w:r w:rsidR="008F4FEE" w:rsidRPr="00694F0F">
        <w:rPr>
          <w:rFonts w:ascii="Arial" w:hAnsi="Arial" w:cs="Arial"/>
          <w:noProof/>
          <w:sz w:val="24"/>
          <w:szCs w:val="24"/>
        </w:rPr>
        <w:t>(Blandón-Hincapié &amp; López-Serna, 2016)</w:t>
      </w:r>
      <w:r w:rsidR="008F4FEE" w:rsidRPr="00694F0F">
        <w:rPr>
          <w:rFonts w:ascii="Arial" w:hAnsi="Arial" w:cs="Arial"/>
          <w:sz w:val="24"/>
          <w:szCs w:val="24"/>
        </w:rPr>
        <w:fldChar w:fldCharType="end"/>
      </w:r>
      <w:r w:rsidR="008F4FEE" w:rsidRPr="00694F0F">
        <w:rPr>
          <w:rFonts w:ascii="Arial" w:hAnsi="Arial" w:cs="Arial"/>
          <w:sz w:val="24"/>
          <w:szCs w:val="24"/>
        </w:rPr>
        <w:t>.</w:t>
      </w:r>
      <w:r w:rsidRPr="00694F0F">
        <w:rPr>
          <w:rFonts w:ascii="Arial" w:hAnsi="Arial" w:cs="Arial"/>
          <w:sz w:val="24"/>
          <w:szCs w:val="24"/>
        </w:rPr>
        <w:t xml:space="preserve"> </w:t>
      </w:r>
    </w:p>
    <w:p w14:paraId="31492111" w14:textId="2F1038A3" w:rsidR="00BE7E89" w:rsidRPr="00694F0F" w:rsidRDefault="00BE7E89" w:rsidP="008C5B28">
      <w:pPr>
        <w:spacing w:line="360" w:lineRule="auto"/>
        <w:jc w:val="both"/>
        <w:rPr>
          <w:rFonts w:ascii="Arial" w:hAnsi="Arial" w:cs="Arial"/>
          <w:sz w:val="24"/>
          <w:szCs w:val="24"/>
        </w:rPr>
      </w:pPr>
      <w:r w:rsidRPr="00694F0F">
        <w:rPr>
          <w:rFonts w:ascii="Arial" w:hAnsi="Arial" w:cs="Arial"/>
          <w:sz w:val="24"/>
          <w:szCs w:val="24"/>
        </w:rPr>
        <w:t>Sin embargo, todas estas comprensiones de las relaciones están actualmente bajo escrutinio,  ya que la mayoría de las personas no están viviendo sus vidas relacionales en formas que cumplen con estos supuestos</w:t>
      </w:r>
      <w:r w:rsidR="00497399" w:rsidRPr="00694F0F">
        <w:rPr>
          <w:rFonts w:ascii="Arial" w:hAnsi="Arial" w:cs="Arial"/>
          <w:sz w:val="24"/>
          <w:szCs w:val="24"/>
        </w:rPr>
        <w:t xml:space="preserve">: </w:t>
      </w:r>
      <w:r w:rsidRPr="00694F0F">
        <w:rPr>
          <w:rFonts w:ascii="Arial" w:hAnsi="Arial" w:cs="Arial"/>
          <w:sz w:val="24"/>
          <w:szCs w:val="24"/>
        </w:rPr>
        <w:t xml:space="preserve"> </w:t>
      </w:r>
      <w:r w:rsidR="00D370DA" w:rsidRPr="00694F0F">
        <w:rPr>
          <w:rFonts w:ascii="Arial" w:hAnsi="Arial" w:cs="Arial"/>
          <w:sz w:val="24"/>
          <w:szCs w:val="24"/>
        </w:rPr>
        <w:t>Alrededor de la mitad de los matrimonios terminan en divorcio y como consecuencia adoptan familias extendidas, c</w:t>
      </w:r>
      <w:r w:rsidR="00497399" w:rsidRPr="00694F0F">
        <w:rPr>
          <w:rFonts w:ascii="Arial" w:hAnsi="Arial" w:cs="Arial"/>
          <w:sz w:val="24"/>
          <w:szCs w:val="24"/>
        </w:rPr>
        <w:t xml:space="preserve">ada vez más parejas viven </w:t>
      </w:r>
      <w:r w:rsidR="00D370DA" w:rsidRPr="00694F0F">
        <w:rPr>
          <w:rFonts w:ascii="Arial" w:hAnsi="Arial" w:cs="Arial"/>
          <w:sz w:val="24"/>
          <w:szCs w:val="24"/>
        </w:rPr>
        <w:t xml:space="preserve">separados estando en una relación </w:t>
      </w:r>
      <w:r w:rsidR="00497399" w:rsidRPr="00694F0F">
        <w:rPr>
          <w:rFonts w:ascii="Arial" w:hAnsi="Arial" w:cs="Arial"/>
          <w:sz w:val="24"/>
          <w:szCs w:val="24"/>
        </w:rPr>
        <w:t xml:space="preserve"> </w:t>
      </w:r>
      <w:r w:rsidR="00D370DA" w:rsidRPr="00694F0F">
        <w:rPr>
          <w:rFonts w:ascii="Arial" w:hAnsi="Arial" w:cs="Arial"/>
          <w:sz w:val="24"/>
          <w:szCs w:val="24"/>
        </w:rPr>
        <w:t>(</w:t>
      </w:r>
      <w:r w:rsidR="00497399" w:rsidRPr="00694F0F">
        <w:rPr>
          <w:rFonts w:ascii="Arial" w:hAnsi="Arial" w:cs="Arial"/>
          <w:sz w:val="24"/>
          <w:szCs w:val="24"/>
        </w:rPr>
        <w:t>LAT</w:t>
      </w:r>
      <w:r w:rsidR="00D370DA" w:rsidRPr="00694F0F">
        <w:rPr>
          <w:rFonts w:ascii="Arial" w:hAnsi="Arial" w:cs="Arial"/>
          <w:sz w:val="24"/>
          <w:szCs w:val="24"/>
        </w:rPr>
        <w:t xml:space="preserve">, </w:t>
      </w:r>
      <w:r w:rsidR="00497399" w:rsidRPr="00694F0F">
        <w:rPr>
          <w:rFonts w:ascii="Arial" w:hAnsi="Arial" w:cs="Arial"/>
          <w:i/>
          <w:iCs/>
          <w:sz w:val="24"/>
          <w:szCs w:val="24"/>
        </w:rPr>
        <w:t>Living Apart Together</w:t>
      </w:r>
      <w:r w:rsidR="00497399" w:rsidRPr="00694F0F">
        <w:rPr>
          <w:rFonts w:ascii="Arial" w:hAnsi="Arial" w:cs="Arial"/>
          <w:sz w:val="24"/>
          <w:szCs w:val="24"/>
        </w:rPr>
        <w:t>)</w:t>
      </w:r>
      <w:r w:rsidR="00D370DA" w:rsidRPr="00694F0F">
        <w:rPr>
          <w:rFonts w:ascii="Arial" w:hAnsi="Arial" w:cs="Arial"/>
          <w:sz w:val="24"/>
          <w:szCs w:val="24"/>
        </w:rPr>
        <w:t xml:space="preserve"> por</w:t>
      </w:r>
      <w:r w:rsidR="00497399" w:rsidRPr="00694F0F">
        <w:rPr>
          <w:rFonts w:ascii="Arial" w:hAnsi="Arial" w:cs="Arial"/>
          <w:sz w:val="24"/>
          <w:szCs w:val="24"/>
        </w:rPr>
        <w:t xml:space="preserve"> elección y/o circunstancias</w:t>
      </w:r>
      <w:r w:rsidR="00D370DA" w:rsidRPr="00694F0F">
        <w:rPr>
          <w:rFonts w:ascii="Arial" w:hAnsi="Arial" w:cs="Arial"/>
          <w:sz w:val="24"/>
          <w:szCs w:val="24"/>
        </w:rPr>
        <w:t xml:space="preserve">, entre una cuarta parte y la mitad, de las relaciones en las que las personas acuerdan ser monógamos son en realidad secretamente -no monógamos- (amoríos e infidelidades), y alrededor del cinco por ciento de las relaciones son abiertamente no monógamas, y cada vez más personas no experimentan atracción romántica y/o priorizan relaciones platónicas en sus vidas. </w:t>
      </w:r>
      <w:r w:rsidRPr="00694F0F">
        <w:rPr>
          <w:rFonts w:ascii="Arial" w:hAnsi="Arial" w:cs="Arial"/>
          <w:sz w:val="24"/>
          <w:szCs w:val="24"/>
        </w:rPr>
        <w:t>(ver Barker, 2018b; Barker y Gabb, 2016)</w:t>
      </w:r>
      <w:r w:rsidR="00497399" w:rsidRPr="00694F0F">
        <w:rPr>
          <w:rFonts w:ascii="Arial" w:hAnsi="Arial" w:cs="Arial"/>
          <w:sz w:val="24"/>
          <w:szCs w:val="24"/>
        </w:rPr>
        <w:t>.</w:t>
      </w:r>
    </w:p>
    <w:p w14:paraId="0CFCC2E0" w14:textId="6EDEBF85" w:rsidR="008C310D" w:rsidRPr="00694F0F" w:rsidRDefault="008C310D" w:rsidP="008C5B28">
      <w:pPr>
        <w:spacing w:line="360" w:lineRule="auto"/>
        <w:jc w:val="both"/>
        <w:rPr>
          <w:rFonts w:ascii="Arial" w:hAnsi="Arial" w:cs="Arial"/>
          <w:sz w:val="24"/>
          <w:szCs w:val="24"/>
        </w:rPr>
      </w:pPr>
      <w:r w:rsidRPr="00694F0F">
        <w:rPr>
          <w:rFonts w:ascii="Arial" w:hAnsi="Arial" w:cs="Arial"/>
          <w:sz w:val="24"/>
          <w:szCs w:val="24"/>
        </w:rPr>
        <w:t xml:space="preserve">Bajo los actuales entendimientos culturales interconectados </w:t>
      </w:r>
      <w:r w:rsidR="00D370DA" w:rsidRPr="00694F0F">
        <w:rPr>
          <w:rFonts w:ascii="Arial" w:hAnsi="Arial" w:cs="Arial"/>
          <w:sz w:val="24"/>
          <w:szCs w:val="24"/>
        </w:rPr>
        <w:t>(</w:t>
      </w:r>
      <w:r w:rsidRPr="00694F0F">
        <w:rPr>
          <w:rFonts w:ascii="Arial" w:hAnsi="Arial" w:cs="Arial"/>
          <w:sz w:val="24"/>
          <w:szCs w:val="24"/>
        </w:rPr>
        <w:t>de género, sexualidad y relaciones</w:t>
      </w:r>
      <w:r w:rsidR="00D370DA" w:rsidRPr="00694F0F">
        <w:rPr>
          <w:rFonts w:ascii="Arial" w:hAnsi="Arial" w:cs="Arial"/>
          <w:sz w:val="24"/>
          <w:szCs w:val="24"/>
        </w:rPr>
        <w:t>),</w:t>
      </w:r>
      <w:r w:rsidRPr="00694F0F">
        <w:rPr>
          <w:rFonts w:ascii="Arial" w:hAnsi="Arial" w:cs="Arial"/>
          <w:sz w:val="24"/>
          <w:szCs w:val="24"/>
        </w:rPr>
        <w:t xml:space="preserve"> generalmente se asume que es </w:t>
      </w:r>
      <w:r w:rsidR="00D370DA" w:rsidRPr="00694F0F">
        <w:rPr>
          <w:rFonts w:ascii="Arial" w:hAnsi="Arial" w:cs="Arial"/>
          <w:sz w:val="24"/>
          <w:szCs w:val="24"/>
        </w:rPr>
        <w:t xml:space="preserve">el </w:t>
      </w:r>
      <w:r w:rsidR="00F75F06" w:rsidRPr="00694F0F">
        <w:rPr>
          <w:rFonts w:ascii="Arial" w:hAnsi="Arial" w:cs="Arial"/>
          <w:sz w:val="24"/>
          <w:szCs w:val="24"/>
        </w:rPr>
        <w:t>vínculo exclusivamente monógamo</w:t>
      </w:r>
      <w:r w:rsidR="00D370DA" w:rsidRPr="00694F0F">
        <w:rPr>
          <w:rFonts w:ascii="Arial" w:hAnsi="Arial" w:cs="Arial"/>
          <w:sz w:val="24"/>
          <w:szCs w:val="24"/>
        </w:rPr>
        <w:t xml:space="preserve"> </w:t>
      </w:r>
      <w:r w:rsidR="00F75F06" w:rsidRPr="00694F0F">
        <w:rPr>
          <w:rFonts w:ascii="Arial" w:hAnsi="Arial" w:cs="Arial"/>
          <w:sz w:val="24"/>
          <w:szCs w:val="24"/>
        </w:rPr>
        <w:t>el</w:t>
      </w:r>
      <w:r w:rsidR="00D370DA" w:rsidRPr="00694F0F">
        <w:rPr>
          <w:rFonts w:ascii="Arial" w:hAnsi="Arial" w:cs="Arial"/>
          <w:sz w:val="24"/>
          <w:szCs w:val="24"/>
        </w:rPr>
        <w:t xml:space="preserve"> </w:t>
      </w:r>
      <w:r w:rsidRPr="00694F0F">
        <w:rPr>
          <w:rFonts w:ascii="Arial" w:hAnsi="Arial" w:cs="Arial"/>
          <w:sz w:val="24"/>
          <w:szCs w:val="24"/>
        </w:rPr>
        <w:t>normal, natural y saludable</w:t>
      </w:r>
      <w:r w:rsidR="00D370DA" w:rsidRPr="00694F0F">
        <w:rPr>
          <w:rFonts w:ascii="Arial" w:hAnsi="Arial" w:cs="Arial"/>
          <w:sz w:val="24"/>
          <w:szCs w:val="24"/>
        </w:rPr>
        <w:t>,</w:t>
      </w:r>
      <w:r w:rsidRPr="00694F0F">
        <w:rPr>
          <w:rFonts w:ascii="Arial" w:hAnsi="Arial" w:cs="Arial"/>
          <w:sz w:val="24"/>
          <w:szCs w:val="24"/>
        </w:rPr>
        <w:t xml:space="preserve"> para que las personas formen un vínculo de parej</w:t>
      </w:r>
      <w:r w:rsidR="00D370DA" w:rsidRPr="00694F0F">
        <w:rPr>
          <w:rFonts w:ascii="Arial" w:hAnsi="Arial" w:cs="Arial"/>
          <w:sz w:val="24"/>
          <w:szCs w:val="24"/>
        </w:rPr>
        <w:t>a</w:t>
      </w:r>
      <w:r w:rsidRPr="00694F0F">
        <w:rPr>
          <w:rFonts w:ascii="Arial" w:hAnsi="Arial" w:cs="Arial"/>
          <w:sz w:val="24"/>
          <w:szCs w:val="24"/>
        </w:rPr>
        <w:t xml:space="preserve"> romántico</w:t>
      </w:r>
      <w:r w:rsidR="00D370DA" w:rsidRPr="00694F0F">
        <w:rPr>
          <w:rFonts w:ascii="Arial" w:hAnsi="Arial" w:cs="Arial"/>
          <w:sz w:val="24"/>
          <w:szCs w:val="24"/>
        </w:rPr>
        <w:t xml:space="preserve">. </w:t>
      </w:r>
      <w:r w:rsidRPr="00694F0F">
        <w:rPr>
          <w:rFonts w:ascii="Arial" w:hAnsi="Arial" w:cs="Arial"/>
          <w:sz w:val="24"/>
          <w:szCs w:val="24"/>
        </w:rPr>
        <w:t xml:space="preserve"> Est</w:t>
      </w:r>
      <w:r w:rsidR="00D370DA" w:rsidRPr="00694F0F">
        <w:rPr>
          <w:rFonts w:ascii="Arial" w:hAnsi="Arial" w:cs="Arial"/>
          <w:sz w:val="24"/>
          <w:szCs w:val="24"/>
        </w:rPr>
        <w:t>e modelo de</w:t>
      </w:r>
      <w:r w:rsidRPr="00694F0F">
        <w:rPr>
          <w:rFonts w:ascii="Arial" w:hAnsi="Arial" w:cs="Arial"/>
          <w:sz w:val="24"/>
          <w:szCs w:val="24"/>
        </w:rPr>
        <w:t xml:space="preserve"> relación se prioriza sobre otras relaciones en la vida</w:t>
      </w:r>
      <w:r w:rsidR="00F75F06" w:rsidRPr="00694F0F">
        <w:rPr>
          <w:rFonts w:ascii="Arial" w:hAnsi="Arial" w:cs="Arial"/>
          <w:sz w:val="24"/>
          <w:szCs w:val="24"/>
        </w:rPr>
        <w:t xml:space="preserve"> y a</w:t>
      </w:r>
      <w:r w:rsidRPr="00694F0F">
        <w:rPr>
          <w:rFonts w:ascii="Arial" w:hAnsi="Arial" w:cs="Arial"/>
          <w:sz w:val="24"/>
          <w:szCs w:val="24"/>
        </w:rPr>
        <w:t xml:space="preserve"> menudo se espera que las parejas </w:t>
      </w:r>
      <w:r w:rsidRPr="00694F0F">
        <w:rPr>
          <w:rFonts w:ascii="Arial" w:hAnsi="Arial" w:cs="Arial"/>
          <w:sz w:val="24"/>
          <w:szCs w:val="24"/>
        </w:rPr>
        <w:lastRenderedPageBreak/>
        <w:t xml:space="preserve">se comprometan entre sí en forma de matrimonio </w:t>
      </w:r>
      <w:r w:rsidR="00F75F06" w:rsidRPr="00694F0F">
        <w:rPr>
          <w:rFonts w:ascii="Arial" w:hAnsi="Arial" w:cs="Arial"/>
          <w:sz w:val="24"/>
          <w:szCs w:val="24"/>
        </w:rPr>
        <w:t>o</w:t>
      </w:r>
      <w:r w:rsidRPr="00694F0F">
        <w:rPr>
          <w:rFonts w:ascii="Arial" w:hAnsi="Arial" w:cs="Arial"/>
          <w:sz w:val="24"/>
          <w:szCs w:val="24"/>
        </w:rPr>
        <w:t xml:space="preserve"> cohabita</w:t>
      </w:r>
      <w:r w:rsidR="00F75F06" w:rsidRPr="00694F0F">
        <w:rPr>
          <w:rFonts w:ascii="Arial" w:hAnsi="Arial" w:cs="Arial"/>
          <w:sz w:val="24"/>
          <w:szCs w:val="24"/>
        </w:rPr>
        <w:t>ción</w:t>
      </w:r>
      <w:r w:rsidRPr="00694F0F">
        <w:rPr>
          <w:rFonts w:ascii="Arial" w:hAnsi="Arial" w:cs="Arial"/>
          <w:sz w:val="24"/>
          <w:szCs w:val="24"/>
        </w:rPr>
        <w:t xml:space="preserve"> y </w:t>
      </w:r>
      <w:r w:rsidR="00F75F06" w:rsidRPr="00694F0F">
        <w:rPr>
          <w:rFonts w:ascii="Arial" w:hAnsi="Arial" w:cs="Arial"/>
          <w:sz w:val="24"/>
          <w:szCs w:val="24"/>
        </w:rPr>
        <w:t xml:space="preserve">que </w:t>
      </w:r>
      <w:r w:rsidRPr="00694F0F">
        <w:rPr>
          <w:rFonts w:ascii="Arial" w:hAnsi="Arial" w:cs="Arial"/>
          <w:sz w:val="24"/>
          <w:szCs w:val="24"/>
        </w:rPr>
        <w:t>form</w:t>
      </w:r>
      <w:r w:rsidR="00F75F06" w:rsidRPr="00694F0F">
        <w:rPr>
          <w:rFonts w:ascii="Arial" w:hAnsi="Arial" w:cs="Arial"/>
          <w:sz w:val="24"/>
          <w:szCs w:val="24"/>
        </w:rPr>
        <w:t xml:space="preserve">en </w:t>
      </w:r>
      <w:r w:rsidRPr="00694F0F">
        <w:rPr>
          <w:rFonts w:ascii="Arial" w:hAnsi="Arial" w:cs="Arial"/>
          <w:sz w:val="24"/>
          <w:szCs w:val="24"/>
        </w:rPr>
        <w:t>un núcleo</w:t>
      </w:r>
      <w:r w:rsidR="00F75F06" w:rsidRPr="00694F0F">
        <w:rPr>
          <w:rFonts w:ascii="Arial" w:hAnsi="Arial" w:cs="Arial"/>
          <w:sz w:val="24"/>
          <w:szCs w:val="24"/>
        </w:rPr>
        <w:t xml:space="preserve"> de</w:t>
      </w:r>
      <w:r w:rsidRPr="00694F0F">
        <w:rPr>
          <w:rFonts w:ascii="Arial" w:hAnsi="Arial" w:cs="Arial"/>
          <w:sz w:val="24"/>
          <w:szCs w:val="24"/>
        </w:rPr>
        <w:t xml:space="preserve"> familia biológica unida</w:t>
      </w:r>
      <w:r w:rsidR="00F75F06" w:rsidRPr="00694F0F">
        <w:rPr>
          <w:rFonts w:ascii="Arial" w:hAnsi="Arial" w:cs="Arial"/>
          <w:sz w:val="24"/>
          <w:szCs w:val="24"/>
        </w:rPr>
        <w:t xml:space="preserve"> </w:t>
      </w:r>
      <w:r w:rsidR="00F75F06" w:rsidRPr="00694F0F">
        <w:rPr>
          <w:rFonts w:ascii="Arial" w:hAnsi="Arial" w:cs="Arial"/>
          <w:sz w:val="24"/>
          <w:szCs w:val="24"/>
        </w:rPr>
        <w:fldChar w:fldCharType="begin" w:fldLock="1"/>
      </w:r>
      <w:r w:rsidR="003420D8" w:rsidRPr="00694F0F">
        <w:rPr>
          <w:rFonts w:ascii="Arial" w:hAnsi="Arial" w:cs="Arial"/>
          <w:sz w:val="24"/>
          <w:szCs w:val="24"/>
        </w:rPr>
        <w:instrText>ADDIN CSL_CITATION {"citationItems":[{"id":"ITEM-1","itemData":{"author":[{"dropping-particle":"","family":"Nina-Estrella","given":"Ruth","non-dropping-particle":"","parse-names":false,"suffix":""}],"container-title":"Revista Intercontinental de Psicología y Educación","id":"ITEM-1","issue":"2197-220","issued":{"date-parts":[["2011"]]},"title":"¿ Que nos mantiene juntos ? Explorando el compromiso y las estrategias de mantenimiento en la relación marital","type":"article-journal","volume":"13"},"uris":["http://www.mendeley.com/documents/?uuid=89ca0715-21a5-4673-a0a8-09bd356b0edf"]}],"mendeley":{"formattedCitation":"(Nina-Estrella, 2011)","plainTextFormattedCitation":"(Nina-Estrella, 2011)","previouslyFormattedCitation":"(Nina-Estrella, 2011)"},"properties":{"noteIndex":0},"schema":"https://github.com/citation-style-language/schema/raw/master/csl-citation.json"}</w:instrText>
      </w:r>
      <w:r w:rsidR="00F75F06" w:rsidRPr="00694F0F">
        <w:rPr>
          <w:rFonts w:ascii="Arial" w:hAnsi="Arial" w:cs="Arial"/>
          <w:sz w:val="24"/>
          <w:szCs w:val="24"/>
        </w:rPr>
        <w:fldChar w:fldCharType="separate"/>
      </w:r>
      <w:r w:rsidR="00F75F06" w:rsidRPr="00694F0F">
        <w:rPr>
          <w:rFonts w:ascii="Arial" w:hAnsi="Arial" w:cs="Arial"/>
          <w:noProof/>
          <w:sz w:val="24"/>
          <w:szCs w:val="24"/>
        </w:rPr>
        <w:t>(Nina-Estrella, 2011)</w:t>
      </w:r>
      <w:r w:rsidR="00F75F06" w:rsidRPr="00694F0F">
        <w:rPr>
          <w:rFonts w:ascii="Arial" w:hAnsi="Arial" w:cs="Arial"/>
          <w:sz w:val="24"/>
          <w:szCs w:val="24"/>
        </w:rPr>
        <w:fldChar w:fldCharType="end"/>
      </w:r>
      <w:r w:rsidRPr="00694F0F">
        <w:rPr>
          <w:rFonts w:ascii="Arial" w:hAnsi="Arial" w:cs="Arial"/>
          <w:sz w:val="24"/>
          <w:szCs w:val="24"/>
        </w:rPr>
        <w:t>.</w:t>
      </w:r>
    </w:p>
    <w:p w14:paraId="215CDD8C" w14:textId="354D161C" w:rsidR="00EF2AE3" w:rsidRPr="00694F0F" w:rsidRDefault="00BC2EB2" w:rsidP="008C5B28">
      <w:pPr>
        <w:spacing w:line="360" w:lineRule="auto"/>
        <w:jc w:val="both"/>
        <w:rPr>
          <w:rFonts w:ascii="Arial" w:hAnsi="Arial" w:cs="Arial"/>
          <w:sz w:val="24"/>
          <w:szCs w:val="24"/>
        </w:rPr>
      </w:pPr>
      <w:r w:rsidRPr="00694F0F">
        <w:rPr>
          <w:rFonts w:ascii="Arial" w:hAnsi="Arial" w:cs="Arial"/>
          <w:sz w:val="24"/>
          <w:szCs w:val="24"/>
        </w:rPr>
        <w:t>Actualmente</w:t>
      </w:r>
      <w:r w:rsidR="00F75F06" w:rsidRPr="00694F0F">
        <w:rPr>
          <w:rFonts w:ascii="Arial" w:hAnsi="Arial" w:cs="Arial"/>
          <w:sz w:val="24"/>
          <w:szCs w:val="24"/>
        </w:rPr>
        <w:t xml:space="preserve">, </w:t>
      </w:r>
      <w:r w:rsidRPr="00694F0F">
        <w:rPr>
          <w:rFonts w:ascii="Arial" w:hAnsi="Arial" w:cs="Arial"/>
          <w:sz w:val="24"/>
          <w:szCs w:val="24"/>
        </w:rPr>
        <w:t xml:space="preserve">nuevas construcciones defienden la posibilidad de relaciones amorosas y/o sexuales con más de una persona al mismo tiempo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{"citationItems":[{"id":"ITEM-1","itemData":{"DOI":"10.1080/19419899.2013.832934","ISBN":"1941-9899","ISSN":"19419902","abstract":"ISSN: 1941-9899 (Print) 1941-9902 (Online) Journal homepage: http://www.tandfonline.com/loi/rpse20 Love and sex: polyamorous relationships are perceived more favourably than swinging and open relationships Consensual non-monogamy (CNM) refers to romantic relationships in which all part-ners agree to engage in sexual, romantic and/or emotional relationships with others. Within the general framework of CNM, subtypes of relationships differ in the extent to which partners intend for love and emotional involvement to be a part of their multiple relationships (that is, some relationships may prioritise love over sex with multiple part-ners, or vice versa). The present study examined whether individuals were more likely to stigmatise relationships that: (i) focus on loving more than one person (which is characteristic of polyamory), (ii) focus on having sex without love (which is character-istic of swinging lifestyles), or (iii) involve having sex without love without a partner's participation (which is characteristic of open relationships). In the present research, participants were assigned to read a definition of one of the three CNM relationship types (i.e. a swinging, polyamorous or open relationship) and to indicate their attitudes towards individuals who participate in those relationships. Results show that swingers were overwhelmingly perceived more negatively (e.g. less responsible) than individu-als in polyamorous relationships and that people in open relationships were sometimes perceived more negatively (e.g. less moral) than people in polyamorous relationships. Overall, findings suggest that people are more uncomfortable with the idea of strictly sexual relationships (i.e. swinging relationships) than relationships involving multiple romantic/emotional attachments (i.e. polyamorous relationships).","author":[{"dropping-particle":"","family":"Matsick","given":"Jes L.","non-dropping-particle":"","parse-names":false,"suffix":""},{"dropping-particle":"","family":"Conley","given":"Terri D.","non-dropping-particle":"","parse-names":false,"suffix":""},{"dropping-particle":"","family":"Ziegler","given":"Ali","non-dropping-particle":"","parse-names":false,"suffix":""},{"dropping-particle":"","family":"Moors","given":"Amy C.","non-dropping-particle":"","parse-names":false,"suffix":""},{"dropping-particle":"","family":"Rubin","given":"Jennifer D.","non-dropping-particle":"","parse-names":false,"suffix":""}],"container-title":"Psychology and Sexuality","id":"ITEM-1","issue":"4","issued":{"date-parts":[["2014"]]},"title":"Love and sex: polyamorous relationships are perceived more favourably than swinging and open relationships","type":"article-journal","volume":"5"},"uris":["http://www.mendeley.com/documents/?uuid=47d8521c-76f3-346c-9100-08933b458029"]}],"mendeley":{"formattedCitation":"(Matsick, Conley, Ziegler, Moors, &amp; Rubin, 2014)","plainTextFormattedCitation":"(Matsick, Conley, Ziegler, Moors, &amp; Rubin, 2014)","previouslyFormattedCitation":"(Matsick, Conley, Ziegler, Moors, &amp; Rubin, 2014)"},"properties":{"noteIndex":0},"schema":"https://github.com/citation-style-language/schema/raw/master/csl-citation.json"}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(Matsick, Conley, Ziegler, Moors, &amp; Rubin, 2014)</w:t>
      </w:r>
      <w:r w:rsidRPr="00694F0F">
        <w:rPr>
          <w:rFonts w:ascii="Arial" w:hAnsi="Arial" w:cs="Arial"/>
          <w:sz w:val="24"/>
          <w:szCs w:val="24"/>
        </w:rPr>
        <w:fldChar w:fldCharType="end"/>
      </w:r>
      <w:r w:rsidR="00EF2AE3" w:rsidRPr="00694F0F">
        <w:rPr>
          <w:rFonts w:ascii="Arial" w:hAnsi="Arial" w:cs="Arial"/>
          <w:sz w:val="24"/>
          <w:szCs w:val="24"/>
        </w:rPr>
        <w:t xml:space="preserve"> </w:t>
      </w:r>
      <w:r w:rsidR="00D010DA" w:rsidRPr="00694F0F">
        <w:rPr>
          <w:rFonts w:ascii="Arial" w:hAnsi="Arial" w:cs="Arial"/>
          <w:sz w:val="24"/>
          <w:szCs w:val="24"/>
        </w:rPr>
        <w:t>sin embargo, aún cuando</w:t>
      </w:r>
      <w:r w:rsidR="00EF2AE3" w:rsidRPr="00694F0F">
        <w:rPr>
          <w:rFonts w:ascii="Arial" w:hAnsi="Arial" w:cs="Arial"/>
          <w:sz w:val="24"/>
          <w:szCs w:val="24"/>
        </w:rPr>
        <w:t xml:space="preserve"> la visibilidad de las relaciones no monógamas consensuadas ha aumentado en los últimos años, todavía hay una falta de información y un aumento en la información errónea sobre la dinámica de éste tipo de relaciones (Conley, Moors, Matsick y Ziegler, 2012; Conley, Ziegler, Moors, Matsick, Y Valentine, 2012).</w:t>
      </w:r>
    </w:p>
    <w:p w14:paraId="7D5969E2" w14:textId="02AC166F" w:rsidR="00EF2AE3" w:rsidRPr="00694F0F" w:rsidRDefault="00EF2AE3" w:rsidP="008C5B28">
      <w:pPr>
        <w:spacing w:line="360" w:lineRule="auto"/>
        <w:jc w:val="both"/>
        <w:rPr>
          <w:rFonts w:ascii="Arial" w:hAnsi="Arial" w:cs="Arial"/>
          <w:sz w:val="24"/>
          <w:szCs w:val="24"/>
        </w:rPr>
      </w:pPr>
      <w:r w:rsidRPr="00694F0F">
        <w:rPr>
          <w:rFonts w:ascii="Arial" w:hAnsi="Arial" w:cs="Arial"/>
          <w:sz w:val="24"/>
          <w:szCs w:val="24"/>
        </w:rPr>
        <w:t xml:space="preserve">Los beneficios de diferentes modelos relacionales no han sido ampliamente explorados dado que la mayoría de las investigaciones realizadas sobre el amor y la intimidad en los campos de la psicología y el asesoramiento matrimonial / familiar se han centrado en personas en relaciones monógamas, aunque las personas involucradas en la no monogamia consensuada puedan experimentar algunos de los mismos beneficios y otros adicionales, que las personas involucradas en la monogamia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author":[{"dropping-particle":"","family":"Escobar-Mota","given":"Giovanna","non-dropping-particle":"","parse-names":false,"suffix":""},{"dropping-particle":"","family":"Sánchez-Aragón","given":"Rozzana","non-dropping-particle":"","parse-names":false,"suffix":""}],"container-title":"Aportaciones Actuales de la Psicología Social","id":"ITEM-1","issued":{"date-parts":[["2014"]]},"page":"363-369.","title":"Sentimientos y pensamientos ante acuerdos monógamos y no monógamos","type":"article-journal","volume":"II"},"uris":["http://www.mendeley.com/documents/?uuid=6abe9876-cf55-4f5f-a2c9-71d2f13ad608"]}],"mendeley":{"formattedCitation":"(Escobar-Mota &amp; Sánchez-Aragón, 2014)","plainTextFormattedCitation":"(Escobar-Mota &amp; Sánchez-Aragón, 2014)","previouslyFormattedCitation":"(Escobar-Mota &amp; Sánchez-Aragón, 2014)"},"properties":{"noteIndex":0},"schema":"https://github.com/citation-style-language/schema/raw/master/csl-citation.json"}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(Escobar-Mota &amp; Sánchez-Aragón, 2014)</w:t>
      </w:r>
      <w:r w:rsidRPr="00694F0F">
        <w:rPr>
          <w:rFonts w:ascii="Arial" w:hAnsi="Arial" w:cs="Arial"/>
          <w:sz w:val="24"/>
          <w:szCs w:val="24"/>
        </w:rPr>
        <w:fldChar w:fldCharType="end"/>
      </w:r>
      <w:r w:rsidRPr="00694F0F">
        <w:rPr>
          <w:rFonts w:ascii="Arial" w:hAnsi="Arial" w:cs="Arial"/>
          <w:sz w:val="24"/>
          <w:szCs w:val="24"/>
        </w:rPr>
        <w:t>. Es decir, todas las relaciones pueden proporcionar beneficios similares hasta cierto punto, pero las características definitorias de cada tipo de relación probablemente brinden un conjunto único de beneficios a los involucrados.</w:t>
      </w:r>
    </w:p>
    <w:p w14:paraId="4873E3E7" w14:textId="1E355F94" w:rsidR="00307B3C" w:rsidRPr="00694F0F" w:rsidRDefault="00BC2EB2" w:rsidP="008C5B28">
      <w:pPr>
        <w:spacing w:line="360" w:lineRule="auto"/>
        <w:jc w:val="both"/>
        <w:rPr>
          <w:rFonts w:ascii="Arial" w:hAnsi="Arial" w:cs="Arial"/>
          <w:sz w:val="24"/>
          <w:szCs w:val="24"/>
        </w:rPr>
      </w:pPr>
      <w:r w:rsidRPr="00694F0F">
        <w:rPr>
          <w:rFonts w:ascii="Arial" w:hAnsi="Arial" w:cs="Arial"/>
          <w:sz w:val="24"/>
          <w:szCs w:val="24"/>
        </w:rPr>
        <w:t>Sin embargo, éstos nuevos modelos relacionales no-monógamos consensuados, implican estigma</w:t>
      </w:r>
      <w:r w:rsidR="009541E6" w:rsidRPr="00694F0F">
        <w:rPr>
          <w:rFonts w:ascii="Arial" w:hAnsi="Arial" w:cs="Arial"/>
          <w:sz w:val="24"/>
          <w:szCs w:val="24"/>
        </w:rPr>
        <w:t>s</w:t>
      </w:r>
      <w:r w:rsidRPr="00694F0F">
        <w:rPr>
          <w:rFonts w:ascii="Arial" w:hAnsi="Arial" w:cs="Arial"/>
          <w:sz w:val="24"/>
          <w:szCs w:val="24"/>
        </w:rPr>
        <w:t xml:space="preserve"> social</w:t>
      </w:r>
      <w:r w:rsidR="009541E6" w:rsidRPr="00694F0F">
        <w:rPr>
          <w:rFonts w:ascii="Arial" w:hAnsi="Arial" w:cs="Arial"/>
          <w:sz w:val="24"/>
          <w:szCs w:val="24"/>
        </w:rPr>
        <w:t>es a pesar de brindar diversos</w:t>
      </w:r>
      <w:r w:rsidRPr="00694F0F">
        <w:rPr>
          <w:rFonts w:ascii="Arial" w:hAnsi="Arial" w:cs="Arial"/>
          <w:sz w:val="24"/>
          <w:szCs w:val="24"/>
        </w:rPr>
        <w:t xml:space="preserve"> beneficios a sus participantes, mayormente a las mujeres</w:t>
      </w:r>
      <w:r w:rsidR="009541E6" w:rsidRPr="00694F0F">
        <w:rPr>
          <w:rFonts w:ascii="Arial" w:hAnsi="Arial" w:cs="Arial"/>
          <w:sz w:val="24"/>
          <w:szCs w:val="24"/>
        </w:rPr>
        <w:t xml:space="preserve">, como: </w:t>
      </w:r>
      <w:r w:rsidRPr="00694F0F">
        <w:rPr>
          <w:rFonts w:ascii="Arial" w:hAnsi="Arial" w:cs="Arial"/>
          <w:sz w:val="24"/>
          <w:szCs w:val="24"/>
        </w:rPr>
        <w:t>diversidad sexual</w:t>
      </w:r>
      <w:r w:rsidR="009541E6" w:rsidRPr="00694F0F">
        <w:rPr>
          <w:rFonts w:ascii="Arial" w:hAnsi="Arial" w:cs="Arial"/>
          <w:sz w:val="24"/>
          <w:szCs w:val="24"/>
        </w:rPr>
        <w:t>, aumento en la</w:t>
      </w:r>
      <w:r w:rsidRPr="00694F0F">
        <w:rPr>
          <w:rFonts w:ascii="Arial" w:hAnsi="Arial" w:cs="Arial"/>
          <w:sz w:val="24"/>
          <w:szCs w:val="24"/>
        </w:rPr>
        <w:t xml:space="preserve"> satisfacción sexual de los integrantes,</w:t>
      </w:r>
      <w:r w:rsidR="009541E6" w:rsidRPr="00694F0F">
        <w:rPr>
          <w:rFonts w:ascii="Arial" w:hAnsi="Arial" w:cs="Arial"/>
          <w:sz w:val="24"/>
          <w:szCs w:val="24"/>
        </w:rPr>
        <w:t xml:space="preserve"> la promoción </w:t>
      </w:r>
      <w:r w:rsidRPr="00694F0F">
        <w:rPr>
          <w:rFonts w:ascii="Arial" w:hAnsi="Arial" w:cs="Arial"/>
          <w:sz w:val="24"/>
          <w:szCs w:val="24"/>
        </w:rPr>
        <w:t xml:space="preserve"> la igualdad entre los participantes, menor efecto negativo </w:t>
      </w:r>
      <w:r w:rsidR="00B05D4B" w:rsidRPr="00694F0F">
        <w:rPr>
          <w:rFonts w:ascii="Arial" w:hAnsi="Arial" w:cs="Arial"/>
          <w:sz w:val="24"/>
          <w:szCs w:val="24"/>
        </w:rPr>
        <w:t xml:space="preserve">de celos y mayor probabilidad de </w:t>
      </w:r>
      <w:r w:rsidRPr="00694F0F">
        <w:rPr>
          <w:rFonts w:ascii="Arial" w:hAnsi="Arial" w:cs="Arial"/>
          <w:sz w:val="24"/>
          <w:szCs w:val="24"/>
        </w:rPr>
        <w:t>experimenta</w:t>
      </w:r>
      <w:r w:rsidR="00B05D4B" w:rsidRPr="00694F0F">
        <w:rPr>
          <w:rFonts w:ascii="Arial" w:hAnsi="Arial" w:cs="Arial"/>
          <w:sz w:val="24"/>
          <w:szCs w:val="24"/>
        </w:rPr>
        <w:t>r</w:t>
      </w:r>
      <w:r w:rsidRPr="00694F0F">
        <w:rPr>
          <w:rFonts w:ascii="Arial" w:hAnsi="Arial" w:cs="Arial"/>
          <w:sz w:val="24"/>
          <w:szCs w:val="24"/>
        </w:rPr>
        <w:t xml:space="preserve"> un grado de felicidad mientras otro participante se siente feliz y pleno con otra persona con la que también lleva una relación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{"citationItems":[{"id":"ITEM-1","itemData":{"DOI":"10.1177/1088868312467087","ISBN":"1088868312","ISSN":"1088-8683","author":[{"dropping-particle":"","family":"Conley","given":"T. D.","non-dropping-particle":"","parse-names":false,"suffix":""},{"dropping-particle":"","family":"Ziegler","given":"a.","non-dropping-particle":"","parse-names":false,"suffix":""},{"dropping-particle":"","family":"Moors","given":"a. C.","non-dropping-particle":"","parse-names":false,"suffix":""},{"dropping-particle":"","family":"Matsick","given":"J. L.","non-dropping-particle":"","parse-names":false,"suffix":""},{"dropping-particle":"","family":"Valentine","given":"B.","non-dropping-particle":"","parse-names":false,"suffix":""}],"container-title":"Personality and Social Psychology Review","id":"ITEM-1","issued":{"date-parts":[["2012"]]},"page":"124-141","title":"A Critical Examination of Popular Assumptions About the Benefits and Outcomes of Monogamous Relationships","type":"article-journal","volume":"17"},"uris":["http://www.mendeley.com/documents/?uuid=3340c06d-f6c0-473e-8af5-82690eea5d22"]}],"mendeley":{"formattedCitation":"(T. D. Conley, Ziegler, Moors, Matsick, &amp; Valentine, 2012)","plainTextFormattedCitation":"(T. D. Conley, Ziegler, Moors, Matsick, &amp; Valentine, 2012)","previouslyFormattedCitation":"(T. D. Conley, Ziegler, Moors, Matsick, &amp; Valentine, 2012)"},"properties":{"noteIndex":0},"schema":"https://github.com/citation-style-language/schema/raw/master/csl-citation.json"}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(T. D. Conley, Ziegler, Moors, Matsick, &amp; Valentine, 2012)</w:t>
      </w:r>
      <w:r w:rsidRPr="00694F0F">
        <w:rPr>
          <w:rFonts w:ascii="Arial" w:hAnsi="Arial" w:cs="Arial"/>
          <w:sz w:val="24"/>
          <w:szCs w:val="24"/>
        </w:rPr>
        <w:fldChar w:fldCharType="end"/>
      </w:r>
      <w:r w:rsidRPr="00694F0F">
        <w:rPr>
          <w:rFonts w:ascii="Arial" w:hAnsi="Arial" w:cs="Arial"/>
          <w:sz w:val="24"/>
          <w:szCs w:val="24"/>
        </w:rPr>
        <w:t xml:space="preserve">. </w:t>
      </w:r>
      <w:r w:rsidR="00F75F06" w:rsidRPr="00694F0F">
        <w:rPr>
          <w:rFonts w:ascii="Arial" w:hAnsi="Arial" w:cs="Arial"/>
          <w:sz w:val="24"/>
          <w:szCs w:val="24"/>
        </w:rPr>
        <w:t xml:space="preserve"> </w:t>
      </w:r>
      <w:r w:rsidRPr="00694F0F">
        <w:rPr>
          <w:rFonts w:ascii="Arial" w:hAnsi="Arial" w:cs="Arial"/>
          <w:sz w:val="24"/>
          <w:szCs w:val="24"/>
        </w:rPr>
        <w:t xml:space="preserve">Incluso, </w:t>
      </w:r>
      <w:r w:rsidR="00307B3C" w:rsidRPr="00694F0F">
        <w:rPr>
          <w:rFonts w:ascii="Arial" w:hAnsi="Arial" w:cs="Arial"/>
          <w:sz w:val="24"/>
          <w:szCs w:val="24"/>
        </w:rPr>
        <w:t>recientes</w:t>
      </w:r>
      <w:r w:rsidRPr="00694F0F">
        <w:rPr>
          <w:rFonts w:ascii="Arial" w:hAnsi="Arial" w:cs="Arial"/>
          <w:sz w:val="24"/>
          <w:szCs w:val="24"/>
        </w:rPr>
        <w:t xml:space="preserve"> propuestas de investigación, han </w:t>
      </w:r>
      <w:r w:rsidR="00B05D4B" w:rsidRPr="00694F0F">
        <w:rPr>
          <w:rFonts w:ascii="Arial" w:hAnsi="Arial" w:cs="Arial"/>
          <w:sz w:val="24"/>
          <w:szCs w:val="24"/>
        </w:rPr>
        <w:t>identificado nuevos beneficios como</w:t>
      </w:r>
      <w:r w:rsidRPr="00694F0F">
        <w:rPr>
          <w:rFonts w:ascii="Arial" w:hAnsi="Arial" w:cs="Arial"/>
          <w:sz w:val="24"/>
          <w:szCs w:val="24"/>
        </w:rPr>
        <w:t xml:space="preserve"> el aumento de la agencia, los recursos financieros y el apoyo social extendido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author":[{"dropping-particle":"","family":"Ziegler","given":"Ali","non-dropping-particle":"","parse-names":false,"suffix":""},{"dropping-particle":"","family":"Matsick","given":"Jes","non-dropping-particle":"","parse-names":false,"suffix":""},{"dropping-particle":"","family":"Moors","given":"Amy","non-dropping-particle":"","parse-names":false,"suffix":""},{"dropping-particle":"","family":"Rubin","given":"Jennifer","non-dropping-particle":"","parse-names":false,"suffix":""},{"dropping-particle":"","family":"Conley","given":"Terri","non-dropping-particle":"","parse-names":false,"suffix":""}],"container-title":"Psychology Faculty Articles and Research","id":"ITEM-1","issued":{"date-parts":[["2014","1","1"]]},"title":"Does Monogamy Harm Women? Deconstructing Monogamy with a Feminist Lens","type":"article-journal"},"uris":["http://www.mendeley.com/documents/?uuid=671f6ec4-71ae-3def-99ac-8a02ad05fc2d"]}],"mendeley":{"formattedCitation":"(Ziegler, Matsick, Moors, Rubin, &amp; Conley, 2014)","plainTextFormattedCitation":"(Ziegler, Matsick, Moors, Rubin, &amp; Conley, 2014)","previouslyFormattedCitation":"(Ziegler, Matsick, Moors, Rubin, &amp; Conley, 2014)"},"properties":{"noteIndex":0},"schema":"https://github.com/citation-style-language/schema/raw/master/csl-citation.json"}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(Ziegler, Matsick, Moors, Rubin, &amp; Conley, 2014)</w:t>
      </w:r>
      <w:r w:rsidRPr="00694F0F">
        <w:rPr>
          <w:rFonts w:ascii="Arial" w:hAnsi="Arial" w:cs="Arial"/>
          <w:sz w:val="24"/>
          <w:szCs w:val="24"/>
        </w:rPr>
        <w:fldChar w:fldCharType="end"/>
      </w:r>
      <w:r w:rsidRPr="00694F0F">
        <w:rPr>
          <w:rFonts w:ascii="Arial" w:hAnsi="Arial" w:cs="Arial"/>
          <w:sz w:val="24"/>
          <w:szCs w:val="24"/>
        </w:rPr>
        <w:t xml:space="preserve">. </w:t>
      </w:r>
    </w:p>
    <w:p w14:paraId="266B9697" w14:textId="20F35A7E" w:rsidR="00D010DA" w:rsidRPr="00694F0F" w:rsidRDefault="00D010DA" w:rsidP="008C5B28">
      <w:pPr>
        <w:spacing w:line="360" w:lineRule="auto"/>
        <w:jc w:val="both"/>
        <w:rPr>
          <w:rFonts w:ascii="Arial" w:hAnsi="Arial" w:cs="Arial"/>
          <w:sz w:val="24"/>
          <w:szCs w:val="24"/>
        </w:rPr>
      </w:pPr>
      <w:r w:rsidRPr="00694F0F">
        <w:rPr>
          <w:rFonts w:ascii="Arial" w:hAnsi="Arial" w:cs="Arial"/>
          <w:color w:val="000000"/>
          <w:sz w:val="24"/>
          <w:szCs w:val="24"/>
          <w:shd w:val="clear" w:color="auto" w:fill="FFFFFF"/>
        </w:rPr>
        <w:t>Sin embargo, l</w:t>
      </w:r>
      <w:r w:rsidRPr="00694F0F">
        <w:rPr>
          <w:rFonts w:ascii="Arial" w:hAnsi="Arial" w:cs="Arial"/>
          <w:sz w:val="24"/>
          <w:szCs w:val="24"/>
        </w:rPr>
        <w:t xml:space="preserve">as representaciones de las relaciones románticas influyen o son influenciadas por interacciones románticas, incluso cuando éstas </w:t>
      </w:r>
      <w:r w:rsidRPr="00694F0F">
        <w:rPr>
          <w:rFonts w:ascii="Arial" w:hAnsi="Arial" w:cs="Arial"/>
          <w:sz w:val="24"/>
          <w:szCs w:val="24"/>
        </w:rPr>
        <w:lastRenderedPageBreak/>
        <w:t xml:space="preserve">representaciones y relaciones recién se están desarrollando constantemente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{"citationItems":[{"id":"ITEM-1","itemData":{"DOI":"10.1111/j.1467-8624.2006.00892.x","ISSN":"00093920","PMID":"16686790","abstract":"The present study examined how adolescents' and their romantic partners' romantic working models and relational styles were related to their interactions with each other. Sixty-five couples (M age = 18.1 years) were observed interacting. Romantic working models were assessed in interviews about their romantic experiences; romantic styles were assessed by self-report. Data were analyzed using the Actor Partner Interdependence Model. Working models of romantic relationships, especially girls' models, were predictive of their behavior, the partners' behavior, and the dyads' behavior. Fewer links were found between relational styles and observed behavior. The present study extends past work by showing that representations of romantic relationships influence or are influenced by romantic interactions, even as these representations and relationships are just developing. © 2006 by the Society for Research in Child Development Inc. All rights reserved.","author":[{"dropping-particle":"","family":"Furman","given":"Wyndol","non-dropping-particle":"","parse-names":false,"suffix":""},{"dropping-particle":"","family":"Simon","given":"Valerie A.","non-dropping-particle":"","parse-names":false,"suffix":""}],"container-title":"Child Development","id":"ITEM-1","issue":"3","issued":{"date-parts":[["2006","5","1"]]},"page":"588-604","publisher":"John Wiley &amp; Sons, Ltd","title":"Actor and partner effects of adolescents' romantic working models and styles on interactions with romantic partners","type":"article-journal","volume":"77"},"uris":["http://www.mendeley.com/documents/?uuid=b0694d82-7d50-3f0d-8de6-cbbbf6abb5ea"]}],"mendeley":{"formattedCitation":"(Furman &amp; Simon, 2006)","plainTextFormattedCitation":"(Furman &amp; Simon, 2006)","previouslyFormattedCitation":"(Furman &amp; Simon, 2006)"},"properties":{"noteIndex":0},"schema":"https://github.com/citation-style-language/schema/raw/master/csl-citation.json"}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(Furman &amp; Simon, 2006)</w:t>
      </w:r>
      <w:r w:rsidRPr="00694F0F">
        <w:rPr>
          <w:rFonts w:ascii="Arial" w:hAnsi="Arial" w:cs="Arial"/>
          <w:sz w:val="24"/>
          <w:szCs w:val="24"/>
        </w:rPr>
        <w:fldChar w:fldCharType="end"/>
      </w:r>
      <w:r w:rsidRPr="00694F0F">
        <w:rPr>
          <w:rFonts w:ascii="Arial" w:hAnsi="Arial" w:cs="Arial"/>
          <w:sz w:val="24"/>
          <w:szCs w:val="24"/>
        </w:rPr>
        <w:t xml:space="preserve">, es decir, que el marco de mononormatividad internalizada, afecta incluso a las personas involucradas en la </w:t>
      </w:r>
      <w:r w:rsidRPr="00694F0F">
        <w:rPr>
          <w:rFonts w:ascii="Arial" w:hAnsi="Arial" w:cs="Arial"/>
          <w:i/>
          <w:iCs/>
          <w:sz w:val="24"/>
          <w:szCs w:val="24"/>
        </w:rPr>
        <w:t xml:space="preserve">No Monogamia Consensuada </w:t>
      </w:r>
      <w:r w:rsidRPr="00694F0F">
        <w:rPr>
          <w:rFonts w:ascii="Arial" w:hAnsi="Arial" w:cs="Arial"/>
          <w:sz w:val="24"/>
          <w:szCs w:val="24"/>
        </w:rPr>
        <w:t xml:space="preserve">(MNC), internalizando el estigma hacia su estilo de relación, asociándolo con una peor calidad y funcionamiento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{"citationItems":[{"id":"ITEM-1","itemData":{"DOI":"10.1007/S10508-020-01885-7","ISSN":"1573-2800","PMID":"34100145","abstract":"Drawing on an internalized homonegativity and minority stress framework, the present study sought to address whether people engaged in consensual non-monogamy (CNM) internalize stigma toward their relationship style, and if internalized CNM negativity is associated with poorer relationship quality and functioning. We recruited a community sample of 339 people engaged in CNM (open, swinging, or polyamorous relationship) with at least two concurrent partners. Participants completed a newly developed measure of internalized CNM negativity (which assessed personal discomfort, social discomfort, and public identification) and four measures of relationship quality for each partner. Regression analyses showed that personal discomfort with CNM (e.g., wanting to change one’s relationship style or endorsing CNM as unnatural) was associated with lower satisfaction with romantic and sexual relationship agreements, global relationship satisfaction, and commitment (but not sexual satisfaction) in both concurrent relationships. The other two dimensions of internalized CNM negativity, social discomfort and public identification, were not related to relationship quality with either partner. These findings provide support for the notion that prevailing mononormativity (idealization of monogamy in society) can become applied to the self and negatively impact relationship quality. Understanding the processes in which broader societal stigma toward CNM can become internalized and affect well-being provides a new direction for research at the intersection of public health, psychology, and sexuality.","author":[{"dropping-particle":"","family":"Moors","given":"Amy C.","non-dropping-particle":"","parse-names":false,"suffix":""},{"dropping-particle":"","family":"Schechinger","given":"Heath A.","non-dropping-particle":"","parse-names":false,"suffix":""},{"dropping-particle":"","family":"Balzarini","given":"Rhonda","non-dropping-particle":"","parse-names":false,"suffix":""},{"dropping-particle":"","family":"Flicker","given":"Sharon","non-dropping-particle":"","parse-names":false,"suffix":""}],"container-title":"Archives of Sexual Behavior 2021 50:4","id":"ITEM-1","issue":"4","issued":{"date-parts":[["2021","6","7"]]},"page":"1389-1400","publisher":"Springer","title":"Internalized Consensual Non-Monogamy Negativity and Relationship Quality Among People Engaged in Polyamory, Swinging, and Open Relationships","type":"article-journal","volume":"50"},"uris":["http://www.mendeley.com/documents/?uuid=eb7ea575-3a26-34f5-8129-57b499a0932c"]}],"mendeley":{"formattedCitation":"(A. C. Moors, Schechinger, Balzarini, &amp; Flicker, 2021)","plainTextFormattedCitation":"(A. C. Moors, Schechinger, Balzarini, &amp; Flicker, 2021)","previouslyFormattedCitation":"(A. C. Moors, Schechinger, Balzarini, &amp; Flicker, 2021)"},"properties":{"noteIndex":0},"schema":"https://github.com/citation-style-language/schema/raw/master/csl-citation.json"}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(A. C. Moors, Schechinger, Balzarini, &amp; Flicker, 2021)</w:t>
      </w:r>
      <w:r w:rsidRPr="00694F0F">
        <w:rPr>
          <w:rFonts w:ascii="Arial" w:hAnsi="Arial" w:cs="Arial"/>
          <w:sz w:val="24"/>
          <w:szCs w:val="24"/>
        </w:rPr>
        <w:fldChar w:fldCharType="end"/>
      </w:r>
      <w:r w:rsidRPr="00694F0F">
        <w:rPr>
          <w:rFonts w:ascii="Arial" w:hAnsi="Arial" w:cs="Arial"/>
          <w:sz w:val="24"/>
          <w:szCs w:val="24"/>
        </w:rPr>
        <w:t xml:space="preserve">. Este tipo de hallazgos apoyan la noción de que la mononormatividad predominante (idealización de la monogamia en la sociedad) puede impactar negativamente la calidad de las relaciones, si no se es consciente de contar con la posibilidad de modificar el modelo relacional. </w:t>
      </w:r>
    </w:p>
    <w:p w14:paraId="00A07315" w14:textId="2FFE31BE" w:rsidR="00D010DA" w:rsidRPr="00694F0F" w:rsidRDefault="00D010DA" w:rsidP="008C5B28">
      <w:pPr>
        <w:spacing w:line="360" w:lineRule="auto"/>
        <w:jc w:val="both"/>
        <w:rPr>
          <w:rFonts w:ascii="Arial" w:hAnsi="Arial" w:cs="Arial"/>
          <w:sz w:val="24"/>
          <w:szCs w:val="24"/>
        </w:rPr>
      </w:pPr>
      <w:r w:rsidRPr="00694F0F">
        <w:rPr>
          <w:rFonts w:ascii="Arial" w:hAnsi="Arial" w:cs="Arial"/>
          <w:color w:val="000000"/>
          <w:sz w:val="24"/>
          <w:szCs w:val="24"/>
          <w:shd w:val="clear" w:color="auto" w:fill="FFFFFF"/>
        </w:rPr>
        <w:t xml:space="preserve">El momento socio histórico actual parece promover la integración, aceptación y experimentación en la sexualidad y el concepto de relaciones románticas, abriendo el parámetro de prueba, exploración y liberación </w:t>
      </w:r>
      <w:r w:rsidRPr="00694F0F">
        <w:rPr>
          <w:rFonts w:ascii="Arial" w:hAnsi="Arial" w:cs="Arial"/>
          <w:color w:val="000000"/>
          <w:sz w:val="24"/>
          <w:szCs w:val="24"/>
          <w:shd w:val="clear" w:color="auto" w:fill="FFFFFF"/>
        </w:rPr>
        <w:fldChar w:fldCharType="begin" w:fldLock="1"/>
      </w:r>
      <w:r w:rsidRPr="00694F0F">
        <w:rPr>
          <w:rFonts w:ascii="Arial" w:hAnsi="Arial" w:cs="Arial"/>
          <w:color w:val="000000"/>
          <w:sz w:val="24"/>
          <w:szCs w:val="24"/>
          <w:shd w:val="clear" w:color="auto" w:fill="FFFFFF"/>
        </w:rPr>
        <w:instrText>ADDIN CSL_CITATION {"citationItems":[{"id":"ITEM-1","itemData":{"DOI":"10.1111/j.1530-2415.2012.01286.x","ISSN":"15297489","abstract":"consensual non-monogamy","author":[{"dropping-particle":"","family":"Conley","given":"T.","non-dropping-particle":"","parse-names":false,"suffix":""},{"dropping-particle":"","family":"Moors","given":"A.","non-dropping-particle":"","parse-names":false,"suffix":""},{"dropping-particle":"","family":"Matsick","given":"J.","non-dropping-particle":"","parse-names":false,"suffix":""},{"dropping-particle":"","family":"Ziegler","given":"A.","non-dropping-particle":"","parse-names":false,"suffix":""}],"container-title":"Analyses of Social Issues and Public Policy","id":"ITEM-1","issue":"1","issued":{"date-parts":[["2013"]]},"page":"1-30","title":"The fewer the merrier?: Assessing stigma surrounding consensually non-monogamous romantic relationships","type":"article-journal","volume":"13"},"uris":["http://www.mendeley.com/documents/?uuid=859a70bf-ba4a-4a2f-9327-c6d38d470aa7"]}],"mendeley":{"formattedCitation":"(T. Conley, Moors, Matsick, &amp; Ziegler, 2013)","plainTextFormattedCitation":"(T. Conley, Moors, Matsick, &amp; Ziegler, 2013)","previouslyFormattedCitation":"(T. Conley, Moors, Matsick, &amp; Ziegler, 2013)"},"properties":{"noteIndex":0},"schema":"https://github.com/citation-style-language/schema/raw/master/csl-citation.json"}</w:instrText>
      </w:r>
      <w:r w:rsidRPr="00694F0F">
        <w:rPr>
          <w:rFonts w:ascii="Arial" w:hAnsi="Arial" w:cs="Arial"/>
          <w:color w:val="000000"/>
          <w:sz w:val="24"/>
          <w:szCs w:val="24"/>
          <w:shd w:val="clear" w:color="auto" w:fill="FFFFFF"/>
        </w:rPr>
        <w:fldChar w:fldCharType="separate"/>
      </w:r>
      <w:r w:rsidRPr="00694F0F">
        <w:rPr>
          <w:rFonts w:ascii="Arial" w:hAnsi="Arial" w:cs="Arial"/>
          <w:noProof/>
          <w:color w:val="000000"/>
          <w:sz w:val="24"/>
          <w:szCs w:val="24"/>
          <w:shd w:val="clear" w:color="auto" w:fill="FFFFFF"/>
        </w:rPr>
        <w:t>(T. Conley, Moors, Matsick, &amp; Ziegler, 2013)</w:t>
      </w:r>
      <w:r w:rsidRPr="00694F0F">
        <w:rPr>
          <w:rFonts w:ascii="Arial" w:hAnsi="Arial" w:cs="Arial"/>
          <w:color w:val="000000"/>
          <w:sz w:val="24"/>
          <w:szCs w:val="24"/>
          <w:shd w:val="clear" w:color="auto" w:fill="FFFFFF"/>
        </w:rPr>
        <w:fldChar w:fldCharType="end"/>
      </w:r>
      <w:r w:rsidRPr="00694F0F">
        <w:rPr>
          <w:rFonts w:ascii="Arial" w:hAnsi="Arial" w:cs="Arial"/>
          <w:color w:val="000000"/>
          <w:sz w:val="24"/>
          <w:szCs w:val="24"/>
          <w:shd w:val="clear" w:color="auto" w:fill="FFFFFF"/>
        </w:rPr>
        <w:t xml:space="preserve">, sin embargo el peso de las actitudes, parecen tener un papel crucial en el mantenimiento de las barreras psicosociales que impiden la flexibilidad en la elección de modelos relacionales alternativos.  </w:t>
      </w:r>
      <w:r w:rsidRPr="00694F0F">
        <w:rPr>
          <w:rFonts w:ascii="Arial" w:hAnsi="Arial" w:cs="Arial"/>
          <w:sz w:val="24"/>
          <w:szCs w:val="24"/>
        </w:rPr>
        <w:t xml:space="preserve">Para algunos, </w:t>
      </w:r>
      <w:r w:rsidRPr="00694F0F">
        <w:rPr>
          <w:rFonts w:ascii="Arial" w:hAnsi="Arial" w:cs="Arial"/>
          <w:i/>
          <w:iCs/>
          <w:sz w:val="24"/>
          <w:szCs w:val="24"/>
        </w:rPr>
        <w:t xml:space="preserve">No Monogamia Consensuada </w:t>
      </w:r>
      <w:r w:rsidRPr="00694F0F">
        <w:rPr>
          <w:rFonts w:ascii="Arial" w:hAnsi="Arial" w:cs="Arial"/>
          <w:sz w:val="24"/>
          <w:szCs w:val="24"/>
        </w:rPr>
        <w:t xml:space="preserve">(MNC), refleja sus ideales y deseos mientras que para otros, la monogamia se alinea con los suyos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author":[{"dropping-particle":"","family":"Moors","given":"AC","non-dropping-particle":"","parse-names":false,"suffix":""},{"dropping-particle":"","family":"Matsick","given":"JL","non-dropping-particle":"","parse-names":false,"suffix":""}],"container-title":"Psychology Faculty Articles and Research","id":"ITEM-1","issued":{"date-parts":[["2018","7","3"]]},"title":"Engagement in and Benefits of Consensually Non-Monogamous Relationships","type":"article-journal"},"uris":["http://www.mendeley.com/documents/?uuid=3c9ca7bd-bc41-378e-a327-cfef43fbdec3"]}],"mendeley":{"formattedCitation":"(A. Moors &amp; Matsick, 2018)","plainTextFormattedCitation":"(A. Moors &amp; Matsick, 2018)","previouslyFormattedCitation":"(A. Moors &amp; Matsick, 2018)"},"properties":{"noteIndex":0},"schema":"https://github.com/citation-style-language/schema/raw/master/csl-citation.json"}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(A. Moors &amp; Matsick, 2018)</w:t>
      </w:r>
      <w:r w:rsidRPr="00694F0F">
        <w:rPr>
          <w:rFonts w:ascii="Arial" w:hAnsi="Arial" w:cs="Arial"/>
          <w:sz w:val="24"/>
          <w:szCs w:val="24"/>
        </w:rPr>
        <w:fldChar w:fldCharType="end"/>
      </w:r>
      <w:r w:rsidRPr="00694F0F">
        <w:rPr>
          <w:rFonts w:ascii="Arial" w:hAnsi="Arial" w:cs="Arial"/>
          <w:sz w:val="24"/>
          <w:szCs w:val="24"/>
        </w:rPr>
        <w:t>.</w:t>
      </w:r>
    </w:p>
    <w:p w14:paraId="7EF4C6A8" w14:textId="7B5D50E1" w:rsidR="003420D8" w:rsidRPr="00694F0F" w:rsidRDefault="00D010DA" w:rsidP="008C5B28">
      <w:pPr>
        <w:spacing w:line="360" w:lineRule="auto"/>
        <w:jc w:val="both"/>
        <w:rPr>
          <w:rFonts w:ascii="Arial" w:hAnsi="Arial" w:cs="Arial"/>
          <w:sz w:val="24"/>
          <w:szCs w:val="24"/>
        </w:rPr>
      </w:pPr>
      <w:r w:rsidRPr="00694F0F">
        <w:rPr>
          <w:rFonts w:ascii="Arial" w:hAnsi="Arial" w:cs="Arial"/>
          <w:color w:val="000000"/>
          <w:sz w:val="24"/>
          <w:szCs w:val="24"/>
          <w:shd w:val="clear" w:color="auto" w:fill="FFFFFF"/>
        </w:rPr>
        <w:t xml:space="preserve">La </w:t>
      </w:r>
      <w:r w:rsidRPr="00694F0F">
        <w:rPr>
          <w:rFonts w:ascii="Arial" w:hAnsi="Arial" w:cs="Arial"/>
          <w:sz w:val="24"/>
          <w:szCs w:val="24"/>
        </w:rPr>
        <w:t>necesidad de expresar nuestros valores por medio de actitudes, y de ser consistentes con nuestras posturas iniciales, es relevante en el estudio de la elección de modelo relacional. La investigación en el campo ha demostrado que las personas tienden a buscar y recibir mensajes que concuerden con sus creencias y actitudes y evitan exponerse a mensajes que las contradigan (exposición selectiva)</w:t>
      </w:r>
      <w:r w:rsidR="003420D8" w:rsidRPr="00694F0F">
        <w:rPr>
          <w:rFonts w:ascii="Arial" w:hAnsi="Arial" w:cs="Arial"/>
          <w:sz w:val="24"/>
          <w:szCs w:val="24"/>
        </w:rPr>
        <w:t xml:space="preserve"> </w:t>
      </w:r>
      <w:r w:rsidR="003420D8" w:rsidRPr="00694F0F">
        <w:rPr>
          <w:rFonts w:ascii="Arial" w:hAnsi="Arial" w:cs="Arial"/>
          <w:sz w:val="24"/>
          <w:szCs w:val="24"/>
        </w:rPr>
        <w:fldChar w:fldCharType="begin" w:fldLock="1"/>
      </w:r>
      <w:r w:rsidR="00421425" w:rsidRPr="00694F0F">
        <w:rPr>
          <w:rFonts w:ascii="Arial" w:hAnsi="Arial" w:cs="Arial"/>
          <w:sz w:val="24"/>
          <w:szCs w:val="24"/>
        </w:rPr>
        <w:instrText>ADDIN CSL_CITATION {"citationItems":[{"id":"ITEM-1","itemData":{"author":[{"dropping-particle":"","family":"Yela García","given":"C.","non-dropping-particle":"","parse-names":false,"suffix":""}],"id":"ITEM-1","issued":{"date-parts":[["2000"]]},"publisher":"Ediciones Pirámide","publisher-place":"Madrid, España","title":"El amor desde la psicología social. Ni tan libres, ni tan racionales.","type":"book"},"uris":["http://www.mendeley.com/documents/?uuid=c4610c3d-e219-4027-97f0-02bfafa32df8"]}],"mendeley":{"formattedCitation":"(Yela García, 2000)","plainTextFormattedCitation":"(Yela García, 2000)","previouslyFormattedCitation":"(Yela García, 2000)"},"properties":{"noteIndex":0},"schema":"https://github.com/citation-style-language/schema/raw/master/csl-citation.json"}</w:instrText>
      </w:r>
      <w:r w:rsidR="003420D8" w:rsidRPr="00694F0F">
        <w:rPr>
          <w:rFonts w:ascii="Arial" w:hAnsi="Arial" w:cs="Arial"/>
          <w:sz w:val="24"/>
          <w:szCs w:val="24"/>
        </w:rPr>
        <w:fldChar w:fldCharType="separate"/>
      </w:r>
      <w:r w:rsidR="003420D8" w:rsidRPr="00694F0F">
        <w:rPr>
          <w:rFonts w:ascii="Arial" w:hAnsi="Arial" w:cs="Arial"/>
          <w:noProof/>
          <w:sz w:val="24"/>
          <w:szCs w:val="24"/>
        </w:rPr>
        <w:t>(Yela García, 2000)</w:t>
      </w:r>
      <w:r w:rsidR="003420D8" w:rsidRPr="00694F0F">
        <w:rPr>
          <w:rFonts w:ascii="Arial" w:hAnsi="Arial" w:cs="Arial"/>
          <w:sz w:val="24"/>
          <w:szCs w:val="24"/>
        </w:rPr>
        <w:fldChar w:fldCharType="end"/>
      </w:r>
      <w:r w:rsidRPr="00694F0F">
        <w:rPr>
          <w:rFonts w:ascii="Arial" w:hAnsi="Arial" w:cs="Arial"/>
          <w:sz w:val="24"/>
          <w:szCs w:val="24"/>
        </w:rPr>
        <w:t xml:space="preserve">. Éste es un factor que puede explicar por qué, a pesar de la enorme cantidad de información que se recibe, las personas cambian poco sus actitudes. Sin embargo, también prestan atención a mensajes moderadamente discrepantes, especialmente cuando éstos parecen interesantes, novedosos o útiles (McGuire, 1985). Incluso, se ha postulado que las personas típicamente defienden sus creencias evitando la exposición a información contradictoria, dado que la persona no está motivada para desarrollar una defensa de su creencia en la medida en que la considera invulnerable y dado que la persona no tiene experiencia en la defensa de tales creencias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{"citationItems":[{"id":"ITEM-1","itemData":{"DOI":"10.1037/H0042026","ISSN":"0096851X","PMID":"13773992","abstract":"\"It was postulated that people characteristically defend their beliefs . . . by avoiding exposure to contradictory information . . .. Since the person is unmotivated to develop a defense of his belief to the extent that he considers it invulnerable, it was hypothesized that such beliefs are more effectively immunized against persuasion by preexposure to counterarguments . . .. Second, since the person is unpracticed in the defense of such beliefs, it was predicted that immunizing pretreatments would lose effectiveness to the extent that they required the person to participate actively . . . in the defense. Finally, an interaction effect was predicted such that the detrimental effect of requiring active participation is greater with the defense involving pre-exposure to the counterarguments than with the supportive defense.\" The hypotheses were supported. From Psyc Abstracts 36:04:4GD27M. (PsycINFO Database Record (c) 2006 APA, all rights reserved). © 1961 American Psychological Association.","author":[{"dropping-particle":"","family":"McGuire","given":"W. J.","non-dropping-particle":"","parse-names":false,"suffix":""},{"dropping-particle":"","family":"Papageorgis","given":"D.","non-dropping-particle":"","parse-names":false,"suffix":""}],"container-title":"Journal of Abnormal and Social Psychology","id":"ITEM-1","issue":"2","issued":{"date-parts":[["1961","3"]]},"page":"327-337","title":"The relative efficacy of various types of prior belief-defense in producing immunity against persuasion","type":"article-journal","volume":"62"},"uris":["http://www.mendeley.com/documents/?uuid=df07d1ce-5327-39dd-a6db-8c1ed9f5ba99"]}],"mendeley":{"formattedCitation":"(McGuire &amp; Papageorgis, 1961)","plainTextFormattedCitation":"(McGuire &amp; Papageorgis, 1961)","previouslyFormattedCitation":"(McGuire &amp; Papageorgis, 1961)"},"properties":{"noteIndex":0},"schema":"https://github.com/citation-style-language/schema/raw/master/csl-citation.json"}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(McGuire &amp; Papageorgis, 1961)</w:t>
      </w:r>
      <w:r w:rsidRPr="00694F0F">
        <w:rPr>
          <w:rFonts w:ascii="Arial" w:hAnsi="Arial" w:cs="Arial"/>
          <w:sz w:val="24"/>
          <w:szCs w:val="24"/>
        </w:rPr>
        <w:fldChar w:fldCharType="end"/>
      </w:r>
      <w:r w:rsidRPr="00694F0F">
        <w:rPr>
          <w:rFonts w:ascii="Arial" w:hAnsi="Arial" w:cs="Arial"/>
          <w:sz w:val="24"/>
          <w:szCs w:val="24"/>
        </w:rPr>
        <w:t>.</w:t>
      </w:r>
    </w:p>
    <w:p w14:paraId="29C604BF" w14:textId="0F762401" w:rsidR="003420D8" w:rsidRPr="00694F0F" w:rsidRDefault="003420D8" w:rsidP="008C5B28">
      <w:pPr>
        <w:spacing w:line="360" w:lineRule="auto"/>
        <w:jc w:val="both"/>
        <w:rPr>
          <w:rFonts w:ascii="Arial" w:hAnsi="Arial" w:cs="Arial"/>
          <w:sz w:val="24"/>
          <w:szCs w:val="24"/>
        </w:rPr>
      </w:pPr>
      <w:r w:rsidRPr="00694F0F">
        <w:rPr>
          <w:rFonts w:ascii="Arial" w:hAnsi="Arial" w:cs="Arial"/>
          <w:sz w:val="24"/>
          <w:szCs w:val="24"/>
        </w:rPr>
        <w:lastRenderedPageBreak/>
        <w:t xml:space="preserve">En esta línea, a menudo, las actitudes sobre cuestiones sociales importantes reflejan sólo un reflejo de ideas preconcebidas, vagas impresiones y supuestos no probados. Robert Cialdini en 1990, (citado en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{"citationItems":[{"id":"ITEM-1","itemData":{"ISBN":"0863775950","container-title":"Clinical Psychology","editor":[{"dropping-particle":"","family":"Reis","given":"Harry T.","non-dropping-particle":"","parse-names":false,"suffix":""},{"dropping-particle":"","family":"Rusbult","given":"Caryl","non-dropping-particle":"","parse-names":false,"suffix":""}],"id":"ITEM-1","issued":{"date-parts":[["2004"]]},"publisher":"Psychology Press","publisher-place":"New York, N. Y.","title":"Close Relationships: Key readings","type":"book"},"uris":["http://www.mendeley.com/documents/?uuid=1807bddf-558a-44bc-870d-a3893478ed78"]}],"mendeley":{"formattedCitation":"(“Close Relationships: Key readings,” 2004)","manualFormatting":"Close Relationships: Key readings,2004)","plainTextFormattedCitation":"(“Close Relationships: Key readings,” 2004)","previouslyFormattedCitation":"(“Close Relationships: Key readings,” 2004)"},"properties":{"noteIndex":0},"schema":"https://github.com/citation-style-language/schema/raw/master/csl-citation.json"}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Close Relationships: Key readings,2004)</w:t>
      </w:r>
      <w:r w:rsidRPr="00694F0F">
        <w:rPr>
          <w:rFonts w:ascii="Arial" w:hAnsi="Arial" w:cs="Arial"/>
          <w:sz w:val="24"/>
          <w:szCs w:val="24"/>
        </w:rPr>
        <w:fldChar w:fldCharType="end"/>
      </w:r>
      <w:r w:rsidRPr="00694F0F">
        <w:rPr>
          <w:rFonts w:ascii="Arial" w:hAnsi="Arial" w:cs="Arial"/>
          <w:sz w:val="24"/>
          <w:szCs w:val="24"/>
        </w:rPr>
        <w:t xml:space="preserve"> postuló el </w:t>
      </w:r>
      <w:r w:rsidRPr="00694F0F">
        <w:rPr>
          <w:rFonts w:ascii="Arial" w:hAnsi="Arial" w:cs="Arial"/>
          <w:i/>
          <w:iCs/>
          <w:sz w:val="24"/>
          <w:szCs w:val="24"/>
        </w:rPr>
        <w:t>Principio de influencia del compromiso</w:t>
      </w:r>
      <w:r w:rsidRPr="00694F0F">
        <w:rPr>
          <w:rFonts w:ascii="Arial" w:hAnsi="Arial" w:cs="Arial"/>
          <w:sz w:val="24"/>
          <w:szCs w:val="24"/>
        </w:rPr>
        <w:t xml:space="preserve"> basándose en la necesidad que tienen las personas de ser y parecer coherentes con su conducta. Según Cialdini, el elemento inicial que desencadena la fuerza de la coherencia es el compromiso: cuando conseguimos que una persona lo adopte (ej: que asuma una postura y la defienda), el terreno está preparado para que, de forma más o menos automática, esa persona actúe en consecuencia con el compromiso adoptado. </w:t>
      </w:r>
    </w:p>
    <w:p w14:paraId="51901995" w14:textId="77777777" w:rsidR="003420D8" w:rsidRPr="00694F0F" w:rsidRDefault="003420D8" w:rsidP="008C5B28">
      <w:pPr>
        <w:spacing w:line="360" w:lineRule="auto"/>
        <w:jc w:val="both"/>
        <w:rPr>
          <w:rFonts w:ascii="Arial" w:hAnsi="Arial" w:cs="Arial"/>
          <w:sz w:val="24"/>
          <w:szCs w:val="24"/>
        </w:rPr>
      </w:pPr>
      <w:r w:rsidRPr="00694F0F">
        <w:rPr>
          <w:rFonts w:ascii="Arial" w:hAnsi="Arial" w:cs="Arial"/>
          <w:sz w:val="24"/>
          <w:szCs w:val="24"/>
        </w:rPr>
        <w:t xml:space="preserve">Por ejemplo, la investigación de exposición selectiva indica que los consumidores de noticias tienden a buscar información coherente con sus actitudes y evitan la información que las desafíe. En una investigación reciente en el tema,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{"citationItems":[{"id":"ITEM-1","itemData":{"DOI":"10.1177/0093650215613136","ISSN":"15523810","abstract":"Selective exposure research indicates that news consumers tend to seek out attitude-consistent information and avoid attitude-challenging information. This study examines online news credibility and cognitive dissonance as theoretical explanations for partisan selective exposure behavior. After viewing an attitudinally consistent, challenging, or politically balanced online news source, cognitive dissonance, credibility perceptions, and likelihood of selective exposure were measured. Results showed that people judge attitude-consistent and neutral news sources as more credible than attitude-challenging news sources, and although people experience slightly more cognitive dissonance when exposed to attitude-challenging news sources, overall dissonance levels were quite low. These results refute the cognitive dissonance explanation for selective exposure and suggest a new explanation that is based on credibility perceptions rather than psychological discomfort with attitude-challenging information.","author":[{"dropping-particle":"","family":"Metzger","given":"Miriam J.","non-dropping-particle":"","parse-names":false,"suffix":""},{"dropping-particle":"","family":"Hartsell","given":"Ethan H.","non-dropping-particle":"","parse-names":false,"suffix":""},{"dropping-particle":"","family":"Flanagin","given":"Andrew J.","non-dropping-particle":"","parse-names":false,"suffix":""}],"container-title":"Communication Research","id":"ITEM-1","issue":"1","issued":{"date-parts":[["2020"]]},"page":"3-28","title":"Cognitive Dissonance or Credibility? A Comparison of Two Theoretical Explanations for Selective Exposure to Partisan News","type":"article-journal","volume":"47"},"uris":["http://www.mendeley.com/documents/?uuid=0fb62643-8c43-4d3e-9417-9968e6a83ecd"]}],"mendeley":{"formattedCitation":"(Metzger, Hartsell, &amp; Flanagin, 2020)","plainTextFormattedCitation":"(Metzger, Hartsell, &amp; Flanagin, 2020)","previouslyFormattedCitation":"(Metzger, Hartsell, &amp; Flanagin, 2020)"},"properties":{"noteIndex":0},"schema":"https://github.com/citation-style-language/schema/raw/master/csl-citation.json"}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(Metzger, Hartsell, &amp; Flanagin, 2020)</w:t>
      </w:r>
      <w:r w:rsidRPr="00694F0F">
        <w:rPr>
          <w:rFonts w:ascii="Arial" w:hAnsi="Arial" w:cs="Arial"/>
          <w:sz w:val="24"/>
          <w:szCs w:val="24"/>
        </w:rPr>
        <w:fldChar w:fldCharType="end"/>
      </w:r>
      <w:r w:rsidRPr="00694F0F">
        <w:rPr>
          <w:rFonts w:ascii="Arial" w:hAnsi="Arial" w:cs="Arial"/>
          <w:sz w:val="24"/>
          <w:szCs w:val="24"/>
        </w:rPr>
        <w:t xml:space="preserve"> las personas juzgaron las fuentes de noticias neutrales y coherentes con sus actitudes como más creíbles que las fuentes de noticias que las desafiaban, y aunque las personas experimentan una disonancia un poco más cognitiva cuando se exponen a fuentes de noticias que desafían sus actitudes, los niveles generales de disonancia fueron bastante bajos.</w:t>
      </w:r>
    </w:p>
    <w:p w14:paraId="203256FA" w14:textId="77777777" w:rsidR="003420D8" w:rsidRPr="00694F0F" w:rsidRDefault="003420D8" w:rsidP="008C5B28">
      <w:pPr>
        <w:spacing w:line="360" w:lineRule="auto"/>
        <w:jc w:val="both"/>
        <w:rPr>
          <w:rFonts w:ascii="Arial" w:hAnsi="Arial" w:cs="Arial"/>
          <w:sz w:val="24"/>
          <w:szCs w:val="24"/>
        </w:rPr>
      </w:pPr>
      <w:r w:rsidRPr="00694F0F">
        <w:rPr>
          <w:rFonts w:ascii="Arial" w:hAnsi="Arial" w:cs="Arial"/>
          <w:sz w:val="24"/>
          <w:szCs w:val="24"/>
        </w:rPr>
        <w:t xml:space="preserve">Por otro lado, distintas investigaciones han puesto de manifiesto que al pedir a las personas que expongan públicamente opiniones contrarias a las suyas y al ejecutar esta acción se puede producir un cambio en las actitudes, sobre todo, cuando las personas saben más del tema y son más capaces de elaborar argumentos e improvisar un discurso, ya que se ven más persuadidos por sus propios mensajes y además sus efectos resultan más persistentes en comparación a cuando no se dispone de tales requisitos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{"citationItems":[{"id":"ITEM-1","itemData":{"ISSN":"02149915","abstract":"Persuasion depends on how people respond (cognitive responses) to the information they receive. Two aspects of these cognitive responses have been emphasized so far on the study of persuasion: the direction of thinking (whether thinking is favorable or unfavorable) and the extent of thinking (whether thinking is extensive or minimal). Recent research has demonstrated that it is necessary to take into account a third dimension of thinking based on people's confidence in their own thoughts. The present research explores a new variable that influences persuasion by affecting thought-confidence: self-affirmation. We predicted and found that when participants were affirmed (by expressing personal values) after message processing, self-affirmation affected attitude change by influencing the confidence with which cognitive responses to the message were held. As a consequence, self-affirmation magnified the impact of thoughts on attitudes enhancing persuasion when thoughts were favorable and undermined it when thoughts were unfavorable. Copyright © 2004 Psicothema.","author":[{"dropping-particle":"","family":"Briñol","given":"Pablo","non-dropping-particle":"","parse-names":false,"suffix":""},{"dropping-particle":"","family":"Becerra","given":"Alberto","non-dropping-particle":"","parse-names":false,"suffix":""},{"dropping-particle":"","family":"Gallardo","given":"Ismael","non-dropping-particle":"","parse-names":false,"suffix":""},{"dropping-particle":"","family":"Horcajo","given":"Javier","non-dropping-particle":"","parse-names":false,"suffix":""},{"dropping-particle":"","family":"Valle","given":"Carmen","non-dropping-particle":"","parse-names":false,"suffix":""}],"container-title":"Psicothema","id":"ITEM-1","issue":"4","issued":{"date-parts":[["2004"]]},"page":"606-610","title":"Validación del pensamiento y persuasión","type":"article-journal","volume":"16"},"uris":["http://www.mendeley.com/documents/?uuid=34ea0b20-0801-4e9f-b3dc-b4ca49d20d5e"]}],"mendeley":{"formattedCitation":"(Briñol, Becerra, Gallardo, Horcajo, &amp; Valle, 2004)","plainTextFormattedCitation":"(Briñol, Becerra, Gallardo, Horcajo, &amp; Valle, 2004)","previouslyFormattedCitation":"(Briñol, Becerra, Gallardo, Horcajo, &amp; Valle, 2004)"},"properties":{"noteIndex":0},"schema":"https://github.com/citation-style-language/schema/raw/master/csl-citation.json"}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(Briñol, Becerra, Gallardo, Horcajo, &amp; Valle, 2004)</w:t>
      </w:r>
      <w:r w:rsidRPr="00694F0F">
        <w:rPr>
          <w:rFonts w:ascii="Arial" w:hAnsi="Arial" w:cs="Arial"/>
          <w:sz w:val="24"/>
          <w:szCs w:val="24"/>
        </w:rPr>
        <w:fldChar w:fldCharType="end"/>
      </w:r>
      <w:r w:rsidRPr="00694F0F">
        <w:rPr>
          <w:rFonts w:ascii="Arial" w:hAnsi="Arial" w:cs="Arial"/>
          <w:sz w:val="24"/>
          <w:szCs w:val="24"/>
        </w:rPr>
        <w:t xml:space="preserve">. Cuanto más se procesa la información persuasiva, mayor es la probabilidad de crear actitudes fuertes, es decir, actitudes accesibles, estables, duraderas, resistentes al cambio y con capacidad para predecir la conducta de forma fiable </w:t>
      </w:r>
      <w:r w:rsidRPr="00694F0F">
        <w:rPr>
          <w:rFonts w:ascii="Arial" w:hAnsi="Arial" w:cs="Arial"/>
          <w:sz w:val="24"/>
          <w:szCs w:val="24"/>
        </w:rPr>
        <w:fldChar w:fldCharType="begin" w:fldLock="1"/>
      </w:r>
      <w:r w:rsidRPr="00694F0F">
        <w:rPr>
          <w:rFonts w:ascii="Arial" w:hAnsi="Arial" w:cs="Arial"/>
          <w:sz w:val="24"/>
          <w:szCs w:val="24"/>
        </w:rPr>
        <w:instrText>ADDIN CSL_CITATION {"citationItems":[{"id":"ITEM-1","itemData":{"DOI":"10.1016/j.evolhumbehav.2007.11.003","ISBN":"1090-5138","ISSN":"10905138","abstract":"Across human societies, people form long-term romantic bonds that can last a lifetime. Many theorists have proposed that the emotion love plays a causal role in maintaining these bonds, but no work to date has tested this hypothesis directly. In this study, we predicted that feeling love for a romantic partner would facilitate suppressing thoughts of attractive alternative mates. We used a relived emotion task to induce love or sexual desire for a romantic partner and asked participants to suppress thoughts of an attractive alternative. After suppression, participants in the love condition reported fewer thoughts of the attractive alternative and accurately recalled fewer attractiveness-related details about the alternative than those in the desire condition. Reports of love, but not sexual desire, predicted greater commitment to the current partner during the study. These results suggest that love serves a function distinct from desire and that love can operate as a commitment device. © 2008 Elsevier Inc. All rights reserved.","author":[{"dropping-particle":"","family":"Gonzaga","given":"Gian C.","non-dropping-particle":"","parse-names":false,"suffix":""},{"dropping-particle":"","family":"Haselton","given":"Martie G.","non-dropping-particle":"","parse-names":false,"suffix":""},{"dropping-particle":"","family":"Smurda","given":"Julie","non-dropping-particle":"","parse-names":false,"suffix":""},{"dropping-particle":"","family":"Davies","given":"Mari sian","non-dropping-particle":"","parse-names":false,"suffix":""},{"dropping-particle":"","family":"Poore","given":"Joshua C.","non-dropping-particle":"","parse-names":false,"suffix":""}],"container-title":"Evolution and Human Behavior","id":"ITEM-1","issued":{"date-parts":[["2008"]]},"page":"119-126","title":"Love, desire, and the suppression of thoughts of romantic alternatives","type":"article-journal","volume":"29"},"uris":["http://www.mendeley.com/documents/?uuid=bebec1d2-f713-4b41-b815-f89db62d526e"]}],"mendeley":{"formattedCitation":"(Gonzaga, Haselton, Smurda, Davies, &amp; Poore, 2008)","plainTextFormattedCitation":"(Gonzaga, Haselton, Smurda, Davies, &amp; Poore, 2008)","previouslyFormattedCitation":"(Gonzaga, Haselton, Smurda, Davies, &amp; Poore, 2008)"},"properties":{"noteIndex":0},"schema":"https://github.com/citation-style-language/schema/raw/master/csl-citation.json"}</w:instrText>
      </w:r>
      <w:r w:rsidRPr="00694F0F">
        <w:rPr>
          <w:rFonts w:ascii="Arial" w:hAnsi="Arial" w:cs="Arial"/>
          <w:sz w:val="24"/>
          <w:szCs w:val="24"/>
        </w:rPr>
        <w:fldChar w:fldCharType="separate"/>
      </w:r>
      <w:r w:rsidRPr="00694F0F">
        <w:rPr>
          <w:rFonts w:ascii="Arial" w:hAnsi="Arial" w:cs="Arial"/>
          <w:noProof/>
          <w:sz w:val="24"/>
          <w:szCs w:val="24"/>
        </w:rPr>
        <w:t>(Gonzaga, Haselton, Smurda, Davies, &amp; Poore, 2008)</w:t>
      </w:r>
      <w:r w:rsidRPr="00694F0F">
        <w:rPr>
          <w:rFonts w:ascii="Arial" w:hAnsi="Arial" w:cs="Arial"/>
          <w:sz w:val="24"/>
          <w:szCs w:val="24"/>
        </w:rPr>
        <w:fldChar w:fldCharType="end"/>
      </w:r>
      <w:r w:rsidRPr="00694F0F">
        <w:rPr>
          <w:rFonts w:ascii="Arial" w:hAnsi="Arial" w:cs="Arial"/>
          <w:sz w:val="24"/>
          <w:szCs w:val="24"/>
        </w:rPr>
        <w:t xml:space="preserve">. </w:t>
      </w:r>
    </w:p>
    <w:p w14:paraId="23EFF735" w14:textId="04971951" w:rsidR="0070282E" w:rsidRPr="00694F0F" w:rsidRDefault="003420D8" w:rsidP="008C5B28">
      <w:pPr>
        <w:spacing w:line="360" w:lineRule="auto"/>
        <w:jc w:val="both"/>
        <w:rPr>
          <w:rFonts w:ascii="Arial" w:hAnsi="Arial" w:cs="Arial"/>
          <w:sz w:val="24"/>
          <w:szCs w:val="24"/>
        </w:rPr>
      </w:pPr>
      <w:r w:rsidRPr="00694F0F">
        <w:rPr>
          <w:rFonts w:ascii="Arial" w:hAnsi="Arial" w:cs="Arial"/>
          <w:sz w:val="24"/>
          <w:szCs w:val="24"/>
        </w:rPr>
        <w:t>Si bien, pr</w:t>
      </w:r>
      <w:r w:rsidR="00B80B80" w:rsidRPr="00694F0F">
        <w:rPr>
          <w:rFonts w:ascii="Arial" w:hAnsi="Arial" w:cs="Arial"/>
          <w:sz w:val="24"/>
          <w:szCs w:val="24"/>
        </w:rPr>
        <w:t xml:space="preserve">opuestas recientes, incluyen el concepto de </w:t>
      </w:r>
      <w:r w:rsidR="0070282E" w:rsidRPr="00694F0F">
        <w:rPr>
          <w:rFonts w:ascii="Arial" w:hAnsi="Arial" w:cs="Arial"/>
          <w:i/>
          <w:iCs/>
          <w:sz w:val="24"/>
          <w:szCs w:val="24"/>
        </w:rPr>
        <w:t>relación a la medida</w:t>
      </w:r>
      <w:r w:rsidR="0070282E" w:rsidRPr="00694F0F">
        <w:rPr>
          <w:rFonts w:ascii="Arial" w:hAnsi="Arial" w:cs="Arial"/>
          <w:sz w:val="24"/>
          <w:szCs w:val="24"/>
        </w:rPr>
        <w:t xml:space="preserve"> </w:t>
      </w:r>
      <w:r w:rsidR="00681CB8" w:rsidRPr="00694F0F">
        <w:rPr>
          <w:rFonts w:ascii="Arial" w:hAnsi="Arial" w:cs="Arial"/>
          <w:sz w:val="24"/>
          <w:szCs w:val="24"/>
        </w:rPr>
        <w:t xml:space="preserve">es decir, </w:t>
      </w:r>
      <w:r w:rsidR="0070282E" w:rsidRPr="00694F0F">
        <w:rPr>
          <w:rFonts w:ascii="Arial" w:hAnsi="Arial" w:cs="Arial"/>
          <w:sz w:val="24"/>
          <w:szCs w:val="24"/>
        </w:rPr>
        <w:t xml:space="preserve">cualquier relación en la cual las partes se sientan a discutir abiertamente </w:t>
      </w:r>
      <w:r w:rsidR="0070282E" w:rsidRPr="00694F0F">
        <w:rPr>
          <w:rFonts w:ascii="Arial" w:hAnsi="Arial" w:cs="Arial"/>
          <w:sz w:val="24"/>
          <w:szCs w:val="24"/>
        </w:rPr>
        <w:lastRenderedPageBreak/>
        <w:t>lo que cada uno de ellos quiere respecto a la relación y de qué manera debería evolucionar la relación con el tiempo</w:t>
      </w:r>
      <w:r w:rsidR="00B05D4B" w:rsidRPr="00694F0F">
        <w:rPr>
          <w:rFonts w:ascii="Arial" w:hAnsi="Arial" w:cs="Arial"/>
          <w:sz w:val="24"/>
          <w:szCs w:val="24"/>
        </w:rPr>
        <w:t xml:space="preserve"> siendo d</w:t>
      </w:r>
      <w:r w:rsidR="0070282E" w:rsidRPr="00694F0F">
        <w:rPr>
          <w:rFonts w:ascii="Arial" w:hAnsi="Arial" w:cs="Arial"/>
          <w:sz w:val="24"/>
          <w:szCs w:val="24"/>
        </w:rPr>
        <w:t xml:space="preserve">os aspectos fundamentales de </w:t>
      </w:r>
      <w:r w:rsidR="00B05D4B" w:rsidRPr="00694F0F">
        <w:rPr>
          <w:rFonts w:ascii="Arial" w:hAnsi="Arial" w:cs="Arial"/>
          <w:sz w:val="24"/>
          <w:szCs w:val="24"/>
        </w:rPr>
        <w:t>éstas</w:t>
      </w:r>
      <w:r w:rsidR="000F1449" w:rsidRPr="00694F0F">
        <w:rPr>
          <w:rFonts w:ascii="Arial" w:hAnsi="Arial" w:cs="Arial"/>
          <w:sz w:val="24"/>
          <w:szCs w:val="24"/>
        </w:rPr>
        <w:t xml:space="preserve"> son</w:t>
      </w:r>
      <w:r w:rsidR="00B05D4B" w:rsidRPr="00694F0F">
        <w:rPr>
          <w:rFonts w:ascii="Arial" w:hAnsi="Arial" w:cs="Arial"/>
          <w:sz w:val="24"/>
          <w:szCs w:val="24"/>
        </w:rPr>
        <w:t xml:space="preserve">: </w:t>
      </w:r>
      <w:r w:rsidR="0070282E" w:rsidRPr="00694F0F">
        <w:rPr>
          <w:rFonts w:ascii="Arial" w:hAnsi="Arial" w:cs="Arial"/>
          <w:sz w:val="24"/>
          <w:szCs w:val="24"/>
        </w:rPr>
        <w:t xml:space="preserve">la consciencia y el consentimiento  </w:t>
      </w:r>
      <w:r w:rsidR="0070282E" w:rsidRPr="00694F0F">
        <w:rPr>
          <w:rFonts w:ascii="Arial" w:hAnsi="Arial" w:cs="Arial"/>
          <w:sz w:val="24"/>
          <w:szCs w:val="24"/>
        </w:rPr>
        <w:fldChar w:fldCharType="begin" w:fldLock="1"/>
      </w:r>
      <w:r w:rsidR="0070282E" w:rsidRPr="00694F0F">
        <w:rPr>
          <w:rFonts w:ascii="Arial" w:hAnsi="Arial" w:cs="Arial"/>
          <w:sz w:val="24"/>
          <w:szCs w:val="24"/>
        </w:rPr>
        <w:instrText>ADDIN CSL_CITATION {"citationItems":[{"id":"ITEM-1","itemData":{"DOI":"10.1080/14681994.2016.1192596","ISSN":"1468-1994","abstract":"Designer Relationships: A Guide to Happy Monogamy, Positive Polyamory, and Optimistic Open Relationships introduces the idea of actively co-creating a relationship that works for you in an intentio...","author":[{"dropping-particle":"","family":"McDaniel","given":"Rena","non-dropping-particle":"","parse-names":false,"suffix":""},{"dropping-particle":"","family":"Twist","given":"Markie L. C.","non-dropping-particle":"","parse-names":false,"suffix":""}],"container-title":"Sexual and Relationship Therapy","id":"ITEM-1","issue":"3","issued":{"date-parts":[["2018"]]},"page":"364-366","title":"Designer relationships: a guide to happy monogamy, positive polyamory, and optimistic open relationships, edited by Mark A. Michaels and Patricia Johnson","type":"article-journal","volume":"33"},"uris":["http://www.mendeley.com/documents/?uuid=1c79d78b-d373-4818-a7d8-171c6345f0a6"]}],"mendeley":{"formattedCitation":"(McDaniel &amp; Twist, 2018)","plainTextFormattedCitation":"(McDaniel &amp; Twist, 2018)","previouslyFormattedCitation":"(McDaniel &amp; Twist, 2018)"},"properties":{"noteIndex":0},"schema":"https://github.com/citation-style-language/schema/raw/master/csl-citation.json"}</w:instrText>
      </w:r>
      <w:r w:rsidR="0070282E" w:rsidRPr="00694F0F">
        <w:rPr>
          <w:rFonts w:ascii="Arial" w:hAnsi="Arial" w:cs="Arial"/>
          <w:sz w:val="24"/>
          <w:szCs w:val="24"/>
        </w:rPr>
        <w:fldChar w:fldCharType="separate"/>
      </w:r>
      <w:r w:rsidR="0070282E" w:rsidRPr="00694F0F">
        <w:rPr>
          <w:rFonts w:ascii="Arial" w:hAnsi="Arial" w:cs="Arial"/>
          <w:noProof/>
          <w:sz w:val="24"/>
          <w:szCs w:val="24"/>
        </w:rPr>
        <w:t>(McDaniel &amp; Twist, 2018)</w:t>
      </w:r>
      <w:r w:rsidR="0070282E" w:rsidRPr="00694F0F">
        <w:rPr>
          <w:rFonts w:ascii="Arial" w:hAnsi="Arial" w:cs="Arial"/>
          <w:sz w:val="24"/>
          <w:szCs w:val="24"/>
        </w:rPr>
        <w:fldChar w:fldCharType="end"/>
      </w:r>
      <w:r w:rsidR="0070282E" w:rsidRPr="00694F0F">
        <w:rPr>
          <w:rFonts w:ascii="Arial" w:hAnsi="Arial" w:cs="Arial"/>
          <w:sz w:val="24"/>
          <w:szCs w:val="24"/>
        </w:rPr>
        <w:t xml:space="preserve">. </w:t>
      </w:r>
    </w:p>
    <w:p w14:paraId="396F709F" w14:textId="41256B0D" w:rsidR="006F0840" w:rsidRPr="00694F0F" w:rsidRDefault="00202750" w:rsidP="008C5B28">
      <w:pPr>
        <w:spacing w:line="360" w:lineRule="auto"/>
        <w:jc w:val="both"/>
        <w:rPr>
          <w:rFonts w:ascii="Arial" w:hAnsi="Arial" w:cs="Arial"/>
          <w:sz w:val="24"/>
          <w:szCs w:val="24"/>
        </w:rPr>
      </w:pPr>
      <w:r w:rsidRPr="00694F0F">
        <w:rPr>
          <w:rFonts w:ascii="Arial" w:hAnsi="Arial" w:cs="Arial"/>
          <w:sz w:val="24"/>
          <w:szCs w:val="24"/>
        </w:rPr>
        <w:t xml:space="preserve">En 2016, </w:t>
      </w:r>
      <w:r w:rsidR="00810394" w:rsidRPr="00694F0F">
        <w:rPr>
          <w:rFonts w:ascii="Arial" w:hAnsi="Arial" w:cs="Arial"/>
          <w:sz w:val="24"/>
          <w:szCs w:val="24"/>
        </w:rPr>
        <w:fldChar w:fldCharType="begin" w:fldLock="1"/>
      </w:r>
      <w:r w:rsidR="00ED1672" w:rsidRPr="00694F0F">
        <w:rPr>
          <w:rFonts w:ascii="Arial" w:hAnsi="Arial" w:cs="Arial"/>
          <w:sz w:val="24"/>
          <w:szCs w:val="24"/>
        </w:rPr>
        <w:instrText>ADDIN CSL_CITATION {"citationItems":[{"id":"ITEM-1","itemData":{"DOI":"10.1007/s12119-015-9324-z","ISSN":"10955143","abstract":"An “open” relationship is a configuration in which there is a sexual agreement characterized by implicit or explicit rules for extra-dyadic sexual activities. The general population of those who identify as non-monogamous is largely understudied, as most research in this area focuses on homosexual males. There is also a stigma surrounding those who do not choose to engage in monogamous relationships. Research on open relationships is sparse, and there is a need to examine perceptions of those engaged in this configuration. Even more important is the need to understand the perceptions of those within this community, as gathering information from outsiders is largely biased. This exploratory study examined the perceptions of 122 individuals who have been in or were currently in an open relationship, with a majority indicating that the decision to enter this type of configuration was mutual (73 %). Results demonstrated permissive attitudes when it comes to behaviors that involve engaging with others, as most interactions are not considered cheating. There is also a focus on rules, which need to be followed. With a better understanding of why those in open relationships choose to conduct their love lives in such a manner, and their impressions of how to make their romantic arrangement successful, not only do we get a clearer picture of these relationships, but we promote tolerance for all those looking to experience love.","author":[{"dropping-particle":"","family":"Cohen","given":"Marisa T.","non-dropping-particle":"","parse-names":false,"suffix":""}],"container-title":"Sexuality and Culture","id":"ITEM-1","issue":"2","issued":{"date-parts":[["2016","11","21"]]},"page":"295-315","publisher":"Springer","title":"An Exploratory Study of Individuals in Non-traditional, Alternative Relationships: How “Open” Are We?","type":"article-journal","volume":"20"},"uris":["http://www.mendeley.com/documents/?uuid=ca97af9e-f4e1-3454-9804-5b378367c62a"]}],"mendeley":{"formattedCitation":"(Cohen, 2016)","manualFormatting":"Cohen y cols.","plainTextFormattedCitation":"(Cohen, 2016)","previouslyFormattedCitation":"(Cohen, 2016)"},"properties":{"noteIndex":0},"schema":"https://github.com/citation-style-language/schema/raw/master/csl-citation.json"}</w:instrText>
      </w:r>
      <w:r w:rsidR="00810394" w:rsidRPr="00694F0F">
        <w:rPr>
          <w:rFonts w:ascii="Arial" w:hAnsi="Arial" w:cs="Arial"/>
          <w:sz w:val="24"/>
          <w:szCs w:val="24"/>
        </w:rPr>
        <w:fldChar w:fldCharType="separate"/>
      </w:r>
      <w:r w:rsidR="00810394" w:rsidRPr="00694F0F">
        <w:rPr>
          <w:rFonts w:ascii="Arial" w:hAnsi="Arial" w:cs="Arial"/>
          <w:noProof/>
          <w:sz w:val="24"/>
          <w:szCs w:val="24"/>
        </w:rPr>
        <w:t>Cohen y cols.</w:t>
      </w:r>
      <w:r w:rsidR="00810394" w:rsidRPr="00694F0F">
        <w:rPr>
          <w:rFonts w:ascii="Arial" w:hAnsi="Arial" w:cs="Arial"/>
          <w:sz w:val="24"/>
          <w:szCs w:val="24"/>
        </w:rPr>
        <w:fldChar w:fldCharType="end"/>
      </w:r>
      <w:r w:rsidR="00810394" w:rsidRPr="00694F0F">
        <w:rPr>
          <w:rFonts w:ascii="Arial" w:hAnsi="Arial" w:cs="Arial"/>
          <w:sz w:val="24"/>
          <w:szCs w:val="24"/>
        </w:rPr>
        <w:t xml:space="preserve"> Realizaron un estudio en el que examinaron las actitudes y creencias de 122 personas que estaban en relaciones consensualmente NO Monógamas, con respecto al éxito y la satisfacción asociados con </w:t>
      </w:r>
      <w:r w:rsidR="008F43DF" w:rsidRPr="00694F0F">
        <w:rPr>
          <w:rFonts w:ascii="Arial" w:hAnsi="Arial" w:cs="Arial"/>
          <w:sz w:val="24"/>
          <w:szCs w:val="24"/>
        </w:rPr>
        <w:t>é</w:t>
      </w:r>
      <w:r w:rsidR="00810394" w:rsidRPr="00694F0F">
        <w:rPr>
          <w:rFonts w:ascii="Arial" w:hAnsi="Arial" w:cs="Arial"/>
          <w:sz w:val="24"/>
          <w:szCs w:val="24"/>
        </w:rPr>
        <w:t>sta</w:t>
      </w:r>
      <w:r w:rsidR="008F43DF" w:rsidRPr="00694F0F">
        <w:rPr>
          <w:rFonts w:ascii="Arial" w:hAnsi="Arial" w:cs="Arial"/>
          <w:sz w:val="24"/>
          <w:szCs w:val="24"/>
        </w:rPr>
        <w:t xml:space="preserve">. </w:t>
      </w:r>
      <w:r w:rsidRPr="00694F0F">
        <w:rPr>
          <w:rFonts w:ascii="Arial" w:hAnsi="Arial" w:cs="Arial"/>
          <w:sz w:val="24"/>
          <w:szCs w:val="24"/>
        </w:rPr>
        <w:t xml:space="preserve"> </w:t>
      </w:r>
      <w:r w:rsidR="008F43DF" w:rsidRPr="00694F0F">
        <w:rPr>
          <w:rFonts w:ascii="Arial" w:hAnsi="Arial" w:cs="Arial"/>
          <w:sz w:val="24"/>
          <w:szCs w:val="24"/>
        </w:rPr>
        <w:t xml:space="preserve">Posteriormente Marisa T. Cohen y Karen Wilson </w:t>
      </w:r>
      <w:r w:rsidRPr="00694F0F">
        <w:rPr>
          <w:rFonts w:ascii="Arial" w:hAnsi="Arial" w:cs="Arial"/>
          <w:sz w:val="24"/>
          <w:szCs w:val="24"/>
        </w:rPr>
        <w:t>componen</w:t>
      </w:r>
      <w:r w:rsidR="008F43DF" w:rsidRPr="00694F0F">
        <w:rPr>
          <w:rFonts w:ascii="Arial" w:hAnsi="Arial" w:cs="Arial"/>
          <w:sz w:val="24"/>
          <w:szCs w:val="24"/>
        </w:rPr>
        <w:t xml:space="preserve"> la escala de actitudes ante la Monogamia No Consensuada (</w:t>
      </w:r>
      <w:r w:rsidRPr="00694F0F">
        <w:rPr>
          <w:rFonts w:ascii="Arial" w:hAnsi="Arial" w:cs="Arial"/>
          <w:sz w:val="24"/>
          <w:szCs w:val="24"/>
        </w:rPr>
        <w:t>CNAS</w:t>
      </w:r>
      <w:r w:rsidR="008F43DF" w:rsidRPr="00694F0F">
        <w:rPr>
          <w:rFonts w:ascii="Arial" w:hAnsi="Arial" w:cs="Arial"/>
          <w:sz w:val="24"/>
          <w:szCs w:val="24"/>
        </w:rPr>
        <w:t xml:space="preserve">) compuesta por diez ítems en una escala Likert de 7 puntos (1 = totalmente en desacuerdo; 7 = totalmente de acuerdo). </w:t>
      </w:r>
    </w:p>
    <w:p w14:paraId="223D4C14" w14:textId="41456942" w:rsidR="006F0840" w:rsidRPr="00694F0F" w:rsidRDefault="006F0840" w:rsidP="008C5B28">
      <w:pPr>
        <w:spacing w:line="360" w:lineRule="auto"/>
        <w:jc w:val="both"/>
        <w:rPr>
          <w:rFonts w:ascii="Arial" w:hAnsi="Arial" w:cs="Arial"/>
          <w:sz w:val="24"/>
          <w:szCs w:val="24"/>
        </w:rPr>
      </w:pPr>
      <w:r w:rsidRPr="00694F0F">
        <w:rPr>
          <w:rFonts w:ascii="Arial" w:hAnsi="Arial" w:cs="Arial"/>
          <w:sz w:val="24"/>
          <w:szCs w:val="24"/>
        </w:rPr>
        <w:t xml:space="preserve">Así mismo, Cohen y Wilson exploraron la relación existente entre </w:t>
      </w:r>
      <w:r w:rsidR="0077006F" w:rsidRPr="00694F0F">
        <w:rPr>
          <w:rFonts w:ascii="Arial" w:hAnsi="Arial" w:cs="Arial"/>
          <w:sz w:val="24"/>
          <w:szCs w:val="24"/>
        </w:rPr>
        <w:t>estas</w:t>
      </w:r>
      <w:r w:rsidRPr="00694F0F">
        <w:rPr>
          <w:rFonts w:ascii="Arial" w:hAnsi="Arial" w:cs="Arial"/>
          <w:sz w:val="24"/>
          <w:szCs w:val="24"/>
        </w:rPr>
        <w:t xml:space="preserve"> actitudes y la variable de orientación sociosexual, entendida como una medida dimensional de actitudes y comportamientos con respecto a la actividad sexual, que van desde restringida a no restringida. En el extremo restringido de la dimensión, las personas se centran en la cercanía y el compromiso en las relaciones, y en el sin restricciones, las personas se sienten cómodas participando en actividades sexuales sin cercanía o compromiso</w:t>
      </w:r>
      <w:r w:rsidR="00ED1672" w:rsidRPr="00694F0F">
        <w:rPr>
          <w:rFonts w:ascii="Arial" w:hAnsi="Arial" w:cs="Arial"/>
          <w:sz w:val="24"/>
          <w:szCs w:val="24"/>
        </w:rPr>
        <w:t xml:space="preserve"> </w:t>
      </w:r>
      <w:r w:rsidR="00ED1672" w:rsidRPr="00694F0F">
        <w:rPr>
          <w:rFonts w:ascii="Arial" w:hAnsi="Arial" w:cs="Arial"/>
          <w:sz w:val="24"/>
          <w:szCs w:val="24"/>
        </w:rPr>
        <w:fldChar w:fldCharType="begin" w:fldLock="1"/>
      </w:r>
      <w:r w:rsidR="00ED1672" w:rsidRPr="00694F0F">
        <w:rPr>
          <w:rFonts w:ascii="Arial" w:hAnsi="Arial" w:cs="Arial"/>
          <w:sz w:val="24"/>
          <w:szCs w:val="24"/>
        </w:rPr>
        <w:instrText>ADDIN CSL_CITATION {"citationItems":[{"id":"ITEM-1","itemData":{"author":[{"dropping-particle":"","family":"Simpson","given":"A","non-dropping-particle":"","parse-names":false,"suffix":""},{"dropping-particle":"","family":"Gangestad","given":"S","non-dropping-particle":"","parse-names":false,"suffix":""}],"container-title":"Journal of Personality","id":"ITEM-1","issue":"1","issued":{"date-parts":[["1992"]]},"page":"31-51","title":"Sodosexuallty and Romantic Partner Choice","type":"article-journal","volume":"60"},"uris":["http://www.mendeley.com/documents/?uuid=721f983b-05df-4276-b1a9-7881f88c956c"]}],"mendeley":{"formattedCitation":"(Simpson &amp; Gangestad, 1992)","plainTextFormattedCitation":"(Simpson &amp; Gangestad, 1992)","previouslyFormattedCitation":"(Simpson &amp; Gongestad, 1992)"},"properties":{"noteIndex":0},"schema":"https://github.com/citation-style-language/schema/raw/master/csl-citation.json"}</w:instrText>
      </w:r>
      <w:r w:rsidR="00ED1672" w:rsidRPr="00694F0F">
        <w:rPr>
          <w:rFonts w:ascii="Arial" w:hAnsi="Arial" w:cs="Arial"/>
          <w:sz w:val="24"/>
          <w:szCs w:val="24"/>
        </w:rPr>
        <w:fldChar w:fldCharType="separate"/>
      </w:r>
      <w:r w:rsidR="00ED1672" w:rsidRPr="00694F0F">
        <w:rPr>
          <w:rFonts w:ascii="Arial" w:hAnsi="Arial" w:cs="Arial"/>
          <w:noProof/>
          <w:sz w:val="24"/>
          <w:szCs w:val="24"/>
        </w:rPr>
        <w:t>(Simpson &amp; Gangestad, 1992)</w:t>
      </w:r>
      <w:r w:rsidR="00ED1672" w:rsidRPr="00694F0F">
        <w:rPr>
          <w:rFonts w:ascii="Arial" w:hAnsi="Arial" w:cs="Arial"/>
          <w:sz w:val="24"/>
          <w:szCs w:val="24"/>
        </w:rPr>
        <w:fldChar w:fldCharType="end"/>
      </w:r>
      <w:r w:rsidRPr="00694F0F">
        <w:rPr>
          <w:rFonts w:ascii="Arial" w:hAnsi="Arial" w:cs="Arial"/>
          <w:sz w:val="24"/>
          <w:szCs w:val="24"/>
        </w:rPr>
        <w:t>. Los mismos investigadores, exploraron la relación</w:t>
      </w:r>
      <w:r w:rsidR="00ED1672" w:rsidRPr="00694F0F">
        <w:rPr>
          <w:rFonts w:ascii="Arial" w:hAnsi="Arial" w:cs="Arial"/>
          <w:sz w:val="24"/>
          <w:szCs w:val="24"/>
        </w:rPr>
        <w:t xml:space="preserve"> entre esta variable y las actitudes ante la No Monogamía Consensuada, ya que Simpson y Gangstead</w:t>
      </w:r>
      <w:r w:rsidR="007142DB" w:rsidRPr="00694F0F">
        <w:rPr>
          <w:rFonts w:ascii="Arial" w:hAnsi="Arial" w:cs="Arial"/>
          <w:sz w:val="24"/>
          <w:szCs w:val="24"/>
        </w:rPr>
        <w:t xml:space="preserve">, las </w:t>
      </w:r>
      <w:r w:rsidR="00ED1672" w:rsidRPr="00694F0F">
        <w:rPr>
          <w:rFonts w:ascii="Arial" w:hAnsi="Arial" w:cs="Arial"/>
          <w:sz w:val="24"/>
          <w:szCs w:val="24"/>
        </w:rPr>
        <w:t xml:space="preserve">pruebas empíricas de </w:t>
      </w:r>
      <w:r w:rsidR="007142DB" w:rsidRPr="00694F0F">
        <w:rPr>
          <w:rFonts w:ascii="Arial" w:hAnsi="Arial" w:cs="Arial"/>
          <w:sz w:val="24"/>
          <w:szCs w:val="24"/>
        </w:rPr>
        <w:t xml:space="preserve">un inventario creado por ellos para medir la orientación socio sexual, mostraron que los </w:t>
      </w:r>
      <w:r w:rsidR="00ED1672" w:rsidRPr="00694F0F">
        <w:rPr>
          <w:rFonts w:ascii="Arial" w:hAnsi="Arial" w:cs="Arial"/>
          <w:sz w:val="24"/>
          <w:szCs w:val="24"/>
        </w:rPr>
        <w:t xml:space="preserve">individuos no restringidos, suelen tener relaciones sexuales </w:t>
      </w:r>
      <w:r w:rsidR="007142DB" w:rsidRPr="00694F0F">
        <w:rPr>
          <w:rFonts w:ascii="Arial" w:hAnsi="Arial" w:cs="Arial"/>
          <w:sz w:val="24"/>
          <w:szCs w:val="24"/>
        </w:rPr>
        <w:t>con otros que no sean su pareja, mucho antes que los restringidos, y que “…</w:t>
      </w:r>
      <w:r w:rsidR="00ED1672" w:rsidRPr="00694F0F">
        <w:rPr>
          <w:rFonts w:ascii="Arial" w:hAnsi="Arial" w:cs="Arial"/>
          <w:sz w:val="24"/>
          <w:szCs w:val="24"/>
        </w:rPr>
        <w:t>son más propensos</w:t>
      </w:r>
      <w:r w:rsidR="007142DB" w:rsidRPr="00694F0F">
        <w:rPr>
          <w:rFonts w:ascii="Arial" w:hAnsi="Arial" w:cs="Arial"/>
          <w:sz w:val="24"/>
          <w:szCs w:val="24"/>
        </w:rPr>
        <w:t xml:space="preserve"> a </w:t>
      </w:r>
      <w:r w:rsidR="00ED1672" w:rsidRPr="00694F0F">
        <w:rPr>
          <w:rFonts w:ascii="Arial" w:hAnsi="Arial" w:cs="Arial"/>
          <w:sz w:val="24"/>
          <w:szCs w:val="24"/>
        </w:rPr>
        <w:t>tener relaciones sexuales con más de una pareja a la vez... y tienden a participar en</w:t>
      </w:r>
      <w:r w:rsidR="007142DB" w:rsidRPr="00694F0F">
        <w:rPr>
          <w:rFonts w:ascii="Arial" w:hAnsi="Arial" w:cs="Arial"/>
          <w:sz w:val="24"/>
          <w:szCs w:val="24"/>
        </w:rPr>
        <w:t xml:space="preserve"> </w:t>
      </w:r>
      <w:r w:rsidR="00ED1672" w:rsidRPr="00694F0F">
        <w:rPr>
          <w:rFonts w:ascii="Arial" w:hAnsi="Arial" w:cs="Arial"/>
          <w:sz w:val="24"/>
          <w:szCs w:val="24"/>
        </w:rPr>
        <w:t>relaciones sexuales caracterizadas por menos inversión expresada, menos compromiso,</w:t>
      </w:r>
      <w:r w:rsidR="007142DB" w:rsidRPr="00694F0F">
        <w:rPr>
          <w:rFonts w:ascii="Arial" w:hAnsi="Arial" w:cs="Arial"/>
          <w:sz w:val="24"/>
          <w:szCs w:val="24"/>
        </w:rPr>
        <w:t xml:space="preserve"> </w:t>
      </w:r>
      <w:r w:rsidR="00ED1672" w:rsidRPr="00694F0F">
        <w:rPr>
          <w:rFonts w:ascii="Arial" w:hAnsi="Arial" w:cs="Arial"/>
          <w:sz w:val="24"/>
          <w:szCs w:val="24"/>
        </w:rPr>
        <w:t>y lazos afectivos más débiles” (p. 879).</w:t>
      </w:r>
    </w:p>
    <w:p w14:paraId="1D09A420" w14:textId="691D595D" w:rsidR="002A726B" w:rsidRPr="00694F0F" w:rsidRDefault="00A9390E" w:rsidP="008C5B28">
      <w:pPr>
        <w:spacing w:line="360" w:lineRule="auto"/>
        <w:jc w:val="both"/>
        <w:rPr>
          <w:rFonts w:ascii="Arial" w:hAnsi="Arial" w:cs="Arial"/>
          <w:b/>
          <w:bCs/>
          <w:sz w:val="24"/>
          <w:szCs w:val="24"/>
        </w:rPr>
      </w:pPr>
      <w:r w:rsidRPr="00694F0F">
        <w:rPr>
          <w:rFonts w:ascii="Arial" w:hAnsi="Arial" w:cs="Arial"/>
          <w:sz w:val="24"/>
          <w:szCs w:val="24"/>
        </w:rPr>
        <w:t>Dado que actualmente</w:t>
      </w:r>
      <w:r w:rsidR="00874B70" w:rsidRPr="00694F0F">
        <w:rPr>
          <w:rFonts w:ascii="Arial" w:hAnsi="Arial" w:cs="Arial"/>
          <w:sz w:val="24"/>
          <w:szCs w:val="24"/>
        </w:rPr>
        <w:t xml:space="preserve"> es posible que</w:t>
      </w:r>
      <w:r w:rsidRPr="00694F0F">
        <w:rPr>
          <w:rFonts w:ascii="Arial" w:hAnsi="Arial" w:cs="Arial"/>
          <w:sz w:val="24"/>
          <w:szCs w:val="24"/>
        </w:rPr>
        <w:t xml:space="preserve"> las personas descono</w:t>
      </w:r>
      <w:r w:rsidR="00874B70" w:rsidRPr="00694F0F">
        <w:rPr>
          <w:rFonts w:ascii="Arial" w:hAnsi="Arial" w:cs="Arial"/>
          <w:sz w:val="24"/>
          <w:szCs w:val="24"/>
        </w:rPr>
        <w:t xml:space="preserve">zcan </w:t>
      </w:r>
      <w:r w:rsidRPr="00694F0F">
        <w:rPr>
          <w:rFonts w:ascii="Arial" w:hAnsi="Arial" w:cs="Arial"/>
          <w:sz w:val="24"/>
          <w:szCs w:val="24"/>
        </w:rPr>
        <w:t>los distintos modelos relacionales</w:t>
      </w:r>
      <w:r w:rsidR="00874B70" w:rsidRPr="00694F0F">
        <w:rPr>
          <w:rFonts w:ascii="Arial" w:hAnsi="Arial" w:cs="Arial"/>
          <w:sz w:val="24"/>
          <w:szCs w:val="24"/>
        </w:rPr>
        <w:t xml:space="preserve"> existentes</w:t>
      </w:r>
      <w:r w:rsidRPr="00694F0F">
        <w:rPr>
          <w:rFonts w:ascii="Arial" w:hAnsi="Arial" w:cs="Arial"/>
          <w:sz w:val="24"/>
          <w:szCs w:val="24"/>
        </w:rPr>
        <w:t xml:space="preserve">, alternativos al tradicional modelo monógamo, es posible que tengan actitudes negativas hacia </w:t>
      </w:r>
      <w:r w:rsidR="00874B70" w:rsidRPr="00694F0F">
        <w:rPr>
          <w:rFonts w:ascii="Arial" w:hAnsi="Arial" w:cs="Arial"/>
          <w:sz w:val="24"/>
          <w:szCs w:val="24"/>
        </w:rPr>
        <w:t>éstos</w:t>
      </w:r>
      <w:r w:rsidRPr="00694F0F">
        <w:rPr>
          <w:rFonts w:ascii="Arial" w:hAnsi="Arial" w:cs="Arial"/>
          <w:sz w:val="24"/>
          <w:szCs w:val="24"/>
        </w:rPr>
        <w:t>, por falta de información</w:t>
      </w:r>
      <w:r w:rsidR="00874B70" w:rsidRPr="00694F0F">
        <w:rPr>
          <w:rFonts w:ascii="Arial" w:hAnsi="Arial" w:cs="Arial"/>
          <w:sz w:val="24"/>
          <w:szCs w:val="24"/>
        </w:rPr>
        <w:t xml:space="preserve">. </w:t>
      </w:r>
      <w:r w:rsidR="000F1449" w:rsidRPr="00694F0F">
        <w:rPr>
          <w:rFonts w:ascii="Arial" w:hAnsi="Arial" w:cs="Arial"/>
          <w:sz w:val="24"/>
          <w:szCs w:val="24"/>
        </w:rPr>
        <w:t xml:space="preserve">Por lo tanto, </w:t>
      </w:r>
      <w:r w:rsidR="005E4690" w:rsidRPr="00694F0F">
        <w:rPr>
          <w:rFonts w:ascii="Arial" w:hAnsi="Arial" w:cs="Arial"/>
          <w:sz w:val="24"/>
          <w:szCs w:val="24"/>
        </w:rPr>
        <w:t>el</w:t>
      </w:r>
      <w:r w:rsidR="00421425" w:rsidRPr="00694F0F">
        <w:rPr>
          <w:rFonts w:ascii="Arial" w:hAnsi="Arial" w:cs="Arial"/>
          <w:sz w:val="24"/>
          <w:szCs w:val="24"/>
        </w:rPr>
        <w:t xml:space="preserve"> presente estudio</w:t>
      </w:r>
      <w:r w:rsidR="005E4690" w:rsidRPr="00694F0F">
        <w:rPr>
          <w:rFonts w:ascii="Arial" w:hAnsi="Arial" w:cs="Arial"/>
          <w:sz w:val="24"/>
          <w:szCs w:val="24"/>
        </w:rPr>
        <w:t xml:space="preserve"> tiene dos objetivos, la validación de la escala </w:t>
      </w:r>
      <w:r w:rsidR="005E4690" w:rsidRPr="00694F0F">
        <w:rPr>
          <w:rFonts w:ascii="Arial" w:hAnsi="Arial" w:cs="Arial"/>
          <w:i/>
          <w:iCs/>
          <w:sz w:val="24"/>
          <w:szCs w:val="24"/>
        </w:rPr>
        <w:t xml:space="preserve">Consensual Non-Monogamy Attitude Scale (CNAS) </w:t>
      </w:r>
      <w:r w:rsidR="005E4690" w:rsidRPr="00694F0F">
        <w:rPr>
          <w:rFonts w:ascii="Arial" w:hAnsi="Arial" w:cs="Arial"/>
          <w:sz w:val="24"/>
          <w:szCs w:val="24"/>
        </w:rPr>
        <w:fldChar w:fldCharType="begin" w:fldLock="1"/>
      </w:r>
      <w:r w:rsidR="005E4690" w:rsidRPr="00694F0F">
        <w:rPr>
          <w:rFonts w:ascii="Arial" w:hAnsi="Arial" w:cs="Arial"/>
          <w:sz w:val="24"/>
          <w:szCs w:val="24"/>
        </w:rPr>
        <w:instrText>ADDIN CSL_CITATION {"citationItems":[{"id":"ITEM-1","itemData":{"DOI":"10.1007/s12119-016-9395-5","ISSN":"19364822","abstract":"While consensual non-monogamy (CNM) is emerging as a research topic in the field of relationship science, scales intended to measure people’s attitudes toward such configurations are lacking. This study recruited 206 participants to establish the validity and reliability of the Consensual Non-Monogamy Attitude Scale, an instrument consisting of eight statements intended to determine how accepting people are of CNM relationships. Results demonstrated a single factor structure. Scale scores were positively related to sociosexual orientation and perceived satisfaction with non-monogamy and negatively associated with perceived satisfaction with monogamy. Results also revealed significant gender and sexual orientation differences.","author":[{"dropping-particle":"","family":"Cohen","given":"Marisa T","non-dropping-particle":"","parse-names":false,"suffix":""},{"dropping-particle":"","family":"Wilson","given":"Karen","non-dropping-particle":"","parse-names":false,"suffix":""}],"container-title":"Sexuality and Culture","id":"ITEM-1","issue":"1","issued":{"date-parts":[["2017"]]},"page":"1-14","title":"Development of the Consensual Non-Monogamy Attitude Scale (CNAS)","type":"article-journal","volume":"21"},"uris":["http://www.mendeley.com/documents/?uuid=35a10b82-df18-39c4-b723-b7bf2cbd2ea7"]}],"mendeley":{"formattedCitation":"(Cohen &amp; Wilson, 2017)","plainTextFormattedCitation":"(Cohen &amp; Wilson, 2017)","previouslyFormattedCitation":"(Cohen &amp; Wilson, 2017)"},"properties":{"noteIndex":0},"schema":"https://github.com/citation-style-language/schema/raw/master/csl-citation.json"}</w:instrText>
      </w:r>
      <w:r w:rsidR="005E4690" w:rsidRPr="00694F0F">
        <w:rPr>
          <w:rFonts w:ascii="Arial" w:hAnsi="Arial" w:cs="Arial"/>
          <w:sz w:val="24"/>
          <w:szCs w:val="24"/>
        </w:rPr>
        <w:fldChar w:fldCharType="separate"/>
      </w:r>
      <w:r w:rsidR="005E4690" w:rsidRPr="00694F0F">
        <w:rPr>
          <w:rFonts w:ascii="Arial" w:hAnsi="Arial" w:cs="Arial"/>
          <w:noProof/>
          <w:sz w:val="24"/>
          <w:szCs w:val="24"/>
        </w:rPr>
        <w:t>(Cohen &amp; Wilson, 2017)</w:t>
      </w:r>
      <w:r w:rsidR="005E4690" w:rsidRPr="00694F0F">
        <w:rPr>
          <w:rFonts w:ascii="Arial" w:hAnsi="Arial" w:cs="Arial"/>
          <w:sz w:val="24"/>
          <w:szCs w:val="24"/>
        </w:rPr>
        <w:fldChar w:fldCharType="end"/>
      </w:r>
      <w:r w:rsidR="005E4690" w:rsidRPr="00694F0F">
        <w:rPr>
          <w:rFonts w:ascii="Arial" w:hAnsi="Arial" w:cs="Arial"/>
          <w:sz w:val="24"/>
          <w:szCs w:val="24"/>
        </w:rPr>
        <w:t xml:space="preserve"> dada la necesidad de contar con una versión de su medida aplicable a la población mexicana y el segundo, explorar la relación existente entre el rasgo </w:t>
      </w:r>
      <w:r w:rsidR="005E4690" w:rsidRPr="00694F0F">
        <w:rPr>
          <w:rFonts w:ascii="Arial" w:hAnsi="Arial" w:cs="Arial"/>
          <w:sz w:val="24"/>
          <w:szCs w:val="24"/>
        </w:rPr>
        <w:lastRenderedPageBreak/>
        <w:t>de orientación sociosexual y las actitudes ante la No Monogamia Consensuada (NMC), esperando que la sociosexualidad debería correlacionar con actitudes más positivas ante la CNM.</w:t>
      </w:r>
      <w:r w:rsidR="005E4690" w:rsidRPr="00694F0F">
        <w:rPr>
          <w:rFonts w:ascii="Arial" w:hAnsi="Arial" w:cs="Arial"/>
          <w:sz w:val="24"/>
          <w:szCs w:val="24"/>
          <w:highlight w:val="yellow"/>
        </w:rPr>
        <w:t xml:space="preserve"> </w:t>
      </w:r>
    </w:p>
    <w:p w14:paraId="0DD5907F" w14:textId="22C80F15" w:rsidR="00263088" w:rsidRPr="00694F0F" w:rsidRDefault="001149D8" w:rsidP="00694F0F">
      <w:pPr>
        <w:spacing w:line="360" w:lineRule="auto"/>
        <w:jc w:val="center"/>
        <w:rPr>
          <w:rFonts w:ascii="Arial" w:hAnsi="Arial" w:cs="Arial"/>
          <w:sz w:val="24"/>
          <w:szCs w:val="24"/>
        </w:rPr>
      </w:pPr>
      <w:r w:rsidRPr="00694F0F">
        <w:rPr>
          <w:rFonts w:ascii="Arial" w:hAnsi="Arial" w:cs="Arial"/>
          <w:b/>
          <w:bCs/>
          <w:sz w:val="24"/>
          <w:szCs w:val="24"/>
        </w:rPr>
        <w:t>Método</w:t>
      </w:r>
    </w:p>
    <w:p w14:paraId="24A4DD60" w14:textId="295CA9FF" w:rsidR="001149D8" w:rsidRPr="00694F0F" w:rsidRDefault="001149D8" w:rsidP="00694F0F">
      <w:pPr>
        <w:spacing w:line="360" w:lineRule="auto"/>
        <w:rPr>
          <w:rFonts w:ascii="Arial" w:hAnsi="Arial" w:cs="Arial"/>
          <w:sz w:val="24"/>
          <w:szCs w:val="24"/>
        </w:rPr>
      </w:pPr>
      <w:r w:rsidRPr="00694F0F">
        <w:rPr>
          <w:rFonts w:ascii="Arial" w:hAnsi="Arial" w:cs="Arial"/>
          <w:i/>
          <w:iCs/>
          <w:sz w:val="24"/>
          <w:szCs w:val="24"/>
        </w:rPr>
        <w:t>Participantes</w:t>
      </w:r>
    </w:p>
    <w:p w14:paraId="2C66CEC7" w14:textId="5FDFE155" w:rsidR="00675E9E" w:rsidRPr="00694F0F" w:rsidRDefault="00E04D26" w:rsidP="008C5B28">
      <w:pPr>
        <w:spacing w:line="360" w:lineRule="auto"/>
        <w:jc w:val="both"/>
        <w:rPr>
          <w:rFonts w:ascii="Arial" w:hAnsi="Arial" w:cs="Arial"/>
          <w:sz w:val="24"/>
          <w:szCs w:val="24"/>
        </w:rPr>
      </w:pPr>
      <w:r w:rsidRPr="00694F0F">
        <w:rPr>
          <w:rFonts w:ascii="Arial" w:hAnsi="Arial" w:cs="Arial"/>
          <w:sz w:val="24"/>
          <w:szCs w:val="24"/>
        </w:rPr>
        <w:t xml:space="preserve">Se trabajó con una muestra propositiva, no probabilística (Kerlinger, 1988), complementada por la técnica de muestreo llamada bola de nieve, que constó de </w:t>
      </w:r>
      <w:r w:rsidR="00F72D17" w:rsidRPr="00694F0F">
        <w:rPr>
          <w:rFonts w:ascii="Arial" w:hAnsi="Arial" w:cs="Arial"/>
          <w:sz w:val="24"/>
          <w:szCs w:val="24"/>
        </w:rPr>
        <w:t>218</w:t>
      </w:r>
      <w:r w:rsidRPr="00694F0F">
        <w:rPr>
          <w:rFonts w:ascii="Arial" w:hAnsi="Arial" w:cs="Arial"/>
          <w:sz w:val="24"/>
          <w:szCs w:val="24"/>
        </w:rPr>
        <w:t xml:space="preserve"> participantes (</w:t>
      </w:r>
      <w:r w:rsidR="00F72D17" w:rsidRPr="00694F0F">
        <w:rPr>
          <w:rFonts w:ascii="Arial" w:hAnsi="Arial" w:cs="Arial"/>
          <w:sz w:val="24"/>
          <w:szCs w:val="24"/>
        </w:rPr>
        <w:t xml:space="preserve">59% </w:t>
      </w:r>
      <w:r w:rsidRPr="00694F0F">
        <w:rPr>
          <w:rFonts w:ascii="Arial" w:hAnsi="Arial" w:cs="Arial"/>
          <w:sz w:val="24"/>
          <w:szCs w:val="24"/>
        </w:rPr>
        <w:t xml:space="preserve">mujeres y </w:t>
      </w:r>
      <w:r w:rsidR="00F72D17" w:rsidRPr="00694F0F">
        <w:rPr>
          <w:rFonts w:ascii="Arial" w:hAnsi="Arial" w:cs="Arial"/>
          <w:sz w:val="24"/>
          <w:szCs w:val="24"/>
        </w:rPr>
        <w:t>40%</w:t>
      </w:r>
      <w:r w:rsidRPr="00694F0F">
        <w:rPr>
          <w:rFonts w:ascii="Arial" w:hAnsi="Arial" w:cs="Arial"/>
          <w:sz w:val="24"/>
          <w:szCs w:val="24"/>
        </w:rPr>
        <w:t xml:space="preserve"> hombres),</w:t>
      </w:r>
      <w:r w:rsidR="00DD6498" w:rsidRPr="00694F0F">
        <w:rPr>
          <w:rFonts w:ascii="Arial" w:hAnsi="Arial" w:cs="Arial"/>
          <w:sz w:val="24"/>
          <w:szCs w:val="24"/>
        </w:rPr>
        <w:t xml:space="preserve"> y quienes dieron su consentimiento informado de manera voluntaria,</w:t>
      </w:r>
      <w:r w:rsidRPr="00694F0F">
        <w:rPr>
          <w:rFonts w:ascii="Arial" w:hAnsi="Arial" w:cs="Arial"/>
          <w:sz w:val="24"/>
          <w:szCs w:val="24"/>
        </w:rPr>
        <w:t xml:space="preserve"> en un rango de edades entre los 18 a los </w:t>
      </w:r>
      <w:r w:rsidR="00F72D17" w:rsidRPr="00694F0F">
        <w:rPr>
          <w:rFonts w:ascii="Arial" w:hAnsi="Arial" w:cs="Arial"/>
          <w:sz w:val="24"/>
          <w:szCs w:val="24"/>
        </w:rPr>
        <w:t>88</w:t>
      </w:r>
      <w:r w:rsidRPr="00694F0F">
        <w:rPr>
          <w:rFonts w:ascii="Arial" w:hAnsi="Arial" w:cs="Arial"/>
          <w:sz w:val="24"/>
          <w:szCs w:val="24"/>
        </w:rPr>
        <w:t xml:space="preserve"> años (M= </w:t>
      </w:r>
      <w:r w:rsidR="00F72D17" w:rsidRPr="00694F0F">
        <w:rPr>
          <w:rFonts w:ascii="Arial" w:hAnsi="Arial" w:cs="Arial"/>
          <w:sz w:val="24"/>
          <w:szCs w:val="24"/>
        </w:rPr>
        <w:t>23</w:t>
      </w:r>
      <w:r w:rsidRPr="00694F0F">
        <w:rPr>
          <w:rFonts w:ascii="Arial" w:hAnsi="Arial" w:cs="Arial"/>
          <w:sz w:val="24"/>
          <w:szCs w:val="24"/>
        </w:rPr>
        <w:t xml:space="preserve"> años, DE=</w:t>
      </w:r>
      <w:r w:rsidR="00F72D17" w:rsidRPr="00694F0F">
        <w:rPr>
          <w:rFonts w:ascii="Arial" w:hAnsi="Arial" w:cs="Arial"/>
          <w:sz w:val="24"/>
          <w:szCs w:val="24"/>
        </w:rPr>
        <w:t>6.31</w:t>
      </w:r>
      <w:r w:rsidRPr="00694F0F">
        <w:rPr>
          <w:rFonts w:ascii="Arial" w:hAnsi="Arial" w:cs="Arial"/>
          <w:sz w:val="24"/>
          <w:szCs w:val="24"/>
        </w:rPr>
        <w:t>)</w:t>
      </w:r>
      <w:r w:rsidR="001F74DA" w:rsidRPr="00694F0F">
        <w:rPr>
          <w:rFonts w:ascii="Arial" w:hAnsi="Arial" w:cs="Arial"/>
          <w:sz w:val="24"/>
          <w:szCs w:val="24"/>
        </w:rPr>
        <w:t>.</w:t>
      </w:r>
      <w:r w:rsidRPr="00694F0F">
        <w:rPr>
          <w:rFonts w:ascii="Arial" w:hAnsi="Arial" w:cs="Arial"/>
          <w:sz w:val="24"/>
          <w:szCs w:val="24"/>
        </w:rPr>
        <w:t xml:space="preserve"> El tamaño de la</w:t>
      </w:r>
      <w:r w:rsidR="00F72D17" w:rsidRPr="00694F0F">
        <w:rPr>
          <w:rFonts w:ascii="Arial" w:hAnsi="Arial" w:cs="Arial"/>
          <w:sz w:val="24"/>
          <w:szCs w:val="24"/>
        </w:rPr>
        <w:t xml:space="preserve"> </w:t>
      </w:r>
      <w:r w:rsidRPr="00694F0F">
        <w:rPr>
          <w:rFonts w:ascii="Arial" w:hAnsi="Arial" w:cs="Arial"/>
          <w:sz w:val="24"/>
          <w:szCs w:val="24"/>
        </w:rPr>
        <w:t>muestra se calculó a partir del número de reactivos; es decir, autores</w:t>
      </w:r>
      <w:r w:rsidR="005E5AEA" w:rsidRPr="00694F0F">
        <w:rPr>
          <w:rFonts w:ascii="Arial" w:hAnsi="Arial" w:cs="Arial"/>
          <w:sz w:val="24"/>
          <w:szCs w:val="24"/>
        </w:rPr>
        <w:t xml:space="preserve"> </w:t>
      </w:r>
      <w:r w:rsidRPr="00694F0F">
        <w:rPr>
          <w:rFonts w:ascii="Arial" w:hAnsi="Arial" w:cs="Arial"/>
          <w:sz w:val="24"/>
          <w:szCs w:val="24"/>
        </w:rPr>
        <w:t>como Tabachnick y Fidell (2007) indican que por cada reactivo es</w:t>
      </w:r>
      <w:r w:rsidR="005E5AEA" w:rsidRPr="00694F0F">
        <w:rPr>
          <w:rFonts w:ascii="Arial" w:hAnsi="Arial" w:cs="Arial"/>
          <w:sz w:val="24"/>
          <w:szCs w:val="24"/>
        </w:rPr>
        <w:t xml:space="preserve"> </w:t>
      </w:r>
      <w:r w:rsidRPr="00694F0F">
        <w:rPr>
          <w:rFonts w:ascii="Arial" w:hAnsi="Arial" w:cs="Arial"/>
          <w:sz w:val="24"/>
          <w:szCs w:val="24"/>
        </w:rPr>
        <w:t>necesario contar con cinco a diez participantes, por lo que la muestra en</w:t>
      </w:r>
      <w:r w:rsidR="005E5AEA" w:rsidRPr="00694F0F">
        <w:rPr>
          <w:rFonts w:ascii="Arial" w:hAnsi="Arial" w:cs="Arial"/>
          <w:sz w:val="24"/>
          <w:szCs w:val="24"/>
        </w:rPr>
        <w:t xml:space="preserve"> </w:t>
      </w:r>
      <w:r w:rsidRPr="00694F0F">
        <w:rPr>
          <w:rFonts w:ascii="Arial" w:hAnsi="Arial" w:cs="Arial"/>
          <w:sz w:val="24"/>
          <w:szCs w:val="24"/>
        </w:rPr>
        <w:t xml:space="preserve">cuestión rebasa dicho lineamiento. Del total de la muestra, el </w:t>
      </w:r>
      <w:r w:rsidR="00F72D17" w:rsidRPr="00694F0F">
        <w:rPr>
          <w:rFonts w:ascii="Arial" w:hAnsi="Arial" w:cs="Arial"/>
          <w:sz w:val="24"/>
          <w:szCs w:val="24"/>
        </w:rPr>
        <w:t>47%</w:t>
      </w:r>
      <w:r w:rsidR="005E5AEA" w:rsidRPr="00694F0F">
        <w:rPr>
          <w:rFonts w:ascii="Arial" w:hAnsi="Arial" w:cs="Arial"/>
          <w:sz w:val="24"/>
          <w:szCs w:val="24"/>
        </w:rPr>
        <w:t xml:space="preserve"> </w:t>
      </w:r>
      <w:r w:rsidRPr="00694F0F">
        <w:rPr>
          <w:rFonts w:ascii="Arial" w:hAnsi="Arial" w:cs="Arial"/>
          <w:sz w:val="24"/>
          <w:szCs w:val="24"/>
        </w:rPr>
        <w:t>de los</w:t>
      </w:r>
      <w:r w:rsidR="00F72D17" w:rsidRPr="00694F0F">
        <w:rPr>
          <w:rFonts w:ascii="Arial" w:hAnsi="Arial" w:cs="Arial"/>
          <w:sz w:val="24"/>
          <w:szCs w:val="24"/>
        </w:rPr>
        <w:t xml:space="preserve"> </w:t>
      </w:r>
      <w:r w:rsidRPr="00694F0F">
        <w:rPr>
          <w:rFonts w:ascii="Arial" w:hAnsi="Arial" w:cs="Arial"/>
          <w:sz w:val="24"/>
          <w:szCs w:val="24"/>
        </w:rPr>
        <w:t>participantes reportaron tener un grado escolar de licenciatura, seguido</w:t>
      </w:r>
      <w:r w:rsidR="005E5AEA" w:rsidRPr="00694F0F">
        <w:rPr>
          <w:rFonts w:ascii="Arial" w:hAnsi="Arial" w:cs="Arial"/>
          <w:sz w:val="24"/>
          <w:szCs w:val="24"/>
        </w:rPr>
        <w:t xml:space="preserve"> </w:t>
      </w:r>
      <w:r w:rsidRPr="00694F0F">
        <w:rPr>
          <w:rFonts w:ascii="Arial" w:hAnsi="Arial" w:cs="Arial"/>
          <w:sz w:val="24"/>
          <w:szCs w:val="24"/>
        </w:rPr>
        <w:t xml:space="preserve">de preparatoria </w:t>
      </w:r>
      <w:r w:rsidR="00F72D17" w:rsidRPr="00694F0F">
        <w:rPr>
          <w:rFonts w:ascii="Arial" w:hAnsi="Arial" w:cs="Arial"/>
          <w:sz w:val="24"/>
          <w:szCs w:val="24"/>
        </w:rPr>
        <w:t>47%</w:t>
      </w:r>
      <w:r w:rsidRPr="00694F0F">
        <w:rPr>
          <w:rFonts w:ascii="Arial" w:hAnsi="Arial" w:cs="Arial"/>
          <w:sz w:val="24"/>
          <w:szCs w:val="24"/>
        </w:rPr>
        <w:t xml:space="preserve">, y </w:t>
      </w:r>
      <w:r w:rsidR="00F72D17" w:rsidRPr="00694F0F">
        <w:rPr>
          <w:rFonts w:ascii="Arial" w:hAnsi="Arial" w:cs="Arial"/>
          <w:sz w:val="24"/>
          <w:szCs w:val="24"/>
        </w:rPr>
        <w:t xml:space="preserve">5% </w:t>
      </w:r>
      <w:r w:rsidRPr="00694F0F">
        <w:rPr>
          <w:rFonts w:ascii="Arial" w:hAnsi="Arial" w:cs="Arial"/>
          <w:sz w:val="24"/>
          <w:szCs w:val="24"/>
        </w:rPr>
        <w:t>posgrado</w:t>
      </w:r>
      <w:r w:rsidR="001F74DA" w:rsidRPr="00694F0F">
        <w:rPr>
          <w:rFonts w:ascii="Arial" w:hAnsi="Arial" w:cs="Arial"/>
          <w:sz w:val="24"/>
          <w:szCs w:val="24"/>
        </w:rPr>
        <w:t xml:space="preserve">. </w:t>
      </w:r>
      <w:r w:rsidR="00826076" w:rsidRPr="00694F0F">
        <w:rPr>
          <w:rFonts w:ascii="Arial" w:hAnsi="Arial" w:cs="Arial"/>
          <w:sz w:val="24"/>
          <w:szCs w:val="24"/>
        </w:rPr>
        <w:t>E</w:t>
      </w:r>
      <w:r w:rsidR="001F74DA" w:rsidRPr="00694F0F">
        <w:rPr>
          <w:rFonts w:ascii="Arial" w:hAnsi="Arial" w:cs="Arial"/>
          <w:sz w:val="24"/>
          <w:szCs w:val="24"/>
        </w:rPr>
        <w:t>n su mayoría (58%) de religión cristiana – católica y 32% no se considera religioso</w:t>
      </w:r>
      <w:r w:rsidR="00826076" w:rsidRPr="00694F0F">
        <w:rPr>
          <w:rFonts w:ascii="Arial" w:hAnsi="Arial" w:cs="Arial"/>
          <w:sz w:val="24"/>
          <w:szCs w:val="24"/>
        </w:rPr>
        <w:t>.</w:t>
      </w:r>
      <w:r w:rsidR="001F74DA" w:rsidRPr="00694F0F">
        <w:rPr>
          <w:rFonts w:ascii="Arial" w:hAnsi="Arial" w:cs="Arial"/>
          <w:sz w:val="24"/>
          <w:szCs w:val="24"/>
        </w:rPr>
        <w:t xml:space="preserve"> El 55% eran solteros al momento de responder, 38% tenia pareja pero no vive con ella y 6% vive con su pareja, donde el 24% llevan más de un año y menos de cinco años de tiempo en la relación. </w:t>
      </w:r>
      <w:r w:rsidR="00826076" w:rsidRPr="00694F0F">
        <w:rPr>
          <w:rFonts w:ascii="Arial" w:hAnsi="Arial" w:cs="Arial"/>
          <w:sz w:val="24"/>
          <w:szCs w:val="24"/>
        </w:rPr>
        <w:t>Finalmente, l</w:t>
      </w:r>
      <w:r w:rsidR="001F74DA" w:rsidRPr="00694F0F">
        <w:rPr>
          <w:rFonts w:ascii="Arial" w:hAnsi="Arial" w:cs="Arial"/>
          <w:sz w:val="24"/>
          <w:szCs w:val="24"/>
        </w:rPr>
        <w:t>os participantes se consideran monógamos en un 83%, 12</w:t>
      </w:r>
      <w:r w:rsidR="00826076" w:rsidRPr="00694F0F">
        <w:rPr>
          <w:rFonts w:ascii="Arial" w:hAnsi="Arial" w:cs="Arial"/>
          <w:sz w:val="24"/>
          <w:szCs w:val="24"/>
        </w:rPr>
        <w:t>%</w:t>
      </w:r>
      <w:r w:rsidR="001F74DA" w:rsidRPr="00694F0F">
        <w:rPr>
          <w:rFonts w:ascii="Arial" w:hAnsi="Arial" w:cs="Arial"/>
          <w:sz w:val="24"/>
          <w:szCs w:val="24"/>
        </w:rPr>
        <w:t xml:space="preserve"> negociable y 4% no monógamos. </w:t>
      </w:r>
    </w:p>
    <w:p w14:paraId="1375BDE4" w14:textId="4A501CE6" w:rsidR="001149D8" w:rsidRPr="00694F0F" w:rsidRDefault="001149D8" w:rsidP="00694F0F">
      <w:pPr>
        <w:spacing w:line="360" w:lineRule="auto"/>
        <w:rPr>
          <w:rFonts w:ascii="Arial" w:hAnsi="Arial" w:cs="Arial"/>
          <w:i/>
          <w:iCs/>
          <w:sz w:val="24"/>
          <w:szCs w:val="24"/>
        </w:rPr>
      </w:pPr>
      <w:r w:rsidRPr="00694F0F">
        <w:rPr>
          <w:rFonts w:ascii="Arial" w:hAnsi="Arial" w:cs="Arial"/>
          <w:i/>
          <w:iCs/>
          <w:sz w:val="24"/>
          <w:szCs w:val="24"/>
        </w:rPr>
        <w:t>Instrumentos</w:t>
      </w:r>
    </w:p>
    <w:p w14:paraId="7E71815D" w14:textId="674CDD0F" w:rsidR="005E5AEA" w:rsidRPr="00694F0F" w:rsidRDefault="005E5AEA" w:rsidP="008C5B28">
      <w:pPr>
        <w:spacing w:line="360" w:lineRule="auto"/>
        <w:jc w:val="both"/>
        <w:rPr>
          <w:rFonts w:ascii="Arial" w:hAnsi="Arial" w:cs="Arial"/>
          <w:sz w:val="24"/>
          <w:szCs w:val="24"/>
        </w:rPr>
      </w:pPr>
      <w:r w:rsidRPr="00694F0F">
        <w:rPr>
          <w:rFonts w:ascii="Arial" w:hAnsi="Arial" w:cs="Arial"/>
          <w:sz w:val="24"/>
          <w:szCs w:val="24"/>
        </w:rPr>
        <w:t>1. La escala de actitudes ante la No Monogamia Consensuada: consta de diez ítems en una escala tipo Likert de 7 puntos</w:t>
      </w:r>
      <w:r w:rsidR="0047182E" w:rsidRPr="00694F0F">
        <w:rPr>
          <w:rFonts w:ascii="Arial" w:hAnsi="Arial" w:cs="Arial"/>
          <w:sz w:val="24"/>
          <w:szCs w:val="24"/>
        </w:rPr>
        <w:t xml:space="preserve"> </w:t>
      </w:r>
      <w:r w:rsidRPr="00694F0F">
        <w:rPr>
          <w:rFonts w:ascii="Arial" w:hAnsi="Arial" w:cs="Arial"/>
          <w:sz w:val="24"/>
          <w:szCs w:val="24"/>
        </w:rPr>
        <w:t>(1 = totalmente en desacuerdo; 7 = totalmente de acuerdo) para evaluar la</w:t>
      </w:r>
      <w:r w:rsidR="0047182E" w:rsidRPr="00694F0F">
        <w:rPr>
          <w:rFonts w:ascii="Arial" w:hAnsi="Arial" w:cs="Arial"/>
          <w:sz w:val="24"/>
          <w:szCs w:val="24"/>
        </w:rPr>
        <w:t>s creencias en torno a las relaciones No Monógamas Consensuadas</w:t>
      </w:r>
      <w:r w:rsidRPr="00694F0F">
        <w:rPr>
          <w:rFonts w:ascii="Arial" w:hAnsi="Arial" w:cs="Arial"/>
          <w:sz w:val="24"/>
          <w:szCs w:val="24"/>
        </w:rPr>
        <w:t xml:space="preserve">. </w:t>
      </w:r>
      <w:r w:rsidR="004E5935" w:rsidRPr="00694F0F">
        <w:rPr>
          <w:rFonts w:ascii="Arial" w:hAnsi="Arial" w:cs="Arial"/>
          <w:sz w:val="24"/>
          <w:szCs w:val="24"/>
        </w:rPr>
        <w:t xml:space="preserve">El Alpha de Cronbach para la escala es de .748. </w:t>
      </w:r>
      <w:r w:rsidRPr="00694F0F">
        <w:rPr>
          <w:rFonts w:ascii="Arial" w:hAnsi="Arial" w:cs="Arial"/>
          <w:sz w:val="24"/>
          <w:szCs w:val="24"/>
        </w:rPr>
        <w:t xml:space="preserve">Ejemplos de </w:t>
      </w:r>
      <w:r w:rsidR="0047182E" w:rsidRPr="00694F0F">
        <w:rPr>
          <w:rFonts w:ascii="Arial" w:hAnsi="Arial" w:cs="Arial"/>
          <w:sz w:val="24"/>
          <w:szCs w:val="24"/>
        </w:rPr>
        <w:t>reactivos</w:t>
      </w:r>
      <w:r w:rsidRPr="00694F0F">
        <w:rPr>
          <w:rFonts w:ascii="Arial" w:hAnsi="Arial" w:cs="Arial"/>
          <w:sz w:val="24"/>
          <w:szCs w:val="24"/>
        </w:rPr>
        <w:t xml:space="preserve"> incluyen</w:t>
      </w:r>
      <w:r w:rsidR="0085154A" w:rsidRPr="00694F0F">
        <w:rPr>
          <w:rFonts w:ascii="Arial" w:hAnsi="Arial" w:cs="Arial"/>
          <w:sz w:val="24"/>
          <w:szCs w:val="24"/>
        </w:rPr>
        <w:t xml:space="preserve">: </w:t>
      </w:r>
      <w:r w:rsidR="0085154A" w:rsidRPr="00694F0F">
        <w:rPr>
          <w:rFonts w:ascii="Arial" w:hAnsi="Arial" w:cs="Arial"/>
          <w:i/>
          <w:iCs/>
          <w:sz w:val="24"/>
          <w:szCs w:val="24"/>
        </w:rPr>
        <w:t>Para estar enamorado, debes estar en una relación monógama; Puedo verme entrando en una relación NO monógama.</w:t>
      </w:r>
    </w:p>
    <w:p w14:paraId="608A4F43" w14:textId="3BA027B5" w:rsidR="0047182E" w:rsidRPr="00694F0F" w:rsidRDefault="0047182E" w:rsidP="008C5B28">
      <w:pPr>
        <w:spacing w:line="360" w:lineRule="auto"/>
        <w:jc w:val="both"/>
        <w:rPr>
          <w:rFonts w:ascii="Arial" w:hAnsi="Arial" w:cs="Arial"/>
          <w:sz w:val="24"/>
          <w:szCs w:val="24"/>
        </w:rPr>
      </w:pPr>
      <w:r w:rsidRPr="00694F0F">
        <w:rPr>
          <w:rFonts w:ascii="Arial" w:hAnsi="Arial" w:cs="Arial"/>
          <w:sz w:val="24"/>
          <w:szCs w:val="24"/>
        </w:rPr>
        <w:t xml:space="preserve">2. Inventario de Orientación Sociosexual (SOI-R; Penke y Asendorpf 2008), una escala que examina la disposición de los individuos a entablar relaciones sexuales fuera de la relación primaria. La encuesta tiene nueve preguntas, cada una de las cuales se puede responder en una escala de 7 puntos. </w:t>
      </w:r>
      <w:r w:rsidR="0052304E" w:rsidRPr="00694F0F">
        <w:rPr>
          <w:rFonts w:ascii="Arial" w:hAnsi="Arial" w:cs="Arial"/>
          <w:sz w:val="24"/>
          <w:szCs w:val="24"/>
        </w:rPr>
        <w:t>El SOI-</w:t>
      </w:r>
      <w:r w:rsidR="0052304E" w:rsidRPr="00694F0F">
        <w:rPr>
          <w:rFonts w:ascii="Arial" w:hAnsi="Arial" w:cs="Arial"/>
          <w:sz w:val="24"/>
          <w:szCs w:val="24"/>
        </w:rPr>
        <w:lastRenderedPageBreak/>
        <w:t xml:space="preserve">R consta de tres factores: actitud (a = .87), comportamiento (a = .85) y deseo (a = .86) (Penke y Asendorpf 2008). Él factor de comportamiento es una medida de la cantidad de encuentros sexuales a corto plazo en el pasado (Penke y Asendorpf 2008). La faceta de actitud refleja creencias relacionadas con sexo sin compromiso y la faceta del deseo refleja el deseo de tener sexo sin compromiso (Penke y Asendorpf 2008). Las puntuaciones para cada una de las tres facetas se pueden calcular </w:t>
      </w:r>
      <w:r w:rsidR="00933D7B" w:rsidRPr="00694F0F">
        <w:rPr>
          <w:rFonts w:ascii="Arial" w:hAnsi="Arial" w:cs="Arial"/>
          <w:sz w:val="24"/>
          <w:szCs w:val="24"/>
        </w:rPr>
        <w:t>como,</w:t>
      </w:r>
      <w:r w:rsidR="0052304E" w:rsidRPr="00694F0F">
        <w:rPr>
          <w:rFonts w:ascii="Arial" w:hAnsi="Arial" w:cs="Arial"/>
          <w:sz w:val="24"/>
          <w:szCs w:val="24"/>
        </w:rPr>
        <w:t xml:space="preserve"> así como una puntuación global de orientación sociosexual</w:t>
      </w:r>
      <w:r w:rsidRPr="00694F0F">
        <w:rPr>
          <w:rFonts w:ascii="Arial" w:hAnsi="Arial" w:cs="Arial"/>
          <w:sz w:val="24"/>
          <w:szCs w:val="24"/>
        </w:rPr>
        <w:t xml:space="preserve"> Alpha de .83</w:t>
      </w:r>
      <w:r w:rsidR="0052304E" w:rsidRPr="00694F0F">
        <w:rPr>
          <w:rFonts w:ascii="Arial" w:hAnsi="Arial" w:cs="Arial"/>
          <w:sz w:val="24"/>
          <w:szCs w:val="24"/>
        </w:rPr>
        <w:t xml:space="preserve">. Ejemplos de preguntas: </w:t>
      </w:r>
      <w:r w:rsidR="0052304E" w:rsidRPr="00694F0F">
        <w:rPr>
          <w:rFonts w:ascii="Arial" w:hAnsi="Arial" w:cs="Arial"/>
          <w:i/>
          <w:iCs/>
          <w:sz w:val="24"/>
          <w:szCs w:val="24"/>
        </w:rPr>
        <w:t>¿Con cuántas personas has tenido relaciones sexuales en el último año?; Puedo imaginarme a mí mismo cómodo y disfrutando tener sexo casual con diferentes personas.</w:t>
      </w:r>
    </w:p>
    <w:p w14:paraId="0EDA592D" w14:textId="688F31C4" w:rsidR="001149D8" w:rsidRPr="00694F0F" w:rsidRDefault="001149D8" w:rsidP="00694F0F">
      <w:pPr>
        <w:spacing w:line="360" w:lineRule="auto"/>
        <w:rPr>
          <w:rFonts w:ascii="Arial" w:hAnsi="Arial" w:cs="Arial"/>
          <w:i/>
          <w:iCs/>
          <w:sz w:val="24"/>
          <w:szCs w:val="24"/>
        </w:rPr>
      </w:pPr>
      <w:r w:rsidRPr="00694F0F">
        <w:rPr>
          <w:rFonts w:ascii="Arial" w:hAnsi="Arial" w:cs="Arial"/>
          <w:i/>
          <w:iCs/>
          <w:sz w:val="24"/>
          <w:szCs w:val="24"/>
        </w:rPr>
        <w:t>Procedimiento</w:t>
      </w:r>
    </w:p>
    <w:p w14:paraId="38478ECE" w14:textId="77777777" w:rsidR="00DD6498" w:rsidRPr="00694F0F" w:rsidRDefault="00DD6498" w:rsidP="008C5B28">
      <w:pPr>
        <w:spacing w:line="360" w:lineRule="auto"/>
        <w:jc w:val="both"/>
        <w:rPr>
          <w:rFonts w:ascii="Arial" w:hAnsi="Arial" w:cs="Arial"/>
          <w:sz w:val="24"/>
          <w:szCs w:val="24"/>
        </w:rPr>
      </w:pPr>
      <w:r w:rsidRPr="00694F0F">
        <w:rPr>
          <w:rFonts w:ascii="Arial" w:hAnsi="Arial" w:cs="Arial"/>
          <w:sz w:val="24"/>
          <w:szCs w:val="24"/>
        </w:rPr>
        <w:t xml:space="preserve">El presente estudio es un estudio cuantitativo con métodos descriptivos y correlacionales. </w:t>
      </w:r>
    </w:p>
    <w:p w14:paraId="2C3E3606" w14:textId="0B0990D9" w:rsidR="00DD6498" w:rsidRPr="00694F0F" w:rsidRDefault="00DD6498" w:rsidP="008C5B28">
      <w:pPr>
        <w:spacing w:line="360" w:lineRule="auto"/>
        <w:jc w:val="both"/>
        <w:rPr>
          <w:rFonts w:ascii="Arial" w:hAnsi="Arial" w:cs="Arial"/>
          <w:sz w:val="24"/>
          <w:szCs w:val="24"/>
        </w:rPr>
      </w:pPr>
      <w:r w:rsidRPr="00694F0F">
        <w:rPr>
          <w:rFonts w:ascii="Arial" w:hAnsi="Arial" w:cs="Arial"/>
          <w:sz w:val="24"/>
          <w:szCs w:val="24"/>
        </w:rPr>
        <w:t xml:space="preserve">En primer lugar, se transcribieron las escalas a un formulario en línea a través de la plataforma </w:t>
      </w:r>
      <w:r w:rsidRPr="00694F0F">
        <w:rPr>
          <w:rFonts w:ascii="Arial" w:hAnsi="Arial" w:cs="Arial"/>
          <w:i/>
          <w:iCs/>
          <w:sz w:val="24"/>
          <w:szCs w:val="24"/>
        </w:rPr>
        <w:t>Google Forms</w:t>
      </w:r>
      <w:r w:rsidRPr="00694F0F">
        <w:rPr>
          <w:rFonts w:ascii="Arial" w:hAnsi="Arial" w:cs="Arial"/>
          <w:sz w:val="24"/>
          <w:szCs w:val="24"/>
        </w:rPr>
        <w:t xml:space="preserve">, y se convocó a los participantes de boca en boca para asegurar su pertenencia al estudio. Se solicitó su consentimiento informado y su participación voluntaria. Se eliminaron los casos en los que no cumplieran con la mayoría de edad. El periodo de recolección de datos fue del 01 de </w:t>
      </w:r>
      <w:r w:rsidR="00933D7B" w:rsidRPr="00694F0F">
        <w:rPr>
          <w:rFonts w:ascii="Arial" w:hAnsi="Arial" w:cs="Arial"/>
          <w:sz w:val="24"/>
          <w:szCs w:val="24"/>
        </w:rPr>
        <w:t>marzo</w:t>
      </w:r>
      <w:r w:rsidRPr="00694F0F">
        <w:rPr>
          <w:rFonts w:ascii="Arial" w:hAnsi="Arial" w:cs="Arial"/>
          <w:sz w:val="24"/>
          <w:szCs w:val="24"/>
        </w:rPr>
        <w:t xml:space="preserve"> del presente año hasta el 18 de </w:t>
      </w:r>
      <w:proofErr w:type="gramStart"/>
      <w:r w:rsidRPr="00694F0F">
        <w:rPr>
          <w:rFonts w:ascii="Arial" w:hAnsi="Arial" w:cs="Arial"/>
          <w:sz w:val="24"/>
          <w:szCs w:val="24"/>
        </w:rPr>
        <w:t>Abril</w:t>
      </w:r>
      <w:proofErr w:type="gramEnd"/>
      <w:r w:rsidRPr="00694F0F">
        <w:rPr>
          <w:rFonts w:ascii="Arial" w:hAnsi="Arial" w:cs="Arial"/>
          <w:sz w:val="24"/>
          <w:szCs w:val="24"/>
        </w:rPr>
        <w:t xml:space="preserve">. </w:t>
      </w:r>
    </w:p>
    <w:p w14:paraId="349EA6F3" w14:textId="79316FD4" w:rsidR="00DD6498" w:rsidRPr="00694F0F" w:rsidRDefault="00DD6498" w:rsidP="008C5B28">
      <w:pPr>
        <w:spacing w:line="360" w:lineRule="auto"/>
        <w:jc w:val="both"/>
        <w:rPr>
          <w:rFonts w:ascii="Arial" w:hAnsi="Arial" w:cs="Arial"/>
          <w:sz w:val="24"/>
          <w:szCs w:val="24"/>
        </w:rPr>
      </w:pPr>
      <w:r w:rsidRPr="00694F0F">
        <w:rPr>
          <w:rFonts w:ascii="Arial" w:hAnsi="Arial" w:cs="Arial"/>
          <w:sz w:val="24"/>
          <w:szCs w:val="24"/>
        </w:rPr>
        <w:t>Se realizaron análisis descriptivos para eliminar los casos que no cumplieran con los criterios de inclusión de la muestra, y obtener información demográfica de los participantes, como su edad, sexo, etc. Posteriormente se realizaron pruebas</w:t>
      </w:r>
      <w:r w:rsidR="00A5007D" w:rsidRPr="00694F0F">
        <w:rPr>
          <w:rFonts w:ascii="Arial" w:hAnsi="Arial" w:cs="Arial"/>
          <w:sz w:val="24"/>
          <w:szCs w:val="24"/>
        </w:rPr>
        <w:t xml:space="preserve"> </w:t>
      </w:r>
      <w:r w:rsidRPr="00694F0F">
        <w:rPr>
          <w:rFonts w:ascii="Arial" w:hAnsi="Arial" w:cs="Arial"/>
          <w:sz w:val="24"/>
          <w:szCs w:val="24"/>
        </w:rPr>
        <w:t>para comprobar si se cumplen los requisitos de estadística paramétrica, para finalmente realizar un análisis de correlación de Spe</w:t>
      </w:r>
      <w:r w:rsidR="004E5935" w:rsidRPr="00694F0F">
        <w:rPr>
          <w:rFonts w:ascii="Arial" w:hAnsi="Arial" w:cs="Arial"/>
          <w:sz w:val="24"/>
          <w:szCs w:val="24"/>
        </w:rPr>
        <w:t>a</w:t>
      </w:r>
      <w:r w:rsidRPr="00694F0F">
        <w:rPr>
          <w:rFonts w:ascii="Arial" w:hAnsi="Arial" w:cs="Arial"/>
          <w:sz w:val="24"/>
          <w:szCs w:val="24"/>
        </w:rPr>
        <w:t>rman para ver las relaciones entre las variables de estudio.</w:t>
      </w:r>
    </w:p>
    <w:p w14:paraId="59AFFD82" w14:textId="77777777" w:rsidR="00374A44" w:rsidRPr="00694F0F" w:rsidRDefault="00F62626" w:rsidP="00694F0F">
      <w:pPr>
        <w:spacing w:line="360" w:lineRule="auto"/>
        <w:jc w:val="center"/>
        <w:rPr>
          <w:rFonts w:ascii="Arial" w:hAnsi="Arial" w:cs="Arial"/>
          <w:b/>
          <w:bCs/>
          <w:sz w:val="24"/>
          <w:szCs w:val="24"/>
        </w:rPr>
      </w:pPr>
      <w:r w:rsidRPr="00694F0F">
        <w:rPr>
          <w:rFonts w:ascii="Arial" w:hAnsi="Arial" w:cs="Arial"/>
          <w:b/>
          <w:bCs/>
          <w:sz w:val="24"/>
          <w:szCs w:val="24"/>
        </w:rPr>
        <w:t>Resultados</w:t>
      </w:r>
    </w:p>
    <w:p w14:paraId="76D8E708" w14:textId="77777777" w:rsidR="00A02BD1" w:rsidRPr="00694F0F" w:rsidRDefault="00A02BD1" w:rsidP="008C5B28">
      <w:pPr>
        <w:spacing w:line="360" w:lineRule="auto"/>
        <w:jc w:val="both"/>
        <w:rPr>
          <w:rFonts w:ascii="Arial" w:hAnsi="Arial" w:cs="Arial"/>
          <w:sz w:val="24"/>
          <w:szCs w:val="24"/>
        </w:rPr>
      </w:pPr>
      <w:r w:rsidRPr="00694F0F">
        <w:rPr>
          <w:rFonts w:ascii="Arial" w:hAnsi="Arial" w:cs="Arial"/>
          <w:sz w:val="24"/>
          <w:szCs w:val="24"/>
        </w:rPr>
        <w:t>A continuación, se presentan los resultados obtenidos.</w:t>
      </w:r>
    </w:p>
    <w:tbl>
      <w:tblPr>
        <w:tblStyle w:val="Tablaconcuadrculaclara"/>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13"/>
        <w:gridCol w:w="1201"/>
        <w:gridCol w:w="1202"/>
        <w:gridCol w:w="1202"/>
        <w:gridCol w:w="1202"/>
        <w:gridCol w:w="1242"/>
      </w:tblGrid>
      <w:tr w:rsidR="004A5499" w:rsidRPr="00694F0F" w14:paraId="4A43E2AE" w14:textId="77777777" w:rsidTr="00A65007">
        <w:trPr>
          <w:trHeight w:val="672"/>
          <w:jc w:val="center"/>
        </w:trPr>
        <w:tc>
          <w:tcPr>
            <w:tcW w:w="8962" w:type="dxa"/>
            <w:gridSpan w:val="6"/>
            <w:tcBorders>
              <w:bottom w:val="single" w:sz="4" w:space="0" w:color="auto"/>
            </w:tcBorders>
          </w:tcPr>
          <w:p w14:paraId="19A42C4A" w14:textId="33FF49D7" w:rsidR="004A5499" w:rsidRPr="00694F0F" w:rsidRDefault="004A5499" w:rsidP="00694F0F">
            <w:pPr>
              <w:spacing w:line="360" w:lineRule="auto"/>
              <w:ind w:left="60" w:right="60"/>
              <w:jc w:val="center"/>
              <w:rPr>
                <w:rFonts w:ascii="Arial" w:hAnsi="Arial" w:cs="Arial"/>
                <w:sz w:val="24"/>
                <w:szCs w:val="24"/>
              </w:rPr>
            </w:pPr>
            <w:r w:rsidRPr="00694F0F">
              <w:rPr>
                <w:rFonts w:ascii="Arial" w:hAnsi="Arial" w:cs="Arial"/>
                <w:b/>
                <w:bCs/>
                <w:sz w:val="24"/>
                <w:szCs w:val="24"/>
              </w:rPr>
              <w:t>Tabla 1. Estadísticos descriptivos para las preguntas del componente conductual de la variable orientación sociosexual</w:t>
            </w:r>
          </w:p>
        </w:tc>
      </w:tr>
      <w:tr w:rsidR="004A5499" w:rsidRPr="00694F0F" w14:paraId="1ADB2BF7" w14:textId="77777777" w:rsidTr="00A65007">
        <w:trPr>
          <w:trHeight w:val="656"/>
          <w:jc w:val="center"/>
        </w:trPr>
        <w:tc>
          <w:tcPr>
            <w:tcW w:w="2913" w:type="dxa"/>
            <w:tcBorders>
              <w:top w:val="single" w:sz="4" w:space="0" w:color="auto"/>
              <w:bottom w:val="single" w:sz="4" w:space="0" w:color="auto"/>
            </w:tcBorders>
          </w:tcPr>
          <w:p w14:paraId="295C1836" w14:textId="75D52FAE" w:rsidR="004A5499" w:rsidRPr="00694F0F" w:rsidRDefault="004A5499" w:rsidP="00694F0F">
            <w:pPr>
              <w:spacing w:line="360" w:lineRule="auto"/>
              <w:jc w:val="center"/>
              <w:rPr>
                <w:rFonts w:ascii="Arial" w:hAnsi="Arial" w:cs="Arial"/>
                <w:b/>
                <w:bCs/>
                <w:sz w:val="24"/>
                <w:szCs w:val="24"/>
              </w:rPr>
            </w:pPr>
            <w:r w:rsidRPr="00694F0F">
              <w:rPr>
                <w:rFonts w:ascii="Arial" w:hAnsi="Arial" w:cs="Arial"/>
                <w:b/>
                <w:bCs/>
                <w:sz w:val="24"/>
                <w:szCs w:val="24"/>
              </w:rPr>
              <w:t>Preguntas</w:t>
            </w:r>
          </w:p>
        </w:tc>
        <w:tc>
          <w:tcPr>
            <w:tcW w:w="1201" w:type="dxa"/>
            <w:tcBorders>
              <w:top w:val="single" w:sz="4" w:space="0" w:color="auto"/>
              <w:bottom w:val="single" w:sz="4" w:space="0" w:color="auto"/>
            </w:tcBorders>
          </w:tcPr>
          <w:p w14:paraId="4D1991C7" w14:textId="77777777" w:rsidR="004A5499" w:rsidRPr="00694F0F" w:rsidRDefault="004A5499"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N</w:t>
            </w:r>
          </w:p>
        </w:tc>
        <w:tc>
          <w:tcPr>
            <w:tcW w:w="1202" w:type="dxa"/>
            <w:tcBorders>
              <w:top w:val="single" w:sz="4" w:space="0" w:color="auto"/>
              <w:bottom w:val="single" w:sz="4" w:space="0" w:color="auto"/>
            </w:tcBorders>
          </w:tcPr>
          <w:p w14:paraId="68FA680A" w14:textId="77777777" w:rsidR="004A5499" w:rsidRPr="00694F0F" w:rsidRDefault="004A5499"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Mínimo</w:t>
            </w:r>
          </w:p>
        </w:tc>
        <w:tc>
          <w:tcPr>
            <w:tcW w:w="1202" w:type="dxa"/>
            <w:tcBorders>
              <w:top w:val="single" w:sz="4" w:space="0" w:color="auto"/>
              <w:bottom w:val="single" w:sz="4" w:space="0" w:color="auto"/>
            </w:tcBorders>
          </w:tcPr>
          <w:p w14:paraId="69764549" w14:textId="77777777" w:rsidR="004A5499" w:rsidRPr="00694F0F" w:rsidRDefault="004A5499"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Máximo</w:t>
            </w:r>
          </w:p>
        </w:tc>
        <w:tc>
          <w:tcPr>
            <w:tcW w:w="1202" w:type="dxa"/>
            <w:tcBorders>
              <w:top w:val="single" w:sz="4" w:space="0" w:color="auto"/>
              <w:bottom w:val="single" w:sz="4" w:space="0" w:color="auto"/>
            </w:tcBorders>
          </w:tcPr>
          <w:p w14:paraId="794CF2CF" w14:textId="77777777" w:rsidR="004A5499" w:rsidRPr="00694F0F" w:rsidRDefault="004A5499"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Media</w:t>
            </w:r>
          </w:p>
        </w:tc>
        <w:tc>
          <w:tcPr>
            <w:tcW w:w="1242" w:type="dxa"/>
            <w:tcBorders>
              <w:top w:val="single" w:sz="4" w:space="0" w:color="auto"/>
              <w:bottom w:val="single" w:sz="4" w:space="0" w:color="auto"/>
            </w:tcBorders>
          </w:tcPr>
          <w:p w14:paraId="180BE19E" w14:textId="77777777" w:rsidR="004A5499" w:rsidRPr="00694F0F" w:rsidRDefault="004A5499"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Desv. típ.</w:t>
            </w:r>
          </w:p>
        </w:tc>
      </w:tr>
      <w:tr w:rsidR="004A5499" w:rsidRPr="00694F0F" w14:paraId="1BA4BE67" w14:textId="77777777" w:rsidTr="00A65007">
        <w:trPr>
          <w:trHeight w:val="1344"/>
          <w:jc w:val="center"/>
        </w:trPr>
        <w:tc>
          <w:tcPr>
            <w:tcW w:w="2913" w:type="dxa"/>
            <w:tcBorders>
              <w:top w:val="single" w:sz="4" w:space="0" w:color="auto"/>
            </w:tcBorders>
          </w:tcPr>
          <w:p w14:paraId="653253BB" w14:textId="260DC065" w:rsidR="004A5499" w:rsidRPr="00694F0F" w:rsidRDefault="004A5499" w:rsidP="00694F0F">
            <w:pPr>
              <w:spacing w:line="360" w:lineRule="auto"/>
              <w:ind w:left="60" w:right="60"/>
              <w:rPr>
                <w:rFonts w:ascii="Arial" w:hAnsi="Arial" w:cs="Arial"/>
                <w:sz w:val="24"/>
                <w:szCs w:val="24"/>
              </w:rPr>
            </w:pPr>
            <w:r w:rsidRPr="00694F0F">
              <w:rPr>
                <w:rFonts w:ascii="Arial" w:hAnsi="Arial" w:cs="Arial"/>
                <w:sz w:val="24"/>
                <w:szCs w:val="24"/>
              </w:rPr>
              <w:lastRenderedPageBreak/>
              <w:t>1. ¿Con cuántas personas has tenido relaciones sexuales en el último año?</w:t>
            </w:r>
          </w:p>
        </w:tc>
        <w:tc>
          <w:tcPr>
            <w:tcW w:w="1201" w:type="dxa"/>
          </w:tcPr>
          <w:p w14:paraId="56C32531"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218</w:t>
            </w:r>
          </w:p>
        </w:tc>
        <w:tc>
          <w:tcPr>
            <w:tcW w:w="1202" w:type="dxa"/>
          </w:tcPr>
          <w:p w14:paraId="1776B719"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0</w:t>
            </w:r>
          </w:p>
        </w:tc>
        <w:tc>
          <w:tcPr>
            <w:tcW w:w="1202" w:type="dxa"/>
          </w:tcPr>
          <w:p w14:paraId="405AFBF2"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25</w:t>
            </w:r>
          </w:p>
        </w:tc>
        <w:tc>
          <w:tcPr>
            <w:tcW w:w="1202" w:type="dxa"/>
            <w:tcBorders>
              <w:top w:val="single" w:sz="4" w:space="0" w:color="auto"/>
            </w:tcBorders>
          </w:tcPr>
          <w:p w14:paraId="7D803FC9"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1.61</w:t>
            </w:r>
          </w:p>
        </w:tc>
        <w:tc>
          <w:tcPr>
            <w:tcW w:w="1242" w:type="dxa"/>
            <w:tcBorders>
              <w:top w:val="single" w:sz="4" w:space="0" w:color="auto"/>
            </w:tcBorders>
          </w:tcPr>
          <w:p w14:paraId="3C1C1029"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2.468</w:t>
            </w:r>
          </w:p>
        </w:tc>
      </w:tr>
      <w:tr w:rsidR="004A5499" w:rsidRPr="00694F0F" w14:paraId="08E7E598" w14:textId="77777777" w:rsidTr="00A65007">
        <w:trPr>
          <w:trHeight w:val="2658"/>
          <w:jc w:val="center"/>
        </w:trPr>
        <w:tc>
          <w:tcPr>
            <w:tcW w:w="2913" w:type="dxa"/>
          </w:tcPr>
          <w:p w14:paraId="1A29302A" w14:textId="19DE2C17" w:rsidR="004A5499" w:rsidRPr="00694F0F" w:rsidRDefault="004A5499" w:rsidP="00694F0F">
            <w:pPr>
              <w:spacing w:line="360" w:lineRule="auto"/>
              <w:ind w:left="60" w:right="60"/>
              <w:rPr>
                <w:rFonts w:ascii="Arial" w:hAnsi="Arial" w:cs="Arial"/>
                <w:sz w:val="24"/>
                <w:szCs w:val="24"/>
              </w:rPr>
            </w:pPr>
            <w:r w:rsidRPr="00694F0F">
              <w:rPr>
                <w:rFonts w:ascii="Arial" w:hAnsi="Arial" w:cs="Arial"/>
                <w:sz w:val="24"/>
                <w:szCs w:val="24"/>
              </w:rPr>
              <w:t>2. ¿Con cuántas personas crees que tendrás relaciones sexuales durante los siguientes cinco años? Por favor da un estimado realista y específico</w:t>
            </w:r>
            <w:r w:rsidR="00A65007" w:rsidRPr="00694F0F">
              <w:rPr>
                <w:rFonts w:ascii="Arial" w:hAnsi="Arial" w:cs="Arial"/>
                <w:sz w:val="24"/>
                <w:szCs w:val="24"/>
              </w:rPr>
              <w:t>.</w:t>
            </w:r>
          </w:p>
        </w:tc>
        <w:tc>
          <w:tcPr>
            <w:tcW w:w="1201" w:type="dxa"/>
          </w:tcPr>
          <w:p w14:paraId="39297E52"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218</w:t>
            </w:r>
          </w:p>
        </w:tc>
        <w:tc>
          <w:tcPr>
            <w:tcW w:w="1202" w:type="dxa"/>
          </w:tcPr>
          <w:p w14:paraId="07DFD913"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0</w:t>
            </w:r>
          </w:p>
        </w:tc>
        <w:tc>
          <w:tcPr>
            <w:tcW w:w="1202" w:type="dxa"/>
          </w:tcPr>
          <w:p w14:paraId="319753BE"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50</w:t>
            </w:r>
          </w:p>
        </w:tc>
        <w:tc>
          <w:tcPr>
            <w:tcW w:w="1202" w:type="dxa"/>
          </w:tcPr>
          <w:p w14:paraId="15746F73"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4.66</w:t>
            </w:r>
          </w:p>
        </w:tc>
        <w:tc>
          <w:tcPr>
            <w:tcW w:w="1242" w:type="dxa"/>
          </w:tcPr>
          <w:p w14:paraId="2EE456EF"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7.217</w:t>
            </w:r>
          </w:p>
        </w:tc>
      </w:tr>
      <w:tr w:rsidR="004A5499" w:rsidRPr="00694F0F" w14:paraId="2F42E760" w14:textId="77777777" w:rsidTr="00A65007">
        <w:trPr>
          <w:trHeight w:val="1344"/>
          <w:jc w:val="center"/>
        </w:trPr>
        <w:tc>
          <w:tcPr>
            <w:tcW w:w="2913" w:type="dxa"/>
            <w:tcBorders>
              <w:bottom w:val="single" w:sz="4" w:space="0" w:color="auto"/>
            </w:tcBorders>
          </w:tcPr>
          <w:p w14:paraId="435FB8BB" w14:textId="7D383E11" w:rsidR="004A5499" w:rsidRPr="00694F0F" w:rsidRDefault="004A5499" w:rsidP="00694F0F">
            <w:pPr>
              <w:spacing w:line="360" w:lineRule="auto"/>
              <w:ind w:left="60" w:right="60"/>
              <w:rPr>
                <w:rFonts w:ascii="Arial" w:hAnsi="Arial" w:cs="Arial"/>
                <w:sz w:val="24"/>
                <w:szCs w:val="24"/>
              </w:rPr>
            </w:pPr>
            <w:r w:rsidRPr="00694F0F">
              <w:rPr>
                <w:rFonts w:ascii="Arial" w:hAnsi="Arial" w:cs="Arial"/>
                <w:sz w:val="24"/>
                <w:szCs w:val="24"/>
              </w:rPr>
              <w:t>3. ¿Con cuántas personas has tenido relaciones sexuales una sola vez?</w:t>
            </w:r>
          </w:p>
        </w:tc>
        <w:tc>
          <w:tcPr>
            <w:tcW w:w="1201" w:type="dxa"/>
            <w:tcBorders>
              <w:bottom w:val="single" w:sz="4" w:space="0" w:color="auto"/>
            </w:tcBorders>
          </w:tcPr>
          <w:p w14:paraId="4A3EC6D5"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218</w:t>
            </w:r>
          </w:p>
        </w:tc>
        <w:tc>
          <w:tcPr>
            <w:tcW w:w="1202" w:type="dxa"/>
            <w:tcBorders>
              <w:bottom w:val="single" w:sz="4" w:space="0" w:color="auto"/>
            </w:tcBorders>
          </w:tcPr>
          <w:p w14:paraId="655EBE9B"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0</w:t>
            </w:r>
          </w:p>
        </w:tc>
        <w:tc>
          <w:tcPr>
            <w:tcW w:w="1202" w:type="dxa"/>
            <w:tcBorders>
              <w:bottom w:val="single" w:sz="4" w:space="0" w:color="auto"/>
            </w:tcBorders>
          </w:tcPr>
          <w:p w14:paraId="7EC3295B"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35</w:t>
            </w:r>
          </w:p>
        </w:tc>
        <w:tc>
          <w:tcPr>
            <w:tcW w:w="1202" w:type="dxa"/>
            <w:tcBorders>
              <w:bottom w:val="single" w:sz="4" w:space="0" w:color="auto"/>
            </w:tcBorders>
          </w:tcPr>
          <w:p w14:paraId="20167B3A"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2.78</w:t>
            </w:r>
          </w:p>
        </w:tc>
        <w:tc>
          <w:tcPr>
            <w:tcW w:w="1242" w:type="dxa"/>
            <w:tcBorders>
              <w:bottom w:val="single" w:sz="4" w:space="0" w:color="auto"/>
            </w:tcBorders>
          </w:tcPr>
          <w:p w14:paraId="19821A98" w14:textId="77777777" w:rsidR="004A5499" w:rsidRPr="00694F0F" w:rsidRDefault="004A5499" w:rsidP="00694F0F">
            <w:pPr>
              <w:spacing w:line="360" w:lineRule="auto"/>
              <w:ind w:left="60" w:right="60"/>
              <w:jc w:val="right"/>
              <w:rPr>
                <w:rFonts w:ascii="Arial" w:hAnsi="Arial" w:cs="Arial"/>
                <w:sz w:val="24"/>
                <w:szCs w:val="24"/>
              </w:rPr>
            </w:pPr>
            <w:r w:rsidRPr="00694F0F">
              <w:rPr>
                <w:rFonts w:ascii="Arial" w:hAnsi="Arial" w:cs="Arial"/>
                <w:sz w:val="24"/>
                <w:szCs w:val="24"/>
              </w:rPr>
              <w:t>4.606</w:t>
            </w:r>
          </w:p>
        </w:tc>
      </w:tr>
      <w:tr w:rsidR="00A65007" w:rsidRPr="00694F0F" w14:paraId="56128F2E" w14:textId="77777777" w:rsidTr="00A65007">
        <w:trPr>
          <w:trHeight w:val="328"/>
          <w:jc w:val="center"/>
        </w:trPr>
        <w:tc>
          <w:tcPr>
            <w:tcW w:w="2913" w:type="dxa"/>
            <w:tcBorders>
              <w:top w:val="single" w:sz="4" w:space="0" w:color="auto"/>
            </w:tcBorders>
          </w:tcPr>
          <w:p w14:paraId="7FCBDDF5" w14:textId="77777777" w:rsidR="00A65007" w:rsidRPr="00694F0F" w:rsidRDefault="00A65007" w:rsidP="00694F0F">
            <w:pPr>
              <w:spacing w:line="360" w:lineRule="auto"/>
              <w:ind w:left="60" w:right="60"/>
              <w:rPr>
                <w:rFonts w:ascii="Arial" w:hAnsi="Arial" w:cs="Arial"/>
                <w:sz w:val="24"/>
                <w:szCs w:val="24"/>
              </w:rPr>
            </w:pPr>
          </w:p>
        </w:tc>
        <w:tc>
          <w:tcPr>
            <w:tcW w:w="1201" w:type="dxa"/>
            <w:tcBorders>
              <w:top w:val="single" w:sz="4" w:space="0" w:color="auto"/>
            </w:tcBorders>
          </w:tcPr>
          <w:p w14:paraId="4B0EFEB5" w14:textId="77777777" w:rsidR="00A65007" w:rsidRPr="00694F0F" w:rsidRDefault="00A65007" w:rsidP="00694F0F">
            <w:pPr>
              <w:spacing w:line="360" w:lineRule="auto"/>
              <w:ind w:left="60" w:right="60"/>
              <w:jc w:val="right"/>
              <w:rPr>
                <w:rFonts w:ascii="Arial" w:hAnsi="Arial" w:cs="Arial"/>
                <w:sz w:val="24"/>
                <w:szCs w:val="24"/>
              </w:rPr>
            </w:pPr>
          </w:p>
        </w:tc>
        <w:tc>
          <w:tcPr>
            <w:tcW w:w="1202" w:type="dxa"/>
            <w:tcBorders>
              <w:top w:val="single" w:sz="4" w:space="0" w:color="auto"/>
            </w:tcBorders>
          </w:tcPr>
          <w:p w14:paraId="194E4597" w14:textId="77777777" w:rsidR="00A65007" w:rsidRPr="00694F0F" w:rsidRDefault="00A65007" w:rsidP="00694F0F">
            <w:pPr>
              <w:spacing w:line="360" w:lineRule="auto"/>
              <w:rPr>
                <w:rFonts w:ascii="Arial" w:hAnsi="Arial" w:cs="Arial"/>
                <w:sz w:val="24"/>
                <w:szCs w:val="24"/>
              </w:rPr>
            </w:pPr>
          </w:p>
        </w:tc>
        <w:tc>
          <w:tcPr>
            <w:tcW w:w="1202" w:type="dxa"/>
            <w:tcBorders>
              <w:top w:val="single" w:sz="4" w:space="0" w:color="auto"/>
            </w:tcBorders>
          </w:tcPr>
          <w:p w14:paraId="6AD0718B" w14:textId="77777777" w:rsidR="00A65007" w:rsidRPr="00694F0F" w:rsidRDefault="00A65007" w:rsidP="00694F0F">
            <w:pPr>
              <w:spacing w:line="360" w:lineRule="auto"/>
              <w:rPr>
                <w:rFonts w:ascii="Arial" w:hAnsi="Arial" w:cs="Arial"/>
                <w:sz w:val="24"/>
                <w:szCs w:val="24"/>
              </w:rPr>
            </w:pPr>
          </w:p>
        </w:tc>
        <w:tc>
          <w:tcPr>
            <w:tcW w:w="1202" w:type="dxa"/>
            <w:tcBorders>
              <w:top w:val="single" w:sz="4" w:space="0" w:color="auto"/>
            </w:tcBorders>
          </w:tcPr>
          <w:p w14:paraId="59A0CA78" w14:textId="77777777" w:rsidR="00A65007" w:rsidRPr="00694F0F" w:rsidRDefault="00A65007" w:rsidP="00694F0F">
            <w:pPr>
              <w:spacing w:line="360" w:lineRule="auto"/>
              <w:rPr>
                <w:rFonts w:ascii="Arial" w:hAnsi="Arial" w:cs="Arial"/>
                <w:sz w:val="24"/>
                <w:szCs w:val="24"/>
              </w:rPr>
            </w:pPr>
          </w:p>
        </w:tc>
        <w:tc>
          <w:tcPr>
            <w:tcW w:w="1242" w:type="dxa"/>
            <w:tcBorders>
              <w:top w:val="single" w:sz="4" w:space="0" w:color="auto"/>
            </w:tcBorders>
          </w:tcPr>
          <w:p w14:paraId="088449DE" w14:textId="77777777" w:rsidR="00A65007" w:rsidRPr="00694F0F" w:rsidRDefault="00A65007" w:rsidP="00694F0F">
            <w:pPr>
              <w:spacing w:line="360" w:lineRule="auto"/>
              <w:rPr>
                <w:rFonts w:ascii="Arial" w:hAnsi="Arial" w:cs="Arial"/>
                <w:sz w:val="24"/>
                <w:szCs w:val="24"/>
              </w:rPr>
            </w:pPr>
          </w:p>
        </w:tc>
      </w:tr>
    </w:tbl>
    <w:p w14:paraId="7A240D3F" w14:textId="79F66C1E" w:rsidR="00A02BD1" w:rsidRPr="00694F0F" w:rsidRDefault="00A02BD1" w:rsidP="00694F0F">
      <w:pPr>
        <w:spacing w:line="360" w:lineRule="auto"/>
        <w:rPr>
          <w:rFonts w:ascii="Arial" w:hAnsi="Arial" w:cs="Arial"/>
          <w:sz w:val="24"/>
          <w:szCs w:val="24"/>
        </w:rPr>
      </w:pPr>
    </w:p>
    <w:p w14:paraId="19F9A7B9" w14:textId="77777777" w:rsidR="004A5499" w:rsidRPr="00694F0F" w:rsidRDefault="004A5499" w:rsidP="00694F0F">
      <w:pPr>
        <w:spacing w:line="360" w:lineRule="auto"/>
        <w:rPr>
          <w:rFonts w:ascii="Arial" w:hAnsi="Arial" w:cs="Arial"/>
          <w:sz w:val="24"/>
          <w:szCs w:val="24"/>
        </w:rPr>
      </w:pPr>
    </w:p>
    <w:tbl>
      <w:tblPr>
        <w:tblStyle w:val="Tablaconcuadrculaclara"/>
        <w:tblW w:w="6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374"/>
        <w:gridCol w:w="1411"/>
        <w:gridCol w:w="2022"/>
      </w:tblGrid>
      <w:tr w:rsidR="00A02BD1" w:rsidRPr="00694F0F" w14:paraId="7D718B46" w14:textId="77777777" w:rsidTr="00913042">
        <w:trPr>
          <w:trHeight w:val="695"/>
          <w:jc w:val="center"/>
        </w:trPr>
        <w:tc>
          <w:tcPr>
            <w:tcW w:w="6807" w:type="dxa"/>
            <w:gridSpan w:val="3"/>
            <w:tcBorders>
              <w:bottom w:val="single" w:sz="4" w:space="0" w:color="auto"/>
            </w:tcBorders>
          </w:tcPr>
          <w:p w14:paraId="541D2717" w14:textId="655BD303" w:rsidR="00A02BD1" w:rsidRPr="00694F0F" w:rsidRDefault="00A02BD1"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Tabla 1. Medias y desviaciones estándar para</w:t>
            </w:r>
            <w:r w:rsidR="00187DD6" w:rsidRPr="00694F0F">
              <w:rPr>
                <w:rFonts w:ascii="Arial" w:hAnsi="Arial" w:cs="Arial"/>
                <w:b/>
                <w:bCs/>
                <w:sz w:val="24"/>
                <w:szCs w:val="24"/>
              </w:rPr>
              <w:t xml:space="preserve"> Actitudes ante la No Monogamia Consensuada y la Orientación Sociosexual.</w:t>
            </w:r>
          </w:p>
        </w:tc>
      </w:tr>
      <w:tr w:rsidR="00A02BD1" w:rsidRPr="00694F0F" w14:paraId="2D1A0757" w14:textId="77777777" w:rsidTr="00913042">
        <w:trPr>
          <w:trHeight w:val="502"/>
          <w:jc w:val="center"/>
        </w:trPr>
        <w:tc>
          <w:tcPr>
            <w:tcW w:w="3374" w:type="dxa"/>
            <w:tcBorders>
              <w:bottom w:val="single" w:sz="4" w:space="0" w:color="auto"/>
            </w:tcBorders>
          </w:tcPr>
          <w:p w14:paraId="07F8E82E" w14:textId="77777777" w:rsidR="00A02BD1" w:rsidRPr="00694F0F" w:rsidRDefault="00A02BD1" w:rsidP="00694F0F">
            <w:pPr>
              <w:spacing w:line="360" w:lineRule="auto"/>
              <w:rPr>
                <w:rFonts w:ascii="Arial" w:hAnsi="Arial" w:cs="Arial"/>
                <w:sz w:val="24"/>
                <w:szCs w:val="24"/>
              </w:rPr>
            </w:pPr>
          </w:p>
        </w:tc>
        <w:tc>
          <w:tcPr>
            <w:tcW w:w="1411" w:type="dxa"/>
            <w:tcBorders>
              <w:bottom w:val="single" w:sz="4" w:space="0" w:color="auto"/>
            </w:tcBorders>
          </w:tcPr>
          <w:p w14:paraId="72EFE7FA" w14:textId="77777777" w:rsidR="00A02BD1" w:rsidRPr="00694F0F" w:rsidRDefault="00A02BD1"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M</w:t>
            </w:r>
          </w:p>
        </w:tc>
        <w:tc>
          <w:tcPr>
            <w:tcW w:w="2022" w:type="dxa"/>
            <w:tcBorders>
              <w:bottom w:val="single" w:sz="4" w:space="0" w:color="auto"/>
            </w:tcBorders>
          </w:tcPr>
          <w:p w14:paraId="78A355A8" w14:textId="77777777" w:rsidR="00A02BD1" w:rsidRPr="00694F0F" w:rsidRDefault="00A02BD1"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DE</w:t>
            </w:r>
          </w:p>
        </w:tc>
      </w:tr>
      <w:tr w:rsidR="00A02BD1" w:rsidRPr="00694F0F" w14:paraId="1552FBF1" w14:textId="77777777" w:rsidTr="00913042">
        <w:trPr>
          <w:trHeight w:val="343"/>
          <w:jc w:val="center"/>
        </w:trPr>
        <w:tc>
          <w:tcPr>
            <w:tcW w:w="3374" w:type="dxa"/>
            <w:tcBorders>
              <w:top w:val="single" w:sz="4" w:space="0" w:color="auto"/>
            </w:tcBorders>
          </w:tcPr>
          <w:p w14:paraId="5A987171" w14:textId="5C1047B8" w:rsidR="00A02BD1" w:rsidRPr="00694F0F" w:rsidRDefault="00A02BD1" w:rsidP="00694F0F">
            <w:pPr>
              <w:spacing w:line="360" w:lineRule="auto"/>
              <w:ind w:left="60" w:right="60"/>
              <w:rPr>
                <w:rFonts w:ascii="Arial" w:hAnsi="Arial" w:cs="Arial"/>
                <w:sz w:val="24"/>
                <w:szCs w:val="24"/>
              </w:rPr>
            </w:pPr>
            <w:r w:rsidRPr="00694F0F">
              <w:rPr>
                <w:rFonts w:ascii="Arial" w:hAnsi="Arial" w:cs="Arial"/>
                <w:sz w:val="24"/>
                <w:szCs w:val="24"/>
              </w:rPr>
              <w:t xml:space="preserve">Actitudes ante </w:t>
            </w:r>
            <w:r w:rsidR="00F56EB7" w:rsidRPr="00694F0F">
              <w:rPr>
                <w:rFonts w:ascii="Arial" w:hAnsi="Arial" w:cs="Arial"/>
                <w:sz w:val="24"/>
                <w:szCs w:val="24"/>
              </w:rPr>
              <w:t xml:space="preserve">la </w:t>
            </w:r>
            <w:r w:rsidRPr="00694F0F">
              <w:rPr>
                <w:rFonts w:ascii="Arial" w:hAnsi="Arial" w:cs="Arial"/>
                <w:sz w:val="24"/>
                <w:szCs w:val="24"/>
              </w:rPr>
              <w:t>No Monogamia Consensuada</w:t>
            </w:r>
          </w:p>
        </w:tc>
        <w:tc>
          <w:tcPr>
            <w:tcW w:w="1411" w:type="dxa"/>
            <w:tcBorders>
              <w:top w:val="single" w:sz="4" w:space="0" w:color="auto"/>
            </w:tcBorders>
          </w:tcPr>
          <w:p w14:paraId="2544D7EA" w14:textId="16F00D89" w:rsidR="00A02BD1"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2.89</w:t>
            </w:r>
          </w:p>
        </w:tc>
        <w:tc>
          <w:tcPr>
            <w:tcW w:w="2022" w:type="dxa"/>
            <w:tcBorders>
              <w:top w:val="single" w:sz="4" w:space="0" w:color="auto"/>
            </w:tcBorders>
          </w:tcPr>
          <w:p w14:paraId="5D1BFA02" w14:textId="4FBF293D" w:rsidR="00A02BD1" w:rsidRPr="00694F0F" w:rsidRDefault="00A02BD1" w:rsidP="00694F0F">
            <w:pPr>
              <w:spacing w:line="360" w:lineRule="auto"/>
              <w:ind w:left="60" w:right="60"/>
              <w:jc w:val="center"/>
              <w:rPr>
                <w:rFonts w:ascii="Arial" w:hAnsi="Arial" w:cs="Arial"/>
                <w:sz w:val="24"/>
                <w:szCs w:val="24"/>
              </w:rPr>
            </w:pPr>
            <w:r w:rsidRPr="00694F0F">
              <w:rPr>
                <w:rFonts w:ascii="Arial" w:hAnsi="Arial" w:cs="Arial"/>
                <w:sz w:val="24"/>
                <w:szCs w:val="24"/>
              </w:rPr>
              <w:t>.</w:t>
            </w:r>
            <w:r w:rsidR="00187DD6" w:rsidRPr="00694F0F">
              <w:rPr>
                <w:rFonts w:ascii="Arial" w:hAnsi="Arial" w:cs="Arial"/>
                <w:sz w:val="24"/>
                <w:szCs w:val="24"/>
              </w:rPr>
              <w:t>81</w:t>
            </w:r>
          </w:p>
        </w:tc>
      </w:tr>
      <w:tr w:rsidR="00A02BD1" w:rsidRPr="00694F0F" w14:paraId="134CC3B2" w14:textId="77777777" w:rsidTr="00913042">
        <w:trPr>
          <w:trHeight w:val="695"/>
          <w:jc w:val="center"/>
        </w:trPr>
        <w:tc>
          <w:tcPr>
            <w:tcW w:w="3374" w:type="dxa"/>
            <w:tcBorders>
              <w:bottom w:val="single" w:sz="4" w:space="0" w:color="auto"/>
            </w:tcBorders>
          </w:tcPr>
          <w:p w14:paraId="073E5D80" w14:textId="6E1E7F46" w:rsidR="00A02BD1" w:rsidRPr="00694F0F" w:rsidRDefault="00F56EB7" w:rsidP="00694F0F">
            <w:pPr>
              <w:spacing w:line="360" w:lineRule="auto"/>
              <w:ind w:left="60" w:right="60"/>
              <w:rPr>
                <w:rFonts w:ascii="Arial" w:hAnsi="Arial" w:cs="Arial"/>
                <w:sz w:val="24"/>
                <w:szCs w:val="24"/>
              </w:rPr>
            </w:pPr>
            <w:r w:rsidRPr="00694F0F">
              <w:rPr>
                <w:rFonts w:ascii="Arial" w:hAnsi="Arial" w:cs="Arial"/>
                <w:sz w:val="24"/>
                <w:szCs w:val="24"/>
              </w:rPr>
              <w:t>Orientación Sociosexual</w:t>
            </w:r>
          </w:p>
        </w:tc>
        <w:tc>
          <w:tcPr>
            <w:tcW w:w="1411" w:type="dxa"/>
            <w:tcBorders>
              <w:bottom w:val="single" w:sz="4" w:space="0" w:color="auto"/>
            </w:tcBorders>
          </w:tcPr>
          <w:p w14:paraId="7E95B191" w14:textId="60650D4D" w:rsidR="00A02BD1"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5.22</w:t>
            </w:r>
          </w:p>
        </w:tc>
        <w:tc>
          <w:tcPr>
            <w:tcW w:w="2022" w:type="dxa"/>
            <w:tcBorders>
              <w:bottom w:val="single" w:sz="4" w:space="0" w:color="auto"/>
            </w:tcBorders>
          </w:tcPr>
          <w:p w14:paraId="4FC9FF1C" w14:textId="7D587E53" w:rsidR="00A02BD1"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1.31</w:t>
            </w:r>
          </w:p>
        </w:tc>
      </w:tr>
    </w:tbl>
    <w:p w14:paraId="02FC3412" w14:textId="77777777" w:rsidR="00A02BD1" w:rsidRPr="00694F0F" w:rsidRDefault="00A02BD1" w:rsidP="00694F0F">
      <w:pPr>
        <w:spacing w:line="360" w:lineRule="auto"/>
        <w:rPr>
          <w:rFonts w:ascii="Arial" w:hAnsi="Arial" w:cs="Arial"/>
          <w:sz w:val="24"/>
          <w:szCs w:val="24"/>
        </w:rPr>
      </w:pPr>
    </w:p>
    <w:p w14:paraId="2066570E" w14:textId="6F036CBB" w:rsidR="00A02BD1" w:rsidRPr="00694F0F" w:rsidRDefault="00A02BD1" w:rsidP="008C5B28">
      <w:pPr>
        <w:spacing w:line="360" w:lineRule="auto"/>
        <w:jc w:val="both"/>
        <w:rPr>
          <w:rFonts w:ascii="Arial" w:hAnsi="Arial" w:cs="Arial"/>
          <w:sz w:val="24"/>
          <w:szCs w:val="24"/>
        </w:rPr>
      </w:pPr>
      <w:r w:rsidRPr="00694F0F">
        <w:rPr>
          <w:rFonts w:ascii="Arial" w:hAnsi="Arial" w:cs="Arial"/>
          <w:sz w:val="24"/>
          <w:szCs w:val="24"/>
        </w:rPr>
        <w:t>Los puntajes</w:t>
      </w:r>
      <w:r w:rsidR="00813DC7" w:rsidRPr="00694F0F">
        <w:rPr>
          <w:rFonts w:ascii="Arial" w:hAnsi="Arial" w:cs="Arial"/>
          <w:sz w:val="24"/>
          <w:szCs w:val="24"/>
        </w:rPr>
        <w:t xml:space="preserve"> muestran que los participantes cuentan con una actitud ante la No monogamia consensuada</w:t>
      </w:r>
      <w:r w:rsidRPr="00694F0F">
        <w:rPr>
          <w:rFonts w:ascii="Arial" w:hAnsi="Arial" w:cs="Arial"/>
          <w:sz w:val="24"/>
          <w:szCs w:val="24"/>
        </w:rPr>
        <w:t xml:space="preserve"> ligeramente superior a la mediana</w:t>
      </w:r>
      <w:r w:rsidR="00813DC7" w:rsidRPr="00694F0F">
        <w:rPr>
          <w:rFonts w:ascii="Arial" w:hAnsi="Arial" w:cs="Arial"/>
          <w:sz w:val="24"/>
          <w:szCs w:val="24"/>
        </w:rPr>
        <w:t xml:space="preserve"> en cambio, una orientación sociosexual mayor a ésta. </w:t>
      </w:r>
    </w:p>
    <w:p w14:paraId="112676A1" w14:textId="77777777" w:rsidR="00A02BD1" w:rsidRPr="00694F0F" w:rsidRDefault="00A02BD1" w:rsidP="00694F0F">
      <w:pPr>
        <w:spacing w:line="360" w:lineRule="auto"/>
        <w:rPr>
          <w:rFonts w:ascii="Arial" w:hAnsi="Arial" w:cs="Arial"/>
          <w:sz w:val="24"/>
          <w:szCs w:val="24"/>
        </w:rPr>
      </w:pPr>
    </w:p>
    <w:tbl>
      <w:tblPr>
        <w:tblStyle w:val="Tablanormal2"/>
        <w:tblW w:w="7701" w:type="dxa"/>
        <w:jc w:val="center"/>
        <w:tblBorders>
          <w:top w:val="none" w:sz="0" w:space="0" w:color="auto"/>
          <w:bottom w:val="none" w:sz="0" w:space="0" w:color="auto"/>
        </w:tblBorders>
        <w:tblLayout w:type="fixed"/>
        <w:tblLook w:val="0000" w:firstRow="0" w:lastRow="0" w:firstColumn="0" w:lastColumn="0" w:noHBand="0" w:noVBand="0"/>
      </w:tblPr>
      <w:tblGrid>
        <w:gridCol w:w="2455"/>
        <w:gridCol w:w="1940"/>
        <w:gridCol w:w="1834"/>
        <w:gridCol w:w="1472"/>
      </w:tblGrid>
      <w:tr w:rsidR="00A02BD1" w:rsidRPr="00694F0F" w14:paraId="549CC941" w14:textId="77777777" w:rsidTr="0091304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701" w:type="dxa"/>
            <w:gridSpan w:val="4"/>
            <w:tcBorders>
              <w:top w:val="none" w:sz="0" w:space="0" w:color="auto"/>
              <w:left w:val="none" w:sz="0" w:space="0" w:color="auto"/>
              <w:bottom w:val="single" w:sz="4" w:space="0" w:color="auto"/>
              <w:right w:val="none" w:sz="0" w:space="0" w:color="auto"/>
            </w:tcBorders>
          </w:tcPr>
          <w:p w14:paraId="0BA1ADFF" w14:textId="6FAA734B" w:rsidR="00A02BD1" w:rsidRPr="00694F0F" w:rsidRDefault="00A02BD1" w:rsidP="00694F0F">
            <w:pPr>
              <w:spacing w:line="360" w:lineRule="auto"/>
              <w:ind w:left="60" w:right="60"/>
              <w:jc w:val="center"/>
              <w:rPr>
                <w:rFonts w:ascii="Arial" w:hAnsi="Arial" w:cs="Arial"/>
                <w:sz w:val="24"/>
                <w:szCs w:val="24"/>
              </w:rPr>
            </w:pPr>
            <w:r w:rsidRPr="00694F0F">
              <w:rPr>
                <w:rFonts w:ascii="Arial" w:hAnsi="Arial" w:cs="Arial"/>
                <w:b/>
                <w:bCs/>
                <w:sz w:val="24"/>
                <w:szCs w:val="24"/>
              </w:rPr>
              <w:lastRenderedPageBreak/>
              <w:t>Tabla 2. Intercorrelaciones para la escala de</w:t>
            </w:r>
            <w:r w:rsidR="00187DD6" w:rsidRPr="00694F0F">
              <w:rPr>
                <w:rFonts w:ascii="Arial" w:hAnsi="Arial" w:cs="Arial"/>
                <w:b/>
                <w:bCs/>
                <w:sz w:val="24"/>
                <w:szCs w:val="24"/>
              </w:rPr>
              <w:t xml:space="preserve"> Actitudes ante la No Monogamia Consensuada y la Orientación Sociosexual.</w:t>
            </w:r>
          </w:p>
        </w:tc>
      </w:tr>
      <w:tr w:rsidR="00A02BD1" w:rsidRPr="00694F0F" w14:paraId="107540C9" w14:textId="77777777" w:rsidTr="00913042">
        <w:trPr>
          <w:jc w:val="center"/>
        </w:trPr>
        <w:tc>
          <w:tcPr>
            <w:cnfStyle w:val="000010000000" w:firstRow="0" w:lastRow="0" w:firstColumn="0" w:lastColumn="0" w:oddVBand="1" w:evenVBand="0" w:oddHBand="0" w:evenHBand="0" w:firstRowFirstColumn="0" w:firstRowLastColumn="0" w:lastRowFirstColumn="0" w:lastRowLastColumn="0"/>
            <w:tcW w:w="4395" w:type="dxa"/>
            <w:gridSpan w:val="2"/>
            <w:tcBorders>
              <w:top w:val="single" w:sz="4" w:space="0" w:color="auto"/>
              <w:left w:val="none" w:sz="0" w:space="0" w:color="auto"/>
              <w:right w:val="none" w:sz="0" w:space="0" w:color="auto"/>
            </w:tcBorders>
          </w:tcPr>
          <w:p w14:paraId="1DE1B69B" w14:textId="77777777" w:rsidR="00A02BD1" w:rsidRPr="00694F0F" w:rsidRDefault="00A02BD1" w:rsidP="00694F0F">
            <w:pPr>
              <w:tabs>
                <w:tab w:val="left" w:pos="333"/>
                <w:tab w:val="center" w:pos="2089"/>
              </w:tabs>
              <w:spacing w:line="360" w:lineRule="auto"/>
              <w:ind w:left="60" w:right="60"/>
              <w:jc w:val="center"/>
              <w:rPr>
                <w:rFonts w:ascii="Arial" w:hAnsi="Arial" w:cs="Arial"/>
                <w:sz w:val="24"/>
                <w:szCs w:val="24"/>
              </w:rPr>
            </w:pPr>
            <w:r w:rsidRPr="00694F0F">
              <w:rPr>
                <w:rFonts w:ascii="Arial" w:hAnsi="Arial" w:cs="Arial"/>
                <w:b/>
                <w:bCs/>
                <w:sz w:val="24"/>
                <w:szCs w:val="24"/>
              </w:rPr>
              <w:t>Medida</w:t>
            </w:r>
          </w:p>
        </w:tc>
        <w:tc>
          <w:tcPr>
            <w:cnfStyle w:val="000001000000" w:firstRow="0" w:lastRow="0" w:firstColumn="0" w:lastColumn="0" w:oddVBand="0" w:evenVBand="1" w:oddHBand="0" w:evenHBand="0" w:firstRowFirstColumn="0" w:firstRowLastColumn="0" w:lastRowFirstColumn="0" w:lastRowLastColumn="0"/>
            <w:tcW w:w="1834" w:type="dxa"/>
            <w:tcBorders>
              <w:top w:val="single" w:sz="4" w:space="0" w:color="auto"/>
              <w:left w:val="none" w:sz="0" w:space="0" w:color="auto"/>
              <w:bottom w:val="single" w:sz="4" w:space="0" w:color="auto"/>
              <w:right w:val="none" w:sz="0" w:space="0" w:color="auto"/>
            </w:tcBorders>
          </w:tcPr>
          <w:p w14:paraId="772712AD" w14:textId="77777777" w:rsidR="00A02BD1" w:rsidRPr="00694F0F" w:rsidRDefault="00A02BD1"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1</w:t>
            </w:r>
          </w:p>
        </w:tc>
        <w:tc>
          <w:tcPr>
            <w:cnfStyle w:val="000010000000" w:firstRow="0" w:lastRow="0" w:firstColumn="0" w:lastColumn="0" w:oddVBand="1" w:evenVBand="0" w:oddHBand="0" w:evenHBand="0" w:firstRowFirstColumn="0" w:firstRowLastColumn="0" w:lastRowFirstColumn="0" w:lastRowLastColumn="0"/>
            <w:tcW w:w="1472" w:type="dxa"/>
            <w:tcBorders>
              <w:top w:val="single" w:sz="4" w:space="0" w:color="auto"/>
              <w:left w:val="none" w:sz="0" w:space="0" w:color="auto"/>
              <w:bottom w:val="single" w:sz="4" w:space="0" w:color="auto"/>
              <w:right w:val="none" w:sz="0" w:space="0" w:color="auto"/>
            </w:tcBorders>
          </w:tcPr>
          <w:p w14:paraId="310463CB" w14:textId="77777777" w:rsidR="00A02BD1" w:rsidRPr="00694F0F" w:rsidRDefault="00A02BD1" w:rsidP="00694F0F">
            <w:pPr>
              <w:spacing w:line="360" w:lineRule="auto"/>
              <w:ind w:left="60" w:right="60"/>
              <w:jc w:val="center"/>
              <w:rPr>
                <w:rFonts w:ascii="Arial" w:hAnsi="Arial" w:cs="Arial"/>
                <w:b/>
                <w:bCs/>
                <w:sz w:val="24"/>
                <w:szCs w:val="24"/>
              </w:rPr>
            </w:pPr>
            <w:r w:rsidRPr="00694F0F">
              <w:rPr>
                <w:rFonts w:ascii="Arial" w:hAnsi="Arial" w:cs="Arial"/>
                <w:b/>
                <w:bCs/>
                <w:sz w:val="24"/>
                <w:szCs w:val="24"/>
              </w:rPr>
              <w:t>2</w:t>
            </w:r>
          </w:p>
        </w:tc>
      </w:tr>
      <w:tr w:rsidR="00187DD6" w:rsidRPr="00694F0F" w14:paraId="3AFC4086" w14:textId="77777777" w:rsidTr="0091304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55" w:type="dxa"/>
            <w:vMerge w:val="restart"/>
            <w:tcBorders>
              <w:top w:val="single" w:sz="4" w:space="0" w:color="auto"/>
              <w:left w:val="none" w:sz="0" w:space="0" w:color="auto"/>
              <w:bottom w:val="none" w:sz="0" w:space="0" w:color="auto"/>
              <w:right w:val="none" w:sz="0" w:space="0" w:color="auto"/>
            </w:tcBorders>
          </w:tcPr>
          <w:p w14:paraId="73E04B6D" w14:textId="5D4B2FD0" w:rsidR="00187DD6" w:rsidRPr="00694F0F" w:rsidRDefault="00187DD6" w:rsidP="00694F0F">
            <w:pPr>
              <w:spacing w:line="360" w:lineRule="auto"/>
              <w:ind w:left="60" w:right="60"/>
              <w:rPr>
                <w:rFonts w:ascii="Arial" w:hAnsi="Arial" w:cs="Arial"/>
                <w:sz w:val="24"/>
                <w:szCs w:val="24"/>
              </w:rPr>
            </w:pPr>
            <w:r w:rsidRPr="00694F0F">
              <w:rPr>
                <w:rFonts w:ascii="Arial" w:hAnsi="Arial" w:cs="Arial"/>
                <w:sz w:val="24"/>
                <w:szCs w:val="24"/>
              </w:rPr>
              <w:t>1. Actitudes ante la No Monogamia Consensuada</w:t>
            </w:r>
          </w:p>
          <w:p w14:paraId="7D4310EB" w14:textId="21A8E607" w:rsidR="00187DD6" w:rsidRPr="00694F0F" w:rsidRDefault="00187DD6" w:rsidP="00694F0F">
            <w:pPr>
              <w:spacing w:line="360" w:lineRule="auto"/>
              <w:ind w:left="60" w:right="60"/>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940" w:type="dxa"/>
            <w:tcBorders>
              <w:top w:val="single" w:sz="4" w:space="0" w:color="auto"/>
              <w:left w:val="none" w:sz="0" w:space="0" w:color="auto"/>
              <w:bottom w:val="none" w:sz="0" w:space="0" w:color="auto"/>
              <w:right w:val="none" w:sz="0" w:space="0" w:color="auto"/>
            </w:tcBorders>
          </w:tcPr>
          <w:p w14:paraId="10ED0687" w14:textId="77777777" w:rsidR="00187DD6" w:rsidRPr="00694F0F" w:rsidRDefault="00187DD6" w:rsidP="00694F0F">
            <w:pPr>
              <w:spacing w:line="360" w:lineRule="auto"/>
              <w:ind w:left="60" w:right="60"/>
              <w:rPr>
                <w:rFonts w:ascii="Arial" w:hAnsi="Arial" w:cs="Arial"/>
                <w:sz w:val="24"/>
                <w:szCs w:val="24"/>
              </w:rPr>
            </w:pPr>
            <w:r w:rsidRPr="00694F0F">
              <w:rPr>
                <w:rFonts w:ascii="Arial" w:hAnsi="Arial" w:cs="Arial"/>
                <w:sz w:val="24"/>
                <w:szCs w:val="24"/>
              </w:rPr>
              <w:t>Correlación de Pearson</w:t>
            </w:r>
          </w:p>
        </w:tc>
        <w:tc>
          <w:tcPr>
            <w:cnfStyle w:val="000010000000" w:firstRow="0" w:lastRow="0" w:firstColumn="0" w:lastColumn="0" w:oddVBand="1" w:evenVBand="0" w:oddHBand="0" w:evenHBand="0" w:firstRowFirstColumn="0" w:firstRowLastColumn="0" w:lastRowFirstColumn="0" w:lastRowLastColumn="0"/>
            <w:tcW w:w="1834" w:type="dxa"/>
            <w:tcBorders>
              <w:top w:val="single" w:sz="4" w:space="0" w:color="auto"/>
              <w:left w:val="none" w:sz="0" w:space="0" w:color="auto"/>
              <w:bottom w:val="none" w:sz="0" w:space="0" w:color="auto"/>
              <w:right w:val="none" w:sz="0" w:space="0" w:color="auto"/>
            </w:tcBorders>
          </w:tcPr>
          <w:p w14:paraId="702025F5" w14:textId="77777777" w:rsidR="00187DD6"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1472" w:type="dxa"/>
            <w:tcBorders>
              <w:top w:val="single" w:sz="4" w:space="0" w:color="auto"/>
              <w:left w:val="none" w:sz="0" w:space="0" w:color="auto"/>
              <w:bottom w:val="none" w:sz="0" w:space="0" w:color="auto"/>
              <w:right w:val="none" w:sz="0" w:space="0" w:color="auto"/>
            </w:tcBorders>
          </w:tcPr>
          <w:p w14:paraId="1C5D1BB2" w14:textId="26442CB0" w:rsidR="00187DD6"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.434**</w:t>
            </w:r>
          </w:p>
        </w:tc>
      </w:tr>
      <w:tr w:rsidR="00187DD6" w:rsidRPr="00694F0F" w14:paraId="64DD1584" w14:textId="77777777" w:rsidTr="00913042">
        <w:trPr>
          <w:jc w:val="center"/>
        </w:trPr>
        <w:tc>
          <w:tcPr>
            <w:cnfStyle w:val="000010000000" w:firstRow="0" w:lastRow="0" w:firstColumn="0" w:lastColumn="0" w:oddVBand="1" w:evenVBand="0" w:oddHBand="0" w:evenHBand="0" w:firstRowFirstColumn="0" w:firstRowLastColumn="0" w:lastRowFirstColumn="0" w:lastRowLastColumn="0"/>
            <w:tcW w:w="2455" w:type="dxa"/>
            <w:vMerge/>
            <w:tcBorders>
              <w:left w:val="none" w:sz="0" w:space="0" w:color="auto"/>
              <w:right w:val="none" w:sz="0" w:space="0" w:color="auto"/>
            </w:tcBorders>
          </w:tcPr>
          <w:p w14:paraId="7A442BBE" w14:textId="77777777" w:rsidR="00187DD6" w:rsidRPr="00694F0F" w:rsidRDefault="00187DD6" w:rsidP="00694F0F">
            <w:pPr>
              <w:spacing w:line="360" w:lineRule="auto"/>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940" w:type="dxa"/>
            <w:tcBorders>
              <w:left w:val="none" w:sz="0" w:space="0" w:color="auto"/>
              <w:right w:val="none" w:sz="0" w:space="0" w:color="auto"/>
            </w:tcBorders>
          </w:tcPr>
          <w:p w14:paraId="244F1AC6" w14:textId="77777777" w:rsidR="00187DD6" w:rsidRPr="00694F0F" w:rsidRDefault="00187DD6" w:rsidP="00694F0F">
            <w:pPr>
              <w:spacing w:line="360" w:lineRule="auto"/>
              <w:ind w:right="6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834" w:type="dxa"/>
            <w:tcBorders>
              <w:left w:val="none" w:sz="0" w:space="0" w:color="auto"/>
              <w:right w:val="none" w:sz="0" w:space="0" w:color="auto"/>
            </w:tcBorders>
          </w:tcPr>
          <w:p w14:paraId="09C2F66C" w14:textId="77777777" w:rsidR="00187DD6" w:rsidRPr="00694F0F" w:rsidRDefault="00187DD6" w:rsidP="00694F0F">
            <w:pPr>
              <w:spacing w:line="360" w:lineRule="auto"/>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472" w:type="dxa"/>
            <w:tcBorders>
              <w:left w:val="none" w:sz="0" w:space="0" w:color="auto"/>
              <w:right w:val="none" w:sz="0" w:space="0" w:color="auto"/>
            </w:tcBorders>
          </w:tcPr>
          <w:p w14:paraId="17745492" w14:textId="77777777" w:rsidR="00187DD6" w:rsidRPr="00694F0F" w:rsidRDefault="00187DD6" w:rsidP="00694F0F">
            <w:pPr>
              <w:spacing w:line="360" w:lineRule="auto"/>
              <w:ind w:left="60" w:right="60"/>
              <w:jc w:val="center"/>
              <w:rPr>
                <w:rFonts w:ascii="Arial" w:hAnsi="Arial" w:cs="Arial"/>
                <w:sz w:val="24"/>
                <w:szCs w:val="24"/>
              </w:rPr>
            </w:pPr>
          </w:p>
        </w:tc>
      </w:tr>
      <w:tr w:rsidR="00187DD6" w:rsidRPr="00694F0F" w14:paraId="09437F39" w14:textId="77777777" w:rsidTr="0091304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55" w:type="dxa"/>
            <w:tcBorders>
              <w:top w:val="none" w:sz="0" w:space="0" w:color="auto"/>
              <w:left w:val="none" w:sz="0" w:space="0" w:color="auto"/>
              <w:bottom w:val="single" w:sz="4" w:space="0" w:color="auto"/>
              <w:right w:val="none" w:sz="0" w:space="0" w:color="auto"/>
            </w:tcBorders>
          </w:tcPr>
          <w:p w14:paraId="52830D1B" w14:textId="21557632" w:rsidR="00187DD6" w:rsidRPr="00694F0F" w:rsidRDefault="00187DD6" w:rsidP="00694F0F">
            <w:pPr>
              <w:spacing w:line="360" w:lineRule="auto"/>
              <w:ind w:left="60" w:right="60"/>
              <w:rPr>
                <w:rFonts w:ascii="Arial" w:hAnsi="Arial" w:cs="Arial"/>
                <w:sz w:val="24"/>
                <w:szCs w:val="24"/>
              </w:rPr>
            </w:pPr>
            <w:r w:rsidRPr="00694F0F">
              <w:rPr>
                <w:rFonts w:ascii="Arial" w:hAnsi="Arial" w:cs="Arial"/>
                <w:sz w:val="24"/>
                <w:szCs w:val="24"/>
              </w:rPr>
              <w:t xml:space="preserve">2. Orientación Sociosexual </w:t>
            </w:r>
          </w:p>
        </w:tc>
        <w:tc>
          <w:tcPr>
            <w:cnfStyle w:val="000001000000" w:firstRow="0" w:lastRow="0" w:firstColumn="0" w:lastColumn="0" w:oddVBand="0" w:evenVBand="1" w:oddHBand="0" w:evenHBand="0" w:firstRowFirstColumn="0" w:firstRowLastColumn="0" w:lastRowFirstColumn="0" w:lastRowLastColumn="0"/>
            <w:tcW w:w="1940" w:type="dxa"/>
            <w:tcBorders>
              <w:top w:val="none" w:sz="0" w:space="0" w:color="auto"/>
              <w:left w:val="none" w:sz="0" w:space="0" w:color="auto"/>
              <w:bottom w:val="single" w:sz="4" w:space="0" w:color="auto"/>
              <w:right w:val="none" w:sz="0" w:space="0" w:color="auto"/>
            </w:tcBorders>
          </w:tcPr>
          <w:p w14:paraId="089AAE50" w14:textId="77777777" w:rsidR="00187DD6" w:rsidRPr="00694F0F" w:rsidRDefault="00187DD6" w:rsidP="00694F0F">
            <w:pPr>
              <w:spacing w:line="360" w:lineRule="auto"/>
              <w:ind w:left="60" w:right="60"/>
              <w:rPr>
                <w:rFonts w:ascii="Arial" w:hAnsi="Arial" w:cs="Arial"/>
                <w:sz w:val="24"/>
                <w:szCs w:val="24"/>
              </w:rPr>
            </w:pPr>
            <w:r w:rsidRPr="00694F0F">
              <w:rPr>
                <w:rFonts w:ascii="Arial" w:hAnsi="Arial" w:cs="Arial"/>
                <w:sz w:val="24"/>
                <w:szCs w:val="24"/>
              </w:rPr>
              <w:t>Correlación de Pearson</w:t>
            </w:r>
          </w:p>
        </w:tc>
        <w:tc>
          <w:tcPr>
            <w:cnfStyle w:val="000010000000" w:firstRow="0" w:lastRow="0" w:firstColumn="0" w:lastColumn="0" w:oddVBand="1" w:evenVBand="0" w:oddHBand="0" w:evenHBand="0" w:firstRowFirstColumn="0" w:firstRowLastColumn="0" w:lastRowFirstColumn="0" w:lastRowLastColumn="0"/>
            <w:tcW w:w="1834" w:type="dxa"/>
            <w:tcBorders>
              <w:top w:val="none" w:sz="0" w:space="0" w:color="auto"/>
              <w:left w:val="none" w:sz="0" w:space="0" w:color="auto"/>
              <w:bottom w:val="single" w:sz="4" w:space="0" w:color="auto"/>
              <w:right w:val="none" w:sz="0" w:space="0" w:color="auto"/>
            </w:tcBorders>
          </w:tcPr>
          <w:p w14:paraId="311DDCF3" w14:textId="03302F44" w:rsidR="00187DD6"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.434</w:t>
            </w:r>
            <w:r w:rsidRPr="00694F0F">
              <w:rPr>
                <w:rFonts w:ascii="Arial" w:hAnsi="Arial" w:cs="Arial"/>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472" w:type="dxa"/>
            <w:tcBorders>
              <w:top w:val="none" w:sz="0" w:space="0" w:color="auto"/>
              <w:left w:val="none" w:sz="0" w:space="0" w:color="auto"/>
              <w:bottom w:val="single" w:sz="4" w:space="0" w:color="auto"/>
              <w:right w:val="none" w:sz="0" w:space="0" w:color="auto"/>
            </w:tcBorders>
          </w:tcPr>
          <w:p w14:paraId="61B21E5B" w14:textId="79CF30C9" w:rsidR="00187DD6" w:rsidRPr="00694F0F" w:rsidRDefault="00187DD6" w:rsidP="00694F0F">
            <w:pPr>
              <w:spacing w:line="360" w:lineRule="auto"/>
              <w:ind w:left="60" w:right="60"/>
              <w:jc w:val="center"/>
              <w:rPr>
                <w:rFonts w:ascii="Arial" w:hAnsi="Arial" w:cs="Arial"/>
                <w:sz w:val="24"/>
                <w:szCs w:val="24"/>
              </w:rPr>
            </w:pPr>
            <w:r w:rsidRPr="00694F0F">
              <w:rPr>
                <w:rFonts w:ascii="Arial" w:hAnsi="Arial" w:cs="Arial"/>
                <w:sz w:val="24"/>
                <w:szCs w:val="24"/>
              </w:rPr>
              <w:t>-</w:t>
            </w:r>
          </w:p>
        </w:tc>
      </w:tr>
    </w:tbl>
    <w:p w14:paraId="7D747257" w14:textId="77777777" w:rsidR="00A02BD1" w:rsidRPr="00694F0F" w:rsidRDefault="00A02BD1" w:rsidP="00694F0F">
      <w:pPr>
        <w:spacing w:line="360" w:lineRule="auto"/>
        <w:rPr>
          <w:rFonts w:ascii="Arial" w:hAnsi="Arial" w:cs="Arial"/>
          <w:i/>
          <w:iCs/>
          <w:sz w:val="24"/>
          <w:szCs w:val="24"/>
        </w:rPr>
      </w:pPr>
      <w:r w:rsidRPr="00694F0F">
        <w:rPr>
          <w:rFonts w:ascii="Arial" w:hAnsi="Arial" w:cs="Arial"/>
          <w:b/>
          <w:bCs/>
          <w:i/>
          <w:iCs/>
          <w:sz w:val="24"/>
          <w:szCs w:val="24"/>
        </w:rPr>
        <w:t>Nota</w:t>
      </w:r>
      <w:r w:rsidRPr="00694F0F">
        <w:rPr>
          <w:rFonts w:ascii="Arial" w:hAnsi="Arial" w:cs="Arial"/>
          <w:i/>
          <w:iCs/>
          <w:sz w:val="24"/>
          <w:szCs w:val="24"/>
        </w:rPr>
        <w:t xml:space="preserve">. Todos los coeficientes ** son significativos a p&lt; 01. </w:t>
      </w:r>
    </w:p>
    <w:p w14:paraId="77535C21" w14:textId="6A920244" w:rsidR="00A02BD1" w:rsidRPr="00694F0F" w:rsidRDefault="00A02BD1" w:rsidP="008C5B28">
      <w:pPr>
        <w:spacing w:line="360" w:lineRule="auto"/>
        <w:jc w:val="both"/>
        <w:rPr>
          <w:rFonts w:ascii="Arial" w:hAnsi="Arial" w:cs="Arial"/>
          <w:sz w:val="24"/>
          <w:szCs w:val="24"/>
        </w:rPr>
      </w:pPr>
      <w:r w:rsidRPr="00694F0F">
        <w:rPr>
          <w:rFonts w:ascii="Arial" w:hAnsi="Arial" w:cs="Arial"/>
          <w:sz w:val="24"/>
          <w:szCs w:val="24"/>
        </w:rPr>
        <w:t xml:space="preserve">Todas las escalas presentan correlaciones significativas y positivas. </w:t>
      </w:r>
    </w:p>
    <w:p w14:paraId="5309A723" w14:textId="301F8207" w:rsidR="00452EF0" w:rsidRPr="00694F0F" w:rsidRDefault="002A726B" w:rsidP="00694F0F">
      <w:pPr>
        <w:spacing w:line="360" w:lineRule="auto"/>
        <w:jc w:val="center"/>
        <w:rPr>
          <w:rFonts w:ascii="Arial" w:hAnsi="Arial" w:cs="Arial"/>
          <w:sz w:val="24"/>
          <w:szCs w:val="24"/>
        </w:rPr>
      </w:pPr>
      <w:r w:rsidRPr="00694F0F">
        <w:rPr>
          <w:rFonts w:ascii="Arial" w:hAnsi="Arial" w:cs="Arial"/>
          <w:b/>
          <w:bCs/>
          <w:sz w:val="24"/>
          <w:szCs w:val="24"/>
        </w:rPr>
        <w:t xml:space="preserve"> Conclusione</w:t>
      </w:r>
      <w:r w:rsidR="00452EF0" w:rsidRPr="00694F0F">
        <w:rPr>
          <w:rFonts w:ascii="Arial" w:hAnsi="Arial" w:cs="Arial"/>
          <w:b/>
          <w:bCs/>
          <w:sz w:val="24"/>
          <w:szCs w:val="24"/>
        </w:rPr>
        <w:t>s</w:t>
      </w:r>
    </w:p>
    <w:p w14:paraId="52AB1D15" w14:textId="6A048F1B" w:rsidR="00813DC7" w:rsidRPr="00694F0F" w:rsidRDefault="00B75E9B" w:rsidP="00F343DB">
      <w:pPr>
        <w:spacing w:line="360" w:lineRule="auto"/>
        <w:rPr>
          <w:rFonts w:ascii="Arial" w:hAnsi="Arial" w:cs="Arial"/>
          <w:sz w:val="24"/>
          <w:szCs w:val="24"/>
        </w:rPr>
      </w:pPr>
      <w:r w:rsidRPr="00694F0F">
        <w:rPr>
          <w:rFonts w:ascii="Arial" w:hAnsi="Arial" w:cs="Arial"/>
          <w:sz w:val="24"/>
          <w:szCs w:val="24"/>
        </w:rPr>
        <w:t xml:space="preserve">El presente estudio muestra la asociación existente entre </w:t>
      </w:r>
      <w:r w:rsidR="0077006F" w:rsidRPr="00694F0F">
        <w:rPr>
          <w:rFonts w:ascii="Arial" w:hAnsi="Arial" w:cs="Arial"/>
          <w:sz w:val="24"/>
          <w:szCs w:val="24"/>
        </w:rPr>
        <w:t xml:space="preserve">las creencias en torno a las relaciones No Monógamas Consensuadas y la disposición de los individuos a entablar relaciones sexuales fuera de la relación primaria. Es decir que a mayor socio sexualidad, existe una mayor apertura a la no monogamia consensuada. </w:t>
      </w:r>
    </w:p>
    <w:p w14:paraId="333A0AD9" w14:textId="193520B9" w:rsidR="00813DC7" w:rsidRPr="00694F0F" w:rsidRDefault="0077006F" w:rsidP="00F343DB">
      <w:pPr>
        <w:spacing w:line="360" w:lineRule="auto"/>
        <w:jc w:val="both"/>
        <w:rPr>
          <w:rFonts w:ascii="Arial" w:hAnsi="Arial" w:cs="Arial"/>
          <w:sz w:val="24"/>
          <w:szCs w:val="24"/>
        </w:rPr>
      </w:pPr>
      <w:r w:rsidRPr="00694F0F">
        <w:rPr>
          <w:rFonts w:ascii="Arial" w:hAnsi="Arial" w:cs="Arial"/>
          <w:sz w:val="24"/>
          <w:szCs w:val="24"/>
        </w:rPr>
        <w:t xml:space="preserve">Los presentes resultados confirman los reportados por Marisa T. Cohen y Karen Wilson  (2016) donde los individuos no restringidos, suelen tener relaciones sexuales con otros que no sean su pareja, mucho antes que los restringidos, “…son más propensos a tener relaciones sexuales con más de una pareja a la vez... y </w:t>
      </w:r>
      <w:r w:rsidR="006F79B0" w:rsidRPr="00694F0F">
        <w:rPr>
          <w:rFonts w:ascii="Arial" w:hAnsi="Arial" w:cs="Arial"/>
          <w:sz w:val="24"/>
          <w:szCs w:val="24"/>
        </w:rPr>
        <w:t xml:space="preserve">por lo tanto, </w:t>
      </w:r>
      <w:r w:rsidRPr="00694F0F">
        <w:rPr>
          <w:rFonts w:ascii="Arial" w:hAnsi="Arial" w:cs="Arial"/>
          <w:sz w:val="24"/>
          <w:szCs w:val="24"/>
        </w:rPr>
        <w:t>tienden a participar en relaciones sexuales caracterizadas por menos inversión expresada, menos compromiso, y lazos afectivos más débiles”</w:t>
      </w:r>
      <w:r w:rsidR="006F79B0" w:rsidRPr="00694F0F">
        <w:rPr>
          <w:rFonts w:ascii="Arial" w:hAnsi="Arial" w:cs="Arial"/>
          <w:sz w:val="24"/>
          <w:szCs w:val="24"/>
        </w:rPr>
        <w:t xml:space="preserve"> mostrando una mayor apertura a modelos menos restrictivos que el monógamo. </w:t>
      </w:r>
    </w:p>
    <w:p w14:paraId="39A7E77A" w14:textId="0987A10C" w:rsidR="00351646" w:rsidRPr="00694F0F" w:rsidRDefault="00351646" w:rsidP="00F343DB">
      <w:pPr>
        <w:spacing w:line="360" w:lineRule="auto"/>
        <w:jc w:val="both"/>
        <w:rPr>
          <w:rFonts w:ascii="Arial" w:hAnsi="Arial" w:cs="Arial"/>
          <w:sz w:val="24"/>
          <w:szCs w:val="24"/>
        </w:rPr>
      </w:pPr>
      <w:r w:rsidRPr="00694F0F">
        <w:rPr>
          <w:rFonts w:ascii="Arial" w:hAnsi="Arial" w:cs="Arial"/>
          <w:sz w:val="24"/>
          <w:szCs w:val="24"/>
        </w:rPr>
        <w:t xml:space="preserve">La prescripción socio cultural del modelo monógamo, a pesar de su claro fracaso en las consecuencias derivadas del mismo como, divorcios, violencia de pareja etc. </w:t>
      </w:r>
      <w:r w:rsidR="00FA607F" w:rsidRPr="00694F0F">
        <w:rPr>
          <w:rFonts w:ascii="Arial" w:hAnsi="Arial" w:cs="Arial"/>
          <w:sz w:val="24"/>
          <w:szCs w:val="24"/>
        </w:rPr>
        <w:t>s</w:t>
      </w:r>
      <w:r w:rsidRPr="00694F0F">
        <w:rPr>
          <w:rFonts w:ascii="Arial" w:hAnsi="Arial" w:cs="Arial"/>
          <w:sz w:val="24"/>
          <w:szCs w:val="24"/>
        </w:rPr>
        <w:t xml:space="preserve">igue exigiendo una postura clara a cada individuo involucrado en una relación romántica. En una sociedad mononormativa y centrada en la pareja, esta postura es muchas veces impuesta y sostenida por falta de información y por procesos cognitivos como atención selectiva, necesidad de ser congruentes y evitar disonancia etc. </w:t>
      </w:r>
      <w:r w:rsidR="00753F4A" w:rsidRPr="00694F0F">
        <w:rPr>
          <w:rFonts w:ascii="Arial" w:hAnsi="Arial" w:cs="Arial"/>
          <w:sz w:val="24"/>
          <w:szCs w:val="24"/>
        </w:rPr>
        <w:t>E</w:t>
      </w:r>
      <w:r w:rsidRPr="00694F0F">
        <w:rPr>
          <w:rFonts w:ascii="Arial" w:hAnsi="Arial" w:cs="Arial"/>
          <w:sz w:val="24"/>
          <w:szCs w:val="24"/>
        </w:rPr>
        <w:t xml:space="preserve">l hecho de que la gente esté </w:t>
      </w:r>
      <w:r w:rsidRPr="00694F0F">
        <w:rPr>
          <w:rFonts w:ascii="Arial" w:hAnsi="Arial" w:cs="Arial"/>
          <w:sz w:val="24"/>
          <w:szCs w:val="24"/>
        </w:rPr>
        <w:lastRenderedPageBreak/>
        <w:t>informada respecto a las distintas opciones de modelos relacionales, de tal forma que la monogamia sea algo que se pueda elegir libre</w:t>
      </w:r>
      <w:r w:rsidR="00753F4A" w:rsidRPr="00694F0F">
        <w:rPr>
          <w:rFonts w:ascii="Arial" w:hAnsi="Arial" w:cs="Arial"/>
          <w:sz w:val="24"/>
          <w:szCs w:val="24"/>
        </w:rPr>
        <w:t xml:space="preserve">mente entre ellos, resulta fundamental para el ejercicio del derecho a decidir sobre nuestros vínculos afectivos y la propia sexualidad. </w:t>
      </w:r>
    </w:p>
    <w:p w14:paraId="2F243F92" w14:textId="34465254" w:rsidR="00827C77" w:rsidRPr="00694F0F" w:rsidRDefault="009A3FD8" w:rsidP="00F343DB">
      <w:pPr>
        <w:spacing w:line="360" w:lineRule="auto"/>
        <w:jc w:val="both"/>
        <w:rPr>
          <w:rFonts w:ascii="Arial" w:hAnsi="Arial" w:cs="Arial"/>
          <w:sz w:val="24"/>
          <w:szCs w:val="24"/>
        </w:rPr>
      </w:pPr>
      <w:r w:rsidRPr="00694F0F">
        <w:rPr>
          <w:rFonts w:ascii="Arial" w:hAnsi="Arial" w:cs="Arial"/>
          <w:sz w:val="24"/>
          <w:szCs w:val="24"/>
        </w:rPr>
        <w:t xml:space="preserve">Comprender los procesos en los que el estigma social más amplio hacia la </w:t>
      </w:r>
      <w:r w:rsidR="008D7BFC" w:rsidRPr="00694F0F">
        <w:rPr>
          <w:rFonts w:ascii="Arial" w:hAnsi="Arial" w:cs="Arial"/>
          <w:sz w:val="24"/>
          <w:szCs w:val="24"/>
        </w:rPr>
        <w:t>no monogamia</w:t>
      </w:r>
      <w:r w:rsidRPr="00694F0F">
        <w:rPr>
          <w:rFonts w:ascii="Arial" w:hAnsi="Arial" w:cs="Arial"/>
          <w:sz w:val="24"/>
          <w:szCs w:val="24"/>
        </w:rPr>
        <w:t xml:space="preserve"> puede internalizarse y afectar el bienestar</w:t>
      </w:r>
      <w:r w:rsidR="008D7BFC" w:rsidRPr="00694F0F">
        <w:rPr>
          <w:rFonts w:ascii="Arial" w:hAnsi="Arial" w:cs="Arial"/>
          <w:sz w:val="24"/>
          <w:szCs w:val="24"/>
        </w:rPr>
        <w:t>, propone</w:t>
      </w:r>
      <w:r w:rsidRPr="00694F0F">
        <w:rPr>
          <w:rFonts w:ascii="Arial" w:hAnsi="Arial" w:cs="Arial"/>
          <w:sz w:val="24"/>
          <w:szCs w:val="24"/>
        </w:rPr>
        <w:t xml:space="preserve"> una nueva dirección para la investigación en la intersección de la salud pública, la psicología y la sexualidad</w:t>
      </w:r>
      <w:r w:rsidR="008D7BFC" w:rsidRPr="00694F0F">
        <w:rPr>
          <w:rFonts w:ascii="Arial" w:hAnsi="Arial" w:cs="Arial"/>
          <w:sz w:val="24"/>
          <w:szCs w:val="24"/>
        </w:rPr>
        <w:t>.</w:t>
      </w:r>
      <w:r w:rsidR="00827C77" w:rsidRPr="00694F0F">
        <w:rPr>
          <w:rFonts w:ascii="Arial" w:hAnsi="Arial" w:cs="Arial"/>
          <w:sz w:val="24"/>
          <w:szCs w:val="24"/>
        </w:rPr>
        <w:t xml:space="preserve"> Es crucial buscar que las personas decidan el modelo relacional más conveniente, en función de</w:t>
      </w:r>
      <w:r w:rsidR="00E205DD" w:rsidRPr="00694F0F">
        <w:rPr>
          <w:rFonts w:ascii="Arial" w:hAnsi="Arial" w:cs="Arial"/>
          <w:sz w:val="24"/>
          <w:szCs w:val="24"/>
        </w:rPr>
        <w:t xml:space="preserve"> las necesidades </w:t>
      </w:r>
      <w:r w:rsidR="00827C77" w:rsidRPr="00694F0F">
        <w:rPr>
          <w:rFonts w:ascii="Arial" w:hAnsi="Arial" w:cs="Arial"/>
          <w:sz w:val="24"/>
          <w:szCs w:val="24"/>
        </w:rPr>
        <w:t>personales de estar en dicha relación, ya que cada relación</w:t>
      </w:r>
      <w:r w:rsidR="00E205DD" w:rsidRPr="00694F0F">
        <w:rPr>
          <w:rFonts w:ascii="Arial" w:hAnsi="Arial" w:cs="Arial"/>
          <w:sz w:val="24"/>
          <w:szCs w:val="24"/>
        </w:rPr>
        <w:t>,</w:t>
      </w:r>
      <w:r w:rsidR="00827C77" w:rsidRPr="00694F0F">
        <w:rPr>
          <w:rFonts w:ascii="Arial" w:hAnsi="Arial" w:cs="Arial"/>
          <w:sz w:val="24"/>
          <w:szCs w:val="24"/>
        </w:rPr>
        <w:t xml:space="preserve"> provee de beneficios únicos</w:t>
      </w:r>
      <w:r w:rsidR="00E205DD" w:rsidRPr="00694F0F">
        <w:rPr>
          <w:rFonts w:ascii="Arial" w:hAnsi="Arial" w:cs="Arial"/>
          <w:sz w:val="24"/>
          <w:szCs w:val="24"/>
        </w:rPr>
        <w:t xml:space="preserve"> a cada persona</w:t>
      </w:r>
      <w:r w:rsidR="00827C77" w:rsidRPr="00694F0F">
        <w:rPr>
          <w:rFonts w:ascii="Arial" w:hAnsi="Arial" w:cs="Arial"/>
          <w:sz w:val="24"/>
          <w:szCs w:val="24"/>
        </w:rPr>
        <w:t xml:space="preserve">. </w:t>
      </w:r>
    </w:p>
    <w:p w14:paraId="16D224B3" w14:textId="63F80EFE" w:rsidR="001149D8" w:rsidRPr="00694F0F" w:rsidRDefault="001149D8" w:rsidP="00694F0F">
      <w:pPr>
        <w:spacing w:line="360" w:lineRule="auto"/>
        <w:rPr>
          <w:rFonts w:ascii="Arial" w:hAnsi="Arial" w:cs="Arial"/>
          <w:sz w:val="24"/>
          <w:szCs w:val="24"/>
        </w:rPr>
      </w:pPr>
    </w:p>
    <w:p w14:paraId="56364369" w14:textId="2AF7A058" w:rsidR="0070282E" w:rsidRPr="00694F0F" w:rsidRDefault="0070282E" w:rsidP="00694F0F">
      <w:pPr>
        <w:spacing w:line="360" w:lineRule="auto"/>
        <w:rPr>
          <w:rFonts w:ascii="Arial" w:hAnsi="Arial" w:cs="Arial"/>
          <w:sz w:val="24"/>
          <w:szCs w:val="24"/>
        </w:rPr>
      </w:pPr>
      <w:r w:rsidRPr="00694F0F">
        <w:rPr>
          <w:rFonts w:ascii="Arial" w:hAnsi="Arial" w:cs="Arial"/>
          <w:sz w:val="24"/>
          <w:szCs w:val="24"/>
        </w:rPr>
        <w:br w:type="page"/>
      </w:r>
    </w:p>
    <w:p w14:paraId="28B32815" w14:textId="054B9394" w:rsidR="00ED1672" w:rsidRPr="00694F0F" w:rsidRDefault="0070282E" w:rsidP="00694F0F">
      <w:pPr>
        <w:widowControl w:val="0"/>
        <w:autoSpaceDE w:val="0"/>
        <w:autoSpaceDN w:val="0"/>
        <w:adjustRightInd w:val="0"/>
        <w:spacing w:line="360" w:lineRule="auto"/>
        <w:ind w:left="480" w:hanging="480"/>
        <w:rPr>
          <w:rFonts w:ascii="Arial" w:hAnsi="Arial" w:cs="Arial"/>
          <w:noProof/>
          <w:sz w:val="24"/>
          <w:szCs w:val="24"/>
        </w:rPr>
      </w:pPr>
      <w:r w:rsidRPr="00694F0F">
        <w:rPr>
          <w:rFonts w:ascii="Arial" w:hAnsi="Arial" w:cs="Arial"/>
          <w:sz w:val="24"/>
          <w:szCs w:val="24"/>
        </w:rPr>
        <w:lastRenderedPageBreak/>
        <w:fldChar w:fldCharType="begin" w:fldLock="1"/>
      </w:r>
      <w:r w:rsidRPr="00694F0F">
        <w:rPr>
          <w:rFonts w:ascii="Arial" w:hAnsi="Arial" w:cs="Arial"/>
          <w:sz w:val="24"/>
          <w:szCs w:val="24"/>
        </w:rPr>
        <w:instrText xml:space="preserve">ADDIN Mendeley Bibliography CSL_BIBLIOGRAPHY </w:instrText>
      </w:r>
      <w:r w:rsidRPr="00694F0F">
        <w:rPr>
          <w:rFonts w:ascii="Arial" w:hAnsi="Arial" w:cs="Arial"/>
          <w:sz w:val="24"/>
          <w:szCs w:val="24"/>
        </w:rPr>
        <w:fldChar w:fldCharType="separate"/>
      </w:r>
      <w:r w:rsidR="00ED1672" w:rsidRPr="00694F0F">
        <w:rPr>
          <w:rFonts w:ascii="Arial" w:hAnsi="Arial" w:cs="Arial"/>
          <w:noProof/>
          <w:sz w:val="24"/>
          <w:szCs w:val="24"/>
        </w:rPr>
        <w:t xml:space="preserve">Blandón-Hincapié, A. I., &amp; López-Serna, L. M. (2016). Comprensiones sobre pareja en la actualidad: Jóvenes en busca de estabilidad. </w:t>
      </w:r>
      <w:r w:rsidR="00ED1672" w:rsidRPr="00694F0F">
        <w:rPr>
          <w:rFonts w:ascii="Arial" w:hAnsi="Arial" w:cs="Arial"/>
          <w:i/>
          <w:iCs/>
          <w:noProof/>
          <w:sz w:val="24"/>
          <w:szCs w:val="24"/>
        </w:rPr>
        <w:t>Revista Latinoamericana de Ciencias Sociales, Niñez y Juventud</w:t>
      </w:r>
      <w:r w:rsidR="00ED1672" w:rsidRPr="00694F0F">
        <w:rPr>
          <w:rFonts w:ascii="Arial" w:hAnsi="Arial" w:cs="Arial"/>
          <w:noProof/>
          <w:sz w:val="24"/>
          <w:szCs w:val="24"/>
        </w:rPr>
        <w:t xml:space="preserve">, </w:t>
      </w:r>
      <w:r w:rsidR="00ED1672" w:rsidRPr="00694F0F">
        <w:rPr>
          <w:rFonts w:ascii="Arial" w:hAnsi="Arial" w:cs="Arial"/>
          <w:i/>
          <w:iCs/>
          <w:noProof/>
          <w:sz w:val="24"/>
          <w:szCs w:val="24"/>
        </w:rPr>
        <w:t>14</w:t>
      </w:r>
      <w:r w:rsidR="00ED1672" w:rsidRPr="00694F0F">
        <w:rPr>
          <w:rFonts w:ascii="Arial" w:hAnsi="Arial" w:cs="Arial"/>
          <w:noProof/>
          <w:sz w:val="24"/>
          <w:szCs w:val="24"/>
        </w:rPr>
        <w:t>(1), 505–517. https://doi.org/10.11600/1692715x.14134271014</w:t>
      </w:r>
    </w:p>
    <w:p w14:paraId="7C1563E0" w14:textId="77777777" w:rsidR="00ED1672" w:rsidRPr="001F0D94"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rPr>
        <w:t xml:space="preserve">Briñol, P., Becerra, A., Gallardo, I., Horcajo, J., &amp; Valle, C. (2004). </w:t>
      </w:r>
      <w:r w:rsidRPr="001F0D94">
        <w:rPr>
          <w:rFonts w:ascii="Arial" w:hAnsi="Arial" w:cs="Arial"/>
          <w:noProof/>
          <w:sz w:val="24"/>
          <w:szCs w:val="24"/>
          <w:lang w:val="en-US"/>
        </w:rPr>
        <w:t xml:space="preserve">Validación del pensamiento y persuasión. </w:t>
      </w:r>
      <w:r w:rsidRPr="001F0D94">
        <w:rPr>
          <w:rFonts w:ascii="Arial" w:hAnsi="Arial" w:cs="Arial"/>
          <w:i/>
          <w:iCs/>
          <w:noProof/>
          <w:sz w:val="24"/>
          <w:szCs w:val="24"/>
          <w:lang w:val="en-US"/>
        </w:rPr>
        <w:t>Psicothema</w:t>
      </w:r>
      <w:r w:rsidRPr="001F0D94">
        <w:rPr>
          <w:rFonts w:ascii="Arial" w:hAnsi="Arial" w:cs="Arial"/>
          <w:noProof/>
          <w:sz w:val="24"/>
          <w:szCs w:val="24"/>
          <w:lang w:val="en-US"/>
        </w:rPr>
        <w:t xml:space="preserve">, </w:t>
      </w:r>
      <w:r w:rsidRPr="001F0D94">
        <w:rPr>
          <w:rFonts w:ascii="Arial" w:hAnsi="Arial" w:cs="Arial"/>
          <w:i/>
          <w:iCs/>
          <w:noProof/>
          <w:sz w:val="24"/>
          <w:szCs w:val="24"/>
          <w:lang w:val="en-US"/>
        </w:rPr>
        <w:t>16</w:t>
      </w:r>
      <w:r w:rsidRPr="001F0D94">
        <w:rPr>
          <w:rFonts w:ascii="Arial" w:hAnsi="Arial" w:cs="Arial"/>
          <w:noProof/>
          <w:sz w:val="24"/>
          <w:szCs w:val="24"/>
          <w:lang w:val="en-US"/>
        </w:rPr>
        <w:t>(4), 606–610.</w:t>
      </w:r>
    </w:p>
    <w:p w14:paraId="5BA575B2"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1F0D94">
        <w:rPr>
          <w:rFonts w:ascii="Arial" w:hAnsi="Arial" w:cs="Arial"/>
          <w:noProof/>
          <w:sz w:val="24"/>
          <w:szCs w:val="24"/>
          <w:lang w:val="en-US"/>
        </w:rPr>
        <w:t xml:space="preserve">Close Relationships: Key readings. </w:t>
      </w:r>
      <w:r w:rsidRPr="00694F0F">
        <w:rPr>
          <w:rFonts w:ascii="Arial" w:hAnsi="Arial" w:cs="Arial"/>
          <w:noProof/>
          <w:sz w:val="24"/>
          <w:szCs w:val="24"/>
          <w:lang w:val="en-US"/>
        </w:rPr>
        <w:t xml:space="preserve">(2004). In H. T. Reis &amp; C. Rusbult (Eds.), </w:t>
      </w:r>
      <w:r w:rsidRPr="00694F0F">
        <w:rPr>
          <w:rFonts w:ascii="Arial" w:hAnsi="Arial" w:cs="Arial"/>
          <w:i/>
          <w:iCs/>
          <w:noProof/>
          <w:sz w:val="24"/>
          <w:szCs w:val="24"/>
          <w:lang w:val="en-US"/>
        </w:rPr>
        <w:t>Clinical Psychology</w:t>
      </w:r>
      <w:r w:rsidRPr="00694F0F">
        <w:rPr>
          <w:rFonts w:ascii="Arial" w:hAnsi="Arial" w:cs="Arial"/>
          <w:noProof/>
          <w:sz w:val="24"/>
          <w:szCs w:val="24"/>
          <w:lang w:val="en-US"/>
        </w:rPr>
        <w:t>. New York, N. Y.: Psychology Press.</w:t>
      </w:r>
    </w:p>
    <w:p w14:paraId="75A10819"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Cohen, M. T. (2016). An Exploratory Study of Individuals in Non-traditional, Alternative Relationships: How “Open” Are We? </w:t>
      </w:r>
      <w:r w:rsidRPr="00694F0F">
        <w:rPr>
          <w:rFonts w:ascii="Arial" w:hAnsi="Arial" w:cs="Arial"/>
          <w:i/>
          <w:iCs/>
          <w:noProof/>
          <w:sz w:val="24"/>
          <w:szCs w:val="24"/>
          <w:lang w:val="en-US"/>
        </w:rPr>
        <w:t>Sexuality and Culture</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20</w:t>
      </w:r>
      <w:r w:rsidRPr="00694F0F">
        <w:rPr>
          <w:rFonts w:ascii="Arial" w:hAnsi="Arial" w:cs="Arial"/>
          <w:noProof/>
          <w:sz w:val="24"/>
          <w:szCs w:val="24"/>
          <w:lang w:val="en-US"/>
        </w:rPr>
        <w:t>(2), 295–315. https://doi.org/10.1007/s12119-015-9324-z</w:t>
      </w:r>
    </w:p>
    <w:p w14:paraId="3DC0B080"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Cohen, M. T., &amp; Wilson, K. (2017). Development of the Consensual Non-Monogamy Attitude Scale (CNAS). </w:t>
      </w:r>
      <w:r w:rsidRPr="00694F0F">
        <w:rPr>
          <w:rFonts w:ascii="Arial" w:hAnsi="Arial" w:cs="Arial"/>
          <w:i/>
          <w:iCs/>
          <w:noProof/>
          <w:sz w:val="24"/>
          <w:szCs w:val="24"/>
          <w:lang w:val="en-US"/>
        </w:rPr>
        <w:t>Sexuality and Culture</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21</w:t>
      </w:r>
      <w:r w:rsidRPr="00694F0F">
        <w:rPr>
          <w:rFonts w:ascii="Arial" w:hAnsi="Arial" w:cs="Arial"/>
          <w:noProof/>
          <w:sz w:val="24"/>
          <w:szCs w:val="24"/>
          <w:lang w:val="en-US"/>
        </w:rPr>
        <w:t>(1), 1–14. https://doi.org/10.1007/s12119-016-9395-5</w:t>
      </w:r>
    </w:p>
    <w:p w14:paraId="243FFD70"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Conley, T. D., Ziegler,  a., Moors,  a. C., Matsick, J. L., &amp; Valentine, B. (2012). A Critical Examination of Popular Assumptions About the Benefits and Outcomes of Monogamous Relationships. </w:t>
      </w:r>
      <w:r w:rsidRPr="00694F0F">
        <w:rPr>
          <w:rFonts w:ascii="Arial" w:hAnsi="Arial" w:cs="Arial"/>
          <w:i/>
          <w:iCs/>
          <w:noProof/>
          <w:sz w:val="24"/>
          <w:szCs w:val="24"/>
          <w:lang w:val="en-US"/>
        </w:rPr>
        <w:t>Personality and Social Psychology Review</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17</w:t>
      </w:r>
      <w:r w:rsidRPr="00694F0F">
        <w:rPr>
          <w:rFonts w:ascii="Arial" w:hAnsi="Arial" w:cs="Arial"/>
          <w:noProof/>
          <w:sz w:val="24"/>
          <w:szCs w:val="24"/>
          <w:lang w:val="en-US"/>
        </w:rPr>
        <w:t>, 124–141. https://doi.org/10.1177/1088868312467087</w:t>
      </w:r>
    </w:p>
    <w:p w14:paraId="45EA6A7C"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Conley, T., Moors, A., Matsick, J., &amp; Ziegler, A. (2013). The fewer the merrier?: Assessing stigma surrounding consensually non-monogamous romantic relationships. </w:t>
      </w:r>
      <w:r w:rsidRPr="00694F0F">
        <w:rPr>
          <w:rFonts w:ascii="Arial" w:hAnsi="Arial" w:cs="Arial"/>
          <w:i/>
          <w:iCs/>
          <w:noProof/>
          <w:sz w:val="24"/>
          <w:szCs w:val="24"/>
          <w:lang w:val="en-US"/>
        </w:rPr>
        <w:t>Analyses of Social Issues and Public Policy</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13</w:t>
      </w:r>
      <w:r w:rsidRPr="00694F0F">
        <w:rPr>
          <w:rFonts w:ascii="Arial" w:hAnsi="Arial" w:cs="Arial"/>
          <w:noProof/>
          <w:sz w:val="24"/>
          <w:szCs w:val="24"/>
          <w:lang w:val="en-US"/>
        </w:rPr>
        <w:t>(1), 1–30. https://doi.org/10.1111/j.1530-2415.2012.01286.x</w:t>
      </w:r>
    </w:p>
    <w:p w14:paraId="4D03E4BF"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rPr>
      </w:pPr>
      <w:r w:rsidRPr="001F0D94">
        <w:rPr>
          <w:rFonts w:ascii="Arial" w:hAnsi="Arial" w:cs="Arial"/>
          <w:noProof/>
          <w:sz w:val="24"/>
          <w:szCs w:val="24"/>
          <w:lang w:val="pt-BR"/>
        </w:rPr>
        <w:t xml:space="preserve">Escobar-Mota, G., &amp; Sánchez-Aragón, R. (2014). </w:t>
      </w:r>
      <w:r w:rsidRPr="00694F0F">
        <w:rPr>
          <w:rFonts w:ascii="Arial" w:hAnsi="Arial" w:cs="Arial"/>
          <w:noProof/>
          <w:sz w:val="24"/>
          <w:szCs w:val="24"/>
        </w:rPr>
        <w:t xml:space="preserve">Sentimientos y pensamientos ante acuerdos monógamos y no monógamos. </w:t>
      </w:r>
      <w:r w:rsidRPr="00694F0F">
        <w:rPr>
          <w:rFonts w:ascii="Arial" w:hAnsi="Arial" w:cs="Arial"/>
          <w:i/>
          <w:iCs/>
          <w:noProof/>
          <w:sz w:val="24"/>
          <w:szCs w:val="24"/>
        </w:rPr>
        <w:t>Aportaciones Actuales de La Psicología Social</w:t>
      </w:r>
      <w:r w:rsidRPr="00694F0F">
        <w:rPr>
          <w:rFonts w:ascii="Arial" w:hAnsi="Arial" w:cs="Arial"/>
          <w:noProof/>
          <w:sz w:val="24"/>
          <w:szCs w:val="24"/>
        </w:rPr>
        <w:t xml:space="preserve">, </w:t>
      </w:r>
      <w:r w:rsidRPr="00694F0F">
        <w:rPr>
          <w:rFonts w:ascii="Arial" w:hAnsi="Arial" w:cs="Arial"/>
          <w:i/>
          <w:iCs/>
          <w:noProof/>
          <w:sz w:val="24"/>
          <w:szCs w:val="24"/>
        </w:rPr>
        <w:t>II</w:t>
      </w:r>
      <w:r w:rsidRPr="00694F0F">
        <w:rPr>
          <w:rFonts w:ascii="Arial" w:hAnsi="Arial" w:cs="Arial"/>
          <w:noProof/>
          <w:sz w:val="24"/>
          <w:szCs w:val="24"/>
        </w:rPr>
        <w:t>, 363-369.</w:t>
      </w:r>
    </w:p>
    <w:p w14:paraId="296B5B17"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rPr>
        <w:t xml:space="preserve">Furman, W., &amp; Simon, V. A. (2006). </w:t>
      </w:r>
      <w:r w:rsidRPr="00694F0F">
        <w:rPr>
          <w:rFonts w:ascii="Arial" w:hAnsi="Arial" w:cs="Arial"/>
          <w:noProof/>
          <w:sz w:val="24"/>
          <w:szCs w:val="24"/>
          <w:lang w:val="en-US"/>
        </w:rPr>
        <w:t xml:space="preserve">Actor and partner effects of adolescents’ romantic working models and styles on interactions with romantic partners. </w:t>
      </w:r>
      <w:r w:rsidRPr="00694F0F">
        <w:rPr>
          <w:rFonts w:ascii="Arial" w:hAnsi="Arial" w:cs="Arial"/>
          <w:i/>
          <w:iCs/>
          <w:noProof/>
          <w:sz w:val="24"/>
          <w:szCs w:val="24"/>
          <w:lang w:val="en-US"/>
        </w:rPr>
        <w:t>Child Development</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77</w:t>
      </w:r>
      <w:r w:rsidRPr="00694F0F">
        <w:rPr>
          <w:rFonts w:ascii="Arial" w:hAnsi="Arial" w:cs="Arial"/>
          <w:noProof/>
          <w:sz w:val="24"/>
          <w:szCs w:val="24"/>
          <w:lang w:val="en-US"/>
        </w:rPr>
        <w:t>(3), 588–604. https://doi.org/10.1111/j.1467-8624.2006.00892.x</w:t>
      </w:r>
    </w:p>
    <w:p w14:paraId="169243D2"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lastRenderedPageBreak/>
        <w:t xml:space="preserve">Gonzaga, G. C., Haselton, M. G., Smurda, J., Davies, M. sian, &amp; Poore, J. C. (2008). Love, desire, and the suppression of thoughts of romantic alternatives. </w:t>
      </w:r>
      <w:r w:rsidRPr="00694F0F">
        <w:rPr>
          <w:rFonts w:ascii="Arial" w:hAnsi="Arial" w:cs="Arial"/>
          <w:i/>
          <w:iCs/>
          <w:noProof/>
          <w:sz w:val="24"/>
          <w:szCs w:val="24"/>
          <w:lang w:val="en-US"/>
        </w:rPr>
        <w:t>Evolution and Human Behavior</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29</w:t>
      </w:r>
      <w:r w:rsidRPr="00694F0F">
        <w:rPr>
          <w:rFonts w:ascii="Arial" w:hAnsi="Arial" w:cs="Arial"/>
          <w:noProof/>
          <w:sz w:val="24"/>
          <w:szCs w:val="24"/>
          <w:lang w:val="en-US"/>
        </w:rPr>
        <w:t>, 119–126. https://doi.org/10.1016/j.evolhumbehav.2007.11.003</w:t>
      </w:r>
    </w:p>
    <w:p w14:paraId="04408731" w14:textId="77777777" w:rsidR="00ED1672" w:rsidRPr="001F0D94" w:rsidRDefault="00ED1672" w:rsidP="00694F0F">
      <w:pPr>
        <w:widowControl w:val="0"/>
        <w:autoSpaceDE w:val="0"/>
        <w:autoSpaceDN w:val="0"/>
        <w:adjustRightInd w:val="0"/>
        <w:spacing w:line="360" w:lineRule="auto"/>
        <w:ind w:left="480" w:hanging="480"/>
        <w:rPr>
          <w:rFonts w:ascii="Arial" w:hAnsi="Arial" w:cs="Arial"/>
          <w:noProof/>
          <w:sz w:val="24"/>
          <w:szCs w:val="24"/>
        </w:rPr>
      </w:pPr>
      <w:r w:rsidRPr="00694F0F">
        <w:rPr>
          <w:rFonts w:ascii="Arial" w:hAnsi="Arial" w:cs="Arial"/>
          <w:noProof/>
          <w:sz w:val="24"/>
          <w:szCs w:val="24"/>
          <w:lang w:val="en-US"/>
        </w:rPr>
        <w:t xml:space="preserve">INEGI. </w:t>
      </w:r>
      <w:r w:rsidRPr="00694F0F">
        <w:rPr>
          <w:rFonts w:ascii="Arial" w:hAnsi="Arial" w:cs="Arial"/>
          <w:noProof/>
          <w:sz w:val="24"/>
          <w:szCs w:val="24"/>
        </w:rPr>
        <w:t xml:space="preserve">(2021). Encuesta Nacional de Ocupación y Empleo (ENOE). In </w:t>
      </w:r>
      <w:r w:rsidRPr="00694F0F">
        <w:rPr>
          <w:rFonts w:ascii="Arial" w:hAnsi="Arial" w:cs="Arial"/>
          <w:i/>
          <w:iCs/>
          <w:noProof/>
          <w:sz w:val="24"/>
          <w:szCs w:val="24"/>
        </w:rPr>
        <w:t>Comunicado de prensa núm . 114/21 .</w:t>
      </w:r>
      <w:r w:rsidRPr="00694F0F">
        <w:rPr>
          <w:rFonts w:ascii="Arial" w:hAnsi="Arial" w:cs="Arial"/>
          <w:noProof/>
          <w:sz w:val="24"/>
          <w:szCs w:val="24"/>
        </w:rPr>
        <w:t xml:space="preserve"> </w:t>
      </w:r>
      <w:r w:rsidRPr="001F0D94">
        <w:rPr>
          <w:rFonts w:ascii="Arial" w:hAnsi="Arial" w:cs="Arial"/>
          <w:noProof/>
          <w:sz w:val="24"/>
          <w:szCs w:val="24"/>
        </w:rPr>
        <w:t>Retrieved from https://www.inegi.org.mx/contenidos/saladeprensa/aproposito/2021/EAP_14FEB21.pdf</w:t>
      </w:r>
    </w:p>
    <w:p w14:paraId="3A8F033F"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1F0D94">
        <w:rPr>
          <w:rFonts w:ascii="Arial" w:hAnsi="Arial" w:cs="Arial"/>
          <w:noProof/>
          <w:sz w:val="24"/>
          <w:szCs w:val="24"/>
        </w:rPr>
        <w:t xml:space="preserve">Matsick, J. L., Conley, T. D., Ziegler, A., Moors, A. C., &amp; Rubin, J. D. (2014). </w:t>
      </w:r>
      <w:r w:rsidRPr="00694F0F">
        <w:rPr>
          <w:rFonts w:ascii="Arial" w:hAnsi="Arial" w:cs="Arial"/>
          <w:noProof/>
          <w:sz w:val="24"/>
          <w:szCs w:val="24"/>
          <w:lang w:val="en-US"/>
        </w:rPr>
        <w:t xml:space="preserve">Love and sex: polyamorous relationships are perceived more favourably than swinging and open relationships. </w:t>
      </w:r>
      <w:r w:rsidRPr="00694F0F">
        <w:rPr>
          <w:rFonts w:ascii="Arial" w:hAnsi="Arial" w:cs="Arial"/>
          <w:i/>
          <w:iCs/>
          <w:noProof/>
          <w:sz w:val="24"/>
          <w:szCs w:val="24"/>
          <w:lang w:val="en-US"/>
        </w:rPr>
        <w:t>Psychology and Sexuality</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5</w:t>
      </w:r>
      <w:r w:rsidRPr="00694F0F">
        <w:rPr>
          <w:rFonts w:ascii="Arial" w:hAnsi="Arial" w:cs="Arial"/>
          <w:noProof/>
          <w:sz w:val="24"/>
          <w:szCs w:val="24"/>
          <w:lang w:val="en-US"/>
        </w:rPr>
        <w:t>(4). https://doi.org/10.1080/19419899.2013.832934</w:t>
      </w:r>
    </w:p>
    <w:p w14:paraId="1B7C5451"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McDaniel, R., &amp; Twist, M. L. C. (2018). Designer relationships: a guide to happy monogamy, positive polyamory, and optimistic open relationships, edited by Mark A. Michaels and Patricia Johnson. </w:t>
      </w:r>
      <w:r w:rsidRPr="00694F0F">
        <w:rPr>
          <w:rFonts w:ascii="Arial" w:hAnsi="Arial" w:cs="Arial"/>
          <w:i/>
          <w:iCs/>
          <w:noProof/>
          <w:sz w:val="24"/>
          <w:szCs w:val="24"/>
          <w:lang w:val="en-US"/>
        </w:rPr>
        <w:t>Sexual and Relationship Therapy</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33</w:t>
      </w:r>
      <w:r w:rsidRPr="00694F0F">
        <w:rPr>
          <w:rFonts w:ascii="Arial" w:hAnsi="Arial" w:cs="Arial"/>
          <w:noProof/>
          <w:sz w:val="24"/>
          <w:szCs w:val="24"/>
          <w:lang w:val="en-US"/>
        </w:rPr>
        <w:t>(3), 364–366. https://doi.org/10.1080/14681994.2016.1192596</w:t>
      </w:r>
    </w:p>
    <w:p w14:paraId="0BBB6565"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McGuire, W. J., &amp; Papageorgis, D. (1961). The relative efficacy of various types of prior belief-defense in producing immunity against persuasion. </w:t>
      </w:r>
      <w:r w:rsidRPr="00694F0F">
        <w:rPr>
          <w:rFonts w:ascii="Arial" w:hAnsi="Arial" w:cs="Arial"/>
          <w:i/>
          <w:iCs/>
          <w:noProof/>
          <w:sz w:val="24"/>
          <w:szCs w:val="24"/>
          <w:lang w:val="en-US"/>
        </w:rPr>
        <w:t>Journal of Abnormal and Social Psychology</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62</w:t>
      </w:r>
      <w:r w:rsidRPr="00694F0F">
        <w:rPr>
          <w:rFonts w:ascii="Arial" w:hAnsi="Arial" w:cs="Arial"/>
          <w:noProof/>
          <w:sz w:val="24"/>
          <w:szCs w:val="24"/>
          <w:lang w:val="en-US"/>
        </w:rPr>
        <w:t>(2), 327–337. https://doi.org/10.1037/H0042026</w:t>
      </w:r>
    </w:p>
    <w:p w14:paraId="2F2D8F7C"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Metzger, M. J., Hartsell, E. H., &amp; Flanagin, A. J. (2020). Cognitive Dissonance or Credibility? A Comparison of Two Theoretical Explanations for Selective Exposure to Partisan News. </w:t>
      </w:r>
      <w:r w:rsidRPr="00694F0F">
        <w:rPr>
          <w:rFonts w:ascii="Arial" w:hAnsi="Arial" w:cs="Arial"/>
          <w:i/>
          <w:iCs/>
          <w:noProof/>
          <w:sz w:val="24"/>
          <w:szCs w:val="24"/>
          <w:lang w:val="en-US"/>
        </w:rPr>
        <w:t>Communication Research</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47</w:t>
      </w:r>
      <w:r w:rsidRPr="00694F0F">
        <w:rPr>
          <w:rFonts w:ascii="Arial" w:hAnsi="Arial" w:cs="Arial"/>
          <w:noProof/>
          <w:sz w:val="24"/>
          <w:szCs w:val="24"/>
          <w:lang w:val="en-US"/>
        </w:rPr>
        <w:t>(1), 3–28. https://doi.org/10.1177/0093650215613136</w:t>
      </w:r>
    </w:p>
    <w:p w14:paraId="01E65FF1"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Moors, A. C., Schechinger, H. A., Balzarini, R., &amp; Flicker, S. (2021). Internalized Consensual Non-Monogamy Negativity and Relationship Quality Among People Engaged in Polyamory, Swinging, and Open Relationships. </w:t>
      </w:r>
      <w:r w:rsidRPr="00694F0F">
        <w:rPr>
          <w:rFonts w:ascii="Arial" w:hAnsi="Arial" w:cs="Arial"/>
          <w:i/>
          <w:iCs/>
          <w:noProof/>
          <w:sz w:val="24"/>
          <w:szCs w:val="24"/>
          <w:lang w:val="en-US"/>
        </w:rPr>
        <w:t>Archives of Sexual Behavior 2021 50:4</w:t>
      </w:r>
      <w:r w:rsidRPr="00694F0F">
        <w:rPr>
          <w:rFonts w:ascii="Arial" w:hAnsi="Arial" w:cs="Arial"/>
          <w:noProof/>
          <w:sz w:val="24"/>
          <w:szCs w:val="24"/>
          <w:lang w:val="en-US"/>
        </w:rPr>
        <w:t xml:space="preserve">, </w:t>
      </w:r>
      <w:r w:rsidRPr="00694F0F">
        <w:rPr>
          <w:rFonts w:ascii="Arial" w:hAnsi="Arial" w:cs="Arial"/>
          <w:i/>
          <w:iCs/>
          <w:noProof/>
          <w:sz w:val="24"/>
          <w:szCs w:val="24"/>
          <w:lang w:val="en-US"/>
        </w:rPr>
        <w:t>50</w:t>
      </w:r>
      <w:r w:rsidRPr="00694F0F">
        <w:rPr>
          <w:rFonts w:ascii="Arial" w:hAnsi="Arial" w:cs="Arial"/>
          <w:noProof/>
          <w:sz w:val="24"/>
          <w:szCs w:val="24"/>
          <w:lang w:val="en-US"/>
        </w:rPr>
        <w:t>(4), 1389–1400. https://doi.org/10.1007/S10508-020-01885-7</w:t>
      </w:r>
    </w:p>
    <w:p w14:paraId="7DFB567F"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Moors, A., &amp; Matsick, J. (2018). Engagement in and Benefits of Consensually Non-Monogamous Relationships. </w:t>
      </w:r>
      <w:r w:rsidRPr="00694F0F">
        <w:rPr>
          <w:rFonts w:ascii="Arial" w:hAnsi="Arial" w:cs="Arial"/>
          <w:i/>
          <w:iCs/>
          <w:noProof/>
          <w:sz w:val="24"/>
          <w:szCs w:val="24"/>
          <w:lang w:val="en-US"/>
        </w:rPr>
        <w:t xml:space="preserve">Psychology Faculty Articles and </w:t>
      </w:r>
      <w:r w:rsidRPr="00694F0F">
        <w:rPr>
          <w:rFonts w:ascii="Arial" w:hAnsi="Arial" w:cs="Arial"/>
          <w:i/>
          <w:iCs/>
          <w:noProof/>
          <w:sz w:val="24"/>
          <w:szCs w:val="24"/>
          <w:lang w:val="en-US"/>
        </w:rPr>
        <w:lastRenderedPageBreak/>
        <w:t>Research</w:t>
      </w:r>
      <w:r w:rsidRPr="00694F0F">
        <w:rPr>
          <w:rFonts w:ascii="Arial" w:hAnsi="Arial" w:cs="Arial"/>
          <w:noProof/>
          <w:sz w:val="24"/>
          <w:szCs w:val="24"/>
          <w:lang w:val="en-US"/>
        </w:rPr>
        <w:t>. Retrieved from https://digitalcommons.chapman.edu/psychology_articles/142</w:t>
      </w:r>
    </w:p>
    <w:p w14:paraId="2E323DF3"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rPr>
      </w:pPr>
      <w:r w:rsidRPr="00694F0F">
        <w:rPr>
          <w:rFonts w:ascii="Arial" w:hAnsi="Arial" w:cs="Arial"/>
          <w:noProof/>
          <w:sz w:val="24"/>
          <w:szCs w:val="24"/>
        </w:rPr>
        <w:t xml:space="preserve">Nina-Estrella, R. (2011). ¿ Que nos mantiene juntos ? Explorando el compromiso y las estrategias de mantenimiento en la relación marital. </w:t>
      </w:r>
      <w:r w:rsidRPr="00694F0F">
        <w:rPr>
          <w:rFonts w:ascii="Arial" w:hAnsi="Arial" w:cs="Arial"/>
          <w:i/>
          <w:iCs/>
          <w:noProof/>
          <w:sz w:val="24"/>
          <w:szCs w:val="24"/>
        </w:rPr>
        <w:t>Revista Intercontinental de Psicología y Educación</w:t>
      </w:r>
      <w:r w:rsidRPr="00694F0F">
        <w:rPr>
          <w:rFonts w:ascii="Arial" w:hAnsi="Arial" w:cs="Arial"/>
          <w:noProof/>
          <w:sz w:val="24"/>
          <w:szCs w:val="24"/>
        </w:rPr>
        <w:t xml:space="preserve">, </w:t>
      </w:r>
      <w:r w:rsidRPr="00694F0F">
        <w:rPr>
          <w:rFonts w:ascii="Arial" w:hAnsi="Arial" w:cs="Arial"/>
          <w:i/>
          <w:iCs/>
          <w:noProof/>
          <w:sz w:val="24"/>
          <w:szCs w:val="24"/>
        </w:rPr>
        <w:t>13</w:t>
      </w:r>
      <w:r w:rsidRPr="00694F0F">
        <w:rPr>
          <w:rFonts w:ascii="Arial" w:hAnsi="Arial" w:cs="Arial"/>
          <w:noProof/>
          <w:sz w:val="24"/>
          <w:szCs w:val="24"/>
        </w:rPr>
        <w:t>(2197–220).</w:t>
      </w:r>
    </w:p>
    <w:p w14:paraId="587F6EC3" w14:textId="77777777" w:rsidR="00ED1672" w:rsidRPr="001F0D94" w:rsidRDefault="00ED1672" w:rsidP="00694F0F">
      <w:pPr>
        <w:widowControl w:val="0"/>
        <w:autoSpaceDE w:val="0"/>
        <w:autoSpaceDN w:val="0"/>
        <w:adjustRightInd w:val="0"/>
        <w:spacing w:line="360" w:lineRule="auto"/>
        <w:ind w:left="480" w:hanging="480"/>
        <w:rPr>
          <w:rFonts w:ascii="Arial" w:hAnsi="Arial" w:cs="Arial"/>
          <w:noProof/>
          <w:sz w:val="24"/>
          <w:szCs w:val="24"/>
          <w:lang w:val="pt-BR"/>
        </w:rPr>
      </w:pPr>
      <w:r w:rsidRPr="00694F0F">
        <w:rPr>
          <w:rFonts w:ascii="Arial" w:hAnsi="Arial" w:cs="Arial"/>
          <w:noProof/>
          <w:sz w:val="24"/>
          <w:szCs w:val="24"/>
        </w:rPr>
        <w:t xml:space="preserve">Pascual Fernández, A. (2016). Sobre el mito del amor romántico.: Amores cinematográficos y educación. </w:t>
      </w:r>
      <w:r w:rsidRPr="001F0D94">
        <w:rPr>
          <w:rFonts w:ascii="Arial" w:hAnsi="Arial" w:cs="Arial"/>
          <w:i/>
          <w:iCs/>
          <w:noProof/>
          <w:sz w:val="24"/>
          <w:szCs w:val="24"/>
          <w:lang w:val="pt-BR"/>
        </w:rPr>
        <w:t>Dedica. Revista de Educação e Humanidades, ISSN-e 2182-018X, N</w:t>
      </w:r>
      <w:r w:rsidRPr="001F0D94">
        <w:rPr>
          <w:rFonts w:ascii="Arial" w:hAnsi="Arial" w:cs="Arial"/>
          <w:i/>
          <w:iCs/>
          <w:noProof/>
          <w:sz w:val="24"/>
          <w:szCs w:val="24"/>
          <w:vertAlign w:val="superscript"/>
          <w:lang w:val="pt-BR"/>
        </w:rPr>
        <w:t>o</w:t>
      </w:r>
      <w:r w:rsidRPr="001F0D94">
        <w:rPr>
          <w:rFonts w:ascii="Arial" w:hAnsi="Arial" w:cs="Arial"/>
          <w:i/>
          <w:iCs/>
          <w:noProof/>
          <w:sz w:val="24"/>
          <w:szCs w:val="24"/>
          <w:lang w:val="pt-BR"/>
        </w:rPr>
        <w:t>. 10, 2016, Págs. 63-78</w:t>
      </w:r>
      <w:r w:rsidRPr="001F0D94">
        <w:rPr>
          <w:rFonts w:ascii="Arial" w:hAnsi="Arial" w:cs="Arial"/>
          <w:noProof/>
          <w:sz w:val="24"/>
          <w:szCs w:val="24"/>
          <w:lang w:val="pt-BR"/>
        </w:rPr>
        <w:t xml:space="preserve">, </w:t>
      </w:r>
      <w:r w:rsidRPr="001F0D94">
        <w:rPr>
          <w:rFonts w:ascii="Arial" w:hAnsi="Arial" w:cs="Arial"/>
          <w:i/>
          <w:iCs/>
          <w:noProof/>
          <w:sz w:val="24"/>
          <w:szCs w:val="24"/>
          <w:lang w:val="pt-BR"/>
        </w:rPr>
        <w:t>10</w:t>
      </w:r>
      <w:r w:rsidRPr="001F0D94">
        <w:rPr>
          <w:rFonts w:ascii="Arial" w:hAnsi="Arial" w:cs="Arial"/>
          <w:noProof/>
          <w:sz w:val="24"/>
          <w:szCs w:val="24"/>
          <w:lang w:val="pt-BR"/>
        </w:rPr>
        <w:t>(10), 63–78.</w:t>
      </w:r>
    </w:p>
    <w:p w14:paraId="2BC926BA"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lang w:val="en-US"/>
        </w:rPr>
        <w:t xml:space="preserve">Ryan, C., &amp; Jethá, C. (2010). </w:t>
      </w:r>
      <w:r w:rsidRPr="00694F0F">
        <w:rPr>
          <w:rFonts w:ascii="Arial" w:hAnsi="Arial" w:cs="Arial"/>
          <w:i/>
          <w:iCs/>
          <w:noProof/>
          <w:sz w:val="24"/>
          <w:szCs w:val="24"/>
          <w:lang w:val="en-US"/>
        </w:rPr>
        <w:t>Sex at dawn: The prehistoric origins of modern sexuality</w:t>
      </w:r>
      <w:r w:rsidRPr="00694F0F">
        <w:rPr>
          <w:rFonts w:ascii="Arial" w:hAnsi="Arial" w:cs="Arial"/>
          <w:noProof/>
          <w:sz w:val="24"/>
          <w:szCs w:val="24"/>
          <w:lang w:val="en-US"/>
        </w:rPr>
        <w:t>. New York, N. Y.: Harper Perennial.</w:t>
      </w:r>
    </w:p>
    <w:p w14:paraId="5EDF7906"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rPr>
      </w:pPr>
      <w:r w:rsidRPr="00694F0F">
        <w:rPr>
          <w:rFonts w:ascii="Arial" w:hAnsi="Arial" w:cs="Arial"/>
          <w:noProof/>
          <w:sz w:val="24"/>
          <w:szCs w:val="24"/>
          <w:lang w:val="en-US"/>
        </w:rPr>
        <w:t xml:space="preserve">Simpson, A., &amp; Gangestad, S. (1992). Sodosexuallty and Romantic Partner Choice. </w:t>
      </w:r>
      <w:r w:rsidRPr="00694F0F">
        <w:rPr>
          <w:rFonts w:ascii="Arial" w:hAnsi="Arial" w:cs="Arial"/>
          <w:i/>
          <w:iCs/>
          <w:noProof/>
          <w:sz w:val="24"/>
          <w:szCs w:val="24"/>
        </w:rPr>
        <w:t>Journal of Personality</w:t>
      </w:r>
      <w:r w:rsidRPr="00694F0F">
        <w:rPr>
          <w:rFonts w:ascii="Arial" w:hAnsi="Arial" w:cs="Arial"/>
          <w:noProof/>
          <w:sz w:val="24"/>
          <w:szCs w:val="24"/>
        </w:rPr>
        <w:t xml:space="preserve">, </w:t>
      </w:r>
      <w:r w:rsidRPr="00694F0F">
        <w:rPr>
          <w:rFonts w:ascii="Arial" w:hAnsi="Arial" w:cs="Arial"/>
          <w:i/>
          <w:iCs/>
          <w:noProof/>
          <w:sz w:val="24"/>
          <w:szCs w:val="24"/>
        </w:rPr>
        <w:t>60</w:t>
      </w:r>
      <w:r w:rsidRPr="00694F0F">
        <w:rPr>
          <w:rFonts w:ascii="Arial" w:hAnsi="Arial" w:cs="Arial"/>
          <w:noProof/>
          <w:sz w:val="24"/>
          <w:szCs w:val="24"/>
        </w:rPr>
        <w:t>(1), 31–51.</w:t>
      </w:r>
    </w:p>
    <w:p w14:paraId="3E32B1A6"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rPr>
      </w:pPr>
      <w:r w:rsidRPr="00694F0F">
        <w:rPr>
          <w:rFonts w:ascii="Arial" w:hAnsi="Arial" w:cs="Arial"/>
          <w:noProof/>
          <w:sz w:val="24"/>
          <w:szCs w:val="24"/>
        </w:rPr>
        <w:t xml:space="preserve">Yela García, C. (2000). </w:t>
      </w:r>
      <w:r w:rsidRPr="00694F0F">
        <w:rPr>
          <w:rFonts w:ascii="Arial" w:hAnsi="Arial" w:cs="Arial"/>
          <w:i/>
          <w:iCs/>
          <w:noProof/>
          <w:sz w:val="24"/>
          <w:szCs w:val="24"/>
        </w:rPr>
        <w:t>El amor desde la psicología social. Ni tan libres, ni tan racionales.</w:t>
      </w:r>
      <w:r w:rsidRPr="00694F0F">
        <w:rPr>
          <w:rFonts w:ascii="Arial" w:hAnsi="Arial" w:cs="Arial"/>
          <w:noProof/>
          <w:sz w:val="24"/>
          <w:szCs w:val="24"/>
        </w:rPr>
        <w:t xml:space="preserve"> Madrid, España: Ediciones Pirámide.</w:t>
      </w:r>
    </w:p>
    <w:p w14:paraId="39D5F84F" w14:textId="77777777" w:rsidR="00ED1672" w:rsidRPr="00694F0F" w:rsidRDefault="00ED1672" w:rsidP="00694F0F">
      <w:pPr>
        <w:widowControl w:val="0"/>
        <w:autoSpaceDE w:val="0"/>
        <w:autoSpaceDN w:val="0"/>
        <w:adjustRightInd w:val="0"/>
        <w:spacing w:line="360" w:lineRule="auto"/>
        <w:ind w:left="480" w:hanging="480"/>
        <w:rPr>
          <w:rFonts w:ascii="Arial" w:hAnsi="Arial" w:cs="Arial"/>
          <w:noProof/>
          <w:sz w:val="24"/>
          <w:szCs w:val="24"/>
          <w:lang w:val="en-US"/>
        </w:rPr>
      </w:pPr>
      <w:r w:rsidRPr="00694F0F">
        <w:rPr>
          <w:rFonts w:ascii="Arial" w:hAnsi="Arial" w:cs="Arial"/>
          <w:noProof/>
          <w:sz w:val="24"/>
          <w:szCs w:val="24"/>
        </w:rPr>
        <w:t xml:space="preserve">Ziegler, A., Matsick, J., Moors, A., Rubin, J., &amp; Conley, T. (2014). </w:t>
      </w:r>
      <w:r w:rsidRPr="00694F0F">
        <w:rPr>
          <w:rFonts w:ascii="Arial" w:hAnsi="Arial" w:cs="Arial"/>
          <w:noProof/>
          <w:sz w:val="24"/>
          <w:szCs w:val="24"/>
          <w:lang w:val="en-US"/>
        </w:rPr>
        <w:t xml:space="preserve">Does Monogamy Harm Women? Deconstructing Monogamy with a Feminist Lens. </w:t>
      </w:r>
      <w:r w:rsidRPr="00694F0F">
        <w:rPr>
          <w:rFonts w:ascii="Arial" w:hAnsi="Arial" w:cs="Arial"/>
          <w:i/>
          <w:iCs/>
          <w:noProof/>
          <w:sz w:val="24"/>
          <w:szCs w:val="24"/>
          <w:lang w:val="en-US"/>
        </w:rPr>
        <w:t>Psychology Faculty Articles and Research</w:t>
      </w:r>
      <w:r w:rsidRPr="00694F0F">
        <w:rPr>
          <w:rFonts w:ascii="Arial" w:hAnsi="Arial" w:cs="Arial"/>
          <w:noProof/>
          <w:sz w:val="24"/>
          <w:szCs w:val="24"/>
          <w:lang w:val="en-US"/>
        </w:rPr>
        <w:t>. Retrieved from https://digitalcommons.chapman.edu/psychology_articles/134</w:t>
      </w:r>
    </w:p>
    <w:p w14:paraId="78CF0EE8" w14:textId="7839D1AA" w:rsidR="000E0C09" w:rsidRPr="00694F0F" w:rsidRDefault="0070282E" w:rsidP="00694F0F">
      <w:pPr>
        <w:spacing w:line="360" w:lineRule="auto"/>
        <w:rPr>
          <w:rFonts w:ascii="Arial" w:hAnsi="Arial" w:cs="Arial"/>
          <w:sz w:val="24"/>
          <w:szCs w:val="24"/>
        </w:rPr>
      </w:pPr>
      <w:r w:rsidRPr="00694F0F">
        <w:rPr>
          <w:rFonts w:ascii="Arial" w:hAnsi="Arial" w:cs="Arial"/>
          <w:sz w:val="24"/>
          <w:szCs w:val="24"/>
        </w:rPr>
        <w:fldChar w:fldCharType="end"/>
      </w:r>
    </w:p>
    <w:sectPr w:rsidR="000E0C09" w:rsidRPr="00694F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C124" w14:textId="77777777" w:rsidR="005F0BFD" w:rsidRDefault="005F0BFD" w:rsidP="00317BE4">
      <w:pPr>
        <w:spacing w:after="0" w:line="240" w:lineRule="auto"/>
      </w:pPr>
      <w:r>
        <w:separator/>
      </w:r>
    </w:p>
  </w:endnote>
  <w:endnote w:type="continuationSeparator" w:id="0">
    <w:p w14:paraId="19FE946D" w14:textId="77777777" w:rsidR="005F0BFD" w:rsidRDefault="005F0BFD" w:rsidP="0031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FC72" w14:textId="77777777" w:rsidR="005F0BFD" w:rsidRDefault="005F0BFD" w:rsidP="00317BE4">
      <w:pPr>
        <w:spacing w:after="0" w:line="240" w:lineRule="auto"/>
      </w:pPr>
      <w:r>
        <w:separator/>
      </w:r>
    </w:p>
  </w:footnote>
  <w:footnote w:type="continuationSeparator" w:id="0">
    <w:p w14:paraId="5FAA83A9" w14:textId="77777777" w:rsidR="005F0BFD" w:rsidRDefault="005F0BFD" w:rsidP="0031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DB9"/>
    <w:multiLevelType w:val="hybridMultilevel"/>
    <w:tmpl w:val="0D225482"/>
    <w:lvl w:ilvl="0" w:tplc="1AAA75C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D68ED"/>
    <w:multiLevelType w:val="hybridMultilevel"/>
    <w:tmpl w:val="F5C89644"/>
    <w:lvl w:ilvl="0" w:tplc="260868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4859660">
    <w:abstractNumId w:val="0"/>
  </w:num>
  <w:num w:numId="2" w16cid:durableId="138714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9D8"/>
    <w:rsid w:val="0003523B"/>
    <w:rsid w:val="0004313A"/>
    <w:rsid w:val="000454C0"/>
    <w:rsid w:val="00065D49"/>
    <w:rsid w:val="00082FD8"/>
    <w:rsid w:val="000B7FA1"/>
    <w:rsid w:val="000C53CC"/>
    <w:rsid w:val="000D0D9A"/>
    <w:rsid w:val="000E0C09"/>
    <w:rsid w:val="000F1449"/>
    <w:rsid w:val="000F39CF"/>
    <w:rsid w:val="001149D8"/>
    <w:rsid w:val="00124BCF"/>
    <w:rsid w:val="0012638C"/>
    <w:rsid w:val="00130241"/>
    <w:rsid w:val="00187DD6"/>
    <w:rsid w:val="00197253"/>
    <w:rsid w:val="001F0D94"/>
    <w:rsid w:val="001F74DA"/>
    <w:rsid w:val="00202750"/>
    <w:rsid w:val="0020574A"/>
    <w:rsid w:val="00263088"/>
    <w:rsid w:val="002A726B"/>
    <w:rsid w:val="002C34AA"/>
    <w:rsid w:val="002E167D"/>
    <w:rsid w:val="00307B3C"/>
    <w:rsid w:val="00317BE4"/>
    <w:rsid w:val="00340916"/>
    <w:rsid w:val="003420D8"/>
    <w:rsid w:val="00351646"/>
    <w:rsid w:val="00374A44"/>
    <w:rsid w:val="003C64DD"/>
    <w:rsid w:val="003D5DAA"/>
    <w:rsid w:val="003F5EFA"/>
    <w:rsid w:val="00400E91"/>
    <w:rsid w:val="00417E69"/>
    <w:rsid w:val="00421425"/>
    <w:rsid w:val="00452EF0"/>
    <w:rsid w:val="0047182E"/>
    <w:rsid w:val="00497399"/>
    <w:rsid w:val="004A5499"/>
    <w:rsid w:val="004B4791"/>
    <w:rsid w:val="004C7CE6"/>
    <w:rsid w:val="004E4D4B"/>
    <w:rsid w:val="004E5935"/>
    <w:rsid w:val="004F2D70"/>
    <w:rsid w:val="0052304E"/>
    <w:rsid w:val="00547A8D"/>
    <w:rsid w:val="00573177"/>
    <w:rsid w:val="005958EA"/>
    <w:rsid w:val="005E2FCE"/>
    <w:rsid w:val="005E4690"/>
    <w:rsid w:val="005E5AEA"/>
    <w:rsid w:val="005F0BFD"/>
    <w:rsid w:val="00604346"/>
    <w:rsid w:val="00614CB4"/>
    <w:rsid w:val="00675E9E"/>
    <w:rsid w:val="00681CB8"/>
    <w:rsid w:val="00682B90"/>
    <w:rsid w:val="006832A8"/>
    <w:rsid w:val="00686F37"/>
    <w:rsid w:val="00694F0F"/>
    <w:rsid w:val="006A0D9D"/>
    <w:rsid w:val="006D19EB"/>
    <w:rsid w:val="006F0840"/>
    <w:rsid w:val="006F79B0"/>
    <w:rsid w:val="0070282E"/>
    <w:rsid w:val="007142DB"/>
    <w:rsid w:val="007345A4"/>
    <w:rsid w:val="00735DD0"/>
    <w:rsid w:val="00753F4A"/>
    <w:rsid w:val="00762BDB"/>
    <w:rsid w:val="0077006F"/>
    <w:rsid w:val="007B3FC3"/>
    <w:rsid w:val="007B55C6"/>
    <w:rsid w:val="007B655F"/>
    <w:rsid w:val="007E74F1"/>
    <w:rsid w:val="00810394"/>
    <w:rsid w:val="00813DC7"/>
    <w:rsid w:val="00826076"/>
    <w:rsid w:val="00827B03"/>
    <w:rsid w:val="00827C77"/>
    <w:rsid w:val="0085154A"/>
    <w:rsid w:val="00860098"/>
    <w:rsid w:val="00874B70"/>
    <w:rsid w:val="008A2F26"/>
    <w:rsid w:val="008C310D"/>
    <w:rsid w:val="008C518B"/>
    <w:rsid w:val="008C5B28"/>
    <w:rsid w:val="008D7BFC"/>
    <w:rsid w:val="008F43DF"/>
    <w:rsid w:val="008F4FEE"/>
    <w:rsid w:val="0091391E"/>
    <w:rsid w:val="00933D7B"/>
    <w:rsid w:val="009512D2"/>
    <w:rsid w:val="009541E6"/>
    <w:rsid w:val="00960304"/>
    <w:rsid w:val="009822A1"/>
    <w:rsid w:val="009A3FD8"/>
    <w:rsid w:val="00A02BD1"/>
    <w:rsid w:val="00A10327"/>
    <w:rsid w:val="00A35AEC"/>
    <w:rsid w:val="00A5007D"/>
    <w:rsid w:val="00A53063"/>
    <w:rsid w:val="00A55A51"/>
    <w:rsid w:val="00A64465"/>
    <w:rsid w:val="00A65007"/>
    <w:rsid w:val="00A9390E"/>
    <w:rsid w:val="00AA0527"/>
    <w:rsid w:val="00AA0A48"/>
    <w:rsid w:val="00AD2899"/>
    <w:rsid w:val="00AE672D"/>
    <w:rsid w:val="00B05D4B"/>
    <w:rsid w:val="00B34CD1"/>
    <w:rsid w:val="00B5091C"/>
    <w:rsid w:val="00B75E9B"/>
    <w:rsid w:val="00B80B80"/>
    <w:rsid w:val="00B86B99"/>
    <w:rsid w:val="00BC2EB2"/>
    <w:rsid w:val="00BE7E89"/>
    <w:rsid w:val="00C11C95"/>
    <w:rsid w:val="00C204C2"/>
    <w:rsid w:val="00C8019A"/>
    <w:rsid w:val="00CF4233"/>
    <w:rsid w:val="00CF5404"/>
    <w:rsid w:val="00D010DA"/>
    <w:rsid w:val="00D20C2C"/>
    <w:rsid w:val="00D22202"/>
    <w:rsid w:val="00D326A6"/>
    <w:rsid w:val="00D370DA"/>
    <w:rsid w:val="00D44976"/>
    <w:rsid w:val="00D52FDD"/>
    <w:rsid w:val="00D6676E"/>
    <w:rsid w:val="00DD6498"/>
    <w:rsid w:val="00DE094D"/>
    <w:rsid w:val="00E04D26"/>
    <w:rsid w:val="00E205DD"/>
    <w:rsid w:val="00E468D5"/>
    <w:rsid w:val="00EC4384"/>
    <w:rsid w:val="00ED1672"/>
    <w:rsid w:val="00EF2AE3"/>
    <w:rsid w:val="00F22C8D"/>
    <w:rsid w:val="00F343DB"/>
    <w:rsid w:val="00F403A2"/>
    <w:rsid w:val="00F56EB7"/>
    <w:rsid w:val="00F62626"/>
    <w:rsid w:val="00F72D17"/>
    <w:rsid w:val="00F75F06"/>
    <w:rsid w:val="00F77BEE"/>
    <w:rsid w:val="00F82061"/>
    <w:rsid w:val="00F85C64"/>
    <w:rsid w:val="00FA607F"/>
    <w:rsid w:val="00FB016F"/>
    <w:rsid w:val="00FE0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C97F"/>
  <w15:docId w15:val="{95899C0F-0F2E-48FD-8DA5-4CA7EAD8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D4B"/>
    <w:pPr>
      <w:ind w:left="720"/>
      <w:contextualSpacing/>
    </w:pPr>
  </w:style>
  <w:style w:type="character" w:styleId="Refdecomentario">
    <w:name w:val="annotation reference"/>
    <w:basedOn w:val="Fuentedeprrafopredeter"/>
    <w:uiPriority w:val="99"/>
    <w:semiHidden/>
    <w:unhideWhenUsed/>
    <w:rsid w:val="0047182E"/>
    <w:rPr>
      <w:sz w:val="16"/>
      <w:szCs w:val="16"/>
    </w:rPr>
  </w:style>
  <w:style w:type="paragraph" w:styleId="Textocomentario">
    <w:name w:val="annotation text"/>
    <w:basedOn w:val="Normal"/>
    <w:link w:val="TextocomentarioCar"/>
    <w:uiPriority w:val="99"/>
    <w:unhideWhenUsed/>
    <w:rsid w:val="0047182E"/>
    <w:pPr>
      <w:spacing w:line="240" w:lineRule="auto"/>
    </w:pPr>
    <w:rPr>
      <w:sz w:val="20"/>
      <w:szCs w:val="20"/>
    </w:rPr>
  </w:style>
  <w:style w:type="character" w:customStyle="1" w:styleId="TextocomentarioCar">
    <w:name w:val="Texto comentario Car"/>
    <w:basedOn w:val="Fuentedeprrafopredeter"/>
    <w:link w:val="Textocomentario"/>
    <w:uiPriority w:val="99"/>
    <w:rsid w:val="0047182E"/>
    <w:rPr>
      <w:sz w:val="20"/>
      <w:szCs w:val="20"/>
    </w:rPr>
  </w:style>
  <w:style w:type="paragraph" w:styleId="Asuntodelcomentario">
    <w:name w:val="annotation subject"/>
    <w:basedOn w:val="Textocomentario"/>
    <w:next w:val="Textocomentario"/>
    <w:link w:val="AsuntodelcomentarioCar"/>
    <w:uiPriority w:val="99"/>
    <w:semiHidden/>
    <w:unhideWhenUsed/>
    <w:rsid w:val="0047182E"/>
    <w:rPr>
      <w:b/>
      <w:bCs/>
    </w:rPr>
  </w:style>
  <w:style w:type="character" w:customStyle="1" w:styleId="AsuntodelcomentarioCar">
    <w:name w:val="Asunto del comentario Car"/>
    <w:basedOn w:val="TextocomentarioCar"/>
    <w:link w:val="Asuntodelcomentario"/>
    <w:uiPriority w:val="99"/>
    <w:semiHidden/>
    <w:rsid w:val="0047182E"/>
    <w:rPr>
      <w:b/>
      <w:bCs/>
      <w:sz w:val="20"/>
      <w:szCs w:val="20"/>
    </w:rPr>
  </w:style>
  <w:style w:type="character" w:styleId="Hipervnculo">
    <w:name w:val="Hyperlink"/>
    <w:basedOn w:val="Fuentedeprrafopredeter"/>
    <w:uiPriority w:val="99"/>
    <w:unhideWhenUsed/>
    <w:rsid w:val="00F82061"/>
    <w:rPr>
      <w:color w:val="0563C1" w:themeColor="hyperlink"/>
      <w:u w:val="single"/>
    </w:rPr>
  </w:style>
  <w:style w:type="character" w:styleId="Mencinsinresolver">
    <w:name w:val="Unresolved Mention"/>
    <w:basedOn w:val="Fuentedeprrafopredeter"/>
    <w:uiPriority w:val="99"/>
    <w:semiHidden/>
    <w:unhideWhenUsed/>
    <w:rsid w:val="00F82061"/>
    <w:rPr>
      <w:color w:val="605E5C"/>
      <w:shd w:val="clear" w:color="auto" w:fill="E1DFDD"/>
    </w:rPr>
  </w:style>
  <w:style w:type="table" w:styleId="Tablaconcuadrculaclara">
    <w:name w:val="Grid Table Light"/>
    <w:basedOn w:val="Tablanormal"/>
    <w:uiPriority w:val="40"/>
    <w:rsid w:val="00A02B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A02B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317B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7BE4"/>
  </w:style>
  <w:style w:type="paragraph" w:styleId="Piedepgina">
    <w:name w:val="footer"/>
    <w:basedOn w:val="Normal"/>
    <w:link w:val="PiedepginaCar"/>
    <w:uiPriority w:val="99"/>
    <w:unhideWhenUsed/>
    <w:rsid w:val="00317B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7BE4"/>
  </w:style>
  <w:style w:type="paragraph" w:styleId="Textonotapie">
    <w:name w:val="footnote text"/>
    <w:basedOn w:val="Normal"/>
    <w:link w:val="TextonotapieCar"/>
    <w:uiPriority w:val="99"/>
    <w:semiHidden/>
    <w:unhideWhenUsed/>
    <w:rsid w:val="001302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0241"/>
    <w:rPr>
      <w:sz w:val="20"/>
      <w:szCs w:val="20"/>
    </w:rPr>
  </w:style>
  <w:style w:type="character" w:styleId="Refdenotaalpie">
    <w:name w:val="footnote reference"/>
    <w:basedOn w:val="Fuentedeprrafopredeter"/>
    <w:uiPriority w:val="99"/>
    <w:semiHidden/>
    <w:unhideWhenUsed/>
    <w:rsid w:val="00130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2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3288-4295-4DEF-88BF-4A72B38F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15</Pages>
  <Words>11154</Words>
  <Characters>61350</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Escobar Mota</dc:creator>
  <cp:keywords/>
  <dc:description/>
  <cp:lastModifiedBy>Fernando Andrés Polanco</cp:lastModifiedBy>
  <cp:revision>12</cp:revision>
  <dcterms:created xsi:type="dcterms:W3CDTF">2022-05-04T17:47:00Z</dcterms:created>
  <dcterms:modified xsi:type="dcterms:W3CDTF">2022-12-27T18:42:00Z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a83ba203-167c-3478-87c0-6b689e2884de</vt:lpwstr>
  </property>
  <property fmtid="{D5CDD505-2E9C-101B-9397-08002B2CF9AE}" pid="24" name="Mendeley Citation Style_1">
    <vt:lpwstr>http://www.zotero.org/styles/apa</vt:lpwstr>
  </property>
</Properties>
</file>