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D66BFA" w:rsidRPr="00733C10" w:rsidRDefault="00000000">
      <w:pPr>
        <w:shd w:val="clear" w:color="auto" w:fill="FFFFFF"/>
        <w:spacing w:before="240" w:after="240" w:line="240" w:lineRule="auto"/>
        <w:jc w:val="center"/>
        <w:rPr>
          <w:rFonts w:ascii="Roboto" w:eastAsia="Roboto" w:hAnsi="Roboto" w:cs="Roboto"/>
          <w:b/>
          <w:sz w:val="21"/>
          <w:szCs w:val="21"/>
          <w:lang w:val="en-US"/>
        </w:rPr>
      </w:pPr>
      <w:r w:rsidRPr="00733C10">
        <w:rPr>
          <w:rFonts w:ascii="Roboto" w:eastAsia="Roboto" w:hAnsi="Roboto" w:cs="Roboto"/>
          <w:b/>
          <w:sz w:val="21"/>
          <w:szCs w:val="21"/>
          <w:lang w:val="en-US"/>
        </w:rPr>
        <w:t>The Legitimizing Role of Stereotype Content in the Gender Pay Gap</w:t>
      </w:r>
    </w:p>
    <w:p w14:paraId="00000002" w14:textId="77777777" w:rsidR="00D66BFA" w:rsidRPr="00733C10" w:rsidRDefault="00000000">
      <w:pPr>
        <w:shd w:val="clear" w:color="auto" w:fill="FFFFFF"/>
        <w:spacing w:before="220" w:after="220" w:line="240" w:lineRule="auto"/>
        <w:rPr>
          <w:rFonts w:ascii="Roboto" w:eastAsia="Roboto" w:hAnsi="Roboto" w:cs="Roboto"/>
          <w:sz w:val="21"/>
          <w:szCs w:val="21"/>
          <w:lang w:val="en-US"/>
        </w:rPr>
      </w:pPr>
      <w:r w:rsidRPr="00733C10">
        <w:rPr>
          <w:rFonts w:ascii="Roboto" w:eastAsia="Roboto" w:hAnsi="Roboto" w:cs="Roboto"/>
          <w:sz w:val="21"/>
          <w:szCs w:val="21"/>
          <w:lang w:val="en-US"/>
        </w:rPr>
        <w:t>Ranking 1 to 5:</w:t>
      </w:r>
    </w:p>
    <w:p w14:paraId="00000003" w14:textId="77777777" w:rsidR="00D66BFA" w:rsidRPr="00733C10" w:rsidRDefault="00000000">
      <w:pPr>
        <w:shd w:val="clear" w:color="auto" w:fill="FFFFFF"/>
        <w:spacing w:before="220" w:after="220" w:line="240" w:lineRule="auto"/>
        <w:rPr>
          <w:rFonts w:ascii="Roboto" w:eastAsia="Roboto" w:hAnsi="Roboto" w:cs="Roboto"/>
          <w:sz w:val="21"/>
          <w:szCs w:val="21"/>
          <w:lang w:val="en-US"/>
        </w:rPr>
      </w:pPr>
      <w:r w:rsidRPr="00733C10">
        <w:rPr>
          <w:rFonts w:ascii="Roboto" w:eastAsia="Roboto" w:hAnsi="Roboto" w:cs="Roboto"/>
          <w:sz w:val="21"/>
          <w:szCs w:val="21"/>
          <w:lang w:val="en-US"/>
        </w:rPr>
        <w:t>Originality: 01.</w:t>
      </w:r>
    </w:p>
    <w:p w14:paraId="00000005" w14:textId="16D47E98" w:rsidR="00D66BFA" w:rsidRPr="00733C10" w:rsidRDefault="00000000">
      <w:pPr>
        <w:shd w:val="clear" w:color="auto" w:fill="FFFFFF"/>
        <w:spacing w:before="220" w:after="220" w:line="240" w:lineRule="auto"/>
        <w:rPr>
          <w:rFonts w:ascii="Roboto" w:eastAsia="Roboto" w:hAnsi="Roboto" w:cs="Roboto"/>
          <w:sz w:val="21"/>
          <w:szCs w:val="21"/>
          <w:lang w:val="en-US"/>
        </w:rPr>
      </w:pPr>
      <w:r w:rsidRPr="00733C10">
        <w:rPr>
          <w:rFonts w:ascii="Roboto" w:eastAsia="Roboto" w:hAnsi="Roboto" w:cs="Roboto"/>
          <w:sz w:val="21"/>
          <w:szCs w:val="21"/>
          <w:lang w:val="en-US"/>
        </w:rPr>
        <w:t>As a future guidance, in order to expand the theoretical, empirical, and practical understanding of the topic, the manuscript and analogue future research should try drawing from the intersectional gender studies theory some elements - such as participants’ social class and race - in order to better analyze the data, for these are already proven to be as strong driving factors as age or any other personal characteristic when it comes to the gender bias itself.</w:t>
      </w:r>
      <w:r w:rsidR="00733C10" w:rsidRPr="00733C10">
        <w:rPr>
          <w:rFonts w:ascii="Roboto" w:eastAsia="Roboto" w:hAnsi="Roboto" w:cs="Roboto"/>
          <w:sz w:val="21"/>
          <w:szCs w:val="21"/>
          <w:lang w:val="en-US"/>
        </w:rPr>
        <w:t xml:space="preserve"> </w:t>
      </w:r>
      <w:r w:rsidR="00733C10" w:rsidRPr="00733C10">
        <w:rPr>
          <w:rFonts w:ascii="Roboto" w:eastAsia="Roboto" w:hAnsi="Roboto" w:cs="Roboto"/>
          <w:sz w:val="21"/>
          <w:szCs w:val="21"/>
          <w:lang w:val="en-US"/>
        </w:rPr>
        <w:t>A</w:t>
      </w:r>
      <w:r w:rsidR="00733C10">
        <w:rPr>
          <w:rFonts w:ascii="Roboto" w:eastAsia="Roboto" w:hAnsi="Roboto" w:cs="Roboto"/>
          <w:sz w:val="21"/>
          <w:szCs w:val="21"/>
          <w:lang w:val="en-US"/>
        </w:rPr>
        <w:t xml:space="preserve"> </w:t>
      </w:r>
      <w:r w:rsidR="00733C10" w:rsidRPr="00733C10">
        <w:rPr>
          <w:rFonts w:ascii="Roboto" w:eastAsia="Roboto" w:hAnsi="Roboto" w:cs="Roboto"/>
          <w:sz w:val="21"/>
          <w:szCs w:val="21"/>
          <w:lang w:val="en-US"/>
        </w:rPr>
        <w:t xml:space="preserve">previously published </w:t>
      </w:r>
      <w:r w:rsidR="00733C10">
        <w:rPr>
          <w:rFonts w:ascii="Roboto" w:eastAsia="Roboto" w:hAnsi="Roboto" w:cs="Roboto"/>
          <w:sz w:val="21"/>
          <w:szCs w:val="21"/>
          <w:lang w:val="en-US"/>
        </w:rPr>
        <w:t xml:space="preserve">paper </w:t>
      </w:r>
      <w:r w:rsidR="00733C10" w:rsidRPr="00733C10">
        <w:rPr>
          <w:rFonts w:ascii="Roboto" w:eastAsia="Roboto" w:hAnsi="Roboto" w:cs="Roboto"/>
          <w:sz w:val="21"/>
          <w:szCs w:val="21"/>
          <w:lang w:val="en-US"/>
        </w:rPr>
        <w:t xml:space="preserve">by Interamerican authors (SOUZA et al, SIP Vol., 55, No. 1, e1395, 2021) could be pertinent </w:t>
      </w:r>
      <w:r w:rsidR="00733C10">
        <w:rPr>
          <w:rFonts w:ascii="Roboto" w:eastAsia="Roboto" w:hAnsi="Roboto" w:cs="Roboto"/>
          <w:sz w:val="21"/>
          <w:szCs w:val="21"/>
          <w:lang w:val="en-US"/>
        </w:rPr>
        <w:t>so that</w:t>
      </w:r>
      <w:r w:rsidR="00733C10" w:rsidRPr="00733C10">
        <w:rPr>
          <w:rFonts w:ascii="Roboto" w:eastAsia="Roboto" w:hAnsi="Roboto" w:cs="Roboto"/>
          <w:sz w:val="21"/>
          <w:szCs w:val="21"/>
          <w:lang w:val="en-US"/>
        </w:rPr>
        <w:t xml:space="preserve"> this manuscript </w:t>
      </w:r>
      <w:r w:rsidR="00733C10">
        <w:rPr>
          <w:rFonts w:ascii="Roboto" w:eastAsia="Roboto" w:hAnsi="Roboto" w:cs="Roboto"/>
          <w:sz w:val="21"/>
          <w:szCs w:val="21"/>
          <w:lang w:val="en-US"/>
        </w:rPr>
        <w:t>can</w:t>
      </w:r>
      <w:r w:rsidR="00733C10" w:rsidRPr="00733C10">
        <w:rPr>
          <w:rFonts w:ascii="Roboto" w:eastAsia="Roboto" w:hAnsi="Roboto" w:cs="Roboto"/>
          <w:sz w:val="21"/>
          <w:szCs w:val="21"/>
          <w:lang w:val="en-US"/>
        </w:rPr>
        <w:t xml:space="preserve"> better situate the authors</w:t>
      </w:r>
      <w:r w:rsidR="00733C10">
        <w:rPr>
          <w:rFonts w:ascii="Roboto" w:eastAsia="Roboto" w:hAnsi="Roboto" w:cs="Roboto"/>
          <w:sz w:val="21"/>
          <w:szCs w:val="21"/>
          <w:lang w:val="en-US"/>
        </w:rPr>
        <w:t>’</w:t>
      </w:r>
      <w:r w:rsidR="00733C10" w:rsidRPr="00733C10">
        <w:rPr>
          <w:rFonts w:ascii="Roboto" w:eastAsia="Roboto" w:hAnsi="Roboto" w:cs="Roboto"/>
          <w:sz w:val="21"/>
          <w:szCs w:val="21"/>
          <w:lang w:val="en-US"/>
        </w:rPr>
        <w:t xml:space="preserve"> theories towards this subject.</w:t>
      </w:r>
    </w:p>
    <w:p w14:paraId="00000006" w14:textId="77777777" w:rsidR="00D66BFA" w:rsidRDefault="00000000">
      <w:pPr>
        <w:shd w:val="clear" w:color="auto" w:fill="FFFFFF"/>
        <w:spacing w:before="220" w:after="220" w:line="240" w:lineRule="auto"/>
        <w:rPr>
          <w:rFonts w:ascii="Roboto" w:eastAsia="Roboto" w:hAnsi="Roboto" w:cs="Roboto"/>
          <w:sz w:val="21"/>
          <w:szCs w:val="21"/>
        </w:rPr>
      </w:pPr>
      <w:proofErr w:type="spellStart"/>
      <w:r>
        <w:rPr>
          <w:rFonts w:ascii="Roboto" w:eastAsia="Roboto" w:hAnsi="Roboto" w:cs="Roboto"/>
          <w:sz w:val="21"/>
          <w:szCs w:val="21"/>
        </w:rPr>
        <w:t>Research</w:t>
      </w:r>
      <w:proofErr w:type="spellEnd"/>
      <w:r>
        <w:rPr>
          <w:rFonts w:ascii="Roboto" w:eastAsia="Roboto" w:hAnsi="Roboto" w:cs="Roboto"/>
          <w:sz w:val="21"/>
          <w:szCs w:val="21"/>
        </w:rPr>
        <w:t>: 04</w:t>
      </w:r>
    </w:p>
    <w:p w14:paraId="00000007" w14:textId="71094AA8" w:rsidR="00D66BFA" w:rsidRPr="00733C10" w:rsidRDefault="00000000">
      <w:pPr>
        <w:shd w:val="clear" w:color="auto" w:fill="FFFFFF"/>
        <w:spacing w:before="220" w:after="220" w:line="240" w:lineRule="auto"/>
        <w:rPr>
          <w:lang w:val="en-US"/>
        </w:rPr>
      </w:pPr>
      <w:r w:rsidRPr="00733C10">
        <w:rPr>
          <w:rFonts w:ascii="Roboto" w:eastAsia="Roboto" w:hAnsi="Roboto" w:cs="Roboto"/>
          <w:sz w:val="21"/>
          <w:szCs w:val="21"/>
          <w:lang w:val="en-US"/>
        </w:rPr>
        <w:t>The second-best aspect of this manuscript is being based on empirical evidence for which the quantitative methodology fit the research questions. The sampling techniques, systematic data collection, and data analysis can be deemed appropriate for the study, since most of the data supports the findings, whilst there are minor inconsistencies that could be further investigated by future research, as expected. Findings are well-contextualized in light of previous literature, even though lacking some theoretical guidance towards gender studies, as previously explained, which might have had some negative impacts on the research design.</w:t>
      </w:r>
      <w:r w:rsidR="00733C10" w:rsidRPr="00733C10">
        <w:rPr>
          <w:rFonts w:ascii="Roboto" w:eastAsia="Roboto" w:hAnsi="Roboto" w:cs="Roboto"/>
          <w:sz w:val="21"/>
          <w:szCs w:val="21"/>
          <w:lang w:val="en-US"/>
        </w:rPr>
        <w:t xml:space="preserve"> </w:t>
      </w:r>
    </w:p>
    <w:p w14:paraId="00000008" w14:textId="77777777" w:rsidR="00D66BFA" w:rsidRPr="00733C10" w:rsidRDefault="00000000">
      <w:pPr>
        <w:shd w:val="clear" w:color="auto" w:fill="FFFFFF"/>
        <w:spacing w:before="220" w:after="220" w:line="240" w:lineRule="auto"/>
        <w:rPr>
          <w:rFonts w:ascii="Roboto" w:eastAsia="Roboto" w:hAnsi="Roboto" w:cs="Roboto"/>
          <w:sz w:val="21"/>
          <w:szCs w:val="21"/>
          <w:lang w:val="en-US"/>
        </w:rPr>
      </w:pPr>
      <w:r w:rsidRPr="00733C10">
        <w:rPr>
          <w:rFonts w:ascii="Roboto" w:eastAsia="Roboto" w:hAnsi="Roboto" w:cs="Roboto"/>
          <w:sz w:val="21"/>
          <w:szCs w:val="21"/>
          <w:lang w:val="en-US"/>
        </w:rPr>
        <w:t>Theory: 01</w:t>
      </w:r>
    </w:p>
    <w:p w14:paraId="00000009" w14:textId="743EC629" w:rsidR="00D66BFA" w:rsidRPr="00733C10" w:rsidRDefault="00000000">
      <w:pPr>
        <w:shd w:val="clear" w:color="auto" w:fill="FFFFFF"/>
        <w:spacing w:before="220" w:after="220" w:line="240" w:lineRule="auto"/>
        <w:rPr>
          <w:rFonts w:ascii="Roboto" w:eastAsia="Roboto" w:hAnsi="Roboto" w:cs="Roboto"/>
          <w:sz w:val="21"/>
          <w:szCs w:val="21"/>
          <w:lang w:val="en-US"/>
        </w:rPr>
      </w:pPr>
      <w:r w:rsidRPr="00733C10">
        <w:rPr>
          <w:rFonts w:ascii="Roboto" w:eastAsia="Roboto" w:hAnsi="Roboto" w:cs="Roboto"/>
          <w:sz w:val="21"/>
          <w:szCs w:val="21"/>
          <w:lang w:val="en-US"/>
        </w:rPr>
        <w:t xml:space="preserve">The manuscript is based upon a systematic and reflective examination of one or more literature of conceptual </w:t>
      </w:r>
      <w:r w:rsidR="00733C10" w:rsidRPr="00733C10">
        <w:rPr>
          <w:rFonts w:ascii="Roboto" w:eastAsia="Roboto" w:hAnsi="Roboto" w:cs="Roboto"/>
          <w:sz w:val="21"/>
          <w:szCs w:val="21"/>
          <w:lang w:val="en-US"/>
        </w:rPr>
        <w:t>perspectives but</w:t>
      </w:r>
      <w:r w:rsidRPr="00733C10">
        <w:rPr>
          <w:rFonts w:ascii="Roboto" w:eastAsia="Roboto" w:hAnsi="Roboto" w:cs="Roboto"/>
          <w:sz w:val="21"/>
          <w:szCs w:val="21"/>
          <w:lang w:val="en-US"/>
        </w:rPr>
        <w:t xml:space="preserve"> cannot be placed among those of theoretical gender studies.</w:t>
      </w:r>
    </w:p>
    <w:p w14:paraId="0000000A" w14:textId="77777777" w:rsidR="00D66BFA" w:rsidRDefault="00000000">
      <w:pPr>
        <w:shd w:val="clear" w:color="auto" w:fill="FFFFFF"/>
        <w:spacing w:before="220" w:after="220" w:line="240" w:lineRule="auto"/>
        <w:rPr>
          <w:rFonts w:ascii="Roboto" w:eastAsia="Roboto" w:hAnsi="Roboto" w:cs="Roboto"/>
          <w:sz w:val="21"/>
          <w:szCs w:val="21"/>
        </w:rPr>
      </w:pPr>
      <w:proofErr w:type="spellStart"/>
      <w:r>
        <w:rPr>
          <w:rFonts w:ascii="Roboto" w:eastAsia="Roboto" w:hAnsi="Roboto" w:cs="Roboto"/>
          <w:sz w:val="21"/>
          <w:szCs w:val="21"/>
        </w:rPr>
        <w:t>Practice</w:t>
      </w:r>
      <w:proofErr w:type="spellEnd"/>
      <w:r>
        <w:rPr>
          <w:rFonts w:ascii="Roboto" w:eastAsia="Roboto" w:hAnsi="Roboto" w:cs="Roboto"/>
          <w:sz w:val="21"/>
          <w:szCs w:val="21"/>
        </w:rPr>
        <w:t>: 02</w:t>
      </w:r>
    </w:p>
    <w:p w14:paraId="0000000B" w14:textId="77777777" w:rsidR="00D66BFA" w:rsidRPr="00733C10" w:rsidRDefault="00000000">
      <w:pPr>
        <w:shd w:val="clear" w:color="auto" w:fill="FFFFFF"/>
        <w:spacing w:before="220" w:after="220" w:line="240" w:lineRule="auto"/>
        <w:rPr>
          <w:rFonts w:ascii="Roboto" w:eastAsia="Roboto" w:hAnsi="Roboto" w:cs="Roboto"/>
          <w:sz w:val="21"/>
          <w:szCs w:val="21"/>
          <w:lang w:val="en-US"/>
        </w:rPr>
      </w:pPr>
      <w:r w:rsidRPr="00733C10">
        <w:rPr>
          <w:rFonts w:ascii="Roboto" w:eastAsia="Roboto" w:hAnsi="Roboto" w:cs="Roboto"/>
          <w:sz w:val="21"/>
          <w:szCs w:val="21"/>
          <w:lang w:val="en-US"/>
        </w:rPr>
        <w:t>The manuscript contributes to a large discussion of information that can be useful in the practice of psychology by a targeted audience and/or the interdisciplinary readership of the journal. The not very original research methods and theoretical framework can however diminish its relevance, as previously discussed, to the targeted audience.</w:t>
      </w:r>
    </w:p>
    <w:p w14:paraId="0000000C" w14:textId="77777777" w:rsidR="00D66BFA" w:rsidRPr="00733C10" w:rsidRDefault="00000000">
      <w:pPr>
        <w:shd w:val="clear" w:color="auto" w:fill="FFFFFF"/>
        <w:spacing w:before="220" w:after="220" w:line="240" w:lineRule="auto"/>
        <w:rPr>
          <w:rFonts w:ascii="Roboto" w:eastAsia="Roboto" w:hAnsi="Roboto" w:cs="Roboto"/>
          <w:sz w:val="21"/>
          <w:szCs w:val="21"/>
          <w:lang w:val="en-US"/>
        </w:rPr>
      </w:pPr>
      <w:r w:rsidRPr="00733C10">
        <w:rPr>
          <w:rFonts w:ascii="Roboto" w:eastAsia="Roboto" w:hAnsi="Roboto" w:cs="Roboto"/>
          <w:sz w:val="21"/>
          <w:szCs w:val="21"/>
          <w:lang w:val="en-US"/>
        </w:rPr>
        <w:t>Literature Review: 03</w:t>
      </w:r>
    </w:p>
    <w:p w14:paraId="0000000D" w14:textId="77777777" w:rsidR="00D66BFA" w:rsidRPr="00733C10" w:rsidRDefault="00000000">
      <w:pPr>
        <w:shd w:val="clear" w:color="auto" w:fill="FFFFFF"/>
        <w:spacing w:before="220" w:after="220" w:line="240" w:lineRule="auto"/>
        <w:rPr>
          <w:rFonts w:ascii="Roboto" w:eastAsia="Roboto" w:hAnsi="Roboto" w:cs="Roboto"/>
          <w:sz w:val="21"/>
          <w:szCs w:val="21"/>
          <w:lang w:val="en-US"/>
        </w:rPr>
      </w:pPr>
      <w:r w:rsidRPr="00733C10">
        <w:rPr>
          <w:rFonts w:ascii="Roboto" w:eastAsia="Roboto" w:hAnsi="Roboto" w:cs="Roboto"/>
          <w:sz w:val="21"/>
          <w:szCs w:val="21"/>
          <w:lang w:val="en-US"/>
        </w:rPr>
        <w:t>Author(s) do build on existing literature in formulating ideas for this submission, but miss(es) relevant literature, such as those on gender intersectionality with race and social class aspects, and thus only demonstrate a reasonable understanding of current knowledge related to the topic.</w:t>
      </w:r>
    </w:p>
    <w:p w14:paraId="0000000E" w14:textId="77777777" w:rsidR="00D66BFA" w:rsidRPr="00733C10" w:rsidRDefault="00000000">
      <w:pPr>
        <w:shd w:val="clear" w:color="auto" w:fill="FFFFFF"/>
        <w:spacing w:before="220" w:after="220" w:line="240" w:lineRule="auto"/>
        <w:rPr>
          <w:rFonts w:ascii="Roboto" w:eastAsia="Roboto" w:hAnsi="Roboto" w:cs="Roboto"/>
          <w:sz w:val="21"/>
          <w:szCs w:val="21"/>
          <w:lang w:val="en-US"/>
        </w:rPr>
      </w:pPr>
      <w:r w:rsidRPr="00733C10">
        <w:rPr>
          <w:rFonts w:ascii="Roboto" w:eastAsia="Roboto" w:hAnsi="Roboto" w:cs="Roboto"/>
          <w:sz w:val="21"/>
          <w:szCs w:val="21"/>
          <w:lang w:val="en-US"/>
        </w:rPr>
        <w:t>Writing: 05</w:t>
      </w:r>
    </w:p>
    <w:p w14:paraId="27CFEE8C" w14:textId="274519EB" w:rsidR="00733C10" w:rsidRPr="00733C10" w:rsidRDefault="00000000">
      <w:pPr>
        <w:shd w:val="clear" w:color="auto" w:fill="FFFFFF"/>
        <w:spacing w:before="220" w:after="220" w:line="240" w:lineRule="auto"/>
        <w:rPr>
          <w:rFonts w:ascii="Roboto" w:eastAsia="Roboto" w:hAnsi="Roboto" w:cs="Roboto"/>
          <w:sz w:val="21"/>
          <w:szCs w:val="21"/>
          <w:lang w:val="en-US"/>
        </w:rPr>
      </w:pPr>
      <w:r w:rsidRPr="00733C10">
        <w:rPr>
          <w:rFonts w:ascii="Roboto" w:eastAsia="Roboto" w:hAnsi="Roboto" w:cs="Roboto"/>
          <w:sz w:val="21"/>
          <w:szCs w:val="21"/>
          <w:lang w:val="en-US"/>
        </w:rPr>
        <w:t>The best of the manuscript is being very well written, grammatically correct, free of spelling errors, cohesive, and logically organized. Also, conclusions stated clearly and well-referenced in their primary and secondary sources, using the style of the current APA publication manual.</w:t>
      </w:r>
    </w:p>
    <w:sectPr w:rsidR="00733C10" w:rsidRPr="00733C10">
      <w:pgSz w:w="11906" w:h="16838"/>
      <w:pgMar w:top="1700" w:right="1133" w:bottom="1133" w:left="17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BFA"/>
    <w:rsid w:val="00733C10"/>
    <w:rsid w:val="00D66B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BA6AD"/>
  <w15:docId w15:val="{75FDAC95-7A2B-44FD-9CB6-DA8F68DA5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404</Words>
  <Characters>2187</Characters>
  <DocSecurity>0</DocSecurity>
  <Lines>18</Lines>
  <Paragraphs>5</Paragraphs>
  <ScaleCrop>false</ScaleCrop>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2023-03-25T15:21:00Z</dcterms:created>
  <dcterms:modified xsi:type="dcterms:W3CDTF">2023-03-25T15:24:00Z</dcterms:modified>
</cp:coreProperties>
</file>