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207AC" w14:textId="77777777" w:rsidR="00036869" w:rsidRPr="008B1B98" w:rsidRDefault="005D244C" w:rsidP="007F5193">
      <w:pPr>
        <w:spacing w:line="480" w:lineRule="auto"/>
        <w:jc w:val="left"/>
        <w:rPr>
          <w:lang w:val="en-US"/>
        </w:rPr>
      </w:pPr>
      <w:r w:rsidRPr="008B1B98">
        <w:rPr>
          <w:lang w:val="en-US"/>
        </w:rPr>
        <w:t xml:space="preserve">Book Review: </w:t>
      </w:r>
      <w:r w:rsidR="00A97195" w:rsidRPr="008B1B98">
        <w:rPr>
          <w:b/>
          <w:bCs/>
          <w:lang w:val="en-US"/>
        </w:rPr>
        <w:t>Ethnopsychology. Pieces from the Mexican Research Gallery</w:t>
      </w:r>
      <w:r w:rsidR="00036869" w:rsidRPr="008B1B98">
        <w:rPr>
          <w:b/>
          <w:bCs/>
          <w:lang w:val="en-US"/>
        </w:rPr>
        <w:t>.</w:t>
      </w:r>
    </w:p>
    <w:p w14:paraId="75D1BF70" w14:textId="1A58437E" w:rsidR="005D244C" w:rsidRPr="007F5193" w:rsidRDefault="00036869" w:rsidP="007F5193">
      <w:pPr>
        <w:spacing w:line="480" w:lineRule="auto"/>
        <w:jc w:val="left"/>
        <w:rPr>
          <w:b/>
          <w:bCs/>
        </w:rPr>
      </w:pPr>
      <w:r w:rsidRPr="007F5193">
        <w:t xml:space="preserve">Author: </w:t>
      </w:r>
      <w:r w:rsidRPr="007F5193">
        <w:rPr>
          <w:b/>
          <w:bCs/>
        </w:rPr>
        <w:t>Rolando Díaz-Loving.</w:t>
      </w:r>
    </w:p>
    <w:p w14:paraId="542DBD39" w14:textId="2DBB8AC8" w:rsidR="002C6449" w:rsidRPr="008B1B98" w:rsidRDefault="002C6449" w:rsidP="007F5193">
      <w:pPr>
        <w:spacing w:line="480" w:lineRule="auto"/>
        <w:jc w:val="left"/>
        <w:rPr>
          <w:lang w:val="en-US"/>
        </w:rPr>
      </w:pPr>
      <w:r w:rsidRPr="008B1B98">
        <w:rPr>
          <w:lang w:val="en-US"/>
        </w:rPr>
        <w:t>The fact that the word "culture" is used more and more frequently in the general psychological literature is due to the great contributions of cultural, cross-cultural, and indigenous psychology. The questions we ask ourselves are about to what extent the "great theories" represent all humans or if they have only been based on great generalizations without considering the context (political, historical, economic) in which people develop</w:t>
      </w:r>
      <w:r w:rsidR="004E257C" w:rsidRPr="008B1B98">
        <w:rPr>
          <w:lang w:val="en-US"/>
        </w:rPr>
        <w:t>.</w:t>
      </w:r>
    </w:p>
    <w:p w14:paraId="79C10394" w14:textId="35AF65CC" w:rsidR="002C6449" w:rsidRPr="008B1B98" w:rsidRDefault="002C6449" w:rsidP="007F5193">
      <w:pPr>
        <w:spacing w:line="480" w:lineRule="auto"/>
        <w:jc w:val="left"/>
        <w:rPr>
          <w:lang w:val="en-US"/>
        </w:rPr>
      </w:pPr>
      <w:r w:rsidRPr="008B1B98">
        <w:rPr>
          <w:lang w:val="en-US"/>
        </w:rPr>
        <w:t xml:space="preserve">In particular, the contributions of Mexican indigenous psychology, or rather, </w:t>
      </w:r>
      <w:r w:rsidR="004E257C" w:rsidRPr="008B1B98">
        <w:rPr>
          <w:lang w:val="en-US"/>
        </w:rPr>
        <w:t>E</w:t>
      </w:r>
      <w:r w:rsidRPr="008B1B98">
        <w:rPr>
          <w:lang w:val="en-US"/>
        </w:rPr>
        <w:t>thnopsychology, have gone unnoticed by most cultural and cross-cultural psycholog</w:t>
      </w:r>
      <w:r w:rsidR="00C839FC" w:rsidRPr="008B1B98">
        <w:rPr>
          <w:lang w:val="en-US"/>
        </w:rPr>
        <w:t>ist</w:t>
      </w:r>
      <w:r w:rsidRPr="008B1B98">
        <w:rPr>
          <w:lang w:val="en-US"/>
        </w:rPr>
        <w:t xml:space="preserve">, in part because most of the findings have originally been published in Spanish. That is why this book comes to save this situation by making available to non-Spanish-speaking scholars the contributions that have been developed for more than </w:t>
      </w:r>
      <w:r w:rsidR="00A861A7" w:rsidRPr="008B1B98">
        <w:rPr>
          <w:lang w:val="en-US"/>
        </w:rPr>
        <w:t>5</w:t>
      </w:r>
      <w:r w:rsidRPr="008B1B98">
        <w:rPr>
          <w:lang w:val="en-US"/>
        </w:rPr>
        <w:t xml:space="preserve">0 years in Mexico. </w:t>
      </w:r>
    </w:p>
    <w:p w14:paraId="7CB336BA" w14:textId="03314D2B" w:rsidR="002C6449" w:rsidRPr="008B1B98" w:rsidRDefault="002C6449" w:rsidP="007F5193">
      <w:pPr>
        <w:spacing w:line="480" w:lineRule="auto"/>
        <w:jc w:val="left"/>
        <w:rPr>
          <w:lang w:val="en-US"/>
        </w:rPr>
      </w:pPr>
      <w:r w:rsidRPr="008B1B98">
        <w:rPr>
          <w:lang w:val="en-US"/>
        </w:rPr>
        <w:t>Dr. Rolando Díaz Loving, professor at the National Autonomous University of Mexico, co-founder of the Mexican Association of Social Psychology and recipient of multiple awards in Latin America and active member of the International Association for Cross-Cultural Psychology, forces us to turn to Mexico, and see it as a space with a long tradition of culturally sensitive and rigorous research, with a critical view on the Euro-Meso-North-American theories (also called Western world views)</w:t>
      </w:r>
      <w:r w:rsidR="0001564D" w:rsidRPr="008B1B98">
        <w:rPr>
          <w:lang w:val="en-US"/>
        </w:rPr>
        <w:t>.</w:t>
      </w:r>
    </w:p>
    <w:p w14:paraId="0D491451" w14:textId="6A078641" w:rsidR="002C6449" w:rsidRPr="008B1B98" w:rsidRDefault="002C6449" w:rsidP="007F5193">
      <w:pPr>
        <w:spacing w:line="480" w:lineRule="auto"/>
        <w:jc w:val="left"/>
        <w:rPr>
          <w:lang w:val="en-US"/>
        </w:rPr>
      </w:pPr>
      <w:r w:rsidRPr="008B1B98">
        <w:rPr>
          <w:lang w:val="en-US"/>
        </w:rPr>
        <w:t>The book gives a historical overview of various decades of research, forcing the reader to remember classic and contemporary authors in a single theoretical brushstroke.</w:t>
      </w:r>
      <w:r w:rsidR="0001564D" w:rsidRPr="008B1B98">
        <w:rPr>
          <w:lang w:val="en-US"/>
        </w:rPr>
        <w:t xml:space="preserve"> </w:t>
      </w:r>
      <w:r w:rsidRPr="008B1B98">
        <w:rPr>
          <w:lang w:val="en-US"/>
        </w:rPr>
        <w:t xml:space="preserve">The suggestive title </w:t>
      </w:r>
      <w:r w:rsidRPr="008B1B98">
        <w:rPr>
          <w:i/>
          <w:iCs/>
          <w:lang w:val="en-US"/>
        </w:rPr>
        <w:t>Ethnopsychology: Pieces from the Mexican Gallery</w:t>
      </w:r>
      <w:r w:rsidRPr="008B1B98">
        <w:rPr>
          <w:lang w:val="en-US"/>
        </w:rPr>
        <w:t>, has the intention of provoking doubts about this concept, which is undoubtedly less familiar than that of cultural or indigenous psychology. The title is not random since it tries to differentiate itself from other concepts and goes beyond the study of minorities. The concept of Ethnopsychology becomes vital to understand the space that psychology occupies as a study within its contextual framework, and therefore, ethnological.</w:t>
      </w:r>
    </w:p>
    <w:p w14:paraId="479D17AF" w14:textId="77777777" w:rsidR="002C6449" w:rsidRPr="008B1B98" w:rsidRDefault="002C6449" w:rsidP="007F5193">
      <w:pPr>
        <w:spacing w:line="480" w:lineRule="auto"/>
        <w:jc w:val="left"/>
        <w:rPr>
          <w:lang w:val="en-US"/>
        </w:rPr>
      </w:pPr>
      <w:r w:rsidRPr="008B1B98">
        <w:rPr>
          <w:lang w:val="en-US"/>
        </w:rPr>
        <w:t xml:space="preserve">The book addresses the clarification of concepts and theories that give rise to the cultural framework addressed throughout the text (Chapter 1); followed by an obligatory chapter of historical review about the construction of the historical-socio-cultural premises of Diaz </w:t>
      </w:r>
      <w:r w:rsidRPr="008B1B98">
        <w:rPr>
          <w:lang w:val="en-US"/>
        </w:rPr>
        <w:lastRenderedPageBreak/>
        <w:t>Guerrero (chapter 2) considered the father of social psychology in Mexico and who was able to operationalize culture effectively, using sayings and common beliefs in earlies 50’s, that are still valid in contemporary Mexico. In subsequent chapters, a wide range of research dealing with identity (Chapter 3), gender (Chapter 4), personality (Chapter 5), interpersonal relationships (Chapter 6), and the importance of the family and its structure (chapter 7) is explained in detail. In the final chapter, a retrospective panorama is given and the areas of opportunity of ethnopsychology are pointed out as the relevant area for the application of psychological principles linked to the context.</w:t>
      </w:r>
    </w:p>
    <w:p w14:paraId="20028A3C" w14:textId="65B789F3" w:rsidR="002C6449" w:rsidRPr="008B1B98" w:rsidRDefault="002C6449" w:rsidP="007F5193">
      <w:pPr>
        <w:spacing w:line="480" w:lineRule="auto"/>
        <w:jc w:val="left"/>
        <w:rPr>
          <w:lang w:val="en-US"/>
        </w:rPr>
      </w:pPr>
      <w:r w:rsidRPr="008B1B98">
        <w:rPr>
          <w:lang w:val="en-US"/>
        </w:rPr>
        <w:t>The great contribution of the book is that it puts at your disposal the conceptual framework of ethnopsychology to develop research that is culturally appropriate to the context; in other words, it advertises the Historical-Socio-Cultural Theory initiated in the 1950s and vitalized by recent findings.As the author points out “The parameters of human activity are set among the psychological, sociological, and cultural traditions and no matter how far we stray, we must live within their limits” (p. 172); Thus, the book points out one of the ways to continue advancing in the understanding of the human psyche from an integrative starting point.</w:t>
      </w:r>
    </w:p>
    <w:p w14:paraId="1C7DDCB7" w14:textId="77777777" w:rsidR="002C6449" w:rsidRPr="008B1B98" w:rsidRDefault="002C6449" w:rsidP="007F5193">
      <w:pPr>
        <w:spacing w:line="480" w:lineRule="auto"/>
        <w:jc w:val="left"/>
        <w:rPr>
          <w:lang w:val="en-US"/>
        </w:rPr>
      </w:pPr>
      <w:r w:rsidRPr="008B1B98">
        <w:rPr>
          <w:lang w:val="en-US"/>
        </w:rPr>
        <w:t>It is possible that some readers find the book too specific when it is named Ethnopsychology and refers to Mexico almost exclusively, nonetheless, the important fact is that it points out some of the conceptual and methodological deficiencies of the Euro-Meso-North-American theories, and distinguishes a theoretical and methodological tradition that makes sense beyond Mexico.</w:t>
      </w:r>
    </w:p>
    <w:p w14:paraId="5F7C3B0F" w14:textId="266AC5DF" w:rsidR="002C6449" w:rsidRPr="008B1B98" w:rsidRDefault="002C6449" w:rsidP="007F5193">
      <w:pPr>
        <w:spacing w:line="480" w:lineRule="auto"/>
        <w:jc w:val="left"/>
        <w:rPr>
          <w:lang w:val="en-US"/>
        </w:rPr>
      </w:pPr>
      <w:r w:rsidRPr="008B1B98">
        <w:rPr>
          <w:lang w:val="en-US"/>
        </w:rPr>
        <w:t>One of the aspects to highlight is the broad approach to themes and interpretations that have served to direct effective interventions for the context.</w:t>
      </w:r>
      <w:r w:rsidR="00921C59" w:rsidRPr="008B1B98">
        <w:rPr>
          <w:lang w:val="en-US"/>
        </w:rPr>
        <w:t xml:space="preserve"> </w:t>
      </w:r>
      <w:r w:rsidRPr="008B1B98">
        <w:rPr>
          <w:lang w:val="en-US"/>
        </w:rPr>
        <w:t xml:space="preserve">An early example of this, is the study about the implication of the historical-socio-cultural premises in the use of contraceptive methods in adolescents and young people </w:t>
      </w:r>
      <w:r w:rsidR="0020752B" w:rsidRPr="008B1B98">
        <w:rPr>
          <w:noProof/>
          <w:lang w:val="en-US"/>
        </w:rPr>
        <w:t>(Díaz-Loving et al., 1988)</w:t>
      </w:r>
      <w:r w:rsidRPr="008B1B98">
        <w:rPr>
          <w:lang w:val="en-US"/>
        </w:rPr>
        <w:t>.</w:t>
      </w:r>
    </w:p>
    <w:p w14:paraId="3BF28584" w14:textId="4D12AF24" w:rsidR="002C6449" w:rsidRPr="008B1B98" w:rsidRDefault="002C6449" w:rsidP="007F5193">
      <w:pPr>
        <w:spacing w:line="480" w:lineRule="auto"/>
        <w:jc w:val="left"/>
        <w:rPr>
          <w:lang w:val="en-US"/>
        </w:rPr>
      </w:pPr>
      <w:r w:rsidRPr="008B1B98">
        <w:rPr>
          <w:lang w:val="en-US"/>
        </w:rPr>
        <w:t xml:space="preserve">This book, unlike other books about Indigenous Psychology </w:t>
      </w:r>
      <w:r w:rsidR="009D635C" w:rsidRPr="008B1B98">
        <w:rPr>
          <w:noProof/>
          <w:lang w:val="en-US"/>
        </w:rPr>
        <w:t>(e.g. Ciofalo, 2019; Kim et al., 2006)</w:t>
      </w:r>
      <w:r w:rsidR="009D635C" w:rsidRPr="008B1B98">
        <w:rPr>
          <w:lang w:val="en-US"/>
        </w:rPr>
        <w:t xml:space="preserve">, </w:t>
      </w:r>
      <w:r w:rsidRPr="008B1B98">
        <w:rPr>
          <w:lang w:val="en-US"/>
        </w:rPr>
        <w:t xml:space="preserve">emphasizes research over the decades and within various contexts in the same country (although it also takes up studies made in Mexico compared to other countries). One of the distinctions is that Ethnopsychology is not only made of qualitative or quantitative methodologies (nowadays called mixed methods) but based on both since its inception in earlies 40’s. </w:t>
      </w:r>
      <w:r w:rsidR="00310609" w:rsidRPr="008B1B98">
        <w:rPr>
          <w:lang w:val="en-US"/>
        </w:rPr>
        <w:t>This approach</w:t>
      </w:r>
      <w:r w:rsidRPr="008B1B98">
        <w:rPr>
          <w:lang w:val="en-US"/>
        </w:rPr>
        <w:t xml:space="preserve"> gives the opportunity to define culture in a way that can be measured and contrasted empirically in predictive models and assess its evolution through different historical periods.</w:t>
      </w:r>
    </w:p>
    <w:p w14:paraId="61F8F557" w14:textId="77777777" w:rsidR="002C6449" w:rsidRPr="008B1B98" w:rsidRDefault="002C6449" w:rsidP="007F5193">
      <w:pPr>
        <w:spacing w:line="480" w:lineRule="auto"/>
        <w:jc w:val="left"/>
        <w:rPr>
          <w:lang w:val="en-US"/>
        </w:rPr>
      </w:pPr>
      <w:r w:rsidRPr="008B1B98">
        <w:rPr>
          <w:lang w:val="en-US"/>
        </w:rPr>
        <w:t>The most relevant part of the work has been highlighting a scientifically viable way of operationalizing culture as a constant source of variation, through the identification of premises that underlie the most important influence for the individual, such as the family and partners. Their influence, operationalized in this way, makes the context understandable, since the premises are first and foremost a reflection of the environment, history, and socio-politics.</w:t>
      </w:r>
    </w:p>
    <w:p w14:paraId="26E8E306" w14:textId="77777777" w:rsidR="002C6449" w:rsidRPr="008B1B98" w:rsidRDefault="002C6449" w:rsidP="007F5193">
      <w:pPr>
        <w:spacing w:line="480" w:lineRule="auto"/>
        <w:jc w:val="left"/>
        <w:rPr>
          <w:lang w:val="en-US"/>
        </w:rPr>
      </w:pPr>
      <w:r w:rsidRPr="008B1B98">
        <w:rPr>
          <w:lang w:val="en-US"/>
        </w:rPr>
        <w:t>In the author's own words, this vision helps to understand that there is no such dichotomy etic-emic, but both are required to understand the human psyche; a scientific discipline needs to identify the underlying processes of all humans, but when trying to deal with the behaviors or beliefs, a more appropriate approach is needed, given the context in which humans find themselves.</w:t>
      </w:r>
    </w:p>
    <w:p w14:paraId="4F5A1D8B" w14:textId="77777777" w:rsidR="002C6449" w:rsidRPr="008B1B98" w:rsidRDefault="002C6449" w:rsidP="007F5193">
      <w:pPr>
        <w:spacing w:line="480" w:lineRule="auto"/>
        <w:jc w:val="left"/>
        <w:rPr>
          <w:lang w:val="en-US"/>
        </w:rPr>
      </w:pPr>
      <w:r w:rsidRPr="008B1B98">
        <w:rPr>
          <w:lang w:val="en-US"/>
        </w:rPr>
        <w:t>The effect of this book is inspirational. Some readers will be inspired to replicate some of the findings in their own contexts, since the characterization of the studies will resemble other Spanish-speaking countries or with the same structural, political, or economic difficulties faced in Latin America, Asia, or Africa. Readers will realize that there are other culturally relevant research spaces and that the link between theories and methodologies can give rise to other frames of reference outside of mainstream psychology.</w:t>
      </w:r>
    </w:p>
    <w:p w14:paraId="4F2C3875" w14:textId="70022158" w:rsidR="002C6449" w:rsidRPr="008B1B98" w:rsidRDefault="002C6449" w:rsidP="007F5193">
      <w:pPr>
        <w:spacing w:line="480" w:lineRule="auto"/>
        <w:jc w:val="left"/>
        <w:rPr>
          <w:lang w:val="en-US"/>
        </w:rPr>
      </w:pPr>
      <w:r w:rsidRPr="008B1B98">
        <w:rPr>
          <w:lang w:val="en-US"/>
        </w:rPr>
        <w:t>The relevance of the book lies in pointing out other ways of doing rigorous studies in psycholog</w:t>
      </w:r>
      <w:r w:rsidR="00A726F5" w:rsidRPr="008B1B98">
        <w:rPr>
          <w:lang w:val="en-US"/>
        </w:rPr>
        <w:t>y</w:t>
      </w:r>
      <w:r w:rsidRPr="008B1B98">
        <w:rPr>
          <w:lang w:val="en-US"/>
        </w:rPr>
        <w:t>; operationalizing culture, beyond proclaiming it as the cause of differences; point out the way in which changes in cultural premises affect observable manifestations, allowing an interpretive framework for differences</w:t>
      </w:r>
      <w:r w:rsidR="00332A1A" w:rsidRPr="008B1B98">
        <w:rPr>
          <w:lang w:val="en-US"/>
        </w:rPr>
        <w:t>.</w:t>
      </w:r>
    </w:p>
    <w:p w14:paraId="42A03352" w14:textId="2358B208" w:rsidR="002C6449" w:rsidRPr="008B1B98" w:rsidRDefault="002C6449" w:rsidP="007F5193">
      <w:pPr>
        <w:spacing w:line="480" w:lineRule="auto"/>
        <w:jc w:val="left"/>
        <w:rPr>
          <w:lang w:val="en-US"/>
        </w:rPr>
      </w:pPr>
      <w:r w:rsidRPr="008B1B98">
        <w:rPr>
          <w:lang w:val="en-US"/>
        </w:rPr>
        <w:t>Those readers interested in using psychological principles in concrete applications will find parts of the book extremely useful, since the review covers several topics where the findings can clearly be implemented in contexts with affinity to those reported. Although those readers more interested in the specific methodologies will find the book limited, many examples are presented (mostly in Spanish) that indicate the path to follow, and therefore they should focus on those texts of reference to emulate the findings.</w:t>
      </w:r>
      <w:r w:rsidR="00EB1E60" w:rsidRPr="008B1B98">
        <w:rPr>
          <w:lang w:val="en-US"/>
        </w:rPr>
        <w:t xml:space="preserve"> </w:t>
      </w:r>
      <w:r w:rsidRPr="008B1B98">
        <w:rPr>
          <w:lang w:val="en-US"/>
        </w:rPr>
        <w:t>Some readers interested in the new or adapted scales reported here will be discouraged by not finding these tools available in the book, they are invited to consult the references for the location of such instruments.</w:t>
      </w:r>
      <w:r w:rsidR="00EB1E60" w:rsidRPr="008B1B98">
        <w:rPr>
          <w:lang w:val="en-US"/>
        </w:rPr>
        <w:t xml:space="preserve"> </w:t>
      </w:r>
      <w:r w:rsidRPr="008B1B98">
        <w:rPr>
          <w:lang w:val="en-US"/>
        </w:rPr>
        <w:t xml:space="preserve">Some readers will also find too much emphasis on findings confined to a single country; however, the findings could be </w:t>
      </w:r>
      <w:r w:rsidR="00921C59" w:rsidRPr="008B1B98">
        <w:rPr>
          <w:lang w:val="en-US"/>
        </w:rPr>
        <w:t>replicated,</w:t>
      </w:r>
      <w:r w:rsidRPr="008B1B98">
        <w:rPr>
          <w:lang w:val="en-US"/>
        </w:rPr>
        <w:t xml:space="preserve"> and the methodology disseminated, in such a way that a more global contribution to the study of general psychology is made.</w:t>
      </w:r>
    </w:p>
    <w:p w14:paraId="16DDB472" w14:textId="49CFD9F9" w:rsidR="002C6449" w:rsidRPr="008B1B98" w:rsidRDefault="002C6449" w:rsidP="007F5193">
      <w:pPr>
        <w:spacing w:line="480" w:lineRule="auto"/>
        <w:jc w:val="left"/>
        <w:rPr>
          <w:lang w:val="en-US"/>
        </w:rPr>
      </w:pPr>
      <w:r w:rsidRPr="008B1B98">
        <w:rPr>
          <w:lang w:val="en-US"/>
        </w:rPr>
        <w:t xml:space="preserve">The objective of the book is to make visible the advantages of a culturally relevant perspective that allows us to conceptualize and measure psychological constructs that are relevant to people, </w:t>
      </w:r>
      <w:r w:rsidR="00A51599" w:rsidRPr="008B1B98">
        <w:rPr>
          <w:lang w:val="en-US"/>
        </w:rPr>
        <w:t>if</w:t>
      </w:r>
      <w:r w:rsidRPr="008B1B98">
        <w:rPr>
          <w:lang w:val="en-US"/>
        </w:rPr>
        <w:t xml:space="preserve"> they do not live isolated from their context and that any attempt to improve their well-being must consider their historical, </w:t>
      </w:r>
      <w:r w:rsidR="00A51599" w:rsidRPr="008B1B98">
        <w:rPr>
          <w:lang w:val="en-US"/>
        </w:rPr>
        <w:t>social,</w:t>
      </w:r>
      <w:r w:rsidRPr="008B1B98">
        <w:rPr>
          <w:lang w:val="en-US"/>
        </w:rPr>
        <w:t xml:space="preserve"> and cultural </w:t>
      </w:r>
      <w:r w:rsidR="00A51599" w:rsidRPr="008B1B98">
        <w:rPr>
          <w:lang w:val="en-US"/>
        </w:rPr>
        <w:t>framework</w:t>
      </w:r>
      <w:r w:rsidRPr="008B1B98">
        <w:rPr>
          <w:lang w:val="en-US"/>
        </w:rPr>
        <w:t>.</w:t>
      </w:r>
    </w:p>
    <w:p w14:paraId="52604338" w14:textId="4B2017A7" w:rsidR="002C6449" w:rsidRPr="008B1B98" w:rsidRDefault="002C6449" w:rsidP="007F5193">
      <w:pPr>
        <w:spacing w:line="480" w:lineRule="auto"/>
        <w:jc w:val="left"/>
        <w:rPr>
          <w:lang w:val="en-US"/>
        </w:rPr>
      </w:pPr>
      <w:r w:rsidRPr="008B1B98">
        <w:rPr>
          <w:lang w:val="en-US"/>
        </w:rPr>
        <w:t>It is here that operationalizing culture in the way it is done in this book makes this an essential text for cultural and cross-cultural researchers to be inspired by and return to a long tradition of research generated in the 1950s and that continues to bear fruit today</w:t>
      </w:r>
      <w:r w:rsidR="00921C59" w:rsidRPr="008B1B98">
        <w:rPr>
          <w:lang w:val="en-US"/>
        </w:rPr>
        <w:t>.</w:t>
      </w:r>
    </w:p>
    <w:p w14:paraId="51FF91F6" w14:textId="77777777" w:rsidR="002C6449" w:rsidRPr="006D12B5" w:rsidRDefault="002C6449" w:rsidP="007F5193">
      <w:pPr>
        <w:spacing w:line="480" w:lineRule="auto"/>
        <w:jc w:val="left"/>
        <w:rPr>
          <w:sz w:val="22"/>
          <w:szCs w:val="22"/>
          <w:lang w:val="en-US"/>
        </w:rPr>
      </w:pPr>
    </w:p>
    <w:p w14:paraId="56452122" w14:textId="05675B9C" w:rsidR="009D635C" w:rsidRPr="007F5193" w:rsidRDefault="009D635C" w:rsidP="007F5193">
      <w:pPr>
        <w:pStyle w:val="EndNoteBibliographyTitle"/>
        <w:spacing w:line="480" w:lineRule="auto"/>
        <w:rPr>
          <w:lang w:val="en-US"/>
        </w:rPr>
      </w:pPr>
      <w:r w:rsidRPr="007F5193">
        <w:rPr>
          <w:lang w:val="en-US"/>
        </w:rPr>
        <w:t>References</w:t>
      </w:r>
    </w:p>
    <w:p w14:paraId="227CCA4D" w14:textId="77777777" w:rsidR="009D635C" w:rsidRPr="007F5193" w:rsidRDefault="009D635C" w:rsidP="007F5193">
      <w:pPr>
        <w:pStyle w:val="EndNoteBibliography"/>
        <w:spacing w:line="480" w:lineRule="auto"/>
        <w:ind w:left="720" w:hanging="720"/>
        <w:rPr>
          <w:lang w:val="en-US"/>
        </w:rPr>
      </w:pPr>
      <w:r w:rsidRPr="007F5193">
        <w:rPr>
          <w:lang w:val="en-US"/>
        </w:rPr>
        <w:t xml:space="preserve">Ciofalo, N. (Ed.). (2019). </w:t>
      </w:r>
      <w:r w:rsidRPr="007F5193">
        <w:rPr>
          <w:i/>
          <w:lang w:val="en-US"/>
        </w:rPr>
        <w:t>Indigenous Psychologies in an era of decolonization</w:t>
      </w:r>
      <w:r w:rsidRPr="007F5193">
        <w:rPr>
          <w:lang w:val="en-US"/>
        </w:rPr>
        <w:t>. Springer.</w:t>
      </w:r>
    </w:p>
    <w:p w14:paraId="5D853B3A" w14:textId="3904A296" w:rsidR="009D635C" w:rsidRPr="009D635C" w:rsidRDefault="009D635C" w:rsidP="007F5193">
      <w:pPr>
        <w:pStyle w:val="EndNoteBibliography"/>
        <w:spacing w:line="480" w:lineRule="auto"/>
        <w:ind w:left="720" w:hanging="720"/>
      </w:pPr>
      <w:r w:rsidRPr="007F5193">
        <w:rPr>
          <w:lang w:val="en-US"/>
        </w:rPr>
        <w:t xml:space="preserve">Díaz-Loving, R., Pick de Weiss, S., &amp; Andrade-Palos, P. (1988). </w:t>
      </w:r>
      <w:r w:rsidRPr="009D635C">
        <w:t xml:space="preserve">Obediencia, asertividad y planeación al futuro como precursores del comportamiento sexual y anticonceptivo en adolescentes [Obedience, assertiveness and planning the future as precursors of sexual and contraceptive behavior in adolescents]. In R. Díaz-Loving (Ed.), </w:t>
      </w:r>
      <w:r w:rsidRPr="009D635C">
        <w:rPr>
          <w:i/>
        </w:rPr>
        <w:t>La Psicología Social en México</w:t>
      </w:r>
      <w:r w:rsidRPr="009D635C">
        <w:t xml:space="preserve"> (Vol. 2, pp. 336-342). Asociación Mexicana de Psicología Social. </w:t>
      </w:r>
      <w:r w:rsidRPr="009D635C">
        <w:tab/>
      </w:r>
    </w:p>
    <w:p w14:paraId="75B179E8" w14:textId="77777777" w:rsidR="009D635C" w:rsidRPr="009D635C" w:rsidRDefault="009D635C" w:rsidP="007F5193">
      <w:pPr>
        <w:pStyle w:val="EndNoteBibliography"/>
        <w:spacing w:line="480" w:lineRule="auto"/>
        <w:ind w:left="720" w:hanging="720"/>
      </w:pPr>
      <w:r w:rsidRPr="009D635C">
        <w:t xml:space="preserve">Kim, U., Yang, K.-S., &amp; Hwang, K.-K. (Eds.). </w:t>
      </w:r>
      <w:r w:rsidRPr="007F5193">
        <w:rPr>
          <w:lang w:val="en-US"/>
        </w:rPr>
        <w:t xml:space="preserve">(2006). </w:t>
      </w:r>
      <w:r w:rsidRPr="007F5193">
        <w:rPr>
          <w:i/>
          <w:lang w:val="en-US"/>
        </w:rPr>
        <w:t>Indigenous and Cultural Psychology. Understanding people in context</w:t>
      </w:r>
      <w:r w:rsidRPr="007F5193">
        <w:rPr>
          <w:lang w:val="en-US"/>
        </w:rPr>
        <w:t xml:space="preserve">. </w:t>
      </w:r>
      <w:r w:rsidRPr="009D635C">
        <w:t>Springer.</w:t>
      </w:r>
    </w:p>
    <w:sectPr w:rsidR="009D635C" w:rsidRPr="009D635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D50E3"/>
    <w:multiLevelType w:val="multilevel"/>
    <w:tmpl w:val="BFDCED66"/>
    <w:lvl w:ilvl="0">
      <w:start w:val="1"/>
      <w:numFmt w:val="decimal"/>
      <w:pStyle w:val="Ttulo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F903015"/>
    <w:multiLevelType w:val="hybridMultilevel"/>
    <w:tmpl w:val="06BE0C98"/>
    <w:lvl w:ilvl="0" w:tplc="A4164FFC">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Annotated (1) Copy&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wxedffrj009abewxzn5d5zgvw0tatv9rafe&quot;&gt;Social &amp;amp; Cultural &amp;amp; Personality&lt;record-ids&gt;&lt;item&gt;3265&lt;/item&gt;&lt;item&gt;3266&lt;/item&gt;&lt;item&gt;3267&lt;/item&gt;&lt;/record-ids&gt;&lt;/item&gt;&lt;/Libraries&gt;"/>
  </w:docVars>
  <w:rsids>
    <w:rsidRoot w:val="007B2EB2"/>
    <w:rsid w:val="0001564D"/>
    <w:rsid w:val="00036869"/>
    <w:rsid w:val="000442D7"/>
    <w:rsid w:val="0004547C"/>
    <w:rsid w:val="00067A24"/>
    <w:rsid w:val="00082750"/>
    <w:rsid w:val="000D2038"/>
    <w:rsid w:val="000D3C6E"/>
    <w:rsid w:val="000D4AAE"/>
    <w:rsid w:val="000F5A30"/>
    <w:rsid w:val="00101C10"/>
    <w:rsid w:val="00111D04"/>
    <w:rsid w:val="00120D11"/>
    <w:rsid w:val="0014497B"/>
    <w:rsid w:val="00191929"/>
    <w:rsid w:val="00197DD7"/>
    <w:rsid w:val="0020752B"/>
    <w:rsid w:val="002167AA"/>
    <w:rsid w:val="0023659E"/>
    <w:rsid w:val="002B2917"/>
    <w:rsid w:val="002C6449"/>
    <w:rsid w:val="00306DBE"/>
    <w:rsid w:val="00310609"/>
    <w:rsid w:val="00311BD4"/>
    <w:rsid w:val="00332A1A"/>
    <w:rsid w:val="00343746"/>
    <w:rsid w:val="00392E22"/>
    <w:rsid w:val="003D0068"/>
    <w:rsid w:val="00421660"/>
    <w:rsid w:val="004223DB"/>
    <w:rsid w:val="004402FB"/>
    <w:rsid w:val="0045090B"/>
    <w:rsid w:val="00452282"/>
    <w:rsid w:val="00461ABB"/>
    <w:rsid w:val="00484C12"/>
    <w:rsid w:val="004A562C"/>
    <w:rsid w:val="004C37CF"/>
    <w:rsid w:val="004D1A32"/>
    <w:rsid w:val="004E257C"/>
    <w:rsid w:val="005004B6"/>
    <w:rsid w:val="00555A7D"/>
    <w:rsid w:val="005A6DAB"/>
    <w:rsid w:val="005C3C6A"/>
    <w:rsid w:val="005D0821"/>
    <w:rsid w:val="005D244C"/>
    <w:rsid w:val="005F30FD"/>
    <w:rsid w:val="006113BC"/>
    <w:rsid w:val="00612324"/>
    <w:rsid w:val="006D12B5"/>
    <w:rsid w:val="006E6468"/>
    <w:rsid w:val="006F34FD"/>
    <w:rsid w:val="00711875"/>
    <w:rsid w:val="00713F3F"/>
    <w:rsid w:val="00732E20"/>
    <w:rsid w:val="0074770F"/>
    <w:rsid w:val="007672AE"/>
    <w:rsid w:val="007868F2"/>
    <w:rsid w:val="007B2EB2"/>
    <w:rsid w:val="007F5193"/>
    <w:rsid w:val="007F73CC"/>
    <w:rsid w:val="00805F9D"/>
    <w:rsid w:val="00822C7A"/>
    <w:rsid w:val="00845622"/>
    <w:rsid w:val="00850425"/>
    <w:rsid w:val="00865A75"/>
    <w:rsid w:val="00871FDA"/>
    <w:rsid w:val="0089203A"/>
    <w:rsid w:val="0089640F"/>
    <w:rsid w:val="008A7624"/>
    <w:rsid w:val="008A77AA"/>
    <w:rsid w:val="008B1B98"/>
    <w:rsid w:val="008B4057"/>
    <w:rsid w:val="008E2E04"/>
    <w:rsid w:val="00904A6D"/>
    <w:rsid w:val="00905EF4"/>
    <w:rsid w:val="00916873"/>
    <w:rsid w:val="00921C59"/>
    <w:rsid w:val="009650E3"/>
    <w:rsid w:val="00982373"/>
    <w:rsid w:val="00992D8E"/>
    <w:rsid w:val="00994C29"/>
    <w:rsid w:val="009B000E"/>
    <w:rsid w:val="009D635C"/>
    <w:rsid w:val="00A15698"/>
    <w:rsid w:val="00A36038"/>
    <w:rsid w:val="00A46FF6"/>
    <w:rsid w:val="00A51599"/>
    <w:rsid w:val="00A52A01"/>
    <w:rsid w:val="00A64D51"/>
    <w:rsid w:val="00A726F5"/>
    <w:rsid w:val="00A861A7"/>
    <w:rsid w:val="00A97195"/>
    <w:rsid w:val="00AB68F8"/>
    <w:rsid w:val="00AE34E5"/>
    <w:rsid w:val="00AE3ADB"/>
    <w:rsid w:val="00AE7C6E"/>
    <w:rsid w:val="00AF2088"/>
    <w:rsid w:val="00B1539A"/>
    <w:rsid w:val="00B1756D"/>
    <w:rsid w:val="00B24FFA"/>
    <w:rsid w:val="00B357E8"/>
    <w:rsid w:val="00B445CE"/>
    <w:rsid w:val="00B75F19"/>
    <w:rsid w:val="00BA309D"/>
    <w:rsid w:val="00BA509C"/>
    <w:rsid w:val="00BA614E"/>
    <w:rsid w:val="00BE6B64"/>
    <w:rsid w:val="00C044B2"/>
    <w:rsid w:val="00C2524F"/>
    <w:rsid w:val="00C3516C"/>
    <w:rsid w:val="00C36BA2"/>
    <w:rsid w:val="00C839FC"/>
    <w:rsid w:val="00C863C3"/>
    <w:rsid w:val="00C948C8"/>
    <w:rsid w:val="00C9659C"/>
    <w:rsid w:val="00CA0253"/>
    <w:rsid w:val="00CA6F75"/>
    <w:rsid w:val="00CE45B6"/>
    <w:rsid w:val="00CE50D3"/>
    <w:rsid w:val="00D02272"/>
    <w:rsid w:val="00D65F54"/>
    <w:rsid w:val="00DB53D5"/>
    <w:rsid w:val="00DC02E9"/>
    <w:rsid w:val="00DD0626"/>
    <w:rsid w:val="00E042B2"/>
    <w:rsid w:val="00E347D2"/>
    <w:rsid w:val="00E55F13"/>
    <w:rsid w:val="00E711B9"/>
    <w:rsid w:val="00E73245"/>
    <w:rsid w:val="00E75EEE"/>
    <w:rsid w:val="00E777F5"/>
    <w:rsid w:val="00E9568C"/>
    <w:rsid w:val="00EA17F4"/>
    <w:rsid w:val="00EB1E60"/>
    <w:rsid w:val="00EE002C"/>
    <w:rsid w:val="00EF16F3"/>
    <w:rsid w:val="00F1672A"/>
    <w:rsid w:val="00F56002"/>
    <w:rsid w:val="00F65C81"/>
    <w:rsid w:val="00F70901"/>
    <w:rsid w:val="00F97DFF"/>
    <w:rsid w:val="00FE1BB4"/>
    <w:rsid w:val="00FF15A1"/>
    <w:rsid w:val="00FF5B16"/>
    <w:rsid w:val="00FF65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EA91B"/>
  <w15:chartTrackingRefBased/>
  <w15:docId w15:val="{38EEF09C-3E1D-4026-8354-C156F27D9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4B6"/>
    <w:pPr>
      <w:spacing w:after="0" w:line="360" w:lineRule="auto"/>
      <w:jc w:val="both"/>
    </w:pPr>
    <w:rPr>
      <w:rFonts w:ascii="Times New Roman" w:hAnsi="Times New Roman" w:cs="Times New Roman"/>
      <w:sz w:val="24"/>
      <w:szCs w:val="24"/>
      <w:lang w:eastAsia="es-MX"/>
    </w:rPr>
  </w:style>
  <w:style w:type="paragraph" w:styleId="Ttulo3">
    <w:name w:val="heading 3"/>
    <w:basedOn w:val="Normal"/>
    <w:next w:val="Normal"/>
    <w:link w:val="Ttulo3Car"/>
    <w:autoRedefine/>
    <w:uiPriority w:val="9"/>
    <w:unhideWhenUsed/>
    <w:qFormat/>
    <w:rsid w:val="005004B6"/>
    <w:pPr>
      <w:keepNext/>
      <w:keepLines/>
      <w:spacing w:before="40"/>
      <w:outlineLvl w:val="2"/>
    </w:pPr>
    <w:rPr>
      <w:rFonts w:eastAsiaTheme="majorEastAsia" w:cstheme="majorBidi"/>
      <w:color w:val="000000" w:themeColor="text1"/>
      <w:u w:val="single"/>
      <w:lang w:eastAsia="en-US"/>
    </w:rPr>
  </w:style>
  <w:style w:type="paragraph" w:styleId="Ttulo4">
    <w:name w:val="heading 4"/>
    <w:basedOn w:val="Normal"/>
    <w:next w:val="Normal"/>
    <w:link w:val="Ttulo4Car"/>
    <w:autoRedefine/>
    <w:uiPriority w:val="9"/>
    <w:unhideWhenUsed/>
    <w:qFormat/>
    <w:rsid w:val="005004B6"/>
    <w:pPr>
      <w:keepNext/>
      <w:keepLines/>
      <w:numPr>
        <w:numId w:val="2"/>
      </w:numPr>
      <w:spacing w:before="40"/>
      <w:ind w:hanging="360"/>
      <w:jc w:val="center"/>
      <w:outlineLvl w:val="3"/>
    </w:pPr>
    <w:rPr>
      <w:rFonts w:eastAsiaTheme="majorEastAsia" w:cstheme="majorBidi"/>
      <w:b/>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004B6"/>
    <w:rPr>
      <w:rFonts w:ascii="Times New Roman" w:eastAsiaTheme="majorEastAsia" w:hAnsi="Times New Roman" w:cstheme="majorBidi"/>
      <w:color w:val="000000" w:themeColor="text1"/>
      <w:sz w:val="24"/>
      <w:szCs w:val="24"/>
      <w:u w:val="single"/>
    </w:rPr>
  </w:style>
  <w:style w:type="character" w:customStyle="1" w:styleId="Ttulo4Car">
    <w:name w:val="Título 4 Car"/>
    <w:basedOn w:val="Fuentedeprrafopredeter"/>
    <w:link w:val="Ttulo4"/>
    <w:uiPriority w:val="9"/>
    <w:rsid w:val="005004B6"/>
    <w:rPr>
      <w:rFonts w:ascii="Times New Roman" w:eastAsiaTheme="majorEastAsia" w:hAnsi="Times New Roman" w:cstheme="majorBidi"/>
      <w:b/>
      <w:i/>
      <w:iCs/>
      <w:sz w:val="24"/>
      <w:szCs w:val="24"/>
      <w:lang w:eastAsia="es-MX"/>
    </w:rPr>
  </w:style>
  <w:style w:type="table" w:styleId="Tablaconcuadrcula">
    <w:name w:val="Table Grid"/>
    <w:basedOn w:val="Tablanormal"/>
    <w:uiPriority w:val="39"/>
    <w:rsid w:val="007B2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ar"/>
    <w:rsid w:val="0023659E"/>
    <w:pPr>
      <w:jc w:val="center"/>
    </w:pPr>
    <w:rPr>
      <w:noProof/>
    </w:rPr>
  </w:style>
  <w:style w:type="character" w:customStyle="1" w:styleId="EndNoteBibliographyTitleCar">
    <w:name w:val="EndNote Bibliography Title Car"/>
    <w:basedOn w:val="Fuentedeprrafopredeter"/>
    <w:link w:val="EndNoteBibliographyTitle"/>
    <w:rsid w:val="0023659E"/>
    <w:rPr>
      <w:rFonts w:ascii="Times New Roman" w:hAnsi="Times New Roman" w:cs="Times New Roman"/>
      <w:noProof/>
      <w:sz w:val="24"/>
      <w:szCs w:val="24"/>
      <w:lang w:eastAsia="es-MX"/>
    </w:rPr>
  </w:style>
  <w:style w:type="paragraph" w:customStyle="1" w:styleId="EndNoteBibliography">
    <w:name w:val="EndNote Bibliography"/>
    <w:basedOn w:val="Normal"/>
    <w:link w:val="EndNoteBibliographyCar"/>
    <w:rsid w:val="0023659E"/>
    <w:pPr>
      <w:spacing w:line="240" w:lineRule="auto"/>
    </w:pPr>
    <w:rPr>
      <w:noProof/>
    </w:rPr>
  </w:style>
  <w:style w:type="character" w:customStyle="1" w:styleId="EndNoteBibliographyCar">
    <w:name w:val="EndNote Bibliography Car"/>
    <w:basedOn w:val="Fuentedeprrafopredeter"/>
    <w:link w:val="EndNoteBibliography"/>
    <w:rsid w:val="0023659E"/>
    <w:rPr>
      <w:rFonts w:ascii="Times New Roman" w:hAnsi="Times New Roman" w:cs="Times New Roman"/>
      <w:noProof/>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1403</Words>
  <Characters>7721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Dominguez Espinosa</dc:creator>
  <cp:keywords/>
  <dc:description/>
  <cp:lastModifiedBy>Alejandra Dominguez Espinosa</cp:lastModifiedBy>
  <cp:revision>29</cp:revision>
  <dcterms:created xsi:type="dcterms:W3CDTF">2022-06-05T19:50:00Z</dcterms:created>
  <dcterms:modified xsi:type="dcterms:W3CDTF">2022-06-07T17:29:00Z</dcterms:modified>
</cp:coreProperties>
</file>