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E35AE" w14:textId="0BEADABB" w:rsidR="002D3A62" w:rsidRPr="002D3A62" w:rsidRDefault="002D3A62" w:rsidP="00481631">
      <w:pPr>
        <w:spacing w:line="360" w:lineRule="auto"/>
        <w:ind w:firstLine="0"/>
        <w:rPr>
          <w:b/>
          <w:lang w:val="en-US"/>
        </w:rPr>
      </w:pPr>
      <w:r w:rsidRPr="002D3A62">
        <w:rPr>
          <w:b/>
          <w:lang w:val="en-US"/>
        </w:rPr>
        <w:t>Identity fusion in Colombian and Venezuelan migrants residing in Chile: a comparative study</w:t>
      </w:r>
    </w:p>
    <w:p w14:paraId="0DAA33E3" w14:textId="36497591" w:rsidR="00481631" w:rsidRPr="00481631" w:rsidRDefault="00481631" w:rsidP="00481631">
      <w:pPr>
        <w:spacing w:after="0" w:line="360" w:lineRule="auto"/>
        <w:ind w:firstLine="0"/>
        <w:rPr>
          <w:b/>
          <w:bCs/>
          <w:lang w:val="en-US"/>
        </w:rPr>
      </w:pPr>
      <w:r w:rsidRPr="00481631">
        <w:rPr>
          <w:b/>
          <w:bCs/>
          <w:lang w:val="en-US"/>
        </w:rPr>
        <w:t>Abstract</w:t>
      </w:r>
    </w:p>
    <w:p w14:paraId="559552F2" w14:textId="77777777" w:rsidR="00481631" w:rsidRPr="00481631" w:rsidRDefault="00481631" w:rsidP="00481631">
      <w:pPr>
        <w:spacing w:after="0" w:line="360" w:lineRule="auto"/>
        <w:ind w:firstLine="0"/>
        <w:rPr>
          <w:bCs/>
          <w:lang w:val="en-US"/>
        </w:rPr>
      </w:pPr>
      <w:bookmarkStart w:id="0" w:name="_GoBack"/>
      <w:r w:rsidRPr="00481631">
        <w:rPr>
          <w:b/>
          <w:bCs/>
          <w:lang w:val="en-US"/>
        </w:rPr>
        <w:t>Objective:</w:t>
      </w:r>
      <w:r w:rsidRPr="00481631">
        <w:rPr>
          <w:bCs/>
          <w:lang w:val="en-US"/>
        </w:rPr>
        <w:t xml:space="preserve"> This study aims to describe and compare the levels of identity fusion with the country of origin and the host country of Colombian and Venezuelan migrants living in Chile. </w:t>
      </w:r>
      <w:r w:rsidRPr="00481631">
        <w:rPr>
          <w:b/>
          <w:bCs/>
          <w:lang w:val="en-US"/>
        </w:rPr>
        <w:t>Methods:</w:t>
      </w:r>
      <w:r w:rsidRPr="00481631">
        <w:rPr>
          <w:bCs/>
          <w:lang w:val="en-US"/>
        </w:rPr>
        <w:t xml:space="preserve"> Two studies were carried out with the participation of 1077 migrants from Colombia (n=770) and Venezuela (n=307), who were residing in Chile at the time of data collection. The Colombian sample included 377 (49%) women and 393 (51%) men, aged between 18 and 65 years (SD=34.95, SD=9.84). In the case of the Venezuelan sample, there were 166 (54.1%) women and 141 (45.9%) men, with ages ranging from 18 to 69 years (SD=32.57, SD=9.38). In addition to some sociodemographic variables, identity fusion with both the country of origin and the host country was assessed. Moment product correlations and mean difference analysis were performed. </w:t>
      </w:r>
      <w:r w:rsidRPr="00481631">
        <w:rPr>
          <w:b/>
          <w:bCs/>
          <w:lang w:val="en-US"/>
        </w:rPr>
        <w:t>Results:</w:t>
      </w:r>
      <w:r w:rsidRPr="00481631">
        <w:rPr>
          <w:bCs/>
          <w:lang w:val="en-US"/>
        </w:rPr>
        <w:t xml:space="preserve"> Analyses indicate that a greater number of years living in Chile is related to higher levels of identity fusion with the host country for both Colombian and Venezuelan migrants. A greater number of years residing in Chile was only related to higher levels of identity fusion with the country of origin for Venezuelan migrants, but not for Colombians. </w:t>
      </w:r>
      <w:r w:rsidRPr="00481631">
        <w:rPr>
          <w:b/>
          <w:bCs/>
          <w:lang w:val="en-US"/>
        </w:rPr>
        <w:t>Conclusion:</w:t>
      </w:r>
      <w:r w:rsidRPr="00481631">
        <w:rPr>
          <w:bCs/>
          <w:lang w:val="en-US"/>
        </w:rPr>
        <w:t xml:space="preserve"> Migrants' feelings of union with the host country could be increased as time passes, without the link with the country of origin being diminished in most cases.</w:t>
      </w:r>
    </w:p>
    <w:bookmarkEnd w:id="0"/>
    <w:p w14:paraId="5C9BF2B1" w14:textId="4AA436EC" w:rsidR="00481631" w:rsidRPr="00481631" w:rsidRDefault="00481631" w:rsidP="00481631">
      <w:pPr>
        <w:spacing w:after="0" w:line="360" w:lineRule="auto"/>
        <w:ind w:firstLine="0"/>
        <w:rPr>
          <w:bCs/>
          <w:lang w:val="en-US"/>
        </w:rPr>
      </w:pPr>
      <w:r>
        <w:rPr>
          <w:b/>
          <w:bCs/>
          <w:lang w:val="en-US"/>
        </w:rPr>
        <w:t>Key</w:t>
      </w:r>
      <w:r w:rsidRPr="00481631">
        <w:rPr>
          <w:b/>
          <w:bCs/>
          <w:lang w:val="en-US"/>
        </w:rPr>
        <w:t>words:</w:t>
      </w:r>
      <w:r w:rsidRPr="00481631">
        <w:rPr>
          <w:bCs/>
          <w:lang w:val="en-US"/>
        </w:rPr>
        <w:t xml:space="preserve"> identity fusion, Colombian migrants, Venezuelan migrants.</w:t>
      </w:r>
    </w:p>
    <w:p w14:paraId="65BA55E7" w14:textId="77777777" w:rsidR="00481631" w:rsidRPr="00481631" w:rsidRDefault="00481631" w:rsidP="00481631">
      <w:pPr>
        <w:spacing w:after="0" w:line="240" w:lineRule="auto"/>
        <w:ind w:firstLine="0"/>
        <w:rPr>
          <w:bCs/>
          <w:lang w:val="en-US"/>
        </w:rPr>
      </w:pPr>
    </w:p>
    <w:p w14:paraId="387E6472" w14:textId="77777777" w:rsidR="00481631" w:rsidRPr="00481631" w:rsidRDefault="00481631" w:rsidP="00481631">
      <w:pPr>
        <w:spacing w:after="0" w:line="240" w:lineRule="auto"/>
        <w:ind w:firstLine="0"/>
        <w:rPr>
          <w:bCs/>
          <w:lang w:val="en-US"/>
        </w:rPr>
      </w:pPr>
    </w:p>
    <w:p w14:paraId="75F45B1F" w14:textId="68636705" w:rsidR="00481631" w:rsidRPr="00481631" w:rsidRDefault="00481631" w:rsidP="00481631">
      <w:pPr>
        <w:spacing w:after="0" w:line="240" w:lineRule="auto"/>
        <w:ind w:firstLine="0"/>
        <w:rPr>
          <w:b/>
          <w:bCs/>
          <w:lang w:val="en-US"/>
        </w:rPr>
      </w:pPr>
      <w:r w:rsidRPr="00481631">
        <w:rPr>
          <w:b/>
          <w:bCs/>
          <w:lang w:val="en-US"/>
        </w:rPr>
        <w:br w:type="page"/>
      </w:r>
    </w:p>
    <w:p w14:paraId="4A77D7B0" w14:textId="53A7E838" w:rsidR="00481631" w:rsidRDefault="00481631" w:rsidP="00481631">
      <w:pPr>
        <w:spacing w:line="360" w:lineRule="auto"/>
        <w:ind w:firstLine="0"/>
        <w:rPr>
          <w:b/>
          <w:bCs/>
        </w:rPr>
      </w:pPr>
      <w:r w:rsidRPr="00481631">
        <w:rPr>
          <w:b/>
          <w:bCs/>
        </w:rPr>
        <w:lastRenderedPageBreak/>
        <w:t>Fusión de identidad en migrantes colombianos y venezolanos residentes en Chile: un estudio comparativo</w:t>
      </w:r>
    </w:p>
    <w:p w14:paraId="043E693C" w14:textId="51768276" w:rsidR="008E738E" w:rsidRPr="00394670" w:rsidRDefault="00981F09" w:rsidP="00481631">
      <w:pPr>
        <w:spacing w:line="360" w:lineRule="auto"/>
        <w:ind w:firstLine="0"/>
        <w:rPr>
          <w:b/>
          <w:bCs/>
        </w:rPr>
      </w:pPr>
      <w:r w:rsidRPr="00394670">
        <w:rPr>
          <w:b/>
          <w:bCs/>
        </w:rPr>
        <w:t>Resumen</w:t>
      </w:r>
    </w:p>
    <w:p w14:paraId="6957D21D" w14:textId="6F2552AA" w:rsidR="000B0685" w:rsidRPr="00394670" w:rsidRDefault="00981F09" w:rsidP="00481631">
      <w:pPr>
        <w:spacing w:line="360" w:lineRule="auto"/>
        <w:ind w:firstLine="0"/>
      </w:pPr>
      <w:r w:rsidRPr="00394670">
        <w:rPr>
          <w:b/>
          <w:bCs/>
          <w:i/>
          <w:iCs/>
        </w:rPr>
        <w:t>Objetivo</w:t>
      </w:r>
      <w:r w:rsidR="007074F9" w:rsidRPr="00394670">
        <w:rPr>
          <w:b/>
          <w:bCs/>
          <w:i/>
          <w:iCs/>
        </w:rPr>
        <w:t>:</w:t>
      </w:r>
      <w:r w:rsidR="000B0685" w:rsidRPr="00394670">
        <w:t xml:space="preserve"> </w:t>
      </w:r>
      <w:r w:rsidR="00945F01" w:rsidRPr="00394670">
        <w:t xml:space="preserve">El presente estudio </w:t>
      </w:r>
      <w:r w:rsidR="00084679" w:rsidRPr="00394670">
        <w:t>pretende describir y comparar los niveles de fusión de identidad con el país de origen y con el país de acogida de migrantes colombianos y venezolanos viviendo en Chile.</w:t>
      </w:r>
      <w:r w:rsidR="000B0685" w:rsidRPr="00394670">
        <w:t xml:space="preserve"> </w:t>
      </w:r>
      <w:r w:rsidRPr="00394670">
        <w:rPr>
          <w:b/>
          <w:bCs/>
          <w:i/>
          <w:iCs/>
        </w:rPr>
        <w:t>Método</w:t>
      </w:r>
      <w:r w:rsidR="007074F9" w:rsidRPr="00394670">
        <w:rPr>
          <w:b/>
          <w:bCs/>
          <w:i/>
          <w:iCs/>
        </w:rPr>
        <w:t>:</w:t>
      </w:r>
      <w:r w:rsidR="007074F9" w:rsidRPr="00394670">
        <w:t xml:space="preserve"> </w:t>
      </w:r>
      <w:r w:rsidR="003B65F9" w:rsidRPr="00394670">
        <w:t>Se realizaron dos estudios en los que participaron 1</w:t>
      </w:r>
      <w:r w:rsidR="001A6F0B" w:rsidRPr="00394670">
        <w:t>077</w:t>
      </w:r>
      <w:r w:rsidR="003B65F9" w:rsidRPr="00394670">
        <w:t xml:space="preserve"> migrantes, provenientes de Colombia (</w:t>
      </w:r>
      <w:r w:rsidR="003B65F9" w:rsidRPr="00394670">
        <w:rPr>
          <w:i/>
          <w:iCs/>
        </w:rPr>
        <w:t>n</w:t>
      </w:r>
      <w:r w:rsidR="003B65F9" w:rsidRPr="00394670">
        <w:t>=</w:t>
      </w:r>
      <w:r w:rsidR="007117AC" w:rsidRPr="00394670">
        <w:t>770</w:t>
      </w:r>
      <w:r w:rsidR="003B65F9" w:rsidRPr="00394670">
        <w:t>) y Venezuela (</w:t>
      </w:r>
      <w:r w:rsidR="003B65F9" w:rsidRPr="00394670">
        <w:rPr>
          <w:i/>
          <w:iCs/>
        </w:rPr>
        <w:t>n</w:t>
      </w:r>
      <w:r w:rsidR="003B65F9" w:rsidRPr="00394670">
        <w:t>=3</w:t>
      </w:r>
      <w:r w:rsidR="001A6F0B" w:rsidRPr="00394670">
        <w:t>07</w:t>
      </w:r>
      <w:r w:rsidR="003B65F9" w:rsidRPr="00394670">
        <w:t>), que se en</w:t>
      </w:r>
      <w:r w:rsidR="008339D2" w:rsidRPr="00394670">
        <w:t>contraron</w:t>
      </w:r>
      <w:r w:rsidR="003B65F9" w:rsidRPr="00394670">
        <w:t xml:space="preserve"> residiendo en Chile</w:t>
      </w:r>
      <w:r w:rsidR="008339D2" w:rsidRPr="00394670">
        <w:t xml:space="preserve"> al momento de la recolección de datos</w:t>
      </w:r>
      <w:r w:rsidR="003B65F9" w:rsidRPr="00394670">
        <w:t xml:space="preserve">. </w:t>
      </w:r>
      <w:r w:rsidR="008339D2" w:rsidRPr="00394670">
        <w:t xml:space="preserve">La muestra colombiana contó con </w:t>
      </w:r>
      <w:r w:rsidR="007117AC" w:rsidRPr="00394670">
        <w:t>377</w:t>
      </w:r>
      <w:r w:rsidR="008339D2" w:rsidRPr="00394670">
        <w:t xml:space="preserve"> (49%) mujeres y </w:t>
      </w:r>
      <w:r w:rsidR="007117AC" w:rsidRPr="00394670">
        <w:t>393</w:t>
      </w:r>
      <w:r w:rsidR="008339D2" w:rsidRPr="00394670">
        <w:t xml:space="preserve"> (5</w:t>
      </w:r>
      <w:r w:rsidR="007117AC" w:rsidRPr="00394670">
        <w:t>1</w:t>
      </w:r>
      <w:r w:rsidR="008339D2" w:rsidRPr="00394670">
        <w:t>%) hombres, con edades que estuvieron</w:t>
      </w:r>
      <w:r w:rsidR="003B65F9" w:rsidRPr="00394670">
        <w:t xml:space="preserve"> entre los 18 y los 6</w:t>
      </w:r>
      <w:r w:rsidR="00BE0017" w:rsidRPr="00394670">
        <w:t>5</w:t>
      </w:r>
      <w:r w:rsidR="003B65F9" w:rsidRPr="00394670">
        <w:t xml:space="preserve"> años</w:t>
      </w:r>
      <w:r w:rsidR="00BE0017" w:rsidRPr="00394670">
        <w:t xml:space="preserve"> (</w:t>
      </w:r>
      <w:r w:rsidR="00BE0017" w:rsidRPr="00394670">
        <w:rPr>
          <w:i/>
          <w:iCs/>
        </w:rPr>
        <w:t>ME</w:t>
      </w:r>
      <w:r w:rsidR="00BE0017" w:rsidRPr="00394670">
        <w:t>=3</w:t>
      </w:r>
      <w:r w:rsidR="007117AC" w:rsidRPr="00394670">
        <w:t>4</w:t>
      </w:r>
      <w:r w:rsidR="00BE0017" w:rsidRPr="00394670">
        <w:t>.</w:t>
      </w:r>
      <w:r w:rsidR="007117AC" w:rsidRPr="00394670">
        <w:t>95</w:t>
      </w:r>
      <w:r w:rsidR="00BE0017" w:rsidRPr="00394670">
        <w:t xml:space="preserve">, </w:t>
      </w:r>
      <w:r w:rsidR="00BE0017" w:rsidRPr="00394670">
        <w:rPr>
          <w:i/>
          <w:iCs/>
        </w:rPr>
        <w:t>DT</w:t>
      </w:r>
      <w:r w:rsidR="00BE0017" w:rsidRPr="00394670">
        <w:t>=9.</w:t>
      </w:r>
      <w:r w:rsidR="007117AC" w:rsidRPr="00394670">
        <w:t>84</w:t>
      </w:r>
      <w:r w:rsidR="00BE0017" w:rsidRPr="00394670">
        <w:t>)</w:t>
      </w:r>
      <w:r w:rsidR="008339D2" w:rsidRPr="00394670">
        <w:t>. En el caso de la muestra venezolana, esta contó con 1</w:t>
      </w:r>
      <w:r w:rsidR="00134837" w:rsidRPr="00394670">
        <w:t>6</w:t>
      </w:r>
      <w:r w:rsidR="008339D2" w:rsidRPr="00394670">
        <w:t>6 (54.</w:t>
      </w:r>
      <w:r w:rsidR="00134837" w:rsidRPr="00394670">
        <w:t>1</w:t>
      </w:r>
      <w:r w:rsidR="008339D2" w:rsidRPr="00394670">
        <w:t>%) mujeres y 14</w:t>
      </w:r>
      <w:r w:rsidR="00134837" w:rsidRPr="00394670">
        <w:t>1</w:t>
      </w:r>
      <w:r w:rsidR="008339D2" w:rsidRPr="00394670">
        <w:t xml:space="preserve"> (45.</w:t>
      </w:r>
      <w:r w:rsidR="00134837" w:rsidRPr="00394670">
        <w:t>9</w:t>
      </w:r>
      <w:r w:rsidR="008339D2" w:rsidRPr="00394670">
        <w:t>%) hombres</w:t>
      </w:r>
      <w:r w:rsidR="00BE0017" w:rsidRPr="00394670">
        <w:t xml:space="preserve">, </w:t>
      </w:r>
      <w:r w:rsidR="008339D2" w:rsidRPr="00394670">
        <w:t>con</w:t>
      </w:r>
      <w:r w:rsidR="00BE0017" w:rsidRPr="00394670">
        <w:t xml:space="preserve"> edades </w:t>
      </w:r>
      <w:r w:rsidR="008339D2" w:rsidRPr="00394670">
        <w:t>que oscilaron</w:t>
      </w:r>
      <w:r w:rsidR="00BE0017" w:rsidRPr="00394670">
        <w:t xml:space="preserve"> entre los 18 y 69 años (</w:t>
      </w:r>
      <w:r w:rsidR="00BE0017" w:rsidRPr="00394670">
        <w:rPr>
          <w:i/>
          <w:iCs/>
        </w:rPr>
        <w:t>ME</w:t>
      </w:r>
      <w:r w:rsidR="00BE0017" w:rsidRPr="00394670">
        <w:t>=32.</w:t>
      </w:r>
      <w:r w:rsidR="00134837" w:rsidRPr="00394670">
        <w:t>57</w:t>
      </w:r>
      <w:r w:rsidR="00BE0017" w:rsidRPr="00394670">
        <w:t xml:space="preserve">, </w:t>
      </w:r>
      <w:r w:rsidR="00BE0017" w:rsidRPr="00394670">
        <w:rPr>
          <w:i/>
          <w:iCs/>
        </w:rPr>
        <w:t>DT</w:t>
      </w:r>
      <w:r w:rsidR="00BE0017" w:rsidRPr="00394670">
        <w:t>=9.3</w:t>
      </w:r>
      <w:r w:rsidR="00134837" w:rsidRPr="00394670">
        <w:t>8</w:t>
      </w:r>
      <w:r w:rsidR="00BE0017" w:rsidRPr="00394670">
        <w:t>)</w:t>
      </w:r>
      <w:r w:rsidR="003B65F9" w:rsidRPr="00394670">
        <w:t xml:space="preserve">. </w:t>
      </w:r>
      <w:r w:rsidR="0092570A" w:rsidRPr="00394670">
        <w:rPr>
          <w:lang w:val="es"/>
        </w:rPr>
        <w:t>Además de algunas variables sociodemográficas</w:t>
      </w:r>
      <w:r w:rsidR="00361A2E" w:rsidRPr="00394670">
        <w:rPr>
          <w:lang w:val="es"/>
        </w:rPr>
        <w:t>,</w:t>
      </w:r>
      <w:r w:rsidR="0092570A" w:rsidRPr="00394670">
        <w:rPr>
          <w:lang w:val="es"/>
        </w:rPr>
        <w:t xml:space="preserve"> se evaluó la </w:t>
      </w:r>
      <w:r w:rsidR="00361A2E" w:rsidRPr="00394670">
        <w:rPr>
          <w:lang w:val="es"/>
        </w:rPr>
        <w:t>f</w:t>
      </w:r>
      <w:r w:rsidRPr="00394670">
        <w:rPr>
          <w:lang w:val="es"/>
        </w:rPr>
        <w:t xml:space="preserve">usión de </w:t>
      </w:r>
      <w:r w:rsidR="00361A2E" w:rsidRPr="00394670">
        <w:rPr>
          <w:lang w:val="es"/>
        </w:rPr>
        <w:t>i</w:t>
      </w:r>
      <w:r w:rsidRPr="00394670">
        <w:rPr>
          <w:lang w:val="es"/>
        </w:rPr>
        <w:t xml:space="preserve">dentidad </w:t>
      </w:r>
      <w:r w:rsidR="0092570A" w:rsidRPr="00394670">
        <w:rPr>
          <w:lang w:val="es"/>
        </w:rPr>
        <w:t xml:space="preserve">tanto </w:t>
      </w:r>
      <w:r w:rsidRPr="00394670">
        <w:rPr>
          <w:lang w:val="es"/>
        </w:rPr>
        <w:t xml:space="preserve">con el país </w:t>
      </w:r>
      <w:r w:rsidR="0092570A" w:rsidRPr="00394670">
        <w:rPr>
          <w:lang w:val="es"/>
        </w:rPr>
        <w:t>de origen como con el país de acogida</w:t>
      </w:r>
      <w:r w:rsidRPr="00394670">
        <w:rPr>
          <w:lang w:val="es"/>
        </w:rPr>
        <w:t>.</w:t>
      </w:r>
      <w:r w:rsidR="004855A6" w:rsidRPr="00394670">
        <w:rPr>
          <w:i/>
          <w:iCs/>
        </w:rPr>
        <w:t xml:space="preserve"> </w:t>
      </w:r>
      <w:r w:rsidR="00222A29" w:rsidRPr="00394670">
        <w:t>Se</w:t>
      </w:r>
      <w:r w:rsidR="00403E3B" w:rsidRPr="00394670">
        <w:t xml:space="preserve"> realizaron</w:t>
      </w:r>
      <w:r w:rsidR="00361A2E" w:rsidRPr="00394670">
        <w:t xml:space="preserve"> correlaciones producto momento</w:t>
      </w:r>
      <w:r w:rsidR="00486BF2" w:rsidRPr="00394670">
        <w:t xml:space="preserve"> y análisis de diferencias de medias</w:t>
      </w:r>
      <w:r w:rsidR="00403E3B" w:rsidRPr="00394670">
        <w:t xml:space="preserve">. </w:t>
      </w:r>
      <w:r w:rsidR="007074F9" w:rsidRPr="00394670">
        <w:rPr>
          <w:b/>
          <w:bCs/>
          <w:i/>
          <w:iCs/>
        </w:rPr>
        <w:t>Result</w:t>
      </w:r>
      <w:r w:rsidRPr="00394670">
        <w:rPr>
          <w:b/>
          <w:bCs/>
          <w:i/>
          <w:iCs/>
        </w:rPr>
        <w:t>ado</w:t>
      </w:r>
      <w:r w:rsidR="007074F9" w:rsidRPr="00394670">
        <w:rPr>
          <w:b/>
          <w:bCs/>
          <w:i/>
          <w:iCs/>
        </w:rPr>
        <w:t>s:</w:t>
      </w:r>
      <w:r w:rsidR="007074F9" w:rsidRPr="00394670">
        <w:t xml:space="preserve"> </w:t>
      </w:r>
      <w:r w:rsidR="00FF47BB" w:rsidRPr="00394670">
        <w:t xml:space="preserve">Los análisis realizados indican que un mayor número de años viviendo en Chile se relaciona a mayores niveles de fusión de identidad con el país de acogida </w:t>
      </w:r>
      <w:r w:rsidR="00974DB5" w:rsidRPr="00394670">
        <w:t xml:space="preserve">tanto para los migrantes colombianos como los venezolanos. Un mayor número de años residiendo en Chile solo se relacionó a mayores niveles de fusión de identidad con el país de origen </w:t>
      </w:r>
      <w:r w:rsidR="00FF47BB" w:rsidRPr="00394670">
        <w:t xml:space="preserve">de los migrantes venezolanos, pero no de los colombianos. </w:t>
      </w:r>
      <w:r w:rsidR="007074F9" w:rsidRPr="00394670">
        <w:rPr>
          <w:b/>
          <w:bCs/>
          <w:i/>
          <w:iCs/>
        </w:rPr>
        <w:t>Conclusi</w:t>
      </w:r>
      <w:r w:rsidRPr="00394670">
        <w:rPr>
          <w:b/>
          <w:bCs/>
          <w:i/>
          <w:iCs/>
        </w:rPr>
        <w:t>ón</w:t>
      </w:r>
      <w:r w:rsidR="007074F9" w:rsidRPr="00394670">
        <w:rPr>
          <w:b/>
          <w:bCs/>
          <w:i/>
          <w:iCs/>
        </w:rPr>
        <w:t>:</w:t>
      </w:r>
      <w:r w:rsidR="00B66447" w:rsidRPr="00394670">
        <w:rPr>
          <w:bCs/>
          <w:iCs/>
        </w:rPr>
        <w:t xml:space="preserve"> </w:t>
      </w:r>
      <w:r w:rsidR="00352C27" w:rsidRPr="00394670">
        <w:rPr>
          <w:bCs/>
          <w:iCs/>
        </w:rPr>
        <w:t>Los sentimientos de unión de los migrantes con el país de acogida podrían verse incrementados a medida que pasa el tiempo, sin que el vínculo con el país origen se vea disminuido</w:t>
      </w:r>
      <w:r w:rsidR="00974DB5" w:rsidRPr="00394670">
        <w:rPr>
          <w:bCs/>
          <w:iCs/>
        </w:rPr>
        <w:t xml:space="preserve"> en la mayoría de los casos</w:t>
      </w:r>
      <w:r w:rsidR="00BB50C1" w:rsidRPr="00394670">
        <w:t>.</w:t>
      </w:r>
    </w:p>
    <w:p w14:paraId="69248447" w14:textId="77777777" w:rsidR="008E738E" w:rsidRPr="00394670" w:rsidRDefault="00981F09" w:rsidP="00481631">
      <w:pPr>
        <w:spacing w:line="360" w:lineRule="auto"/>
        <w:ind w:firstLine="0"/>
        <w:rPr>
          <w:b/>
          <w:bCs/>
        </w:rPr>
      </w:pPr>
      <w:r w:rsidRPr="00394670">
        <w:rPr>
          <w:b/>
          <w:bCs/>
          <w:i/>
          <w:iCs/>
        </w:rPr>
        <w:t>Palabras claves</w:t>
      </w:r>
      <w:r w:rsidR="008E738E" w:rsidRPr="00394670">
        <w:rPr>
          <w:b/>
          <w:bCs/>
          <w:i/>
          <w:iCs/>
        </w:rPr>
        <w:t>:</w:t>
      </w:r>
      <w:r w:rsidR="001646F1" w:rsidRPr="00394670">
        <w:rPr>
          <w:b/>
          <w:bCs/>
        </w:rPr>
        <w:t xml:space="preserve"> </w:t>
      </w:r>
      <w:r w:rsidRPr="00394670">
        <w:rPr>
          <w:lang w:val="es"/>
        </w:rPr>
        <w:t xml:space="preserve">fusión de identidad, </w:t>
      </w:r>
      <w:r w:rsidR="0061655F" w:rsidRPr="00394670">
        <w:rPr>
          <w:lang w:val="es"/>
        </w:rPr>
        <w:t xml:space="preserve">migrantes colombianos, </w:t>
      </w:r>
      <w:r w:rsidRPr="00394670">
        <w:rPr>
          <w:lang w:val="es"/>
        </w:rPr>
        <w:t>migrantes venezolanos</w:t>
      </w:r>
      <w:r w:rsidR="000D7D87" w:rsidRPr="00394670">
        <w:t>.</w:t>
      </w:r>
    </w:p>
    <w:p w14:paraId="69170D4A" w14:textId="77777777" w:rsidR="00F80D31" w:rsidRDefault="00F80D31" w:rsidP="00F80D31">
      <w:pPr>
        <w:spacing w:line="360" w:lineRule="auto"/>
        <w:ind w:firstLine="0"/>
        <w:rPr>
          <w:b/>
          <w:bCs/>
          <w:lang w:val="es"/>
        </w:rPr>
      </w:pPr>
    </w:p>
    <w:p w14:paraId="3C3E0398" w14:textId="77777777" w:rsidR="00F80D31" w:rsidRDefault="00F80D31" w:rsidP="00F80D31">
      <w:pPr>
        <w:spacing w:line="360" w:lineRule="auto"/>
        <w:ind w:firstLine="0"/>
        <w:rPr>
          <w:b/>
          <w:bCs/>
          <w:lang w:val="es"/>
        </w:rPr>
      </w:pPr>
    </w:p>
    <w:p w14:paraId="118ED77B" w14:textId="77777777" w:rsidR="00F80D31" w:rsidRDefault="00F80D31" w:rsidP="00F80D31">
      <w:pPr>
        <w:spacing w:line="360" w:lineRule="auto"/>
        <w:ind w:firstLine="0"/>
        <w:rPr>
          <w:b/>
          <w:bCs/>
          <w:lang w:val="es"/>
        </w:rPr>
      </w:pPr>
    </w:p>
    <w:p w14:paraId="5821F377" w14:textId="77777777" w:rsidR="00481631" w:rsidRDefault="00481631">
      <w:pPr>
        <w:spacing w:after="0" w:line="240" w:lineRule="auto"/>
        <w:ind w:firstLine="0"/>
        <w:rPr>
          <w:b/>
          <w:bCs/>
          <w:lang w:val="es"/>
        </w:rPr>
      </w:pPr>
      <w:r>
        <w:rPr>
          <w:b/>
          <w:bCs/>
          <w:lang w:val="es"/>
        </w:rPr>
        <w:br w:type="page"/>
      </w:r>
    </w:p>
    <w:p w14:paraId="70F327A5" w14:textId="6B8493AB" w:rsidR="00284189" w:rsidRPr="00394670" w:rsidRDefault="00981F09" w:rsidP="00F80D31">
      <w:pPr>
        <w:spacing w:line="360" w:lineRule="auto"/>
        <w:ind w:firstLine="0"/>
        <w:rPr>
          <w:b/>
          <w:bCs/>
        </w:rPr>
      </w:pPr>
      <w:r w:rsidRPr="00394670">
        <w:rPr>
          <w:b/>
          <w:bCs/>
          <w:lang w:val="es"/>
        </w:rPr>
        <w:lastRenderedPageBreak/>
        <w:t>Introducción</w:t>
      </w:r>
    </w:p>
    <w:p w14:paraId="3B44EBD0" w14:textId="01F221A0" w:rsidR="007C1999" w:rsidRPr="00394670" w:rsidRDefault="00351579" w:rsidP="00F80D31">
      <w:pPr>
        <w:pStyle w:val="APAPrrafo"/>
        <w:spacing w:line="360" w:lineRule="auto"/>
        <w:ind w:firstLine="708"/>
        <w:rPr>
          <w:rFonts w:cs="Times New Roman"/>
          <w:lang w:val="es-CL"/>
        </w:rPr>
      </w:pPr>
      <w:r w:rsidRPr="00394670">
        <w:rPr>
          <w:rFonts w:cs="Times New Roman"/>
          <w:lang w:val="es-CL"/>
        </w:rPr>
        <w:t>La</w:t>
      </w:r>
      <w:r w:rsidR="00083DE2" w:rsidRPr="00394670">
        <w:rPr>
          <w:rFonts w:cs="Times New Roman"/>
          <w:lang w:val="es-CL"/>
        </w:rPr>
        <w:t xml:space="preserve"> Organización Internacional para las Migraciones</w:t>
      </w:r>
      <w:r w:rsidRPr="00394670">
        <w:rPr>
          <w:rFonts w:cs="Times New Roman"/>
          <w:lang w:val="es-CL"/>
        </w:rPr>
        <w:t xml:space="preserve"> – OIM (</w:t>
      </w:r>
      <w:r w:rsidR="00083DE2" w:rsidRPr="00394670">
        <w:rPr>
          <w:rFonts w:cs="Times New Roman"/>
          <w:lang w:val="es-CL"/>
        </w:rPr>
        <w:t>20</w:t>
      </w:r>
      <w:r w:rsidR="00157181" w:rsidRPr="00394670">
        <w:rPr>
          <w:rFonts w:cs="Times New Roman"/>
          <w:lang w:val="es-CL"/>
        </w:rPr>
        <w:t>20</w:t>
      </w:r>
      <w:r w:rsidR="00083DE2" w:rsidRPr="00394670">
        <w:rPr>
          <w:rFonts w:cs="Times New Roman"/>
          <w:lang w:val="es-CL"/>
        </w:rPr>
        <w:t xml:space="preserve">), </w:t>
      </w:r>
      <w:r w:rsidRPr="00394670">
        <w:rPr>
          <w:rFonts w:cs="Times New Roman"/>
          <w:lang w:val="es-CL"/>
        </w:rPr>
        <w:t xml:space="preserve">define a </w:t>
      </w:r>
      <w:r w:rsidR="00083DE2" w:rsidRPr="00394670">
        <w:rPr>
          <w:rFonts w:cs="Times New Roman"/>
          <w:lang w:val="es-CL"/>
        </w:rPr>
        <w:t>la migración internacional como el movimiento de personas fuera de su lugar de residencia habitual</w:t>
      </w:r>
      <w:r w:rsidR="00207E3B" w:rsidRPr="00394670">
        <w:rPr>
          <w:rFonts w:cs="Times New Roman"/>
          <w:lang w:val="es-CL"/>
        </w:rPr>
        <w:t xml:space="preserve">, </w:t>
      </w:r>
      <w:r w:rsidR="00083DE2" w:rsidRPr="00394670">
        <w:rPr>
          <w:rFonts w:cs="Times New Roman"/>
          <w:lang w:val="es-CL"/>
        </w:rPr>
        <w:t>a través de una frontera internacional</w:t>
      </w:r>
      <w:r w:rsidR="00217D22" w:rsidRPr="00394670">
        <w:rPr>
          <w:rFonts w:cs="Times New Roman"/>
          <w:lang w:val="es-CL"/>
        </w:rPr>
        <w:t>,</w:t>
      </w:r>
      <w:r w:rsidR="00083DE2" w:rsidRPr="00394670">
        <w:rPr>
          <w:rFonts w:cs="Times New Roman"/>
          <w:lang w:val="es-CL"/>
        </w:rPr>
        <w:t xml:space="preserve"> hacia un país del que no son </w:t>
      </w:r>
      <w:r w:rsidR="00217D22" w:rsidRPr="00394670">
        <w:rPr>
          <w:rFonts w:cs="Times New Roman"/>
          <w:lang w:val="es-CL"/>
        </w:rPr>
        <w:t>originarios</w:t>
      </w:r>
      <w:r w:rsidR="00083DE2" w:rsidRPr="00394670">
        <w:rPr>
          <w:rFonts w:cs="Times New Roman"/>
          <w:lang w:val="es-CL"/>
        </w:rPr>
        <w:t xml:space="preserve">. </w:t>
      </w:r>
      <w:r w:rsidRPr="00394670">
        <w:rPr>
          <w:rFonts w:cs="Times New Roman"/>
          <w:lang w:val="es-CL"/>
        </w:rPr>
        <w:t xml:space="preserve">En el mundo, </w:t>
      </w:r>
      <w:r w:rsidR="00083DE2" w:rsidRPr="00394670">
        <w:rPr>
          <w:rFonts w:cs="Times New Roman"/>
          <w:lang w:val="es-CL"/>
        </w:rPr>
        <w:t xml:space="preserve">se estima que </w:t>
      </w:r>
      <w:r w:rsidR="00217D22" w:rsidRPr="00394670">
        <w:rPr>
          <w:rFonts w:cs="Times New Roman"/>
          <w:lang w:val="es-CL"/>
        </w:rPr>
        <w:t>existen</w:t>
      </w:r>
      <w:r w:rsidR="00083DE2" w:rsidRPr="00394670">
        <w:rPr>
          <w:rFonts w:cs="Times New Roman"/>
          <w:lang w:val="es-CL"/>
        </w:rPr>
        <w:t xml:space="preserve"> más de 2</w:t>
      </w:r>
      <w:r w:rsidR="00224AE0" w:rsidRPr="00394670">
        <w:rPr>
          <w:rFonts w:cs="Times New Roman"/>
          <w:lang w:val="es-CL"/>
        </w:rPr>
        <w:t>81</w:t>
      </w:r>
      <w:r w:rsidR="00083DE2" w:rsidRPr="00394670">
        <w:rPr>
          <w:rFonts w:cs="Times New Roman"/>
          <w:lang w:val="es-CL"/>
        </w:rPr>
        <w:t xml:space="preserve"> millones de </w:t>
      </w:r>
      <w:r w:rsidRPr="00394670">
        <w:rPr>
          <w:rFonts w:cs="Times New Roman"/>
          <w:lang w:val="es-CL"/>
        </w:rPr>
        <w:t>migrantes</w:t>
      </w:r>
      <w:r w:rsidR="00083DE2" w:rsidRPr="00394670">
        <w:rPr>
          <w:rFonts w:cs="Times New Roman"/>
          <w:lang w:val="es-CL"/>
        </w:rPr>
        <w:t>, lo que representa cerca del 3.</w:t>
      </w:r>
      <w:r w:rsidR="00224AE0" w:rsidRPr="00394670">
        <w:rPr>
          <w:rFonts w:cs="Times New Roman"/>
          <w:lang w:val="es-CL"/>
        </w:rPr>
        <w:t>6</w:t>
      </w:r>
      <w:r w:rsidR="00083DE2" w:rsidRPr="00394670">
        <w:rPr>
          <w:rFonts w:cs="Times New Roman"/>
          <w:lang w:val="es-CL"/>
        </w:rPr>
        <w:t xml:space="preserve">% de la población </w:t>
      </w:r>
      <w:r w:rsidR="00217D22" w:rsidRPr="00394670">
        <w:rPr>
          <w:rFonts w:cs="Times New Roman"/>
          <w:lang w:val="es-CL"/>
        </w:rPr>
        <w:t>del planeta</w:t>
      </w:r>
      <w:r w:rsidR="00083DE2" w:rsidRPr="00394670">
        <w:rPr>
          <w:rFonts w:cs="Times New Roman"/>
          <w:lang w:val="es-CL"/>
        </w:rPr>
        <w:t xml:space="preserve"> (OIM, 202</w:t>
      </w:r>
      <w:r w:rsidR="00224AE0" w:rsidRPr="00394670">
        <w:rPr>
          <w:rFonts w:cs="Times New Roman"/>
          <w:lang w:val="es-CL"/>
        </w:rPr>
        <w:t>2</w:t>
      </w:r>
      <w:r w:rsidR="00083DE2" w:rsidRPr="00394670">
        <w:rPr>
          <w:rFonts w:cs="Times New Roman"/>
          <w:lang w:val="es-CL"/>
        </w:rPr>
        <w:t>)</w:t>
      </w:r>
      <w:r w:rsidR="004559C3" w:rsidRPr="00394670">
        <w:rPr>
          <w:rFonts w:cs="Times New Roman"/>
          <w:lang w:val="es-CL"/>
        </w:rPr>
        <w:t>, en tanto e</w:t>
      </w:r>
      <w:r w:rsidRPr="00394670">
        <w:rPr>
          <w:rFonts w:cs="Times New Roman"/>
          <w:lang w:val="es-CL"/>
        </w:rPr>
        <w:t>n</w:t>
      </w:r>
      <w:r w:rsidR="00165EAA" w:rsidRPr="00394670">
        <w:rPr>
          <w:rFonts w:cs="Times New Roman"/>
          <w:lang w:val="es-CL"/>
        </w:rPr>
        <w:t xml:space="preserve"> América Latina y el Caribe, el número de </w:t>
      </w:r>
      <w:r w:rsidR="007C1999" w:rsidRPr="00394670">
        <w:rPr>
          <w:rFonts w:cs="Times New Roman"/>
          <w:lang w:val="es-CL"/>
        </w:rPr>
        <w:t>in</w:t>
      </w:r>
      <w:r w:rsidR="00165EAA" w:rsidRPr="00394670">
        <w:rPr>
          <w:rFonts w:cs="Times New Roman"/>
          <w:lang w:val="es-CL"/>
        </w:rPr>
        <w:t xml:space="preserve">migrantes se ha duplicado en los últimos 15 años llegando a ser más de 15 millones de personas </w:t>
      </w:r>
      <w:r w:rsidR="005D5EB1" w:rsidRPr="00394670">
        <w:rPr>
          <w:rFonts w:cs="Times New Roman"/>
          <w:lang w:val="es-CL"/>
        </w:rPr>
        <w:t xml:space="preserve">actualmente </w:t>
      </w:r>
      <w:r w:rsidR="00165EAA" w:rsidRPr="00394670">
        <w:rPr>
          <w:rFonts w:cs="Times New Roman"/>
          <w:lang w:val="es-CL"/>
        </w:rPr>
        <w:t>(OIM, 2022).</w:t>
      </w:r>
      <w:r w:rsidR="007C1999" w:rsidRPr="00394670">
        <w:rPr>
          <w:rFonts w:cs="Times New Roman"/>
          <w:lang w:val="es-CL"/>
        </w:rPr>
        <w:t xml:space="preserve"> Se estima que el 80% de los migrantes de América del Sur son migrantes intrarregionales, siendo Chile uno de los principales países receptores de esta población (OIM, 2022).</w:t>
      </w:r>
      <w:r w:rsidR="00124788" w:rsidRPr="00394670">
        <w:rPr>
          <w:rFonts w:cs="Times New Roman"/>
          <w:lang w:val="es-CL"/>
        </w:rPr>
        <w:t xml:space="preserve"> </w:t>
      </w:r>
      <w:r w:rsidR="009302AA" w:rsidRPr="00394670">
        <w:rPr>
          <w:rFonts w:cs="Times New Roman"/>
          <w:lang w:val="es-CL"/>
        </w:rPr>
        <w:t>De acuerdo con el</w:t>
      </w:r>
      <w:r w:rsidR="00124788" w:rsidRPr="00394670">
        <w:rPr>
          <w:rFonts w:cs="Times New Roman"/>
          <w:lang w:val="es-CL"/>
        </w:rPr>
        <w:t xml:space="preserve"> </w:t>
      </w:r>
      <w:r w:rsidR="00C47A14" w:rsidRPr="00394670">
        <w:rPr>
          <w:rFonts w:cs="Times New Roman"/>
          <w:lang w:val="es-CL"/>
        </w:rPr>
        <w:t xml:space="preserve">Departamento de extranjería y Migración y </w:t>
      </w:r>
      <w:r w:rsidR="002E7A0A" w:rsidRPr="00394670">
        <w:rPr>
          <w:rFonts w:cs="Times New Roman"/>
          <w:lang w:val="es-CL"/>
        </w:rPr>
        <w:t>e</w:t>
      </w:r>
      <w:r w:rsidR="00C47A14" w:rsidRPr="00394670">
        <w:rPr>
          <w:rFonts w:cs="Times New Roman"/>
          <w:lang w:val="es-CL"/>
        </w:rPr>
        <w:t>l Instituto Nacional de Estadística, los migrantes residentes en Chile son más de 1.4 millones de personas, lo que representa cerca del 8% de la población total del país (INE, 2021).</w:t>
      </w:r>
      <w:r w:rsidR="00A07B4E" w:rsidRPr="00394670">
        <w:rPr>
          <w:rFonts w:cs="Times New Roman"/>
          <w:lang w:val="es-CL"/>
        </w:rPr>
        <w:t xml:space="preserve"> Los cuatro colectivos principales de migrantes que habitan en Chile son los provenientes de Venezuela (30.7%), Perú (16.3%), Haití (12.5%) y Colombia (11.4%; INE, 2021).</w:t>
      </w:r>
    </w:p>
    <w:p w14:paraId="422E9832" w14:textId="6D88E7E1" w:rsidR="00020DF4" w:rsidRPr="00394670" w:rsidRDefault="00E27B49" w:rsidP="00F80D31">
      <w:pPr>
        <w:pStyle w:val="APAPrrafo"/>
        <w:spacing w:line="360" w:lineRule="auto"/>
        <w:ind w:firstLine="708"/>
        <w:rPr>
          <w:rFonts w:cs="Times New Roman"/>
          <w:lang w:val="es-CL"/>
        </w:rPr>
      </w:pPr>
      <w:r w:rsidRPr="00394670">
        <w:rPr>
          <w:rFonts w:cs="Times New Roman"/>
        </w:rPr>
        <w:t>A pesar del aporte sociocultural y económico que los migrantes entregan al país</w:t>
      </w:r>
      <w:r w:rsidR="003B2A61" w:rsidRPr="00394670">
        <w:rPr>
          <w:rFonts w:cs="Times New Roman"/>
        </w:rPr>
        <w:t xml:space="preserve"> de acogida</w:t>
      </w:r>
      <w:r w:rsidRPr="00394670">
        <w:rPr>
          <w:rFonts w:cs="Times New Roman"/>
        </w:rPr>
        <w:t xml:space="preserve">, muchas veces </w:t>
      </w:r>
      <w:r w:rsidR="003B2A61" w:rsidRPr="00394670">
        <w:rPr>
          <w:rFonts w:cs="Times New Roman"/>
          <w:lang w:val="es-CL"/>
        </w:rPr>
        <w:t>se ven envueltos en situaciones y experiencias de prejuicios y discriminación, debido a su condición de población minoritaria, lo cual afecta negativamente su salud y bienestar (</w:t>
      </w:r>
      <w:proofErr w:type="spellStart"/>
      <w:r w:rsidR="003B2A61" w:rsidRPr="00394670">
        <w:rPr>
          <w:rFonts w:cs="Times New Roman"/>
          <w:lang w:val="es-CL"/>
        </w:rPr>
        <w:t>Firat</w:t>
      </w:r>
      <w:proofErr w:type="spellEnd"/>
      <w:r w:rsidR="003B2A61" w:rsidRPr="00394670">
        <w:rPr>
          <w:rFonts w:cs="Times New Roman"/>
          <w:lang w:val="es-CL"/>
        </w:rPr>
        <w:t xml:space="preserve">, &amp; </w:t>
      </w:r>
      <w:proofErr w:type="spellStart"/>
      <w:r w:rsidR="003B2A61" w:rsidRPr="00394670">
        <w:rPr>
          <w:rFonts w:cs="Times New Roman"/>
          <w:lang w:val="es-CL"/>
        </w:rPr>
        <w:t>Noels</w:t>
      </w:r>
      <w:proofErr w:type="spellEnd"/>
      <w:r w:rsidR="003B2A61" w:rsidRPr="00394670">
        <w:rPr>
          <w:rFonts w:cs="Times New Roman"/>
          <w:lang w:val="es-CL"/>
        </w:rPr>
        <w:t xml:space="preserve">, 2021; </w:t>
      </w:r>
      <w:proofErr w:type="spellStart"/>
      <w:r w:rsidR="003B2A61" w:rsidRPr="00394670">
        <w:rPr>
          <w:rFonts w:cs="Times New Roman"/>
          <w:lang w:val="es-CL"/>
        </w:rPr>
        <w:t>Kader</w:t>
      </w:r>
      <w:proofErr w:type="spellEnd"/>
      <w:r w:rsidR="003B2A61" w:rsidRPr="00394670">
        <w:rPr>
          <w:rFonts w:cs="Times New Roman"/>
          <w:lang w:val="es-CL"/>
        </w:rPr>
        <w:t xml:space="preserve"> et al., 2020; Lincoln et al., 2021; </w:t>
      </w:r>
      <w:r w:rsidR="00036588">
        <w:rPr>
          <w:rFonts w:cs="Times New Roman"/>
          <w:lang w:val="es-CL"/>
        </w:rPr>
        <w:t>Autores</w:t>
      </w:r>
      <w:r w:rsidR="003B2A61" w:rsidRPr="00394670">
        <w:rPr>
          <w:rFonts w:cs="Times New Roman"/>
          <w:lang w:val="es-CL"/>
        </w:rPr>
        <w:t>, 2022)</w:t>
      </w:r>
      <w:r w:rsidR="00DF3962" w:rsidRPr="00394670">
        <w:rPr>
          <w:rFonts w:cs="Times New Roman"/>
          <w:lang w:val="es-CL"/>
        </w:rPr>
        <w:t xml:space="preserve">. </w:t>
      </w:r>
      <w:r w:rsidR="00740528" w:rsidRPr="00394670">
        <w:rPr>
          <w:rFonts w:cs="Times New Roman"/>
          <w:lang w:val="es-CL"/>
        </w:rPr>
        <w:t xml:space="preserve">Aun cuando los estudios en bienestar de esta población se han ido incrementando, aún son </w:t>
      </w:r>
      <w:r w:rsidR="00623A97" w:rsidRPr="00394670">
        <w:rPr>
          <w:rFonts w:cs="Times New Roman"/>
          <w:lang w:val="es-CL"/>
        </w:rPr>
        <w:t xml:space="preserve">mayoritarias las investigaciones que centran su interés en </w:t>
      </w:r>
      <w:r w:rsidR="00EE1B9B" w:rsidRPr="00394670">
        <w:rPr>
          <w:rFonts w:cs="Times New Roman"/>
          <w:lang w:val="es-CL"/>
        </w:rPr>
        <w:t>los factores</w:t>
      </w:r>
      <w:r w:rsidR="00020DF4" w:rsidRPr="00394670">
        <w:rPr>
          <w:rFonts w:cs="Times New Roman"/>
          <w:lang w:val="es-CL"/>
        </w:rPr>
        <w:t xml:space="preserve"> negativos </w:t>
      </w:r>
      <w:r w:rsidR="00EE1B9B" w:rsidRPr="00394670">
        <w:rPr>
          <w:rFonts w:cs="Times New Roman"/>
          <w:lang w:val="es-CL"/>
        </w:rPr>
        <w:t xml:space="preserve">que pueden </w:t>
      </w:r>
      <w:r w:rsidR="00020DF4" w:rsidRPr="00394670">
        <w:rPr>
          <w:rFonts w:cs="Times New Roman"/>
          <w:lang w:val="es-CL"/>
        </w:rPr>
        <w:t xml:space="preserve">disminuir o afectar el </w:t>
      </w:r>
      <w:r w:rsidR="00EE1B9B" w:rsidRPr="00394670">
        <w:rPr>
          <w:rFonts w:cs="Times New Roman"/>
          <w:lang w:val="es-CL"/>
        </w:rPr>
        <w:t xml:space="preserve">bienestar </w:t>
      </w:r>
      <w:r w:rsidR="00020DF4" w:rsidRPr="00394670">
        <w:rPr>
          <w:rFonts w:cs="Times New Roman"/>
          <w:lang w:val="es-CL"/>
        </w:rPr>
        <w:t>de</w:t>
      </w:r>
      <w:r w:rsidR="00EE1B9B" w:rsidRPr="00394670">
        <w:rPr>
          <w:rFonts w:cs="Times New Roman"/>
          <w:lang w:val="es-CL"/>
        </w:rPr>
        <w:t xml:space="preserve"> los migrantes</w:t>
      </w:r>
      <w:r w:rsidR="00740528" w:rsidRPr="00394670">
        <w:rPr>
          <w:rFonts w:cs="Times New Roman"/>
          <w:lang w:val="es-CL"/>
        </w:rPr>
        <w:t>, como la discriminación</w:t>
      </w:r>
      <w:r w:rsidR="00EE1B9B" w:rsidRPr="00394670">
        <w:rPr>
          <w:rFonts w:cs="Times New Roman"/>
          <w:lang w:val="es-CL"/>
        </w:rPr>
        <w:t xml:space="preserve"> (</w:t>
      </w:r>
      <w:proofErr w:type="spellStart"/>
      <w:r w:rsidR="00EE1B9B" w:rsidRPr="00394670">
        <w:rPr>
          <w:rFonts w:cs="Times New Roman"/>
          <w:lang w:val="es-CL"/>
        </w:rPr>
        <w:t>e.g</w:t>
      </w:r>
      <w:proofErr w:type="spellEnd"/>
      <w:r w:rsidR="00EE1B9B" w:rsidRPr="00394670">
        <w:rPr>
          <w:rFonts w:cs="Times New Roman"/>
          <w:lang w:val="es-CL"/>
        </w:rPr>
        <w:t xml:space="preserve">., </w:t>
      </w:r>
      <w:r w:rsidR="00715E12" w:rsidRPr="00394670">
        <w:rPr>
          <w:rFonts w:cs="Times New Roman"/>
        </w:rPr>
        <w:t>Cienfuegos-</w:t>
      </w:r>
      <w:proofErr w:type="spellStart"/>
      <w:r w:rsidR="00715E12" w:rsidRPr="00394670">
        <w:rPr>
          <w:rFonts w:cs="Times New Roman"/>
        </w:rPr>
        <w:t>Illanes</w:t>
      </w:r>
      <w:proofErr w:type="spellEnd"/>
      <w:r w:rsidR="00715E12" w:rsidRPr="00394670">
        <w:rPr>
          <w:rFonts w:cs="Times New Roman"/>
        </w:rPr>
        <w:t xml:space="preserve"> &amp; </w:t>
      </w:r>
      <w:proofErr w:type="spellStart"/>
      <w:r w:rsidR="00715E12" w:rsidRPr="00394670">
        <w:rPr>
          <w:rFonts w:cs="Times New Roman"/>
        </w:rPr>
        <w:t>Ruf</w:t>
      </w:r>
      <w:proofErr w:type="spellEnd"/>
      <w:r w:rsidR="00715E12" w:rsidRPr="00394670">
        <w:rPr>
          <w:rFonts w:cs="Times New Roman"/>
        </w:rPr>
        <w:t>-Toledo, 2022; Salgado et al., 2018</w:t>
      </w:r>
      <w:r w:rsidR="00EE1B9B" w:rsidRPr="00394670">
        <w:rPr>
          <w:rFonts w:cs="Times New Roman"/>
        </w:rPr>
        <w:t>),</w:t>
      </w:r>
      <w:r w:rsidR="00020DF4" w:rsidRPr="00394670">
        <w:rPr>
          <w:rFonts w:cs="Times New Roman"/>
        </w:rPr>
        <w:t xml:space="preserve"> </w:t>
      </w:r>
      <w:r w:rsidR="00740528" w:rsidRPr="00394670">
        <w:rPr>
          <w:rFonts w:cs="Times New Roman"/>
        </w:rPr>
        <w:t xml:space="preserve">y son </w:t>
      </w:r>
      <w:r w:rsidR="00EE1B9B" w:rsidRPr="00394670">
        <w:rPr>
          <w:rFonts w:cs="Times New Roman"/>
        </w:rPr>
        <w:t xml:space="preserve">pocos </w:t>
      </w:r>
      <w:r w:rsidR="00740528" w:rsidRPr="00394670">
        <w:rPr>
          <w:rFonts w:cs="Times New Roman"/>
        </w:rPr>
        <w:t xml:space="preserve">los </w:t>
      </w:r>
      <w:r w:rsidR="00EE1B9B" w:rsidRPr="00394670">
        <w:rPr>
          <w:rFonts w:cs="Times New Roman"/>
        </w:rPr>
        <w:t>estudios</w:t>
      </w:r>
      <w:r w:rsidR="00740528" w:rsidRPr="00394670">
        <w:rPr>
          <w:rFonts w:cs="Times New Roman"/>
        </w:rPr>
        <w:t xml:space="preserve"> que</w:t>
      </w:r>
      <w:r w:rsidR="00EE1B9B" w:rsidRPr="00394670">
        <w:rPr>
          <w:rFonts w:cs="Times New Roman"/>
        </w:rPr>
        <w:t xml:space="preserve"> </w:t>
      </w:r>
      <w:r w:rsidR="0082130D" w:rsidRPr="00394670">
        <w:rPr>
          <w:rFonts w:cs="Times New Roman"/>
        </w:rPr>
        <w:t>han</w:t>
      </w:r>
      <w:r w:rsidR="00020DF4" w:rsidRPr="00394670">
        <w:rPr>
          <w:rFonts w:cs="Times New Roman"/>
        </w:rPr>
        <w:t xml:space="preserve"> centrado su atención</w:t>
      </w:r>
      <w:r w:rsidR="0082130D" w:rsidRPr="00394670">
        <w:rPr>
          <w:rFonts w:cs="Times New Roman"/>
        </w:rPr>
        <w:t xml:space="preserve"> </w:t>
      </w:r>
      <w:r w:rsidR="00020DF4" w:rsidRPr="00394670">
        <w:rPr>
          <w:rFonts w:cs="Times New Roman"/>
        </w:rPr>
        <w:t xml:space="preserve">en examinar factores </w:t>
      </w:r>
      <w:r w:rsidR="00740528" w:rsidRPr="00394670">
        <w:rPr>
          <w:rFonts w:cs="Times New Roman"/>
        </w:rPr>
        <w:t xml:space="preserve">protectores de esta, o que tengan una asociación </w:t>
      </w:r>
      <w:r w:rsidR="00020DF4" w:rsidRPr="00394670">
        <w:rPr>
          <w:rFonts w:cs="Times New Roman"/>
        </w:rPr>
        <w:t>positiv</w:t>
      </w:r>
      <w:r w:rsidR="00740528" w:rsidRPr="00394670">
        <w:rPr>
          <w:rFonts w:cs="Times New Roman"/>
        </w:rPr>
        <w:t>a.  En esta última línea, una línea incipiente de nuestro grupo de estudios ha comenzado a explorar el efecto de cóm</w:t>
      </w:r>
      <w:r w:rsidR="00020DF4" w:rsidRPr="00394670">
        <w:rPr>
          <w:rFonts w:cs="Times New Roman"/>
        </w:rPr>
        <w:t xml:space="preserve">o algunas variables </w:t>
      </w:r>
      <w:proofErr w:type="spellStart"/>
      <w:r w:rsidR="00020DF4" w:rsidRPr="00394670">
        <w:rPr>
          <w:rFonts w:cs="Times New Roman"/>
        </w:rPr>
        <w:t>identitarias</w:t>
      </w:r>
      <w:proofErr w:type="spellEnd"/>
      <w:r w:rsidR="00020DF4" w:rsidRPr="00394670">
        <w:rPr>
          <w:rFonts w:cs="Times New Roman"/>
        </w:rPr>
        <w:t xml:space="preserve"> pueden favorecer </w:t>
      </w:r>
      <w:r w:rsidR="00552154" w:rsidRPr="00394670">
        <w:rPr>
          <w:rFonts w:cs="Times New Roman"/>
        </w:rPr>
        <w:t>o</w:t>
      </w:r>
      <w:r w:rsidR="00020DF4" w:rsidRPr="00394670">
        <w:rPr>
          <w:rFonts w:cs="Times New Roman"/>
        </w:rPr>
        <w:t xml:space="preserve"> aumentar el bienestar de los migrantes (</w:t>
      </w:r>
      <w:proofErr w:type="spellStart"/>
      <w:r w:rsidR="00020DF4" w:rsidRPr="00394670">
        <w:rPr>
          <w:rFonts w:cs="Times New Roman"/>
        </w:rPr>
        <w:t>e.g</w:t>
      </w:r>
      <w:proofErr w:type="spellEnd"/>
      <w:r w:rsidR="00020DF4" w:rsidRPr="00394670">
        <w:rPr>
          <w:rFonts w:cs="Times New Roman"/>
        </w:rPr>
        <w:t xml:space="preserve">., </w:t>
      </w:r>
      <w:r w:rsidR="00036588">
        <w:rPr>
          <w:rFonts w:cs="Times New Roman"/>
          <w:lang w:val="es-CL"/>
        </w:rPr>
        <w:t>Autores</w:t>
      </w:r>
      <w:r w:rsidR="00020DF4" w:rsidRPr="00394670">
        <w:rPr>
          <w:rFonts w:cs="Times New Roman"/>
          <w:lang w:val="es-CL"/>
        </w:rPr>
        <w:t xml:space="preserve">, 2021; </w:t>
      </w:r>
      <w:r w:rsidR="00036588">
        <w:rPr>
          <w:rFonts w:cs="Times New Roman"/>
          <w:lang w:val="es-CL"/>
        </w:rPr>
        <w:t>Autores</w:t>
      </w:r>
      <w:r w:rsidR="00020DF4" w:rsidRPr="00394670">
        <w:rPr>
          <w:rFonts w:cs="Times New Roman"/>
          <w:lang w:val="es-CL"/>
        </w:rPr>
        <w:t xml:space="preserve">, 2022; </w:t>
      </w:r>
      <w:r w:rsidR="00036588">
        <w:rPr>
          <w:rFonts w:cs="Times New Roman"/>
          <w:lang w:val="es-CL"/>
        </w:rPr>
        <w:t>Autores</w:t>
      </w:r>
      <w:r w:rsidR="00020DF4" w:rsidRPr="00394670">
        <w:rPr>
          <w:rFonts w:cs="Times New Roman"/>
          <w:lang w:val="es-CL"/>
        </w:rPr>
        <w:t xml:space="preserve">, 2016; </w:t>
      </w:r>
      <w:r w:rsidR="00036588">
        <w:rPr>
          <w:rFonts w:cs="Times New Roman"/>
          <w:lang w:val="es-CL"/>
        </w:rPr>
        <w:t>Autores</w:t>
      </w:r>
      <w:r w:rsidR="00020DF4" w:rsidRPr="00394670">
        <w:rPr>
          <w:rFonts w:cs="Times New Roman"/>
          <w:lang w:val="es-CL"/>
        </w:rPr>
        <w:t xml:space="preserve">, 2021; </w:t>
      </w:r>
      <w:r w:rsidR="00036588">
        <w:rPr>
          <w:rFonts w:cs="Times New Roman"/>
          <w:lang w:val="es-CL"/>
        </w:rPr>
        <w:t>Autores</w:t>
      </w:r>
      <w:r w:rsidR="00020DF4" w:rsidRPr="00394670">
        <w:rPr>
          <w:rFonts w:cs="Times New Roman"/>
          <w:lang w:val="es-CL"/>
        </w:rPr>
        <w:t xml:space="preserve">, 2021; </w:t>
      </w:r>
      <w:r w:rsidR="00036588">
        <w:rPr>
          <w:rFonts w:cs="Times New Roman"/>
          <w:lang w:val="es-CL"/>
        </w:rPr>
        <w:t>Autores</w:t>
      </w:r>
      <w:r w:rsidR="00020DF4" w:rsidRPr="00394670">
        <w:rPr>
          <w:rFonts w:cs="Times New Roman"/>
          <w:lang w:val="es-CL"/>
        </w:rPr>
        <w:t>, 2020).</w:t>
      </w:r>
    </w:p>
    <w:p w14:paraId="10917F5F" w14:textId="0C9427A6" w:rsidR="00025575" w:rsidRPr="00394670" w:rsidRDefault="00356B21" w:rsidP="00F80D31">
      <w:pPr>
        <w:pStyle w:val="APAPrrafo"/>
        <w:spacing w:line="360" w:lineRule="auto"/>
        <w:ind w:firstLine="708"/>
        <w:rPr>
          <w:rFonts w:cs="Times New Roman"/>
          <w:lang w:val="es-CL"/>
        </w:rPr>
      </w:pPr>
      <w:r w:rsidRPr="00394670">
        <w:rPr>
          <w:rFonts w:cs="Times New Roman"/>
          <w:lang w:val="es-CL"/>
        </w:rPr>
        <w:t xml:space="preserve">Los procesos y variables </w:t>
      </w:r>
      <w:proofErr w:type="spellStart"/>
      <w:r w:rsidRPr="00394670">
        <w:rPr>
          <w:rFonts w:cs="Times New Roman"/>
          <w:lang w:val="es-CL"/>
        </w:rPr>
        <w:t>identitarias</w:t>
      </w:r>
      <w:proofErr w:type="spellEnd"/>
      <w:r w:rsidRPr="00394670">
        <w:rPr>
          <w:rFonts w:cs="Times New Roman"/>
          <w:lang w:val="es-CL"/>
        </w:rPr>
        <w:t xml:space="preserve"> son relevantes en los estudios migratorios, considerando que </w:t>
      </w:r>
      <w:r w:rsidR="00025575" w:rsidRPr="00394670">
        <w:rPr>
          <w:rFonts w:cs="Times New Roman"/>
          <w:lang w:val="es-CL"/>
        </w:rPr>
        <w:t xml:space="preserve">al establecerse en el país de acogida y pertenecer a una población minoritaria en este, a veces emergen </w:t>
      </w:r>
      <w:proofErr w:type="spellStart"/>
      <w:r w:rsidR="00025575" w:rsidRPr="00394670">
        <w:rPr>
          <w:rFonts w:cs="Times New Roman"/>
          <w:lang w:val="es-CL"/>
        </w:rPr>
        <w:t>resignificaciones</w:t>
      </w:r>
      <w:proofErr w:type="spellEnd"/>
      <w:r w:rsidR="00025575" w:rsidRPr="00394670">
        <w:rPr>
          <w:rFonts w:cs="Times New Roman"/>
          <w:lang w:val="es-CL"/>
        </w:rPr>
        <w:t xml:space="preserve"> del </w:t>
      </w:r>
      <w:proofErr w:type="spellStart"/>
      <w:r w:rsidR="00025575" w:rsidRPr="00394670">
        <w:rPr>
          <w:rFonts w:cs="Times New Roman"/>
          <w:lang w:val="es-CL"/>
        </w:rPr>
        <w:t>autoconcepto</w:t>
      </w:r>
      <w:proofErr w:type="spellEnd"/>
      <w:r w:rsidR="001017BD" w:rsidRPr="00394670">
        <w:rPr>
          <w:rFonts w:cs="Times New Roman"/>
          <w:lang w:val="es-CL"/>
        </w:rPr>
        <w:t>, dado que l</w:t>
      </w:r>
      <w:r w:rsidR="00025575" w:rsidRPr="00394670">
        <w:rPr>
          <w:rFonts w:cs="Times New Roman"/>
          <w:lang w:val="es-CL"/>
        </w:rPr>
        <w:t xml:space="preserve">a </w:t>
      </w:r>
      <w:r w:rsidR="00025575" w:rsidRPr="00394670">
        <w:rPr>
          <w:rFonts w:cs="Times New Roman"/>
          <w:lang w:val="es-CL"/>
        </w:rPr>
        <w:lastRenderedPageBreak/>
        <w:t>interacción y el intercambio cultural genera</w:t>
      </w:r>
      <w:r w:rsidR="001017BD" w:rsidRPr="00394670">
        <w:rPr>
          <w:rFonts w:cs="Times New Roman"/>
          <w:lang w:val="es-CL"/>
        </w:rPr>
        <w:t>n</w:t>
      </w:r>
      <w:r w:rsidR="00025575" w:rsidRPr="00394670">
        <w:rPr>
          <w:rFonts w:cs="Times New Roman"/>
          <w:lang w:val="es-CL"/>
        </w:rPr>
        <w:t xml:space="preserve"> una tensión continua entre la idea de mantener la propia identidad o incorporar elementos </w:t>
      </w:r>
      <w:proofErr w:type="spellStart"/>
      <w:r w:rsidR="00025575" w:rsidRPr="00394670">
        <w:rPr>
          <w:rFonts w:cs="Times New Roman"/>
          <w:lang w:val="es-CL"/>
        </w:rPr>
        <w:t>identitarios</w:t>
      </w:r>
      <w:proofErr w:type="spellEnd"/>
      <w:r w:rsidR="00025575" w:rsidRPr="00394670">
        <w:rPr>
          <w:rFonts w:cs="Times New Roman"/>
          <w:lang w:val="es-CL"/>
        </w:rPr>
        <w:t xml:space="preserve"> del nuevo país de acogida (Álvarez-Benavides, 2020). La literatura señala que el mantener elementos culturales e </w:t>
      </w:r>
      <w:proofErr w:type="spellStart"/>
      <w:r w:rsidR="00025575" w:rsidRPr="00394670">
        <w:rPr>
          <w:rFonts w:cs="Times New Roman"/>
          <w:lang w:val="es-CL"/>
        </w:rPr>
        <w:t>identitarios</w:t>
      </w:r>
      <w:proofErr w:type="spellEnd"/>
      <w:r w:rsidR="00025575" w:rsidRPr="00394670">
        <w:rPr>
          <w:rFonts w:cs="Times New Roman"/>
          <w:lang w:val="es-CL"/>
        </w:rPr>
        <w:t xml:space="preserve"> del país de origen o adoptar elementos culturales e </w:t>
      </w:r>
      <w:proofErr w:type="spellStart"/>
      <w:r w:rsidR="00025575" w:rsidRPr="00394670">
        <w:rPr>
          <w:rFonts w:cs="Times New Roman"/>
          <w:lang w:val="es-CL"/>
        </w:rPr>
        <w:t>identitarios</w:t>
      </w:r>
      <w:proofErr w:type="spellEnd"/>
      <w:r w:rsidR="00025575" w:rsidRPr="00394670">
        <w:rPr>
          <w:rFonts w:cs="Times New Roman"/>
          <w:lang w:val="es-CL"/>
        </w:rPr>
        <w:t xml:space="preserve"> del país de acogida favorecen positivamente el bienestar y el ajuste adaptativo de los migrantes (</w:t>
      </w:r>
      <w:proofErr w:type="spellStart"/>
      <w:r w:rsidR="00744785" w:rsidRPr="00394670">
        <w:rPr>
          <w:rFonts w:cs="Times New Roman"/>
          <w:lang w:val="es-CL"/>
        </w:rPr>
        <w:t>Luhtanen</w:t>
      </w:r>
      <w:proofErr w:type="spellEnd"/>
      <w:r w:rsidR="00744785" w:rsidRPr="00394670">
        <w:rPr>
          <w:rFonts w:cs="Times New Roman"/>
          <w:lang w:val="es-CL"/>
        </w:rPr>
        <w:t xml:space="preserve"> &amp; </w:t>
      </w:r>
      <w:proofErr w:type="spellStart"/>
      <w:r w:rsidR="00744785" w:rsidRPr="00394670">
        <w:rPr>
          <w:rFonts w:cs="Times New Roman"/>
          <w:lang w:val="es-CL"/>
        </w:rPr>
        <w:t>Crocker</w:t>
      </w:r>
      <w:proofErr w:type="spellEnd"/>
      <w:r w:rsidR="00744785" w:rsidRPr="00394670">
        <w:rPr>
          <w:rFonts w:cs="Times New Roman"/>
          <w:lang w:val="es-CL"/>
        </w:rPr>
        <w:t xml:space="preserve">, 1992; </w:t>
      </w:r>
      <w:proofErr w:type="spellStart"/>
      <w:r w:rsidR="00744785" w:rsidRPr="00394670">
        <w:rPr>
          <w:rFonts w:cs="Times New Roman"/>
          <w:lang w:val="es-CL"/>
        </w:rPr>
        <w:t>Phinney</w:t>
      </w:r>
      <w:proofErr w:type="spellEnd"/>
      <w:r w:rsidR="00744785" w:rsidRPr="00394670">
        <w:rPr>
          <w:rFonts w:cs="Times New Roman"/>
          <w:lang w:val="es-CL"/>
        </w:rPr>
        <w:t xml:space="preserve"> et al., 2001). Por el contrario, no sentirse cercano ni perteneciente a ninguna de las dos culturas (ni de origen, ni de acogida) se ha asociados a peores niveles de bienestar </w:t>
      </w:r>
      <w:r w:rsidR="00B26D02" w:rsidRPr="00394670">
        <w:rPr>
          <w:rFonts w:cs="Times New Roman"/>
          <w:lang w:val="es-CL"/>
        </w:rPr>
        <w:t xml:space="preserve">y ajuste psicológico </w:t>
      </w:r>
      <w:r w:rsidR="00744785" w:rsidRPr="00394670">
        <w:rPr>
          <w:rFonts w:cs="Times New Roman"/>
          <w:lang w:val="es-CL"/>
        </w:rPr>
        <w:t>(</w:t>
      </w:r>
      <w:proofErr w:type="spellStart"/>
      <w:r w:rsidR="00881E6D" w:rsidRPr="00394670">
        <w:rPr>
          <w:rFonts w:cs="Times New Roman"/>
          <w:lang w:val="es-CL"/>
        </w:rPr>
        <w:t>e.g</w:t>
      </w:r>
      <w:proofErr w:type="spellEnd"/>
      <w:r w:rsidR="00881E6D" w:rsidRPr="00394670">
        <w:rPr>
          <w:rFonts w:cs="Times New Roman"/>
          <w:lang w:val="es-CL"/>
        </w:rPr>
        <w:t xml:space="preserve">., </w:t>
      </w:r>
      <w:r w:rsidR="00483686" w:rsidRPr="00394670">
        <w:rPr>
          <w:rFonts w:cs="Times New Roman"/>
          <w:lang w:val="es-CL"/>
        </w:rPr>
        <w:t xml:space="preserve">Berry, 2005; </w:t>
      </w:r>
      <w:r w:rsidR="0084303D" w:rsidRPr="00394670">
        <w:rPr>
          <w:rFonts w:cs="Times New Roman"/>
          <w:lang w:val="es-CL"/>
        </w:rPr>
        <w:t xml:space="preserve">Berry et al., 2006; </w:t>
      </w:r>
      <w:r w:rsidR="00881E6D" w:rsidRPr="00394670">
        <w:rPr>
          <w:rFonts w:cs="Times New Roman"/>
          <w:lang w:val="es-CL"/>
        </w:rPr>
        <w:t xml:space="preserve">Berry &amp; </w:t>
      </w:r>
      <w:proofErr w:type="spellStart"/>
      <w:r w:rsidR="00881E6D" w:rsidRPr="00394670">
        <w:rPr>
          <w:rFonts w:cs="Times New Roman"/>
          <w:lang w:val="es-CL"/>
        </w:rPr>
        <w:t>Sabatier</w:t>
      </w:r>
      <w:proofErr w:type="spellEnd"/>
      <w:r w:rsidR="00881E6D" w:rsidRPr="00394670">
        <w:rPr>
          <w:rFonts w:cs="Times New Roman"/>
          <w:lang w:val="es-CL"/>
        </w:rPr>
        <w:t>, 2011</w:t>
      </w:r>
      <w:r w:rsidR="00744785" w:rsidRPr="00394670">
        <w:rPr>
          <w:rFonts w:cs="Times New Roman"/>
          <w:lang w:val="es-CL"/>
        </w:rPr>
        <w:t>). Por esta razón</w:t>
      </w:r>
      <w:r w:rsidR="002C2BE4" w:rsidRPr="00394670">
        <w:rPr>
          <w:rFonts w:cs="Times New Roman"/>
          <w:lang w:val="es-CL"/>
        </w:rPr>
        <w:t>, dentro de</w:t>
      </w:r>
      <w:r w:rsidR="00744785" w:rsidRPr="00394670">
        <w:rPr>
          <w:rFonts w:cs="Times New Roman"/>
          <w:lang w:val="es-CL"/>
        </w:rPr>
        <w:t xml:space="preserve"> los estudios sobre migración </w:t>
      </w:r>
      <w:r w:rsidR="002C2BE4" w:rsidRPr="00394670">
        <w:rPr>
          <w:rFonts w:cs="Times New Roman"/>
          <w:lang w:val="es-CL"/>
        </w:rPr>
        <w:t xml:space="preserve">es importante examinar estos </w:t>
      </w:r>
      <w:r w:rsidR="00744785" w:rsidRPr="00394670">
        <w:rPr>
          <w:rFonts w:cs="Times New Roman"/>
          <w:lang w:val="es-CL"/>
        </w:rPr>
        <w:t xml:space="preserve">factores que mejoren la comprensión de los procesos </w:t>
      </w:r>
      <w:proofErr w:type="spellStart"/>
      <w:r w:rsidR="00744785" w:rsidRPr="00394670">
        <w:rPr>
          <w:rFonts w:cs="Times New Roman"/>
          <w:lang w:val="es-CL"/>
        </w:rPr>
        <w:t>identitarios</w:t>
      </w:r>
      <w:proofErr w:type="spellEnd"/>
      <w:r w:rsidR="00744785" w:rsidRPr="00394670">
        <w:rPr>
          <w:rFonts w:cs="Times New Roman"/>
          <w:lang w:val="es-CL"/>
        </w:rPr>
        <w:t xml:space="preserve"> de los migrantes ya que pueden resultar elementales para el mejoramiento y aumento de su bienestar (</w:t>
      </w:r>
      <w:proofErr w:type="spellStart"/>
      <w:r w:rsidR="00744785" w:rsidRPr="00394670">
        <w:rPr>
          <w:rFonts w:cs="Times New Roman"/>
          <w:lang w:val="es-CL"/>
        </w:rPr>
        <w:t>Haslam</w:t>
      </w:r>
      <w:proofErr w:type="spellEnd"/>
      <w:r w:rsidR="00744785" w:rsidRPr="00394670">
        <w:rPr>
          <w:rFonts w:cs="Times New Roman"/>
          <w:lang w:val="es-CL"/>
        </w:rPr>
        <w:t xml:space="preserve"> et al., 2009; </w:t>
      </w:r>
      <w:proofErr w:type="spellStart"/>
      <w:r w:rsidR="00744785" w:rsidRPr="00394670">
        <w:rPr>
          <w:rFonts w:cs="Times New Roman"/>
          <w:lang w:val="es-CL"/>
        </w:rPr>
        <w:t>Balidemaj</w:t>
      </w:r>
      <w:proofErr w:type="spellEnd"/>
      <w:r w:rsidR="00744785" w:rsidRPr="00394670">
        <w:rPr>
          <w:rFonts w:cs="Times New Roman"/>
          <w:lang w:val="es-CL"/>
        </w:rPr>
        <w:t xml:space="preserve"> &amp; Small, 2019).</w:t>
      </w:r>
    </w:p>
    <w:p w14:paraId="38D024BF" w14:textId="2725B570" w:rsidR="00AC2A25" w:rsidRPr="00394670" w:rsidRDefault="002816E2" w:rsidP="00F80D31">
      <w:pPr>
        <w:pStyle w:val="APAPrrafo"/>
        <w:spacing w:line="360" w:lineRule="auto"/>
        <w:ind w:firstLine="708"/>
        <w:rPr>
          <w:rFonts w:cs="Times New Roman"/>
          <w:lang w:val="es-ES_tradnl"/>
        </w:rPr>
      </w:pPr>
      <w:r w:rsidRPr="00394670">
        <w:rPr>
          <w:rFonts w:cs="Times New Roman"/>
          <w:lang w:val="es-CL"/>
        </w:rPr>
        <w:t xml:space="preserve">Una variable </w:t>
      </w:r>
      <w:proofErr w:type="spellStart"/>
      <w:r w:rsidRPr="00394670">
        <w:rPr>
          <w:rFonts w:cs="Times New Roman"/>
          <w:lang w:val="es-CL"/>
        </w:rPr>
        <w:t>identitaria</w:t>
      </w:r>
      <w:proofErr w:type="spellEnd"/>
      <w:r w:rsidRPr="00394670">
        <w:rPr>
          <w:rFonts w:cs="Times New Roman"/>
          <w:lang w:val="es-CL"/>
        </w:rPr>
        <w:t xml:space="preserve"> </w:t>
      </w:r>
      <w:r w:rsidR="00E12E2D" w:rsidRPr="00394670">
        <w:rPr>
          <w:rFonts w:cs="Times New Roman"/>
          <w:lang w:val="es-CL"/>
        </w:rPr>
        <w:t xml:space="preserve">relativamente nueva y </w:t>
      </w:r>
      <w:r w:rsidRPr="00394670">
        <w:rPr>
          <w:rFonts w:cs="Times New Roman"/>
          <w:lang w:val="es-CL"/>
        </w:rPr>
        <w:t xml:space="preserve">escasamente analizada en los estudios migratorios ha sido la fusión de la identidad </w:t>
      </w:r>
      <w:r w:rsidR="002C2BE4" w:rsidRPr="00394670">
        <w:rPr>
          <w:rFonts w:cs="Times New Roman"/>
          <w:lang w:val="es-CL"/>
        </w:rPr>
        <w:t>(</w:t>
      </w:r>
      <w:r w:rsidR="00036588">
        <w:rPr>
          <w:rFonts w:cs="Times New Roman"/>
          <w:lang w:val="es-CL"/>
        </w:rPr>
        <w:t>Autores</w:t>
      </w:r>
      <w:r w:rsidR="002C2BE4" w:rsidRPr="00394670">
        <w:rPr>
          <w:rFonts w:cs="Times New Roman"/>
          <w:lang w:val="es-CL"/>
        </w:rPr>
        <w:t>, 2020)</w:t>
      </w:r>
      <w:r w:rsidRPr="00394670">
        <w:rPr>
          <w:rFonts w:cs="Times New Roman"/>
          <w:lang w:val="es-CL"/>
        </w:rPr>
        <w:t xml:space="preserve">. Esta se define </w:t>
      </w:r>
      <w:r w:rsidR="002C2BE4" w:rsidRPr="00394670">
        <w:rPr>
          <w:rFonts w:cs="Times New Roman"/>
          <w:lang w:val="es-CL"/>
        </w:rPr>
        <w:t xml:space="preserve">como un sentimiento visceral de unión con el grupo (Gómez &amp; Vázquez, 2015), donde la delimitación entre la identidad personal y la identidad social se vuelven porosas (Gómez &amp; Vázquez, 2015; </w:t>
      </w:r>
      <w:proofErr w:type="spellStart"/>
      <w:r w:rsidR="002C2BE4" w:rsidRPr="00394670">
        <w:rPr>
          <w:rFonts w:cs="Times New Roman"/>
          <w:lang w:val="es-CL"/>
        </w:rPr>
        <w:t>Swann</w:t>
      </w:r>
      <w:proofErr w:type="spellEnd"/>
      <w:r w:rsidR="002C2BE4" w:rsidRPr="00394670">
        <w:rPr>
          <w:rFonts w:cs="Times New Roman"/>
          <w:lang w:val="es-CL"/>
        </w:rPr>
        <w:t xml:space="preserve"> et al., 2012). </w:t>
      </w:r>
      <w:r w:rsidR="00AC2A25" w:rsidRPr="00394670">
        <w:rPr>
          <w:rFonts w:cs="Times New Roman"/>
          <w:lang w:val="es-CL"/>
        </w:rPr>
        <w:t xml:space="preserve">Las personas fusionadas se caracterizan por </w:t>
      </w:r>
      <w:r w:rsidRPr="00394670">
        <w:rPr>
          <w:rFonts w:cs="Times New Roman"/>
          <w:lang w:val="es-ES_tradnl"/>
        </w:rPr>
        <w:t>mante</w:t>
      </w:r>
      <w:r w:rsidR="00AC2A25" w:rsidRPr="00394670">
        <w:rPr>
          <w:rFonts w:cs="Times New Roman"/>
          <w:lang w:val="es-ES_tradnl"/>
        </w:rPr>
        <w:t>ner</w:t>
      </w:r>
      <w:r w:rsidRPr="00394670">
        <w:rPr>
          <w:rFonts w:cs="Times New Roman"/>
          <w:lang w:val="es-ES_tradnl"/>
        </w:rPr>
        <w:t xml:space="preserve"> acciones y comportamientos que bus</w:t>
      </w:r>
      <w:r w:rsidR="00AC2A25" w:rsidRPr="00394670">
        <w:rPr>
          <w:rFonts w:cs="Times New Roman"/>
          <w:lang w:val="es-ES_tradnl"/>
        </w:rPr>
        <w:t>ca</w:t>
      </w:r>
      <w:r w:rsidRPr="00394670">
        <w:rPr>
          <w:rFonts w:cs="Times New Roman"/>
          <w:lang w:val="es-ES_tradnl"/>
        </w:rPr>
        <w:t>n el beneficio del grupo al cual se está fusionado (</w:t>
      </w:r>
      <w:proofErr w:type="spellStart"/>
      <w:r w:rsidRPr="00394670">
        <w:rPr>
          <w:rFonts w:cs="Times New Roman"/>
          <w:lang w:val="es-ES_tradnl"/>
        </w:rPr>
        <w:t>Fredman</w:t>
      </w:r>
      <w:proofErr w:type="spellEnd"/>
      <w:r w:rsidRPr="00394670">
        <w:rPr>
          <w:rFonts w:cs="Times New Roman"/>
          <w:lang w:val="es-ES_tradnl"/>
        </w:rPr>
        <w:t xml:space="preserve"> et al., 2015</w:t>
      </w:r>
      <w:r w:rsidR="00AC2A25" w:rsidRPr="00394670">
        <w:rPr>
          <w:rFonts w:cs="Times New Roman"/>
          <w:lang w:val="es-ES_tradnl"/>
        </w:rPr>
        <w:t xml:space="preserve">; </w:t>
      </w:r>
      <w:proofErr w:type="spellStart"/>
      <w:r w:rsidRPr="00394670">
        <w:rPr>
          <w:rFonts w:cs="Times New Roman"/>
          <w:bCs/>
          <w:lang w:val="es-ES_tradnl"/>
        </w:rPr>
        <w:t>Swann</w:t>
      </w:r>
      <w:proofErr w:type="spellEnd"/>
      <w:r w:rsidRPr="00394670">
        <w:rPr>
          <w:rFonts w:cs="Times New Roman"/>
          <w:bCs/>
          <w:lang w:val="es-ES_tradnl"/>
        </w:rPr>
        <w:t xml:space="preserve">, Gómez, </w:t>
      </w:r>
      <w:proofErr w:type="spellStart"/>
      <w:r w:rsidRPr="00394670">
        <w:rPr>
          <w:rFonts w:cs="Times New Roman"/>
          <w:bCs/>
          <w:lang w:val="es-ES_tradnl"/>
        </w:rPr>
        <w:t>Huici</w:t>
      </w:r>
      <w:proofErr w:type="spellEnd"/>
      <w:r w:rsidRPr="00394670">
        <w:rPr>
          <w:rFonts w:cs="Times New Roman"/>
          <w:bCs/>
          <w:lang w:val="es-ES_tradnl"/>
        </w:rPr>
        <w:t xml:space="preserve"> et al., 2010</w:t>
      </w:r>
      <w:r w:rsidRPr="00394670">
        <w:rPr>
          <w:rFonts w:cs="Times New Roman"/>
          <w:lang w:val="es-ES_tradnl"/>
        </w:rPr>
        <w:t xml:space="preserve">). </w:t>
      </w:r>
      <w:r w:rsidR="00AC2A25" w:rsidRPr="00394670">
        <w:rPr>
          <w:rFonts w:cs="Times New Roman"/>
          <w:lang w:val="es-ES_tradnl"/>
        </w:rPr>
        <w:t xml:space="preserve">Es muy difícil que una persona fusionada con un grupo deje de estarlo, ya que las personas altamente fusionadas con su grupo construyen lazos relacionales y colectivos que las vinculan emocionalmente y de manera intensa con el grupo (Gómez et al., 2019; </w:t>
      </w:r>
      <w:r w:rsidR="00AC2A25" w:rsidRPr="00394670">
        <w:rPr>
          <w:rFonts w:cs="Times New Roman"/>
          <w:bCs/>
          <w:lang w:val="es-ES_tradnl"/>
        </w:rPr>
        <w:t xml:space="preserve">Vázquez et al., 2017; </w:t>
      </w:r>
      <w:proofErr w:type="spellStart"/>
      <w:r w:rsidR="00AC2A25" w:rsidRPr="00394670">
        <w:rPr>
          <w:rFonts w:cs="Times New Roman"/>
          <w:lang w:val="es-ES_tradnl"/>
        </w:rPr>
        <w:t>Swann</w:t>
      </w:r>
      <w:proofErr w:type="spellEnd"/>
      <w:r w:rsidR="00AC2A25" w:rsidRPr="00394670">
        <w:rPr>
          <w:rFonts w:cs="Times New Roman"/>
          <w:lang w:val="es-ES_tradnl"/>
        </w:rPr>
        <w:t xml:space="preserve"> et al., 2012; </w:t>
      </w:r>
      <w:proofErr w:type="spellStart"/>
      <w:r w:rsidR="00AC2A25" w:rsidRPr="00394670">
        <w:rPr>
          <w:rFonts w:cs="Times New Roman"/>
          <w:lang w:val="es-ES_tradnl"/>
        </w:rPr>
        <w:t>Swann</w:t>
      </w:r>
      <w:proofErr w:type="spellEnd"/>
      <w:r w:rsidR="00AC2A25" w:rsidRPr="00394670">
        <w:rPr>
          <w:rFonts w:cs="Times New Roman"/>
          <w:lang w:val="es-ES_tradnl"/>
        </w:rPr>
        <w:t xml:space="preserve"> et al., 2015). En este sentido, l</w:t>
      </w:r>
      <w:r w:rsidR="00AC2A25" w:rsidRPr="00394670">
        <w:rPr>
          <w:rFonts w:cs="Times New Roman"/>
          <w:lang w:val="es-CL"/>
        </w:rPr>
        <w:t>os lazos relacionales serían los sentimientos hacia los miembros individuales del grupo, mientras que los lazos colectivos son los sentimientos hacia el grupo como idea abstracta de un colectivo (Gómez et al., 2019). Las personas altamente fusionadas mantienen estas dos rutas relacionales con su grupo de manera simultánea, para conservar y fortalecer su percepción de conexión y fuerza recíproca con el grupo (</w:t>
      </w:r>
      <w:proofErr w:type="spellStart"/>
      <w:r w:rsidR="00AC2A25" w:rsidRPr="00394670">
        <w:rPr>
          <w:rFonts w:cs="Times New Roman"/>
          <w:lang w:val="es-CL"/>
        </w:rPr>
        <w:t>Besta</w:t>
      </w:r>
      <w:proofErr w:type="spellEnd"/>
      <w:r w:rsidR="00AC2A25" w:rsidRPr="00394670">
        <w:rPr>
          <w:rFonts w:cs="Times New Roman"/>
          <w:lang w:val="es-CL"/>
        </w:rPr>
        <w:t xml:space="preserve">, 2018). </w:t>
      </w:r>
      <w:r w:rsidR="00B63786" w:rsidRPr="00394670">
        <w:rPr>
          <w:rFonts w:cs="Times New Roman"/>
          <w:lang w:val="es-ES_tradnl"/>
        </w:rPr>
        <w:t>Este tipo de reconocimiento sobre los demás miembros del grupo desarrolla en las personas fusionadas un fuerte vínculo de unidad con estos (</w:t>
      </w:r>
      <w:proofErr w:type="spellStart"/>
      <w:r w:rsidR="00B63786" w:rsidRPr="00394670">
        <w:rPr>
          <w:rFonts w:cs="Times New Roman"/>
          <w:lang w:val="es-ES_tradnl"/>
        </w:rPr>
        <w:t>Besta</w:t>
      </w:r>
      <w:proofErr w:type="spellEnd"/>
      <w:r w:rsidR="00B63786" w:rsidRPr="00394670">
        <w:rPr>
          <w:rFonts w:cs="Times New Roman"/>
          <w:lang w:val="es-ES_tradnl"/>
        </w:rPr>
        <w:t>, 2014; Gómez</w:t>
      </w:r>
      <w:r w:rsidR="00B63786" w:rsidRPr="00394670">
        <w:rPr>
          <w:rFonts w:cs="Times New Roman"/>
          <w:bCs/>
          <w:lang w:val="es-ES_tradnl"/>
        </w:rPr>
        <w:t>, Brooks</w:t>
      </w:r>
      <w:r w:rsidR="00B63786" w:rsidRPr="00394670">
        <w:rPr>
          <w:rFonts w:cs="Times New Roman"/>
          <w:lang w:val="es-ES_tradnl"/>
        </w:rPr>
        <w:t xml:space="preserve"> et al., 2011). De esta manera, se refuerza el sentido de pertenecía al grupo, generando un sentimiento de gratificación y significado personal (Gómez, Morales et al., 2011). </w:t>
      </w:r>
    </w:p>
    <w:p w14:paraId="4574257D" w14:textId="26AA5B2B" w:rsidR="00E07150" w:rsidRPr="00394670" w:rsidRDefault="005839F1" w:rsidP="00F80D31">
      <w:pPr>
        <w:pStyle w:val="APAPrrafo"/>
        <w:spacing w:line="360" w:lineRule="auto"/>
        <w:ind w:firstLine="708"/>
        <w:rPr>
          <w:rFonts w:cs="Times New Roman"/>
        </w:rPr>
      </w:pPr>
      <w:r w:rsidRPr="00394670">
        <w:rPr>
          <w:rFonts w:cs="Times New Roman"/>
          <w:lang w:val="es-ES_tradnl"/>
        </w:rPr>
        <w:lastRenderedPageBreak/>
        <w:t>La fusión de identidad ha destacado por ser un fuerte predictor de conductas de sacrificio extremo</w:t>
      </w:r>
      <w:r w:rsidR="00CA635F" w:rsidRPr="00394670">
        <w:rPr>
          <w:rFonts w:cs="Times New Roman"/>
          <w:lang w:val="es-ES_tradnl"/>
        </w:rPr>
        <w:t xml:space="preserve"> en favor del grupo</w:t>
      </w:r>
      <w:r w:rsidRPr="00394670">
        <w:rPr>
          <w:rFonts w:cs="Times New Roman"/>
          <w:lang w:val="es-ES_tradnl"/>
        </w:rPr>
        <w:t xml:space="preserve"> (</w:t>
      </w:r>
      <w:proofErr w:type="spellStart"/>
      <w:r w:rsidRPr="00394670">
        <w:rPr>
          <w:rFonts w:cs="Times New Roman"/>
          <w:lang w:val="es-ES_tradnl"/>
        </w:rPr>
        <w:t>Varma</w:t>
      </w:r>
      <w:r w:rsidR="00424253" w:rsidRPr="00394670">
        <w:rPr>
          <w:rFonts w:cs="Times New Roman"/>
          <w:lang w:val="es-ES_tradnl"/>
        </w:rPr>
        <w:t>n</w:t>
      </w:r>
      <w:r w:rsidRPr="00394670">
        <w:rPr>
          <w:rFonts w:cs="Times New Roman"/>
          <w:lang w:val="es-ES_tradnl"/>
        </w:rPr>
        <w:t>n</w:t>
      </w:r>
      <w:proofErr w:type="spellEnd"/>
      <w:r w:rsidRPr="00394670">
        <w:rPr>
          <w:rFonts w:cs="Times New Roman"/>
          <w:lang w:val="es-ES_tradnl"/>
        </w:rPr>
        <w:t xml:space="preserve"> et al., 2022), por esta razón</w:t>
      </w:r>
      <w:r w:rsidR="006A54C0" w:rsidRPr="00394670">
        <w:rPr>
          <w:rFonts w:cs="Times New Roman"/>
          <w:lang w:val="es-ES_tradnl"/>
        </w:rPr>
        <w:t>,</w:t>
      </w:r>
      <w:r w:rsidRPr="00394670">
        <w:rPr>
          <w:rFonts w:cs="Times New Roman"/>
          <w:lang w:val="es-ES_tradnl"/>
        </w:rPr>
        <w:t xml:space="preserve"> la mayoría</w:t>
      </w:r>
      <w:r w:rsidR="006A54C0" w:rsidRPr="00394670">
        <w:rPr>
          <w:rFonts w:cs="Times New Roman"/>
          <w:lang w:val="es-ES_tradnl"/>
        </w:rPr>
        <w:t xml:space="preserve"> de</w:t>
      </w:r>
      <w:r w:rsidRPr="00394670">
        <w:rPr>
          <w:rFonts w:cs="Times New Roman"/>
          <w:lang w:val="es-ES_tradnl"/>
        </w:rPr>
        <w:t xml:space="preserve"> </w:t>
      </w:r>
      <w:r w:rsidR="006A54C0" w:rsidRPr="00394670">
        <w:rPr>
          <w:rFonts w:cs="Times New Roman"/>
          <w:lang w:val="es-ES_tradnl"/>
        </w:rPr>
        <w:t>las poblaciones especificas en las cuales se ha estudiado la fusión de identidad han sido</w:t>
      </w:r>
      <w:r w:rsidR="00873ACF" w:rsidRPr="00394670">
        <w:rPr>
          <w:rFonts w:cs="Times New Roman"/>
          <w:lang w:val="es-ES_tradnl"/>
        </w:rPr>
        <w:t xml:space="preserve"> combatientes, militares, guerrilleros, </w:t>
      </w:r>
      <w:r w:rsidR="006A54C0" w:rsidRPr="00394670">
        <w:rPr>
          <w:rFonts w:cs="Times New Roman"/>
          <w:lang w:val="es-ES_tradnl"/>
        </w:rPr>
        <w:t xml:space="preserve">terroristas, criminales, </w:t>
      </w:r>
      <w:r w:rsidR="00873ACF" w:rsidRPr="00394670">
        <w:rPr>
          <w:rFonts w:cs="Times New Roman"/>
          <w:lang w:val="es-ES_tradnl"/>
        </w:rPr>
        <w:t>hooligans, activistas</w:t>
      </w:r>
      <w:r w:rsidR="00BF19D7" w:rsidRPr="00394670">
        <w:rPr>
          <w:rFonts w:cs="Times New Roman"/>
          <w:lang w:val="es-ES_tradnl"/>
        </w:rPr>
        <w:t>,</w:t>
      </w:r>
      <w:r w:rsidR="00873ACF" w:rsidRPr="00394670">
        <w:rPr>
          <w:rFonts w:cs="Times New Roman"/>
          <w:lang w:val="es-ES_tradnl"/>
        </w:rPr>
        <w:t xml:space="preserve"> luchadores</w:t>
      </w:r>
      <w:r w:rsidR="00532499" w:rsidRPr="00394670">
        <w:rPr>
          <w:rFonts w:cs="Times New Roman"/>
          <w:lang w:val="es-ES_tradnl"/>
        </w:rPr>
        <w:t xml:space="preserve"> (</w:t>
      </w:r>
      <w:proofErr w:type="spellStart"/>
      <w:r w:rsidR="006A54C0" w:rsidRPr="00394670">
        <w:rPr>
          <w:rFonts w:cs="Times New Roman"/>
          <w:lang w:val="es-ES_tradnl"/>
        </w:rPr>
        <w:t>e.g</w:t>
      </w:r>
      <w:proofErr w:type="spellEnd"/>
      <w:r w:rsidR="006A54C0" w:rsidRPr="00394670">
        <w:rPr>
          <w:rFonts w:cs="Times New Roman"/>
          <w:lang w:val="es-ES_tradnl"/>
        </w:rPr>
        <w:t>.,</w:t>
      </w:r>
      <w:r w:rsidR="00714DBA" w:rsidRPr="00394670">
        <w:rPr>
          <w:rFonts w:cs="Times New Roman"/>
          <w:lang w:val="es-ES_tradnl"/>
        </w:rPr>
        <w:t xml:space="preserve"> </w:t>
      </w:r>
      <w:proofErr w:type="spellStart"/>
      <w:r w:rsidR="00714DBA" w:rsidRPr="00394670">
        <w:rPr>
          <w:rFonts w:cs="Times New Roman"/>
          <w:lang w:val="es-ES_tradnl"/>
        </w:rPr>
        <w:t>Besta</w:t>
      </w:r>
      <w:proofErr w:type="spellEnd"/>
      <w:r w:rsidR="00714DBA" w:rsidRPr="00394670">
        <w:rPr>
          <w:rFonts w:cs="Times New Roman"/>
          <w:lang w:val="es-ES_tradnl"/>
        </w:rPr>
        <w:t xml:space="preserve"> et al., 2018; </w:t>
      </w:r>
      <w:r w:rsidR="006A54C0" w:rsidRPr="00394670">
        <w:rPr>
          <w:rFonts w:cs="Times New Roman"/>
          <w:lang w:val="es-ES_tradnl"/>
        </w:rPr>
        <w:t xml:space="preserve">Gómez et al., 2022; </w:t>
      </w:r>
      <w:proofErr w:type="spellStart"/>
      <w:r w:rsidR="00C23554" w:rsidRPr="00394670">
        <w:rPr>
          <w:rFonts w:cs="Times New Roman"/>
          <w:lang w:val="es-ES_tradnl"/>
        </w:rPr>
        <w:t>Hart</w:t>
      </w:r>
      <w:proofErr w:type="spellEnd"/>
      <w:r w:rsidR="00C23554" w:rsidRPr="00394670">
        <w:rPr>
          <w:rFonts w:cs="Times New Roman"/>
          <w:lang w:val="es-ES_tradnl"/>
        </w:rPr>
        <w:t xml:space="preserve"> &amp; Lancaster, 2017; </w:t>
      </w:r>
      <w:r w:rsidR="00510A19">
        <w:rPr>
          <w:rFonts w:cs="Times New Roman"/>
          <w:lang w:val="es-CL"/>
        </w:rPr>
        <w:t>Autores</w:t>
      </w:r>
      <w:r w:rsidR="00532499" w:rsidRPr="00394670">
        <w:rPr>
          <w:rFonts w:cs="Times New Roman"/>
          <w:lang w:val="es-ES_tradnl"/>
        </w:rPr>
        <w:t>, 2020</w:t>
      </w:r>
      <w:r w:rsidR="00FB1018" w:rsidRPr="00394670">
        <w:rPr>
          <w:rFonts w:cs="Times New Roman"/>
          <w:lang w:val="es-ES_tradnl"/>
        </w:rPr>
        <w:t>;</w:t>
      </w:r>
      <w:r w:rsidR="00FD7995" w:rsidRPr="00394670">
        <w:rPr>
          <w:rFonts w:cs="Times New Roman"/>
          <w:lang w:val="es-ES_tradnl"/>
        </w:rPr>
        <w:t xml:space="preserve"> </w:t>
      </w:r>
      <w:proofErr w:type="spellStart"/>
      <w:r w:rsidR="00FD7995" w:rsidRPr="00394670">
        <w:rPr>
          <w:rFonts w:cs="Times New Roman"/>
          <w:lang w:val="es-ES_tradnl"/>
        </w:rPr>
        <w:t>Kavanagh</w:t>
      </w:r>
      <w:proofErr w:type="spellEnd"/>
      <w:r w:rsidR="00FD7995" w:rsidRPr="00394670">
        <w:rPr>
          <w:rFonts w:cs="Times New Roman"/>
          <w:lang w:val="es-ES_tradnl"/>
        </w:rPr>
        <w:t xml:space="preserve"> et al., 2019;</w:t>
      </w:r>
      <w:r w:rsidR="00FB1018" w:rsidRPr="00394670">
        <w:rPr>
          <w:rFonts w:cs="Times New Roman"/>
          <w:lang w:val="es-ES_tradnl"/>
        </w:rPr>
        <w:t xml:space="preserve"> </w:t>
      </w:r>
      <w:proofErr w:type="spellStart"/>
      <w:r w:rsidR="00DA109A" w:rsidRPr="00394670">
        <w:rPr>
          <w:rFonts w:cs="Times New Roman"/>
          <w:lang w:val="es-ES_tradnl"/>
        </w:rPr>
        <w:t>Kunst</w:t>
      </w:r>
      <w:proofErr w:type="spellEnd"/>
      <w:r w:rsidR="00DA109A" w:rsidRPr="00394670">
        <w:rPr>
          <w:rFonts w:cs="Times New Roman"/>
          <w:lang w:val="es-ES_tradnl"/>
        </w:rPr>
        <w:t xml:space="preserve"> et al., 2018; </w:t>
      </w:r>
      <w:proofErr w:type="spellStart"/>
      <w:r w:rsidR="00FB1018" w:rsidRPr="00394670">
        <w:rPr>
          <w:rFonts w:cs="Times New Roman"/>
          <w:lang w:val="es-ES_tradnl"/>
        </w:rPr>
        <w:t>Newson</w:t>
      </w:r>
      <w:proofErr w:type="spellEnd"/>
      <w:r w:rsidR="00FB1018" w:rsidRPr="00394670">
        <w:rPr>
          <w:rFonts w:cs="Times New Roman"/>
          <w:lang w:val="es-ES_tradnl"/>
        </w:rPr>
        <w:t xml:space="preserve"> et al., 2016</w:t>
      </w:r>
      <w:r w:rsidR="00EB746D" w:rsidRPr="00394670">
        <w:rPr>
          <w:rFonts w:cs="Times New Roman"/>
          <w:lang w:val="es-ES_tradnl"/>
        </w:rPr>
        <w:t xml:space="preserve">; </w:t>
      </w:r>
      <w:proofErr w:type="spellStart"/>
      <w:r w:rsidR="00EB746D" w:rsidRPr="00394670">
        <w:rPr>
          <w:rFonts w:cs="Times New Roman"/>
          <w:lang w:val="es-ES_tradnl"/>
        </w:rPr>
        <w:t>Whitehouse</w:t>
      </w:r>
      <w:proofErr w:type="spellEnd"/>
      <w:r w:rsidR="00EB746D" w:rsidRPr="00394670">
        <w:rPr>
          <w:rFonts w:cs="Times New Roman"/>
          <w:lang w:val="es-ES_tradnl"/>
        </w:rPr>
        <w:t xml:space="preserve"> et al., 2014</w:t>
      </w:r>
      <w:r w:rsidR="00532499" w:rsidRPr="00394670">
        <w:rPr>
          <w:rFonts w:cs="Times New Roman"/>
          <w:lang w:val="es-ES_tradnl"/>
        </w:rPr>
        <w:t>)</w:t>
      </w:r>
      <w:r w:rsidR="00873ACF" w:rsidRPr="00394670">
        <w:rPr>
          <w:rFonts w:cs="Times New Roman"/>
          <w:lang w:val="es-ES_tradnl"/>
        </w:rPr>
        <w:t>.</w:t>
      </w:r>
      <w:r w:rsidR="00B518BA" w:rsidRPr="00394670">
        <w:rPr>
          <w:rFonts w:cs="Times New Roman"/>
          <w:lang w:val="es-ES_tradnl"/>
        </w:rPr>
        <w:t xml:space="preserve"> </w:t>
      </w:r>
      <w:r w:rsidR="00EB3E9B" w:rsidRPr="00394670">
        <w:rPr>
          <w:rFonts w:cs="Times New Roman"/>
          <w:lang w:val="es-ES_tradnl"/>
        </w:rPr>
        <w:t xml:space="preserve">Otros grupos específicos en los cuales se ha examinado la fusión de identidad han </w:t>
      </w:r>
      <w:r w:rsidR="00126F25" w:rsidRPr="00394670">
        <w:rPr>
          <w:rFonts w:cs="Times New Roman"/>
          <w:lang w:val="es-ES_tradnl"/>
        </w:rPr>
        <w:t>sido</w:t>
      </w:r>
      <w:r w:rsidR="003D06B4" w:rsidRPr="00394670">
        <w:rPr>
          <w:rFonts w:cs="Times New Roman"/>
          <w:lang w:val="es-ES_tradnl"/>
        </w:rPr>
        <w:t xml:space="preserve"> estudiantes universitarios, votantes, </w:t>
      </w:r>
      <w:r w:rsidR="00624B4F" w:rsidRPr="00394670">
        <w:rPr>
          <w:rFonts w:cs="Times New Roman"/>
          <w:lang w:val="es-ES_tradnl"/>
        </w:rPr>
        <w:t>hermanos gemelos, parejas</w:t>
      </w:r>
      <w:r w:rsidR="00E0424E" w:rsidRPr="00394670">
        <w:rPr>
          <w:rFonts w:cs="Times New Roman"/>
          <w:lang w:val="es-ES_tradnl"/>
        </w:rPr>
        <w:t>, niños y niñas</w:t>
      </w:r>
      <w:r w:rsidR="0096282B" w:rsidRPr="00394670">
        <w:rPr>
          <w:rFonts w:cs="Times New Roman"/>
          <w:lang w:val="es-ES_tradnl"/>
        </w:rPr>
        <w:t>,</w:t>
      </w:r>
      <w:r w:rsidR="00DD3AE5" w:rsidRPr="00394670">
        <w:rPr>
          <w:rFonts w:cs="Times New Roman"/>
          <w:lang w:val="es-ES_tradnl"/>
        </w:rPr>
        <w:t xml:space="preserve"> </w:t>
      </w:r>
      <w:r w:rsidR="0096282B" w:rsidRPr="00394670">
        <w:rPr>
          <w:rFonts w:cs="Times New Roman"/>
          <w:lang w:val="es-ES_tradnl"/>
        </w:rPr>
        <w:t>entre otros</w:t>
      </w:r>
      <w:r w:rsidR="00820206" w:rsidRPr="00394670">
        <w:rPr>
          <w:rFonts w:cs="Times New Roman"/>
          <w:lang w:val="es-ES_tradnl"/>
        </w:rPr>
        <w:t xml:space="preserve"> </w:t>
      </w:r>
      <w:r w:rsidR="00E0424E" w:rsidRPr="00394670">
        <w:rPr>
          <w:rFonts w:cs="Times New Roman"/>
          <w:lang w:val="es-ES_tradnl"/>
        </w:rPr>
        <w:t>(</w:t>
      </w:r>
      <w:proofErr w:type="spellStart"/>
      <w:r w:rsidR="007D0874" w:rsidRPr="00394670">
        <w:rPr>
          <w:rFonts w:cs="Times New Roman"/>
          <w:lang w:val="es-ES_tradnl"/>
        </w:rPr>
        <w:t>e.g</w:t>
      </w:r>
      <w:proofErr w:type="spellEnd"/>
      <w:r w:rsidR="007D0874" w:rsidRPr="00394670">
        <w:rPr>
          <w:rFonts w:cs="Times New Roman"/>
          <w:lang w:val="es-ES_tradnl"/>
        </w:rPr>
        <w:t xml:space="preserve">., </w:t>
      </w:r>
      <w:r w:rsidR="00B939A8" w:rsidRPr="00394670">
        <w:rPr>
          <w:rFonts w:cs="Times New Roman"/>
        </w:rPr>
        <w:t xml:space="preserve">Gaviria et al., 2015; </w:t>
      </w:r>
      <w:proofErr w:type="spellStart"/>
      <w:r w:rsidR="007D0874" w:rsidRPr="00394670">
        <w:rPr>
          <w:rFonts w:cs="Times New Roman"/>
        </w:rPr>
        <w:t>Misch</w:t>
      </w:r>
      <w:proofErr w:type="spellEnd"/>
      <w:r w:rsidR="007D0874" w:rsidRPr="00394670">
        <w:rPr>
          <w:rFonts w:cs="Times New Roman"/>
        </w:rPr>
        <w:t xml:space="preserve"> et al., 2018; </w:t>
      </w:r>
      <w:r w:rsidR="00DD3AE5" w:rsidRPr="00394670">
        <w:rPr>
          <w:rFonts w:cs="Times New Roman"/>
          <w:lang w:val="es-ES_tradnl"/>
        </w:rPr>
        <w:t xml:space="preserve">Vázquez et al., 2017; </w:t>
      </w:r>
      <w:r w:rsidR="00820206" w:rsidRPr="00394670">
        <w:rPr>
          <w:rFonts w:cs="Times New Roman"/>
          <w:lang w:val="es-ES_tradnl"/>
        </w:rPr>
        <w:t xml:space="preserve">Walsh &amp; </w:t>
      </w:r>
      <w:proofErr w:type="spellStart"/>
      <w:r w:rsidR="00820206" w:rsidRPr="00394670">
        <w:rPr>
          <w:rFonts w:cs="Times New Roman"/>
          <w:lang w:val="es-ES_tradnl"/>
        </w:rPr>
        <w:t>Neff</w:t>
      </w:r>
      <w:proofErr w:type="spellEnd"/>
      <w:r w:rsidR="00820206" w:rsidRPr="00394670">
        <w:rPr>
          <w:rFonts w:cs="Times New Roman"/>
          <w:lang w:val="es-ES_tradnl"/>
        </w:rPr>
        <w:t>, 2018</w:t>
      </w:r>
      <w:r w:rsidR="007D0874" w:rsidRPr="00394670">
        <w:rPr>
          <w:rFonts w:cs="Times New Roman"/>
          <w:lang w:val="es-ES_tradnl"/>
        </w:rPr>
        <w:t>)</w:t>
      </w:r>
      <w:r w:rsidR="00126F25" w:rsidRPr="00394670">
        <w:rPr>
          <w:rFonts w:cs="Times New Roman"/>
          <w:lang w:val="es-ES_tradnl"/>
        </w:rPr>
        <w:t>. Sin</w:t>
      </w:r>
      <w:r w:rsidR="00B518BA" w:rsidRPr="00394670">
        <w:rPr>
          <w:rFonts w:cs="Times New Roman"/>
          <w:lang w:val="es-ES_tradnl"/>
        </w:rPr>
        <w:t xml:space="preserve"> embargo, pocos </w:t>
      </w:r>
      <w:r w:rsidR="00154046" w:rsidRPr="00394670">
        <w:rPr>
          <w:rFonts w:cs="Times New Roman"/>
          <w:lang w:val="es-ES_tradnl"/>
        </w:rPr>
        <w:t>son</w:t>
      </w:r>
      <w:r w:rsidR="00B518BA" w:rsidRPr="00394670">
        <w:rPr>
          <w:rFonts w:cs="Times New Roman"/>
          <w:lang w:val="es-ES_tradnl"/>
        </w:rPr>
        <w:t xml:space="preserve"> los estudios que han analizado la fusión de identidad en población migrante (</w:t>
      </w:r>
      <w:proofErr w:type="spellStart"/>
      <w:r w:rsidR="00B518BA" w:rsidRPr="00394670">
        <w:rPr>
          <w:rFonts w:cs="Times New Roman"/>
          <w:lang w:val="es-ES_tradnl"/>
        </w:rPr>
        <w:t>e.g</w:t>
      </w:r>
      <w:proofErr w:type="spellEnd"/>
      <w:r w:rsidR="00B518BA" w:rsidRPr="00394670">
        <w:rPr>
          <w:rFonts w:cs="Times New Roman"/>
          <w:lang w:val="es-ES_tradnl"/>
        </w:rPr>
        <w:t xml:space="preserve">., </w:t>
      </w:r>
      <w:r w:rsidR="00510A19">
        <w:rPr>
          <w:rFonts w:cs="Times New Roman"/>
          <w:lang w:val="es-CL"/>
        </w:rPr>
        <w:t>Autores</w:t>
      </w:r>
      <w:r w:rsidR="00B518BA" w:rsidRPr="00394670">
        <w:rPr>
          <w:rFonts w:cs="Times New Roman"/>
          <w:lang w:val="es-CL"/>
        </w:rPr>
        <w:t xml:space="preserve">, 2021; Kiang et al., 2020; </w:t>
      </w:r>
      <w:proofErr w:type="spellStart"/>
      <w:r w:rsidR="00B518BA" w:rsidRPr="00394670">
        <w:rPr>
          <w:rFonts w:cs="Times New Roman"/>
          <w:lang w:val="es-ES_tradnl"/>
        </w:rPr>
        <w:t>Swan</w:t>
      </w:r>
      <w:proofErr w:type="spellEnd"/>
      <w:r w:rsidR="00B518BA" w:rsidRPr="00394670">
        <w:rPr>
          <w:rFonts w:cs="Times New Roman"/>
          <w:lang w:val="es-ES_tradnl"/>
        </w:rPr>
        <w:t xml:space="preserve"> et al., 2014).</w:t>
      </w:r>
      <w:r w:rsidR="00E07150" w:rsidRPr="00394670">
        <w:rPr>
          <w:rFonts w:cs="Times New Roman"/>
          <w:lang w:val="es-ES_tradnl"/>
        </w:rPr>
        <w:t xml:space="preserve"> Por lo tanto, el primer </w:t>
      </w:r>
      <w:r w:rsidR="00126F25" w:rsidRPr="00394670">
        <w:rPr>
          <w:rFonts w:cs="Times New Roman"/>
          <w:lang w:val="es-ES_tradnl"/>
        </w:rPr>
        <w:t>objetivo</w:t>
      </w:r>
      <w:r w:rsidR="00E07150" w:rsidRPr="00394670">
        <w:rPr>
          <w:rFonts w:cs="Times New Roman"/>
          <w:lang w:val="es-ES_tradnl"/>
        </w:rPr>
        <w:t xml:space="preserve"> de esta investigación </w:t>
      </w:r>
      <w:r w:rsidR="00E07150" w:rsidRPr="00394670">
        <w:rPr>
          <w:rFonts w:cs="Times New Roman"/>
        </w:rPr>
        <w:t>tiene que ver con</w:t>
      </w:r>
      <w:r w:rsidR="002C2BE4" w:rsidRPr="00394670">
        <w:rPr>
          <w:rFonts w:cs="Times New Roman"/>
        </w:rPr>
        <w:t xml:space="preserve"> </w:t>
      </w:r>
      <w:r w:rsidR="00AF2910" w:rsidRPr="00394670">
        <w:rPr>
          <w:rFonts w:cs="Times New Roman"/>
        </w:rPr>
        <w:t xml:space="preserve">describir y comparar los niveles de fusión de identidad con el país de origen y con el país de acogida de </w:t>
      </w:r>
      <w:r w:rsidR="00E07150" w:rsidRPr="00394670">
        <w:rPr>
          <w:rFonts w:cs="Times New Roman"/>
        </w:rPr>
        <w:t xml:space="preserve">dos poblaciones de migrantes (colombianos y venezolanos) insertas en el mismo contexto (Chile). </w:t>
      </w:r>
    </w:p>
    <w:p w14:paraId="2A3B4B2B" w14:textId="77A27052" w:rsidR="002D2A9A" w:rsidRPr="00394670" w:rsidRDefault="002D2A9A" w:rsidP="00F80D31">
      <w:pPr>
        <w:pStyle w:val="APAPrrafo"/>
        <w:spacing w:line="360" w:lineRule="auto"/>
        <w:ind w:firstLine="708"/>
        <w:rPr>
          <w:rFonts w:cs="Times New Roman"/>
        </w:rPr>
      </w:pPr>
      <w:r w:rsidRPr="00394670">
        <w:rPr>
          <w:rFonts w:cs="Times New Roman"/>
        </w:rPr>
        <w:t xml:space="preserve">Por otro lado, </w:t>
      </w:r>
      <w:r w:rsidR="00BF079C" w:rsidRPr="00394670">
        <w:rPr>
          <w:rFonts w:cs="Times New Roman"/>
        </w:rPr>
        <w:t>debido al creciente interés de los investigadores por la teoría de la fusión de la identidad, varios se han abocado a indagar sobre sus antecedentes. Los principales postulados que buscan explicar las causas de la fusión de la identidad señalan que la biología y las experiencias compartidas podrían ser factores iniciantes para generar la fusión de identidad con un grupo (</w:t>
      </w:r>
      <w:proofErr w:type="spellStart"/>
      <w:r w:rsidR="00BF079C" w:rsidRPr="00394670">
        <w:rPr>
          <w:rFonts w:cs="Times New Roman"/>
        </w:rPr>
        <w:t>Swan</w:t>
      </w:r>
      <w:proofErr w:type="spellEnd"/>
      <w:r w:rsidR="00BF079C" w:rsidRPr="00394670">
        <w:rPr>
          <w:rFonts w:cs="Times New Roman"/>
        </w:rPr>
        <w:t xml:space="preserve"> et al., 2012).</w:t>
      </w:r>
      <w:r w:rsidR="00247BC3" w:rsidRPr="00394670">
        <w:rPr>
          <w:rFonts w:cs="Times New Roman"/>
        </w:rPr>
        <w:t xml:space="preserve"> Otros autores, siguiendo esta misma línea han indagado sobre experiencias compartidas específicas</w:t>
      </w:r>
      <w:r w:rsidR="000C5D51" w:rsidRPr="00394670">
        <w:rPr>
          <w:rFonts w:cs="Times New Roman"/>
        </w:rPr>
        <w:t xml:space="preserve"> </w:t>
      </w:r>
      <w:r w:rsidR="00527DA8" w:rsidRPr="00394670">
        <w:rPr>
          <w:rFonts w:cs="Times New Roman"/>
        </w:rPr>
        <w:t>que actuarían</w:t>
      </w:r>
      <w:r w:rsidR="000C5D51" w:rsidRPr="00394670">
        <w:rPr>
          <w:rFonts w:cs="Times New Roman"/>
        </w:rPr>
        <w:t xml:space="preserve"> </w:t>
      </w:r>
      <w:r w:rsidR="00527DA8" w:rsidRPr="00394670">
        <w:rPr>
          <w:rFonts w:cs="Times New Roman"/>
        </w:rPr>
        <w:t xml:space="preserve">como </w:t>
      </w:r>
      <w:r w:rsidR="000C5D51" w:rsidRPr="00394670">
        <w:rPr>
          <w:rFonts w:cs="Times New Roman"/>
        </w:rPr>
        <w:t>antecedentes de la fusión</w:t>
      </w:r>
      <w:r w:rsidR="00527DA8" w:rsidRPr="00394670">
        <w:rPr>
          <w:rFonts w:cs="Times New Roman"/>
        </w:rPr>
        <w:t xml:space="preserve"> de identidad</w:t>
      </w:r>
      <w:r w:rsidR="000C5D51" w:rsidRPr="00394670">
        <w:rPr>
          <w:rFonts w:cs="Times New Roman"/>
        </w:rPr>
        <w:t xml:space="preserve"> (Gómez et al., 2020)</w:t>
      </w:r>
      <w:r w:rsidR="00527DA8" w:rsidRPr="00394670">
        <w:rPr>
          <w:rFonts w:cs="Times New Roman"/>
        </w:rPr>
        <w:t>.</w:t>
      </w:r>
      <w:r w:rsidR="00247BC3" w:rsidRPr="00394670">
        <w:rPr>
          <w:rFonts w:cs="Times New Roman"/>
        </w:rPr>
        <w:t xml:space="preserve"> </w:t>
      </w:r>
      <w:r w:rsidR="00527DA8" w:rsidRPr="00394670">
        <w:rPr>
          <w:rFonts w:cs="Times New Roman"/>
        </w:rPr>
        <w:t>P</w:t>
      </w:r>
      <w:r w:rsidR="00247BC3" w:rsidRPr="00394670">
        <w:rPr>
          <w:rFonts w:cs="Times New Roman"/>
        </w:rPr>
        <w:t>or ejemplo, experiencias intensas</w:t>
      </w:r>
      <w:r w:rsidR="00B228F5" w:rsidRPr="00394670">
        <w:rPr>
          <w:rFonts w:cs="Times New Roman"/>
        </w:rPr>
        <w:t xml:space="preserve">, </w:t>
      </w:r>
      <w:proofErr w:type="spellStart"/>
      <w:r w:rsidR="00527DA8" w:rsidRPr="00394670">
        <w:rPr>
          <w:rFonts w:cs="Times New Roman"/>
        </w:rPr>
        <w:t>disfóricas</w:t>
      </w:r>
      <w:proofErr w:type="spellEnd"/>
      <w:r w:rsidR="00527DA8" w:rsidRPr="00394670">
        <w:rPr>
          <w:rFonts w:cs="Times New Roman"/>
        </w:rPr>
        <w:t>, traumáticas o negativas</w:t>
      </w:r>
      <w:r w:rsidR="001048AD" w:rsidRPr="00394670">
        <w:rPr>
          <w:rFonts w:cs="Times New Roman"/>
        </w:rPr>
        <w:t xml:space="preserve"> </w:t>
      </w:r>
      <w:r w:rsidR="00527DA8" w:rsidRPr="00394670">
        <w:rPr>
          <w:rFonts w:cs="Times New Roman"/>
        </w:rPr>
        <w:t>(</w:t>
      </w:r>
      <w:proofErr w:type="spellStart"/>
      <w:r w:rsidR="00B228F5" w:rsidRPr="00394670">
        <w:rPr>
          <w:rFonts w:cs="Times New Roman"/>
        </w:rPr>
        <w:t>Jong</w:t>
      </w:r>
      <w:proofErr w:type="spellEnd"/>
      <w:r w:rsidR="00B228F5" w:rsidRPr="00394670">
        <w:rPr>
          <w:rFonts w:cs="Times New Roman"/>
        </w:rPr>
        <w:t xml:space="preserve"> et al., 2015; </w:t>
      </w:r>
      <w:proofErr w:type="spellStart"/>
      <w:r w:rsidR="00B228F5" w:rsidRPr="00394670">
        <w:rPr>
          <w:rFonts w:cs="Times New Roman"/>
        </w:rPr>
        <w:t>Kapitány</w:t>
      </w:r>
      <w:proofErr w:type="spellEnd"/>
      <w:r w:rsidR="00B228F5" w:rsidRPr="00394670">
        <w:rPr>
          <w:rFonts w:cs="Times New Roman"/>
        </w:rPr>
        <w:t xml:space="preserve"> et al., 2019; </w:t>
      </w:r>
      <w:proofErr w:type="spellStart"/>
      <w:r w:rsidR="00B228F5" w:rsidRPr="00394670">
        <w:rPr>
          <w:rFonts w:cs="Times New Roman"/>
        </w:rPr>
        <w:t>Mish</w:t>
      </w:r>
      <w:proofErr w:type="spellEnd"/>
      <w:r w:rsidR="00B228F5" w:rsidRPr="00394670">
        <w:rPr>
          <w:rFonts w:cs="Times New Roman"/>
        </w:rPr>
        <w:t xml:space="preserve"> et al., 2018; </w:t>
      </w:r>
      <w:proofErr w:type="spellStart"/>
      <w:r w:rsidR="00B228F5" w:rsidRPr="00394670">
        <w:rPr>
          <w:rFonts w:cs="Times New Roman"/>
        </w:rPr>
        <w:t>Newson</w:t>
      </w:r>
      <w:proofErr w:type="spellEnd"/>
      <w:r w:rsidR="00B228F5" w:rsidRPr="00394670">
        <w:rPr>
          <w:rFonts w:cs="Times New Roman"/>
        </w:rPr>
        <w:t xml:space="preserve"> et al., 201</w:t>
      </w:r>
      <w:r w:rsidR="00C21E17" w:rsidRPr="00394670">
        <w:rPr>
          <w:rFonts w:cs="Times New Roman"/>
        </w:rPr>
        <w:t>9</w:t>
      </w:r>
      <w:r w:rsidR="004828AF" w:rsidRPr="00394670">
        <w:rPr>
          <w:rFonts w:cs="Times New Roman"/>
        </w:rPr>
        <w:t>;</w:t>
      </w:r>
      <w:r w:rsidR="00B228F5" w:rsidRPr="00394670">
        <w:rPr>
          <w:rFonts w:cs="Times New Roman"/>
        </w:rPr>
        <w:t xml:space="preserve"> </w:t>
      </w:r>
      <w:proofErr w:type="spellStart"/>
      <w:r w:rsidR="00B228F5" w:rsidRPr="00394670">
        <w:rPr>
          <w:rFonts w:cs="Times New Roman"/>
        </w:rPr>
        <w:t>Segal</w:t>
      </w:r>
      <w:proofErr w:type="spellEnd"/>
      <w:r w:rsidR="00B228F5" w:rsidRPr="00394670">
        <w:rPr>
          <w:rFonts w:cs="Times New Roman"/>
        </w:rPr>
        <w:t xml:space="preserve"> et al., 2018; </w:t>
      </w:r>
      <w:proofErr w:type="spellStart"/>
      <w:r w:rsidR="00B228F5" w:rsidRPr="00394670">
        <w:rPr>
          <w:rFonts w:cs="Times New Roman"/>
        </w:rPr>
        <w:t>Whitehouse</w:t>
      </w:r>
      <w:proofErr w:type="spellEnd"/>
      <w:r w:rsidR="00B228F5" w:rsidRPr="00394670">
        <w:rPr>
          <w:rFonts w:cs="Times New Roman"/>
        </w:rPr>
        <w:t xml:space="preserve"> et al., 2017</w:t>
      </w:r>
      <w:r w:rsidR="00527DA8" w:rsidRPr="00394670">
        <w:rPr>
          <w:rFonts w:cs="Times New Roman"/>
        </w:rPr>
        <w:t xml:space="preserve">), o experiencias </w:t>
      </w:r>
      <w:r w:rsidR="00B228F5" w:rsidRPr="00394670">
        <w:rPr>
          <w:rFonts w:cs="Times New Roman"/>
        </w:rPr>
        <w:t xml:space="preserve">y emociones </w:t>
      </w:r>
      <w:r w:rsidR="00527DA8" w:rsidRPr="00394670">
        <w:rPr>
          <w:rFonts w:cs="Times New Roman"/>
        </w:rPr>
        <w:t xml:space="preserve">compartidas en rituales </w:t>
      </w:r>
      <w:r w:rsidR="00B228F5" w:rsidRPr="00394670">
        <w:rPr>
          <w:rFonts w:cs="Times New Roman"/>
        </w:rPr>
        <w:t>y</w:t>
      </w:r>
      <w:r w:rsidR="00527DA8" w:rsidRPr="00394670">
        <w:rPr>
          <w:rFonts w:cs="Times New Roman"/>
        </w:rPr>
        <w:t xml:space="preserve"> reuniones folclóricas y religiosas </w:t>
      </w:r>
      <w:r w:rsidR="00B228F5" w:rsidRPr="00394670">
        <w:rPr>
          <w:rFonts w:cs="Times New Roman"/>
        </w:rPr>
        <w:t>(</w:t>
      </w:r>
      <w:r w:rsidR="00B96B8E" w:rsidRPr="00394670">
        <w:rPr>
          <w:rFonts w:cs="Times New Roman"/>
        </w:rPr>
        <w:t>Páez</w:t>
      </w:r>
      <w:r w:rsidR="00527DA8" w:rsidRPr="00394670">
        <w:rPr>
          <w:rFonts w:cs="Times New Roman"/>
        </w:rPr>
        <w:t xml:space="preserve"> et al., 2015; Zumeta et al., 2016; </w:t>
      </w:r>
      <w:r w:rsidR="001048AD" w:rsidRPr="00394670">
        <w:rPr>
          <w:rFonts w:cs="Times New Roman"/>
        </w:rPr>
        <w:t>Lobato &amp; Sainz, 2020)</w:t>
      </w:r>
      <w:r w:rsidR="00B228F5" w:rsidRPr="00394670">
        <w:rPr>
          <w:rFonts w:cs="Times New Roman"/>
        </w:rPr>
        <w:t xml:space="preserve">. Debido </w:t>
      </w:r>
      <w:r w:rsidR="00126F25" w:rsidRPr="00394670">
        <w:rPr>
          <w:rFonts w:cs="Times New Roman"/>
        </w:rPr>
        <w:t>que,</w:t>
      </w:r>
      <w:r w:rsidR="00B228F5" w:rsidRPr="00394670">
        <w:rPr>
          <w:rFonts w:cs="Times New Roman"/>
        </w:rPr>
        <w:t xml:space="preserve"> al migrar es casi imposible no </w:t>
      </w:r>
      <w:r w:rsidR="00126F25" w:rsidRPr="00394670">
        <w:rPr>
          <w:rFonts w:cs="Times New Roman"/>
        </w:rPr>
        <w:t xml:space="preserve">mantener contacto con la población local, creemos que </w:t>
      </w:r>
      <w:r w:rsidR="00B228F5" w:rsidRPr="00394670">
        <w:rPr>
          <w:rFonts w:cs="Times New Roman"/>
        </w:rPr>
        <w:t>compartir</w:t>
      </w:r>
      <w:r w:rsidR="00126F25" w:rsidRPr="00394670">
        <w:rPr>
          <w:rFonts w:cs="Times New Roman"/>
        </w:rPr>
        <w:t xml:space="preserve"> el mismo ambiente por un largo periodo de tiempo entre dos grupos de nacionalidad y culturas diferentes, en ciertas ocasiones se podrían generar y </w:t>
      </w:r>
      <w:r w:rsidR="00B228F5" w:rsidRPr="00394670">
        <w:rPr>
          <w:rFonts w:cs="Times New Roman"/>
        </w:rPr>
        <w:t xml:space="preserve">establecer relaciones </w:t>
      </w:r>
      <w:r w:rsidR="00126F25" w:rsidRPr="00394670">
        <w:rPr>
          <w:rFonts w:cs="Times New Roman"/>
        </w:rPr>
        <w:t xml:space="preserve">intergrupales que generen experiencias y emociones compartidas entre los miembros de ambos grupos. Por esta razón, como segundo objetivo nos propusimos explorar la relación </w:t>
      </w:r>
      <w:r w:rsidR="009B413C" w:rsidRPr="00394670">
        <w:rPr>
          <w:rFonts w:cs="Times New Roman"/>
        </w:rPr>
        <w:t>entre</w:t>
      </w:r>
      <w:r w:rsidR="00126F25" w:rsidRPr="00394670">
        <w:rPr>
          <w:rFonts w:cs="Times New Roman"/>
        </w:rPr>
        <w:t xml:space="preserve"> la fusión de identidad </w:t>
      </w:r>
      <w:r w:rsidR="0040501A" w:rsidRPr="00394670">
        <w:rPr>
          <w:rFonts w:cs="Times New Roman"/>
        </w:rPr>
        <w:t>(</w:t>
      </w:r>
      <w:r w:rsidR="00126F25" w:rsidRPr="00394670">
        <w:rPr>
          <w:rFonts w:cs="Times New Roman"/>
        </w:rPr>
        <w:t>con el país de origen y el país</w:t>
      </w:r>
      <w:r w:rsidR="0040501A" w:rsidRPr="00394670">
        <w:rPr>
          <w:rFonts w:cs="Times New Roman"/>
        </w:rPr>
        <w:t xml:space="preserve"> de acogida) y los años permanecidos en el país de acogida.</w:t>
      </w:r>
    </w:p>
    <w:p w14:paraId="422B469B" w14:textId="199E053C" w:rsidR="002C2BE4" w:rsidRPr="00394670" w:rsidRDefault="002C2BE4" w:rsidP="00F80D31">
      <w:pPr>
        <w:spacing w:line="360" w:lineRule="auto"/>
        <w:rPr>
          <w:lang w:val="es-ES"/>
        </w:rPr>
      </w:pPr>
    </w:p>
    <w:p w14:paraId="1140829A" w14:textId="77777777" w:rsidR="009F7C2B" w:rsidRPr="00394670" w:rsidRDefault="00776436" w:rsidP="00F80D31">
      <w:pPr>
        <w:spacing w:line="360" w:lineRule="auto"/>
        <w:ind w:firstLine="0"/>
        <w:rPr>
          <w:i/>
          <w:iCs/>
        </w:rPr>
      </w:pPr>
      <w:r w:rsidRPr="00394670">
        <w:rPr>
          <w:i/>
          <w:iCs/>
        </w:rPr>
        <w:t>H</w:t>
      </w:r>
      <w:r w:rsidR="009F7C2B" w:rsidRPr="00394670">
        <w:rPr>
          <w:i/>
          <w:iCs/>
        </w:rPr>
        <w:t>ipótesis.</w:t>
      </w:r>
    </w:p>
    <w:p w14:paraId="72DEFCB3" w14:textId="1998DF82" w:rsidR="00761F0C" w:rsidRPr="00394670" w:rsidRDefault="00562419" w:rsidP="00F80D31">
      <w:pPr>
        <w:spacing w:line="360" w:lineRule="auto"/>
      </w:pPr>
      <w:r w:rsidRPr="00394670">
        <w:t xml:space="preserve">H1.- </w:t>
      </w:r>
      <w:r w:rsidR="00761F0C" w:rsidRPr="00394670">
        <w:t>Se espera que los migrantes, tanto colombianos como venezolanos, presenten mayores niveles de fusión de identidad con el país de origen que con el país de acogida</w:t>
      </w:r>
      <w:r w:rsidR="00E63E95" w:rsidRPr="00394670">
        <w:t xml:space="preserve">. </w:t>
      </w:r>
      <w:r w:rsidR="00CC3171" w:rsidRPr="00394670">
        <w:rPr>
          <w:lang w:val="es-ES_tradnl"/>
        </w:rPr>
        <w:t>Asumiendo que</w:t>
      </w:r>
      <w:r w:rsidR="00761F0C" w:rsidRPr="00394670">
        <w:rPr>
          <w:lang w:val="es-ES_tradnl"/>
        </w:rPr>
        <w:t xml:space="preserve"> </w:t>
      </w:r>
      <w:r w:rsidR="00CC3171" w:rsidRPr="00394670">
        <w:rPr>
          <w:lang w:val="es-ES_tradnl"/>
        </w:rPr>
        <w:t>el</w:t>
      </w:r>
      <w:r w:rsidR="00761F0C" w:rsidRPr="00394670">
        <w:rPr>
          <w:lang w:val="es-ES_tradnl"/>
        </w:rPr>
        <w:t xml:space="preserve"> migrante ha vivido la mayor parte de su vida en su país de origen, </w:t>
      </w:r>
      <w:r w:rsidR="00D24E30" w:rsidRPr="00394670">
        <w:rPr>
          <w:lang w:val="es-ES_tradnl"/>
        </w:rPr>
        <w:t>es probable que también</w:t>
      </w:r>
      <w:r w:rsidR="00761F0C" w:rsidRPr="00394670">
        <w:rPr>
          <w:lang w:val="es-ES_tradnl"/>
        </w:rPr>
        <w:t xml:space="preserve"> </w:t>
      </w:r>
      <w:r w:rsidR="00EA1AAA" w:rsidRPr="00394670">
        <w:rPr>
          <w:lang w:val="es-ES_tradnl"/>
        </w:rPr>
        <w:t xml:space="preserve">haya vivido </w:t>
      </w:r>
      <w:r w:rsidR="00D24E30" w:rsidRPr="00394670">
        <w:rPr>
          <w:lang w:val="es-ES_tradnl"/>
        </w:rPr>
        <w:t xml:space="preserve">una </w:t>
      </w:r>
      <w:r w:rsidR="004F256F" w:rsidRPr="00394670">
        <w:rPr>
          <w:lang w:val="es-ES_tradnl"/>
        </w:rPr>
        <w:t xml:space="preserve">mayor cantidad de </w:t>
      </w:r>
      <w:r w:rsidR="00EA1AAA" w:rsidRPr="00394670">
        <w:rPr>
          <w:lang w:val="es-ES_tradnl"/>
        </w:rPr>
        <w:t>experiencias</w:t>
      </w:r>
      <w:r w:rsidR="0040234B" w:rsidRPr="00394670">
        <w:rPr>
          <w:lang w:val="es-ES_tradnl"/>
        </w:rPr>
        <w:t xml:space="preserve"> </w:t>
      </w:r>
      <w:r w:rsidR="00D24E30" w:rsidRPr="00394670">
        <w:rPr>
          <w:lang w:val="es-ES_tradnl"/>
        </w:rPr>
        <w:t xml:space="preserve">y </w:t>
      </w:r>
      <w:r w:rsidR="002B239A" w:rsidRPr="00394670">
        <w:rPr>
          <w:lang w:val="es-ES_tradnl"/>
        </w:rPr>
        <w:t>emociones compartidas</w:t>
      </w:r>
      <w:r w:rsidR="0006057D" w:rsidRPr="00394670">
        <w:rPr>
          <w:lang w:val="es-ES_tradnl"/>
        </w:rPr>
        <w:t xml:space="preserve"> con </w:t>
      </w:r>
      <w:r w:rsidR="00C84813" w:rsidRPr="00394670">
        <w:rPr>
          <w:lang w:val="es-ES_tradnl"/>
        </w:rPr>
        <w:t>sus compatriotas</w:t>
      </w:r>
      <w:r w:rsidR="00831FC2" w:rsidRPr="00394670">
        <w:rPr>
          <w:lang w:val="es-ES_tradnl"/>
        </w:rPr>
        <w:t xml:space="preserve"> y,</w:t>
      </w:r>
      <w:r w:rsidR="00EA1AAA" w:rsidRPr="00394670">
        <w:rPr>
          <w:lang w:val="es-ES_tradnl"/>
        </w:rPr>
        <w:t xml:space="preserve"> por lo tanto, </w:t>
      </w:r>
      <w:r w:rsidR="00B352D5" w:rsidRPr="00394670">
        <w:rPr>
          <w:lang w:val="es-ES_tradnl"/>
        </w:rPr>
        <w:t xml:space="preserve">el </w:t>
      </w:r>
      <w:r w:rsidR="00EA1AAA" w:rsidRPr="00394670">
        <w:rPr>
          <w:lang w:val="es-ES_tradnl"/>
        </w:rPr>
        <w:t>vínculo</w:t>
      </w:r>
      <w:r w:rsidR="00B352D5" w:rsidRPr="00394670">
        <w:rPr>
          <w:lang w:val="es-ES_tradnl"/>
        </w:rPr>
        <w:t xml:space="preserve"> con su país de origen sea más fuerte </w:t>
      </w:r>
      <w:r w:rsidR="00011A3F" w:rsidRPr="00394670">
        <w:rPr>
          <w:lang w:val="es-ES_tradnl"/>
        </w:rPr>
        <w:t>que con el país de acogida</w:t>
      </w:r>
      <w:r w:rsidR="001F544E" w:rsidRPr="00394670">
        <w:rPr>
          <w:lang w:val="es-ES_tradnl"/>
        </w:rPr>
        <w:t xml:space="preserve"> </w:t>
      </w:r>
      <w:r w:rsidR="00B352D5" w:rsidRPr="00394670">
        <w:rPr>
          <w:lang w:val="es-ES_tradnl"/>
        </w:rPr>
        <w:t>(Gómez et al., 2019</w:t>
      </w:r>
      <w:r w:rsidR="00D24E30" w:rsidRPr="00394670">
        <w:rPr>
          <w:lang w:val="es-ES_tradnl"/>
        </w:rPr>
        <w:t xml:space="preserve">; </w:t>
      </w:r>
      <w:r w:rsidR="00D24E30" w:rsidRPr="00394670">
        <w:t xml:space="preserve">Páez et al., 2015; </w:t>
      </w:r>
      <w:proofErr w:type="spellStart"/>
      <w:r w:rsidR="00D24E30" w:rsidRPr="00394670">
        <w:t>Whitehouse</w:t>
      </w:r>
      <w:proofErr w:type="spellEnd"/>
      <w:r w:rsidR="00D24E30" w:rsidRPr="00394670">
        <w:t xml:space="preserve"> &amp; </w:t>
      </w:r>
      <w:proofErr w:type="spellStart"/>
      <w:r w:rsidR="00D24E30" w:rsidRPr="00394670">
        <w:t>Lanman</w:t>
      </w:r>
      <w:proofErr w:type="spellEnd"/>
      <w:r w:rsidR="00D24E30" w:rsidRPr="00394670">
        <w:t xml:space="preserve">, 2014; </w:t>
      </w:r>
      <w:proofErr w:type="spellStart"/>
      <w:r w:rsidR="00D24E30" w:rsidRPr="00394670">
        <w:t>Whitehouse</w:t>
      </w:r>
      <w:proofErr w:type="spellEnd"/>
      <w:r w:rsidR="00D24E30" w:rsidRPr="00394670">
        <w:t xml:space="preserve"> et al., 2017; Zumeta et al., 2016</w:t>
      </w:r>
      <w:r w:rsidR="00B352D5" w:rsidRPr="00394670">
        <w:rPr>
          <w:lang w:val="es-ES_tradnl"/>
        </w:rPr>
        <w:t>).</w:t>
      </w:r>
      <w:r w:rsidR="00CC3171" w:rsidRPr="00394670">
        <w:rPr>
          <w:lang w:val="es-ES_tradnl"/>
        </w:rPr>
        <w:t xml:space="preserve"> </w:t>
      </w:r>
      <w:r w:rsidR="00CC3171" w:rsidRPr="00394670">
        <w:t>Además, se espera que la fusión de identidad con el país de origen no se relacione con el número de años viviendo en el país de acogida, ya que la fusión de identidad con un grupo suele ser permanente en el tiempo y difícilmente revocable (</w:t>
      </w:r>
      <w:r w:rsidR="00CC3171" w:rsidRPr="00394670">
        <w:rPr>
          <w:lang w:val="es-ES_tradnl"/>
        </w:rPr>
        <w:t xml:space="preserve">Gómez et al., 2019; </w:t>
      </w:r>
      <w:r w:rsidR="00CC3171" w:rsidRPr="00394670">
        <w:rPr>
          <w:bCs/>
          <w:lang w:val="es-ES_tradnl"/>
        </w:rPr>
        <w:t xml:space="preserve">Vázquez et al., 2017; </w:t>
      </w:r>
      <w:proofErr w:type="spellStart"/>
      <w:r w:rsidR="00CC3171" w:rsidRPr="00394670">
        <w:rPr>
          <w:lang w:val="es-ES_tradnl"/>
        </w:rPr>
        <w:t>Swann</w:t>
      </w:r>
      <w:proofErr w:type="spellEnd"/>
      <w:r w:rsidR="00CC3171" w:rsidRPr="00394670">
        <w:rPr>
          <w:lang w:val="es-ES_tradnl"/>
        </w:rPr>
        <w:t xml:space="preserve"> et al., 2012).</w:t>
      </w:r>
    </w:p>
    <w:p w14:paraId="3A8D3416" w14:textId="77759DBD" w:rsidR="00435F3C" w:rsidRPr="00394670" w:rsidRDefault="00761F0C" w:rsidP="00F80D31">
      <w:pPr>
        <w:spacing w:line="360" w:lineRule="auto"/>
        <w:rPr>
          <w:b/>
        </w:rPr>
      </w:pPr>
      <w:r w:rsidRPr="00394670">
        <w:t xml:space="preserve">H2.- </w:t>
      </w:r>
      <w:r w:rsidR="00264A7F" w:rsidRPr="00394670">
        <w:t>Se espera que a m</w:t>
      </w:r>
      <w:r w:rsidR="00903522" w:rsidRPr="00394670">
        <w:t>ayor</w:t>
      </w:r>
      <w:r w:rsidR="00264A7F" w:rsidRPr="00394670">
        <w:t xml:space="preserve"> número de años viviendo en Chile </w:t>
      </w:r>
      <w:r w:rsidR="00903522" w:rsidRPr="00394670">
        <w:t xml:space="preserve">los migrantes colombianos y venezolanos presenten </w:t>
      </w:r>
      <w:r w:rsidR="00264A7F" w:rsidRPr="00394670">
        <w:t xml:space="preserve">mayores niveles de fusión de identidad con el país de acogida. </w:t>
      </w:r>
      <w:r w:rsidR="000C49F2" w:rsidRPr="00394670">
        <w:t xml:space="preserve">Dado que a medida que las personas comienzan a pasar tiempo en un contexto diferente a su país de origen, el contacto con miembros del país de acogida es más probable </w:t>
      </w:r>
      <w:r w:rsidR="002C61C7" w:rsidRPr="00394670">
        <w:t>ya</w:t>
      </w:r>
      <w:r w:rsidR="00FA3CB5" w:rsidRPr="00394670">
        <w:t xml:space="preserve"> que son la población mayoritaria.</w:t>
      </w:r>
      <w:r w:rsidR="0033729D" w:rsidRPr="00394670">
        <w:t xml:space="preserve"> Por esta razón, </w:t>
      </w:r>
      <w:r w:rsidR="008C474C" w:rsidRPr="00394670">
        <w:t xml:space="preserve">es que a través del tiempo viviendo en el país de acogida, los migrantes comiencen a crear nuevas redes y vínculos interpersonales acompañados </w:t>
      </w:r>
      <w:r w:rsidR="002C61C7" w:rsidRPr="00394670">
        <w:t>de</w:t>
      </w:r>
      <w:r w:rsidR="008C474C" w:rsidRPr="00394670">
        <w:t xml:space="preserve"> experiencias y emociones compartidas con los miembros del país de acogida</w:t>
      </w:r>
      <w:r w:rsidR="003A0284" w:rsidRPr="00394670">
        <w:t xml:space="preserve"> (Páez et al., 2015; </w:t>
      </w:r>
      <w:proofErr w:type="spellStart"/>
      <w:r w:rsidR="003A0284" w:rsidRPr="00394670">
        <w:t>Whitehouse</w:t>
      </w:r>
      <w:proofErr w:type="spellEnd"/>
      <w:r w:rsidR="003A0284" w:rsidRPr="00394670">
        <w:t xml:space="preserve"> &amp; </w:t>
      </w:r>
      <w:proofErr w:type="spellStart"/>
      <w:r w:rsidR="003A0284" w:rsidRPr="00394670">
        <w:t>Lanman</w:t>
      </w:r>
      <w:proofErr w:type="spellEnd"/>
      <w:r w:rsidR="003A0284" w:rsidRPr="00394670">
        <w:t xml:space="preserve">, 2014; </w:t>
      </w:r>
      <w:proofErr w:type="spellStart"/>
      <w:r w:rsidR="003A0284" w:rsidRPr="00394670">
        <w:t>Whitehouse</w:t>
      </w:r>
      <w:proofErr w:type="spellEnd"/>
      <w:r w:rsidR="003A0284" w:rsidRPr="00394670">
        <w:t xml:space="preserve"> et al., 2017; Zumeta et al., 2016)</w:t>
      </w:r>
      <w:r w:rsidR="008C474C" w:rsidRPr="00394670">
        <w:t xml:space="preserve">. Algunos de estos vínculos interpersonales podrían ser más estrechos, como en los casos de construir familia, amigos y relaciones afectivas con miembros del país </w:t>
      </w:r>
      <w:r w:rsidR="00B06E6D" w:rsidRPr="00394670">
        <w:t>receptor</w:t>
      </w:r>
      <w:r w:rsidR="008C474C" w:rsidRPr="00394670">
        <w:t xml:space="preserve">, lo que daría paso a crear </w:t>
      </w:r>
      <w:r w:rsidR="00B06E6D" w:rsidRPr="00394670">
        <w:t>mayores niveles de fusión de identidad con el país de acogida</w:t>
      </w:r>
      <w:r w:rsidR="003A0284" w:rsidRPr="00394670">
        <w:t xml:space="preserve"> (</w:t>
      </w:r>
      <w:r w:rsidR="003A0284" w:rsidRPr="00394670">
        <w:rPr>
          <w:lang w:val="es-ES_tradnl"/>
        </w:rPr>
        <w:t>Gómez et al., 2019)</w:t>
      </w:r>
      <w:r w:rsidR="00B06E6D" w:rsidRPr="00394670">
        <w:t>.</w:t>
      </w:r>
    </w:p>
    <w:p w14:paraId="333957A3" w14:textId="50D94732" w:rsidR="00F71B6B" w:rsidRPr="00394670" w:rsidRDefault="007A2B14" w:rsidP="00F80D31">
      <w:pPr>
        <w:spacing w:line="360" w:lineRule="auto"/>
        <w:ind w:firstLine="0"/>
        <w:rPr>
          <w:b/>
        </w:rPr>
      </w:pPr>
      <w:r w:rsidRPr="00394670">
        <w:rPr>
          <w:b/>
        </w:rPr>
        <w:t>Método</w:t>
      </w:r>
    </w:p>
    <w:p w14:paraId="39E3C5E2" w14:textId="77777777" w:rsidR="007F6B33" w:rsidRPr="00394670" w:rsidRDefault="007A2B14" w:rsidP="00F80D31">
      <w:pPr>
        <w:spacing w:line="360" w:lineRule="auto"/>
        <w:ind w:firstLine="0"/>
        <w:rPr>
          <w:bCs/>
          <w:i/>
          <w:iCs/>
        </w:rPr>
      </w:pPr>
      <w:r w:rsidRPr="00394670">
        <w:rPr>
          <w:bCs/>
          <w:i/>
          <w:iCs/>
        </w:rPr>
        <w:t>Diseño y participantes</w:t>
      </w:r>
    </w:p>
    <w:p w14:paraId="722B3562" w14:textId="77777777" w:rsidR="008E2A50" w:rsidRPr="00394670" w:rsidRDefault="007A2B14" w:rsidP="00F80D31">
      <w:pPr>
        <w:spacing w:line="360" w:lineRule="auto"/>
        <w:ind w:firstLine="708"/>
        <w:rPr>
          <w:bCs/>
        </w:rPr>
      </w:pPr>
      <w:r w:rsidRPr="00394670">
        <w:rPr>
          <w:bCs/>
        </w:rPr>
        <w:t>E</w:t>
      </w:r>
      <w:r w:rsidR="00020FF6" w:rsidRPr="00394670">
        <w:rPr>
          <w:bCs/>
        </w:rPr>
        <w:t>l</w:t>
      </w:r>
      <w:r w:rsidRPr="00394670">
        <w:rPr>
          <w:bCs/>
        </w:rPr>
        <w:t xml:space="preserve"> estudio </w:t>
      </w:r>
      <w:r w:rsidR="00020FF6" w:rsidRPr="00394670">
        <w:rPr>
          <w:bCs/>
        </w:rPr>
        <w:t>fue</w:t>
      </w:r>
      <w:r w:rsidRPr="00394670">
        <w:rPr>
          <w:bCs/>
        </w:rPr>
        <w:t xml:space="preserve"> </w:t>
      </w:r>
      <w:r w:rsidR="007F6B33" w:rsidRPr="00394670">
        <w:rPr>
          <w:bCs/>
        </w:rPr>
        <w:t>correla</w:t>
      </w:r>
      <w:r w:rsidRPr="00394670">
        <w:rPr>
          <w:bCs/>
        </w:rPr>
        <w:t>c</w:t>
      </w:r>
      <w:r w:rsidR="007F6B33" w:rsidRPr="00394670">
        <w:rPr>
          <w:bCs/>
        </w:rPr>
        <w:t xml:space="preserve">ional, </w:t>
      </w:r>
      <w:r w:rsidR="008169CD" w:rsidRPr="00394670">
        <w:rPr>
          <w:bCs/>
        </w:rPr>
        <w:t>no-experimental,</w:t>
      </w:r>
      <w:r w:rsidR="007F6B33" w:rsidRPr="00394670">
        <w:rPr>
          <w:bCs/>
        </w:rPr>
        <w:t xml:space="preserve"> </w:t>
      </w:r>
      <w:r w:rsidRPr="00394670">
        <w:rPr>
          <w:bCs/>
        </w:rPr>
        <w:t>y</w:t>
      </w:r>
      <w:r w:rsidR="007F6B33" w:rsidRPr="00394670">
        <w:rPr>
          <w:bCs/>
        </w:rPr>
        <w:t xml:space="preserve"> </w:t>
      </w:r>
      <w:r w:rsidR="00623538" w:rsidRPr="00394670">
        <w:rPr>
          <w:bCs/>
        </w:rPr>
        <w:t>transversal</w:t>
      </w:r>
      <w:r w:rsidR="007F6B33" w:rsidRPr="00394670">
        <w:rPr>
          <w:bCs/>
        </w:rPr>
        <w:t xml:space="preserve"> (Ato, López, &amp; Benavente, 2013). </w:t>
      </w:r>
      <w:r w:rsidRPr="00394670">
        <w:rPr>
          <w:bCs/>
        </w:rPr>
        <w:t xml:space="preserve">Se realizó un muestreo intencional basado en la accesibilidad de los </w:t>
      </w:r>
      <w:r w:rsidRPr="00394670">
        <w:rPr>
          <w:bCs/>
        </w:rPr>
        <w:lastRenderedPageBreak/>
        <w:t>participantes y utilizando la estrategia de bola de nieve para reclutarlos. Los criterios de inclusión fueron la nacionalidad colombiana o venezolana y ser mayor de 18 años.</w:t>
      </w:r>
      <w:r w:rsidR="007D318B" w:rsidRPr="00394670">
        <w:rPr>
          <w:bCs/>
        </w:rPr>
        <w:t xml:space="preserve"> </w:t>
      </w:r>
    </w:p>
    <w:p w14:paraId="7EABD8F9" w14:textId="77777777" w:rsidR="00846875" w:rsidRPr="00394670" w:rsidRDefault="00846875" w:rsidP="00F80D31">
      <w:pPr>
        <w:spacing w:line="360" w:lineRule="auto"/>
        <w:ind w:firstLine="0"/>
        <w:rPr>
          <w:i/>
        </w:rPr>
      </w:pPr>
      <w:r w:rsidRPr="00394670">
        <w:rPr>
          <w:i/>
        </w:rPr>
        <w:t>Estudio 1</w:t>
      </w:r>
    </w:p>
    <w:p w14:paraId="21AFC9B6" w14:textId="77777777" w:rsidR="00846875" w:rsidRPr="00394670" w:rsidRDefault="00846875" w:rsidP="00F80D31">
      <w:pPr>
        <w:spacing w:line="360" w:lineRule="auto"/>
        <w:ind w:firstLine="708"/>
      </w:pPr>
      <w:r w:rsidRPr="00394670">
        <w:t>Participaron</w:t>
      </w:r>
      <w:r w:rsidR="00A73AA8" w:rsidRPr="00394670">
        <w:t xml:space="preserve"> </w:t>
      </w:r>
      <w:r w:rsidR="00AB518B" w:rsidRPr="00394670">
        <w:t>770</w:t>
      </w:r>
      <w:r w:rsidRPr="00394670">
        <w:t xml:space="preserve"> migrantes colombianos residentes en Chile, con edades que estuvieron entre los 18 y los 65 años (</w:t>
      </w:r>
      <w:r w:rsidR="00AB518B" w:rsidRPr="00394670">
        <w:rPr>
          <w:i/>
          <w:iCs/>
        </w:rPr>
        <w:t>ME</w:t>
      </w:r>
      <w:r w:rsidR="00AB518B" w:rsidRPr="00394670">
        <w:t xml:space="preserve">=34.95, </w:t>
      </w:r>
      <w:r w:rsidR="00AB518B" w:rsidRPr="00394670">
        <w:rPr>
          <w:i/>
          <w:iCs/>
        </w:rPr>
        <w:t>DT</w:t>
      </w:r>
      <w:r w:rsidR="00AB518B" w:rsidRPr="00394670">
        <w:t>=9.84</w:t>
      </w:r>
      <w:r w:rsidRPr="00394670">
        <w:t xml:space="preserve">). De estos, </w:t>
      </w:r>
      <w:r w:rsidR="00AB518B" w:rsidRPr="00394670">
        <w:t>377</w:t>
      </w:r>
      <w:r w:rsidRPr="00394670">
        <w:t xml:space="preserve"> (49%) son mujeres y </w:t>
      </w:r>
      <w:r w:rsidR="00AB518B" w:rsidRPr="00394670">
        <w:t>393</w:t>
      </w:r>
      <w:r w:rsidRPr="00394670">
        <w:t xml:space="preserve"> (5</w:t>
      </w:r>
      <w:r w:rsidR="00AB518B" w:rsidRPr="00394670">
        <w:t>1</w:t>
      </w:r>
      <w:r w:rsidRPr="00394670">
        <w:t xml:space="preserve">%) son hombres. </w:t>
      </w:r>
      <w:r w:rsidRPr="00394670">
        <w:rPr>
          <w:lang w:val="es-ES"/>
        </w:rPr>
        <w:t>Los participantes accedieron de manera voluntaria y anónima a realizar la aplicación luego de firmar un consentimiento informado.</w:t>
      </w:r>
    </w:p>
    <w:p w14:paraId="6FDA0B54" w14:textId="77777777" w:rsidR="00846875" w:rsidRPr="00394670" w:rsidRDefault="00846875" w:rsidP="00F80D31">
      <w:pPr>
        <w:spacing w:line="360" w:lineRule="auto"/>
        <w:ind w:firstLine="0"/>
        <w:rPr>
          <w:i/>
        </w:rPr>
      </w:pPr>
      <w:r w:rsidRPr="00394670">
        <w:rPr>
          <w:i/>
        </w:rPr>
        <w:t>Estudio 2</w:t>
      </w:r>
    </w:p>
    <w:p w14:paraId="1AF188E8" w14:textId="77777777" w:rsidR="00A73AA8" w:rsidRPr="00394670" w:rsidRDefault="00846875" w:rsidP="00F80D31">
      <w:pPr>
        <w:spacing w:line="360" w:lineRule="auto"/>
        <w:ind w:firstLine="708"/>
        <w:rPr>
          <w:lang w:val="es-ES"/>
        </w:rPr>
      </w:pPr>
      <w:r w:rsidRPr="00394670">
        <w:t xml:space="preserve">Participaron </w:t>
      </w:r>
      <w:r w:rsidR="00A73AA8" w:rsidRPr="00394670">
        <w:t>3</w:t>
      </w:r>
      <w:r w:rsidR="00AB518B" w:rsidRPr="00394670">
        <w:t>07</w:t>
      </w:r>
      <w:r w:rsidRPr="00394670">
        <w:t xml:space="preserve"> migrantes venezolanos residentes en Chile, </w:t>
      </w:r>
      <w:r w:rsidR="00A73AA8" w:rsidRPr="00394670">
        <w:t xml:space="preserve">con edades que </w:t>
      </w:r>
      <w:r w:rsidRPr="00394670">
        <w:t>estuvieron</w:t>
      </w:r>
      <w:r w:rsidR="00A73AA8" w:rsidRPr="00394670">
        <w:t xml:space="preserve"> entre los 18 y 69 años (</w:t>
      </w:r>
      <w:r w:rsidR="00AB518B" w:rsidRPr="00394670">
        <w:rPr>
          <w:i/>
          <w:iCs/>
        </w:rPr>
        <w:t>ME</w:t>
      </w:r>
      <w:r w:rsidR="00AB518B" w:rsidRPr="00394670">
        <w:t xml:space="preserve">=32.57, </w:t>
      </w:r>
      <w:r w:rsidR="00AB518B" w:rsidRPr="00394670">
        <w:rPr>
          <w:i/>
          <w:iCs/>
        </w:rPr>
        <w:t>DT</w:t>
      </w:r>
      <w:r w:rsidR="00AB518B" w:rsidRPr="00394670">
        <w:t>=9.38</w:t>
      </w:r>
      <w:r w:rsidR="00A73AA8" w:rsidRPr="00394670">
        <w:t>).</w:t>
      </w:r>
      <w:r w:rsidRPr="00394670">
        <w:t xml:space="preserve"> De estos, 1</w:t>
      </w:r>
      <w:r w:rsidR="00AB518B" w:rsidRPr="00394670">
        <w:t>6</w:t>
      </w:r>
      <w:r w:rsidRPr="00394670">
        <w:t>6 (54.</w:t>
      </w:r>
      <w:r w:rsidR="00AB518B" w:rsidRPr="00394670">
        <w:t>1</w:t>
      </w:r>
      <w:r w:rsidRPr="00394670">
        <w:t>%) son mujeres y 14</w:t>
      </w:r>
      <w:r w:rsidR="00AB518B" w:rsidRPr="00394670">
        <w:t>1</w:t>
      </w:r>
      <w:r w:rsidRPr="00394670">
        <w:t xml:space="preserve"> (45.</w:t>
      </w:r>
      <w:r w:rsidR="00AB518B" w:rsidRPr="00394670">
        <w:t>9</w:t>
      </w:r>
      <w:r w:rsidRPr="00394670">
        <w:t>%) son hombres.</w:t>
      </w:r>
      <w:r w:rsidRPr="00394670">
        <w:rPr>
          <w:lang w:val="es-ES"/>
        </w:rPr>
        <w:t xml:space="preserve"> Los participantes accedieron de manera voluntaria y anónima a realizar la aplicación luego de firmar un consentimiento informado.</w:t>
      </w:r>
    </w:p>
    <w:p w14:paraId="5AF214BB" w14:textId="4428783F" w:rsidR="00E44758" w:rsidRPr="00394670" w:rsidRDefault="00846875" w:rsidP="00F80D31">
      <w:pPr>
        <w:spacing w:line="360" w:lineRule="auto"/>
        <w:ind w:firstLine="708"/>
      </w:pPr>
      <w:r w:rsidRPr="00394670">
        <w:t>Ambos estudios suman una muestra total de 1</w:t>
      </w:r>
      <w:r w:rsidR="00AB518B" w:rsidRPr="00394670">
        <w:t>077</w:t>
      </w:r>
      <w:r w:rsidRPr="00394670">
        <w:t xml:space="preserve"> migrantes residentes en Chile. La Tabla 1 presenta el resumen y algunas características adicionales de los participantes de ambos estudios.</w:t>
      </w:r>
    </w:p>
    <w:tbl>
      <w:tblPr>
        <w:tblW w:w="0" w:type="auto"/>
        <w:tblLook w:val="04A0" w:firstRow="1" w:lastRow="0" w:firstColumn="1" w:lastColumn="0" w:noHBand="0" w:noVBand="1"/>
      </w:tblPr>
      <w:tblGrid>
        <w:gridCol w:w="3842"/>
        <w:gridCol w:w="1844"/>
        <w:gridCol w:w="1776"/>
      </w:tblGrid>
      <w:tr w:rsidR="00051305" w:rsidRPr="00394670" w14:paraId="385CB5E5" w14:textId="77777777" w:rsidTr="002D0DB0">
        <w:trPr>
          <w:trHeight w:val="403"/>
        </w:trPr>
        <w:tc>
          <w:tcPr>
            <w:tcW w:w="0" w:type="auto"/>
            <w:gridSpan w:val="3"/>
            <w:tcBorders>
              <w:bottom w:val="single" w:sz="4" w:space="0" w:color="auto"/>
            </w:tcBorders>
            <w:shd w:val="clear" w:color="auto" w:fill="auto"/>
            <w:vAlign w:val="center"/>
          </w:tcPr>
          <w:p w14:paraId="7C4B3709" w14:textId="77777777" w:rsidR="00051305" w:rsidRPr="00394670" w:rsidRDefault="00051305" w:rsidP="00F80D31">
            <w:pPr>
              <w:spacing w:after="0" w:line="240" w:lineRule="auto"/>
              <w:ind w:firstLine="0"/>
              <w:rPr>
                <w:b/>
                <w:bCs/>
              </w:rPr>
            </w:pPr>
            <w:r w:rsidRPr="00394670">
              <w:rPr>
                <w:b/>
                <w:bCs/>
              </w:rPr>
              <w:t>Tabla 1</w:t>
            </w:r>
          </w:p>
          <w:p w14:paraId="6C8B5585" w14:textId="77777777" w:rsidR="00051305" w:rsidRPr="00394670" w:rsidRDefault="00051305" w:rsidP="00F80D31">
            <w:pPr>
              <w:spacing w:after="0" w:line="240" w:lineRule="auto"/>
              <w:ind w:firstLine="0"/>
              <w:rPr>
                <w:b/>
                <w:bCs/>
              </w:rPr>
            </w:pPr>
            <w:r w:rsidRPr="00394670">
              <w:t>Características sociodemográficas de los participantes.</w:t>
            </w:r>
          </w:p>
        </w:tc>
      </w:tr>
      <w:tr w:rsidR="002D0DB0" w:rsidRPr="00394670" w14:paraId="4F24D549" w14:textId="77777777" w:rsidTr="002D0DB0">
        <w:trPr>
          <w:trHeight w:val="201"/>
        </w:trPr>
        <w:tc>
          <w:tcPr>
            <w:tcW w:w="0" w:type="auto"/>
            <w:vMerge w:val="restart"/>
            <w:tcBorders>
              <w:top w:val="single" w:sz="4" w:space="0" w:color="auto"/>
            </w:tcBorders>
            <w:shd w:val="clear" w:color="auto" w:fill="auto"/>
            <w:vAlign w:val="center"/>
          </w:tcPr>
          <w:p w14:paraId="57BADF4B" w14:textId="77777777" w:rsidR="002D0DB0" w:rsidRPr="00394670" w:rsidRDefault="002D0DB0" w:rsidP="00F80D31">
            <w:pPr>
              <w:spacing w:after="0" w:line="240" w:lineRule="auto"/>
              <w:ind w:firstLine="0"/>
              <w:rPr>
                <w:b/>
                <w:bCs/>
              </w:rPr>
            </w:pPr>
            <w:r w:rsidRPr="00394670">
              <w:rPr>
                <w:b/>
                <w:bCs/>
              </w:rPr>
              <w:t>Variables</w:t>
            </w:r>
          </w:p>
        </w:tc>
        <w:tc>
          <w:tcPr>
            <w:tcW w:w="0" w:type="auto"/>
            <w:tcBorders>
              <w:top w:val="single" w:sz="4" w:space="0" w:color="auto"/>
            </w:tcBorders>
            <w:shd w:val="clear" w:color="auto" w:fill="auto"/>
            <w:vAlign w:val="center"/>
          </w:tcPr>
          <w:p w14:paraId="37151690" w14:textId="77777777" w:rsidR="002D0DB0" w:rsidRPr="00394670" w:rsidRDefault="002D0DB0" w:rsidP="00F80D31">
            <w:pPr>
              <w:spacing w:after="0" w:line="240" w:lineRule="auto"/>
              <w:ind w:firstLine="0"/>
              <w:rPr>
                <w:b/>
                <w:bCs/>
              </w:rPr>
            </w:pPr>
            <w:r w:rsidRPr="00394670">
              <w:rPr>
                <w:b/>
                <w:bCs/>
              </w:rPr>
              <w:t>Colombianos/as</w:t>
            </w:r>
          </w:p>
        </w:tc>
        <w:tc>
          <w:tcPr>
            <w:tcW w:w="0" w:type="auto"/>
            <w:tcBorders>
              <w:top w:val="single" w:sz="4" w:space="0" w:color="auto"/>
            </w:tcBorders>
            <w:shd w:val="clear" w:color="auto" w:fill="auto"/>
            <w:vAlign w:val="center"/>
          </w:tcPr>
          <w:p w14:paraId="3F0F75BE" w14:textId="77777777" w:rsidR="002D0DB0" w:rsidRPr="00394670" w:rsidRDefault="002D0DB0" w:rsidP="00F80D31">
            <w:pPr>
              <w:spacing w:after="0" w:line="240" w:lineRule="auto"/>
              <w:ind w:firstLine="0"/>
              <w:rPr>
                <w:b/>
                <w:bCs/>
                <w:iCs/>
              </w:rPr>
            </w:pPr>
            <w:r w:rsidRPr="00394670">
              <w:rPr>
                <w:b/>
                <w:bCs/>
                <w:iCs/>
              </w:rPr>
              <w:t>Venezolanos/as</w:t>
            </w:r>
          </w:p>
        </w:tc>
      </w:tr>
      <w:tr w:rsidR="002D0DB0" w:rsidRPr="00394670" w14:paraId="2EB32D23" w14:textId="77777777" w:rsidTr="002D0DB0">
        <w:trPr>
          <w:trHeight w:val="191"/>
        </w:trPr>
        <w:tc>
          <w:tcPr>
            <w:tcW w:w="0" w:type="auto"/>
            <w:vMerge/>
            <w:tcBorders>
              <w:bottom w:val="single" w:sz="4" w:space="0" w:color="auto"/>
            </w:tcBorders>
            <w:shd w:val="clear" w:color="auto" w:fill="auto"/>
            <w:vAlign w:val="center"/>
          </w:tcPr>
          <w:p w14:paraId="53173480" w14:textId="77777777" w:rsidR="002D0DB0" w:rsidRPr="00394670" w:rsidRDefault="002D0DB0" w:rsidP="00F80D31">
            <w:pPr>
              <w:spacing w:after="0" w:line="240" w:lineRule="auto"/>
              <w:ind w:firstLine="0"/>
              <w:rPr>
                <w:b/>
                <w:bCs/>
              </w:rPr>
            </w:pPr>
          </w:p>
        </w:tc>
        <w:tc>
          <w:tcPr>
            <w:tcW w:w="0" w:type="auto"/>
            <w:tcBorders>
              <w:bottom w:val="single" w:sz="4" w:space="0" w:color="auto"/>
            </w:tcBorders>
            <w:shd w:val="clear" w:color="auto" w:fill="auto"/>
            <w:vAlign w:val="center"/>
          </w:tcPr>
          <w:p w14:paraId="3C45EA51" w14:textId="77777777" w:rsidR="002D0DB0" w:rsidRPr="00394670" w:rsidRDefault="002D0DB0" w:rsidP="00F80D31">
            <w:pPr>
              <w:spacing w:after="0" w:line="240" w:lineRule="auto"/>
              <w:ind w:firstLine="0"/>
              <w:rPr>
                <w:b/>
                <w:bCs/>
                <w:i/>
                <w:iCs/>
              </w:rPr>
            </w:pPr>
            <w:r w:rsidRPr="00394670">
              <w:rPr>
                <w:b/>
                <w:bCs/>
                <w:i/>
                <w:iCs/>
              </w:rPr>
              <w:t xml:space="preserve">n </w:t>
            </w:r>
            <w:r w:rsidRPr="00394670">
              <w:rPr>
                <w:b/>
                <w:bCs/>
              </w:rPr>
              <w:t>(%)</w:t>
            </w:r>
          </w:p>
        </w:tc>
        <w:tc>
          <w:tcPr>
            <w:tcW w:w="0" w:type="auto"/>
            <w:tcBorders>
              <w:bottom w:val="single" w:sz="4" w:space="0" w:color="auto"/>
            </w:tcBorders>
            <w:shd w:val="clear" w:color="auto" w:fill="auto"/>
            <w:vAlign w:val="center"/>
          </w:tcPr>
          <w:p w14:paraId="613AFAC4" w14:textId="77777777" w:rsidR="002D0DB0" w:rsidRPr="00394670" w:rsidRDefault="002D0DB0" w:rsidP="00F80D31">
            <w:pPr>
              <w:spacing w:after="0" w:line="240" w:lineRule="auto"/>
              <w:ind w:firstLine="0"/>
              <w:rPr>
                <w:b/>
                <w:bCs/>
                <w:i/>
                <w:iCs/>
              </w:rPr>
            </w:pPr>
            <w:r w:rsidRPr="00394670">
              <w:rPr>
                <w:b/>
                <w:bCs/>
                <w:i/>
                <w:iCs/>
              </w:rPr>
              <w:t xml:space="preserve">n </w:t>
            </w:r>
            <w:r w:rsidRPr="00394670">
              <w:rPr>
                <w:b/>
                <w:bCs/>
              </w:rPr>
              <w:t>(%)</w:t>
            </w:r>
          </w:p>
        </w:tc>
      </w:tr>
      <w:tr w:rsidR="00051305" w:rsidRPr="00394670" w14:paraId="6F052B1A" w14:textId="77777777" w:rsidTr="002D0DB0">
        <w:trPr>
          <w:trHeight w:val="605"/>
        </w:trPr>
        <w:tc>
          <w:tcPr>
            <w:tcW w:w="0" w:type="auto"/>
            <w:tcBorders>
              <w:top w:val="single" w:sz="4" w:space="0" w:color="auto"/>
            </w:tcBorders>
            <w:shd w:val="clear" w:color="auto" w:fill="auto"/>
            <w:vAlign w:val="center"/>
          </w:tcPr>
          <w:p w14:paraId="2AD75BD4" w14:textId="77777777" w:rsidR="00051305" w:rsidRPr="00394670" w:rsidRDefault="00051305" w:rsidP="00F80D31">
            <w:pPr>
              <w:spacing w:after="0" w:line="240" w:lineRule="auto"/>
              <w:ind w:firstLine="0"/>
            </w:pPr>
            <w:r w:rsidRPr="00394670">
              <w:t>Sexo</w:t>
            </w:r>
          </w:p>
          <w:p w14:paraId="22EA8BC4" w14:textId="77777777" w:rsidR="00051305" w:rsidRPr="00394670" w:rsidRDefault="00051305" w:rsidP="00F80D31">
            <w:pPr>
              <w:spacing w:after="0" w:line="240" w:lineRule="auto"/>
              <w:ind w:firstLine="0"/>
            </w:pPr>
            <w:r w:rsidRPr="00394670">
              <w:t xml:space="preserve">     Hombre</w:t>
            </w:r>
          </w:p>
          <w:p w14:paraId="1B009714" w14:textId="77777777" w:rsidR="00051305" w:rsidRPr="00394670" w:rsidRDefault="00051305" w:rsidP="00F80D31">
            <w:pPr>
              <w:spacing w:after="0" w:line="240" w:lineRule="auto"/>
              <w:ind w:firstLine="0"/>
            </w:pPr>
            <w:r w:rsidRPr="00394670">
              <w:t xml:space="preserve">     Mujer</w:t>
            </w:r>
          </w:p>
        </w:tc>
        <w:tc>
          <w:tcPr>
            <w:tcW w:w="0" w:type="auto"/>
            <w:tcBorders>
              <w:top w:val="single" w:sz="4" w:space="0" w:color="auto"/>
            </w:tcBorders>
            <w:shd w:val="clear" w:color="auto" w:fill="auto"/>
            <w:vAlign w:val="center"/>
          </w:tcPr>
          <w:p w14:paraId="00B08893" w14:textId="77777777" w:rsidR="00051305" w:rsidRPr="00394670" w:rsidRDefault="00051305" w:rsidP="00F80D31">
            <w:pPr>
              <w:spacing w:after="0" w:line="240" w:lineRule="auto"/>
              <w:ind w:firstLine="0"/>
            </w:pPr>
          </w:p>
          <w:p w14:paraId="0F742C9F" w14:textId="77777777" w:rsidR="00051305" w:rsidRPr="00394670" w:rsidRDefault="00877137" w:rsidP="00F80D31">
            <w:pPr>
              <w:spacing w:after="0" w:line="240" w:lineRule="auto"/>
              <w:ind w:firstLine="0"/>
            </w:pPr>
            <w:r w:rsidRPr="00394670">
              <w:t>393</w:t>
            </w:r>
            <w:r w:rsidR="00051305" w:rsidRPr="00394670">
              <w:t xml:space="preserve"> (</w:t>
            </w:r>
            <w:r w:rsidRPr="00394670">
              <w:t>51</w:t>
            </w:r>
            <w:r w:rsidR="00051305" w:rsidRPr="00394670">
              <w:t>)</w:t>
            </w:r>
          </w:p>
          <w:p w14:paraId="76E09299" w14:textId="77777777" w:rsidR="00051305" w:rsidRPr="00394670" w:rsidRDefault="00877137" w:rsidP="00F80D31">
            <w:pPr>
              <w:spacing w:after="0" w:line="240" w:lineRule="auto"/>
              <w:ind w:firstLine="0"/>
            </w:pPr>
            <w:r w:rsidRPr="00394670">
              <w:t>377</w:t>
            </w:r>
            <w:r w:rsidR="00051305" w:rsidRPr="00394670">
              <w:t xml:space="preserve"> (</w:t>
            </w:r>
            <w:r w:rsidRPr="00394670">
              <w:t>49</w:t>
            </w:r>
            <w:r w:rsidR="00051305" w:rsidRPr="00394670">
              <w:t>)</w:t>
            </w:r>
          </w:p>
        </w:tc>
        <w:tc>
          <w:tcPr>
            <w:tcW w:w="0" w:type="auto"/>
            <w:tcBorders>
              <w:top w:val="single" w:sz="4" w:space="0" w:color="auto"/>
            </w:tcBorders>
            <w:shd w:val="clear" w:color="auto" w:fill="auto"/>
            <w:vAlign w:val="center"/>
          </w:tcPr>
          <w:p w14:paraId="2064DDD3" w14:textId="77777777" w:rsidR="00051305" w:rsidRPr="00394670" w:rsidRDefault="00051305" w:rsidP="00F80D31">
            <w:pPr>
              <w:spacing w:after="0" w:line="240" w:lineRule="auto"/>
              <w:ind w:firstLine="0"/>
            </w:pPr>
          </w:p>
          <w:p w14:paraId="589EA89D" w14:textId="77777777" w:rsidR="00051305" w:rsidRPr="00394670" w:rsidRDefault="00051305" w:rsidP="00F80D31">
            <w:pPr>
              <w:spacing w:after="0" w:line="240" w:lineRule="auto"/>
              <w:ind w:firstLine="0"/>
            </w:pPr>
            <w:r w:rsidRPr="00394670">
              <w:t>1</w:t>
            </w:r>
            <w:r w:rsidR="00621A5D" w:rsidRPr="00394670">
              <w:t>41</w:t>
            </w:r>
            <w:r w:rsidRPr="00394670">
              <w:t xml:space="preserve"> (</w:t>
            </w:r>
            <w:r w:rsidR="00621A5D" w:rsidRPr="00394670">
              <w:t>45.9</w:t>
            </w:r>
            <w:r w:rsidRPr="00394670">
              <w:t>)</w:t>
            </w:r>
          </w:p>
          <w:p w14:paraId="59B77B61" w14:textId="77777777" w:rsidR="00051305" w:rsidRPr="00394670" w:rsidRDefault="00051305" w:rsidP="00F80D31">
            <w:pPr>
              <w:spacing w:after="0" w:line="240" w:lineRule="auto"/>
              <w:ind w:firstLine="0"/>
            </w:pPr>
            <w:r w:rsidRPr="00394670">
              <w:t>1</w:t>
            </w:r>
            <w:r w:rsidR="00621A5D" w:rsidRPr="00394670">
              <w:t>66</w:t>
            </w:r>
            <w:r w:rsidRPr="00394670">
              <w:t xml:space="preserve"> (</w:t>
            </w:r>
            <w:r w:rsidR="00621A5D" w:rsidRPr="00394670">
              <w:t>54.1</w:t>
            </w:r>
            <w:r w:rsidRPr="00394670">
              <w:t>)</w:t>
            </w:r>
          </w:p>
        </w:tc>
      </w:tr>
      <w:tr w:rsidR="00051305" w:rsidRPr="00394670" w14:paraId="60D24626" w14:textId="77777777" w:rsidTr="002D0DB0">
        <w:trPr>
          <w:trHeight w:val="1412"/>
        </w:trPr>
        <w:tc>
          <w:tcPr>
            <w:tcW w:w="0" w:type="auto"/>
            <w:tcBorders>
              <w:bottom w:val="single" w:sz="4" w:space="0" w:color="auto"/>
            </w:tcBorders>
            <w:shd w:val="clear" w:color="auto" w:fill="auto"/>
            <w:vAlign w:val="center"/>
          </w:tcPr>
          <w:p w14:paraId="34536FBE" w14:textId="77777777" w:rsidR="00051305" w:rsidRPr="00394670" w:rsidRDefault="00051305" w:rsidP="00F80D31">
            <w:pPr>
              <w:spacing w:after="0" w:line="240" w:lineRule="auto"/>
              <w:ind w:firstLine="0"/>
            </w:pPr>
            <w:r w:rsidRPr="00394670">
              <w:t xml:space="preserve">Fenotipo </w:t>
            </w:r>
            <w:proofErr w:type="spellStart"/>
            <w:r w:rsidRPr="00394670">
              <w:t>autopercibido</w:t>
            </w:r>
            <w:proofErr w:type="spellEnd"/>
            <w:r w:rsidRPr="00394670">
              <w:t>*</w:t>
            </w:r>
          </w:p>
          <w:p w14:paraId="7FF2AA0E" w14:textId="77777777" w:rsidR="00051305" w:rsidRPr="00394670" w:rsidRDefault="00051305" w:rsidP="00F80D31">
            <w:pPr>
              <w:spacing w:after="0" w:line="240" w:lineRule="auto"/>
              <w:ind w:firstLine="0"/>
            </w:pPr>
            <w:r w:rsidRPr="00394670">
              <w:t xml:space="preserve">     Blanco/Caucásico</w:t>
            </w:r>
          </w:p>
          <w:p w14:paraId="1B72D9B8" w14:textId="77777777" w:rsidR="00051305" w:rsidRPr="00394670" w:rsidRDefault="00051305" w:rsidP="00F80D31">
            <w:pPr>
              <w:spacing w:after="0" w:line="240" w:lineRule="auto"/>
              <w:ind w:firstLine="0"/>
            </w:pPr>
            <w:r w:rsidRPr="00394670">
              <w:t xml:space="preserve">     De pueblos indígenas (originarios)</w:t>
            </w:r>
          </w:p>
          <w:p w14:paraId="20171A6C" w14:textId="77777777" w:rsidR="00051305" w:rsidRPr="00394670" w:rsidRDefault="00051305" w:rsidP="00F80D31">
            <w:pPr>
              <w:spacing w:after="0" w:line="240" w:lineRule="auto"/>
              <w:ind w:firstLine="0"/>
            </w:pPr>
            <w:r w:rsidRPr="00394670">
              <w:t xml:space="preserve">     Mestizo</w:t>
            </w:r>
          </w:p>
          <w:p w14:paraId="315D6C04" w14:textId="77777777" w:rsidR="00051305" w:rsidRPr="00394670" w:rsidRDefault="00051305" w:rsidP="00F80D31">
            <w:pPr>
              <w:spacing w:after="0" w:line="240" w:lineRule="auto"/>
              <w:ind w:firstLine="0"/>
            </w:pPr>
            <w:r w:rsidRPr="00394670">
              <w:t xml:space="preserve">     Negro (afrodescendiente)</w:t>
            </w:r>
          </w:p>
          <w:p w14:paraId="68059391" w14:textId="77777777" w:rsidR="00051305" w:rsidRPr="00394670" w:rsidRDefault="00051305" w:rsidP="00F80D31">
            <w:pPr>
              <w:spacing w:after="0" w:line="240" w:lineRule="auto"/>
              <w:ind w:firstLine="0"/>
            </w:pPr>
            <w:r w:rsidRPr="00394670">
              <w:t xml:space="preserve">     Mulato</w:t>
            </w:r>
          </w:p>
          <w:p w14:paraId="38FB11C5" w14:textId="77777777" w:rsidR="00051305" w:rsidRPr="00394670" w:rsidRDefault="00051305" w:rsidP="00F80D31">
            <w:pPr>
              <w:spacing w:after="0" w:line="240" w:lineRule="auto"/>
              <w:ind w:firstLine="0"/>
            </w:pPr>
            <w:r w:rsidRPr="00394670">
              <w:t xml:space="preserve">     Otro</w:t>
            </w:r>
          </w:p>
        </w:tc>
        <w:tc>
          <w:tcPr>
            <w:tcW w:w="0" w:type="auto"/>
            <w:tcBorders>
              <w:bottom w:val="single" w:sz="4" w:space="0" w:color="auto"/>
            </w:tcBorders>
            <w:shd w:val="clear" w:color="auto" w:fill="auto"/>
            <w:vAlign w:val="center"/>
          </w:tcPr>
          <w:p w14:paraId="12E58238" w14:textId="77777777" w:rsidR="00051305" w:rsidRPr="00394670" w:rsidRDefault="00051305" w:rsidP="00F80D31">
            <w:pPr>
              <w:spacing w:after="0" w:line="240" w:lineRule="auto"/>
              <w:ind w:firstLine="0"/>
            </w:pPr>
          </w:p>
          <w:p w14:paraId="09C1550C" w14:textId="77777777" w:rsidR="00051305" w:rsidRPr="00394670" w:rsidRDefault="00051305" w:rsidP="00F80D31">
            <w:pPr>
              <w:spacing w:after="0" w:line="240" w:lineRule="auto"/>
              <w:ind w:firstLine="0"/>
            </w:pPr>
            <w:r w:rsidRPr="00394670">
              <w:t>1</w:t>
            </w:r>
            <w:r w:rsidR="00993EC2" w:rsidRPr="00394670">
              <w:t>72</w:t>
            </w:r>
            <w:r w:rsidRPr="00394670">
              <w:t xml:space="preserve"> (2</w:t>
            </w:r>
            <w:r w:rsidR="00993EC2" w:rsidRPr="00394670">
              <w:t>3</w:t>
            </w:r>
            <w:r w:rsidRPr="00394670">
              <w:t>.</w:t>
            </w:r>
            <w:r w:rsidR="00993EC2" w:rsidRPr="00394670">
              <w:t>1</w:t>
            </w:r>
            <w:r w:rsidRPr="00394670">
              <w:t>)</w:t>
            </w:r>
          </w:p>
          <w:p w14:paraId="58E85166" w14:textId="77777777" w:rsidR="00051305" w:rsidRPr="00394670" w:rsidRDefault="00051305" w:rsidP="00F80D31">
            <w:pPr>
              <w:spacing w:after="0" w:line="240" w:lineRule="auto"/>
              <w:ind w:firstLine="0"/>
            </w:pPr>
            <w:r w:rsidRPr="00394670">
              <w:t>3</w:t>
            </w:r>
            <w:r w:rsidR="00993EC2" w:rsidRPr="00394670">
              <w:t>1</w:t>
            </w:r>
            <w:r w:rsidRPr="00394670">
              <w:t xml:space="preserve"> (4.</w:t>
            </w:r>
            <w:r w:rsidR="00993EC2" w:rsidRPr="00394670">
              <w:t>2</w:t>
            </w:r>
            <w:r w:rsidRPr="00394670">
              <w:t>)</w:t>
            </w:r>
          </w:p>
          <w:p w14:paraId="63879E0E" w14:textId="77777777" w:rsidR="00051305" w:rsidRPr="00394670" w:rsidRDefault="00993EC2" w:rsidP="00F80D31">
            <w:pPr>
              <w:spacing w:after="0" w:line="240" w:lineRule="auto"/>
              <w:ind w:firstLine="0"/>
            </w:pPr>
            <w:r w:rsidRPr="00394670">
              <w:t>192</w:t>
            </w:r>
            <w:r w:rsidR="00051305" w:rsidRPr="00394670">
              <w:t xml:space="preserve"> (2</w:t>
            </w:r>
            <w:r w:rsidRPr="00394670">
              <w:t>5</w:t>
            </w:r>
            <w:r w:rsidR="00051305" w:rsidRPr="00394670">
              <w:t>.</w:t>
            </w:r>
            <w:r w:rsidRPr="00394670">
              <w:t>7</w:t>
            </w:r>
            <w:r w:rsidR="00051305" w:rsidRPr="00394670">
              <w:t>)</w:t>
            </w:r>
          </w:p>
          <w:p w14:paraId="64C75D6B" w14:textId="77777777" w:rsidR="00051305" w:rsidRPr="00394670" w:rsidRDefault="00993EC2" w:rsidP="00F80D31">
            <w:pPr>
              <w:spacing w:after="0" w:line="240" w:lineRule="auto"/>
              <w:ind w:firstLine="0"/>
            </w:pPr>
            <w:r w:rsidRPr="00394670">
              <w:t>177</w:t>
            </w:r>
            <w:r w:rsidR="00051305" w:rsidRPr="00394670">
              <w:t xml:space="preserve"> (23.</w:t>
            </w:r>
            <w:r w:rsidRPr="00394670">
              <w:t>7</w:t>
            </w:r>
            <w:r w:rsidR="00051305" w:rsidRPr="00394670">
              <w:t>)</w:t>
            </w:r>
          </w:p>
          <w:p w14:paraId="4F57C602" w14:textId="77777777" w:rsidR="00051305" w:rsidRPr="00394670" w:rsidRDefault="00993EC2" w:rsidP="00F80D31">
            <w:pPr>
              <w:spacing w:after="0" w:line="240" w:lineRule="auto"/>
              <w:ind w:firstLine="0"/>
            </w:pPr>
            <w:r w:rsidRPr="00394670">
              <w:t>142</w:t>
            </w:r>
            <w:r w:rsidR="00051305" w:rsidRPr="00394670">
              <w:t xml:space="preserve"> (</w:t>
            </w:r>
            <w:r w:rsidRPr="00394670">
              <w:t>19</w:t>
            </w:r>
            <w:r w:rsidR="00051305" w:rsidRPr="00394670">
              <w:t>)</w:t>
            </w:r>
          </w:p>
          <w:p w14:paraId="75542965" w14:textId="77777777" w:rsidR="00051305" w:rsidRPr="00394670" w:rsidRDefault="00051305" w:rsidP="00F80D31">
            <w:pPr>
              <w:spacing w:after="0" w:line="240" w:lineRule="auto"/>
              <w:ind w:firstLine="0"/>
            </w:pPr>
            <w:r w:rsidRPr="00394670">
              <w:t>1</w:t>
            </w:r>
            <w:r w:rsidR="00993EC2" w:rsidRPr="00394670">
              <w:t>0</w:t>
            </w:r>
            <w:r w:rsidRPr="00394670">
              <w:t xml:space="preserve"> (1.</w:t>
            </w:r>
            <w:r w:rsidR="00993EC2" w:rsidRPr="00394670">
              <w:t>3</w:t>
            </w:r>
            <w:r w:rsidRPr="00394670">
              <w:t>)</w:t>
            </w:r>
          </w:p>
        </w:tc>
        <w:tc>
          <w:tcPr>
            <w:tcW w:w="0" w:type="auto"/>
            <w:tcBorders>
              <w:bottom w:val="single" w:sz="4" w:space="0" w:color="auto"/>
            </w:tcBorders>
            <w:shd w:val="clear" w:color="auto" w:fill="auto"/>
            <w:vAlign w:val="center"/>
          </w:tcPr>
          <w:p w14:paraId="38C4EC65" w14:textId="77777777" w:rsidR="00051305" w:rsidRPr="00394670" w:rsidRDefault="00051305" w:rsidP="00F80D31">
            <w:pPr>
              <w:spacing w:after="0" w:line="240" w:lineRule="auto"/>
              <w:ind w:firstLine="0"/>
            </w:pPr>
          </w:p>
          <w:p w14:paraId="75ADBD53" w14:textId="77777777" w:rsidR="00051305" w:rsidRPr="00394670" w:rsidRDefault="00051305" w:rsidP="00F80D31">
            <w:pPr>
              <w:spacing w:after="0" w:line="240" w:lineRule="auto"/>
              <w:ind w:firstLine="0"/>
            </w:pPr>
            <w:r w:rsidRPr="00394670">
              <w:t>6</w:t>
            </w:r>
            <w:r w:rsidR="00C43D6E" w:rsidRPr="00394670">
              <w:t>7</w:t>
            </w:r>
            <w:r w:rsidRPr="00394670">
              <w:t xml:space="preserve"> (21.</w:t>
            </w:r>
            <w:r w:rsidR="00C43D6E" w:rsidRPr="00394670">
              <w:t>8</w:t>
            </w:r>
            <w:r w:rsidRPr="00394670">
              <w:t>)</w:t>
            </w:r>
          </w:p>
          <w:p w14:paraId="254502CE" w14:textId="77777777" w:rsidR="00051305" w:rsidRPr="00394670" w:rsidRDefault="00051305" w:rsidP="00F80D31">
            <w:pPr>
              <w:spacing w:after="0" w:line="240" w:lineRule="auto"/>
              <w:ind w:firstLine="0"/>
            </w:pPr>
            <w:r w:rsidRPr="00394670">
              <w:t>3 (0.9)</w:t>
            </w:r>
          </w:p>
          <w:p w14:paraId="638950CE" w14:textId="77777777" w:rsidR="00051305" w:rsidRPr="00394670" w:rsidRDefault="00C43D6E" w:rsidP="00F80D31">
            <w:pPr>
              <w:spacing w:after="0" w:line="240" w:lineRule="auto"/>
              <w:ind w:firstLine="0"/>
            </w:pPr>
            <w:r w:rsidRPr="00394670">
              <w:t>47</w:t>
            </w:r>
            <w:r w:rsidR="00051305" w:rsidRPr="00394670">
              <w:t xml:space="preserve"> (15.</w:t>
            </w:r>
            <w:r w:rsidRPr="00394670">
              <w:t>3</w:t>
            </w:r>
            <w:r w:rsidR="00051305" w:rsidRPr="00394670">
              <w:t>)</w:t>
            </w:r>
          </w:p>
          <w:p w14:paraId="25EDE2FA" w14:textId="77777777" w:rsidR="00051305" w:rsidRPr="00394670" w:rsidRDefault="00051305" w:rsidP="00F80D31">
            <w:pPr>
              <w:spacing w:after="0" w:line="240" w:lineRule="auto"/>
              <w:ind w:firstLine="0"/>
            </w:pPr>
            <w:r w:rsidRPr="00394670">
              <w:t>14 (4.3)</w:t>
            </w:r>
          </w:p>
          <w:p w14:paraId="32295921" w14:textId="77777777" w:rsidR="00051305" w:rsidRPr="00394670" w:rsidRDefault="00051305" w:rsidP="00F80D31">
            <w:pPr>
              <w:spacing w:after="0" w:line="240" w:lineRule="auto"/>
              <w:ind w:firstLine="0"/>
            </w:pPr>
            <w:r w:rsidRPr="00394670">
              <w:t>1</w:t>
            </w:r>
            <w:r w:rsidR="00C43D6E" w:rsidRPr="00394670">
              <w:t>6</w:t>
            </w:r>
            <w:r w:rsidRPr="00394670">
              <w:t>7 (54.</w:t>
            </w:r>
            <w:r w:rsidR="00C43D6E" w:rsidRPr="00394670">
              <w:t>4</w:t>
            </w:r>
            <w:r w:rsidRPr="00394670">
              <w:t>)</w:t>
            </w:r>
          </w:p>
          <w:p w14:paraId="774D0553" w14:textId="77777777" w:rsidR="00051305" w:rsidRPr="00394670" w:rsidRDefault="00C43D6E" w:rsidP="00F80D31">
            <w:pPr>
              <w:spacing w:after="0" w:line="240" w:lineRule="auto"/>
              <w:ind w:firstLine="0"/>
            </w:pPr>
            <w:r w:rsidRPr="00394670">
              <w:t>9</w:t>
            </w:r>
            <w:r w:rsidR="00051305" w:rsidRPr="00394670">
              <w:t xml:space="preserve"> (</w:t>
            </w:r>
            <w:r w:rsidRPr="00394670">
              <w:t>2</w:t>
            </w:r>
            <w:r w:rsidR="00051305" w:rsidRPr="00394670">
              <w:t>.</w:t>
            </w:r>
            <w:r w:rsidRPr="00394670">
              <w:t>9</w:t>
            </w:r>
            <w:r w:rsidR="00051305" w:rsidRPr="00394670">
              <w:t>)</w:t>
            </w:r>
          </w:p>
        </w:tc>
      </w:tr>
      <w:tr w:rsidR="002A3E00" w:rsidRPr="00394670" w14:paraId="50AF2E8D" w14:textId="77777777" w:rsidTr="002D0DB0">
        <w:trPr>
          <w:trHeight w:val="125"/>
        </w:trPr>
        <w:tc>
          <w:tcPr>
            <w:tcW w:w="0" w:type="auto"/>
            <w:tcBorders>
              <w:top w:val="single" w:sz="4" w:space="0" w:color="auto"/>
              <w:bottom w:val="single" w:sz="4" w:space="0" w:color="auto"/>
            </w:tcBorders>
            <w:shd w:val="clear" w:color="auto" w:fill="auto"/>
            <w:vAlign w:val="center"/>
          </w:tcPr>
          <w:p w14:paraId="7DDA0986" w14:textId="77777777" w:rsidR="002A3E00" w:rsidRPr="00394670" w:rsidRDefault="002A3E00" w:rsidP="00F80D31">
            <w:pPr>
              <w:spacing w:after="0" w:line="240" w:lineRule="auto"/>
              <w:ind w:firstLine="0"/>
            </w:pPr>
          </w:p>
        </w:tc>
        <w:tc>
          <w:tcPr>
            <w:tcW w:w="0" w:type="auto"/>
            <w:tcBorders>
              <w:top w:val="single" w:sz="4" w:space="0" w:color="auto"/>
              <w:bottom w:val="single" w:sz="4" w:space="0" w:color="auto"/>
            </w:tcBorders>
            <w:shd w:val="clear" w:color="auto" w:fill="auto"/>
            <w:vAlign w:val="center"/>
          </w:tcPr>
          <w:p w14:paraId="30AC6533" w14:textId="77777777" w:rsidR="002A3E00" w:rsidRPr="00394670" w:rsidRDefault="002A3E00" w:rsidP="00F80D31">
            <w:pPr>
              <w:spacing w:after="0" w:line="240" w:lineRule="auto"/>
              <w:ind w:firstLine="0"/>
              <w:rPr>
                <w:b/>
              </w:rPr>
            </w:pPr>
            <w:r w:rsidRPr="00394670">
              <w:rPr>
                <w:b/>
                <w:i/>
              </w:rPr>
              <w:t>ME</w:t>
            </w:r>
            <w:r w:rsidRPr="00394670">
              <w:rPr>
                <w:b/>
              </w:rPr>
              <w:t xml:space="preserve"> (</w:t>
            </w:r>
            <w:r w:rsidRPr="00394670">
              <w:rPr>
                <w:b/>
                <w:i/>
              </w:rPr>
              <w:t>DT</w:t>
            </w:r>
            <w:r w:rsidRPr="00394670">
              <w:rPr>
                <w:b/>
              </w:rPr>
              <w:t>)</w:t>
            </w:r>
          </w:p>
        </w:tc>
        <w:tc>
          <w:tcPr>
            <w:tcW w:w="0" w:type="auto"/>
            <w:tcBorders>
              <w:top w:val="single" w:sz="4" w:space="0" w:color="auto"/>
              <w:bottom w:val="single" w:sz="4" w:space="0" w:color="auto"/>
            </w:tcBorders>
            <w:shd w:val="clear" w:color="auto" w:fill="auto"/>
            <w:vAlign w:val="center"/>
          </w:tcPr>
          <w:p w14:paraId="60B31165" w14:textId="77777777" w:rsidR="002A3E00" w:rsidRPr="00394670" w:rsidRDefault="002A3E00" w:rsidP="00F80D31">
            <w:pPr>
              <w:spacing w:after="0" w:line="240" w:lineRule="auto"/>
              <w:ind w:firstLine="0"/>
              <w:rPr>
                <w:b/>
              </w:rPr>
            </w:pPr>
            <w:r w:rsidRPr="00394670">
              <w:rPr>
                <w:b/>
                <w:i/>
              </w:rPr>
              <w:t>ME</w:t>
            </w:r>
            <w:r w:rsidRPr="00394670">
              <w:rPr>
                <w:b/>
              </w:rPr>
              <w:t xml:space="preserve"> (</w:t>
            </w:r>
            <w:r w:rsidRPr="00394670">
              <w:rPr>
                <w:b/>
                <w:i/>
              </w:rPr>
              <w:t>DT</w:t>
            </w:r>
            <w:r w:rsidRPr="00394670">
              <w:rPr>
                <w:b/>
              </w:rPr>
              <w:t>)</w:t>
            </w:r>
          </w:p>
        </w:tc>
      </w:tr>
      <w:tr w:rsidR="002A3E00" w:rsidRPr="00394670" w14:paraId="6A234C74" w14:textId="77777777" w:rsidTr="002D0DB0">
        <w:trPr>
          <w:trHeight w:val="171"/>
        </w:trPr>
        <w:tc>
          <w:tcPr>
            <w:tcW w:w="0" w:type="auto"/>
            <w:tcBorders>
              <w:top w:val="single" w:sz="4" w:space="0" w:color="auto"/>
            </w:tcBorders>
            <w:shd w:val="clear" w:color="auto" w:fill="auto"/>
            <w:vAlign w:val="center"/>
          </w:tcPr>
          <w:p w14:paraId="6B99AF69" w14:textId="77777777" w:rsidR="002A3E00" w:rsidRPr="00394670" w:rsidRDefault="002A3E00" w:rsidP="00F80D31">
            <w:pPr>
              <w:spacing w:after="0" w:line="240" w:lineRule="auto"/>
              <w:ind w:firstLine="0"/>
            </w:pPr>
            <w:r w:rsidRPr="00394670">
              <w:t>Edad</w:t>
            </w:r>
          </w:p>
        </w:tc>
        <w:tc>
          <w:tcPr>
            <w:tcW w:w="0" w:type="auto"/>
            <w:tcBorders>
              <w:top w:val="single" w:sz="4" w:space="0" w:color="auto"/>
            </w:tcBorders>
            <w:shd w:val="clear" w:color="auto" w:fill="auto"/>
            <w:vAlign w:val="center"/>
          </w:tcPr>
          <w:p w14:paraId="01EB4755" w14:textId="77777777" w:rsidR="002A3E00" w:rsidRPr="00394670" w:rsidRDefault="002A3E00" w:rsidP="00F80D31">
            <w:pPr>
              <w:spacing w:after="0" w:line="240" w:lineRule="auto"/>
              <w:ind w:firstLine="0"/>
            </w:pPr>
            <w:r w:rsidRPr="00394670">
              <w:t>3</w:t>
            </w:r>
            <w:r w:rsidR="00877137" w:rsidRPr="00394670">
              <w:t>4</w:t>
            </w:r>
            <w:r w:rsidRPr="00394670">
              <w:t>.</w:t>
            </w:r>
            <w:r w:rsidR="00877137" w:rsidRPr="00394670">
              <w:t>95</w:t>
            </w:r>
            <w:r w:rsidRPr="00394670">
              <w:t xml:space="preserve"> (9.</w:t>
            </w:r>
            <w:r w:rsidR="00877137" w:rsidRPr="00394670">
              <w:t>84</w:t>
            </w:r>
            <w:r w:rsidRPr="00394670">
              <w:t>)</w:t>
            </w:r>
          </w:p>
        </w:tc>
        <w:tc>
          <w:tcPr>
            <w:tcW w:w="0" w:type="auto"/>
            <w:tcBorders>
              <w:top w:val="single" w:sz="4" w:space="0" w:color="auto"/>
            </w:tcBorders>
            <w:shd w:val="clear" w:color="auto" w:fill="auto"/>
            <w:vAlign w:val="center"/>
          </w:tcPr>
          <w:p w14:paraId="3A1C48D8" w14:textId="77777777" w:rsidR="002A3E00" w:rsidRPr="00394670" w:rsidRDefault="00621A5D" w:rsidP="00F80D31">
            <w:pPr>
              <w:spacing w:after="0" w:line="240" w:lineRule="auto"/>
              <w:ind w:firstLine="0"/>
            </w:pPr>
            <w:r w:rsidRPr="00394670">
              <w:t>32.57</w:t>
            </w:r>
            <w:r w:rsidR="002A3E00" w:rsidRPr="00394670">
              <w:t xml:space="preserve"> (9.3</w:t>
            </w:r>
            <w:r w:rsidRPr="00394670">
              <w:t>8</w:t>
            </w:r>
            <w:r w:rsidR="002A3E00" w:rsidRPr="00394670">
              <w:t>)</w:t>
            </w:r>
          </w:p>
        </w:tc>
      </w:tr>
      <w:tr w:rsidR="00051305" w:rsidRPr="00394670" w14:paraId="0C35592D" w14:textId="77777777" w:rsidTr="002D0DB0">
        <w:trPr>
          <w:trHeight w:val="201"/>
        </w:trPr>
        <w:tc>
          <w:tcPr>
            <w:tcW w:w="0" w:type="auto"/>
            <w:gridSpan w:val="3"/>
            <w:tcBorders>
              <w:top w:val="single" w:sz="4" w:space="0" w:color="auto"/>
            </w:tcBorders>
            <w:shd w:val="clear" w:color="auto" w:fill="auto"/>
            <w:vAlign w:val="center"/>
          </w:tcPr>
          <w:p w14:paraId="6738E1A5" w14:textId="77777777" w:rsidR="00051305" w:rsidRPr="00394670" w:rsidRDefault="00051305" w:rsidP="00F80D31">
            <w:pPr>
              <w:spacing w:after="0" w:line="240" w:lineRule="auto"/>
              <w:ind w:firstLine="0"/>
            </w:pPr>
            <w:r w:rsidRPr="00394670">
              <w:t xml:space="preserve">* </w:t>
            </w:r>
            <w:r w:rsidRPr="00394670">
              <w:rPr>
                <w:i/>
                <w:iCs/>
              </w:rPr>
              <w:t>Variables con datos perdidos.</w:t>
            </w:r>
          </w:p>
        </w:tc>
      </w:tr>
    </w:tbl>
    <w:p w14:paraId="75AACBD7" w14:textId="77777777" w:rsidR="00051305" w:rsidRPr="00394670" w:rsidRDefault="00051305" w:rsidP="00F80D31">
      <w:pPr>
        <w:spacing w:line="240" w:lineRule="auto"/>
        <w:ind w:firstLine="708"/>
      </w:pPr>
    </w:p>
    <w:p w14:paraId="345AF5A9" w14:textId="77777777" w:rsidR="007F6B33" w:rsidRPr="00394670" w:rsidRDefault="007F6B33" w:rsidP="00F80D31">
      <w:pPr>
        <w:spacing w:line="360" w:lineRule="auto"/>
        <w:ind w:firstLine="0"/>
        <w:rPr>
          <w:bCs/>
          <w:i/>
          <w:iCs/>
          <w:lang w:val="en-US"/>
        </w:rPr>
      </w:pPr>
      <w:proofErr w:type="spellStart"/>
      <w:r w:rsidRPr="00394670">
        <w:rPr>
          <w:bCs/>
          <w:i/>
          <w:iCs/>
          <w:lang w:val="en-US"/>
        </w:rPr>
        <w:t>Instrument</w:t>
      </w:r>
      <w:r w:rsidR="00A73AA8" w:rsidRPr="00394670">
        <w:rPr>
          <w:bCs/>
          <w:i/>
          <w:iCs/>
          <w:lang w:val="en-US"/>
        </w:rPr>
        <w:t>o</w:t>
      </w:r>
      <w:r w:rsidRPr="00394670">
        <w:rPr>
          <w:bCs/>
          <w:i/>
          <w:iCs/>
          <w:lang w:val="en-US"/>
        </w:rPr>
        <w:t>s</w:t>
      </w:r>
      <w:proofErr w:type="spellEnd"/>
    </w:p>
    <w:p w14:paraId="30BF1B1F" w14:textId="59F4AB9D" w:rsidR="00D06BCF" w:rsidRPr="00394670" w:rsidRDefault="00D06BCF" w:rsidP="00F80D31">
      <w:pPr>
        <w:spacing w:line="360" w:lineRule="auto"/>
        <w:rPr>
          <w:i/>
          <w:iCs/>
        </w:rPr>
      </w:pPr>
      <w:r w:rsidRPr="00394670">
        <w:rPr>
          <w:i/>
        </w:rPr>
        <w:lastRenderedPageBreak/>
        <w:t>Datos Sociodemográficos</w:t>
      </w:r>
      <w:r w:rsidRPr="00394670">
        <w:t xml:space="preserve">, esta sección recogió información acerca del sexo, edad, y fenotipo </w:t>
      </w:r>
      <w:proofErr w:type="spellStart"/>
      <w:r w:rsidRPr="00394670">
        <w:t>autopercibido</w:t>
      </w:r>
      <w:proofErr w:type="spellEnd"/>
      <w:r w:rsidRPr="00394670">
        <w:t xml:space="preserve"> de los participantes.</w:t>
      </w:r>
    </w:p>
    <w:p w14:paraId="208F264B" w14:textId="51B94185" w:rsidR="00C90ABB" w:rsidRPr="00394670" w:rsidRDefault="007F6B33" w:rsidP="00F80D31">
      <w:pPr>
        <w:spacing w:line="360" w:lineRule="auto"/>
      </w:pPr>
      <w:proofErr w:type="spellStart"/>
      <w:r w:rsidRPr="00394670">
        <w:rPr>
          <w:i/>
          <w:iCs/>
        </w:rPr>
        <w:t>Identity</w:t>
      </w:r>
      <w:proofErr w:type="spellEnd"/>
      <w:r w:rsidRPr="00394670">
        <w:rPr>
          <w:i/>
          <w:iCs/>
        </w:rPr>
        <w:t xml:space="preserve"> </w:t>
      </w:r>
      <w:proofErr w:type="spellStart"/>
      <w:r w:rsidRPr="00394670">
        <w:rPr>
          <w:i/>
          <w:iCs/>
        </w:rPr>
        <w:t>Fusion</w:t>
      </w:r>
      <w:proofErr w:type="spellEnd"/>
      <w:r w:rsidR="000F06E9" w:rsidRPr="00394670">
        <w:rPr>
          <w:i/>
          <w:iCs/>
        </w:rPr>
        <w:t>.</w:t>
      </w:r>
      <w:r w:rsidR="000F06E9" w:rsidRPr="00394670">
        <w:t xml:space="preserve"> </w:t>
      </w:r>
      <w:r w:rsidR="00B97209" w:rsidRPr="00394670">
        <w:t>Para medir la fusión de la identidad, se utilizó la escala verbal de fusión de identidad en su versión en español de 7 ítems (</w:t>
      </w:r>
      <w:proofErr w:type="spellStart"/>
      <w:r w:rsidR="00B97209" w:rsidRPr="00394670">
        <w:t>e.g</w:t>
      </w:r>
      <w:proofErr w:type="spellEnd"/>
      <w:r w:rsidR="00B97209" w:rsidRPr="00394670">
        <w:t xml:space="preserve">., "Yo soy uno con Venezuela", "Yo soy uno con Colombia") creada por Gómez, Brooks et al., (2011). </w:t>
      </w:r>
      <w:r w:rsidR="00B97209" w:rsidRPr="00394670">
        <w:rPr>
          <w:lang w:val="es-ES"/>
        </w:rPr>
        <w:t>El instrumento ha presentado puntuaciones válidas y fiables en población migrante en Chile (</w:t>
      </w:r>
      <w:r w:rsidR="00425A53">
        <w:t>Autores</w:t>
      </w:r>
      <w:r w:rsidR="00B97209" w:rsidRPr="00394670">
        <w:rPr>
          <w:lang w:val="es-ES"/>
        </w:rPr>
        <w:t xml:space="preserve">, 2019). </w:t>
      </w:r>
      <w:r w:rsidR="00C92388" w:rsidRPr="00394670">
        <w:rPr>
          <w:lang w:val="es-ES"/>
        </w:rPr>
        <w:t xml:space="preserve">En el primer estudio con colombianos, la escala se contestó </w:t>
      </w:r>
      <w:r w:rsidR="00B97209" w:rsidRPr="00394670">
        <w:rPr>
          <w:lang w:val="es-ES"/>
        </w:rPr>
        <w:t xml:space="preserve">en un formato de respuesta </w:t>
      </w:r>
      <w:r w:rsidR="00C92388" w:rsidRPr="00394670">
        <w:rPr>
          <w:lang w:val="es-ES"/>
        </w:rPr>
        <w:t xml:space="preserve">tipo </w:t>
      </w:r>
      <w:r w:rsidR="00B97209" w:rsidRPr="00394670">
        <w:rPr>
          <w:lang w:val="es-ES"/>
        </w:rPr>
        <w:t xml:space="preserve">Likert, con opciones que iban de </w:t>
      </w:r>
      <w:r w:rsidR="00C92388" w:rsidRPr="00394670">
        <w:rPr>
          <w:lang w:val="es-ES"/>
        </w:rPr>
        <w:t>0</w:t>
      </w:r>
      <w:r w:rsidR="00B97209" w:rsidRPr="00394670">
        <w:rPr>
          <w:lang w:val="es-ES"/>
        </w:rPr>
        <w:t xml:space="preserve"> (Totalmente en desacuerdo) a </w:t>
      </w:r>
      <w:r w:rsidR="00C92388" w:rsidRPr="00394670">
        <w:rPr>
          <w:lang w:val="es-ES"/>
        </w:rPr>
        <w:t>6</w:t>
      </w:r>
      <w:r w:rsidR="00B97209" w:rsidRPr="00394670">
        <w:rPr>
          <w:lang w:val="es-ES"/>
        </w:rPr>
        <w:t xml:space="preserve"> (Totalmente de acuerdo). </w:t>
      </w:r>
      <w:r w:rsidR="00C92388" w:rsidRPr="00394670">
        <w:rPr>
          <w:lang w:val="es-ES"/>
        </w:rPr>
        <w:t xml:space="preserve">En el segundo estudio con venezolanos, la escala se contestó en un formato de respuesta Likert, con opciones que iban de 1 (Totalmente en desacuerdo) a 5 (Totalmente de acuerdo). </w:t>
      </w:r>
      <w:r w:rsidR="00B97209" w:rsidRPr="00394670">
        <w:rPr>
          <w:lang w:val="es-ES"/>
        </w:rPr>
        <w:t>Las puntuaciones más altas reflejan un mayor nivel de fusión de la identidad.</w:t>
      </w:r>
      <w:r w:rsidR="00B97209" w:rsidRPr="00394670">
        <w:t xml:space="preserve"> </w:t>
      </w:r>
      <w:r w:rsidR="008C150B" w:rsidRPr="00394670">
        <w:t>En el estudio con muestra colombiana, la escala presentó</w:t>
      </w:r>
      <w:r w:rsidR="00B97209" w:rsidRPr="00394670">
        <w:t xml:space="preserve"> un coeficiente </w:t>
      </w:r>
      <w:proofErr w:type="spellStart"/>
      <w:r w:rsidR="00B97209" w:rsidRPr="00394670">
        <w:t>Alpha</w:t>
      </w:r>
      <w:proofErr w:type="spellEnd"/>
      <w:r w:rsidR="00B97209" w:rsidRPr="00394670">
        <w:t xml:space="preserve"> de </w:t>
      </w:r>
      <w:proofErr w:type="spellStart"/>
      <w:r w:rsidR="00B97209" w:rsidRPr="00394670">
        <w:t>Cronbach</w:t>
      </w:r>
      <w:proofErr w:type="spellEnd"/>
      <w:r w:rsidR="00B97209" w:rsidRPr="00394670">
        <w:t xml:space="preserve"> de .9</w:t>
      </w:r>
      <w:r w:rsidR="008C150B" w:rsidRPr="00394670">
        <w:t>4 para la fusión de identidad con Colombia y de .93 para la fusión de identidad con Chile</w:t>
      </w:r>
      <w:r w:rsidR="00B97209" w:rsidRPr="00394670">
        <w:t>.</w:t>
      </w:r>
      <w:r w:rsidR="008C150B" w:rsidRPr="00394670">
        <w:t xml:space="preserve"> En el caso del estudio con la muestra venezolana, la escala presentó un coeficiente </w:t>
      </w:r>
      <w:proofErr w:type="spellStart"/>
      <w:r w:rsidR="008C150B" w:rsidRPr="00394670">
        <w:t>Alpha</w:t>
      </w:r>
      <w:proofErr w:type="spellEnd"/>
      <w:r w:rsidR="008C150B" w:rsidRPr="00394670">
        <w:t xml:space="preserve"> de </w:t>
      </w:r>
      <w:proofErr w:type="spellStart"/>
      <w:r w:rsidR="008C150B" w:rsidRPr="00394670">
        <w:t>Cronbach</w:t>
      </w:r>
      <w:proofErr w:type="spellEnd"/>
      <w:r w:rsidR="008C150B" w:rsidRPr="00394670">
        <w:t xml:space="preserve"> de .95 para la fusión de identidad con Venezuela y de .90 para la fusión de identidad con Chile.</w:t>
      </w:r>
    </w:p>
    <w:p w14:paraId="2EBCD32E" w14:textId="77777777" w:rsidR="003A235D" w:rsidRPr="00394670" w:rsidRDefault="003A235D" w:rsidP="00F80D31">
      <w:pPr>
        <w:spacing w:line="360" w:lineRule="auto"/>
        <w:ind w:firstLine="0"/>
        <w:rPr>
          <w:b/>
        </w:rPr>
      </w:pPr>
      <w:r w:rsidRPr="00394670">
        <w:rPr>
          <w:b/>
        </w:rPr>
        <w:t>Proced</w:t>
      </w:r>
      <w:r w:rsidR="00EA4747" w:rsidRPr="00394670">
        <w:rPr>
          <w:b/>
        </w:rPr>
        <w:t>imiento</w:t>
      </w:r>
    </w:p>
    <w:p w14:paraId="1CFE4D93" w14:textId="77777777" w:rsidR="00A8439C" w:rsidRPr="00394670" w:rsidRDefault="00A8439C" w:rsidP="00F80D31">
      <w:pPr>
        <w:spacing w:line="360" w:lineRule="auto"/>
        <w:ind w:firstLine="708"/>
      </w:pPr>
      <w:r w:rsidRPr="00394670">
        <w:rPr>
          <w:lang w:val="es-ES"/>
        </w:rPr>
        <w:t xml:space="preserve">En el primer estudio los cuestionarios fueron aplicados en lugares de afluencia de extranjeros como Departamento de Extranjería y Migración, Servicio Jesuita Migrante, y otras zonas de encuentro de población migrante en las ciudades de Arica, Antofagasta y Santiago de Chile. </w:t>
      </w:r>
      <w:r w:rsidR="002373DB" w:rsidRPr="00394670">
        <w:rPr>
          <w:lang w:val="es-ES"/>
        </w:rPr>
        <w:t xml:space="preserve">Previo a la aplicación del cuestionario se les pidió a los encuestados firmar un consentimiento informado que autorizara el uso de sus respuestas para los propósitos de la investigación. </w:t>
      </w:r>
      <w:r w:rsidRPr="00394670">
        <w:rPr>
          <w:lang w:val="es-ES"/>
        </w:rPr>
        <w:t xml:space="preserve">Cada cuestionario fue contestado de manera individual en presencia de un encuestador con el fin de poder resolver cualquier duda respecto a la comprensión de los instrumentos. Los encuestadores fueron estudiantes </w:t>
      </w:r>
      <w:proofErr w:type="spellStart"/>
      <w:r w:rsidRPr="00394670">
        <w:rPr>
          <w:lang w:val="es-ES"/>
        </w:rPr>
        <w:t>tesistas</w:t>
      </w:r>
      <w:proofErr w:type="spellEnd"/>
      <w:r w:rsidRPr="00394670">
        <w:rPr>
          <w:lang w:val="es-ES"/>
        </w:rPr>
        <w:t xml:space="preserve"> de pregrado a quienes se les capacitó específicamente para la aplicación del instrumento.</w:t>
      </w:r>
    </w:p>
    <w:p w14:paraId="62F2CD47" w14:textId="77777777" w:rsidR="00A8439C" w:rsidRPr="00394670" w:rsidRDefault="00A8439C" w:rsidP="00F80D31">
      <w:pPr>
        <w:spacing w:line="360" w:lineRule="auto"/>
        <w:ind w:firstLine="708"/>
      </w:pPr>
      <w:r w:rsidRPr="00394670">
        <w:t>En el segundo estudio, l</w:t>
      </w:r>
      <w:r w:rsidR="00710C92" w:rsidRPr="00394670">
        <w:t>os participantes fueron reclutados de manera online</w:t>
      </w:r>
      <w:r w:rsidR="007756DC" w:rsidRPr="00394670">
        <w:t>.</w:t>
      </w:r>
      <w:r w:rsidR="00E9319C" w:rsidRPr="00394670">
        <w:t xml:space="preserve"> </w:t>
      </w:r>
      <w:r w:rsidR="007756DC" w:rsidRPr="00394670">
        <w:t>El cuestionario</w:t>
      </w:r>
      <w:r w:rsidR="007756DC" w:rsidRPr="00394670">
        <w:rPr>
          <w:i/>
          <w:iCs/>
        </w:rPr>
        <w:t xml:space="preserve"> </w:t>
      </w:r>
      <w:r w:rsidR="007756DC" w:rsidRPr="00394670">
        <w:t xml:space="preserve">se desarrolló en la plataforma Google </w:t>
      </w:r>
      <w:proofErr w:type="spellStart"/>
      <w:r w:rsidR="007756DC" w:rsidRPr="00394670">
        <w:t>Forms</w:t>
      </w:r>
      <w:proofErr w:type="spellEnd"/>
      <w:r w:rsidR="007756DC" w:rsidRPr="00394670">
        <w:t>, para luego ser compartido en</w:t>
      </w:r>
      <w:r w:rsidR="00B16265" w:rsidRPr="00394670">
        <w:t xml:space="preserve"> grupos de</w:t>
      </w:r>
      <w:r w:rsidR="007756DC" w:rsidRPr="00394670">
        <w:t xml:space="preserve"> </w:t>
      </w:r>
      <w:r w:rsidR="00D00CA6" w:rsidRPr="00394670">
        <w:t>páginas web</w:t>
      </w:r>
      <w:r w:rsidR="007756DC" w:rsidRPr="00394670">
        <w:t xml:space="preserve"> </w:t>
      </w:r>
      <w:r w:rsidR="00D00CA6" w:rsidRPr="00394670">
        <w:t>(</w:t>
      </w:r>
      <w:proofErr w:type="spellStart"/>
      <w:r w:rsidR="00D00CA6" w:rsidRPr="00394670">
        <w:t>e.g</w:t>
      </w:r>
      <w:proofErr w:type="spellEnd"/>
      <w:r w:rsidR="00D00CA6" w:rsidRPr="00394670">
        <w:t xml:space="preserve">., Facebook, Instagram, </w:t>
      </w:r>
      <w:proofErr w:type="spellStart"/>
      <w:r w:rsidR="00D00CA6" w:rsidRPr="00394670">
        <w:t>etc</w:t>
      </w:r>
      <w:proofErr w:type="spellEnd"/>
      <w:r w:rsidR="00D00CA6" w:rsidRPr="00394670">
        <w:t>) que podrían ser de interés para la población migrante</w:t>
      </w:r>
      <w:r w:rsidR="007756DC" w:rsidRPr="00394670">
        <w:t xml:space="preserve"> en Chile (</w:t>
      </w:r>
      <w:proofErr w:type="spellStart"/>
      <w:r w:rsidR="007756DC" w:rsidRPr="00394670">
        <w:t>e.g</w:t>
      </w:r>
      <w:proofErr w:type="spellEnd"/>
      <w:r w:rsidR="007756DC" w:rsidRPr="00394670">
        <w:t xml:space="preserve">. </w:t>
      </w:r>
      <w:r w:rsidR="00357099" w:rsidRPr="00394670">
        <w:t>‘</w:t>
      </w:r>
      <w:r w:rsidR="007756DC" w:rsidRPr="00394670">
        <w:t>Migrantes en Chile</w:t>
      </w:r>
      <w:r w:rsidR="00357099" w:rsidRPr="00394670">
        <w:t>’</w:t>
      </w:r>
      <w:r w:rsidR="007756DC" w:rsidRPr="00394670">
        <w:t xml:space="preserve">, </w:t>
      </w:r>
      <w:r w:rsidR="00357099" w:rsidRPr="00394670">
        <w:t>‘</w:t>
      </w:r>
      <w:r w:rsidR="007756DC" w:rsidRPr="00394670">
        <w:t>Comunidad Venezolana en Chile</w:t>
      </w:r>
      <w:r w:rsidR="00357099" w:rsidRPr="00394670">
        <w:t>’</w:t>
      </w:r>
      <w:r w:rsidR="007756DC" w:rsidRPr="00394670">
        <w:t xml:space="preserve">, </w:t>
      </w:r>
      <w:r w:rsidR="00357099" w:rsidRPr="00394670">
        <w:lastRenderedPageBreak/>
        <w:t>‘</w:t>
      </w:r>
      <w:r w:rsidR="007756DC" w:rsidRPr="00394670">
        <w:t>Trabajo para venezolanos en Chile</w:t>
      </w:r>
      <w:r w:rsidR="00357099" w:rsidRPr="00394670">
        <w:t>’</w:t>
      </w:r>
      <w:r w:rsidR="007756DC" w:rsidRPr="00394670">
        <w:t xml:space="preserve">). </w:t>
      </w:r>
      <w:r w:rsidR="00620969" w:rsidRPr="00394670">
        <w:t>Los usu</w:t>
      </w:r>
      <w:r w:rsidR="000C2BD5" w:rsidRPr="00394670">
        <w:t>arios interesados en participar</w:t>
      </w:r>
      <w:r w:rsidR="00620969" w:rsidRPr="00394670">
        <w:t xml:space="preserve"> entraban en el enlace publicado </w:t>
      </w:r>
      <w:r w:rsidR="000C2BD5" w:rsidRPr="00394670">
        <w:t xml:space="preserve">y </w:t>
      </w:r>
      <w:r w:rsidR="00620969" w:rsidRPr="00394670">
        <w:t xml:space="preserve">eran </w:t>
      </w:r>
      <w:r w:rsidR="000C2BD5" w:rsidRPr="00394670">
        <w:t>redirigidos</w:t>
      </w:r>
      <w:r w:rsidR="007756DC" w:rsidRPr="00394670">
        <w:t xml:space="preserve"> a una página de consentimiento informado. Si aceptaban el consentimiento, eran </w:t>
      </w:r>
      <w:r w:rsidR="000C2BD5" w:rsidRPr="00394670">
        <w:t>enviados a la plataforma del</w:t>
      </w:r>
      <w:r w:rsidR="007756DC" w:rsidRPr="00394670">
        <w:t xml:space="preserve"> cuestionario principal. </w:t>
      </w:r>
      <w:r w:rsidR="00D72767" w:rsidRPr="00394670">
        <w:t xml:space="preserve">Es importante recalcar </w:t>
      </w:r>
      <w:r w:rsidR="002373DB" w:rsidRPr="00394670">
        <w:t>que,</w:t>
      </w:r>
      <w:r w:rsidRPr="00394670">
        <w:t xml:space="preserve"> en el caso del segundo estudio, </w:t>
      </w:r>
      <w:r w:rsidR="00D72767" w:rsidRPr="00394670">
        <w:t xml:space="preserve">al momento del muestreo existían estrictas restricciones de contacto físico debido a la pandemia (COVID-19), por esta razón se hizo imposible complementar la muestra con cuestionarios tomados de manera presencial. </w:t>
      </w:r>
    </w:p>
    <w:p w14:paraId="17BA0492" w14:textId="77777777" w:rsidR="003A235D" w:rsidRPr="00394670" w:rsidRDefault="00A8439C" w:rsidP="00F80D31">
      <w:pPr>
        <w:spacing w:line="360" w:lineRule="auto"/>
        <w:ind w:firstLine="708"/>
      </w:pPr>
      <w:r w:rsidRPr="00394670">
        <w:t>Para ambos estudios, l</w:t>
      </w:r>
      <w:r w:rsidR="00326EE6" w:rsidRPr="00394670">
        <w:t>os instrumentos y el procedimiento fueron conocidos y aprobados por el comité de ética de la universidad del primer autor.</w:t>
      </w:r>
      <w:r w:rsidR="00D72767" w:rsidRPr="00394670">
        <w:t xml:space="preserve"> </w:t>
      </w:r>
    </w:p>
    <w:p w14:paraId="564E1E78" w14:textId="77777777" w:rsidR="003A235D" w:rsidRPr="00394670" w:rsidRDefault="00A8439C" w:rsidP="00F80D31">
      <w:pPr>
        <w:spacing w:line="360" w:lineRule="auto"/>
        <w:ind w:firstLine="0"/>
        <w:rPr>
          <w:b/>
        </w:rPr>
      </w:pPr>
      <w:r w:rsidRPr="00394670">
        <w:rPr>
          <w:b/>
        </w:rPr>
        <w:t>Análisis de Datos</w:t>
      </w:r>
    </w:p>
    <w:p w14:paraId="0DF3BBBC" w14:textId="2162A4D0" w:rsidR="007C7A1B" w:rsidRPr="00394670" w:rsidRDefault="006F1039" w:rsidP="00F80D31">
      <w:pPr>
        <w:spacing w:line="360" w:lineRule="auto"/>
        <w:ind w:firstLine="708"/>
        <w:rPr>
          <w:iCs/>
        </w:rPr>
      </w:pPr>
      <w:r w:rsidRPr="00394670">
        <w:rPr>
          <w:iCs/>
        </w:rPr>
        <w:t xml:space="preserve">En primer lugar, se </w:t>
      </w:r>
      <w:r w:rsidR="00EF6DDB" w:rsidRPr="00394670">
        <w:rPr>
          <w:iCs/>
        </w:rPr>
        <w:t>estimaron los estadísticos descriptivos</w:t>
      </w:r>
      <w:r w:rsidRPr="00394670">
        <w:rPr>
          <w:iCs/>
        </w:rPr>
        <w:t xml:space="preserve"> de cada una de las variables incluidas en los estudios. </w:t>
      </w:r>
      <w:r w:rsidR="002F225D" w:rsidRPr="00394670">
        <w:rPr>
          <w:iCs/>
        </w:rPr>
        <w:t xml:space="preserve">En segundo lugar, </w:t>
      </w:r>
      <w:r w:rsidRPr="00394670">
        <w:rPr>
          <w:iCs/>
        </w:rPr>
        <w:t>se</w:t>
      </w:r>
      <w:r w:rsidR="007F4CA8" w:rsidRPr="00394670">
        <w:rPr>
          <w:iCs/>
        </w:rPr>
        <w:t xml:space="preserve"> </w:t>
      </w:r>
      <w:r w:rsidRPr="00394670">
        <w:rPr>
          <w:iCs/>
        </w:rPr>
        <w:t xml:space="preserve">realizaron </w:t>
      </w:r>
      <w:r w:rsidR="007F4CA8" w:rsidRPr="00394670">
        <w:t>correlaciones producto momento</w:t>
      </w:r>
      <w:r w:rsidR="00EF6DDB" w:rsidRPr="00394670">
        <w:rPr>
          <w:iCs/>
        </w:rPr>
        <w:t xml:space="preserve"> </w:t>
      </w:r>
      <w:r w:rsidR="008274FA" w:rsidRPr="00394670">
        <w:rPr>
          <w:iCs/>
        </w:rPr>
        <w:t>entre las variables incluidas en los estudios</w:t>
      </w:r>
      <w:r w:rsidRPr="00394670">
        <w:rPr>
          <w:iCs/>
        </w:rPr>
        <w:t xml:space="preserve">. En tercer lugar, </w:t>
      </w:r>
      <w:r w:rsidR="00D1524F" w:rsidRPr="00394670">
        <w:rPr>
          <w:iCs/>
        </w:rPr>
        <w:t xml:space="preserve">se realizaron dos pruebas </w:t>
      </w:r>
      <w:r w:rsidR="002B6644" w:rsidRPr="00394670">
        <w:rPr>
          <w:iCs/>
        </w:rPr>
        <w:t>t</w:t>
      </w:r>
      <w:r w:rsidR="00D1524F" w:rsidRPr="00394670">
        <w:rPr>
          <w:iCs/>
        </w:rPr>
        <w:t xml:space="preserve"> de </w:t>
      </w:r>
      <w:proofErr w:type="spellStart"/>
      <w:r w:rsidR="00D1524F" w:rsidRPr="00394670">
        <w:rPr>
          <w:iCs/>
        </w:rPr>
        <w:t>Student</w:t>
      </w:r>
      <w:proofErr w:type="spellEnd"/>
      <w:r w:rsidR="00D1524F" w:rsidRPr="00394670">
        <w:rPr>
          <w:iCs/>
        </w:rPr>
        <w:t xml:space="preserve">. La primera prueba </w:t>
      </w:r>
      <w:r w:rsidR="002B6644" w:rsidRPr="00394670">
        <w:rPr>
          <w:iCs/>
        </w:rPr>
        <w:t>t</w:t>
      </w:r>
      <w:r w:rsidR="00D1524F" w:rsidRPr="00394670">
        <w:rPr>
          <w:iCs/>
        </w:rPr>
        <w:t xml:space="preserve"> de </w:t>
      </w:r>
      <w:proofErr w:type="spellStart"/>
      <w:r w:rsidR="00D1524F" w:rsidRPr="00394670">
        <w:rPr>
          <w:iCs/>
        </w:rPr>
        <w:t>Student</w:t>
      </w:r>
      <w:proofErr w:type="spellEnd"/>
      <w:r w:rsidR="00D1524F" w:rsidRPr="00394670">
        <w:rPr>
          <w:iCs/>
        </w:rPr>
        <w:t xml:space="preserve"> tuvo como propósito evaluar las diferencias de medias entre la fusión de identidad de origen y la fusión de identidad de acogida de los migrantes colombianos. La segunda prueba </w:t>
      </w:r>
      <w:r w:rsidR="002B6644" w:rsidRPr="00394670">
        <w:rPr>
          <w:iCs/>
        </w:rPr>
        <w:t>t</w:t>
      </w:r>
      <w:r w:rsidR="00D1524F" w:rsidRPr="00394670">
        <w:rPr>
          <w:iCs/>
        </w:rPr>
        <w:t xml:space="preserve"> de </w:t>
      </w:r>
      <w:proofErr w:type="spellStart"/>
      <w:r w:rsidR="00D1524F" w:rsidRPr="00394670">
        <w:rPr>
          <w:iCs/>
        </w:rPr>
        <w:t>Student</w:t>
      </w:r>
      <w:proofErr w:type="spellEnd"/>
      <w:r w:rsidR="00D1524F" w:rsidRPr="00394670">
        <w:rPr>
          <w:iCs/>
        </w:rPr>
        <w:t xml:space="preserve"> tuvo como propósito evaluar las diferencias de medias entre la fusión de identidad de origen y la fusión de identidad de acogida de los migrantes venezolanos. En cuarto lugar, </w:t>
      </w:r>
      <w:r w:rsidR="002F225D" w:rsidRPr="00394670">
        <w:rPr>
          <w:iCs/>
        </w:rPr>
        <w:t>se agruparon a las personas de cada muestra en tres categorías</w:t>
      </w:r>
      <w:r w:rsidR="007675A5" w:rsidRPr="00394670">
        <w:rPr>
          <w:iCs/>
        </w:rPr>
        <w:t xml:space="preserve"> de antigüedad en Chile</w:t>
      </w:r>
      <w:r w:rsidR="002F225D" w:rsidRPr="00394670">
        <w:rPr>
          <w:iCs/>
        </w:rPr>
        <w:t xml:space="preserve">: 1) Migrantes residentes en Chile de hace 1 a 3 años; 2) Migrantes residentes en Chile de hace 4 a 6 años; y 3) Migrantes residentes en Chile de hace más de 6 años. </w:t>
      </w:r>
      <w:r w:rsidR="00D1524F" w:rsidRPr="00394670">
        <w:rPr>
          <w:iCs/>
        </w:rPr>
        <w:t>Por último, u</w:t>
      </w:r>
      <w:r w:rsidR="002F225D" w:rsidRPr="00394670">
        <w:rPr>
          <w:iCs/>
        </w:rPr>
        <w:t>na vez conformadas las categorías, se realiz</w:t>
      </w:r>
      <w:r w:rsidR="008274FA" w:rsidRPr="00394670">
        <w:rPr>
          <w:iCs/>
        </w:rPr>
        <w:t xml:space="preserve">aron </w:t>
      </w:r>
      <w:r w:rsidR="009E2702" w:rsidRPr="00394670">
        <w:rPr>
          <w:iCs/>
        </w:rPr>
        <w:t>cuatro</w:t>
      </w:r>
      <w:r w:rsidR="002F225D" w:rsidRPr="00394670">
        <w:rPr>
          <w:iCs/>
        </w:rPr>
        <w:t xml:space="preserve"> </w:t>
      </w:r>
      <w:proofErr w:type="spellStart"/>
      <w:r w:rsidR="002F225D" w:rsidRPr="00394670">
        <w:rPr>
          <w:iCs/>
        </w:rPr>
        <w:t>ANOVA</w:t>
      </w:r>
      <w:r w:rsidR="00504B93" w:rsidRPr="00394670">
        <w:rPr>
          <w:iCs/>
        </w:rPr>
        <w:t>s</w:t>
      </w:r>
      <w:proofErr w:type="spellEnd"/>
      <w:r w:rsidR="008274FA" w:rsidRPr="00394670">
        <w:rPr>
          <w:iCs/>
        </w:rPr>
        <w:t xml:space="preserve"> de una vía. </w:t>
      </w:r>
      <w:r w:rsidR="008C6637" w:rsidRPr="00394670">
        <w:rPr>
          <w:iCs/>
        </w:rPr>
        <w:t xml:space="preserve">La primera ANOVA tuvo como propósito evaluar las diferencias de medias de la fusión de identidad con el país de origen de los migrantes colombianos entre las tres categorías anteriormente creadas. La segunda ANOVA tuvo como propósito evaluar las diferencias de medias de la fusión de identidad con el país de acogida de los migrantes colombianos entre las categorías de antigüedad en Chile. </w:t>
      </w:r>
      <w:r w:rsidR="008274FA" w:rsidRPr="00394670">
        <w:rPr>
          <w:iCs/>
        </w:rPr>
        <w:t xml:space="preserve">La </w:t>
      </w:r>
      <w:r w:rsidR="008C6637" w:rsidRPr="00394670">
        <w:rPr>
          <w:iCs/>
        </w:rPr>
        <w:t>tercera</w:t>
      </w:r>
      <w:r w:rsidR="008274FA" w:rsidRPr="00394670">
        <w:rPr>
          <w:iCs/>
        </w:rPr>
        <w:t xml:space="preserve"> ANOVA tuvo como propósito evaluar </w:t>
      </w:r>
      <w:r w:rsidR="002F225D" w:rsidRPr="00394670">
        <w:rPr>
          <w:iCs/>
        </w:rPr>
        <w:t>las diferencias de medias</w:t>
      </w:r>
      <w:r w:rsidR="007675A5" w:rsidRPr="00394670">
        <w:rPr>
          <w:iCs/>
        </w:rPr>
        <w:t xml:space="preserve"> de la fusión de identidad con el país de origen de los migrantes</w:t>
      </w:r>
      <w:r w:rsidR="002F225D" w:rsidRPr="00394670">
        <w:rPr>
          <w:iCs/>
        </w:rPr>
        <w:t xml:space="preserve"> </w:t>
      </w:r>
      <w:r w:rsidR="008C6637" w:rsidRPr="00394670">
        <w:rPr>
          <w:iCs/>
        </w:rPr>
        <w:t xml:space="preserve">venezolanos </w:t>
      </w:r>
      <w:r w:rsidR="008274FA" w:rsidRPr="00394670">
        <w:rPr>
          <w:iCs/>
        </w:rPr>
        <w:t xml:space="preserve">entre las </w:t>
      </w:r>
      <w:r w:rsidR="008C6637" w:rsidRPr="00394670">
        <w:rPr>
          <w:iCs/>
        </w:rPr>
        <w:t>categorías de antigüedad en Chile</w:t>
      </w:r>
      <w:r w:rsidR="008274FA" w:rsidRPr="00394670">
        <w:rPr>
          <w:iCs/>
        </w:rPr>
        <w:t xml:space="preserve">. </w:t>
      </w:r>
      <w:r w:rsidR="008C6637" w:rsidRPr="00394670">
        <w:rPr>
          <w:iCs/>
        </w:rPr>
        <w:t>Finalmente, la cuarta</w:t>
      </w:r>
      <w:r w:rsidR="008274FA" w:rsidRPr="00394670">
        <w:rPr>
          <w:iCs/>
        </w:rPr>
        <w:t xml:space="preserve"> </w:t>
      </w:r>
      <w:r w:rsidR="007675A5" w:rsidRPr="00394670">
        <w:rPr>
          <w:iCs/>
        </w:rPr>
        <w:t xml:space="preserve">ANOVA tuvo como propósito evaluar las diferencias de medias de la fusión de identidad con el país de </w:t>
      </w:r>
      <w:r w:rsidR="008C6637" w:rsidRPr="00394670">
        <w:rPr>
          <w:iCs/>
        </w:rPr>
        <w:t>acogida</w:t>
      </w:r>
      <w:r w:rsidR="007675A5" w:rsidRPr="00394670">
        <w:rPr>
          <w:iCs/>
        </w:rPr>
        <w:t xml:space="preserve"> de los migrantes </w:t>
      </w:r>
      <w:r w:rsidR="007675A5" w:rsidRPr="00394670">
        <w:rPr>
          <w:iCs/>
        </w:rPr>
        <w:lastRenderedPageBreak/>
        <w:t>venezolanos entre las tres categorías de antigüedad en Chile</w:t>
      </w:r>
      <w:r w:rsidR="002F225D" w:rsidRPr="00394670">
        <w:rPr>
          <w:iCs/>
        </w:rPr>
        <w:t xml:space="preserve">. </w:t>
      </w:r>
      <w:r w:rsidR="00436646" w:rsidRPr="00394670">
        <w:rPr>
          <w:iCs/>
        </w:rPr>
        <w:t xml:space="preserve">En todos los análisis el punto crítico </w:t>
      </w:r>
      <w:r w:rsidR="00D45740" w:rsidRPr="00394670">
        <w:rPr>
          <w:iCs/>
        </w:rPr>
        <w:t>de significación</w:t>
      </w:r>
      <w:r w:rsidR="004019F4" w:rsidRPr="00394670">
        <w:rPr>
          <w:iCs/>
        </w:rPr>
        <w:t xml:space="preserve"> </w:t>
      </w:r>
      <w:r w:rsidR="001A7513" w:rsidRPr="00394670">
        <w:rPr>
          <w:iCs/>
        </w:rPr>
        <w:t>estadística</w:t>
      </w:r>
      <w:r w:rsidR="00D45740" w:rsidRPr="00394670">
        <w:rPr>
          <w:iCs/>
        </w:rPr>
        <w:t xml:space="preserve"> </w:t>
      </w:r>
      <w:r w:rsidR="00436646" w:rsidRPr="00394670">
        <w:rPr>
          <w:iCs/>
        </w:rPr>
        <w:t>fue de</w:t>
      </w:r>
      <w:r w:rsidR="00D45740" w:rsidRPr="00394670">
        <w:rPr>
          <w:iCs/>
        </w:rPr>
        <w:t xml:space="preserve"> </w:t>
      </w:r>
      <w:r w:rsidR="00D45740" w:rsidRPr="00394670">
        <w:rPr>
          <w:i/>
        </w:rPr>
        <w:t>p</w:t>
      </w:r>
      <w:r w:rsidR="00D45740" w:rsidRPr="00394670">
        <w:rPr>
          <w:iCs/>
        </w:rPr>
        <w:t xml:space="preserve"> ≤ 0.05. </w:t>
      </w:r>
      <w:r w:rsidR="00436646" w:rsidRPr="00394670">
        <w:rPr>
          <w:iCs/>
        </w:rPr>
        <w:t xml:space="preserve">Todos los análisis se realizaron </w:t>
      </w:r>
      <w:r w:rsidR="005C1DA0" w:rsidRPr="00394670">
        <w:rPr>
          <w:iCs/>
        </w:rPr>
        <w:t>utiliz</w:t>
      </w:r>
      <w:r w:rsidR="00436646" w:rsidRPr="00394670">
        <w:rPr>
          <w:iCs/>
        </w:rPr>
        <w:t>ando</w:t>
      </w:r>
      <w:r w:rsidR="005C1DA0" w:rsidRPr="00394670">
        <w:rPr>
          <w:iCs/>
        </w:rPr>
        <w:t xml:space="preserve"> el </w:t>
      </w:r>
      <w:r w:rsidR="00FA5731" w:rsidRPr="00394670">
        <w:t>paquete estadístico SPSS v. 24.</w:t>
      </w:r>
    </w:p>
    <w:p w14:paraId="5A75E27A" w14:textId="77777777" w:rsidR="003A235D" w:rsidRPr="00394670" w:rsidRDefault="003A235D" w:rsidP="00F80D31">
      <w:pPr>
        <w:spacing w:line="360" w:lineRule="auto"/>
        <w:ind w:firstLine="0"/>
        <w:rPr>
          <w:b/>
        </w:rPr>
      </w:pPr>
      <w:r w:rsidRPr="00394670">
        <w:rPr>
          <w:b/>
        </w:rPr>
        <w:t>Result</w:t>
      </w:r>
      <w:r w:rsidR="002E0D70" w:rsidRPr="00394670">
        <w:rPr>
          <w:b/>
        </w:rPr>
        <w:t>ado</w:t>
      </w:r>
      <w:r w:rsidRPr="00394670">
        <w:rPr>
          <w:b/>
        </w:rPr>
        <w:t>s</w:t>
      </w:r>
    </w:p>
    <w:p w14:paraId="777E5196" w14:textId="77777777" w:rsidR="00C503F3" w:rsidRPr="00394670" w:rsidRDefault="002E0D70" w:rsidP="00F80D31">
      <w:pPr>
        <w:spacing w:line="360" w:lineRule="auto"/>
        <w:ind w:firstLine="0"/>
        <w:rPr>
          <w:i/>
        </w:rPr>
      </w:pPr>
      <w:r w:rsidRPr="00394670">
        <w:rPr>
          <w:i/>
        </w:rPr>
        <w:t>Estadísticos descriptivos</w:t>
      </w:r>
    </w:p>
    <w:p w14:paraId="536C49F5" w14:textId="2F07B70E" w:rsidR="00435F3C" w:rsidRDefault="002E0D70" w:rsidP="00F80D31">
      <w:pPr>
        <w:spacing w:line="360" w:lineRule="auto"/>
        <w:ind w:firstLine="708"/>
      </w:pPr>
      <w:r w:rsidRPr="00394670">
        <w:t xml:space="preserve">La tabla </w:t>
      </w:r>
      <w:r w:rsidR="00D60D23" w:rsidRPr="00394670">
        <w:t>2</w:t>
      </w:r>
      <w:r w:rsidRPr="00394670">
        <w:t xml:space="preserve"> muestra </w:t>
      </w:r>
      <w:r w:rsidR="00D60D23" w:rsidRPr="00394670">
        <w:t xml:space="preserve">las medias y las desviaciones típicas </w:t>
      </w:r>
      <w:r w:rsidR="00037104" w:rsidRPr="00394670">
        <w:t>del</w:t>
      </w:r>
      <w:r w:rsidR="00D60D23" w:rsidRPr="00394670">
        <w:t xml:space="preserve"> número de años en Chile</w:t>
      </w:r>
      <w:r w:rsidR="00037104" w:rsidRPr="00394670">
        <w:t xml:space="preserve"> de </w:t>
      </w:r>
      <w:r w:rsidR="000B3731" w:rsidRPr="00394670">
        <w:t xml:space="preserve">los migrantes </w:t>
      </w:r>
      <w:r w:rsidR="00037104" w:rsidRPr="00394670">
        <w:t>colombianos y venezolanos</w:t>
      </w:r>
      <w:r w:rsidR="000B3731" w:rsidRPr="00394670">
        <w:t>. En la tabla 2 también se puede observar la matriz de correlaciones de las variables incluidas en el estudio (</w:t>
      </w:r>
      <w:r w:rsidR="00835C2A" w:rsidRPr="00394670">
        <w:t>N</w:t>
      </w:r>
      <w:r w:rsidR="000B3731" w:rsidRPr="00394670">
        <w:t xml:space="preserve">úmero de años en </w:t>
      </w:r>
      <w:r w:rsidR="00835C2A" w:rsidRPr="00394670">
        <w:t>Chile, fusión</w:t>
      </w:r>
      <w:r w:rsidR="00D60D23" w:rsidRPr="00394670">
        <w:t xml:space="preserve"> de identidad con el país de </w:t>
      </w:r>
      <w:r w:rsidR="00042B99" w:rsidRPr="00394670">
        <w:t>origen</w:t>
      </w:r>
      <w:r w:rsidR="00D60D23" w:rsidRPr="00394670">
        <w:t xml:space="preserve"> y fusión de identidad con el país de </w:t>
      </w:r>
      <w:r w:rsidR="00042B99" w:rsidRPr="00394670">
        <w:t>acogida</w:t>
      </w:r>
      <w:r w:rsidR="000B3731" w:rsidRPr="00394670">
        <w:t>)</w:t>
      </w:r>
      <w:r w:rsidR="00D60D23" w:rsidRPr="00394670">
        <w:t>.</w:t>
      </w:r>
      <w:r w:rsidR="00042B99" w:rsidRPr="00394670">
        <w:t xml:space="preserve"> Como se observa en la tabla 2, un mayor número de años en Chile se vio relacionado a </w:t>
      </w:r>
      <w:r w:rsidR="000B3279" w:rsidRPr="00394670">
        <w:t xml:space="preserve">mayores niveles de </w:t>
      </w:r>
      <w:r w:rsidR="00042B99" w:rsidRPr="00394670">
        <w:t xml:space="preserve">fusión de identidad con el país de </w:t>
      </w:r>
      <w:r w:rsidR="000B3279" w:rsidRPr="00394670">
        <w:t xml:space="preserve">acogida </w:t>
      </w:r>
      <w:r w:rsidR="00042B99" w:rsidRPr="00394670">
        <w:t>en la</w:t>
      </w:r>
      <w:r w:rsidR="000B3279" w:rsidRPr="00394670">
        <w:t>s</w:t>
      </w:r>
      <w:r w:rsidR="00042B99" w:rsidRPr="00394670">
        <w:t xml:space="preserve"> muestra</w:t>
      </w:r>
      <w:r w:rsidR="000B3279" w:rsidRPr="00394670">
        <w:t>s</w:t>
      </w:r>
      <w:r w:rsidR="00042B99" w:rsidRPr="00394670">
        <w:t xml:space="preserve"> </w:t>
      </w:r>
      <w:r w:rsidR="000B3279" w:rsidRPr="00394670">
        <w:t xml:space="preserve">colombiana y </w:t>
      </w:r>
      <w:r w:rsidR="00042B99" w:rsidRPr="00394670">
        <w:t>venezolana</w:t>
      </w:r>
      <w:r w:rsidR="000B3279" w:rsidRPr="00394670">
        <w:t>, y mayores niveles de fusión de identidad con el país de origen en la muestra venezolana</w:t>
      </w:r>
      <w:r w:rsidR="00042B99" w:rsidRPr="00394670">
        <w:t>.</w:t>
      </w:r>
      <w:r w:rsidR="00775463" w:rsidRPr="00394670">
        <w:t xml:space="preserve"> </w:t>
      </w:r>
      <w:r w:rsidR="00042B99" w:rsidRPr="00394670">
        <w:t>No se detectaron relaciones estadística</w:t>
      </w:r>
      <w:r w:rsidR="000469C5" w:rsidRPr="00394670">
        <w:t>mente significativas entre el nú</w:t>
      </w:r>
      <w:r w:rsidR="00042B99" w:rsidRPr="00394670">
        <w:t xml:space="preserve">mero de años en Chile y la fusión de identidad con el país de </w:t>
      </w:r>
      <w:r w:rsidR="000B3279" w:rsidRPr="00394670">
        <w:t>origen</w:t>
      </w:r>
      <w:r w:rsidR="00042B99" w:rsidRPr="00394670">
        <w:t xml:space="preserve"> en los migrantes colombianos.</w:t>
      </w:r>
    </w:p>
    <w:p w14:paraId="56067139" w14:textId="50326914" w:rsidR="00F80D31" w:rsidRDefault="00F80D31" w:rsidP="00F80D31">
      <w:pPr>
        <w:spacing w:line="360" w:lineRule="auto"/>
        <w:ind w:firstLine="708"/>
      </w:pPr>
    </w:p>
    <w:p w14:paraId="38F60825" w14:textId="51A35226" w:rsidR="00F80D31" w:rsidRDefault="00F80D31" w:rsidP="00F80D31">
      <w:pPr>
        <w:spacing w:line="360" w:lineRule="auto"/>
        <w:ind w:firstLine="708"/>
      </w:pPr>
    </w:p>
    <w:p w14:paraId="01936C6D" w14:textId="0FB3454D" w:rsidR="00F80D31" w:rsidRDefault="00F80D31" w:rsidP="00F80D31">
      <w:pPr>
        <w:spacing w:line="360" w:lineRule="auto"/>
        <w:ind w:firstLine="708"/>
      </w:pPr>
    </w:p>
    <w:p w14:paraId="6B765B2F" w14:textId="369518F7" w:rsidR="00F80D31" w:rsidRDefault="00F80D31" w:rsidP="00F80D31">
      <w:pPr>
        <w:spacing w:line="360" w:lineRule="auto"/>
        <w:ind w:firstLine="708"/>
      </w:pPr>
    </w:p>
    <w:p w14:paraId="10EB99C5" w14:textId="3976CC78" w:rsidR="00F80D31" w:rsidRDefault="00F80D31" w:rsidP="00F80D31">
      <w:pPr>
        <w:spacing w:line="360" w:lineRule="auto"/>
        <w:ind w:firstLine="708"/>
      </w:pPr>
    </w:p>
    <w:p w14:paraId="1D8EF063" w14:textId="0FA8C2CF" w:rsidR="00F80D31" w:rsidRDefault="00F80D31" w:rsidP="00F80D31">
      <w:pPr>
        <w:spacing w:line="360" w:lineRule="auto"/>
        <w:ind w:firstLine="708"/>
      </w:pPr>
    </w:p>
    <w:p w14:paraId="5846458E" w14:textId="1AE747EF" w:rsidR="00F80D31" w:rsidRDefault="00F80D31" w:rsidP="00F80D31">
      <w:pPr>
        <w:spacing w:line="360" w:lineRule="auto"/>
        <w:ind w:firstLine="708"/>
      </w:pPr>
    </w:p>
    <w:p w14:paraId="35BF4C27" w14:textId="06D95414" w:rsidR="00F80D31" w:rsidRDefault="00F80D31" w:rsidP="00F80D31">
      <w:pPr>
        <w:spacing w:line="360" w:lineRule="auto"/>
        <w:ind w:firstLine="708"/>
      </w:pPr>
    </w:p>
    <w:p w14:paraId="5A7B49EC" w14:textId="46CFC796" w:rsidR="00F80D31" w:rsidRDefault="00F80D31" w:rsidP="00F80D31">
      <w:pPr>
        <w:spacing w:line="360" w:lineRule="auto"/>
        <w:ind w:firstLine="708"/>
      </w:pPr>
    </w:p>
    <w:p w14:paraId="2C28B211" w14:textId="3043F138" w:rsidR="00F80D31" w:rsidRDefault="00F80D31" w:rsidP="00F80D31">
      <w:pPr>
        <w:spacing w:line="360" w:lineRule="auto"/>
        <w:ind w:firstLine="708"/>
      </w:pPr>
    </w:p>
    <w:p w14:paraId="3989D047" w14:textId="77777777" w:rsidR="00F80D31" w:rsidRPr="00394670" w:rsidRDefault="00F80D31" w:rsidP="00F80D31">
      <w:pPr>
        <w:spacing w:line="360" w:lineRule="auto"/>
        <w:ind w:firstLine="708"/>
      </w:pPr>
    </w:p>
    <w:tbl>
      <w:tblPr>
        <w:tblW w:w="6489" w:type="dxa"/>
        <w:tblBorders>
          <w:top w:val="single" w:sz="4" w:space="0" w:color="auto"/>
          <w:bottom w:val="single" w:sz="4" w:space="0" w:color="auto"/>
          <w:insideH w:val="single" w:sz="4" w:space="0" w:color="auto"/>
        </w:tblBorders>
        <w:tblLook w:val="04A0" w:firstRow="1" w:lastRow="0" w:firstColumn="1" w:lastColumn="0" w:noHBand="0" w:noVBand="1"/>
      </w:tblPr>
      <w:tblGrid>
        <w:gridCol w:w="2163"/>
        <w:gridCol w:w="4326"/>
      </w:tblGrid>
      <w:tr w:rsidR="001D0C3E" w:rsidRPr="00394670" w14:paraId="33873C98" w14:textId="77777777" w:rsidTr="00F80D31">
        <w:trPr>
          <w:trHeight w:val="682"/>
        </w:trPr>
        <w:tc>
          <w:tcPr>
            <w:tcW w:w="0" w:type="auto"/>
            <w:gridSpan w:val="2"/>
            <w:tcBorders>
              <w:top w:val="nil"/>
            </w:tcBorders>
            <w:shd w:val="clear" w:color="auto" w:fill="auto"/>
            <w:vAlign w:val="center"/>
          </w:tcPr>
          <w:p w14:paraId="5686C44B" w14:textId="77777777" w:rsidR="001D0C3E" w:rsidRPr="00394670" w:rsidRDefault="001D0C3E" w:rsidP="00F80D31">
            <w:pPr>
              <w:spacing w:after="0" w:line="240" w:lineRule="auto"/>
              <w:ind w:firstLine="0"/>
              <w:rPr>
                <w:b/>
                <w:lang w:val="es-ES"/>
              </w:rPr>
            </w:pPr>
            <w:r w:rsidRPr="00394670">
              <w:rPr>
                <w:b/>
                <w:lang w:val="es-ES"/>
              </w:rPr>
              <w:lastRenderedPageBreak/>
              <w:t xml:space="preserve">Tabla 2 </w:t>
            </w:r>
          </w:p>
          <w:p w14:paraId="0B255DAC" w14:textId="77777777" w:rsidR="001D0C3E" w:rsidRPr="00394670" w:rsidRDefault="001D0C3E" w:rsidP="00F80D31">
            <w:pPr>
              <w:spacing w:line="240" w:lineRule="auto"/>
              <w:ind w:firstLine="0"/>
            </w:pPr>
            <w:r w:rsidRPr="00394670">
              <w:rPr>
                <w:lang w:val="es-ES"/>
              </w:rPr>
              <w:t>Estadísticos descriptivas y correlaciones entre el número de años en el país de acogida y la fusión de identidad</w:t>
            </w:r>
          </w:p>
        </w:tc>
      </w:tr>
      <w:tr w:rsidR="00706B2C" w:rsidRPr="00394670" w14:paraId="248D192C" w14:textId="77777777" w:rsidTr="00F80D31">
        <w:trPr>
          <w:trHeight w:val="124"/>
        </w:trPr>
        <w:tc>
          <w:tcPr>
            <w:tcW w:w="0" w:type="auto"/>
            <w:shd w:val="clear" w:color="auto" w:fill="auto"/>
            <w:vAlign w:val="center"/>
          </w:tcPr>
          <w:p w14:paraId="662C5408" w14:textId="77777777" w:rsidR="001D0C3E" w:rsidRPr="00394670" w:rsidRDefault="001D0C3E" w:rsidP="00F80D31">
            <w:pPr>
              <w:spacing w:line="240" w:lineRule="auto"/>
              <w:ind w:firstLine="0"/>
              <w:rPr>
                <w:b/>
                <w:bCs/>
              </w:rPr>
            </w:pPr>
            <w:r w:rsidRPr="00394670">
              <w:rPr>
                <w:b/>
                <w:bCs/>
              </w:rPr>
              <w:t>Variables</w:t>
            </w:r>
          </w:p>
        </w:tc>
        <w:tc>
          <w:tcPr>
            <w:tcW w:w="0" w:type="auto"/>
            <w:shd w:val="clear" w:color="auto" w:fill="auto"/>
            <w:vAlign w:val="center"/>
          </w:tcPr>
          <w:p w14:paraId="4DA09551" w14:textId="77777777" w:rsidR="001D0C3E" w:rsidRPr="00394670" w:rsidRDefault="001D0C3E" w:rsidP="00F80D31">
            <w:pPr>
              <w:spacing w:line="240" w:lineRule="auto"/>
              <w:ind w:firstLine="0"/>
              <w:rPr>
                <w:b/>
                <w:bCs/>
              </w:rPr>
            </w:pPr>
            <w:r w:rsidRPr="00394670">
              <w:rPr>
                <w:b/>
                <w:bCs/>
              </w:rPr>
              <w:t>Número de años en Chile</w:t>
            </w:r>
          </w:p>
        </w:tc>
      </w:tr>
      <w:tr w:rsidR="00706B2C" w:rsidRPr="00394670" w14:paraId="0E5AA525" w14:textId="77777777" w:rsidTr="00F80D31">
        <w:trPr>
          <w:trHeight w:val="178"/>
        </w:trPr>
        <w:tc>
          <w:tcPr>
            <w:tcW w:w="0" w:type="auto"/>
            <w:shd w:val="clear" w:color="auto" w:fill="auto"/>
            <w:vAlign w:val="center"/>
          </w:tcPr>
          <w:p w14:paraId="540B712B" w14:textId="77777777" w:rsidR="00706B2C" w:rsidRPr="00394670" w:rsidRDefault="00706B2C" w:rsidP="00F80D31">
            <w:pPr>
              <w:spacing w:line="240" w:lineRule="auto"/>
              <w:ind w:firstLine="0"/>
            </w:pPr>
            <w:r w:rsidRPr="00394670">
              <w:rPr>
                <w:b/>
                <w:bCs/>
              </w:rPr>
              <w:t xml:space="preserve">Estudio 1 </w:t>
            </w:r>
          </w:p>
        </w:tc>
        <w:tc>
          <w:tcPr>
            <w:tcW w:w="0" w:type="auto"/>
            <w:shd w:val="clear" w:color="auto" w:fill="auto"/>
            <w:vAlign w:val="center"/>
          </w:tcPr>
          <w:p w14:paraId="560163B3" w14:textId="77777777" w:rsidR="00706B2C" w:rsidRPr="00394670" w:rsidRDefault="00706B2C" w:rsidP="00F80D31">
            <w:pPr>
              <w:spacing w:line="240" w:lineRule="auto"/>
              <w:ind w:firstLine="0"/>
              <w:jc w:val="center"/>
            </w:pPr>
            <w:r w:rsidRPr="00394670">
              <w:t>Colombianos</w:t>
            </w:r>
          </w:p>
        </w:tc>
      </w:tr>
      <w:tr w:rsidR="00706B2C" w:rsidRPr="00394670" w14:paraId="1E033263" w14:textId="77777777" w:rsidTr="00F80D31">
        <w:trPr>
          <w:trHeight w:val="1532"/>
        </w:trPr>
        <w:tc>
          <w:tcPr>
            <w:tcW w:w="0" w:type="auto"/>
            <w:shd w:val="clear" w:color="auto" w:fill="auto"/>
            <w:vAlign w:val="center"/>
          </w:tcPr>
          <w:p w14:paraId="467E2B1F" w14:textId="77777777" w:rsidR="00AB6016" w:rsidRPr="00394670" w:rsidRDefault="00120F08" w:rsidP="00F80D31">
            <w:pPr>
              <w:spacing w:line="240" w:lineRule="auto"/>
              <w:ind w:firstLine="0"/>
            </w:pPr>
            <w:r w:rsidRPr="00394670">
              <w:rPr>
                <w:i/>
                <w:iCs/>
              </w:rPr>
              <w:t>n</w:t>
            </w:r>
            <w:r w:rsidR="00C1479D" w:rsidRPr="00394670">
              <w:rPr>
                <w:i/>
                <w:iCs/>
              </w:rPr>
              <w:br/>
            </w:r>
            <w:r w:rsidR="006C7E0C" w:rsidRPr="00394670">
              <w:t>Min</w:t>
            </w:r>
            <w:r w:rsidR="00C1479D" w:rsidRPr="00394670">
              <w:br/>
            </w:r>
            <w:r w:rsidR="006C7E0C" w:rsidRPr="00394670">
              <w:t>Max</w:t>
            </w:r>
            <w:r w:rsidR="00C1479D" w:rsidRPr="00394670">
              <w:br/>
            </w:r>
            <w:r w:rsidR="001D0C3E" w:rsidRPr="00394670">
              <w:t>Media</w:t>
            </w:r>
            <w:r w:rsidR="00C1479D" w:rsidRPr="00394670">
              <w:br/>
            </w:r>
            <w:r w:rsidR="001D0C3E" w:rsidRPr="00394670">
              <w:rPr>
                <w:i/>
                <w:iCs/>
              </w:rPr>
              <w:t>DT</w:t>
            </w:r>
            <w:r w:rsidR="00C1479D" w:rsidRPr="00394670">
              <w:rPr>
                <w:i/>
                <w:iCs/>
              </w:rPr>
              <w:br/>
            </w:r>
            <w:r w:rsidR="006B338C" w:rsidRPr="00394670">
              <w:t>FIO</w:t>
            </w:r>
            <w:r w:rsidR="00C1479D" w:rsidRPr="00394670">
              <w:br/>
            </w:r>
            <w:r w:rsidR="006B338C" w:rsidRPr="00394670">
              <w:t>FIA</w:t>
            </w:r>
          </w:p>
        </w:tc>
        <w:tc>
          <w:tcPr>
            <w:tcW w:w="0" w:type="auto"/>
            <w:shd w:val="clear" w:color="auto" w:fill="auto"/>
            <w:vAlign w:val="center"/>
          </w:tcPr>
          <w:p w14:paraId="71492451" w14:textId="77777777" w:rsidR="00AB6016" w:rsidRPr="00394670" w:rsidRDefault="00120F08" w:rsidP="00F80D31">
            <w:pPr>
              <w:spacing w:line="240" w:lineRule="auto"/>
              <w:ind w:firstLine="0"/>
              <w:jc w:val="center"/>
            </w:pPr>
            <w:r w:rsidRPr="00394670">
              <w:t>770</w:t>
            </w:r>
            <w:r w:rsidR="00C1479D" w:rsidRPr="00394670">
              <w:br/>
            </w:r>
            <w:r w:rsidR="006C7E0C" w:rsidRPr="00394670">
              <w:t>1</w:t>
            </w:r>
            <w:r w:rsidR="00C1479D" w:rsidRPr="00394670">
              <w:br/>
            </w:r>
            <w:r w:rsidR="006C7E0C" w:rsidRPr="00394670">
              <w:t>13</w:t>
            </w:r>
            <w:r w:rsidR="00C1479D" w:rsidRPr="00394670">
              <w:br/>
            </w:r>
            <w:r w:rsidR="00AB6016" w:rsidRPr="00394670">
              <w:t>4.80</w:t>
            </w:r>
            <w:r w:rsidR="00C1479D" w:rsidRPr="00394670">
              <w:br/>
            </w:r>
            <w:r w:rsidR="00AB6016" w:rsidRPr="00394670">
              <w:t>2.24</w:t>
            </w:r>
            <w:r w:rsidR="00C1479D" w:rsidRPr="00394670">
              <w:br/>
            </w:r>
            <w:r w:rsidR="00AB6016" w:rsidRPr="00394670">
              <w:t>.04</w:t>
            </w:r>
            <w:r w:rsidR="00C1479D" w:rsidRPr="00394670">
              <w:br/>
            </w:r>
            <w:r w:rsidR="00AB6016" w:rsidRPr="00394670">
              <w:t>.15*</w:t>
            </w:r>
          </w:p>
        </w:tc>
      </w:tr>
      <w:tr w:rsidR="00706B2C" w:rsidRPr="00394670" w14:paraId="5CCE9571" w14:textId="77777777" w:rsidTr="00F80D31">
        <w:trPr>
          <w:trHeight w:val="69"/>
        </w:trPr>
        <w:tc>
          <w:tcPr>
            <w:tcW w:w="0" w:type="auto"/>
            <w:shd w:val="clear" w:color="auto" w:fill="auto"/>
            <w:vAlign w:val="center"/>
          </w:tcPr>
          <w:p w14:paraId="7BB0B649" w14:textId="77777777" w:rsidR="00706B2C" w:rsidRPr="00394670" w:rsidRDefault="00706B2C" w:rsidP="00F80D31">
            <w:pPr>
              <w:spacing w:line="240" w:lineRule="auto"/>
              <w:ind w:firstLine="0"/>
            </w:pPr>
            <w:r w:rsidRPr="00394670">
              <w:rPr>
                <w:b/>
                <w:bCs/>
              </w:rPr>
              <w:t>Estudio 2</w:t>
            </w:r>
          </w:p>
        </w:tc>
        <w:tc>
          <w:tcPr>
            <w:tcW w:w="0" w:type="auto"/>
            <w:shd w:val="clear" w:color="auto" w:fill="auto"/>
            <w:vAlign w:val="center"/>
          </w:tcPr>
          <w:p w14:paraId="454E02CF" w14:textId="77777777" w:rsidR="00706B2C" w:rsidRPr="00394670" w:rsidRDefault="00706B2C" w:rsidP="00F80D31">
            <w:pPr>
              <w:spacing w:line="240" w:lineRule="auto"/>
              <w:ind w:firstLine="0"/>
              <w:jc w:val="center"/>
            </w:pPr>
            <w:r w:rsidRPr="00394670">
              <w:t>Venezolanos</w:t>
            </w:r>
          </w:p>
        </w:tc>
      </w:tr>
      <w:tr w:rsidR="00706B2C" w:rsidRPr="00394670" w14:paraId="0AB4FF24" w14:textId="77777777" w:rsidTr="00F80D31">
        <w:trPr>
          <w:trHeight w:val="1640"/>
        </w:trPr>
        <w:tc>
          <w:tcPr>
            <w:tcW w:w="0" w:type="auto"/>
            <w:tcBorders>
              <w:bottom w:val="single" w:sz="4" w:space="0" w:color="auto"/>
            </w:tcBorders>
            <w:shd w:val="clear" w:color="auto" w:fill="auto"/>
            <w:vAlign w:val="center"/>
          </w:tcPr>
          <w:p w14:paraId="7C47EC82" w14:textId="77777777" w:rsidR="00AB6016" w:rsidRPr="00394670" w:rsidRDefault="00120F08" w:rsidP="00F80D31">
            <w:pPr>
              <w:spacing w:line="240" w:lineRule="auto"/>
              <w:ind w:firstLine="0"/>
            </w:pPr>
            <w:r w:rsidRPr="00394670">
              <w:rPr>
                <w:i/>
                <w:iCs/>
              </w:rPr>
              <w:t>n</w:t>
            </w:r>
            <w:r w:rsidR="00C1479D" w:rsidRPr="00394670">
              <w:rPr>
                <w:i/>
                <w:iCs/>
              </w:rPr>
              <w:br/>
            </w:r>
            <w:r w:rsidR="006C7E0C" w:rsidRPr="00394670">
              <w:t>Min</w:t>
            </w:r>
            <w:r w:rsidR="00C1479D" w:rsidRPr="00394670">
              <w:br/>
            </w:r>
            <w:r w:rsidR="006C7E0C" w:rsidRPr="00394670">
              <w:t>Max</w:t>
            </w:r>
            <w:r w:rsidR="00C1479D" w:rsidRPr="00394670">
              <w:br/>
            </w:r>
            <w:r w:rsidR="001D0C3E" w:rsidRPr="00394670">
              <w:t>Media</w:t>
            </w:r>
            <w:r w:rsidR="00C1479D" w:rsidRPr="00394670">
              <w:br/>
            </w:r>
            <w:r w:rsidR="001D0C3E" w:rsidRPr="00394670">
              <w:rPr>
                <w:i/>
                <w:iCs/>
              </w:rPr>
              <w:t>DT</w:t>
            </w:r>
            <w:r w:rsidR="00C1479D" w:rsidRPr="00394670">
              <w:rPr>
                <w:i/>
                <w:iCs/>
              </w:rPr>
              <w:br/>
            </w:r>
            <w:r w:rsidR="006B338C" w:rsidRPr="00394670">
              <w:t>FIO</w:t>
            </w:r>
            <w:r w:rsidR="00C1479D" w:rsidRPr="00394670">
              <w:br/>
            </w:r>
            <w:r w:rsidR="006B338C" w:rsidRPr="00394670">
              <w:t>FIA</w:t>
            </w:r>
          </w:p>
        </w:tc>
        <w:tc>
          <w:tcPr>
            <w:tcW w:w="0" w:type="auto"/>
            <w:tcBorders>
              <w:bottom w:val="single" w:sz="4" w:space="0" w:color="auto"/>
            </w:tcBorders>
            <w:shd w:val="clear" w:color="auto" w:fill="auto"/>
            <w:vAlign w:val="center"/>
          </w:tcPr>
          <w:p w14:paraId="6E493CF9" w14:textId="77777777" w:rsidR="00AB6016" w:rsidRPr="00394670" w:rsidRDefault="00120F08" w:rsidP="00F80D31">
            <w:pPr>
              <w:spacing w:line="240" w:lineRule="auto"/>
              <w:ind w:firstLine="0"/>
              <w:jc w:val="center"/>
            </w:pPr>
            <w:r w:rsidRPr="00394670">
              <w:t>307</w:t>
            </w:r>
            <w:r w:rsidR="00C1479D" w:rsidRPr="00394670">
              <w:br/>
            </w:r>
            <w:r w:rsidR="006C7E0C" w:rsidRPr="00394670">
              <w:t>1</w:t>
            </w:r>
            <w:r w:rsidR="00C1479D" w:rsidRPr="00394670">
              <w:br/>
            </w:r>
            <w:r w:rsidR="006C7E0C" w:rsidRPr="00394670">
              <w:t>13</w:t>
            </w:r>
            <w:r w:rsidR="00C1479D" w:rsidRPr="00394670">
              <w:br/>
            </w:r>
            <w:r w:rsidR="00AB6016" w:rsidRPr="00394670">
              <w:t>3.92</w:t>
            </w:r>
            <w:r w:rsidR="00C1479D" w:rsidRPr="00394670">
              <w:br/>
            </w:r>
            <w:r w:rsidR="00AB6016" w:rsidRPr="00394670">
              <w:t>2.54</w:t>
            </w:r>
            <w:r w:rsidR="00C1479D" w:rsidRPr="00394670">
              <w:br/>
            </w:r>
            <w:r w:rsidR="00AB6016" w:rsidRPr="00394670">
              <w:t>.12*</w:t>
            </w:r>
            <w:r w:rsidR="00C1479D" w:rsidRPr="00394670">
              <w:br/>
            </w:r>
            <w:r w:rsidR="00AB6016" w:rsidRPr="00394670">
              <w:t>.32*</w:t>
            </w:r>
          </w:p>
        </w:tc>
      </w:tr>
      <w:tr w:rsidR="00AB6016" w:rsidRPr="00394670" w14:paraId="7038CCE6" w14:textId="77777777" w:rsidTr="00F80D31">
        <w:trPr>
          <w:trHeight w:val="294"/>
        </w:trPr>
        <w:tc>
          <w:tcPr>
            <w:tcW w:w="0" w:type="auto"/>
            <w:gridSpan w:val="2"/>
            <w:tcBorders>
              <w:bottom w:val="nil"/>
            </w:tcBorders>
            <w:shd w:val="clear" w:color="auto" w:fill="auto"/>
            <w:vAlign w:val="center"/>
          </w:tcPr>
          <w:p w14:paraId="5CACC418" w14:textId="256B8310" w:rsidR="00AB6016" w:rsidRPr="00394670" w:rsidRDefault="00AB6016" w:rsidP="00F80D31">
            <w:pPr>
              <w:spacing w:after="0" w:line="240" w:lineRule="auto"/>
              <w:ind w:firstLine="0"/>
              <w:rPr>
                <w:lang w:val="es-ES"/>
              </w:rPr>
            </w:pPr>
            <w:r w:rsidRPr="00394670">
              <w:rPr>
                <w:i/>
                <w:iCs/>
                <w:lang w:val="es-ES"/>
              </w:rPr>
              <w:t>Not</w:t>
            </w:r>
            <w:r w:rsidR="00FE5337" w:rsidRPr="00394670">
              <w:rPr>
                <w:i/>
                <w:iCs/>
                <w:lang w:val="es-ES"/>
              </w:rPr>
              <w:t>a</w:t>
            </w:r>
            <w:r w:rsidRPr="00394670">
              <w:rPr>
                <w:lang w:val="es-ES"/>
              </w:rPr>
              <w:t xml:space="preserve">: </w:t>
            </w:r>
            <w:r w:rsidR="006B338C" w:rsidRPr="00394670">
              <w:rPr>
                <w:lang w:val="es-ES"/>
              </w:rPr>
              <w:t>FIO=Fusión de Identidad con el país de origen; FIA=Fusión de Identidad con el país de acogida</w:t>
            </w:r>
            <w:r w:rsidRPr="00394670">
              <w:rPr>
                <w:lang w:val="es-ES"/>
              </w:rPr>
              <w:t>.</w:t>
            </w:r>
          </w:p>
          <w:p w14:paraId="6AEBB983" w14:textId="77777777" w:rsidR="00AB6016" w:rsidRPr="00394670" w:rsidRDefault="00AB6016" w:rsidP="00F80D31">
            <w:pPr>
              <w:spacing w:line="240" w:lineRule="auto"/>
              <w:ind w:firstLine="0"/>
            </w:pPr>
            <w:r w:rsidRPr="00394670">
              <w:rPr>
                <w:i/>
              </w:rPr>
              <w:t xml:space="preserve">* p </w:t>
            </w:r>
            <w:r w:rsidRPr="00394670">
              <w:t>&lt; 0.05</w:t>
            </w:r>
          </w:p>
        </w:tc>
      </w:tr>
    </w:tbl>
    <w:p w14:paraId="4213DEA6" w14:textId="770812F3" w:rsidR="00803FCB" w:rsidRDefault="00D802AC" w:rsidP="00F80D31">
      <w:pPr>
        <w:spacing w:line="360" w:lineRule="auto"/>
        <w:ind w:firstLine="0"/>
      </w:pPr>
      <w:r w:rsidRPr="00394670">
        <w:tab/>
      </w:r>
      <w:r w:rsidR="00BA3EBD" w:rsidRPr="00394670">
        <w:t xml:space="preserve">En la tabla 3 se presentan las medias, desviaciones típicas y los resultados de la prueba t de </w:t>
      </w:r>
      <w:proofErr w:type="spellStart"/>
      <w:r w:rsidR="005C2D1D" w:rsidRPr="00394670">
        <w:t>S</w:t>
      </w:r>
      <w:r w:rsidR="00BA3EBD" w:rsidRPr="00394670">
        <w:t>tudent</w:t>
      </w:r>
      <w:proofErr w:type="spellEnd"/>
      <w:r w:rsidR="00BA3EBD" w:rsidRPr="00394670">
        <w:t xml:space="preserve">. </w:t>
      </w:r>
      <w:r w:rsidRPr="00394670">
        <w:t xml:space="preserve">Como se puede observar en la tabla 3, los niveles de fusión de identidad con el país de origen fueron mayores </w:t>
      </w:r>
      <w:r w:rsidR="009F04F0" w:rsidRPr="00394670">
        <w:t>a</w:t>
      </w:r>
      <w:r w:rsidRPr="00394670">
        <w:t xml:space="preserve"> los niveles de fusión de identidad con el país de acogida tanto en los migrantes colombianos como en los venezolanos.</w:t>
      </w:r>
    </w:p>
    <w:p w14:paraId="0BCBE858" w14:textId="289D3962" w:rsidR="00F80D31" w:rsidRDefault="00F80D31" w:rsidP="00F80D31">
      <w:pPr>
        <w:spacing w:line="360" w:lineRule="auto"/>
        <w:ind w:firstLine="0"/>
      </w:pPr>
    </w:p>
    <w:p w14:paraId="32AF2E08" w14:textId="0585C30D" w:rsidR="00F80D31" w:rsidRDefault="00F80D31" w:rsidP="00F80D31">
      <w:pPr>
        <w:spacing w:line="360" w:lineRule="auto"/>
        <w:ind w:firstLine="0"/>
      </w:pPr>
    </w:p>
    <w:p w14:paraId="77986A8A" w14:textId="2D3C1F67" w:rsidR="00F80D31" w:rsidRDefault="00F80D31" w:rsidP="00F80D31">
      <w:pPr>
        <w:spacing w:line="360" w:lineRule="auto"/>
        <w:ind w:firstLine="0"/>
      </w:pPr>
    </w:p>
    <w:p w14:paraId="768D8237" w14:textId="2DC962FB" w:rsidR="00F80D31" w:rsidRDefault="00F80D31" w:rsidP="00F80D31">
      <w:pPr>
        <w:spacing w:line="360" w:lineRule="auto"/>
        <w:ind w:firstLine="0"/>
      </w:pPr>
    </w:p>
    <w:p w14:paraId="21E6F959" w14:textId="34F88DB8" w:rsidR="00F80D31" w:rsidRDefault="00F80D31" w:rsidP="00F80D31">
      <w:pPr>
        <w:spacing w:line="360" w:lineRule="auto"/>
        <w:ind w:firstLine="0"/>
      </w:pPr>
    </w:p>
    <w:p w14:paraId="3E61A323" w14:textId="77777777" w:rsidR="00F80D31" w:rsidRPr="00394670" w:rsidRDefault="00F80D31" w:rsidP="00F80D31">
      <w:pPr>
        <w:spacing w:line="360" w:lineRule="auto"/>
        <w:ind w:firstLine="0"/>
      </w:pPr>
    </w:p>
    <w:tbl>
      <w:tblPr>
        <w:tblW w:w="6872" w:type="dxa"/>
        <w:tblBorders>
          <w:insideH w:val="single" w:sz="4" w:space="0" w:color="auto"/>
        </w:tblBorders>
        <w:tblLook w:val="04A0" w:firstRow="1" w:lastRow="0" w:firstColumn="1" w:lastColumn="0" w:noHBand="0" w:noVBand="1"/>
      </w:tblPr>
      <w:tblGrid>
        <w:gridCol w:w="2159"/>
        <w:gridCol w:w="1132"/>
        <w:gridCol w:w="1225"/>
        <w:gridCol w:w="1131"/>
        <w:gridCol w:w="1225"/>
      </w:tblGrid>
      <w:tr w:rsidR="004E18F1" w:rsidRPr="00394670" w14:paraId="6AAB04D0" w14:textId="77777777" w:rsidTr="00EE525C">
        <w:trPr>
          <w:trHeight w:val="232"/>
        </w:trPr>
        <w:tc>
          <w:tcPr>
            <w:tcW w:w="0" w:type="auto"/>
            <w:gridSpan w:val="5"/>
            <w:shd w:val="clear" w:color="auto" w:fill="auto"/>
            <w:vAlign w:val="center"/>
          </w:tcPr>
          <w:p w14:paraId="453257A3" w14:textId="77777777" w:rsidR="004E18F1" w:rsidRPr="00394670" w:rsidRDefault="004E18F1" w:rsidP="00F80D31">
            <w:pPr>
              <w:spacing w:after="0" w:line="240" w:lineRule="auto"/>
              <w:ind w:firstLine="0"/>
              <w:rPr>
                <w:b/>
                <w:bCs/>
              </w:rPr>
            </w:pPr>
            <w:r w:rsidRPr="00394670">
              <w:rPr>
                <w:b/>
                <w:bCs/>
              </w:rPr>
              <w:lastRenderedPageBreak/>
              <w:t>Tabl</w:t>
            </w:r>
            <w:r w:rsidR="00421599" w:rsidRPr="00394670">
              <w:rPr>
                <w:b/>
                <w:bCs/>
              </w:rPr>
              <w:t>a</w:t>
            </w:r>
            <w:r w:rsidRPr="00394670">
              <w:rPr>
                <w:b/>
                <w:bCs/>
              </w:rPr>
              <w:t xml:space="preserve"> 3 </w:t>
            </w:r>
          </w:p>
          <w:p w14:paraId="3758F490" w14:textId="77777777" w:rsidR="004E18F1" w:rsidRPr="00394670" w:rsidRDefault="003373C7" w:rsidP="00F80D31">
            <w:pPr>
              <w:spacing w:after="0" w:line="240" w:lineRule="auto"/>
              <w:ind w:firstLine="0"/>
            </w:pPr>
            <w:r w:rsidRPr="00394670">
              <w:t xml:space="preserve">Diferencias de medias entre la FIO y la FIA </w:t>
            </w:r>
            <w:r w:rsidR="00421599" w:rsidRPr="00394670">
              <w:t>en ambos estudios</w:t>
            </w:r>
          </w:p>
        </w:tc>
      </w:tr>
      <w:tr w:rsidR="00A00290" w:rsidRPr="00394670" w14:paraId="6ED611DB" w14:textId="77777777" w:rsidTr="00EE525C">
        <w:trPr>
          <w:trHeight w:val="112"/>
        </w:trPr>
        <w:tc>
          <w:tcPr>
            <w:tcW w:w="0" w:type="auto"/>
            <w:shd w:val="clear" w:color="auto" w:fill="auto"/>
            <w:vAlign w:val="center"/>
          </w:tcPr>
          <w:p w14:paraId="3DE48ADC" w14:textId="77777777" w:rsidR="00A00290" w:rsidRPr="00394670" w:rsidRDefault="00A00290" w:rsidP="00F80D31">
            <w:pPr>
              <w:spacing w:after="0" w:line="240" w:lineRule="auto"/>
              <w:ind w:firstLine="0"/>
            </w:pPr>
          </w:p>
        </w:tc>
        <w:tc>
          <w:tcPr>
            <w:tcW w:w="0" w:type="auto"/>
            <w:gridSpan w:val="2"/>
            <w:shd w:val="clear" w:color="auto" w:fill="auto"/>
            <w:vAlign w:val="center"/>
          </w:tcPr>
          <w:p w14:paraId="03AFF7F6" w14:textId="11E301D9" w:rsidR="00A00290" w:rsidRPr="00394670" w:rsidRDefault="00A00290" w:rsidP="00F80D31">
            <w:pPr>
              <w:spacing w:after="0" w:line="240" w:lineRule="auto"/>
              <w:ind w:firstLine="0"/>
              <w:jc w:val="center"/>
              <w:rPr>
                <w:b/>
                <w:bCs/>
              </w:rPr>
            </w:pPr>
            <w:r w:rsidRPr="00394670">
              <w:rPr>
                <w:b/>
                <w:bCs/>
              </w:rPr>
              <w:t>Estudio 1</w:t>
            </w:r>
            <w:r w:rsidRPr="00394670">
              <w:rPr>
                <w:b/>
                <w:bCs/>
              </w:rPr>
              <w:br/>
            </w:r>
            <w:r w:rsidR="00DD35A0" w:rsidRPr="00394670">
              <w:rPr>
                <w:b/>
                <w:bCs/>
              </w:rPr>
              <w:t>colombianos</w:t>
            </w:r>
          </w:p>
        </w:tc>
        <w:tc>
          <w:tcPr>
            <w:tcW w:w="0" w:type="auto"/>
            <w:gridSpan w:val="2"/>
            <w:shd w:val="clear" w:color="auto" w:fill="auto"/>
            <w:vAlign w:val="center"/>
          </w:tcPr>
          <w:p w14:paraId="10C84A46" w14:textId="11B5160C" w:rsidR="00A00290" w:rsidRPr="00394670" w:rsidRDefault="00A00290" w:rsidP="00F80D31">
            <w:pPr>
              <w:spacing w:after="0" w:line="240" w:lineRule="auto"/>
              <w:ind w:firstLine="0"/>
              <w:jc w:val="center"/>
              <w:rPr>
                <w:b/>
                <w:bCs/>
              </w:rPr>
            </w:pPr>
            <w:r w:rsidRPr="00394670">
              <w:rPr>
                <w:b/>
                <w:bCs/>
              </w:rPr>
              <w:t>Estudio 2</w:t>
            </w:r>
            <w:r w:rsidRPr="00394670">
              <w:rPr>
                <w:b/>
                <w:bCs/>
              </w:rPr>
              <w:br/>
            </w:r>
            <w:r w:rsidR="00DD35A0" w:rsidRPr="00394670">
              <w:rPr>
                <w:b/>
                <w:bCs/>
              </w:rPr>
              <w:t>venezolanos</w:t>
            </w:r>
          </w:p>
        </w:tc>
      </w:tr>
      <w:tr w:rsidR="00A00290" w:rsidRPr="00394670" w14:paraId="68EEFB19" w14:textId="77777777" w:rsidTr="00EE525C">
        <w:trPr>
          <w:trHeight w:val="414"/>
        </w:trPr>
        <w:tc>
          <w:tcPr>
            <w:tcW w:w="0" w:type="auto"/>
            <w:vMerge w:val="restart"/>
            <w:shd w:val="clear" w:color="auto" w:fill="auto"/>
            <w:vAlign w:val="center"/>
          </w:tcPr>
          <w:p w14:paraId="2577E1C4" w14:textId="77777777" w:rsidR="00A00290" w:rsidRPr="00394670" w:rsidRDefault="00A00290" w:rsidP="00F80D31">
            <w:pPr>
              <w:spacing w:after="0" w:line="240" w:lineRule="auto"/>
              <w:ind w:firstLine="0"/>
              <w:rPr>
                <w:b/>
                <w:bCs/>
              </w:rPr>
            </w:pPr>
            <w:r w:rsidRPr="00394670">
              <w:rPr>
                <w:b/>
                <w:bCs/>
              </w:rPr>
              <w:t>Variables</w:t>
            </w:r>
          </w:p>
        </w:tc>
        <w:tc>
          <w:tcPr>
            <w:tcW w:w="0" w:type="auto"/>
            <w:vMerge w:val="restart"/>
            <w:shd w:val="clear" w:color="auto" w:fill="auto"/>
            <w:vAlign w:val="center"/>
          </w:tcPr>
          <w:p w14:paraId="031CE291" w14:textId="77777777" w:rsidR="00A00290" w:rsidRPr="00394670" w:rsidRDefault="00A00290" w:rsidP="00F80D31">
            <w:pPr>
              <w:spacing w:after="0" w:line="240" w:lineRule="auto"/>
              <w:ind w:firstLine="0"/>
              <w:jc w:val="center"/>
              <w:rPr>
                <w:i/>
                <w:iCs/>
              </w:rPr>
            </w:pPr>
            <w:r w:rsidRPr="00394670">
              <w:rPr>
                <w:i/>
                <w:iCs/>
              </w:rPr>
              <w:t>ME</w:t>
            </w:r>
          </w:p>
        </w:tc>
        <w:tc>
          <w:tcPr>
            <w:tcW w:w="0" w:type="auto"/>
            <w:vMerge w:val="restart"/>
            <w:shd w:val="clear" w:color="auto" w:fill="auto"/>
            <w:vAlign w:val="center"/>
          </w:tcPr>
          <w:p w14:paraId="062C774C" w14:textId="77777777" w:rsidR="00A00290" w:rsidRPr="00394670" w:rsidRDefault="00A00290" w:rsidP="00F80D31">
            <w:pPr>
              <w:spacing w:after="0" w:line="240" w:lineRule="auto"/>
              <w:ind w:firstLine="0"/>
              <w:jc w:val="center"/>
              <w:rPr>
                <w:i/>
                <w:iCs/>
              </w:rPr>
            </w:pPr>
            <w:r w:rsidRPr="00394670">
              <w:rPr>
                <w:i/>
                <w:iCs/>
              </w:rPr>
              <w:t>DT</w:t>
            </w:r>
          </w:p>
        </w:tc>
        <w:tc>
          <w:tcPr>
            <w:tcW w:w="0" w:type="auto"/>
            <w:vMerge w:val="restart"/>
            <w:shd w:val="clear" w:color="auto" w:fill="auto"/>
            <w:vAlign w:val="center"/>
          </w:tcPr>
          <w:p w14:paraId="72E94EF0" w14:textId="77777777" w:rsidR="00A00290" w:rsidRPr="00394670" w:rsidRDefault="00A00290" w:rsidP="00F80D31">
            <w:pPr>
              <w:spacing w:after="0" w:line="240" w:lineRule="auto"/>
              <w:ind w:firstLine="0"/>
              <w:jc w:val="center"/>
              <w:rPr>
                <w:i/>
                <w:iCs/>
              </w:rPr>
            </w:pPr>
            <w:r w:rsidRPr="00394670">
              <w:rPr>
                <w:i/>
                <w:iCs/>
              </w:rPr>
              <w:t>ME</w:t>
            </w:r>
          </w:p>
        </w:tc>
        <w:tc>
          <w:tcPr>
            <w:tcW w:w="0" w:type="auto"/>
            <w:vMerge w:val="restart"/>
            <w:shd w:val="clear" w:color="auto" w:fill="auto"/>
            <w:vAlign w:val="center"/>
          </w:tcPr>
          <w:p w14:paraId="7B864416" w14:textId="77777777" w:rsidR="00A00290" w:rsidRPr="00394670" w:rsidRDefault="00A00290" w:rsidP="00F80D31">
            <w:pPr>
              <w:spacing w:after="0" w:line="240" w:lineRule="auto"/>
              <w:ind w:firstLine="0"/>
              <w:jc w:val="center"/>
              <w:rPr>
                <w:i/>
                <w:iCs/>
              </w:rPr>
            </w:pPr>
            <w:r w:rsidRPr="00394670">
              <w:rPr>
                <w:i/>
                <w:iCs/>
              </w:rPr>
              <w:t>DT</w:t>
            </w:r>
          </w:p>
        </w:tc>
      </w:tr>
      <w:tr w:rsidR="00A00290" w:rsidRPr="00394670" w14:paraId="25E921AF" w14:textId="77777777" w:rsidTr="00EE525C">
        <w:trPr>
          <w:trHeight w:val="414"/>
        </w:trPr>
        <w:tc>
          <w:tcPr>
            <w:tcW w:w="0" w:type="auto"/>
            <w:vMerge/>
            <w:tcBorders>
              <w:bottom w:val="single" w:sz="4" w:space="0" w:color="auto"/>
            </w:tcBorders>
            <w:shd w:val="clear" w:color="auto" w:fill="auto"/>
            <w:vAlign w:val="center"/>
          </w:tcPr>
          <w:p w14:paraId="3323D8B5" w14:textId="77777777" w:rsidR="00A00290" w:rsidRPr="00394670" w:rsidRDefault="00A00290" w:rsidP="00F80D31">
            <w:pPr>
              <w:spacing w:after="0" w:line="240" w:lineRule="auto"/>
              <w:ind w:firstLine="0"/>
            </w:pPr>
          </w:p>
        </w:tc>
        <w:tc>
          <w:tcPr>
            <w:tcW w:w="0" w:type="auto"/>
            <w:vMerge/>
            <w:tcBorders>
              <w:bottom w:val="single" w:sz="4" w:space="0" w:color="auto"/>
            </w:tcBorders>
            <w:shd w:val="clear" w:color="auto" w:fill="auto"/>
            <w:vAlign w:val="center"/>
          </w:tcPr>
          <w:p w14:paraId="013D5D71" w14:textId="77777777" w:rsidR="00A00290" w:rsidRPr="00394670" w:rsidRDefault="00A00290" w:rsidP="00F80D31">
            <w:pPr>
              <w:spacing w:after="0" w:line="240" w:lineRule="auto"/>
              <w:ind w:firstLine="0"/>
              <w:jc w:val="center"/>
            </w:pPr>
          </w:p>
        </w:tc>
        <w:tc>
          <w:tcPr>
            <w:tcW w:w="0" w:type="auto"/>
            <w:vMerge/>
            <w:tcBorders>
              <w:bottom w:val="single" w:sz="4" w:space="0" w:color="auto"/>
            </w:tcBorders>
            <w:shd w:val="clear" w:color="auto" w:fill="auto"/>
            <w:vAlign w:val="center"/>
          </w:tcPr>
          <w:p w14:paraId="2A3668AE" w14:textId="77777777" w:rsidR="00A00290" w:rsidRPr="00394670" w:rsidRDefault="00A00290" w:rsidP="00F80D31">
            <w:pPr>
              <w:spacing w:after="0" w:line="240" w:lineRule="auto"/>
              <w:ind w:firstLine="0"/>
              <w:jc w:val="center"/>
            </w:pPr>
          </w:p>
        </w:tc>
        <w:tc>
          <w:tcPr>
            <w:tcW w:w="0" w:type="auto"/>
            <w:vMerge/>
            <w:tcBorders>
              <w:bottom w:val="single" w:sz="4" w:space="0" w:color="auto"/>
            </w:tcBorders>
            <w:shd w:val="clear" w:color="auto" w:fill="auto"/>
            <w:vAlign w:val="center"/>
          </w:tcPr>
          <w:p w14:paraId="045AB0A2" w14:textId="77777777" w:rsidR="00A00290" w:rsidRPr="00394670" w:rsidRDefault="00A00290" w:rsidP="00F80D31">
            <w:pPr>
              <w:spacing w:after="0" w:line="240" w:lineRule="auto"/>
              <w:ind w:firstLine="0"/>
              <w:jc w:val="center"/>
            </w:pPr>
          </w:p>
        </w:tc>
        <w:tc>
          <w:tcPr>
            <w:tcW w:w="0" w:type="auto"/>
            <w:vMerge/>
            <w:tcBorders>
              <w:bottom w:val="single" w:sz="4" w:space="0" w:color="auto"/>
            </w:tcBorders>
            <w:shd w:val="clear" w:color="auto" w:fill="auto"/>
            <w:vAlign w:val="center"/>
          </w:tcPr>
          <w:p w14:paraId="2636F887" w14:textId="77777777" w:rsidR="00A00290" w:rsidRPr="00394670" w:rsidRDefault="00A00290" w:rsidP="00F80D31">
            <w:pPr>
              <w:spacing w:after="0" w:line="240" w:lineRule="auto"/>
              <w:ind w:firstLine="0"/>
              <w:jc w:val="center"/>
            </w:pPr>
          </w:p>
        </w:tc>
      </w:tr>
      <w:tr w:rsidR="00A00290" w:rsidRPr="00394670" w14:paraId="1E81FB54" w14:textId="77777777" w:rsidTr="00EE525C">
        <w:trPr>
          <w:trHeight w:val="226"/>
        </w:trPr>
        <w:tc>
          <w:tcPr>
            <w:tcW w:w="0" w:type="auto"/>
            <w:tcBorders>
              <w:top w:val="single" w:sz="4" w:space="0" w:color="auto"/>
              <w:bottom w:val="nil"/>
            </w:tcBorders>
            <w:shd w:val="clear" w:color="auto" w:fill="auto"/>
            <w:vAlign w:val="center"/>
          </w:tcPr>
          <w:p w14:paraId="7BBDEF1B" w14:textId="77777777" w:rsidR="00A00290" w:rsidRPr="00394670" w:rsidRDefault="00A00290" w:rsidP="00F80D31">
            <w:pPr>
              <w:spacing w:after="0" w:line="240" w:lineRule="auto"/>
              <w:ind w:firstLine="0"/>
            </w:pPr>
            <w:r w:rsidRPr="00394670">
              <w:t>FIO</w:t>
            </w:r>
          </w:p>
        </w:tc>
        <w:tc>
          <w:tcPr>
            <w:tcW w:w="0" w:type="auto"/>
            <w:tcBorders>
              <w:top w:val="single" w:sz="4" w:space="0" w:color="auto"/>
              <w:bottom w:val="nil"/>
            </w:tcBorders>
            <w:shd w:val="clear" w:color="auto" w:fill="auto"/>
            <w:vAlign w:val="center"/>
          </w:tcPr>
          <w:p w14:paraId="408ACDAA" w14:textId="77777777" w:rsidR="00A00290" w:rsidRPr="00394670" w:rsidRDefault="00A059B0" w:rsidP="00F80D31">
            <w:pPr>
              <w:spacing w:after="0" w:line="240" w:lineRule="auto"/>
              <w:ind w:firstLine="0"/>
              <w:jc w:val="center"/>
            </w:pPr>
            <w:r w:rsidRPr="00394670">
              <w:t>3.59</w:t>
            </w:r>
          </w:p>
        </w:tc>
        <w:tc>
          <w:tcPr>
            <w:tcW w:w="0" w:type="auto"/>
            <w:tcBorders>
              <w:top w:val="single" w:sz="4" w:space="0" w:color="auto"/>
              <w:bottom w:val="nil"/>
            </w:tcBorders>
            <w:shd w:val="clear" w:color="auto" w:fill="auto"/>
            <w:vAlign w:val="center"/>
          </w:tcPr>
          <w:p w14:paraId="2800D5BD" w14:textId="77777777" w:rsidR="00A00290" w:rsidRPr="00394670" w:rsidRDefault="00A059B0" w:rsidP="00F80D31">
            <w:pPr>
              <w:spacing w:after="0" w:line="240" w:lineRule="auto"/>
              <w:ind w:firstLine="0"/>
              <w:jc w:val="center"/>
            </w:pPr>
            <w:r w:rsidRPr="00394670">
              <w:t>1.53</w:t>
            </w:r>
          </w:p>
        </w:tc>
        <w:tc>
          <w:tcPr>
            <w:tcW w:w="0" w:type="auto"/>
            <w:tcBorders>
              <w:top w:val="single" w:sz="4" w:space="0" w:color="auto"/>
              <w:bottom w:val="nil"/>
            </w:tcBorders>
            <w:shd w:val="clear" w:color="auto" w:fill="auto"/>
            <w:vAlign w:val="center"/>
          </w:tcPr>
          <w:p w14:paraId="43148B7A" w14:textId="77777777" w:rsidR="00A00290" w:rsidRPr="00394670" w:rsidRDefault="00A00290" w:rsidP="00F80D31">
            <w:pPr>
              <w:spacing w:after="0" w:line="240" w:lineRule="auto"/>
              <w:ind w:firstLine="0"/>
              <w:jc w:val="center"/>
            </w:pPr>
            <w:r w:rsidRPr="00394670">
              <w:t>3.63</w:t>
            </w:r>
          </w:p>
        </w:tc>
        <w:tc>
          <w:tcPr>
            <w:tcW w:w="0" w:type="auto"/>
            <w:tcBorders>
              <w:top w:val="single" w:sz="4" w:space="0" w:color="auto"/>
              <w:bottom w:val="nil"/>
            </w:tcBorders>
            <w:shd w:val="clear" w:color="auto" w:fill="auto"/>
            <w:vAlign w:val="center"/>
          </w:tcPr>
          <w:p w14:paraId="06379CAB" w14:textId="77777777" w:rsidR="00A00290" w:rsidRPr="00394670" w:rsidRDefault="00A00290" w:rsidP="00F80D31">
            <w:pPr>
              <w:spacing w:after="0" w:line="240" w:lineRule="auto"/>
              <w:ind w:firstLine="0"/>
              <w:jc w:val="center"/>
            </w:pPr>
            <w:r w:rsidRPr="00394670">
              <w:t>1.03</w:t>
            </w:r>
          </w:p>
        </w:tc>
      </w:tr>
      <w:tr w:rsidR="00A00290" w:rsidRPr="00394670" w14:paraId="150F8576" w14:textId="77777777" w:rsidTr="00EE525C">
        <w:trPr>
          <w:trHeight w:val="232"/>
        </w:trPr>
        <w:tc>
          <w:tcPr>
            <w:tcW w:w="0" w:type="auto"/>
            <w:tcBorders>
              <w:top w:val="nil"/>
              <w:bottom w:val="single" w:sz="4" w:space="0" w:color="auto"/>
            </w:tcBorders>
            <w:shd w:val="clear" w:color="auto" w:fill="auto"/>
            <w:vAlign w:val="center"/>
          </w:tcPr>
          <w:p w14:paraId="7B93899F" w14:textId="77777777" w:rsidR="00A00290" w:rsidRPr="00394670" w:rsidRDefault="00A00290" w:rsidP="00F80D31">
            <w:pPr>
              <w:spacing w:after="0" w:line="240" w:lineRule="auto"/>
              <w:ind w:firstLine="0"/>
              <w:rPr>
                <w:lang w:val="en-US"/>
              </w:rPr>
            </w:pPr>
            <w:r w:rsidRPr="00394670">
              <w:rPr>
                <w:lang w:val="en-US"/>
              </w:rPr>
              <w:t>FIA</w:t>
            </w:r>
          </w:p>
        </w:tc>
        <w:tc>
          <w:tcPr>
            <w:tcW w:w="0" w:type="auto"/>
            <w:tcBorders>
              <w:top w:val="nil"/>
              <w:bottom w:val="single" w:sz="4" w:space="0" w:color="auto"/>
            </w:tcBorders>
            <w:shd w:val="clear" w:color="auto" w:fill="auto"/>
            <w:vAlign w:val="center"/>
          </w:tcPr>
          <w:p w14:paraId="66139D3C" w14:textId="77777777" w:rsidR="00A00290" w:rsidRPr="00394670" w:rsidRDefault="00A059B0" w:rsidP="00F80D31">
            <w:pPr>
              <w:spacing w:after="0" w:line="240" w:lineRule="auto"/>
              <w:ind w:firstLine="0"/>
              <w:jc w:val="center"/>
            </w:pPr>
            <w:r w:rsidRPr="00394670">
              <w:t>2.32</w:t>
            </w:r>
          </w:p>
        </w:tc>
        <w:tc>
          <w:tcPr>
            <w:tcW w:w="0" w:type="auto"/>
            <w:tcBorders>
              <w:top w:val="nil"/>
              <w:bottom w:val="single" w:sz="4" w:space="0" w:color="auto"/>
            </w:tcBorders>
            <w:shd w:val="clear" w:color="auto" w:fill="auto"/>
            <w:vAlign w:val="center"/>
          </w:tcPr>
          <w:p w14:paraId="1983E609" w14:textId="77777777" w:rsidR="00A00290" w:rsidRPr="00394670" w:rsidRDefault="00A059B0" w:rsidP="00F80D31">
            <w:pPr>
              <w:spacing w:after="0" w:line="240" w:lineRule="auto"/>
              <w:ind w:firstLine="0"/>
              <w:jc w:val="center"/>
            </w:pPr>
            <w:r w:rsidRPr="00394670">
              <w:t>1.39</w:t>
            </w:r>
          </w:p>
        </w:tc>
        <w:tc>
          <w:tcPr>
            <w:tcW w:w="0" w:type="auto"/>
            <w:tcBorders>
              <w:top w:val="nil"/>
              <w:bottom w:val="single" w:sz="4" w:space="0" w:color="auto"/>
            </w:tcBorders>
            <w:shd w:val="clear" w:color="auto" w:fill="auto"/>
            <w:vAlign w:val="center"/>
          </w:tcPr>
          <w:p w14:paraId="741C9593" w14:textId="77777777" w:rsidR="00A00290" w:rsidRPr="00394670" w:rsidRDefault="00A00290" w:rsidP="00F80D31">
            <w:pPr>
              <w:spacing w:after="0" w:line="240" w:lineRule="auto"/>
              <w:ind w:firstLine="0"/>
              <w:jc w:val="center"/>
            </w:pPr>
            <w:r w:rsidRPr="00394670">
              <w:t>3.05</w:t>
            </w:r>
          </w:p>
        </w:tc>
        <w:tc>
          <w:tcPr>
            <w:tcW w:w="0" w:type="auto"/>
            <w:tcBorders>
              <w:top w:val="nil"/>
              <w:bottom w:val="single" w:sz="4" w:space="0" w:color="auto"/>
            </w:tcBorders>
            <w:shd w:val="clear" w:color="auto" w:fill="auto"/>
            <w:vAlign w:val="center"/>
          </w:tcPr>
          <w:p w14:paraId="07A30BFC" w14:textId="77777777" w:rsidR="00A00290" w:rsidRPr="00394670" w:rsidRDefault="00A00290" w:rsidP="00F80D31">
            <w:pPr>
              <w:spacing w:after="0" w:line="240" w:lineRule="auto"/>
              <w:ind w:firstLine="0"/>
              <w:jc w:val="center"/>
            </w:pPr>
            <w:r w:rsidRPr="00394670">
              <w:t>.89</w:t>
            </w:r>
          </w:p>
        </w:tc>
      </w:tr>
      <w:tr w:rsidR="00A00290" w:rsidRPr="00394670" w14:paraId="339D619C" w14:textId="77777777" w:rsidTr="00EE525C">
        <w:trPr>
          <w:trHeight w:val="232"/>
        </w:trPr>
        <w:tc>
          <w:tcPr>
            <w:tcW w:w="0" w:type="auto"/>
            <w:tcBorders>
              <w:top w:val="single" w:sz="4" w:space="0" w:color="auto"/>
              <w:bottom w:val="nil"/>
            </w:tcBorders>
            <w:shd w:val="clear" w:color="auto" w:fill="auto"/>
            <w:vAlign w:val="center"/>
          </w:tcPr>
          <w:p w14:paraId="0F7FBB37" w14:textId="77777777" w:rsidR="00A00290" w:rsidRPr="00394670" w:rsidRDefault="00A00290" w:rsidP="00F80D31">
            <w:pPr>
              <w:spacing w:after="0" w:line="240" w:lineRule="auto"/>
              <w:ind w:firstLine="0"/>
              <w:rPr>
                <w:lang w:val="en-US"/>
              </w:rPr>
            </w:pPr>
            <w:r w:rsidRPr="00394670">
              <w:rPr>
                <w:i/>
                <w:iCs/>
              </w:rPr>
              <w:t>t</w:t>
            </w:r>
          </w:p>
        </w:tc>
        <w:tc>
          <w:tcPr>
            <w:tcW w:w="0" w:type="auto"/>
            <w:gridSpan w:val="2"/>
            <w:tcBorders>
              <w:top w:val="single" w:sz="4" w:space="0" w:color="auto"/>
              <w:bottom w:val="nil"/>
            </w:tcBorders>
            <w:shd w:val="clear" w:color="auto" w:fill="auto"/>
            <w:vAlign w:val="center"/>
          </w:tcPr>
          <w:p w14:paraId="323DDB10" w14:textId="77777777" w:rsidR="00A00290" w:rsidRPr="00394670" w:rsidRDefault="00A059B0" w:rsidP="00F80D31">
            <w:pPr>
              <w:spacing w:after="0" w:line="240" w:lineRule="auto"/>
              <w:ind w:firstLine="0"/>
              <w:jc w:val="center"/>
            </w:pPr>
            <w:r w:rsidRPr="00394670">
              <w:t>20.546</w:t>
            </w:r>
          </w:p>
        </w:tc>
        <w:tc>
          <w:tcPr>
            <w:tcW w:w="0" w:type="auto"/>
            <w:gridSpan w:val="2"/>
            <w:tcBorders>
              <w:top w:val="single" w:sz="4" w:space="0" w:color="auto"/>
              <w:bottom w:val="nil"/>
            </w:tcBorders>
            <w:shd w:val="clear" w:color="auto" w:fill="auto"/>
            <w:vAlign w:val="center"/>
          </w:tcPr>
          <w:p w14:paraId="0A09C37E" w14:textId="77777777" w:rsidR="00A00290" w:rsidRPr="00394670" w:rsidRDefault="00A00290" w:rsidP="00F80D31">
            <w:pPr>
              <w:spacing w:after="0" w:line="240" w:lineRule="auto"/>
              <w:ind w:firstLine="0"/>
              <w:jc w:val="center"/>
            </w:pPr>
            <w:r w:rsidRPr="00394670">
              <w:t>8.726</w:t>
            </w:r>
          </w:p>
        </w:tc>
      </w:tr>
      <w:tr w:rsidR="00A00290" w:rsidRPr="00394670" w14:paraId="152FF8B4" w14:textId="77777777" w:rsidTr="00EE525C">
        <w:trPr>
          <w:trHeight w:val="232"/>
        </w:trPr>
        <w:tc>
          <w:tcPr>
            <w:tcW w:w="0" w:type="auto"/>
            <w:tcBorders>
              <w:top w:val="nil"/>
              <w:bottom w:val="nil"/>
            </w:tcBorders>
            <w:shd w:val="clear" w:color="auto" w:fill="auto"/>
            <w:vAlign w:val="center"/>
          </w:tcPr>
          <w:p w14:paraId="37B67749" w14:textId="77777777" w:rsidR="00A00290" w:rsidRPr="00394670" w:rsidRDefault="00A00290" w:rsidP="00F80D31">
            <w:pPr>
              <w:spacing w:after="0" w:line="240" w:lineRule="auto"/>
              <w:ind w:firstLine="0"/>
              <w:rPr>
                <w:lang w:val="en-US"/>
              </w:rPr>
            </w:pPr>
            <w:proofErr w:type="spellStart"/>
            <w:r w:rsidRPr="00394670">
              <w:rPr>
                <w:i/>
                <w:iCs/>
              </w:rPr>
              <w:t>gl</w:t>
            </w:r>
            <w:proofErr w:type="spellEnd"/>
          </w:p>
        </w:tc>
        <w:tc>
          <w:tcPr>
            <w:tcW w:w="0" w:type="auto"/>
            <w:gridSpan w:val="2"/>
            <w:tcBorders>
              <w:top w:val="nil"/>
              <w:bottom w:val="nil"/>
            </w:tcBorders>
            <w:shd w:val="clear" w:color="auto" w:fill="auto"/>
            <w:vAlign w:val="center"/>
          </w:tcPr>
          <w:p w14:paraId="6E0B0EA6" w14:textId="77777777" w:rsidR="00A00290" w:rsidRPr="00394670" w:rsidRDefault="00A059B0" w:rsidP="00F80D31">
            <w:pPr>
              <w:spacing w:after="0" w:line="240" w:lineRule="auto"/>
              <w:ind w:firstLine="0"/>
              <w:jc w:val="center"/>
            </w:pPr>
            <w:r w:rsidRPr="00394670">
              <w:t>769</w:t>
            </w:r>
          </w:p>
        </w:tc>
        <w:tc>
          <w:tcPr>
            <w:tcW w:w="0" w:type="auto"/>
            <w:gridSpan w:val="2"/>
            <w:tcBorders>
              <w:top w:val="nil"/>
              <w:bottom w:val="nil"/>
            </w:tcBorders>
            <w:shd w:val="clear" w:color="auto" w:fill="auto"/>
            <w:vAlign w:val="center"/>
          </w:tcPr>
          <w:p w14:paraId="393DDC0F" w14:textId="77777777" w:rsidR="00A00290" w:rsidRPr="00394670" w:rsidRDefault="00A00290" w:rsidP="00F80D31">
            <w:pPr>
              <w:spacing w:after="0" w:line="240" w:lineRule="auto"/>
              <w:ind w:firstLine="0"/>
              <w:jc w:val="center"/>
            </w:pPr>
            <w:r w:rsidRPr="00394670">
              <w:t>306</w:t>
            </w:r>
          </w:p>
        </w:tc>
      </w:tr>
      <w:tr w:rsidR="00A00290" w:rsidRPr="00394670" w14:paraId="235EF011" w14:textId="77777777" w:rsidTr="00EE525C">
        <w:trPr>
          <w:trHeight w:val="232"/>
        </w:trPr>
        <w:tc>
          <w:tcPr>
            <w:tcW w:w="0" w:type="auto"/>
            <w:tcBorders>
              <w:top w:val="nil"/>
              <w:bottom w:val="single" w:sz="4" w:space="0" w:color="auto"/>
            </w:tcBorders>
            <w:shd w:val="clear" w:color="auto" w:fill="auto"/>
            <w:vAlign w:val="center"/>
          </w:tcPr>
          <w:p w14:paraId="6C64CF47" w14:textId="77777777" w:rsidR="00A00290" w:rsidRPr="00394670" w:rsidRDefault="00A00290" w:rsidP="00F80D31">
            <w:pPr>
              <w:spacing w:after="0" w:line="240" w:lineRule="auto"/>
              <w:ind w:firstLine="0"/>
              <w:rPr>
                <w:lang w:val="en-US"/>
              </w:rPr>
            </w:pPr>
            <w:r w:rsidRPr="00394670">
              <w:rPr>
                <w:i/>
              </w:rPr>
              <w:t>p</w:t>
            </w:r>
          </w:p>
        </w:tc>
        <w:tc>
          <w:tcPr>
            <w:tcW w:w="0" w:type="auto"/>
            <w:gridSpan w:val="2"/>
            <w:tcBorders>
              <w:top w:val="nil"/>
              <w:bottom w:val="single" w:sz="4" w:space="0" w:color="auto"/>
            </w:tcBorders>
            <w:shd w:val="clear" w:color="auto" w:fill="auto"/>
            <w:vAlign w:val="center"/>
          </w:tcPr>
          <w:p w14:paraId="7270D857" w14:textId="77777777" w:rsidR="00A00290" w:rsidRPr="00394670" w:rsidRDefault="00A059B0" w:rsidP="00F80D31">
            <w:pPr>
              <w:spacing w:after="0" w:line="240" w:lineRule="auto"/>
              <w:ind w:firstLine="0"/>
              <w:jc w:val="center"/>
            </w:pPr>
            <w:r w:rsidRPr="00394670">
              <w:t>.000</w:t>
            </w:r>
          </w:p>
        </w:tc>
        <w:tc>
          <w:tcPr>
            <w:tcW w:w="0" w:type="auto"/>
            <w:gridSpan w:val="2"/>
            <w:tcBorders>
              <w:top w:val="nil"/>
              <w:bottom w:val="single" w:sz="4" w:space="0" w:color="auto"/>
            </w:tcBorders>
            <w:shd w:val="clear" w:color="auto" w:fill="auto"/>
            <w:vAlign w:val="center"/>
          </w:tcPr>
          <w:p w14:paraId="6E28840E" w14:textId="77777777" w:rsidR="00A00290" w:rsidRPr="00394670" w:rsidRDefault="00A00290" w:rsidP="00F80D31">
            <w:pPr>
              <w:spacing w:after="0" w:line="240" w:lineRule="auto"/>
              <w:ind w:firstLine="0"/>
              <w:jc w:val="center"/>
            </w:pPr>
            <w:r w:rsidRPr="00394670">
              <w:t>.000</w:t>
            </w:r>
          </w:p>
        </w:tc>
      </w:tr>
      <w:tr w:rsidR="00A00290" w:rsidRPr="00394670" w14:paraId="0122FB25" w14:textId="77777777" w:rsidTr="00EE525C">
        <w:trPr>
          <w:trHeight w:val="96"/>
        </w:trPr>
        <w:tc>
          <w:tcPr>
            <w:tcW w:w="0" w:type="auto"/>
            <w:vMerge w:val="restart"/>
            <w:tcBorders>
              <w:top w:val="single" w:sz="4" w:space="0" w:color="auto"/>
            </w:tcBorders>
            <w:shd w:val="clear" w:color="auto" w:fill="auto"/>
            <w:vAlign w:val="center"/>
          </w:tcPr>
          <w:p w14:paraId="0C2C9412" w14:textId="77777777" w:rsidR="00A00290" w:rsidRPr="00394670" w:rsidRDefault="00A00290" w:rsidP="00F80D31">
            <w:pPr>
              <w:spacing w:after="0" w:line="240" w:lineRule="auto"/>
              <w:ind w:firstLine="0"/>
            </w:pPr>
            <w:r w:rsidRPr="00394670">
              <w:rPr>
                <w:iCs/>
              </w:rPr>
              <w:t>95% de Intervalo de Confianza de la Diferencia</w:t>
            </w:r>
          </w:p>
        </w:tc>
        <w:tc>
          <w:tcPr>
            <w:tcW w:w="0" w:type="auto"/>
            <w:tcBorders>
              <w:top w:val="single" w:sz="4" w:space="0" w:color="auto"/>
            </w:tcBorders>
            <w:shd w:val="clear" w:color="auto" w:fill="auto"/>
            <w:vAlign w:val="center"/>
          </w:tcPr>
          <w:p w14:paraId="25392C7D" w14:textId="77777777" w:rsidR="00A00290" w:rsidRPr="00394670" w:rsidRDefault="00A00290" w:rsidP="00F80D31">
            <w:pPr>
              <w:spacing w:after="0" w:line="240" w:lineRule="auto"/>
              <w:ind w:firstLine="0"/>
              <w:jc w:val="center"/>
            </w:pPr>
            <w:r w:rsidRPr="00394670">
              <w:rPr>
                <w:iCs/>
              </w:rPr>
              <w:t>Límite Inferior</w:t>
            </w:r>
          </w:p>
        </w:tc>
        <w:tc>
          <w:tcPr>
            <w:tcW w:w="0" w:type="auto"/>
            <w:tcBorders>
              <w:top w:val="single" w:sz="4" w:space="0" w:color="auto"/>
            </w:tcBorders>
            <w:shd w:val="clear" w:color="auto" w:fill="auto"/>
            <w:vAlign w:val="center"/>
          </w:tcPr>
          <w:p w14:paraId="1D6C88DC" w14:textId="77777777" w:rsidR="00A00290" w:rsidRPr="00394670" w:rsidRDefault="00A00290" w:rsidP="00F80D31">
            <w:pPr>
              <w:spacing w:after="0" w:line="240" w:lineRule="auto"/>
              <w:ind w:firstLine="0"/>
              <w:jc w:val="center"/>
            </w:pPr>
            <w:r w:rsidRPr="00394670">
              <w:rPr>
                <w:iCs/>
              </w:rPr>
              <w:t>Limite Superior</w:t>
            </w:r>
          </w:p>
        </w:tc>
        <w:tc>
          <w:tcPr>
            <w:tcW w:w="0" w:type="auto"/>
            <w:tcBorders>
              <w:top w:val="single" w:sz="4" w:space="0" w:color="auto"/>
            </w:tcBorders>
            <w:shd w:val="clear" w:color="auto" w:fill="auto"/>
            <w:vAlign w:val="center"/>
          </w:tcPr>
          <w:p w14:paraId="67CB2467" w14:textId="77777777" w:rsidR="00A00290" w:rsidRPr="00394670" w:rsidRDefault="00A00290" w:rsidP="00F80D31">
            <w:pPr>
              <w:spacing w:after="0" w:line="240" w:lineRule="auto"/>
              <w:ind w:firstLine="0"/>
              <w:jc w:val="center"/>
            </w:pPr>
            <w:r w:rsidRPr="00394670">
              <w:rPr>
                <w:iCs/>
              </w:rPr>
              <w:t>Límite Inferior</w:t>
            </w:r>
          </w:p>
        </w:tc>
        <w:tc>
          <w:tcPr>
            <w:tcW w:w="0" w:type="auto"/>
            <w:tcBorders>
              <w:top w:val="single" w:sz="4" w:space="0" w:color="auto"/>
            </w:tcBorders>
            <w:shd w:val="clear" w:color="auto" w:fill="auto"/>
            <w:vAlign w:val="center"/>
          </w:tcPr>
          <w:p w14:paraId="7740845E" w14:textId="77777777" w:rsidR="00A00290" w:rsidRPr="00394670" w:rsidRDefault="00A00290" w:rsidP="00F80D31">
            <w:pPr>
              <w:spacing w:after="0" w:line="240" w:lineRule="auto"/>
              <w:ind w:firstLine="0"/>
              <w:jc w:val="center"/>
            </w:pPr>
            <w:r w:rsidRPr="00394670">
              <w:rPr>
                <w:iCs/>
              </w:rPr>
              <w:t>Limite Superior</w:t>
            </w:r>
          </w:p>
        </w:tc>
      </w:tr>
      <w:tr w:rsidR="00A00290" w:rsidRPr="00394670" w14:paraId="3891BAB4" w14:textId="77777777" w:rsidTr="00EE525C">
        <w:trPr>
          <w:trHeight w:val="95"/>
        </w:trPr>
        <w:tc>
          <w:tcPr>
            <w:tcW w:w="0" w:type="auto"/>
            <w:vMerge/>
            <w:shd w:val="clear" w:color="auto" w:fill="auto"/>
            <w:vAlign w:val="center"/>
          </w:tcPr>
          <w:p w14:paraId="36096A9F" w14:textId="77777777" w:rsidR="00A00290" w:rsidRPr="00394670" w:rsidRDefault="00A00290" w:rsidP="00F80D31">
            <w:pPr>
              <w:spacing w:after="0" w:line="240" w:lineRule="auto"/>
              <w:ind w:firstLine="0"/>
            </w:pPr>
          </w:p>
        </w:tc>
        <w:tc>
          <w:tcPr>
            <w:tcW w:w="0" w:type="auto"/>
            <w:shd w:val="clear" w:color="auto" w:fill="auto"/>
            <w:vAlign w:val="center"/>
          </w:tcPr>
          <w:p w14:paraId="224C27BD" w14:textId="77777777" w:rsidR="00A00290" w:rsidRPr="00394670" w:rsidRDefault="003373C7" w:rsidP="00F80D31">
            <w:pPr>
              <w:spacing w:after="0" w:line="240" w:lineRule="auto"/>
              <w:ind w:firstLine="0"/>
              <w:jc w:val="center"/>
            </w:pPr>
            <w:r w:rsidRPr="00394670">
              <w:t>1.14</w:t>
            </w:r>
          </w:p>
        </w:tc>
        <w:tc>
          <w:tcPr>
            <w:tcW w:w="0" w:type="auto"/>
            <w:shd w:val="clear" w:color="auto" w:fill="auto"/>
            <w:vAlign w:val="center"/>
          </w:tcPr>
          <w:p w14:paraId="5E9D31A9" w14:textId="77777777" w:rsidR="00A00290" w:rsidRPr="00394670" w:rsidRDefault="003373C7" w:rsidP="00F80D31">
            <w:pPr>
              <w:spacing w:after="0" w:line="240" w:lineRule="auto"/>
              <w:ind w:firstLine="0"/>
              <w:jc w:val="center"/>
            </w:pPr>
            <w:r w:rsidRPr="00394670">
              <w:t>1.38</w:t>
            </w:r>
          </w:p>
        </w:tc>
        <w:tc>
          <w:tcPr>
            <w:tcW w:w="0" w:type="auto"/>
            <w:shd w:val="clear" w:color="auto" w:fill="auto"/>
            <w:vAlign w:val="center"/>
          </w:tcPr>
          <w:p w14:paraId="4F86FC7B" w14:textId="77777777" w:rsidR="00A00290" w:rsidRPr="00394670" w:rsidRDefault="00A00290" w:rsidP="00F80D31">
            <w:pPr>
              <w:spacing w:after="0" w:line="240" w:lineRule="auto"/>
              <w:ind w:firstLine="0"/>
              <w:jc w:val="center"/>
            </w:pPr>
            <w:r w:rsidRPr="00394670">
              <w:t>.44</w:t>
            </w:r>
          </w:p>
        </w:tc>
        <w:tc>
          <w:tcPr>
            <w:tcW w:w="0" w:type="auto"/>
            <w:shd w:val="clear" w:color="auto" w:fill="auto"/>
            <w:vAlign w:val="center"/>
          </w:tcPr>
          <w:p w14:paraId="0890DD98" w14:textId="77777777" w:rsidR="00A00290" w:rsidRPr="00394670" w:rsidRDefault="00A00290" w:rsidP="00F80D31">
            <w:pPr>
              <w:spacing w:after="0" w:line="240" w:lineRule="auto"/>
              <w:ind w:firstLine="0"/>
              <w:jc w:val="center"/>
            </w:pPr>
            <w:r w:rsidRPr="00394670">
              <w:t>.70</w:t>
            </w:r>
          </w:p>
        </w:tc>
      </w:tr>
      <w:tr w:rsidR="000D6B23" w:rsidRPr="00394670" w14:paraId="288DFAC1" w14:textId="77777777" w:rsidTr="00EE525C">
        <w:trPr>
          <w:trHeight w:val="90"/>
        </w:trPr>
        <w:tc>
          <w:tcPr>
            <w:tcW w:w="0" w:type="auto"/>
            <w:gridSpan w:val="5"/>
            <w:shd w:val="clear" w:color="auto" w:fill="auto"/>
            <w:vAlign w:val="center"/>
          </w:tcPr>
          <w:p w14:paraId="49B464DB" w14:textId="3ED93E3B" w:rsidR="000D6B23" w:rsidRPr="00394670" w:rsidRDefault="00A00290" w:rsidP="00F80D31">
            <w:pPr>
              <w:spacing w:after="0" w:line="240" w:lineRule="auto"/>
              <w:ind w:firstLine="0"/>
              <w:rPr>
                <w:i/>
                <w:iCs/>
              </w:rPr>
            </w:pPr>
            <w:r w:rsidRPr="00394670">
              <w:rPr>
                <w:i/>
                <w:iCs/>
                <w:lang w:val="es-ES"/>
              </w:rPr>
              <w:t>Not</w:t>
            </w:r>
            <w:r w:rsidR="00FE5337" w:rsidRPr="00394670">
              <w:rPr>
                <w:i/>
                <w:iCs/>
                <w:lang w:val="es-ES"/>
              </w:rPr>
              <w:t>a</w:t>
            </w:r>
            <w:r w:rsidRPr="00394670">
              <w:rPr>
                <w:lang w:val="es-ES"/>
              </w:rPr>
              <w:t>: FIO=Fusión de Identidad con el país de origen; FIA=Fusión de Identidad con el país de acogida.</w:t>
            </w:r>
          </w:p>
        </w:tc>
      </w:tr>
    </w:tbl>
    <w:p w14:paraId="69D985BE" w14:textId="77777777" w:rsidR="00EC432A" w:rsidRPr="00394670" w:rsidRDefault="00EC432A" w:rsidP="00F80D31">
      <w:pPr>
        <w:spacing w:line="360" w:lineRule="auto"/>
        <w:ind w:firstLine="0"/>
      </w:pPr>
    </w:p>
    <w:p w14:paraId="76762F76" w14:textId="41CBF933" w:rsidR="00F80D31" w:rsidRDefault="007B70CF" w:rsidP="00F80D31">
      <w:pPr>
        <w:spacing w:line="360" w:lineRule="auto"/>
      </w:pPr>
      <w:r w:rsidRPr="00394670">
        <w:t xml:space="preserve">Se realizó un ANOVA de una vía para comparar el efecto </w:t>
      </w:r>
      <w:r w:rsidR="00F3126C" w:rsidRPr="00394670">
        <w:t xml:space="preserve">de </w:t>
      </w:r>
      <w:r w:rsidRPr="00394670">
        <w:t xml:space="preserve">los años residiendo en Chile (agrupados en tres niveles) en los diferentes puntajes de fusión de identidad con el país de origen de los migrantes colombianos. El análisis reveló </w:t>
      </w:r>
      <w:r w:rsidR="003D5FF7" w:rsidRPr="00394670">
        <w:t>que no existía</w:t>
      </w:r>
      <w:r w:rsidRPr="00394670">
        <w:t xml:space="preserve"> una diferencia estadísticamente significativa en la puntuación media de la fusión de identidad con el país de acogida </w:t>
      </w:r>
      <w:r w:rsidR="003D5FF7" w:rsidRPr="00394670">
        <w:t>y los años viviendo en Chile</w:t>
      </w:r>
      <w:r w:rsidRPr="00394670">
        <w:t xml:space="preserve"> (F (2, 767) = </w:t>
      </w:r>
      <w:r w:rsidR="003D5FF7" w:rsidRPr="00394670">
        <w:t>2.209</w:t>
      </w:r>
      <w:r w:rsidRPr="00394670">
        <w:t xml:space="preserve">, </w:t>
      </w:r>
      <w:r w:rsidRPr="00394670">
        <w:rPr>
          <w:i/>
          <w:iCs/>
        </w:rPr>
        <w:t>p</w:t>
      </w:r>
      <w:r w:rsidRPr="00394670">
        <w:t xml:space="preserve"> = .</w:t>
      </w:r>
      <w:r w:rsidR="003D5FF7" w:rsidRPr="00394670">
        <w:t>111</w:t>
      </w:r>
      <w:r w:rsidRPr="00394670">
        <w:t xml:space="preserve">). </w:t>
      </w:r>
    </w:p>
    <w:p w14:paraId="4923E115" w14:textId="007ECE61" w:rsidR="00F80D31" w:rsidRDefault="00F80D31" w:rsidP="00F80D31">
      <w:pPr>
        <w:spacing w:line="360" w:lineRule="auto"/>
      </w:pPr>
    </w:p>
    <w:p w14:paraId="1BC01A5C" w14:textId="33BFFAF7" w:rsidR="00F80D31" w:rsidRDefault="00F80D31" w:rsidP="00F80D31">
      <w:pPr>
        <w:spacing w:line="360" w:lineRule="auto"/>
      </w:pPr>
    </w:p>
    <w:p w14:paraId="670B95E8" w14:textId="4282C201" w:rsidR="00F80D31" w:rsidRDefault="00F80D31" w:rsidP="00F80D31">
      <w:pPr>
        <w:spacing w:line="360" w:lineRule="auto"/>
      </w:pPr>
    </w:p>
    <w:p w14:paraId="2D5984EB" w14:textId="5E4CFC11" w:rsidR="00F80D31" w:rsidRDefault="00F80D31" w:rsidP="00F80D31">
      <w:pPr>
        <w:spacing w:line="360" w:lineRule="auto"/>
      </w:pPr>
    </w:p>
    <w:p w14:paraId="4A6F0A11" w14:textId="20E20B9D" w:rsidR="00F80D31" w:rsidRDefault="00F80D31" w:rsidP="00F80D31">
      <w:pPr>
        <w:spacing w:line="360" w:lineRule="auto"/>
      </w:pPr>
    </w:p>
    <w:p w14:paraId="1AE44CEB" w14:textId="4367A6C4" w:rsidR="00F80D31" w:rsidRDefault="00F80D31" w:rsidP="00F80D31">
      <w:pPr>
        <w:spacing w:line="360" w:lineRule="auto"/>
      </w:pPr>
    </w:p>
    <w:p w14:paraId="7A758D68" w14:textId="0ABED7AE" w:rsidR="00F80D31" w:rsidRDefault="00F80D31" w:rsidP="00F80D31">
      <w:pPr>
        <w:spacing w:line="360" w:lineRule="auto"/>
      </w:pPr>
    </w:p>
    <w:p w14:paraId="5664DC4A" w14:textId="7663F7EB" w:rsidR="00F80D31" w:rsidRDefault="00F80D31" w:rsidP="00F80D31">
      <w:pPr>
        <w:spacing w:line="360" w:lineRule="auto"/>
      </w:pPr>
    </w:p>
    <w:p w14:paraId="742AE7EE" w14:textId="77777777" w:rsidR="00F80D31" w:rsidRPr="00394670" w:rsidRDefault="00F80D31" w:rsidP="00F80D31">
      <w:pPr>
        <w:spacing w:line="360" w:lineRule="auto"/>
      </w:pPr>
    </w:p>
    <w:tbl>
      <w:tblPr>
        <w:tblW w:w="8689" w:type="dxa"/>
        <w:tblBorders>
          <w:bottom w:val="single" w:sz="4" w:space="0" w:color="auto"/>
          <w:insideH w:val="single" w:sz="4" w:space="0" w:color="auto"/>
        </w:tblBorders>
        <w:tblLook w:val="04A0" w:firstRow="1" w:lastRow="0" w:firstColumn="1" w:lastColumn="0" w:noHBand="0" w:noVBand="1"/>
      </w:tblPr>
      <w:tblGrid>
        <w:gridCol w:w="2041"/>
        <w:gridCol w:w="1083"/>
        <w:gridCol w:w="1116"/>
        <w:gridCol w:w="1158"/>
        <w:gridCol w:w="1083"/>
        <w:gridCol w:w="1116"/>
        <w:gridCol w:w="1092"/>
      </w:tblGrid>
      <w:tr w:rsidR="00C54BEF" w:rsidRPr="00394670" w14:paraId="4141BD6C" w14:textId="77777777" w:rsidTr="003D5FF7">
        <w:trPr>
          <w:trHeight w:val="331"/>
        </w:trPr>
        <w:tc>
          <w:tcPr>
            <w:tcW w:w="0" w:type="auto"/>
            <w:gridSpan w:val="7"/>
            <w:shd w:val="clear" w:color="auto" w:fill="auto"/>
          </w:tcPr>
          <w:p w14:paraId="57BF1401" w14:textId="77777777" w:rsidR="00C54BEF" w:rsidRPr="00394670" w:rsidRDefault="00C54BEF" w:rsidP="00F80D31">
            <w:pPr>
              <w:spacing w:after="0" w:line="240" w:lineRule="auto"/>
              <w:ind w:firstLine="0"/>
              <w:rPr>
                <w:b/>
                <w:bCs/>
              </w:rPr>
            </w:pPr>
            <w:r w:rsidRPr="00394670">
              <w:rPr>
                <w:b/>
                <w:bCs/>
              </w:rPr>
              <w:lastRenderedPageBreak/>
              <w:t xml:space="preserve">Tabla </w:t>
            </w:r>
            <w:r w:rsidR="0054309F" w:rsidRPr="00394670">
              <w:rPr>
                <w:b/>
                <w:bCs/>
              </w:rPr>
              <w:t>4</w:t>
            </w:r>
          </w:p>
          <w:p w14:paraId="586F4F4A" w14:textId="77777777" w:rsidR="00C54BEF" w:rsidRPr="00394670" w:rsidRDefault="00BE4F1D" w:rsidP="00F80D31">
            <w:pPr>
              <w:spacing w:after="0" w:line="240" w:lineRule="auto"/>
              <w:ind w:firstLine="0"/>
              <w:rPr>
                <w:b/>
                <w:bCs/>
              </w:rPr>
            </w:pPr>
            <w:r w:rsidRPr="00394670">
              <w:t xml:space="preserve">Análisis de varianza </w:t>
            </w:r>
            <w:r w:rsidR="00EE7FAF" w:rsidRPr="00394670">
              <w:t>de acuerdo con</w:t>
            </w:r>
            <w:r w:rsidRPr="00394670">
              <w:t xml:space="preserve"> los niveles de FIO en cada categoría de los años viviendo en el país de acogida</w:t>
            </w:r>
            <w:r w:rsidR="00C54BEF" w:rsidRPr="00394670">
              <w:t>.</w:t>
            </w:r>
          </w:p>
        </w:tc>
      </w:tr>
      <w:tr w:rsidR="002C528C" w:rsidRPr="00394670" w14:paraId="5CEAF74C" w14:textId="77777777" w:rsidTr="003D5FF7">
        <w:trPr>
          <w:trHeight w:val="164"/>
        </w:trPr>
        <w:tc>
          <w:tcPr>
            <w:tcW w:w="0" w:type="auto"/>
            <w:vMerge w:val="restart"/>
            <w:shd w:val="clear" w:color="auto" w:fill="auto"/>
            <w:vAlign w:val="center"/>
          </w:tcPr>
          <w:p w14:paraId="120CB586" w14:textId="77777777" w:rsidR="00861F12" w:rsidRPr="00394670" w:rsidRDefault="00861F12" w:rsidP="00F80D31">
            <w:pPr>
              <w:spacing w:after="0" w:line="240" w:lineRule="auto"/>
              <w:ind w:firstLine="0"/>
              <w:rPr>
                <w:b/>
                <w:bCs/>
              </w:rPr>
            </w:pPr>
            <w:r w:rsidRPr="00394670">
              <w:rPr>
                <w:b/>
                <w:bCs/>
              </w:rPr>
              <w:t>Categorías</w:t>
            </w:r>
          </w:p>
        </w:tc>
        <w:tc>
          <w:tcPr>
            <w:tcW w:w="0" w:type="auto"/>
            <w:gridSpan w:val="3"/>
            <w:shd w:val="clear" w:color="auto" w:fill="auto"/>
          </w:tcPr>
          <w:p w14:paraId="0C9C8EA1" w14:textId="0E20560E" w:rsidR="00861F12" w:rsidRPr="00394670" w:rsidRDefault="004E18F1" w:rsidP="00F80D31">
            <w:pPr>
              <w:spacing w:after="0" w:line="240" w:lineRule="auto"/>
              <w:ind w:firstLine="0"/>
              <w:jc w:val="center"/>
              <w:rPr>
                <w:b/>
                <w:bCs/>
              </w:rPr>
            </w:pPr>
            <w:r w:rsidRPr="00394670">
              <w:rPr>
                <w:b/>
                <w:bCs/>
              </w:rPr>
              <w:t>Estudio 1</w:t>
            </w:r>
            <w:r w:rsidRPr="00394670">
              <w:rPr>
                <w:b/>
                <w:bCs/>
              </w:rPr>
              <w:br/>
            </w:r>
            <w:r w:rsidR="00DD35A0" w:rsidRPr="00394670">
              <w:rPr>
                <w:b/>
                <w:bCs/>
              </w:rPr>
              <w:t>colombianos</w:t>
            </w:r>
          </w:p>
        </w:tc>
        <w:tc>
          <w:tcPr>
            <w:tcW w:w="0" w:type="auto"/>
            <w:gridSpan w:val="3"/>
            <w:shd w:val="clear" w:color="auto" w:fill="auto"/>
          </w:tcPr>
          <w:p w14:paraId="6D186BC3" w14:textId="1BAE2A46" w:rsidR="00861F12" w:rsidRPr="00394670" w:rsidRDefault="004E18F1" w:rsidP="00F80D31">
            <w:pPr>
              <w:spacing w:after="0" w:line="240" w:lineRule="auto"/>
              <w:ind w:firstLine="0"/>
              <w:jc w:val="center"/>
              <w:rPr>
                <w:b/>
                <w:bCs/>
                <w:iCs/>
              </w:rPr>
            </w:pPr>
            <w:r w:rsidRPr="00394670">
              <w:rPr>
                <w:b/>
                <w:bCs/>
                <w:iCs/>
              </w:rPr>
              <w:t>Estudio 2</w:t>
            </w:r>
            <w:r w:rsidRPr="00394670">
              <w:rPr>
                <w:b/>
                <w:bCs/>
                <w:iCs/>
              </w:rPr>
              <w:br/>
            </w:r>
            <w:r w:rsidR="00DD35A0" w:rsidRPr="00394670">
              <w:rPr>
                <w:b/>
                <w:bCs/>
                <w:iCs/>
              </w:rPr>
              <w:t>venezolanos</w:t>
            </w:r>
          </w:p>
        </w:tc>
      </w:tr>
      <w:tr w:rsidR="00210CF4" w:rsidRPr="00394670" w14:paraId="36D94A42" w14:textId="77777777" w:rsidTr="003D5FF7">
        <w:trPr>
          <w:trHeight w:val="164"/>
        </w:trPr>
        <w:tc>
          <w:tcPr>
            <w:tcW w:w="0" w:type="auto"/>
            <w:vMerge/>
            <w:shd w:val="clear" w:color="auto" w:fill="auto"/>
            <w:vAlign w:val="center"/>
          </w:tcPr>
          <w:p w14:paraId="0ECF0B51" w14:textId="77777777" w:rsidR="00D016D0" w:rsidRPr="00394670" w:rsidRDefault="00D016D0" w:rsidP="00F80D31">
            <w:pPr>
              <w:spacing w:after="0" w:line="240" w:lineRule="auto"/>
              <w:ind w:firstLine="0"/>
              <w:rPr>
                <w:b/>
                <w:bCs/>
              </w:rPr>
            </w:pPr>
          </w:p>
        </w:tc>
        <w:tc>
          <w:tcPr>
            <w:tcW w:w="0" w:type="auto"/>
            <w:shd w:val="clear" w:color="auto" w:fill="auto"/>
          </w:tcPr>
          <w:p w14:paraId="43F6D3D2" w14:textId="77777777" w:rsidR="00D016D0" w:rsidRPr="00394670" w:rsidRDefault="00D016D0" w:rsidP="00F80D31">
            <w:pPr>
              <w:spacing w:after="0" w:line="240" w:lineRule="auto"/>
              <w:ind w:firstLine="0"/>
              <w:jc w:val="center"/>
              <w:rPr>
                <w:b/>
                <w:bCs/>
              </w:rPr>
            </w:pPr>
          </w:p>
        </w:tc>
        <w:tc>
          <w:tcPr>
            <w:tcW w:w="0" w:type="auto"/>
            <w:shd w:val="clear" w:color="auto" w:fill="auto"/>
          </w:tcPr>
          <w:p w14:paraId="77F495F5" w14:textId="1112FF8C" w:rsidR="00D016D0" w:rsidRPr="00394670" w:rsidRDefault="00D016D0" w:rsidP="00F80D31">
            <w:pPr>
              <w:spacing w:after="0" w:line="240" w:lineRule="auto"/>
              <w:ind w:firstLine="0"/>
              <w:jc w:val="center"/>
              <w:rPr>
                <w:b/>
                <w:bCs/>
              </w:rPr>
            </w:pPr>
            <w:r w:rsidRPr="00394670">
              <w:rPr>
                <w:b/>
                <w:bCs/>
              </w:rPr>
              <w:t>FIO</w:t>
            </w:r>
          </w:p>
        </w:tc>
        <w:tc>
          <w:tcPr>
            <w:tcW w:w="0" w:type="auto"/>
            <w:shd w:val="clear" w:color="auto" w:fill="auto"/>
          </w:tcPr>
          <w:p w14:paraId="37F1D1C8" w14:textId="796ED974" w:rsidR="00D016D0" w:rsidRPr="00394670" w:rsidRDefault="00D016D0" w:rsidP="00F80D31">
            <w:pPr>
              <w:spacing w:after="0" w:line="240" w:lineRule="auto"/>
              <w:ind w:firstLine="0"/>
              <w:jc w:val="center"/>
              <w:rPr>
                <w:b/>
                <w:bCs/>
              </w:rPr>
            </w:pPr>
            <w:r w:rsidRPr="00394670">
              <w:rPr>
                <w:b/>
                <w:bCs/>
              </w:rPr>
              <w:t>FIA</w:t>
            </w:r>
          </w:p>
        </w:tc>
        <w:tc>
          <w:tcPr>
            <w:tcW w:w="0" w:type="auto"/>
            <w:shd w:val="clear" w:color="auto" w:fill="auto"/>
          </w:tcPr>
          <w:p w14:paraId="3F9E8BFB" w14:textId="77777777" w:rsidR="00D016D0" w:rsidRPr="00394670" w:rsidRDefault="00D016D0" w:rsidP="00F80D31">
            <w:pPr>
              <w:spacing w:after="0" w:line="240" w:lineRule="auto"/>
              <w:ind w:firstLine="0"/>
              <w:jc w:val="center"/>
              <w:rPr>
                <w:b/>
                <w:bCs/>
                <w:iCs/>
              </w:rPr>
            </w:pPr>
          </w:p>
        </w:tc>
        <w:tc>
          <w:tcPr>
            <w:tcW w:w="0" w:type="auto"/>
            <w:shd w:val="clear" w:color="auto" w:fill="auto"/>
          </w:tcPr>
          <w:p w14:paraId="091E9D69" w14:textId="1C505E3B" w:rsidR="00D016D0" w:rsidRPr="00394670" w:rsidRDefault="00D016D0" w:rsidP="00F80D31">
            <w:pPr>
              <w:spacing w:after="0" w:line="240" w:lineRule="auto"/>
              <w:ind w:firstLine="0"/>
              <w:jc w:val="center"/>
              <w:rPr>
                <w:b/>
                <w:bCs/>
                <w:iCs/>
              </w:rPr>
            </w:pPr>
            <w:r w:rsidRPr="00394670">
              <w:rPr>
                <w:b/>
                <w:bCs/>
                <w:iCs/>
              </w:rPr>
              <w:t>FIO</w:t>
            </w:r>
          </w:p>
        </w:tc>
        <w:tc>
          <w:tcPr>
            <w:tcW w:w="0" w:type="auto"/>
            <w:shd w:val="clear" w:color="auto" w:fill="auto"/>
          </w:tcPr>
          <w:p w14:paraId="5309B7B4" w14:textId="0083E61D" w:rsidR="00D016D0" w:rsidRPr="00394670" w:rsidRDefault="00D016D0" w:rsidP="00F80D31">
            <w:pPr>
              <w:spacing w:after="0" w:line="240" w:lineRule="auto"/>
              <w:ind w:firstLine="0"/>
              <w:jc w:val="center"/>
              <w:rPr>
                <w:b/>
                <w:bCs/>
                <w:iCs/>
              </w:rPr>
            </w:pPr>
            <w:r w:rsidRPr="00394670">
              <w:rPr>
                <w:b/>
                <w:bCs/>
                <w:iCs/>
              </w:rPr>
              <w:t>FIA</w:t>
            </w:r>
          </w:p>
        </w:tc>
      </w:tr>
      <w:tr w:rsidR="002C528C" w:rsidRPr="00394670" w14:paraId="7A68D3A2" w14:textId="77777777" w:rsidTr="003D5FF7">
        <w:trPr>
          <w:trHeight w:val="156"/>
        </w:trPr>
        <w:tc>
          <w:tcPr>
            <w:tcW w:w="0" w:type="auto"/>
            <w:vMerge/>
            <w:shd w:val="clear" w:color="auto" w:fill="auto"/>
          </w:tcPr>
          <w:p w14:paraId="3D1E0855" w14:textId="77777777" w:rsidR="00FE1AAC" w:rsidRPr="00394670" w:rsidRDefault="00FE1AAC" w:rsidP="00F80D31">
            <w:pPr>
              <w:spacing w:after="0" w:line="240" w:lineRule="auto"/>
              <w:ind w:firstLine="0"/>
              <w:rPr>
                <w:b/>
                <w:bCs/>
              </w:rPr>
            </w:pPr>
          </w:p>
        </w:tc>
        <w:tc>
          <w:tcPr>
            <w:tcW w:w="0" w:type="auto"/>
            <w:shd w:val="clear" w:color="auto" w:fill="auto"/>
          </w:tcPr>
          <w:p w14:paraId="44328A08" w14:textId="77777777" w:rsidR="00FE1AAC" w:rsidRPr="00394670" w:rsidRDefault="00FE1AAC" w:rsidP="00F80D31">
            <w:pPr>
              <w:spacing w:after="0" w:line="240" w:lineRule="auto"/>
              <w:ind w:firstLine="0"/>
              <w:jc w:val="center"/>
              <w:rPr>
                <w:i/>
                <w:iCs/>
              </w:rPr>
            </w:pPr>
            <w:r w:rsidRPr="00394670">
              <w:rPr>
                <w:i/>
                <w:iCs/>
              </w:rPr>
              <w:t xml:space="preserve">n </w:t>
            </w:r>
            <w:r w:rsidRPr="00394670">
              <w:t>(%)</w:t>
            </w:r>
          </w:p>
        </w:tc>
        <w:tc>
          <w:tcPr>
            <w:tcW w:w="0" w:type="auto"/>
            <w:gridSpan w:val="2"/>
            <w:shd w:val="clear" w:color="auto" w:fill="auto"/>
          </w:tcPr>
          <w:p w14:paraId="61E636FC" w14:textId="77777777" w:rsidR="00FE1AAC" w:rsidRPr="00394670" w:rsidRDefault="00FE1AAC" w:rsidP="00F80D31">
            <w:pPr>
              <w:spacing w:after="0" w:line="240" w:lineRule="auto"/>
              <w:ind w:firstLine="0"/>
              <w:jc w:val="center"/>
            </w:pPr>
            <w:r w:rsidRPr="00394670">
              <w:rPr>
                <w:i/>
                <w:iCs/>
              </w:rPr>
              <w:t xml:space="preserve">ME </w:t>
            </w:r>
            <w:r w:rsidRPr="00394670">
              <w:t>(</w:t>
            </w:r>
            <w:r w:rsidRPr="00394670">
              <w:rPr>
                <w:i/>
                <w:iCs/>
              </w:rPr>
              <w:t>DT</w:t>
            </w:r>
            <w:r w:rsidRPr="00394670">
              <w:t>)</w:t>
            </w:r>
          </w:p>
        </w:tc>
        <w:tc>
          <w:tcPr>
            <w:tcW w:w="0" w:type="auto"/>
            <w:shd w:val="clear" w:color="auto" w:fill="auto"/>
          </w:tcPr>
          <w:p w14:paraId="57D858D5" w14:textId="77777777" w:rsidR="00FE1AAC" w:rsidRPr="00394670" w:rsidRDefault="00FE1AAC" w:rsidP="00F80D31">
            <w:pPr>
              <w:spacing w:after="0" w:line="240" w:lineRule="auto"/>
              <w:ind w:firstLine="0"/>
              <w:jc w:val="center"/>
              <w:rPr>
                <w:i/>
                <w:iCs/>
              </w:rPr>
            </w:pPr>
            <w:r w:rsidRPr="00394670">
              <w:rPr>
                <w:i/>
                <w:iCs/>
              </w:rPr>
              <w:t xml:space="preserve">n </w:t>
            </w:r>
            <w:r w:rsidRPr="00394670">
              <w:t>(%)</w:t>
            </w:r>
          </w:p>
        </w:tc>
        <w:tc>
          <w:tcPr>
            <w:tcW w:w="0" w:type="auto"/>
            <w:gridSpan w:val="2"/>
            <w:shd w:val="clear" w:color="auto" w:fill="auto"/>
          </w:tcPr>
          <w:p w14:paraId="21D4C3D0" w14:textId="77777777" w:rsidR="00FE1AAC" w:rsidRPr="00394670" w:rsidRDefault="00FE1AAC" w:rsidP="00F80D31">
            <w:pPr>
              <w:spacing w:after="0" w:line="240" w:lineRule="auto"/>
              <w:ind w:firstLine="0"/>
              <w:jc w:val="center"/>
              <w:rPr>
                <w:i/>
                <w:iCs/>
              </w:rPr>
            </w:pPr>
            <w:r w:rsidRPr="00394670">
              <w:rPr>
                <w:i/>
                <w:iCs/>
              </w:rPr>
              <w:t xml:space="preserve">ME </w:t>
            </w:r>
            <w:r w:rsidRPr="00394670">
              <w:t>(</w:t>
            </w:r>
            <w:r w:rsidRPr="00394670">
              <w:rPr>
                <w:i/>
                <w:iCs/>
              </w:rPr>
              <w:t>DT</w:t>
            </w:r>
            <w:r w:rsidRPr="00394670">
              <w:t>)</w:t>
            </w:r>
          </w:p>
        </w:tc>
      </w:tr>
      <w:tr w:rsidR="00210CF4" w:rsidRPr="00394670" w14:paraId="55630302" w14:textId="77777777" w:rsidTr="003D5FF7">
        <w:trPr>
          <w:trHeight w:val="496"/>
        </w:trPr>
        <w:tc>
          <w:tcPr>
            <w:tcW w:w="0" w:type="auto"/>
            <w:shd w:val="clear" w:color="auto" w:fill="auto"/>
          </w:tcPr>
          <w:p w14:paraId="228BDC39" w14:textId="77777777" w:rsidR="00D016D0" w:rsidRPr="00394670" w:rsidRDefault="00D016D0" w:rsidP="00F80D31">
            <w:pPr>
              <w:spacing w:after="0" w:line="240" w:lineRule="auto"/>
              <w:ind w:firstLine="0"/>
            </w:pPr>
            <w:r w:rsidRPr="00394670">
              <w:t>1 a 3 años en Chile</w:t>
            </w:r>
            <w:r w:rsidRPr="00394670">
              <w:br/>
              <w:t>4 a 6 años en Chile</w:t>
            </w:r>
            <w:r w:rsidRPr="00394670">
              <w:br/>
              <w:t>Más de 6 años en Chile</w:t>
            </w:r>
            <w:r w:rsidRPr="00394670">
              <w:br/>
              <w:t>Total</w:t>
            </w:r>
          </w:p>
        </w:tc>
        <w:tc>
          <w:tcPr>
            <w:tcW w:w="0" w:type="auto"/>
            <w:shd w:val="clear" w:color="auto" w:fill="auto"/>
          </w:tcPr>
          <w:p w14:paraId="6A8C3F9C" w14:textId="77777777" w:rsidR="00D016D0" w:rsidRPr="00394670" w:rsidRDefault="00D016D0" w:rsidP="00F80D31">
            <w:pPr>
              <w:spacing w:after="0" w:line="240" w:lineRule="auto"/>
              <w:ind w:firstLine="0"/>
              <w:jc w:val="center"/>
            </w:pPr>
            <w:r w:rsidRPr="00394670">
              <w:t>249 (32.3)</w:t>
            </w:r>
          </w:p>
          <w:p w14:paraId="217139C3" w14:textId="77777777" w:rsidR="00D016D0" w:rsidRPr="00394670" w:rsidRDefault="00D016D0" w:rsidP="00F80D31">
            <w:pPr>
              <w:spacing w:after="0" w:line="240" w:lineRule="auto"/>
              <w:ind w:firstLine="0"/>
              <w:jc w:val="center"/>
            </w:pPr>
            <w:r w:rsidRPr="00394670">
              <w:t>349 (45.3)</w:t>
            </w:r>
            <w:r w:rsidRPr="00394670">
              <w:br/>
              <w:t>172 (22.3)</w:t>
            </w:r>
            <w:r w:rsidRPr="00394670">
              <w:br/>
              <w:t>770 (100)</w:t>
            </w:r>
          </w:p>
        </w:tc>
        <w:tc>
          <w:tcPr>
            <w:tcW w:w="0" w:type="auto"/>
            <w:shd w:val="clear" w:color="auto" w:fill="auto"/>
          </w:tcPr>
          <w:p w14:paraId="5AEB28A7" w14:textId="127320BC" w:rsidR="00D016D0" w:rsidRPr="00394670" w:rsidRDefault="002C528C" w:rsidP="00F80D31">
            <w:pPr>
              <w:spacing w:after="0" w:line="240" w:lineRule="auto"/>
              <w:ind w:firstLine="0"/>
              <w:jc w:val="center"/>
            </w:pPr>
            <w:r w:rsidRPr="00394670">
              <w:t>3.42 (1.69)</w:t>
            </w:r>
            <w:r w:rsidRPr="00394670">
              <w:br/>
              <w:t>3.64 (1.51)</w:t>
            </w:r>
            <w:r w:rsidRPr="00394670">
              <w:br/>
              <w:t>3.72 (1.30)</w:t>
            </w:r>
            <w:r w:rsidRPr="00394670">
              <w:br/>
              <w:t>3.59 (1.53)</w:t>
            </w:r>
          </w:p>
        </w:tc>
        <w:tc>
          <w:tcPr>
            <w:tcW w:w="0" w:type="auto"/>
            <w:shd w:val="clear" w:color="auto" w:fill="auto"/>
          </w:tcPr>
          <w:p w14:paraId="0FC1AB82" w14:textId="10FC1CDC" w:rsidR="00D016D0" w:rsidRPr="00394670" w:rsidRDefault="00D016D0" w:rsidP="00F80D31">
            <w:pPr>
              <w:spacing w:after="0" w:line="240" w:lineRule="auto"/>
              <w:ind w:firstLine="0"/>
              <w:jc w:val="center"/>
            </w:pPr>
            <w:r w:rsidRPr="00394670">
              <w:t>2.15 (1.49)</w:t>
            </w:r>
            <w:r w:rsidRPr="00394670">
              <w:br/>
              <w:t>2.21 (1.41)</w:t>
            </w:r>
            <w:r w:rsidRPr="00394670">
              <w:br/>
              <w:t>2.80 (1.04)</w:t>
            </w:r>
            <w:r w:rsidRPr="00394670">
              <w:br/>
              <w:t>2.32 (1.39)</w:t>
            </w:r>
          </w:p>
        </w:tc>
        <w:tc>
          <w:tcPr>
            <w:tcW w:w="0" w:type="auto"/>
            <w:shd w:val="clear" w:color="auto" w:fill="auto"/>
          </w:tcPr>
          <w:p w14:paraId="13DD6083" w14:textId="77777777" w:rsidR="00D016D0" w:rsidRPr="00394670" w:rsidRDefault="00D016D0" w:rsidP="00F80D31">
            <w:pPr>
              <w:spacing w:after="0" w:line="240" w:lineRule="auto"/>
              <w:ind w:firstLine="0"/>
              <w:jc w:val="center"/>
            </w:pPr>
            <w:r w:rsidRPr="00394670">
              <w:t>159 (51.8)</w:t>
            </w:r>
          </w:p>
          <w:p w14:paraId="2ECC439A" w14:textId="77777777" w:rsidR="00D016D0" w:rsidRPr="00394670" w:rsidRDefault="00D016D0" w:rsidP="00F80D31">
            <w:pPr>
              <w:spacing w:after="0" w:line="240" w:lineRule="auto"/>
              <w:ind w:firstLine="0"/>
              <w:jc w:val="center"/>
            </w:pPr>
            <w:r w:rsidRPr="00394670">
              <w:t>110 (35.8)</w:t>
            </w:r>
            <w:r w:rsidRPr="00394670">
              <w:br/>
              <w:t>38 (12.4)</w:t>
            </w:r>
            <w:r w:rsidRPr="00394670">
              <w:br/>
              <w:t>307 (100)</w:t>
            </w:r>
          </w:p>
        </w:tc>
        <w:tc>
          <w:tcPr>
            <w:tcW w:w="0" w:type="auto"/>
            <w:shd w:val="clear" w:color="auto" w:fill="auto"/>
          </w:tcPr>
          <w:p w14:paraId="4F502E56" w14:textId="16A38C63" w:rsidR="00D016D0" w:rsidRPr="00394670" w:rsidRDefault="00210CF4" w:rsidP="00F80D31">
            <w:pPr>
              <w:spacing w:after="0" w:line="240" w:lineRule="auto"/>
              <w:ind w:firstLine="0"/>
              <w:jc w:val="center"/>
            </w:pPr>
            <w:r w:rsidRPr="00394670">
              <w:t>3.69 (1.00)</w:t>
            </w:r>
            <w:r w:rsidRPr="00394670">
              <w:br/>
              <w:t>3.36 (1.07)</w:t>
            </w:r>
            <w:r w:rsidRPr="00394670">
              <w:br/>
              <w:t>4.18 (.80)</w:t>
            </w:r>
            <w:r w:rsidRPr="00394670">
              <w:br/>
              <w:t>3.63 (1.03)</w:t>
            </w:r>
          </w:p>
        </w:tc>
        <w:tc>
          <w:tcPr>
            <w:tcW w:w="0" w:type="auto"/>
            <w:shd w:val="clear" w:color="auto" w:fill="auto"/>
          </w:tcPr>
          <w:p w14:paraId="6D4A45C2" w14:textId="023ECDF5" w:rsidR="00D016D0" w:rsidRPr="00394670" w:rsidRDefault="00D016D0" w:rsidP="00F80D31">
            <w:pPr>
              <w:spacing w:after="0" w:line="240" w:lineRule="auto"/>
              <w:ind w:firstLine="0"/>
              <w:jc w:val="center"/>
            </w:pPr>
            <w:r w:rsidRPr="00394670">
              <w:t>2.90 (.81)</w:t>
            </w:r>
            <w:r w:rsidRPr="00394670">
              <w:br/>
              <w:t>3.03 (.90)</w:t>
            </w:r>
            <w:r w:rsidRPr="00394670">
              <w:br/>
              <w:t>3.79 (.83)</w:t>
            </w:r>
            <w:r w:rsidRPr="00394670">
              <w:br/>
              <w:t>3.05 (.89)</w:t>
            </w:r>
          </w:p>
        </w:tc>
      </w:tr>
      <w:tr w:rsidR="002C528C" w:rsidRPr="00394670" w14:paraId="0FBCF514" w14:textId="77777777" w:rsidTr="003D5FF7">
        <w:trPr>
          <w:trHeight w:val="496"/>
        </w:trPr>
        <w:tc>
          <w:tcPr>
            <w:tcW w:w="0" w:type="auto"/>
            <w:shd w:val="clear" w:color="auto" w:fill="auto"/>
          </w:tcPr>
          <w:p w14:paraId="52775458" w14:textId="77777777" w:rsidR="00D016D0" w:rsidRPr="00394670" w:rsidRDefault="00D016D0" w:rsidP="00F80D31">
            <w:pPr>
              <w:spacing w:after="0" w:line="240" w:lineRule="auto"/>
              <w:ind w:firstLine="0"/>
              <w:rPr>
                <w:i/>
                <w:iCs/>
              </w:rPr>
            </w:pPr>
            <w:r w:rsidRPr="00394670">
              <w:t>F</w:t>
            </w:r>
            <w:r w:rsidRPr="00394670">
              <w:br/>
            </w:r>
            <w:proofErr w:type="spellStart"/>
            <w:r w:rsidRPr="00394670">
              <w:rPr>
                <w:i/>
                <w:iCs/>
              </w:rPr>
              <w:t>gl</w:t>
            </w:r>
            <w:proofErr w:type="spellEnd"/>
            <w:r w:rsidRPr="00394670">
              <w:br/>
            </w:r>
            <w:r w:rsidRPr="00394670">
              <w:rPr>
                <w:i/>
                <w:iCs/>
              </w:rPr>
              <w:t>p</w:t>
            </w:r>
          </w:p>
        </w:tc>
        <w:tc>
          <w:tcPr>
            <w:tcW w:w="0" w:type="auto"/>
            <w:shd w:val="clear" w:color="auto" w:fill="auto"/>
          </w:tcPr>
          <w:p w14:paraId="149F7902" w14:textId="6401E2F7" w:rsidR="00D016D0" w:rsidRPr="00394670" w:rsidRDefault="00D016D0" w:rsidP="00F80D31">
            <w:pPr>
              <w:spacing w:after="0" w:line="240" w:lineRule="auto"/>
              <w:ind w:firstLine="0"/>
              <w:jc w:val="center"/>
            </w:pPr>
          </w:p>
        </w:tc>
        <w:tc>
          <w:tcPr>
            <w:tcW w:w="0" w:type="auto"/>
            <w:shd w:val="clear" w:color="auto" w:fill="auto"/>
          </w:tcPr>
          <w:p w14:paraId="63EC527D" w14:textId="64435658" w:rsidR="00D016D0" w:rsidRPr="00394670" w:rsidRDefault="002C528C" w:rsidP="00F80D31">
            <w:pPr>
              <w:spacing w:after="0" w:line="240" w:lineRule="auto"/>
              <w:ind w:firstLine="0"/>
              <w:jc w:val="center"/>
            </w:pPr>
            <w:r w:rsidRPr="00394670">
              <w:t>2.209</w:t>
            </w:r>
            <w:r w:rsidRPr="00394670">
              <w:br/>
              <w:t>2</w:t>
            </w:r>
            <w:r w:rsidRPr="00394670">
              <w:br/>
              <w:t>.111</w:t>
            </w:r>
          </w:p>
        </w:tc>
        <w:tc>
          <w:tcPr>
            <w:tcW w:w="0" w:type="auto"/>
            <w:shd w:val="clear" w:color="auto" w:fill="auto"/>
          </w:tcPr>
          <w:p w14:paraId="46EB8E08" w14:textId="5D049A7D" w:rsidR="00D016D0" w:rsidRPr="00394670" w:rsidRDefault="00D016D0" w:rsidP="00F80D31">
            <w:pPr>
              <w:spacing w:after="0" w:line="240" w:lineRule="auto"/>
              <w:ind w:firstLine="0"/>
              <w:jc w:val="center"/>
            </w:pPr>
            <w:r w:rsidRPr="00394670">
              <w:t>13.504</w:t>
            </w:r>
            <w:r w:rsidRPr="00394670">
              <w:br/>
              <w:t>2</w:t>
            </w:r>
            <w:r w:rsidRPr="00394670">
              <w:br/>
              <w:t>.000</w:t>
            </w:r>
          </w:p>
        </w:tc>
        <w:tc>
          <w:tcPr>
            <w:tcW w:w="0" w:type="auto"/>
            <w:shd w:val="clear" w:color="auto" w:fill="auto"/>
          </w:tcPr>
          <w:p w14:paraId="5A6F2387" w14:textId="2D02361B" w:rsidR="00D016D0" w:rsidRPr="00394670" w:rsidRDefault="00D016D0" w:rsidP="00F80D31">
            <w:pPr>
              <w:spacing w:after="0" w:line="240" w:lineRule="auto"/>
              <w:ind w:firstLine="0"/>
              <w:jc w:val="center"/>
            </w:pPr>
          </w:p>
        </w:tc>
        <w:tc>
          <w:tcPr>
            <w:tcW w:w="0" w:type="auto"/>
            <w:shd w:val="clear" w:color="auto" w:fill="auto"/>
          </w:tcPr>
          <w:p w14:paraId="46C0CF0D" w14:textId="5749CB94" w:rsidR="00D016D0" w:rsidRPr="00394670" w:rsidRDefault="00504757" w:rsidP="00F80D31">
            <w:pPr>
              <w:spacing w:after="0" w:line="240" w:lineRule="auto"/>
              <w:ind w:firstLine="0"/>
              <w:jc w:val="center"/>
            </w:pPr>
            <w:r w:rsidRPr="00394670">
              <w:t>9.</w:t>
            </w:r>
            <w:r w:rsidR="001A2417" w:rsidRPr="00394670">
              <w:t>808</w:t>
            </w:r>
            <w:r w:rsidR="001A2417" w:rsidRPr="00394670">
              <w:br/>
              <w:t>2</w:t>
            </w:r>
            <w:r w:rsidRPr="00394670">
              <w:br/>
              <w:t>.</w:t>
            </w:r>
            <w:r w:rsidR="001A2417" w:rsidRPr="00394670">
              <w:t>000</w:t>
            </w:r>
          </w:p>
        </w:tc>
        <w:tc>
          <w:tcPr>
            <w:tcW w:w="0" w:type="auto"/>
            <w:shd w:val="clear" w:color="auto" w:fill="auto"/>
          </w:tcPr>
          <w:p w14:paraId="55B4AF7B" w14:textId="3A829697" w:rsidR="00D016D0" w:rsidRPr="00394670" w:rsidRDefault="00D016D0" w:rsidP="00F80D31">
            <w:pPr>
              <w:spacing w:after="0" w:line="240" w:lineRule="auto"/>
              <w:ind w:firstLine="0"/>
              <w:jc w:val="center"/>
            </w:pPr>
            <w:r w:rsidRPr="00394670">
              <w:t>17.006</w:t>
            </w:r>
            <w:r w:rsidRPr="00394670">
              <w:br/>
              <w:t>2</w:t>
            </w:r>
            <w:r w:rsidRPr="00394670">
              <w:br/>
              <w:t>.000</w:t>
            </w:r>
          </w:p>
        </w:tc>
      </w:tr>
    </w:tbl>
    <w:p w14:paraId="5F12A940" w14:textId="469055BD" w:rsidR="00437FA6" w:rsidRPr="00394670" w:rsidRDefault="00BE4F1D" w:rsidP="00F80D31">
      <w:pPr>
        <w:spacing w:line="360" w:lineRule="auto"/>
        <w:ind w:firstLine="0"/>
        <w:rPr>
          <w:iCs/>
        </w:rPr>
      </w:pPr>
      <w:r w:rsidRPr="00394670">
        <w:rPr>
          <w:i/>
          <w:iCs/>
          <w:lang w:val="es-ES"/>
        </w:rPr>
        <w:t>Note</w:t>
      </w:r>
      <w:r w:rsidRPr="00394670">
        <w:rPr>
          <w:lang w:val="es-ES"/>
        </w:rPr>
        <w:t>: FIO=Fusión de Identidad con el país de origen</w:t>
      </w:r>
      <w:r w:rsidR="00D016D0" w:rsidRPr="00394670">
        <w:rPr>
          <w:lang w:val="es-ES"/>
        </w:rPr>
        <w:t>; FIA=Fusión de Identidad con el país de acogida</w:t>
      </w:r>
      <w:r w:rsidRPr="00394670">
        <w:rPr>
          <w:lang w:val="es-ES"/>
        </w:rPr>
        <w:t>.</w:t>
      </w:r>
    </w:p>
    <w:p w14:paraId="69F3E3CC" w14:textId="4355C342" w:rsidR="00437FA6" w:rsidRPr="00394670" w:rsidRDefault="003D5FF7" w:rsidP="00F80D31">
      <w:pPr>
        <w:spacing w:line="360" w:lineRule="auto"/>
        <w:ind w:firstLine="0"/>
      </w:pPr>
      <w:r w:rsidRPr="00394670">
        <w:tab/>
      </w:r>
      <w:r w:rsidR="00F3126C" w:rsidRPr="00394670">
        <w:t xml:space="preserve">El segundo </w:t>
      </w:r>
      <w:r w:rsidR="007B70CF" w:rsidRPr="00394670">
        <w:t xml:space="preserve">ANOVA </w:t>
      </w:r>
      <w:r w:rsidR="00F3126C" w:rsidRPr="00394670">
        <w:t>tuvo como fin</w:t>
      </w:r>
      <w:r w:rsidR="007B70CF" w:rsidRPr="00394670">
        <w:t xml:space="preserve"> comparar el efecto los años residiendo en Chile </w:t>
      </w:r>
      <w:r w:rsidR="00F3126C" w:rsidRPr="00394670">
        <w:t>(en categorías) sobre</w:t>
      </w:r>
      <w:r w:rsidR="007B70CF" w:rsidRPr="00394670">
        <w:t xml:space="preserve"> fusión de identidad con el país de acogida de los migrantes colombianos. El análisis reveló que había una diferencia estadísticamente significativa en la puntuación media de la fusión de identidad con el país de acogida entre al menos dos categorías (F (2, 767) = 13.504, </w:t>
      </w:r>
      <w:r w:rsidR="007B70CF" w:rsidRPr="00394670">
        <w:rPr>
          <w:i/>
          <w:iCs/>
        </w:rPr>
        <w:t>p</w:t>
      </w:r>
      <w:r w:rsidR="007B70CF" w:rsidRPr="00394670">
        <w:t xml:space="preserve"> = .000). La prueba de </w:t>
      </w:r>
      <w:proofErr w:type="spellStart"/>
      <w:r w:rsidR="007B70CF" w:rsidRPr="00394670">
        <w:t>Levene</w:t>
      </w:r>
      <w:proofErr w:type="spellEnd"/>
      <w:r w:rsidR="007B70CF" w:rsidRPr="00394670">
        <w:t xml:space="preserve"> resultó ser estadísticamente significativa (F (2, 767) = 16.842, </w:t>
      </w:r>
      <w:r w:rsidR="007B70CF" w:rsidRPr="00394670">
        <w:rPr>
          <w:i/>
          <w:iCs/>
        </w:rPr>
        <w:t>p</w:t>
      </w:r>
      <w:r w:rsidR="007B70CF" w:rsidRPr="00394670">
        <w:t xml:space="preserve"> = .000), por lo que no se puede asumir la igualdad entre varianzas de los grupos. La prueba </w:t>
      </w:r>
      <w:proofErr w:type="spellStart"/>
      <w:r w:rsidR="007B70CF" w:rsidRPr="00394670">
        <w:t>Games-Howell</w:t>
      </w:r>
      <w:proofErr w:type="spellEnd"/>
      <w:r w:rsidR="007B70CF" w:rsidRPr="00394670">
        <w:t xml:space="preserve"> para comparaciones múltiples encontró que el valor medio de la fusión de identidad con el país de acogida fue significativamente diferente entre el grupo de migrantes colombianos que ha vivido de 1 a 3 años en Chile y el grupo que ha vivido más de 6 años en Chile (</w:t>
      </w:r>
      <w:r w:rsidR="007B70CF" w:rsidRPr="00394670">
        <w:rPr>
          <w:i/>
          <w:iCs/>
        </w:rPr>
        <w:t>p</w:t>
      </w:r>
      <w:r w:rsidR="007B70CF" w:rsidRPr="00394670">
        <w:t xml:space="preserve"> = .000, IC del 95 % = -.94, -.36), el grupo que ha vivido de 4 a 6 años en Chile y el grupo que ha vivido más de 6 años en Chile (</w:t>
      </w:r>
      <w:r w:rsidR="007B70CF" w:rsidRPr="00394670">
        <w:rPr>
          <w:i/>
          <w:iCs/>
        </w:rPr>
        <w:t>p</w:t>
      </w:r>
      <w:r w:rsidR="007B70CF" w:rsidRPr="00394670">
        <w:t xml:space="preserve"> = .000, IC del 95 % = -.84, -.33; ver figura 1). No hubo diferencias estadísticamente significativas en las puntuaciones medias de la fusión de identidad con el país de acogida entre el grupo de migrantes colombianos que ha vivido de 1 a 3 años en Chile y el grupo que ha vivido de 4 a 6 años en Chile (</w:t>
      </w:r>
      <w:r w:rsidR="007B70CF" w:rsidRPr="00394670">
        <w:rPr>
          <w:i/>
          <w:iCs/>
        </w:rPr>
        <w:t>p</w:t>
      </w:r>
      <w:r w:rsidR="007B70CF" w:rsidRPr="00394670">
        <w:t xml:space="preserve"> = .845, IC del 95 % = -.35, .22).</w:t>
      </w:r>
    </w:p>
    <w:p w14:paraId="682416AA" w14:textId="02F22A3C" w:rsidR="00F23C2C" w:rsidRPr="00394670" w:rsidRDefault="00F23C2C" w:rsidP="00F80D31">
      <w:pPr>
        <w:spacing w:line="360" w:lineRule="auto"/>
        <w:ind w:firstLine="0"/>
      </w:pPr>
    </w:p>
    <w:p w14:paraId="1F4AE231" w14:textId="16D43398" w:rsidR="00F23C2C" w:rsidRPr="00394670" w:rsidRDefault="00F23C2C" w:rsidP="00F80D31">
      <w:pPr>
        <w:spacing w:line="360" w:lineRule="auto"/>
        <w:ind w:firstLine="0"/>
      </w:pPr>
    </w:p>
    <w:p w14:paraId="65CC04C4" w14:textId="77777777" w:rsidR="00F23C2C" w:rsidRPr="00394670" w:rsidRDefault="00F23C2C" w:rsidP="00F80D31">
      <w:pPr>
        <w:spacing w:line="360" w:lineRule="auto"/>
        <w:ind w:firstLine="0"/>
      </w:pPr>
    </w:p>
    <w:p w14:paraId="36707E1D" w14:textId="4A89D345" w:rsidR="003D0154" w:rsidRPr="00394670" w:rsidRDefault="003D0154" w:rsidP="00F80D31">
      <w:pPr>
        <w:spacing w:line="360" w:lineRule="auto"/>
        <w:ind w:firstLine="0"/>
        <w:rPr>
          <w:i/>
          <w:color w:val="FFFFFF" w:themeColor="background1"/>
          <w14:textFill>
            <w14:noFill/>
          </w14:textFill>
        </w:rPr>
      </w:pPr>
      <w:r w:rsidRPr="00394670">
        <w:rPr>
          <w:i/>
          <w:noProof/>
          <w:lang w:val="en-US"/>
        </w:rPr>
        <w:drawing>
          <wp:inline distT="0" distB="0" distL="0" distR="0" wp14:anchorId="247AEDF0" wp14:editId="218CE632">
            <wp:extent cx="5486400" cy="32004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E786E9" w14:textId="0B194C23" w:rsidR="00FE5337" w:rsidRPr="00394670" w:rsidRDefault="00FE5337" w:rsidP="00F80D31">
      <w:pPr>
        <w:spacing w:line="240" w:lineRule="auto"/>
        <w:ind w:firstLine="0"/>
      </w:pPr>
      <w:r w:rsidRPr="00394670">
        <w:rPr>
          <w:i/>
          <w:iCs/>
        </w:rPr>
        <w:t>Figura 1.</w:t>
      </w:r>
      <w:r w:rsidRPr="00394670">
        <w:t xml:space="preserve"> Medias </w:t>
      </w:r>
      <w:proofErr w:type="spellStart"/>
      <w:r w:rsidRPr="00394670">
        <w:t>muestrales</w:t>
      </w:r>
      <w:proofErr w:type="spellEnd"/>
      <w:r w:rsidRPr="00394670">
        <w:t xml:space="preserve"> de la fusión de identidad de los migrantes colombianos en cada una de las categorías de los años residiendo en Chile.</w:t>
      </w:r>
      <w:r w:rsidR="004C4DE0" w:rsidRPr="00394670">
        <w:t xml:space="preserve"> </w:t>
      </w:r>
      <w:r w:rsidRPr="00394670">
        <w:rPr>
          <w:i/>
          <w:iCs/>
        </w:rPr>
        <w:t>Nota</w:t>
      </w:r>
      <w:r w:rsidRPr="00394670">
        <w:t xml:space="preserve">: </w:t>
      </w:r>
      <w:r w:rsidR="00F23C2C" w:rsidRPr="00394670">
        <w:t xml:space="preserve">FIO=Fusión de Identidad con el país de origen; </w:t>
      </w:r>
      <w:r w:rsidRPr="00394670">
        <w:t>FIA=Fusión de Identidad con el país de acogida.</w:t>
      </w:r>
    </w:p>
    <w:p w14:paraId="47D1D083" w14:textId="4DF2B486" w:rsidR="0097223B" w:rsidRPr="00394670" w:rsidRDefault="00F3126C" w:rsidP="00F80D31">
      <w:pPr>
        <w:spacing w:line="360" w:lineRule="auto"/>
        <w:ind w:firstLine="708"/>
      </w:pPr>
      <w:r w:rsidRPr="00394670">
        <w:t xml:space="preserve">El tercer ANOVA tuvo como fin comparar el efecto los años residiendo en Chile (en categorías) sobre fusión de identidad con el país de origen de los migrantes venezolanos. El análisis reveló que había una diferencia estadísticamente significativa en la puntuación media de la fusión de identidad con el país de origen entre al menos dos categorías (F (2, 304) = 9.808, </w:t>
      </w:r>
      <w:r w:rsidRPr="00394670">
        <w:rPr>
          <w:i/>
          <w:iCs/>
        </w:rPr>
        <w:t>p</w:t>
      </w:r>
      <w:r w:rsidRPr="00394670">
        <w:t xml:space="preserve"> = .000). Se mantiene la hipótesis nula de la prueba de </w:t>
      </w:r>
      <w:proofErr w:type="spellStart"/>
      <w:r w:rsidRPr="00394670">
        <w:t>Levene</w:t>
      </w:r>
      <w:proofErr w:type="spellEnd"/>
      <w:r w:rsidRPr="00394670">
        <w:t xml:space="preserve"> (F (2, 304) = 1.664, </w:t>
      </w:r>
      <w:r w:rsidRPr="00394670">
        <w:rPr>
          <w:i/>
          <w:iCs/>
        </w:rPr>
        <w:t>p</w:t>
      </w:r>
      <w:r w:rsidRPr="00394670">
        <w:t xml:space="preserve"> = .</w:t>
      </w:r>
      <w:r w:rsidR="004A75E8" w:rsidRPr="00394670">
        <w:t>191</w:t>
      </w:r>
      <w:r w:rsidRPr="00394670">
        <w:t xml:space="preserve">), por lo que se puede asumir la igualdad entre varianzas de los grupos. La prueba </w:t>
      </w:r>
      <w:r w:rsidR="0097223B" w:rsidRPr="00394670">
        <w:t xml:space="preserve">HSD </w:t>
      </w:r>
      <w:proofErr w:type="spellStart"/>
      <w:r w:rsidR="0097223B" w:rsidRPr="00394670">
        <w:t>Tukey</w:t>
      </w:r>
      <w:proofErr w:type="spellEnd"/>
      <w:r w:rsidR="0097223B" w:rsidRPr="00394670">
        <w:t xml:space="preserve"> </w:t>
      </w:r>
      <w:r w:rsidRPr="00394670">
        <w:t xml:space="preserve">para comparaciones múltiples encontró que el valor medio de la fusión de identidad con el país de </w:t>
      </w:r>
      <w:r w:rsidR="0097223B" w:rsidRPr="00394670">
        <w:t>origen</w:t>
      </w:r>
      <w:r w:rsidRPr="00394670">
        <w:t xml:space="preserve"> fue significativamente diferente entre </w:t>
      </w:r>
      <w:r w:rsidR="0097223B" w:rsidRPr="00394670">
        <w:t>todos los grupos. Entre el</w:t>
      </w:r>
      <w:r w:rsidRPr="00394670">
        <w:t xml:space="preserve"> grupo de migrantes </w:t>
      </w:r>
      <w:r w:rsidR="0097223B" w:rsidRPr="00394670">
        <w:t>venezolanos</w:t>
      </w:r>
      <w:r w:rsidRPr="00394670">
        <w:t xml:space="preserve"> que ha vivido de 1 a 3 años en Chile y el grupo que ha vivido </w:t>
      </w:r>
      <w:r w:rsidR="0097223B" w:rsidRPr="00394670">
        <w:t>entre 4 a 6 años en Chile (</w:t>
      </w:r>
      <w:r w:rsidR="0097223B" w:rsidRPr="00394670">
        <w:rPr>
          <w:i/>
          <w:iCs/>
        </w:rPr>
        <w:t>p</w:t>
      </w:r>
      <w:r w:rsidR="0097223B" w:rsidRPr="00394670">
        <w:t xml:space="preserve"> = .027, IC del 95 % = .03, .62), entre el grupo que ha vivido de 1 a 3 años en Chile y el grupo que ha vivido más de 6 años en Chile (</w:t>
      </w:r>
      <w:r w:rsidR="0097223B" w:rsidRPr="00394670">
        <w:rPr>
          <w:i/>
          <w:iCs/>
        </w:rPr>
        <w:t>p</w:t>
      </w:r>
      <w:r w:rsidR="0097223B" w:rsidRPr="00394670">
        <w:t xml:space="preserve"> = .019, IC del 95 % = -.93, -.07), y entre el</w:t>
      </w:r>
      <w:r w:rsidRPr="00394670">
        <w:t xml:space="preserve"> grupo que ha vivido </w:t>
      </w:r>
      <w:r w:rsidRPr="00394670">
        <w:lastRenderedPageBreak/>
        <w:t>de 4 a 6 años en Chile y el grupo que ha vivido más de 6 años en Chile (</w:t>
      </w:r>
      <w:r w:rsidRPr="00394670">
        <w:rPr>
          <w:i/>
          <w:iCs/>
        </w:rPr>
        <w:t>p</w:t>
      </w:r>
      <w:r w:rsidRPr="00394670">
        <w:t xml:space="preserve"> = .000, IC del 95 % = -</w:t>
      </w:r>
      <w:r w:rsidR="004D579A" w:rsidRPr="00394670">
        <w:t>1</w:t>
      </w:r>
      <w:r w:rsidRPr="00394670">
        <w:t>.</w:t>
      </w:r>
      <w:r w:rsidR="004D579A" w:rsidRPr="00394670">
        <w:t>27</w:t>
      </w:r>
      <w:r w:rsidRPr="00394670">
        <w:t>, -.3</w:t>
      </w:r>
      <w:r w:rsidR="004D579A" w:rsidRPr="00394670">
        <w:t>7</w:t>
      </w:r>
      <w:r w:rsidRPr="00394670">
        <w:t xml:space="preserve">; ver figura </w:t>
      </w:r>
      <w:r w:rsidR="004D579A" w:rsidRPr="00394670">
        <w:t>2</w:t>
      </w:r>
      <w:r w:rsidRPr="00394670">
        <w:t xml:space="preserve">). </w:t>
      </w:r>
    </w:p>
    <w:p w14:paraId="730447A7" w14:textId="063DBCBF" w:rsidR="0063455E" w:rsidRPr="00394670" w:rsidRDefault="0063455E" w:rsidP="00F80D31">
      <w:pPr>
        <w:spacing w:line="360" w:lineRule="auto"/>
        <w:ind w:firstLine="0"/>
        <w:rPr>
          <w:i/>
        </w:rPr>
      </w:pPr>
      <w:r w:rsidRPr="00394670">
        <w:rPr>
          <w:i/>
          <w:noProof/>
          <w:lang w:val="en-US"/>
        </w:rPr>
        <w:drawing>
          <wp:inline distT="0" distB="0" distL="0" distR="0" wp14:anchorId="097E8E3B" wp14:editId="569B950A">
            <wp:extent cx="5486400" cy="32004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CEF09D" w14:textId="2F5E9261" w:rsidR="007B70CF" w:rsidRPr="00394670" w:rsidRDefault="00F3126C" w:rsidP="00F80D31">
      <w:pPr>
        <w:spacing w:line="240" w:lineRule="auto"/>
        <w:ind w:firstLine="0"/>
      </w:pPr>
      <w:r w:rsidRPr="00394670">
        <w:rPr>
          <w:i/>
          <w:iCs/>
        </w:rPr>
        <w:t>Figura 2.</w:t>
      </w:r>
      <w:r w:rsidRPr="00394670">
        <w:t xml:space="preserve"> Medias </w:t>
      </w:r>
      <w:proofErr w:type="spellStart"/>
      <w:r w:rsidRPr="00394670">
        <w:t>muestrales</w:t>
      </w:r>
      <w:proofErr w:type="spellEnd"/>
      <w:r w:rsidRPr="00394670">
        <w:t xml:space="preserve"> de la fusión de identidad de los migrantes </w:t>
      </w:r>
      <w:r w:rsidR="004D579A" w:rsidRPr="00394670">
        <w:t>venezolanos</w:t>
      </w:r>
      <w:r w:rsidRPr="00394670">
        <w:t xml:space="preserve"> en cada una de las categorías de los años residiendo en Chile. </w:t>
      </w:r>
      <w:r w:rsidR="0063455E" w:rsidRPr="00394670">
        <w:rPr>
          <w:i/>
          <w:iCs/>
        </w:rPr>
        <w:t>Nota</w:t>
      </w:r>
      <w:r w:rsidR="0063455E" w:rsidRPr="00394670">
        <w:t>: FIO=Fusión de Identidad con el país de origen; FIA=Fusión de Identidad con el país de acogida.</w:t>
      </w:r>
    </w:p>
    <w:p w14:paraId="4C770A5C" w14:textId="1946DF09" w:rsidR="00437FA6" w:rsidRPr="00394670" w:rsidRDefault="00F629FC" w:rsidP="00F80D31">
      <w:pPr>
        <w:spacing w:line="360" w:lineRule="auto"/>
        <w:ind w:firstLine="708"/>
        <w:rPr>
          <w:iCs/>
        </w:rPr>
      </w:pPr>
      <w:r w:rsidRPr="00394670">
        <w:t xml:space="preserve">Por último, se realizó un ANOVA de una vía para comparar el efecto los años residiendo en Chile en los diferentes puntajes de fusión de identidad con el país de acogida de los migrantes </w:t>
      </w:r>
      <w:r w:rsidR="003B67C0" w:rsidRPr="00394670">
        <w:t>venezolanos</w:t>
      </w:r>
      <w:r w:rsidRPr="00394670">
        <w:t xml:space="preserve">. El análisis reveló que había una diferencia estadísticamente significativa en la puntuación media de la fusión de identidad con el país de acogida entre al menos dos categorías (F (2, </w:t>
      </w:r>
      <w:r w:rsidR="00FE1E33" w:rsidRPr="00394670">
        <w:t>304</w:t>
      </w:r>
      <w:r w:rsidRPr="00394670">
        <w:t xml:space="preserve">) = </w:t>
      </w:r>
      <w:r w:rsidR="00DB6260" w:rsidRPr="00394670">
        <w:t>17.006</w:t>
      </w:r>
      <w:r w:rsidRPr="00394670">
        <w:t xml:space="preserve">, </w:t>
      </w:r>
      <w:r w:rsidRPr="00394670">
        <w:rPr>
          <w:i/>
          <w:iCs/>
        </w:rPr>
        <w:t>p</w:t>
      </w:r>
      <w:r w:rsidRPr="00394670">
        <w:t xml:space="preserve"> = .000). </w:t>
      </w:r>
      <w:r w:rsidR="00FE1E33" w:rsidRPr="00394670">
        <w:t>Se mantiene la hipótesis nula de l</w:t>
      </w:r>
      <w:r w:rsidRPr="00394670">
        <w:t xml:space="preserve">a prueba de </w:t>
      </w:r>
      <w:proofErr w:type="spellStart"/>
      <w:r w:rsidRPr="00394670">
        <w:t>Levene</w:t>
      </w:r>
      <w:proofErr w:type="spellEnd"/>
      <w:r w:rsidRPr="00394670">
        <w:t xml:space="preserve"> (F (2, </w:t>
      </w:r>
      <w:r w:rsidR="00FE1E33" w:rsidRPr="00394670">
        <w:t>304</w:t>
      </w:r>
      <w:r w:rsidRPr="00394670">
        <w:t xml:space="preserve">) = </w:t>
      </w:r>
      <w:r w:rsidR="00FE1E33" w:rsidRPr="00394670">
        <w:t>.340</w:t>
      </w:r>
      <w:r w:rsidRPr="00394670">
        <w:t xml:space="preserve">, </w:t>
      </w:r>
      <w:r w:rsidRPr="00394670">
        <w:rPr>
          <w:i/>
          <w:iCs/>
        </w:rPr>
        <w:t>p</w:t>
      </w:r>
      <w:r w:rsidRPr="00394670">
        <w:t xml:space="preserve"> = .</w:t>
      </w:r>
      <w:r w:rsidR="00FE1E33" w:rsidRPr="00394670">
        <w:t>712</w:t>
      </w:r>
      <w:r w:rsidRPr="00394670">
        <w:t xml:space="preserve">), por lo que se puede asumir la igualdad entre varianzas de los grupos. La prueba </w:t>
      </w:r>
      <w:r w:rsidR="00DB6260" w:rsidRPr="00394670">
        <w:t xml:space="preserve">HSD </w:t>
      </w:r>
      <w:proofErr w:type="spellStart"/>
      <w:r w:rsidR="00DB6260" w:rsidRPr="00394670">
        <w:t>Tukey</w:t>
      </w:r>
      <w:proofErr w:type="spellEnd"/>
      <w:r w:rsidRPr="00394670">
        <w:t xml:space="preserve"> para comparaciones múltiples encontró que el valor medio de la fusión de identidad con el país de acogida fue significativamente diferente entre el grupo de migrantes </w:t>
      </w:r>
      <w:r w:rsidR="00DB6260" w:rsidRPr="00394670">
        <w:t>venezolanos</w:t>
      </w:r>
      <w:r w:rsidRPr="00394670">
        <w:t xml:space="preserve"> que ha vivido de 1 a 3 años en Chile y el grupo que ha vivido más de 6 años en Chile (</w:t>
      </w:r>
      <w:r w:rsidRPr="00394670">
        <w:rPr>
          <w:i/>
          <w:iCs/>
        </w:rPr>
        <w:t>p</w:t>
      </w:r>
      <w:r w:rsidRPr="00394670">
        <w:t xml:space="preserve"> = .000, IC del 95 % = -</w:t>
      </w:r>
      <w:r w:rsidR="00DB6260" w:rsidRPr="00394670">
        <w:t>1</w:t>
      </w:r>
      <w:r w:rsidRPr="00394670">
        <w:t>.</w:t>
      </w:r>
      <w:r w:rsidR="00DB6260" w:rsidRPr="00394670">
        <w:t>25</w:t>
      </w:r>
      <w:r w:rsidRPr="00394670">
        <w:t>, -.</w:t>
      </w:r>
      <w:r w:rsidR="00DB6260" w:rsidRPr="00394670">
        <w:t>53</w:t>
      </w:r>
      <w:r w:rsidRPr="00394670">
        <w:t>), el grupo que ha vivido de 4 a 6 años en Chile y el grupo que ha vivido más de 6 años en Chile (</w:t>
      </w:r>
      <w:r w:rsidRPr="00394670">
        <w:rPr>
          <w:i/>
          <w:iCs/>
        </w:rPr>
        <w:t>p</w:t>
      </w:r>
      <w:r w:rsidRPr="00394670">
        <w:t xml:space="preserve"> = .000, IC del 95 % = -</w:t>
      </w:r>
      <w:r w:rsidR="00DB6260" w:rsidRPr="00394670">
        <w:t>1</w:t>
      </w:r>
      <w:r w:rsidRPr="00394670">
        <w:t>.</w:t>
      </w:r>
      <w:r w:rsidR="00DB6260" w:rsidRPr="00394670">
        <w:t>1</w:t>
      </w:r>
      <w:r w:rsidRPr="00394670">
        <w:t>4, -.3</w:t>
      </w:r>
      <w:r w:rsidR="00DB6260" w:rsidRPr="00394670">
        <w:t>8</w:t>
      </w:r>
      <w:r w:rsidRPr="00394670">
        <w:t xml:space="preserve">; ver figura </w:t>
      </w:r>
      <w:r w:rsidR="00A13DF7" w:rsidRPr="00394670">
        <w:t>2</w:t>
      </w:r>
      <w:r w:rsidRPr="00394670">
        <w:t xml:space="preserve">). No hubo diferencias estadísticamente significativas en las puntuaciones medias de la fusión de identidad con el país de acogida </w:t>
      </w:r>
      <w:r w:rsidRPr="00394670">
        <w:lastRenderedPageBreak/>
        <w:t>entre el grupo de migrantes colombianos que ha vivido de 1 a 3 años en Chile y el grupo que ha vivido de 4 a 6 años en Chile (</w:t>
      </w:r>
      <w:r w:rsidRPr="00394670">
        <w:rPr>
          <w:i/>
          <w:iCs/>
        </w:rPr>
        <w:t>p</w:t>
      </w:r>
      <w:r w:rsidRPr="00394670">
        <w:t xml:space="preserve"> = .</w:t>
      </w:r>
      <w:r w:rsidR="00DB6260" w:rsidRPr="00394670">
        <w:t>428</w:t>
      </w:r>
      <w:r w:rsidRPr="00394670">
        <w:t>, IC del 95 % = -.3</w:t>
      </w:r>
      <w:r w:rsidR="00DB6260" w:rsidRPr="00394670">
        <w:t>8</w:t>
      </w:r>
      <w:r w:rsidRPr="00394670">
        <w:t>, .</w:t>
      </w:r>
      <w:r w:rsidR="00DB6260" w:rsidRPr="00394670">
        <w:t>1</w:t>
      </w:r>
      <w:r w:rsidRPr="00394670">
        <w:t>2).</w:t>
      </w:r>
    </w:p>
    <w:p w14:paraId="01AC4F30" w14:textId="533312B5" w:rsidR="00FC4E8B" w:rsidRPr="00394670" w:rsidRDefault="001365CA" w:rsidP="00F80D31">
      <w:pPr>
        <w:spacing w:before="240" w:after="240" w:line="360" w:lineRule="auto"/>
        <w:ind w:firstLine="0"/>
        <w:rPr>
          <w:rFonts w:eastAsia="Arial"/>
          <w:b/>
          <w:lang w:eastAsia="es-MX"/>
        </w:rPr>
      </w:pPr>
      <w:r w:rsidRPr="00394670">
        <w:rPr>
          <w:rFonts w:eastAsia="Arial"/>
          <w:b/>
          <w:lang w:eastAsia="es-MX"/>
        </w:rPr>
        <w:t>Discusión</w:t>
      </w:r>
    </w:p>
    <w:p w14:paraId="4A66943E" w14:textId="079E25E4" w:rsidR="00344C0B" w:rsidRPr="00394670" w:rsidRDefault="00270F08" w:rsidP="00F80D31">
      <w:pPr>
        <w:spacing w:line="360" w:lineRule="auto"/>
      </w:pPr>
      <w:r w:rsidRPr="00394670">
        <w:t>Debido a situaciones sociopolíticas y económicas, algunos países como Venezuela y Colombia han aumentado sus índices de emigración</w:t>
      </w:r>
      <w:r w:rsidR="0026726F" w:rsidRPr="00394670">
        <w:t xml:space="preserve"> en el último tiempo</w:t>
      </w:r>
      <w:r w:rsidRPr="00394670">
        <w:t xml:space="preserve">, siendo Chile uno de los principales destinos de los migrantes provenientes de aquellos países. Los migrantes venezolanos se han convertido en </w:t>
      </w:r>
      <w:r w:rsidR="00344C0B" w:rsidRPr="00394670">
        <w:t xml:space="preserve">la principal corriente migratoria que ha llegado al </w:t>
      </w:r>
      <w:r w:rsidRPr="00394670">
        <w:t>Chile, mientras que los migrantes colombianos ocupan el cuarto puesto</w:t>
      </w:r>
      <w:r w:rsidR="00344C0B" w:rsidRPr="00394670">
        <w:t xml:space="preserve">. </w:t>
      </w:r>
      <w:r w:rsidRPr="00394670">
        <w:t>Esta situación ha provocado que se gener</w:t>
      </w:r>
      <w:r w:rsidR="00E258B3" w:rsidRPr="00394670">
        <w:t>e</w:t>
      </w:r>
      <w:r w:rsidRPr="00394670">
        <w:t xml:space="preserve"> un mayor interés </w:t>
      </w:r>
      <w:r w:rsidR="00740746" w:rsidRPr="00394670">
        <w:t xml:space="preserve">en estudiar </w:t>
      </w:r>
      <w:r w:rsidR="000732F6" w:rsidRPr="00394670">
        <w:t>algunas</w:t>
      </w:r>
      <w:r w:rsidR="008F3FEE" w:rsidRPr="00394670">
        <w:t xml:space="preserve"> experiencias </w:t>
      </w:r>
      <w:r w:rsidR="000732F6" w:rsidRPr="00394670">
        <w:t xml:space="preserve">y características de las poblaciones de migrantes que han llegado recientemente </w:t>
      </w:r>
      <w:r w:rsidR="002576CB" w:rsidRPr="00394670">
        <w:t>a</w:t>
      </w:r>
      <w:r w:rsidR="000732F6" w:rsidRPr="00394670">
        <w:t xml:space="preserve"> país</w:t>
      </w:r>
      <w:r w:rsidR="000B2E96" w:rsidRPr="00394670">
        <w:t xml:space="preserve">, siendo la vinculación del migrante con el país de </w:t>
      </w:r>
      <w:r w:rsidR="00645E68" w:rsidRPr="00394670">
        <w:t xml:space="preserve">origen (y de </w:t>
      </w:r>
      <w:r w:rsidR="000B2E96" w:rsidRPr="00394670">
        <w:t>acogida</w:t>
      </w:r>
      <w:r w:rsidR="00645E68" w:rsidRPr="00394670">
        <w:t>)</w:t>
      </w:r>
      <w:r w:rsidR="000B2E96" w:rsidRPr="00394670">
        <w:t xml:space="preserve"> un ámbito poco explorado</w:t>
      </w:r>
      <w:r w:rsidR="00645E68" w:rsidRPr="00394670">
        <w:t xml:space="preserve"> en este contexto</w:t>
      </w:r>
      <w:r w:rsidR="000B2E96" w:rsidRPr="00394670">
        <w:t xml:space="preserve">. </w:t>
      </w:r>
      <w:r w:rsidR="00344C0B" w:rsidRPr="00394670">
        <w:t xml:space="preserve">Por esta razón, </w:t>
      </w:r>
      <w:r w:rsidR="002576CB" w:rsidRPr="00394670">
        <w:t>la presente investigación buscó describir y comparar los niveles de fusión de identidad con el país de origen y con el país de acogida de migrantes colombianos y venezolanos residentes en Chile</w:t>
      </w:r>
      <w:r w:rsidR="00344C0B" w:rsidRPr="00394670">
        <w:t xml:space="preserve">. Los resultados señalan que </w:t>
      </w:r>
      <w:r w:rsidR="00B82844" w:rsidRPr="00394670">
        <w:t>los niveles de fusión de identidad con el país de origen eran mayores a los niveles de fusión de identidad con el país de acogida tanto en los migrantes colombianos como en los venezolanos</w:t>
      </w:r>
      <w:r w:rsidR="00344C0B" w:rsidRPr="00394670">
        <w:t>.</w:t>
      </w:r>
      <w:r w:rsidR="00B82844" w:rsidRPr="00394670">
        <w:t xml:space="preserve"> Sin embargo, de acuerdo con los resultados, a medida que pasa el tiempo es probable que los migrantes vayan generando mayores niveles de fusión de identidad con el país de acogida</w:t>
      </w:r>
      <w:r w:rsidR="006731D7" w:rsidRPr="00394670">
        <w:t xml:space="preserve">, sin dejar de lado </w:t>
      </w:r>
      <w:r w:rsidR="00927002" w:rsidRPr="00394670">
        <w:t>necesariamente los</w:t>
      </w:r>
      <w:r w:rsidR="006731D7" w:rsidRPr="00394670">
        <w:t xml:space="preserve"> sentimientos de </w:t>
      </w:r>
      <w:r w:rsidR="00927002" w:rsidRPr="00394670">
        <w:t>fusión</w:t>
      </w:r>
      <w:r w:rsidR="006731D7" w:rsidRPr="00394670">
        <w:t xml:space="preserve"> con su país de origen</w:t>
      </w:r>
      <w:r w:rsidR="00B82844" w:rsidRPr="00394670">
        <w:t>.</w:t>
      </w:r>
    </w:p>
    <w:p w14:paraId="2172D952" w14:textId="7004AE94" w:rsidR="00A96D55" w:rsidRPr="00394670" w:rsidRDefault="00344C0B" w:rsidP="00F80D31">
      <w:pPr>
        <w:pStyle w:val="APAPrrafo"/>
        <w:spacing w:line="360" w:lineRule="auto"/>
        <w:ind w:firstLine="708"/>
        <w:rPr>
          <w:rFonts w:cs="Times New Roman"/>
          <w:lang w:val="es-CL"/>
        </w:rPr>
      </w:pPr>
      <w:r w:rsidRPr="00394670">
        <w:rPr>
          <w:rFonts w:cs="Times New Roman"/>
          <w:lang w:val="es-CL"/>
        </w:rPr>
        <w:t xml:space="preserve">En primer lugar, </w:t>
      </w:r>
      <w:r w:rsidR="00C234F3" w:rsidRPr="00394670">
        <w:rPr>
          <w:rFonts w:cs="Times New Roman"/>
          <w:lang w:val="es-CL"/>
        </w:rPr>
        <w:t>se esperaba que los migrantes</w:t>
      </w:r>
      <w:r w:rsidR="00C234F3" w:rsidRPr="00394670">
        <w:rPr>
          <w:rFonts w:cs="Times New Roman"/>
        </w:rPr>
        <w:t xml:space="preserve"> obtuvieran mayores niveles de fusión de identidad con el país de origen que con el país de acogida.</w:t>
      </w:r>
      <w:r w:rsidR="00C234F3" w:rsidRPr="00394670">
        <w:rPr>
          <w:rFonts w:cs="Times New Roman"/>
          <w:lang w:val="es-CL"/>
        </w:rPr>
        <w:t xml:space="preserve"> Los resultados mostraron </w:t>
      </w:r>
      <w:r w:rsidR="00C21E17" w:rsidRPr="00394670">
        <w:rPr>
          <w:rFonts w:cs="Times New Roman"/>
          <w:lang w:val="es-CL"/>
        </w:rPr>
        <w:t>que,</w:t>
      </w:r>
      <w:r w:rsidR="00C234F3" w:rsidRPr="00394670">
        <w:rPr>
          <w:rFonts w:cs="Times New Roman"/>
          <w:lang w:val="es-CL"/>
        </w:rPr>
        <w:t xml:space="preserve"> </w:t>
      </w:r>
      <w:r w:rsidR="00E12E2D" w:rsidRPr="00394670">
        <w:rPr>
          <w:rFonts w:cs="Times New Roman"/>
          <w:lang w:val="es-CL"/>
        </w:rPr>
        <w:t xml:space="preserve">de acuerdo a lo esperado, ambos grupos </w:t>
      </w:r>
      <w:r w:rsidR="00A96D55" w:rsidRPr="00394670">
        <w:rPr>
          <w:rFonts w:cs="Times New Roman"/>
          <w:lang w:val="es-CL"/>
        </w:rPr>
        <w:t xml:space="preserve">presentaron mayores niveles de fusión de identidad con el país de origen que con el país de acogida. </w:t>
      </w:r>
      <w:r w:rsidR="00282F3F" w:rsidRPr="00394670">
        <w:rPr>
          <w:rFonts w:cs="Times New Roman"/>
          <w:lang w:val="es-CL"/>
        </w:rPr>
        <w:t xml:space="preserve">Estos resultados eran esperables debido a que es probable que </w:t>
      </w:r>
      <w:r w:rsidR="00BB2B7E" w:rsidRPr="00394670">
        <w:rPr>
          <w:rFonts w:cs="Times New Roman"/>
          <w:lang w:val="es-CL"/>
        </w:rPr>
        <w:t xml:space="preserve">el país de origen sea el lugar donde la persona ha pasado gran parte de su vida </w:t>
      </w:r>
      <w:r w:rsidR="00792C36" w:rsidRPr="00394670">
        <w:rPr>
          <w:rFonts w:cs="Times New Roman"/>
          <w:lang w:val="es-CL"/>
        </w:rPr>
        <w:t>y</w:t>
      </w:r>
      <w:r w:rsidR="00D76AE6" w:rsidRPr="00394670">
        <w:rPr>
          <w:rFonts w:cs="Times New Roman"/>
          <w:lang w:val="es-CL"/>
        </w:rPr>
        <w:t>,</w:t>
      </w:r>
      <w:r w:rsidR="00792C36" w:rsidRPr="00394670">
        <w:rPr>
          <w:rFonts w:cs="Times New Roman"/>
          <w:lang w:val="es-CL"/>
        </w:rPr>
        <w:t xml:space="preserve"> </w:t>
      </w:r>
      <w:r w:rsidR="00BB2B7E" w:rsidRPr="00394670">
        <w:rPr>
          <w:rFonts w:cs="Times New Roman"/>
          <w:lang w:val="es-CL"/>
        </w:rPr>
        <w:t xml:space="preserve">en consecuencia, </w:t>
      </w:r>
      <w:r w:rsidR="00D76AE6" w:rsidRPr="00394670">
        <w:rPr>
          <w:rFonts w:cs="Times New Roman"/>
          <w:lang w:val="es-CL"/>
        </w:rPr>
        <w:t xml:space="preserve">ha </w:t>
      </w:r>
      <w:r w:rsidR="0042679D" w:rsidRPr="00394670">
        <w:rPr>
          <w:rFonts w:cs="Times New Roman"/>
          <w:lang w:val="es-CL"/>
        </w:rPr>
        <w:t>vivido</w:t>
      </w:r>
      <w:r w:rsidR="00D76AE6" w:rsidRPr="00394670">
        <w:rPr>
          <w:rFonts w:cs="Times New Roman"/>
          <w:lang w:val="es-CL"/>
        </w:rPr>
        <w:t xml:space="preserve"> más experiencias y emociones compartidas </w:t>
      </w:r>
      <w:r w:rsidR="0042679D" w:rsidRPr="00394670">
        <w:rPr>
          <w:rFonts w:cs="Times New Roman"/>
          <w:lang w:val="es-CL"/>
        </w:rPr>
        <w:t xml:space="preserve">con los miembros de su nación </w:t>
      </w:r>
      <w:r w:rsidR="00D76AE6" w:rsidRPr="00394670">
        <w:rPr>
          <w:rFonts w:cs="Times New Roman"/>
          <w:lang w:val="es-CL"/>
        </w:rPr>
        <w:t>(</w:t>
      </w:r>
      <w:proofErr w:type="spellStart"/>
      <w:r w:rsidR="009733A5" w:rsidRPr="00394670">
        <w:rPr>
          <w:rFonts w:cs="Times New Roman"/>
          <w:lang w:val="es-CL"/>
        </w:rPr>
        <w:t>Jong</w:t>
      </w:r>
      <w:proofErr w:type="spellEnd"/>
      <w:r w:rsidR="009733A5" w:rsidRPr="00394670">
        <w:rPr>
          <w:rFonts w:cs="Times New Roman"/>
          <w:lang w:val="es-CL"/>
        </w:rPr>
        <w:t xml:space="preserve"> et al., 2015; </w:t>
      </w:r>
      <w:r w:rsidR="00D76AE6" w:rsidRPr="00394670">
        <w:rPr>
          <w:rFonts w:cs="Times New Roman"/>
          <w:lang w:val="es-CL"/>
        </w:rPr>
        <w:t xml:space="preserve">Páez et al., 2015; </w:t>
      </w:r>
      <w:proofErr w:type="spellStart"/>
      <w:r w:rsidR="00D76AE6" w:rsidRPr="00394670">
        <w:rPr>
          <w:rFonts w:cs="Times New Roman"/>
          <w:lang w:val="es-CL"/>
        </w:rPr>
        <w:t>Whitehouse</w:t>
      </w:r>
      <w:proofErr w:type="spellEnd"/>
      <w:r w:rsidR="00D76AE6" w:rsidRPr="00394670">
        <w:rPr>
          <w:rFonts w:cs="Times New Roman"/>
          <w:lang w:val="es-CL"/>
        </w:rPr>
        <w:t xml:space="preserve"> et al., 2017).</w:t>
      </w:r>
      <w:r w:rsidR="00F45611" w:rsidRPr="00394670">
        <w:rPr>
          <w:rFonts w:cs="Times New Roman"/>
          <w:lang w:val="es-CL"/>
        </w:rPr>
        <w:t xml:space="preserve"> </w:t>
      </w:r>
    </w:p>
    <w:p w14:paraId="57216ACC" w14:textId="453F4F7E" w:rsidR="0013640A" w:rsidRPr="00394670" w:rsidRDefault="006E41E9" w:rsidP="00F80D31">
      <w:pPr>
        <w:pStyle w:val="APAPrrafo"/>
        <w:spacing w:line="360" w:lineRule="auto"/>
        <w:ind w:firstLine="708"/>
        <w:rPr>
          <w:rFonts w:cs="Times New Roman"/>
        </w:rPr>
      </w:pPr>
      <w:r w:rsidRPr="00394670">
        <w:rPr>
          <w:rFonts w:cs="Times New Roman"/>
          <w:lang w:val="es-CL"/>
        </w:rPr>
        <w:t xml:space="preserve">En segundo lugar, se esperaba que </w:t>
      </w:r>
      <w:r w:rsidR="00A87359" w:rsidRPr="00394670">
        <w:rPr>
          <w:rFonts w:cs="Times New Roman"/>
        </w:rPr>
        <w:t>la fusión de identidad con el país de origen no se relacione con el número de años viviendo en el país de acogida</w:t>
      </w:r>
      <w:r w:rsidR="009C46C3" w:rsidRPr="00394670">
        <w:rPr>
          <w:rFonts w:cs="Times New Roman"/>
        </w:rPr>
        <w:t>, debido a que una persona una vez fusionada difícilmente deja de estarlo (</w:t>
      </w:r>
      <w:r w:rsidR="00263617" w:rsidRPr="00394670">
        <w:rPr>
          <w:rFonts w:cs="Times New Roman"/>
        </w:rPr>
        <w:t>Gómez &amp; Vázquez, 2015</w:t>
      </w:r>
      <w:r w:rsidR="009C46C3" w:rsidRPr="00394670">
        <w:rPr>
          <w:rFonts w:cs="Times New Roman"/>
        </w:rPr>
        <w:t>)</w:t>
      </w:r>
      <w:r w:rsidR="00A87359" w:rsidRPr="00394670">
        <w:rPr>
          <w:rFonts w:cs="Times New Roman"/>
        </w:rPr>
        <w:t xml:space="preserve">. </w:t>
      </w:r>
      <w:r w:rsidR="00690479" w:rsidRPr="00394670">
        <w:rPr>
          <w:rFonts w:cs="Times New Roman"/>
        </w:rPr>
        <w:t>De acuerdo con los resultados, la hipótesis planteada podría mantenerse parcialmente</w:t>
      </w:r>
      <w:r w:rsidR="00635EA6" w:rsidRPr="00394670">
        <w:rPr>
          <w:rFonts w:cs="Times New Roman"/>
        </w:rPr>
        <w:t xml:space="preserve">. En el caso de la </w:t>
      </w:r>
      <w:r w:rsidR="00635EA6" w:rsidRPr="00394670">
        <w:rPr>
          <w:rFonts w:cs="Times New Roman"/>
        </w:rPr>
        <w:lastRenderedPageBreak/>
        <w:t xml:space="preserve">muestra colombiana, no se detectó </w:t>
      </w:r>
      <w:r w:rsidR="0089355A" w:rsidRPr="00394670">
        <w:rPr>
          <w:rFonts w:cs="Times New Roman"/>
        </w:rPr>
        <w:t>ninguna</w:t>
      </w:r>
      <w:r w:rsidR="00635EA6" w:rsidRPr="00394670">
        <w:rPr>
          <w:rFonts w:cs="Times New Roman"/>
        </w:rPr>
        <w:t xml:space="preserve"> relación estadísticamente significativa entre los niveles de fusión</w:t>
      </w:r>
      <w:r w:rsidR="0089355A" w:rsidRPr="00394670">
        <w:rPr>
          <w:rFonts w:cs="Times New Roman"/>
        </w:rPr>
        <w:t xml:space="preserve"> de identidad</w:t>
      </w:r>
      <w:r w:rsidR="00635EA6" w:rsidRPr="00394670">
        <w:rPr>
          <w:rFonts w:cs="Times New Roman"/>
        </w:rPr>
        <w:t xml:space="preserve"> con el país de origen y los años viviendo en Chile. Sin embargo, en la muestra venezolana </w:t>
      </w:r>
      <w:r w:rsidR="0089355A" w:rsidRPr="00394670">
        <w:rPr>
          <w:rFonts w:cs="Times New Roman"/>
        </w:rPr>
        <w:t>si se</w:t>
      </w:r>
      <w:r w:rsidR="005F37AF" w:rsidRPr="00394670">
        <w:rPr>
          <w:rFonts w:cs="Times New Roman"/>
        </w:rPr>
        <w:t xml:space="preserve"> observó </w:t>
      </w:r>
      <w:r w:rsidR="0089355A" w:rsidRPr="00394670">
        <w:rPr>
          <w:rFonts w:cs="Times New Roman"/>
        </w:rPr>
        <w:t>una relación</w:t>
      </w:r>
      <w:r w:rsidR="00635EA6" w:rsidRPr="00394670">
        <w:rPr>
          <w:rFonts w:cs="Times New Roman"/>
        </w:rPr>
        <w:t>.</w:t>
      </w:r>
      <w:r w:rsidR="009265C7" w:rsidRPr="00394670">
        <w:rPr>
          <w:rFonts w:cs="Times New Roman"/>
        </w:rPr>
        <w:t xml:space="preserve"> </w:t>
      </w:r>
      <w:r w:rsidR="0089355A" w:rsidRPr="00394670">
        <w:rPr>
          <w:rFonts w:cs="Times New Roman"/>
        </w:rPr>
        <w:t xml:space="preserve">En el caso de la </w:t>
      </w:r>
      <w:r w:rsidR="000C6F51" w:rsidRPr="00394670">
        <w:rPr>
          <w:rFonts w:cs="Times New Roman"/>
        </w:rPr>
        <w:t>cor</w:t>
      </w:r>
      <w:r w:rsidR="0089355A" w:rsidRPr="00394670">
        <w:rPr>
          <w:rFonts w:cs="Times New Roman"/>
        </w:rPr>
        <w:t>relación</w:t>
      </w:r>
      <w:r w:rsidR="000C6F51" w:rsidRPr="00394670">
        <w:rPr>
          <w:rFonts w:cs="Times New Roman"/>
        </w:rPr>
        <w:t xml:space="preserve">, </w:t>
      </w:r>
      <w:r w:rsidR="008348EF" w:rsidRPr="00394670">
        <w:rPr>
          <w:rFonts w:cs="Times New Roman"/>
        </w:rPr>
        <w:t xml:space="preserve">se observó que </w:t>
      </w:r>
      <w:r w:rsidR="000C6F51" w:rsidRPr="00394670">
        <w:rPr>
          <w:rFonts w:cs="Times New Roman"/>
        </w:rPr>
        <w:t xml:space="preserve">a mayor número de años viviendo en Chile, mayores fueron los niveles de fusión con el país de origen. </w:t>
      </w:r>
      <w:r w:rsidR="0013640A" w:rsidRPr="00394670">
        <w:rPr>
          <w:rFonts w:cs="Times New Roman"/>
        </w:rPr>
        <w:t xml:space="preserve">Estos resultados se pueden deber a que los migrantes que han pasado más tiempo en el país de acogida, pueden presentar una mayor acumulación de </w:t>
      </w:r>
      <w:r w:rsidR="0050750F" w:rsidRPr="00394670">
        <w:rPr>
          <w:rFonts w:cs="Times New Roman"/>
        </w:rPr>
        <w:t xml:space="preserve">recuerdos de </w:t>
      </w:r>
      <w:r w:rsidR="0013640A" w:rsidRPr="00394670">
        <w:rPr>
          <w:rFonts w:cs="Times New Roman"/>
        </w:rPr>
        <w:t xml:space="preserve">experiencias de discriminación </w:t>
      </w:r>
      <w:r w:rsidR="0050750F" w:rsidRPr="00394670">
        <w:rPr>
          <w:rFonts w:cs="Times New Roman"/>
        </w:rPr>
        <w:t xml:space="preserve">hacia su grupo, </w:t>
      </w:r>
      <w:r w:rsidR="0013640A" w:rsidRPr="00394670">
        <w:rPr>
          <w:rFonts w:cs="Times New Roman"/>
        </w:rPr>
        <w:t xml:space="preserve">lo que </w:t>
      </w:r>
      <w:r w:rsidR="0050750F" w:rsidRPr="00394670">
        <w:rPr>
          <w:rFonts w:cs="Times New Roman"/>
        </w:rPr>
        <w:t>provocaría mayores niveles de</w:t>
      </w:r>
      <w:r w:rsidR="0013640A" w:rsidRPr="00394670">
        <w:rPr>
          <w:rFonts w:cs="Times New Roman"/>
        </w:rPr>
        <w:t xml:space="preserve"> fusión de</w:t>
      </w:r>
      <w:r w:rsidR="0050750F" w:rsidRPr="00394670">
        <w:rPr>
          <w:rFonts w:cs="Times New Roman"/>
        </w:rPr>
        <w:t xml:space="preserve"> identidad con este</w:t>
      </w:r>
      <w:r w:rsidR="0013640A" w:rsidRPr="00394670">
        <w:rPr>
          <w:rFonts w:cs="Times New Roman"/>
        </w:rPr>
        <w:t xml:space="preserve"> (Vázquez et al., 2021).</w:t>
      </w:r>
      <w:r w:rsidR="002151A0" w:rsidRPr="00394670">
        <w:rPr>
          <w:rFonts w:cs="Times New Roman"/>
        </w:rPr>
        <w:t xml:space="preserve"> Por otro lado, en el caso de las comparaciones de medias, también se detectó que solo en la muestra venezolana se presentaron diferentes niveles de fusión de identidad con el país de origen en las tres categorías creadas en cuanto a los años viviendo en el país de acogida</w:t>
      </w:r>
      <w:r w:rsidR="0047379E" w:rsidRPr="00394670">
        <w:rPr>
          <w:rFonts w:cs="Times New Roman"/>
        </w:rPr>
        <w:t xml:space="preserve"> (1 a 3 años, 4 a 6 años, más de 6 años)</w:t>
      </w:r>
      <w:r w:rsidR="002151A0" w:rsidRPr="00394670">
        <w:rPr>
          <w:rFonts w:cs="Times New Roman"/>
        </w:rPr>
        <w:t>.</w:t>
      </w:r>
      <w:r w:rsidR="00612A2F" w:rsidRPr="00394670">
        <w:rPr>
          <w:rFonts w:cs="Times New Roman"/>
        </w:rPr>
        <w:t xml:space="preserve"> Se pudo observar </w:t>
      </w:r>
      <w:r w:rsidR="007A0104" w:rsidRPr="00394670">
        <w:rPr>
          <w:rFonts w:cs="Times New Roman"/>
        </w:rPr>
        <w:t xml:space="preserve">que los migrantes venezolanos que llevaban más de 6 años viviendo en Chile presentaban niveles de fusión de identidad con el país de origen superiores a los migrantes que tenían menos de 6 años viviendo en Chile. Sin embargo, los migrantes que tenían de 4 a 6 años viviendo en Chile, presentaron niveles de fusión de identidad inferiores a los migrantes que tenían menos de 4 años viviendo en el país. Estos resultados se podrían </w:t>
      </w:r>
      <w:r w:rsidR="00BD5E35" w:rsidRPr="00394670">
        <w:rPr>
          <w:rFonts w:cs="Times New Roman"/>
        </w:rPr>
        <w:t>explicar</w:t>
      </w:r>
      <w:r w:rsidR="007A0104" w:rsidRPr="00394670">
        <w:rPr>
          <w:rFonts w:cs="Times New Roman"/>
        </w:rPr>
        <w:t xml:space="preserve"> debido a que</w:t>
      </w:r>
      <w:r w:rsidR="00CC1175" w:rsidRPr="00394670">
        <w:rPr>
          <w:rFonts w:cs="Times New Roman"/>
        </w:rPr>
        <w:t xml:space="preserve"> los migrantes que han vivido más de 6 años en Chile, es probable que hayan atravesado por un mayor número de experiencias de discriminación que los migrantes que han vivido menos de 6 años, por lo que estas experiencias posiblemente hayan incrementado la unión con su país de origen (Vázquez et al., 2021), </w:t>
      </w:r>
      <w:r w:rsidR="00CC1175" w:rsidRPr="00394670">
        <w:rPr>
          <w:rFonts w:cs="Times New Roman"/>
          <w:lang w:val="es-ES_tradnl"/>
        </w:rPr>
        <w:t>ayudándoles a compensar algunos efectos negativos al percibir el propio grupo como una minoría dentro del país de acogida (Kiang et al., 2020; Zabala et al., 2020).</w:t>
      </w:r>
      <w:r w:rsidR="000F3BDE" w:rsidRPr="00394670">
        <w:rPr>
          <w:rFonts w:cs="Times New Roman"/>
          <w:lang w:val="es-ES_tradnl"/>
        </w:rPr>
        <w:t xml:space="preserve"> Por otra parte, es curioso que los migrantes que llevan entre 4 a 6 años en Chile, presenten niveles de fusión de identidad con el país de origen menores a los migrantes de las otras categorías (1 a 3 años en Chile; Más de 6 años en Chile). Esto creemos que se debe a que los migrantes que llevan entre 4 a 6 años en Chile, pasan por un periodo de adaptación particular. Si bien presentan mayor experiencia en el país de acogida que los migrantes que tienen menos de 4 años viviendo en Chile, posiblemente aun no tengan </w:t>
      </w:r>
      <w:r w:rsidR="000F3BDE" w:rsidRPr="00394670">
        <w:rPr>
          <w:rFonts w:cs="Times New Roman"/>
        </w:rPr>
        <w:t>un dominio del entorno más robusto, con una comprensión cultural del país de acogida más arraigada</w:t>
      </w:r>
      <w:r w:rsidR="0040739C" w:rsidRPr="00394670">
        <w:rPr>
          <w:rFonts w:cs="Times New Roman"/>
        </w:rPr>
        <w:t xml:space="preserve"> y una estabilidad socioeconómica más consolidada y establecida </w:t>
      </w:r>
      <w:r w:rsidR="00EA6B10" w:rsidRPr="00394670">
        <w:rPr>
          <w:rFonts w:cs="Times New Roman"/>
        </w:rPr>
        <w:t>como</w:t>
      </w:r>
      <w:r w:rsidR="0040739C" w:rsidRPr="00394670">
        <w:rPr>
          <w:rFonts w:cs="Times New Roman"/>
        </w:rPr>
        <w:t xml:space="preserve"> los migrantes que llevan más de 6 años en el país. Por lo tanto, es posible que se encuentren en un proceso de adaptación intermedio, donde </w:t>
      </w:r>
      <w:r w:rsidR="006469BB" w:rsidRPr="00394670">
        <w:rPr>
          <w:rFonts w:cs="Times New Roman"/>
        </w:rPr>
        <w:t>aún</w:t>
      </w:r>
      <w:r w:rsidR="0040739C" w:rsidRPr="00394670">
        <w:rPr>
          <w:rFonts w:cs="Times New Roman"/>
        </w:rPr>
        <w:t xml:space="preserve"> no se consolidan en </w:t>
      </w:r>
      <w:r w:rsidR="0040739C" w:rsidRPr="00394670">
        <w:rPr>
          <w:rFonts w:cs="Times New Roman"/>
        </w:rPr>
        <w:lastRenderedPageBreak/>
        <w:t>Chile, pero tampoco son personas que no tengan experiencia o ninguna noción de la cultura del país de acogida.</w:t>
      </w:r>
      <w:r w:rsidR="0076136E" w:rsidRPr="00394670">
        <w:rPr>
          <w:rFonts w:cs="Times New Roman"/>
        </w:rPr>
        <w:t xml:space="preserve"> </w:t>
      </w:r>
    </w:p>
    <w:p w14:paraId="368094D0" w14:textId="3A4EE26A" w:rsidR="00CD2A5A" w:rsidRPr="00394670" w:rsidRDefault="00C67243" w:rsidP="00F80D31">
      <w:pPr>
        <w:pStyle w:val="APAPrrafo"/>
        <w:spacing w:line="360" w:lineRule="auto"/>
        <w:ind w:firstLine="708"/>
        <w:rPr>
          <w:rFonts w:cs="Times New Roman"/>
        </w:rPr>
      </w:pPr>
      <w:r w:rsidRPr="00394670">
        <w:rPr>
          <w:rFonts w:cs="Times New Roman"/>
        </w:rPr>
        <w:t xml:space="preserve">De acuerdo con el </w:t>
      </w:r>
      <w:r w:rsidR="007E10AF" w:rsidRPr="00394670">
        <w:rPr>
          <w:rFonts w:cs="Times New Roman"/>
        </w:rPr>
        <w:t>Censo</w:t>
      </w:r>
      <w:r w:rsidRPr="00394670">
        <w:rPr>
          <w:rFonts w:cs="Times New Roman"/>
        </w:rPr>
        <w:t xml:space="preserve"> realizado el año 2017, la cantidad de venezolanos en Chile alcanzaba alrededor de </w:t>
      </w:r>
      <w:r w:rsidR="001879E6" w:rsidRPr="00394670">
        <w:rPr>
          <w:rFonts w:cs="Times New Roman"/>
        </w:rPr>
        <w:t>las 83045 personas en comparación a los colombianos que en esa época alcanzaban las</w:t>
      </w:r>
      <w:r w:rsidR="00534780" w:rsidRPr="00394670">
        <w:rPr>
          <w:rFonts w:cs="Times New Roman"/>
        </w:rPr>
        <w:t xml:space="preserve"> </w:t>
      </w:r>
      <w:r w:rsidR="001879E6" w:rsidRPr="00394670">
        <w:rPr>
          <w:rFonts w:cs="Times New Roman"/>
        </w:rPr>
        <w:t>105445</w:t>
      </w:r>
      <w:r w:rsidR="00534780" w:rsidRPr="00394670">
        <w:rPr>
          <w:rFonts w:cs="Times New Roman"/>
        </w:rPr>
        <w:t xml:space="preserve"> </w:t>
      </w:r>
      <w:r w:rsidR="001879E6" w:rsidRPr="00394670">
        <w:rPr>
          <w:rFonts w:cs="Times New Roman"/>
        </w:rPr>
        <w:t>personas (</w:t>
      </w:r>
      <w:r w:rsidR="007E10AF" w:rsidRPr="00394670">
        <w:rPr>
          <w:rFonts w:cs="Times New Roman"/>
        </w:rPr>
        <w:t>INE</w:t>
      </w:r>
      <w:r w:rsidR="001879E6" w:rsidRPr="00394670">
        <w:rPr>
          <w:rFonts w:cs="Times New Roman"/>
        </w:rPr>
        <w:t>, 201</w:t>
      </w:r>
      <w:r w:rsidR="007E10AF" w:rsidRPr="00394670">
        <w:rPr>
          <w:rFonts w:cs="Times New Roman"/>
        </w:rPr>
        <w:t>8</w:t>
      </w:r>
      <w:r w:rsidR="001879E6" w:rsidRPr="00394670">
        <w:rPr>
          <w:rFonts w:cs="Times New Roman"/>
        </w:rPr>
        <w:t>). Actualmente los venezolanos se han transformado en la población migrante más grande de Chile (448.138; 30.7%; Colombia=166.323; 11,4%)</w:t>
      </w:r>
      <w:r w:rsidR="00CD2A5A" w:rsidRPr="00394670">
        <w:rPr>
          <w:rFonts w:cs="Times New Roman"/>
        </w:rPr>
        <w:t xml:space="preserve">, por lo que este aumento migratorio ha sido un tema relevante para la discusión política dentro del país. </w:t>
      </w:r>
    </w:p>
    <w:p w14:paraId="2CC39E55" w14:textId="139392C7" w:rsidR="00C67243" w:rsidRPr="00394670" w:rsidRDefault="001879E6" w:rsidP="00F80D31">
      <w:pPr>
        <w:pStyle w:val="APAPrrafo"/>
        <w:spacing w:line="360" w:lineRule="auto"/>
        <w:ind w:firstLine="708"/>
        <w:rPr>
          <w:rFonts w:cs="Times New Roman"/>
        </w:rPr>
      </w:pPr>
      <w:r w:rsidRPr="00394670">
        <w:rPr>
          <w:rFonts w:cs="Times New Roman"/>
        </w:rPr>
        <w:t>El cuestionario de la muestra venezolana fue tomado el año 2021, año eleccionario en Chile</w:t>
      </w:r>
      <w:r w:rsidR="004A6D3E" w:rsidRPr="00394670">
        <w:rPr>
          <w:rFonts w:cs="Times New Roman"/>
        </w:rPr>
        <w:t>, el cual</w:t>
      </w:r>
      <w:r w:rsidRPr="00394670">
        <w:rPr>
          <w:rFonts w:cs="Times New Roman"/>
        </w:rPr>
        <w:t xml:space="preserve"> se caracterizó </w:t>
      </w:r>
      <w:r w:rsidR="00CD2A5A" w:rsidRPr="00394670">
        <w:rPr>
          <w:rFonts w:cs="Times New Roman"/>
        </w:rPr>
        <w:t>por mantener un ambiente de alta</w:t>
      </w:r>
      <w:r w:rsidRPr="00394670">
        <w:rPr>
          <w:rFonts w:cs="Times New Roman"/>
        </w:rPr>
        <w:t xml:space="preserve"> polarización </w:t>
      </w:r>
      <w:r w:rsidR="004A6D3E" w:rsidRPr="00394670">
        <w:rPr>
          <w:rFonts w:cs="Times New Roman"/>
        </w:rPr>
        <w:t>política dentro</w:t>
      </w:r>
      <w:r w:rsidRPr="00394670">
        <w:rPr>
          <w:rFonts w:cs="Times New Roman"/>
        </w:rPr>
        <w:t xml:space="preserve"> </w:t>
      </w:r>
      <w:r w:rsidR="004A6D3E" w:rsidRPr="00394670">
        <w:rPr>
          <w:rFonts w:cs="Times New Roman"/>
        </w:rPr>
        <w:t>d</w:t>
      </w:r>
      <w:r w:rsidRPr="00394670">
        <w:rPr>
          <w:rFonts w:cs="Times New Roman"/>
        </w:rPr>
        <w:t>el país.</w:t>
      </w:r>
      <w:r w:rsidR="00534780" w:rsidRPr="00394670">
        <w:rPr>
          <w:rFonts w:cs="Times New Roman"/>
        </w:rPr>
        <w:t xml:space="preserve"> La discusión política orbitó en si cerrar o no las fronteras ya que la pandemia COVID a nivel mundial aún estaba en auge. </w:t>
      </w:r>
      <w:r w:rsidR="008E6A60" w:rsidRPr="00394670">
        <w:rPr>
          <w:rFonts w:cs="Times New Roman"/>
        </w:rPr>
        <w:t>Elecciones, pandemia y crisis migratoria, fueron caldo de cultivo para avivar ideologías racistas y xenófobas promovidas por ciertos sectores políticos</w:t>
      </w:r>
      <w:r w:rsidR="00D20EFA" w:rsidRPr="00394670">
        <w:rPr>
          <w:rFonts w:cs="Times New Roman"/>
        </w:rPr>
        <w:t xml:space="preserve">, quienes </w:t>
      </w:r>
      <w:r w:rsidR="00204FEF" w:rsidRPr="00394670">
        <w:rPr>
          <w:rFonts w:cs="Times New Roman"/>
        </w:rPr>
        <w:t>señalaban que Chile se iba a transformar en “</w:t>
      </w:r>
      <w:proofErr w:type="spellStart"/>
      <w:r w:rsidR="00204FEF" w:rsidRPr="00394670">
        <w:rPr>
          <w:rFonts w:cs="Times New Roman"/>
        </w:rPr>
        <w:t>Chilezuela</w:t>
      </w:r>
      <w:proofErr w:type="spellEnd"/>
      <w:r w:rsidR="00204FEF" w:rsidRPr="00394670">
        <w:rPr>
          <w:rFonts w:cs="Times New Roman"/>
        </w:rPr>
        <w:t xml:space="preserve">”, </w:t>
      </w:r>
      <w:r w:rsidR="00D20EFA" w:rsidRPr="00394670">
        <w:rPr>
          <w:rFonts w:cs="Times New Roman"/>
        </w:rPr>
        <w:t>debido</w:t>
      </w:r>
      <w:r w:rsidR="00204FEF" w:rsidRPr="00394670">
        <w:rPr>
          <w:rFonts w:cs="Times New Roman"/>
        </w:rPr>
        <w:t xml:space="preserve"> a que estaban llegando muchos migrantes provenientes de aquel país</w:t>
      </w:r>
      <w:r w:rsidR="00D20EFA" w:rsidRPr="00394670">
        <w:rPr>
          <w:rFonts w:cs="Times New Roman"/>
        </w:rPr>
        <w:t xml:space="preserve">. </w:t>
      </w:r>
      <w:r w:rsidR="003C3CE5" w:rsidRPr="00394670">
        <w:rPr>
          <w:rFonts w:cs="Times New Roman"/>
        </w:rPr>
        <w:t>Algunos candidatos en Chile propusieron hacer una “Zanja”, para dificultar el tránsito por medio de las fronteras terrestres del país. El presidente que estaba vigente en ese entonces promovió la expulsión de migrantes irregulares, mostrando en televisión abierta, como los migrantes (mayoritariamente venezolanos) eran expulsados vistiendo overoles blancos siendo acompañados por policías (que no vestían overoles), dando a entender sutilmente, que quienes traían el virus, eran los extranjeros.</w:t>
      </w:r>
      <w:r w:rsidR="00674B52" w:rsidRPr="00394670">
        <w:rPr>
          <w:rFonts w:cs="Times New Roman"/>
        </w:rPr>
        <w:t xml:space="preserve"> Todo este ambiente y hechos xenófobos</w:t>
      </w:r>
      <w:r w:rsidR="00B65A3F" w:rsidRPr="00394670">
        <w:rPr>
          <w:rFonts w:cs="Times New Roman"/>
        </w:rPr>
        <w:t xml:space="preserve"> continuaron con protestas antiinmigración en la ciudad de Iquique, protesta</w:t>
      </w:r>
      <w:r w:rsidR="000D7D81" w:rsidRPr="00394670">
        <w:rPr>
          <w:rFonts w:cs="Times New Roman"/>
        </w:rPr>
        <w:t>s</w:t>
      </w:r>
      <w:r w:rsidR="00B65A3F" w:rsidRPr="00394670">
        <w:rPr>
          <w:rFonts w:cs="Times New Roman"/>
        </w:rPr>
        <w:t xml:space="preserve"> que culmin</w:t>
      </w:r>
      <w:r w:rsidR="000D7D81" w:rsidRPr="00394670">
        <w:rPr>
          <w:rFonts w:cs="Times New Roman"/>
        </w:rPr>
        <w:t>aron</w:t>
      </w:r>
      <w:r w:rsidR="00B65A3F" w:rsidRPr="00394670">
        <w:rPr>
          <w:rFonts w:cs="Times New Roman"/>
        </w:rPr>
        <w:t xml:space="preserve"> con la quema de pertenencias (ropa, abrigo, carpas y colchones) de migrantes en situación de calle en la ciudad</w:t>
      </w:r>
      <w:r w:rsidR="000D7D81" w:rsidRPr="00394670">
        <w:rPr>
          <w:rFonts w:cs="Times New Roman"/>
        </w:rPr>
        <w:t xml:space="preserve"> (Cienfuegos-</w:t>
      </w:r>
      <w:proofErr w:type="spellStart"/>
      <w:r w:rsidR="000D7D81" w:rsidRPr="00394670">
        <w:rPr>
          <w:rFonts w:cs="Times New Roman"/>
        </w:rPr>
        <w:t>Illanes</w:t>
      </w:r>
      <w:proofErr w:type="spellEnd"/>
      <w:r w:rsidR="000D7D81" w:rsidRPr="00394670">
        <w:rPr>
          <w:rFonts w:cs="Times New Roman"/>
        </w:rPr>
        <w:t xml:space="preserve"> &amp; </w:t>
      </w:r>
      <w:proofErr w:type="spellStart"/>
      <w:r w:rsidR="000D7D81" w:rsidRPr="00394670">
        <w:rPr>
          <w:rFonts w:cs="Times New Roman"/>
        </w:rPr>
        <w:t>Ruf</w:t>
      </w:r>
      <w:proofErr w:type="spellEnd"/>
      <w:r w:rsidR="000D7D81" w:rsidRPr="00394670">
        <w:rPr>
          <w:rFonts w:cs="Times New Roman"/>
        </w:rPr>
        <w:t>-Toledo, 2022)</w:t>
      </w:r>
      <w:r w:rsidR="00B65A3F" w:rsidRPr="00394670">
        <w:rPr>
          <w:rFonts w:cs="Times New Roman"/>
        </w:rPr>
        <w:t>.</w:t>
      </w:r>
    </w:p>
    <w:p w14:paraId="66B6BCEE" w14:textId="47D90AF8" w:rsidR="00962D30" w:rsidRPr="00394670" w:rsidRDefault="00962D30" w:rsidP="00F80D31">
      <w:pPr>
        <w:spacing w:line="360" w:lineRule="auto"/>
      </w:pPr>
      <w:r w:rsidRPr="00394670">
        <w:t>Vázquez et al., (2017)</w:t>
      </w:r>
      <w:r w:rsidR="000A70A9" w:rsidRPr="00394670">
        <w:t xml:space="preserve"> demostr</w:t>
      </w:r>
      <w:r w:rsidRPr="00394670">
        <w:t>aron</w:t>
      </w:r>
      <w:r w:rsidR="000A70A9" w:rsidRPr="00394670">
        <w:t xml:space="preserve"> que </w:t>
      </w:r>
      <w:r w:rsidRPr="00394670">
        <w:t xml:space="preserve">algunos </w:t>
      </w:r>
      <w:r w:rsidR="000A70A9" w:rsidRPr="00394670">
        <w:t xml:space="preserve">eventos históricos negativos podrían debilitar </w:t>
      </w:r>
      <w:r w:rsidR="003D4C59" w:rsidRPr="00394670">
        <w:t>los</w:t>
      </w:r>
      <w:r w:rsidR="000A70A9" w:rsidRPr="00394670">
        <w:t xml:space="preserve"> sentimientos de unión con </w:t>
      </w:r>
      <w:r w:rsidRPr="00394670">
        <w:t>el grupo</w:t>
      </w:r>
      <w:r w:rsidR="003D4C59" w:rsidRPr="00394670">
        <w:t xml:space="preserve"> de las personas fusionadas</w:t>
      </w:r>
      <w:r w:rsidR="000A70A9" w:rsidRPr="00394670">
        <w:t xml:space="preserve">. </w:t>
      </w:r>
      <w:r w:rsidR="003D4C59" w:rsidRPr="00394670">
        <w:t xml:space="preserve">Según estos autores, los eventos históricos negativos tienen efectos que debilitan los </w:t>
      </w:r>
      <w:r w:rsidRPr="00394670">
        <w:rPr>
          <w:lang w:val="es-ES_tradnl"/>
        </w:rPr>
        <w:t>lazos colectivos</w:t>
      </w:r>
      <w:r w:rsidR="001B353E" w:rsidRPr="00394670">
        <w:rPr>
          <w:lang w:val="es-ES_tradnl"/>
        </w:rPr>
        <w:t xml:space="preserve"> de las personas fusionadas, pero no</w:t>
      </w:r>
      <w:r w:rsidR="003D4C59" w:rsidRPr="00394670">
        <w:rPr>
          <w:lang w:val="es-ES_tradnl"/>
        </w:rPr>
        <w:t xml:space="preserve"> los lazos relacionales</w:t>
      </w:r>
      <w:r w:rsidRPr="00394670">
        <w:rPr>
          <w:lang w:val="es-ES_tradnl"/>
        </w:rPr>
        <w:t>.</w:t>
      </w:r>
      <w:r w:rsidR="00204A34" w:rsidRPr="00394670">
        <w:rPr>
          <w:lang w:val="es-ES_tradnl"/>
        </w:rPr>
        <w:t xml:space="preserve"> En el caso de nuestro estudio, creemos que los discursos</w:t>
      </w:r>
      <w:r w:rsidR="001B353E" w:rsidRPr="00394670">
        <w:rPr>
          <w:lang w:val="es-ES_tradnl"/>
        </w:rPr>
        <w:t xml:space="preserve"> antiinmigración</w:t>
      </w:r>
      <w:r w:rsidR="00204A34" w:rsidRPr="00394670">
        <w:rPr>
          <w:lang w:val="es-ES_tradnl"/>
        </w:rPr>
        <w:t xml:space="preserve"> exaltados por el ambiente polarizado de las elecciones en Chile el año 2021, podrían haber afectado en mayor medida a los</w:t>
      </w:r>
      <w:r w:rsidR="0097508D" w:rsidRPr="00394670">
        <w:rPr>
          <w:lang w:val="es-ES_tradnl"/>
        </w:rPr>
        <w:t xml:space="preserve"> migrantes </w:t>
      </w:r>
      <w:r w:rsidR="00CE4B2D" w:rsidRPr="00394670">
        <w:rPr>
          <w:lang w:val="es-ES_tradnl"/>
        </w:rPr>
        <w:t xml:space="preserve">venezolanos </w:t>
      </w:r>
      <w:r w:rsidR="0097508D" w:rsidRPr="00394670">
        <w:rPr>
          <w:lang w:val="es-ES_tradnl"/>
        </w:rPr>
        <w:t>que han permanecido entre los 4 a 6 años en el país</w:t>
      </w:r>
      <w:r w:rsidR="00CE4B2D" w:rsidRPr="00394670">
        <w:rPr>
          <w:lang w:val="es-ES_tradnl"/>
        </w:rPr>
        <w:t xml:space="preserve">. Esto quizás se </w:t>
      </w:r>
      <w:r w:rsidR="00CE4B2D" w:rsidRPr="00394670">
        <w:rPr>
          <w:lang w:val="es-ES_tradnl"/>
        </w:rPr>
        <w:lastRenderedPageBreak/>
        <w:t xml:space="preserve">deba a que los migrantes venezolanos fueron quienes se vieron principalmente en el centro de los discursos xenófobos en el periodo de elecciones </w:t>
      </w:r>
      <w:r w:rsidR="00145CD8" w:rsidRPr="00394670">
        <w:rPr>
          <w:lang w:val="es-ES_tradnl"/>
        </w:rPr>
        <w:t>y,</w:t>
      </w:r>
      <w:r w:rsidR="00CE4B2D" w:rsidRPr="00394670">
        <w:rPr>
          <w:lang w:val="es-ES_tradnl"/>
        </w:rPr>
        <w:t xml:space="preserve"> además, debido al número de años en Chile, </w:t>
      </w:r>
      <w:r w:rsidR="00177860" w:rsidRPr="00394670">
        <w:rPr>
          <w:lang w:val="es-ES_tradnl"/>
        </w:rPr>
        <w:t>su</w:t>
      </w:r>
      <w:r w:rsidR="005611A6" w:rsidRPr="00394670">
        <w:rPr>
          <w:lang w:val="es-ES_tradnl"/>
        </w:rPr>
        <w:t xml:space="preserve"> proceso de adaptación</w:t>
      </w:r>
      <w:r w:rsidR="00177860" w:rsidRPr="00394670">
        <w:rPr>
          <w:lang w:val="es-ES_tradnl"/>
        </w:rPr>
        <w:t xml:space="preserve"> probablemente</w:t>
      </w:r>
      <w:r w:rsidR="005611A6" w:rsidRPr="00394670">
        <w:rPr>
          <w:lang w:val="es-ES_tradnl"/>
        </w:rPr>
        <w:t xml:space="preserve"> aún no se </w:t>
      </w:r>
      <w:r w:rsidR="001B353E" w:rsidRPr="00394670">
        <w:rPr>
          <w:lang w:val="es-ES_tradnl"/>
        </w:rPr>
        <w:t xml:space="preserve">ha </w:t>
      </w:r>
      <w:r w:rsidR="0097508D" w:rsidRPr="00394670">
        <w:rPr>
          <w:lang w:val="es-ES_tradnl"/>
        </w:rPr>
        <w:t xml:space="preserve">consolidado </w:t>
      </w:r>
      <w:r w:rsidR="00177860" w:rsidRPr="00394670">
        <w:rPr>
          <w:lang w:val="es-ES_tradnl"/>
        </w:rPr>
        <w:t>de manera robusta</w:t>
      </w:r>
      <w:r w:rsidR="005611A6" w:rsidRPr="00394670">
        <w:t>.</w:t>
      </w:r>
    </w:p>
    <w:p w14:paraId="387A0B25" w14:textId="55D783D6" w:rsidR="007B533C" w:rsidRPr="00394670" w:rsidRDefault="00741C2D" w:rsidP="00F80D31">
      <w:pPr>
        <w:spacing w:line="360" w:lineRule="auto"/>
      </w:pPr>
      <w:r w:rsidRPr="00394670">
        <w:t>En tercer lugar, se esperaba que a mayor número de años viviendo en Chile los migrantes colombianos y venezolanos dem</w:t>
      </w:r>
      <w:r w:rsidR="00A643DA" w:rsidRPr="00394670">
        <w:t>ostraran</w:t>
      </w:r>
      <w:r w:rsidRPr="00394670">
        <w:t xml:space="preserve"> mayores niveles de fusión de identidad con el país de acogida.</w:t>
      </w:r>
      <w:r w:rsidR="00F91C4B" w:rsidRPr="00394670">
        <w:t xml:space="preserve"> De acuerdo con</w:t>
      </w:r>
      <w:r w:rsidR="00424C5F" w:rsidRPr="00394670">
        <w:t xml:space="preserve"> nuestros</w:t>
      </w:r>
      <w:r w:rsidR="00F91C4B" w:rsidRPr="00394670">
        <w:t xml:space="preserve"> resultados, </w:t>
      </w:r>
      <w:r w:rsidR="00ED02D8" w:rsidRPr="00394670">
        <w:t xml:space="preserve">los migrantes colombianos y venezolanos que tenían mayor tiempo </w:t>
      </w:r>
      <w:r w:rsidR="00424C5F" w:rsidRPr="00394670">
        <w:t>residiendo</w:t>
      </w:r>
      <w:r w:rsidR="00ED02D8" w:rsidRPr="00394670">
        <w:t xml:space="preserve"> en el país de acogida, también presentaron mayores niveles de fusión de identidad con el país de acogida.</w:t>
      </w:r>
      <w:r w:rsidR="007B533C" w:rsidRPr="00394670">
        <w:t xml:space="preserve"> Esto se podría explicar debido a que los migrantes al insertarse en un contexto cultural nuevo, estos se encuentran en la condición de ser una minoría respecto a la población local, por lo que el contacto con los miembros del país de acogida sería más frecuente. A medida que pasa el tiempo es probable que los migrantes comiencen a crear nuevas redes y vínculos interpersonales con los locales. Algunos de estos vínculos interpersonales podrían ser más estrechos, como en los casos de construir familia, amigos y relaciones afectivas con miembros del país receptor, compartiendo nuevas experiencias y afectos, los que darían paso a crear mayores niveles de fusión de identidad con el país de acogida (</w:t>
      </w:r>
      <w:r w:rsidR="007B533C" w:rsidRPr="00394670">
        <w:rPr>
          <w:lang w:val="es-ES_tradnl"/>
        </w:rPr>
        <w:t xml:space="preserve">Gómez et al., 2019; </w:t>
      </w:r>
      <w:r w:rsidR="007B533C" w:rsidRPr="00394670">
        <w:t xml:space="preserve">Páez et al., 2015; </w:t>
      </w:r>
      <w:proofErr w:type="spellStart"/>
      <w:r w:rsidR="007B533C" w:rsidRPr="00394670">
        <w:t>Whitehouse</w:t>
      </w:r>
      <w:proofErr w:type="spellEnd"/>
      <w:r w:rsidR="007B533C" w:rsidRPr="00394670">
        <w:t xml:space="preserve"> &amp; </w:t>
      </w:r>
      <w:proofErr w:type="spellStart"/>
      <w:r w:rsidR="007B533C" w:rsidRPr="00394670">
        <w:t>Lanman</w:t>
      </w:r>
      <w:proofErr w:type="spellEnd"/>
      <w:r w:rsidR="007B533C" w:rsidRPr="00394670">
        <w:t xml:space="preserve">, 2014; </w:t>
      </w:r>
      <w:proofErr w:type="spellStart"/>
      <w:r w:rsidR="007B533C" w:rsidRPr="00394670">
        <w:t>Whitehouse</w:t>
      </w:r>
      <w:proofErr w:type="spellEnd"/>
      <w:r w:rsidR="007B533C" w:rsidRPr="00394670">
        <w:t xml:space="preserve"> et al., 2017; Zumeta et al., 2016</w:t>
      </w:r>
      <w:r w:rsidR="007B533C" w:rsidRPr="00394670">
        <w:rPr>
          <w:lang w:val="es-ES_tradnl"/>
        </w:rPr>
        <w:t>)</w:t>
      </w:r>
      <w:r w:rsidR="007B533C" w:rsidRPr="00394670">
        <w:t>.</w:t>
      </w:r>
    </w:p>
    <w:p w14:paraId="139D8BD2" w14:textId="750F604B" w:rsidR="006D0106" w:rsidRPr="00394670" w:rsidRDefault="00527CA4" w:rsidP="00F80D31">
      <w:pPr>
        <w:spacing w:line="360" w:lineRule="auto"/>
        <w:ind w:firstLine="708"/>
      </w:pPr>
      <w:r w:rsidRPr="00394670">
        <w:t xml:space="preserve">Si bien nuestros resultados indican que la fusión de identidad con el país de origen es mayor que la fusión de identidad con el país de acogida, esto no significa </w:t>
      </w:r>
      <w:r w:rsidR="00C61FFC" w:rsidRPr="00394670">
        <w:t>que,</w:t>
      </w:r>
      <w:r w:rsidRPr="00394670">
        <w:t xml:space="preserve"> a través del tiempo los migrantes no puedan crear</w:t>
      </w:r>
      <w:r w:rsidR="00C61FFC" w:rsidRPr="00394670">
        <w:t xml:space="preserve"> vínculos más estrechos con los miembros del país de acogida. De acuerdo con un estudio </w:t>
      </w:r>
      <w:r w:rsidR="004778B4" w:rsidRPr="00394670">
        <w:t>que buscaba explorar los orígenes de la fusión de identidad en niños de 6 a 12 años</w:t>
      </w:r>
      <w:r w:rsidR="002D0AB8" w:rsidRPr="00394670">
        <w:t xml:space="preserve"> (Gaviria et al., 2015)</w:t>
      </w:r>
      <w:r w:rsidR="004778B4" w:rsidRPr="00394670">
        <w:t xml:space="preserve">, se encontró que la fusión de identidad se desarrolla paulatinamente, siendo los lazos relacionales un componente fundamental para lo que se denominó </w:t>
      </w:r>
      <w:proofErr w:type="spellStart"/>
      <w:r w:rsidR="004778B4" w:rsidRPr="00394670">
        <w:t>protofusión</w:t>
      </w:r>
      <w:proofErr w:type="spellEnd"/>
      <w:r w:rsidR="004778B4" w:rsidRPr="00394670">
        <w:t>, es decir, la fusión de identidad en una etapa menos desarrollada</w:t>
      </w:r>
      <w:r w:rsidR="002D0AB8" w:rsidRPr="00394670">
        <w:t xml:space="preserve"> (Gaviria et al., 2015)</w:t>
      </w:r>
      <w:r w:rsidR="004778B4" w:rsidRPr="00394670">
        <w:t>.</w:t>
      </w:r>
      <w:r w:rsidR="00C70E0E" w:rsidRPr="00394670">
        <w:t xml:space="preserve"> </w:t>
      </w:r>
      <w:r w:rsidR="009F2D4A" w:rsidRPr="00394670">
        <w:t xml:space="preserve">Otros estudios respecto al contacto intergrupal han señalado que existen ciertas condiciones que facilitarían </w:t>
      </w:r>
      <w:r w:rsidR="00E470AD" w:rsidRPr="00394670">
        <w:t>el contacto positivo</w:t>
      </w:r>
      <w:r w:rsidR="0037106C" w:rsidRPr="00394670">
        <w:t xml:space="preserve"> </w:t>
      </w:r>
      <w:r w:rsidR="0037106C" w:rsidRPr="00394670">
        <w:rPr>
          <w:lang w:val="es-ES"/>
        </w:rPr>
        <w:t xml:space="preserve">entre los miembros de un grupo minoritario y los miembros de un grupo mayoritario. </w:t>
      </w:r>
      <w:r w:rsidR="00E470AD" w:rsidRPr="00394670">
        <w:rPr>
          <w:lang w:val="es-ES"/>
        </w:rPr>
        <w:t>Estas relaciones se verían beneficiadas cuando</w:t>
      </w:r>
      <w:r w:rsidR="0037106C" w:rsidRPr="00394670">
        <w:t xml:space="preserve"> los miembros de ambos grupos </w:t>
      </w:r>
      <w:r w:rsidR="00E470AD" w:rsidRPr="00394670">
        <w:t>comparten</w:t>
      </w:r>
      <w:r w:rsidR="0037106C" w:rsidRPr="00394670">
        <w:t xml:space="preserve"> </w:t>
      </w:r>
      <w:r w:rsidR="00E470AD" w:rsidRPr="00394670">
        <w:t>un</w:t>
      </w:r>
      <w:r w:rsidR="0037106C" w:rsidRPr="00394670">
        <w:t xml:space="preserve"> mismo estatus social</w:t>
      </w:r>
      <w:r w:rsidR="0007428B" w:rsidRPr="00394670">
        <w:t xml:space="preserve"> y</w:t>
      </w:r>
      <w:r w:rsidR="00E470AD" w:rsidRPr="00394670">
        <w:t xml:space="preserve"> donde </w:t>
      </w:r>
      <w:r w:rsidR="0037106C" w:rsidRPr="00394670">
        <w:t xml:space="preserve">deben existir instituciones que apoyen políticas </w:t>
      </w:r>
      <w:r w:rsidR="0037106C" w:rsidRPr="00394670">
        <w:lastRenderedPageBreak/>
        <w:t xml:space="preserve">que </w:t>
      </w:r>
      <w:r w:rsidR="00E470AD" w:rsidRPr="00394670">
        <w:t>promuevan</w:t>
      </w:r>
      <w:r w:rsidR="0037106C" w:rsidRPr="00394670">
        <w:t xml:space="preserve"> un contacto positivo entre ambos grupos</w:t>
      </w:r>
      <w:r w:rsidR="00E470AD" w:rsidRPr="00394670">
        <w:t xml:space="preserve">. Además, </w:t>
      </w:r>
      <w:r w:rsidR="0037106C" w:rsidRPr="00394670">
        <w:t xml:space="preserve">los miembros de ambos grupos deben compartir la búsqueda de objetivos comunes y debe existir cierto grado de cooperación para lograr </w:t>
      </w:r>
      <w:r w:rsidR="00E470AD" w:rsidRPr="00394670">
        <w:t>estos</w:t>
      </w:r>
      <w:r w:rsidR="0037106C" w:rsidRPr="00394670">
        <w:t xml:space="preserve"> objetivos compartidos (</w:t>
      </w:r>
      <w:proofErr w:type="spellStart"/>
      <w:r w:rsidR="0037106C" w:rsidRPr="00394670">
        <w:rPr>
          <w:lang w:val="es-ES"/>
        </w:rPr>
        <w:t>Berg</w:t>
      </w:r>
      <w:proofErr w:type="spellEnd"/>
      <w:r w:rsidR="0037106C" w:rsidRPr="00394670">
        <w:rPr>
          <w:lang w:val="es-ES"/>
        </w:rPr>
        <w:t>, 2015</w:t>
      </w:r>
      <w:r w:rsidR="00E470AD" w:rsidRPr="00394670">
        <w:rPr>
          <w:lang w:val="es-ES"/>
        </w:rPr>
        <w:t xml:space="preserve">; </w:t>
      </w:r>
      <w:proofErr w:type="spellStart"/>
      <w:r w:rsidR="00E470AD" w:rsidRPr="00394670">
        <w:t>Pettigrew</w:t>
      </w:r>
      <w:proofErr w:type="spellEnd"/>
      <w:r w:rsidR="00E470AD" w:rsidRPr="00394670">
        <w:t>, 1998</w:t>
      </w:r>
      <w:r w:rsidR="0037106C" w:rsidRPr="00394670">
        <w:rPr>
          <w:lang w:val="es-ES"/>
        </w:rPr>
        <w:t>)</w:t>
      </w:r>
      <w:r w:rsidR="0037106C" w:rsidRPr="00394670">
        <w:t>. Algunas de estas condiciones además son coherentes o podrían estar relacionadas con algunas de las causas de la fusión</w:t>
      </w:r>
      <w:r w:rsidR="006D0106" w:rsidRPr="00394670">
        <w:t xml:space="preserve"> de identidad</w:t>
      </w:r>
      <w:r w:rsidR="0037106C" w:rsidRPr="00394670">
        <w:t xml:space="preserve">, como las experiencias y emociones compartidas con el grupo al cual el individuo se fusiona (Páez et al., 2015; </w:t>
      </w:r>
      <w:proofErr w:type="spellStart"/>
      <w:r w:rsidR="0037106C" w:rsidRPr="00394670">
        <w:t>Whitehouse</w:t>
      </w:r>
      <w:proofErr w:type="spellEnd"/>
      <w:r w:rsidR="0037106C" w:rsidRPr="00394670">
        <w:t xml:space="preserve"> &amp; </w:t>
      </w:r>
      <w:proofErr w:type="spellStart"/>
      <w:r w:rsidR="0037106C" w:rsidRPr="00394670">
        <w:t>Lanman</w:t>
      </w:r>
      <w:proofErr w:type="spellEnd"/>
      <w:r w:rsidR="0037106C" w:rsidRPr="00394670">
        <w:t xml:space="preserve">, 2014; </w:t>
      </w:r>
      <w:proofErr w:type="spellStart"/>
      <w:r w:rsidR="0037106C" w:rsidRPr="00394670">
        <w:t>Whitehouse</w:t>
      </w:r>
      <w:proofErr w:type="spellEnd"/>
      <w:r w:rsidR="0037106C" w:rsidRPr="00394670">
        <w:t xml:space="preserve"> et al., 2017; Zumeta et al., 2016)</w:t>
      </w:r>
      <w:r w:rsidR="006D0106" w:rsidRPr="00394670">
        <w:t>.</w:t>
      </w:r>
      <w:r w:rsidR="0037106C" w:rsidRPr="00394670">
        <w:t xml:space="preserve"> </w:t>
      </w:r>
      <w:r w:rsidR="006D0106" w:rsidRPr="00394670">
        <w:t>Estos hallazgos son interesantes porque dan luces de como la fusión de identidad se podría desarrollar en el contexto migratorio.</w:t>
      </w:r>
      <w:r w:rsidR="00E470AD" w:rsidRPr="00394670">
        <w:t xml:space="preserve"> </w:t>
      </w:r>
      <w:r w:rsidR="006D0106" w:rsidRPr="00394670">
        <w:t>Algunos trabajos anteriores ha</w:t>
      </w:r>
      <w:r w:rsidR="0007428B" w:rsidRPr="00394670">
        <w:t>n</w:t>
      </w:r>
      <w:r w:rsidR="006D0106" w:rsidRPr="00394670">
        <w:t xml:space="preserve"> demostrado que la fusión de identidad de estudiantes internacionales con estudiantes locales (Kiang et al., 2020) o de migrantes con el país de acogida (</w:t>
      </w:r>
      <w:r w:rsidR="000E597C">
        <w:rPr>
          <w:sz w:val="22"/>
          <w:szCs w:val="22"/>
        </w:rPr>
        <w:t>Autores</w:t>
      </w:r>
      <w:r w:rsidR="006D0106" w:rsidRPr="00394670">
        <w:t xml:space="preserve">, 2021), se asocia a un mejor bienestar y ajuste psicológico. De acuerdo con la teoría de las estrategias de aculturación, algunas personas migrantes podrían optar por adoptar algunas de las costumbres culturales del país de acogida </w:t>
      </w:r>
      <w:r w:rsidR="00920B20" w:rsidRPr="00394670">
        <w:t>para</w:t>
      </w:r>
      <w:r w:rsidR="006D0106" w:rsidRPr="00394670">
        <w:t xml:space="preserve"> lograr una mejor adaptación social y psicológica (Berry &amp; </w:t>
      </w:r>
      <w:proofErr w:type="spellStart"/>
      <w:r w:rsidR="006D0106" w:rsidRPr="00394670">
        <w:t>Sabatier</w:t>
      </w:r>
      <w:proofErr w:type="spellEnd"/>
      <w:r w:rsidR="006D0106" w:rsidRPr="00394670">
        <w:t xml:space="preserve">, 2011). </w:t>
      </w:r>
      <w:r w:rsidR="00920B20" w:rsidRPr="00394670">
        <w:t>Los migrantes con altos niveles de fusión de identidad con el p</w:t>
      </w:r>
      <w:r w:rsidR="006D0106" w:rsidRPr="00394670">
        <w:t>aís de acogida podrían atribuir características positivas del yo social (</w:t>
      </w:r>
      <w:r w:rsidR="00920B20" w:rsidRPr="00394670">
        <w:t>país de acogida</w:t>
      </w:r>
      <w:r w:rsidR="006D0106" w:rsidRPr="00394670">
        <w:t xml:space="preserve">) al yo personal, con el fin de mantener un </w:t>
      </w:r>
      <w:proofErr w:type="spellStart"/>
      <w:r w:rsidR="006D0106" w:rsidRPr="00394670">
        <w:t>autoconcepto</w:t>
      </w:r>
      <w:proofErr w:type="spellEnd"/>
      <w:r w:rsidR="006D0106" w:rsidRPr="00394670">
        <w:t xml:space="preserve"> positivo que </w:t>
      </w:r>
      <w:r w:rsidR="00920B20" w:rsidRPr="00394670">
        <w:t>mantenga y</w:t>
      </w:r>
      <w:r w:rsidR="006D0106" w:rsidRPr="00394670">
        <w:t xml:space="preserve"> conserv</w:t>
      </w:r>
      <w:r w:rsidR="00920B20" w:rsidRPr="00394670">
        <w:t>e</w:t>
      </w:r>
      <w:r w:rsidR="006D0106" w:rsidRPr="00394670">
        <w:t xml:space="preserve"> su bienestar (Berry et al., 2006; Berry &amp; </w:t>
      </w:r>
      <w:proofErr w:type="spellStart"/>
      <w:r w:rsidR="006D0106" w:rsidRPr="00394670">
        <w:t>Hou</w:t>
      </w:r>
      <w:proofErr w:type="spellEnd"/>
      <w:r w:rsidR="006D0106" w:rsidRPr="00394670">
        <w:t xml:space="preserve">, 2021; Schwartz et al., 2010). </w:t>
      </w:r>
      <w:r w:rsidR="00920B20" w:rsidRPr="00394670">
        <w:t>Las personas que presentan altos niveles de fusión de identidad tienen un sentido de</w:t>
      </w:r>
      <w:r w:rsidR="006D0106" w:rsidRPr="00394670">
        <w:t xml:space="preserve"> pertenencia al grupo </w:t>
      </w:r>
      <w:r w:rsidR="00920B20" w:rsidRPr="00394670">
        <w:t xml:space="preserve">que </w:t>
      </w:r>
      <w:r w:rsidR="006D0106" w:rsidRPr="00394670">
        <w:t>se hace cada vez más gratificante</w:t>
      </w:r>
      <w:r w:rsidR="00920B20" w:rsidRPr="00394670">
        <w:t>, debido a que</w:t>
      </w:r>
      <w:r w:rsidR="008B307E" w:rsidRPr="00394670">
        <w:t xml:space="preserve"> esta pertenencia se vería dotada de un </w:t>
      </w:r>
      <w:r w:rsidR="006D0106" w:rsidRPr="00394670">
        <w:t xml:space="preserve">significado tanto </w:t>
      </w:r>
      <w:r w:rsidR="008B307E" w:rsidRPr="00394670">
        <w:t>para</w:t>
      </w:r>
      <w:r w:rsidR="006D0106" w:rsidRPr="00394670">
        <w:t xml:space="preserve"> su identidad personal como </w:t>
      </w:r>
      <w:r w:rsidR="008B307E" w:rsidRPr="00394670">
        <w:t>par</w:t>
      </w:r>
      <w:r w:rsidR="006D0106" w:rsidRPr="00394670">
        <w:t xml:space="preserve">a su identidad social (Gómez, 2018). </w:t>
      </w:r>
    </w:p>
    <w:p w14:paraId="2A59A69A" w14:textId="2606279C" w:rsidR="008B307E" w:rsidRPr="00394670" w:rsidRDefault="008B307E" w:rsidP="00F80D31">
      <w:pPr>
        <w:spacing w:line="360" w:lineRule="auto"/>
        <w:ind w:firstLine="708"/>
      </w:pPr>
      <w:r w:rsidRPr="00394670">
        <w:t xml:space="preserve">Actualmente la migración es uno de los procesos sociales de más grande envergadura que afecta múltiples aspectos socioculturales tanto de los países de origen como de los países de acogida. Por esta razón, es necesaria una buena gestión sobre los procesos migratorios, garantizando que las acciones tomadas al respecto sean informadas con la mayor cantidad de información posible, de tal forma que afecten positivamente el bienestar de los grupos implicados. En consecuencia, esta investigación buscó aportar al conocimiento en esa línea, explorando algunos aspectos </w:t>
      </w:r>
      <w:proofErr w:type="spellStart"/>
      <w:r w:rsidRPr="00394670">
        <w:t>identitarios</w:t>
      </w:r>
      <w:proofErr w:type="spellEnd"/>
      <w:r w:rsidRPr="00394670">
        <w:t xml:space="preserve"> que podrían resultar relevantes al analizar en qué términos se está produciendo la incorporación de los migrantes al país de acogida, y como se podría facilitar la convivencia entre los grupos. Los resultados observados dan cuenta que </w:t>
      </w:r>
      <w:r w:rsidR="00E60FD5" w:rsidRPr="00394670">
        <w:t xml:space="preserve">el número de años viviendo en el país de acogida </w:t>
      </w:r>
      <w:r w:rsidR="00E60FD5" w:rsidRPr="00394670">
        <w:lastRenderedPageBreak/>
        <w:t>incrementa los niveles de</w:t>
      </w:r>
      <w:r w:rsidRPr="00394670">
        <w:t xml:space="preserve"> fusión de identidad con el país de acogid</w:t>
      </w:r>
      <w:r w:rsidR="00E60FD5" w:rsidRPr="00394670">
        <w:t>a, pero no influye necesariamente sobre los niveles de fusión de identidad con el país de origen</w:t>
      </w:r>
      <w:r w:rsidRPr="00394670">
        <w:t>.</w:t>
      </w:r>
    </w:p>
    <w:p w14:paraId="5F24018D" w14:textId="0CD87F61" w:rsidR="008B307E" w:rsidRPr="00394670" w:rsidRDefault="008B307E" w:rsidP="00F80D31">
      <w:pPr>
        <w:spacing w:before="240" w:after="240" w:line="360" w:lineRule="auto"/>
        <w:ind w:firstLine="0"/>
        <w:rPr>
          <w:b/>
          <w:bCs/>
        </w:rPr>
      </w:pPr>
      <w:r w:rsidRPr="00394670">
        <w:rPr>
          <w:b/>
          <w:bCs/>
        </w:rPr>
        <w:t>Limitaciones</w:t>
      </w:r>
    </w:p>
    <w:p w14:paraId="0BB6D30E" w14:textId="50DE488C" w:rsidR="00145CD8" w:rsidRPr="00394670" w:rsidRDefault="008B307E" w:rsidP="00F80D31">
      <w:pPr>
        <w:spacing w:line="360" w:lineRule="auto"/>
      </w:pPr>
      <w:r w:rsidRPr="00394670">
        <w:t>Aunque el presente estudio puede ser de gran relevancia, es importante señalar algunas limitaciones de estos resultados. En primer lugar, hay que considerar que el estudio fue de naturaleza transversal, por lo que no se pueden atribuir efectos causales a las relaciones entre variables. En segundo lugar, la muestra estaba sesgada hacia los migrantes colombianos y venezolanos que quisieron participar en el estudio, por lo que las conclusiones a las que se podría llegar sólo serían plausibles para poblaci</w:t>
      </w:r>
      <w:r w:rsidR="009B3803" w:rsidRPr="00394670">
        <w:t>ones</w:t>
      </w:r>
      <w:r w:rsidRPr="00394670">
        <w:t xml:space="preserve"> </w:t>
      </w:r>
      <w:r w:rsidR="009B3803" w:rsidRPr="00394670">
        <w:t xml:space="preserve">similares a </w:t>
      </w:r>
      <w:r w:rsidRPr="00394670">
        <w:t>la</w:t>
      </w:r>
      <w:r w:rsidR="000A58DB" w:rsidRPr="00394670">
        <w:t>s</w:t>
      </w:r>
      <w:r w:rsidRPr="00394670">
        <w:t xml:space="preserve"> muestra</w:t>
      </w:r>
      <w:r w:rsidR="000A58DB" w:rsidRPr="00394670">
        <w:t>s estudiadas</w:t>
      </w:r>
      <w:r w:rsidRPr="00394670">
        <w:t xml:space="preserve"> y no podrían generalizarse a los migrantes </w:t>
      </w:r>
      <w:r w:rsidR="000A58DB" w:rsidRPr="00394670">
        <w:t xml:space="preserve">provenientes </w:t>
      </w:r>
      <w:r w:rsidRPr="00394670">
        <w:t xml:space="preserve">de otros países. </w:t>
      </w:r>
      <w:r w:rsidR="000A58DB" w:rsidRPr="00394670">
        <w:t>Además, es importante señalar que e</w:t>
      </w:r>
      <w:r w:rsidRPr="00394670">
        <w:t>n el presente estudio hablamos de niveles de fusión de identidad y no de migrantes fusionados, ya que aún no existen estudios que indaguen sobre cuando un migrantes se podría clasificar como fusionado con el país de origen o de acogida</w:t>
      </w:r>
      <w:r w:rsidR="009B3803" w:rsidRPr="00394670">
        <w:t>, f</w:t>
      </w:r>
      <w:r w:rsidR="000A58DB" w:rsidRPr="00394670">
        <w:t>uturas inv</w:t>
      </w:r>
      <w:r w:rsidR="009B3803" w:rsidRPr="00394670">
        <w:t>estigaciones</w:t>
      </w:r>
      <w:r w:rsidR="000A58DB" w:rsidRPr="00394670">
        <w:t xml:space="preserve"> podrían dar respuesta a esta incógnita. </w:t>
      </w:r>
      <w:r w:rsidR="009B3803" w:rsidRPr="00394670">
        <w:t>Por razones de deseabilidad socia</w:t>
      </w:r>
      <w:r w:rsidR="00552B7C" w:rsidRPr="00394670">
        <w:t>l</w:t>
      </w:r>
      <w:r w:rsidR="009B3803" w:rsidRPr="00394670">
        <w:t xml:space="preserve"> (</w:t>
      </w:r>
      <w:proofErr w:type="spellStart"/>
      <w:r w:rsidR="009B3803" w:rsidRPr="00394670">
        <w:t>e.g</w:t>
      </w:r>
      <w:proofErr w:type="spellEnd"/>
      <w:r w:rsidR="009B3803" w:rsidRPr="00394670">
        <w:t xml:space="preserve">., </w:t>
      </w:r>
      <w:r w:rsidR="00552B7C" w:rsidRPr="00394670">
        <w:t xml:space="preserve">querer </w:t>
      </w:r>
      <w:r w:rsidR="009B3803" w:rsidRPr="00394670">
        <w:t>congraciar con los entrevistadores),</w:t>
      </w:r>
      <w:r w:rsidRPr="00394670">
        <w:t xml:space="preserve"> futuras investigaciones sobre migración y vinculación con el país de </w:t>
      </w:r>
      <w:r w:rsidR="00552B7C" w:rsidRPr="00394670">
        <w:t>acogida</w:t>
      </w:r>
      <w:r w:rsidRPr="00394670">
        <w:t xml:space="preserve"> deberían incluir medidas de deseabilidad social, con el fin de controlar esta variable que podría afectar a los resultados de los estudios.</w:t>
      </w:r>
      <w:r w:rsidR="000A58DB" w:rsidRPr="00394670">
        <w:t xml:space="preserve"> Por último, sería deseable que nuevas investigaciones incluyan otras poblaciones migrantes en otros contextos para poder ver si es que se replican las relaciones observadas</w:t>
      </w:r>
      <w:r w:rsidR="00813E21" w:rsidRPr="00394670">
        <w:t xml:space="preserve"> en nuestro estudio</w:t>
      </w:r>
      <w:r w:rsidR="000A58DB" w:rsidRPr="00394670">
        <w:t>.</w:t>
      </w:r>
    </w:p>
    <w:p w14:paraId="7A91F9A0" w14:textId="77777777" w:rsidR="00145CD8" w:rsidRPr="00394670" w:rsidRDefault="00145CD8" w:rsidP="00F80D31">
      <w:pPr>
        <w:spacing w:after="0" w:line="360" w:lineRule="auto"/>
        <w:ind w:firstLine="0"/>
      </w:pPr>
      <w:r w:rsidRPr="00394670">
        <w:br w:type="page"/>
      </w:r>
    </w:p>
    <w:p w14:paraId="7EB616A1" w14:textId="3BECBA6E" w:rsidR="00145CD8" w:rsidRPr="00394670" w:rsidRDefault="00145CD8" w:rsidP="00F80D31">
      <w:pPr>
        <w:spacing w:line="360" w:lineRule="auto"/>
        <w:ind w:firstLine="0"/>
        <w:rPr>
          <w:b/>
          <w:bCs/>
        </w:rPr>
      </w:pPr>
      <w:r w:rsidRPr="00394670">
        <w:rPr>
          <w:b/>
          <w:bCs/>
        </w:rPr>
        <w:lastRenderedPageBreak/>
        <w:t>Referencias</w:t>
      </w:r>
    </w:p>
    <w:p w14:paraId="258F5E60" w14:textId="11BAC44B" w:rsidR="004A08D3" w:rsidRDefault="004A08D3" w:rsidP="00F80D31">
      <w:pPr>
        <w:spacing w:line="360" w:lineRule="auto"/>
        <w:ind w:left="709" w:hanging="709"/>
        <w:jc w:val="both"/>
        <w:rPr>
          <w:rStyle w:val="Hipervnculo"/>
          <w:lang w:val="en-US"/>
        </w:rPr>
      </w:pPr>
      <w:r w:rsidRPr="00394670">
        <w:t>Ato, M., López-García, J. J., &amp; Benavente, A. (2013). Un sistema de clasificación de los diseños de investigación en psicología. </w:t>
      </w:r>
      <w:proofErr w:type="spellStart"/>
      <w:r w:rsidRPr="00394670">
        <w:rPr>
          <w:i/>
          <w:iCs/>
          <w:lang w:val="en-US"/>
        </w:rPr>
        <w:t>Anales</w:t>
      </w:r>
      <w:proofErr w:type="spellEnd"/>
      <w:r w:rsidRPr="00394670">
        <w:rPr>
          <w:i/>
          <w:iCs/>
          <w:lang w:val="en-US"/>
        </w:rPr>
        <w:t xml:space="preserve"> de </w:t>
      </w:r>
      <w:proofErr w:type="spellStart"/>
      <w:r w:rsidRPr="00394670">
        <w:rPr>
          <w:i/>
          <w:iCs/>
          <w:lang w:val="en-US"/>
        </w:rPr>
        <w:t>Psicología</w:t>
      </w:r>
      <w:proofErr w:type="spellEnd"/>
      <w:r w:rsidRPr="00394670">
        <w:rPr>
          <w:i/>
          <w:iCs/>
          <w:lang w:val="en-US"/>
        </w:rPr>
        <w:t>/Annals of Psychology</w:t>
      </w:r>
      <w:r w:rsidRPr="00394670">
        <w:rPr>
          <w:lang w:val="en-US"/>
        </w:rPr>
        <w:t>, </w:t>
      </w:r>
      <w:r w:rsidRPr="00394670">
        <w:rPr>
          <w:i/>
          <w:iCs/>
          <w:lang w:val="en-US"/>
        </w:rPr>
        <w:t>29</w:t>
      </w:r>
      <w:r w:rsidRPr="00394670">
        <w:rPr>
          <w:lang w:val="en-US"/>
        </w:rPr>
        <w:t xml:space="preserve">(3), 1038-1059. </w:t>
      </w:r>
      <w:hyperlink r:id="rId10" w:history="1">
        <w:r w:rsidRPr="00394670">
          <w:rPr>
            <w:rStyle w:val="Hipervnculo"/>
            <w:lang w:val="en-US"/>
          </w:rPr>
          <w:t>https://www.redalyc.org/pdf/167/16728244043.pdf</w:t>
        </w:r>
      </w:hyperlink>
    </w:p>
    <w:p w14:paraId="08245DD8" w14:textId="0E9A8CFF" w:rsidR="004A08D3" w:rsidRDefault="004A08D3" w:rsidP="00F80D31">
      <w:pPr>
        <w:spacing w:line="360" w:lineRule="auto"/>
        <w:ind w:left="709" w:hanging="709"/>
        <w:rPr>
          <w:rFonts w:eastAsia="Times New Roman" w:cs="Calibri"/>
          <w:bCs/>
          <w:color w:val="000000"/>
          <w:lang w:val="pt-BR" w:eastAsia="es-CO"/>
        </w:rPr>
      </w:pPr>
      <w:proofErr w:type="spellStart"/>
      <w:r w:rsidRPr="002D3A62">
        <w:rPr>
          <w:bCs/>
          <w:lang w:val="en-US"/>
        </w:rPr>
        <w:t>Autores</w:t>
      </w:r>
      <w:proofErr w:type="spellEnd"/>
      <w:r w:rsidRPr="00B86FA1">
        <w:rPr>
          <w:bCs/>
          <w:lang w:val="pt-BR"/>
        </w:rPr>
        <w:t xml:space="preserve">. (2016). </w:t>
      </w:r>
      <w:r w:rsidRPr="00B86FA1">
        <w:rPr>
          <w:rFonts w:eastAsia="Times New Roman" w:cs="Calibri"/>
          <w:bCs/>
          <w:color w:val="000000"/>
          <w:lang w:val="pt-BR" w:eastAsia="es-CO"/>
        </w:rPr>
        <w:t>[</w:t>
      </w:r>
      <w:proofErr w:type="spellStart"/>
      <w:proofErr w:type="gramStart"/>
      <w:r w:rsidRPr="00B86FA1">
        <w:rPr>
          <w:rFonts w:eastAsia="Times New Roman" w:cs="Calibri"/>
          <w:bCs/>
          <w:color w:val="000000"/>
          <w:lang w:val="pt-BR" w:eastAsia="es-CO"/>
        </w:rPr>
        <w:t>blinded</w:t>
      </w:r>
      <w:proofErr w:type="spellEnd"/>
      <w:proofErr w:type="gramEnd"/>
      <w:r w:rsidRPr="00B86FA1">
        <w:rPr>
          <w:rFonts w:eastAsia="Times New Roman" w:cs="Calibri"/>
          <w:bCs/>
          <w:color w:val="000000"/>
          <w:lang w:val="pt-BR" w:eastAsia="es-CO"/>
        </w:rPr>
        <w:t xml:space="preserve"> for </w:t>
      </w:r>
      <w:proofErr w:type="spellStart"/>
      <w:r w:rsidRPr="00B86FA1">
        <w:rPr>
          <w:rFonts w:eastAsia="Times New Roman" w:cs="Calibri"/>
          <w:bCs/>
          <w:color w:val="000000"/>
          <w:lang w:val="pt-BR" w:eastAsia="es-CO"/>
        </w:rPr>
        <w:t>peer</w:t>
      </w:r>
      <w:proofErr w:type="spellEnd"/>
      <w:r w:rsidRPr="00B86FA1">
        <w:rPr>
          <w:rFonts w:eastAsia="Times New Roman" w:cs="Calibri"/>
          <w:bCs/>
          <w:color w:val="000000"/>
          <w:lang w:val="pt-BR" w:eastAsia="es-CO"/>
        </w:rPr>
        <w:t xml:space="preserve"> </w:t>
      </w:r>
      <w:proofErr w:type="spellStart"/>
      <w:r w:rsidRPr="00B86FA1">
        <w:rPr>
          <w:rFonts w:eastAsia="Times New Roman" w:cs="Calibri"/>
          <w:bCs/>
          <w:color w:val="000000"/>
          <w:lang w:val="pt-BR" w:eastAsia="es-CO"/>
        </w:rPr>
        <w:t>review</w:t>
      </w:r>
      <w:proofErr w:type="spellEnd"/>
      <w:r w:rsidRPr="00B86FA1">
        <w:rPr>
          <w:rFonts w:eastAsia="Times New Roman" w:cs="Calibri"/>
          <w:bCs/>
          <w:color w:val="000000"/>
          <w:lang w:val="pt-BR" w:eastAsia="es-CO"/>
        </w:rPr>
        <w:t>].</w:t>
      </w:r>
    </w:p>
    <w:p w14:paraId="7630D28D" w14:textId="22E775E5" w:rsidR="004A08D3" w:rsidRDefault="004A08D3" w:rsidP="00F80D31">
      <w:pPr>
        <w:spacing w:line="360" w:lineRule="auto"/>
        <w:ind w:left="709" w:hanging="709"/>
        <w:jc w:val="both"/>
        <w:rPr>
          <w:rFonts w:eastAsia="Times New Roman" w:cs="Calibri"/>
          <w:bCs/>
          <w:color w:val="000000"/>
          <w:lang w:val="en-US" w:eastAsia="es-CO"/>
        </w:rPr>
      </w:pPr>
      <w:proofErr w:type="spellStart"/>
      <w:r>
        <w:rPr>
          <w:lang w:val="en-US"/>
        </w:rPr>
        <w:t>Autores</w:t>
      </w:r>
      <w:proofErr w:type="spellEnd"/>
      <w:r w:rsidRPr="00394670">
        <w:rPr>
          <w:lang w:val="en-US"/>
        </w:rPr>
        <w:t xml:space="preserve">. (2019). </w:t>
      </w:r>
      <w:r w:rsidRPr="00AB48CA">
        <w:rPr>
          <w:rFonts w:eastAsia="Times New Roman" w:cs="Calibri"/>
          <w:bCs/>
          <w:color w:val="000000"/>
          <w:lang w:val="en-US" w:eastAsia="es-CO"/>
        </w:rPr>
        <w:t>[blinded for peer review]</w:t>
      </w:r>
      <w:r>
        <w:rPr>
          <w:rFonts w:eastAsia="Times New Roman" w:cs="Calibri"/>
          <w:bCs/>
          <w:color w:val="000000"/>
          <w:lang w:val="en-US" w:eastAsia="es-CO"/>
        </w:rPr>
        <w:t>.</w:t>
      </w:r>
    </w:p>
    <w:p w14:paraId="4A0A5612" w14:textId="586D3EB0" w:rsidR="004A08D3" w:rsidRDefault="004A08D3" w:rsidP="00F80D31">
      <w:pPr>
        <w:spacing w:line="360" w:lineRule="auto"/>
        <w:ind w:left="709" w:hanging="709"/>
        <w:rPr>
          <w:rFonts w:eastAsia="Times New Roman" w:cs="Calibri"/>
          <w:bCs/>
          <w:color w:val="000000"/>
          <w:lang w:val="en-US" w:eastAsia="es-CO"/>
        </w:rPr>
      </w:pPr>
      <w:proofErr w:type="spellStart"/>
      <w:r>
        <w:rPr>
          <w:lang w:val="en-US"/>
        </w:rPr>
        <w:t>Autores</w:t>
      </w:r>
      <w:proofErr w:type="spellEnd"/>
      <w:r w:rsidRPr="00B86FA1">
        <w:rPr>
          <w:rFonts w:eastAsia="Times New Roman"/>
          <w:bCs/>
          <w:color w:val="000000" w:themeColor="text1"/>
          <w:lang w:val="en-US" w:eastAsia="es-CO"/>
        </w:rPr>
        <w:t xml:space="preserve">. </w:t>
      </w:r>
      <w:r w:rsidRPr="002D3A62">
        <w:rPr>
          <w:rFonts w:eastAsia="Times New Roman"/>
          <w:bCs/>
          <w:color w:val="000000" w:themeColor="text1"/>
          <w:lang w:val="en-US" w:eastAsia="es-CO"/>
        </w:rPr>
        <w:t xml:space="preserve">(2020). </w:t>
      </w:r>
      <w:r w:rsidRPr="00AB48CA">
        <w:rPr>
          <w:rFonts w:eastAsia="Times New Roman" w:cs="Calibri"/>
          <w:bCs/>
          <w:color w:val="000000"/>
          <w:lang w:val="en-US" w:eastAsia="es-CO"/>
        </w:rPr>
        <w:t>[blinded for peer review]</w:t>
      </w:r>
      <w:r>
        <w:rPr>
          <w:rFonts w:eastAsia="Times New Roman" w:cs="Calibri"/>
          <w:bCs/>
          <w:color w:val="000000"/>
          <w:lang w:val="en-US" w:eastAsia="es-CO"/>
        </w:rPr>
        <w:t>.</w:t>
      </w:r>
    </w:p>
    <w:p w14:paraId="0994CB48" w14:textId="14D362DE" w:rsidR="004A08D3" w:rsidRDefault="004A08D3" w:rsidP="00F80D31">
      <w:pPr>
        <w:spacing w:line="360" w:lineRule="auto"/>
        <w:ind w:left="709" w:hanging="709"/>
        <w:rPr>
          <w:rFonts w:eastAsia="Times New Roman" w:cs="Calibri"/>
          <w:bCs/>
          <w:color w:val="000000"/>
          <w:lang w:val="en-US" w:eastAsia="es-CO"/>
        </w:rPr>
      </w:pPr>
      <w:proofErr w:type="spellStart"/>
      <w:r w:rsidRPr="00B86FA1">
        <w:rPr>
          <w:bCs/>
          <w:lang w:val="en-US"/>
        </w:rPr>
        <w:t>Autores</w:t>
      </w:r>
      <w:proofErr w:type="spellEnd"/>
      <w:r w:rsidRPr="00B86FA1">
        <w:rPr>
          <w:bCs/>
          <w:lang w:val="en-US"/>
        </w:rPr>
        <w:t xml:space="preserve">. </w:t>
      </w:r>
      <w:r w:rsidRPr="00394670">
        <w:rPr>
          <w:bCs/>
          <w:lang w:val="pt-BR"/>
        </w:rPr>
        <w:t xml:space="preserve">(2020). </w:t>
      </w:r>
      <w:r w:rsidRPr="00AB48CA">
        <w:rPr>
          <w:rFonts w:eastAsia="Times New Roman" w:cs="Calibri"/>
          <w:bCs/>
          <w:color w:val="000000"/>
          <w:lang w:val="en-US" w:eastAsia="es-CO"/>
        </w:rPr>
        <w:t>[blinded for peer review]</w:t>
      </w:r>
      <w:r>
        <w:rPr>
          <w:rFonts w:eastAsia="Times New Roman" w:cs="Calibri"/>
          <w:bCs/>
          <w:color w:val="000000"/>
          <w:lang w:val="en-US" w:eastAsia="es-CO"/>
        </w:rPr>
        <w:t>.</w:t>
      </w:r>
    </w:p>
    <w:p w14:paraId="2C473B5C" w14:textId="48CC8A32" w:rsidR="004A08D3" w:rsidRDefault="004A08D3" w:rsidP="00F80D31">
      <w:pPr>
        <w:spacing w:line="360" w:lineRule="auto"/>
        <w:ind w:left="709" w:hanging="709"/>
        <w:rPr>
          <w:rFonts w:eastAsia="Times New Roman" w:cs="Calibri"/>
          <w:bCs/>
          <w:color w:val="000000"/>
          <w:lang w:val="en-US" w:eastAsia="es-CO"/>
        </w:rPr>
      </w:pPr>
      <w:proofErr w:type="spellStart"/>
      <w:r>
        <w:rPr>
          <w:lang w:val="en-US"/>
        </w:rPr>
        <w:t>Autores</w:t>
      </w:r>
      <w:proofErr w:type="spellEnd"/>
      <w:r w:rsidRPr="002D3A62">
        <w:rPr>
          <w:lang w:val="en-US"/>
        </w:rPr>
        <w:t xml:space="preserve">. (2021). </w:t>
      </w:r>
      <w:r w:rsidRPr="00AB48CA">
        <w:rPr>
          <w:rFonts w:eastAsia="Times New Roman" w:cs="Calibri"/>
          <w:bCs/>
          <w:color w:val="000000"/>
          <w:lang w:val="en-US" w:eastAsia="es-CO"/>
        </w:rPr>
        <w:t>[blinded for peer review]</w:t>
      </w:r>
      <w:r>
        <w:rPr>
          <w:rFonts w:eastAsia="Times New Roman" w:cs="Calibri"/>
          <w:bCs/>
          <w:color w:val="000000"/>
          <w:lang w:val="en-US" w:eastAsia="es-CO"/>
        </w:rPr>
        <w:t>.</w:t>
      </w:r>
    </w:p>
    <w:p w14:paraId="43BD06B9" w14:textId="66AEE1AB" w:rsidR="004A08D3" w:rsidRDefault="004A08D3" w:rsidP="00F80D31">
      <w:pPr>
        <w:spacing w:line="360" w:lineRule="auto"/>
        <w:ind w:left="709" w:hanging="709"/>
        <w:rPr>
          <w:rFonts w:eastAsia="Times New Roman" w:cs="Calibri"/>
          <w:bCs/>
          <w:color w:val="000000"/>
          <w:lang w:val="en-US" w:eastAsia="es-CO"/>
        </w:rPr>
      </w:pPr>
      <w:proofErr w:type="spellStart"/>
      <w:r w:rsidRPr="004A08D3">
        <w:rPr>
          <w:bCs/>
          <w:lang w:val="en-US"/>
        </w:rPr>
        <w:t>Autores</w:t>
      </w:r>
      <w:proofErr w:type="spellEnd"/>
      <w:r w:rsidRPr="004A08D3">
        <w:rPr>
          <w:bCs/>
          <w:lang w:val="en-US"/>
        </w:rPr>
        <w:t xml:space="preserve">. </w:t>
      </w:r>
      <w:r w:rsidRPr="00B86FA1">
        <w:rPr>
          <w:bCs/>
          <w:lang w:val="pt-BR"/>
        </w:rPr>
        <w:t xml:space="preserve">(2021). </w:t>
      </w:r>
      <w:r w:rsidRPr="00AB48CA">
        <w:rPr>
          <w:rFonts w:eastAsia="Times New Roman" w:cs="Calibri"/>
          <w:bCs/>
          <w:color w:val="000000"/>
          <w:lang w:val="en-US" w:eastAsia="es-CO"/>
        </w:rPr>
        <w:t>[blinded for peer review]</w:t>
      </w:r>
      <w:r>
        <w:rPr>
          <w:rFonts w:eastAsia="Times New Roman" w:cs="Calibri"/>
          <w:bCs/>
          <w:color w:val="000000"/>
          <w:lang w:val="en-US" w:eastAsia="es-CO"/>
        </w:rPr>
        <w:t>.</w:t>
      </w:r>
    </w:p>
    <w:p w14:paraId="45B7B9EE" w14:textId="03D006B4" w:rsidR="004A08D3" w:rsidRDefault="004A08D3" w:rsidP="00F80D31">
      <w:pPr>
        <w:spacing w:line="360" w:lineRule="auto"/>
        <w:ind w:left="709" w:hanging="709"/>
        <w:rPr>
          <w:rFonts w:eastAsia="Times New Roman" w:cs="Calibri"/>
          <w:bCs/>
          <w:color w:val="000000"/>
          <w:lang w:val="en-US" w:eastAsia="es-CO"/>
        </w:rPr>
      </w:pPr>
      <w:proofErr w:type="spellStart"/>
      <w:r>
        <w:rPr>
          <w:bCs/>
          <w:lang w:val="en-US"/>
        </w:rPr>
        <w:t>Autores</w:t>
      </w:r>
      <w:proofErr w:type="spellEnd"/>
      <w:r w:rsidRPr="00394670">
        <w:rPr>
          <w:bCs/>
          <w:lang w:val="en-US"/>
        </w:rPr>
        <w:t xml:space="preserve">. (2021). </w:t>
      </w:r>
      <w:r w:rsidRPr="00AB48CA">
        <w:rPr>
          <w:rFonts w:eastAsia="Times New Roman" w:cs="Calibri"/>
          <w:bCs/>
          <w:color w:val="000000"/>
          <w:lang w:val="en-US" w:eastAsia="es-CO"/>
        </w:rPr>
        <w:t>[blinded for peer review]</w:t>
      </w:r>
      <w:r>
        <w:rPr>
          <w:rFonts w:eastAsia="Times New Roman" w:cs="Calibri"/>
          <w:bCs/>
          <w:color w:val="000000"/>
          <w:lang w:val="en-US" w:eastAsia="es-CO"/>
        </w:rPr>
        <w:t>.</w:t>
      </w:r>
    </w:p>
    <w:p w14:paraId="3464A751" w14:textId="7443E354" w:rsidR="004A08D3" w:rsidRDefault="004A08D3" w:rsidP="00F80D31">
      <w:pPr>
        <w:spacing w:line="360" w:lineRule="auto"/>
        <w:ind w:left="709" w:hanging="709"/>
        <w:rPr>
          <w:rFonts w:eastAsia="Times New Roman" w:cs="Calibri"/>
          <w:bCs/>
          <w:color w:val="000000"/>
          <w:lang w:val="en-US" w:eastAsia="es-CO"/>
        </w:rPr>
      </w:pPr>
      <w:proofErr w:type="spellStart"/>
      <w:r>
        <w:rPr>
          <w:lang w:val="en-US"/>
        </w:rPr>
        <w:t>Autores</w:t>
      </w:r>
      <w:proofErr w:type="spellEnd"/>
      <w:r w:rsidRPr="00394670">
        <w:rPr>
          <w:lang w:val="en-US"/>
        </w:rPr>
        <w:t xml:space="preserve">. (2022). </w:t>
      </w:r>
      <w:r w:rsidRPr="00AB48CA">
        <w:rPr>
          <w:rFonts w:eastAsia="Times New Roman" w:cs="Calibri"/>
          <w:bCs/>
          <w:color w:val="000000"/>
          <w:lang w:val="en-US" w:eastAsia="es-CO"/>
        </w:rPr>
        <w:t>[blinded for peer review]</w:t>
      </w:r>
      <w:r>
        <w:rPr>
          <w:rFonts w:eastAsia="Times New Roman" w:cs="Calibri"/>
          <w:bCs/>
          <w:color w:val="000000"/>
          <w:lang w:val="en-US" w:eastAsia="es-CO"/>
        </w:rPr>
        <w:t>.</w:t>
      </w:r>
    </w:p>
    <w:p w14:paraId="1473AFB0" w14:textId="41E02419" w:rsidR="004A08D3" w:rsidRDefault="004A08D3" w:rsidP="00F80D31">
      <w:pPr>
        <w:spacing w:line="360" w:lineRule="auto"/>
        <w:ind w:left="709" w:hanging="709"/>
        <w:rPr>
          <w:rFonts w:eastAsia="Times New Roman" w:cs="Calibri"/>
          <w:bCs/>
          <w:color w:val="000000"/>
          <w:lang w:val="en-US" w:eastAsia="es-CO"/>
        </w:rPr>
      </w:pPr>
      <w:proofErr w:type="spellStart"/>
      <w:r>
        <w:rPr>
          <w:lang w:val="en-US"/>
        </w:rPr>
        <w:t>Autores</w:t>
      </w:r>
      <w:proofErr w:type="spellEnd"/>
      <w:r w:rsidRPr="00394670">
        <w:rPr>
          <w:lang w:val="en-US"/>
        </w:rPr>
        <w:t xml:space="preserve">. (2022). </w:t>
      </w:r>
      <w:r w:rsidRPr="00AB48CA">
        <w:rPr>
          <w:rFonts w:eastAsia="Times New Roman" w:cs="Calibri"/>
          <w:bCs/>
          <w:color w:val="000000"/>
          <w:lang w:val="en-US" w:eastAsia="es-CO"/>
        </w:rPr>
        <w:t>[blinded for peer review]</w:t>
      </w:r>
      <w:r>
        <w:rPr>
          <w:rFonts w:eastAsia="Times New Roman" w:cs="Calibri"/>
          <w:bCs/>
          <w:color w:val="000000"/>
          <w:lang w:val="en-US" w:eastAsia="es-CO"/>
        </w:rPr>
        <w:t>.</w:t>
      </w:r>
    </w:p>
    <w:p w14:paraId="35279D93" w14:textId="10027217" w:rsidR="004A08D3" w:rsidRDefault="004A08D3" w:rsidP="00F80D31">
      <w:pPr>
        <w:spacing w:line="360" w:lineRule="auto"/>
        <w:ind w:left="709" w:hanging="709"/>
        <w:rPr>
          <w:rStyle w:val="Hipervnculo"/>
          <w:bCs/>
          <w:lang w:val="en-US"/>
        </w:rPr>
      </w:pPr>
      <w:proofErr w:type="spellStart"/>
      <w:r w:rsidRPr="00394670">
        <w:rPr>
          <w:bCs/>
          <w:lang w:val="en-US"/>
        </w:rPr>
        <w:t>Balidemaj</w:t>
      </w:r>
      <w:proofErr w:type="spellEnd"/>
      <w:r w:rsidRPr="00394670">
        <w:rPr>
          <w:bCs/>
          <w:lang w:val="en-US"/>
        </w:rPr>
        <w:t xml:space="preserve">, A., &amp; Small, M. (2019). The effects of ethnic identity and acculturation in mental health of immigrants: A literature review. </w:t>
      </w:r>
      <w:r w:rsidRPr="00394670">
        <w:rPr>
          <w:bCs/>
          <w:i/>
          <w:iCs/>
          <w:lang w:val="en-US"/>
        </w:rPr>
        <w:t>International Journal of Social Psychiatry, 65</w:t>
      </w:r>
      <w:r w:rsidRPr="00394670">
        <w:rPr>
          <w:bCs/>
          <w:lang w:val="en-US"/>
        </w:rPr>
        <w:t xml:space="preserve">(7-8), 643-655. </w:t>
      </w:r>
      <w:hyperlink r:id="rId11" w:history="1">
        <w:r w:rsidRPr="00394670">
          <w:rPr>
            <w:rStyle w:val="Hipervnculo"/>
            <w:bCs/>
            <w:lang w:val="en-US"/>
          </w:rPr>
          <w:t>https://doi.org/10.1177/0020764019867994</w:t>
        </w:r>
      </w:hyperlink>
    </w:p>
    <w:p w14:paraId="4BD4D171" w14:textId="6D512D96" w:rsidR="004A08D3" w:rsidRDefault="004A08D3" w:rsidP="00F80D31">
      <w:pPr>
        <w:spacing w:line="360" w:lineRule="auto"/>
        <w:ind w:left="709" w:hanging="709"/>
        <w:jc w:val="both"/>
        <w:rPr>
          <w:bCs/>
          <w:lang w:val="en-US"/>
        </w:rPr>
      </w:pPr>
      <w:r w:rsidRPr="00D03A90">
        <w:rPr>
          <w:bCs/>
          <w:lang w:val="en-US"/>
        </w:rPr>
        <w:t>Berg, J. A. (2015). Explaining attitudes toward immigrants and immigration policy: A review of the theoretical literature. </w:t>
      </w:r>
      <w:r w:rsidRPr="00D03A90">
        <w:rPr>
          <w:bCs/>
          <w:i/>
          <w:iCs/>
          <w:lang w:val="en-US"/>
        </w:rPr>
        <w:t>Sociology Compass</w:t>
      </w:r>
      <w:r w:rsidRPr="00D03A90">
        <w:rPr>
          <w:bCs/>
          <w:lang w:val="en-US"/>
        </w:rPr>
        <w:t>, </w:t>
      </w:r>
      <w:r w:rsidRPr="00D03A90">
        <w:rPr>
          <w:bCs/>
          <w:i/>
          <w:iCs/>
          <w:lang w:val="en-US"/>
        </w:rPr>
        <w:t>9</w:t>
      </w:r>
      <w:r w:rsidRPr="00D03A90">
        <w:rPr>
          <w:bCs/>
          <w:lang w:val="en-US"/>
        </w:rPr>
        <w:t xml:space="preserve">(1), 23-34. </w:t>
      </w:r>
      <w:hyperlink r:id="rId12" w:history="1">
        <w:r w:rsidRPr="00D03A90">
          <w:rPr>
            <w:rStyle w:val="Hipervnculo"/>
            <w:bCs/>
            <w:lang w:val="en-US"/>
          </w:rPr>
          <w:t>https://doi-org/10.1111/soc4.12235</w:t>
        </w:r>
      </w:hyperlink>
      <w:r w:rsidRPr="00D03A90">
        <w:rPr>
          <w:bCs/>
          <w:lang w:val="en-US"/>
        </w:rPr>
        <w:t xml:space="preserve"> </w:t>
      </w:r>
    </w:p>
    <w:p w14:paraId="73145015" w14:textId="076085F5" w:rsidR="002D3A62" w:rsidRPr="00394670" w:rsidRDefault="004A08D3" w:rsidP="00F80D31">
      <w:pPr>
        <w:spacing w:line="360" w:lineRule="auto"/>
        <w:ind w:left="709" w:hanging="709"/>
        <w:rPr>
          <w:bCs/>
          <w:lang w:val="en-US"/>
        </w:rPr>
      </w:pPr>
      <w:r w:rsidRPr="00394670">
        <w:rPr>
          <w:bCs/>
          <w:lang w:val="en-US"/>
        </w:rPr>
        <w:t>Berry, J. W. (2005). Acculturation: Living successfully in two cultures. </w:t>
      </w:r>
      <w:r w:rsidRPr="00394670">
        <w:rPr>
          <w:bCs/>
          <w:i/>
          <w:iCs/>
          <w:lang w:val="en-US"/>
        </w:rPr>
        <w:t>International journal of intercultural relations</w:t>
      </w:r>
      <w:r w:rsidRPr="00394670">
        <w:rPr>
          <w:bCs/>
          <w:lang w:val="en-US"/>
        </w:rPr>
        <w:t>, </w:t>
      </w:r>
      <w:r w:rsidRPr="00394670">
        <w:rPr>
          <w:bCs/>
          <w:i/>
          <w:iCs/>
          <w:lang w:val="en-US"/>
        </w:rPr>
        <w:t>29</w:t>
      </w:r>
      <w:r w:rsidRPr="00394670">
        <w:rPr>
          <w:bCs/>
          <w:lang w:val="en-US"/>
        </w:rPr>
        <w:t xml:space="preserve">(6), 697-712. </w:t>
      </w:r>
      <w:hyperlink r:id="rId13" w:history="1">
        <w:r w:rsidRPr="00394670">
          <w:rPr>
            <w:rStyle w:val="Hipervnculo"/>
            <w:bCs/>
            <w:lang w:val="en-US"/>
          </w:rPr>
          <w:t>https://doi.org/10.1016/j.ijintrel.2005.07.013</w:t>
        </w:r>
      </w:hyperlink>
      <w:r w:rsidRPr="00394670">
        <w:rPr>
          <w:bCs/>
          <w:lang w:val="en-US"/>
        </w:rPr>
        <w:t xml:space="preserve"> </w:t>
      </w:r>
    </w:p>
    <w:p w14:paraId="3214EA4F" w14:textId="1CFFACF2" w:rsidR="002D3A62" w:rsidRPr="00394670" w:rsidRDefault="004A08D3" w:rsidP="00F80D31">
      <w:pPr>
        <w:spacing w:line="360" w:lineRule="auto"/>
        <w:ind w:left="709" w:hanging="709"/>
        <w:jc w:val="both"/>
        <w:rPr>
          <w:rStyle w:val="Hipervnculo"/>
          <w:bCs/>
          <w:lang w:val="en-US"/>
        </w:rPr>
      </w:pPr>
      <w:r w:rsidRPr="00394670">
        <w:rPr>
          <w:bCs/>
          <w:lang w:val="en-US"/>
        </w:rPr>
        <w:t xml:space="preserve">Berry, J. W., &amp; </w:t>
      </w:r>
      <w:proofErr w:type="spellStart"/>
      <w:r w:rsidRPr="00394670">
        <w:rPr>
          <w:bCs/>
          <w:lang w:val="en-US"/>
        </w:rPr>
        <w:t>Hou</w:t>
      </w:r>
      <w:proofErr w:type="spellEnd"/>
      <w:r w:rsidRPr="00394670">
        <w:rPr>
          <w:bCs/>
          <w:lang w:val="en-US"/>
        </w:rPr>
        <w:t>, F. (2021). Immigrant acculturation and wellbeing across generations and settlement contexts in Canada. </w:t>
      </w:r>
      <w:r w:rsidRPr="00394670">
        <w:rPr>
          <w:bCs/>
          <w:i/>
          <w:iCs/>
          <w:lang w:val="en-US"/>
        </w:rPr>
        <w:t>International Review of Psychiatry</w:t>
      </w:r>
      <w:r w:rsidRPr="00394670">
        <w:rPr>
          <w:bCs/>
          <w:lang w:val="en-US"/>
        </w:rPr>
        <w:t>, </w:t>
      </w:r>
      <w:r w:rsidRPr="00394670">
        <w:rPr>
          <w:bCs/>
          <w:i/>
          <w:iCs/>
          <w:lang w:val="en-US"/>
        </w:rPr>
        <w:t>33</w:t>
      </w:r>
      <w:r w:rsidRPr="00394670">
        <w:rPr>
          <w:bCs/>
          <w:lang w:val="en-US"/>
        </w:rPr>
        <w:t xml:space="preserve">(1-2), 140-153. </w:t>
      </w:r>
      <w:hyperlink r:id="rId14" w:history="1">
        <w:r w:rsidRPr="00394670">
          <w:rPr>
            <w:rStyle w:val="Hipervnculo"/>
            <w:bCs/>
            <w:lang w:val="en-US"/>
          </w:rPr>
          <w:t>https://doi.org/10.1080/09540261.2020.1750801</w:t>
        </w:r>
      </w:hyperlink>
    </w:p>
    <w:p w14:paraId="1738786C" w14:textId="179A8873" w:rsidR="002D3A62" w:rsidRPr="00394670" w:rsidRDefault="004A08D3" w:rsidP="00F80D31">
      <w:pPr>
        <w:spacing w:line="360" w:lineRule="auto"/>
        <w:ind w:left="709" w:hanging="709"/>
        <w:rPr>
          <w:rStyle w:val="Hipervnculo"/>
          <w:bCs/>
          <w:lang w:val="en-US"/>
        </w:rPr>
      </w:pPr>
      <w:r w:rsidRPr="00394670">
        <w:rPr>
          <w:bCs/>
          <w:lang w:val="en-US"/>
        </w:rPr>
        <w:lastRenderedPageBreak/>
        <w:t>Berry, J. W., &amp; Sabatier, C. (2011). Variations in the assessment of acculturation attitudes: Their relationships with psychological wellbeing. </w:t>
      </w:r>
      <w:r w:rsidRPr="00394670">
        <w:rPr>
          <w:bCs/>
          <w:i/>
          <w:iCs/>
          <w:lang w:val="en-US"/>
        </w:rPr>
        <w:t>International journal of intercultural relations</w:t>
      </w:r>
      <w:r w:rsidRPr="00394670">
        <w:rPr>
          <w:bCs/>
          <w:lang w:val="en-US"/>
        </w:rPr>
        <w:t>, </w:t>
      </w:r>
      <w:r w:rsidRPr="00394670">
        <w:rPr>
          <w:bCs/>
          <w:i/>
          <w:iCs/>
          <w:lang w:val="en-US"/>
        </w:rPr>
        <w:t>35</w:t>
      </w:r>
      <w:r w:rsidRPr="00394670">
        <w:rPr>
          <w:bCs/>
          <w:lang w:val="en-US"/>
        </w:rPr>
        <w:t xml:space="preserve">(5), 658-669. </w:t>
      </w:r>
      <w:hyperlink r:id="rId15" w:history="1">
        <w:r w:rsidRPr="00394670">
          <w:rPr>
            <w:rStyle w:val="Hipervnculo"/>
            <w:bCs/>
            <w:lang w:val="en-US"/>
          </w:rPr>
          <w:t>https://doi.org/10.1016/j.ijintrel.2011.02.002</w:t>
        </w:r>
      </w:hyperlink>
    </w:p>
    <w:p w14:paraId="306DCE84" w14:textId="1E7150A9" w:rsidR="002D3A62" w:rsidRPr="00394670" w:rsidRDefault="004A08D3" w:rsidP="00F80D31">
      <w:pPr>
        <w:spacing w:line="360" w:lineRule="auto"/>
        <w:ind w:left="709" w:hanging="709"/>
        <w:rPr>
          <w:rStyle w:val="Hipervnculo"/>
          <w:bCs/>
          <w:lang w:val="en-US"/>
        </w:rPr>
      </w:pPr>
      <w:r w:rsidRPr="00394670">
        <w:rPr>
          <w:bCs/>
          <w:lang w:val="en-US"/>
        </w:rPr>
        <w:t xml:space="preserve">Berry, J. W., </w:t>
      </w:r>
      <w:proofErr w:type="spellStart"/>
      <w:r w:rsidRPr="00394670">
        <w:rPr>
          <w:bCs/>
          <w:lang w:val="en-US"/>
        </w:rPr>
        <w:t>Phinney</w:t>
      </w:r>
      <w:proofErr w:type="spellEnd"/>
      <w:r w:rsidRPr="00394670">
        <w:rPr>
          <w:bCs/>
          <w:lang w:val="en-US"/>
        </w:rPr>
        <w:t xml:space="preserve">, J. S., Sam, D. L., &amp; </w:t>
      </w:r>
      <w:proofErr w:type="spellStart"/>
      <w:r w:rsidRPr="00394670">
        <w:rPr>
          <w:bCs/>
          <w:lang w:val="en-US"/>
        </w:rPr>
        <w:t>Vedder</w:t>
      </w:r>
      <w:proofErr w:type="spellEnd"/>
      <w:r w:rsidRPr="00394670">
        <w:rPr>
          <w:bCs/>
          <w:lang w:val="en-US"/>
        </w:rPr>
        <w:t>, P. (2006). Immigrant youth: Acculturation, identity, and adaptation. </w:t>
      </w:r>
      <w:r w:rsidRPr="00394670">
        <w:rPr>
          <w:bCs/>
          <w:i/>
          <w:iCs/>
          <w:lang w:val="en-US"/>
        </w:rPr>
        <w:t>Applied psychology</w:t>
      </w:r>
      <w:r w:rsidRPr="00394670">
        <w:rPr>
          <w:bCs/>
          <w:lang w:val="en-US"/>
        </w:rPr>
        <w:t>, </w:t>
      </w:r>
      <w:r w:rsidRPr="00394670">
        <w:rPr>
          <w:bCs/>
          <w:i/>
          <w:iCs/>
          <w:lang w:val="en-US"/>
        </w:rPr>
        <w:t>55</w:t>
      </w:r>
      <w:r w:rsidRPr="00394670">
        <w:rPr>
          <w:bCs/>
          <w:lang w:val="en-US"/>
        </w:rPr>
        <w:t xml:space="preserve">(3), 303-332. </w:t>
      </w:r>
      <w:hyperlink r:id="rId16" w:history="1">
        <w:r w:rsidRPr="00394670">
          <w:rPr>
            <w:rStyle w:val="Hipervnculo"/>
            <w:bCs/>
            <w:lang w:val="en-US"/>
          </w:rPr>
          <w:t>https://doi.org/10.1111/j.1464-0597.2006.00256.x</w:t>
        </w:r>
      </w:hyperlink>
    </w:p>
    <w:p w14:paraId="551AC22E" w14:textId="2B7F43FA" w:rsidR="002D3A62" w:rsidRPr="00394670" w:rsidRDefault="004A08D3" w:rsidP="00F80D31">
      <w:pPr>
        <w:spacing w:line="360" w:lineRule="auto"/>
        <w:ind w:left="709" w:hanging="709"/>
        <w:jc w:val="both"/>
        <w:rPr>
          <w:rStyle w:val="Hipervnculo"/>
          <w:lang w:val="en-US"/>
        </w:rPr>
      </w:pPr>
      <w:proofErr w:type="spellStart"/>
      <w:r w:rsidRPr="00394670">
        <w:rPr>
          <w:lang w:val="en-US"/>
        </w:rPr>
        <w:t>Besta</w:t>
      </w:r>
      <w:proofErr w:type="spellEnd"/>
      <w:r w:rsidRPr="00394670">
        <w:rPr>
          <w:lang w:val="en-US"/>
        </w:rPr>
        <w:t xml:space="preserve">, T. (2014). Overlap between personal and group identity and its relation with radical pro-group attitudes: data from a Central European cultural context. </w:t>
      </w:r>
      <w:proofErr w:type="spellStart"/>
      <w:r w:rsidRPr="00394670">
        <w:rPr>
          <w:i/>
          <w:lang w:val="en-US"/>
        </w:rPr>
        <w:t>Studia</w:t>
      </w:r>
      <w:proofErr w:type="spellEnd"/>
      <w:r w:rsidRPr="00394670">
        <w:rPr>
          <w:i/>
          <w:lang w:val="en-US"/>
        </w:rPr>
        <w:t xml:space="preserve"> </w:t>
      </w:r>
      <w:proofErr w:type="spellStart"/>
      <w:r w:rsidRPr="00394670">
        <w:rPr>
          <w:i/>
          <w:lang w:val="en-US"/>
        </w:rPr>
        <w:t>Psychologica</w:t>
      </w:r>
      <w:proofErr w:type="spellEnd"/>
      <w:r w:rsidRPr="00394670">
        <w:rPr>
          <w:i/>
          <w:lang w:val="en-US"/>
        </w:rPr>
        <w:t>, 56</w:t>
      </w:r>
      <w:r w:rsidRPr="00394670">
        <w:rPr>
          <w:lang w:val="en-US"/>
        </w:rPr>
        <w:t xml:space="preserve">(1), 67-80. </w:t>
      </w:r>
      <w:hyperlink r:id="rId17" w:history="1">
        <w:r w:rsidRPr="00394670">
          <w:rPr>
            <w:rStyle w:val="Hipervnculo"/>
            <w:lang w:val="en-US"/>
          </w:rPr>
          <w:t>https://doi.org/10.21909/sp.2014.01.651</w:t>
        </w:r>
      </w:hyperlink>
    </w:p>
    <w:p w14:paraId="06A24787" w14:textId="4C5F905B" w:rsidR="002D3A62" w:rsidRPr="00394670" w:rsidRDefault="004A08D3" w:rsidP="00F80D31">
      <w:pPr>
        <w:spacing w:line="360" w:lineRule="auto"/>
        <w:ind w:left="709" w:hanging="709"/>
        <w:jc w:val="both"/>
        <w:rPr>
          <w:rStyle w:val="Hipervnculo"/>
          <w:lang w:val="en-US"/>
        </w:rPr>
      </w:pPr>
      <w:proofErr w:type="spellStart"/>
      <w:r w:rsidRPr="00394670">
        <w:rPr>
          <w:lang w:val="en-US"/>
        </w:rPr>
        <w:t>Besta</w:t>
      </w:r>
      <w:proofErr w:type="spellEnd"/>
      <w:r w:rsidRPr="00394670">
        <w:rPr>
          <w:lang w:val="en-US"/>
        </w:rPr>
        <w:t>, T. (2018). Independent and interdependent? Agentic and communal? Self-</w:t>
      </w:r>
      <w:proofErr w:type="spellStart"/>
      <w:r w:rsidRPr="00394670">
        <w:rPr>
          <w:lang w:val="en-US"/>
        </w:rPr>
        <w:t>construals</w:t>
      </w:r>
      <w:proofErr w:type="spellEnd"/>
      <w:r w:rsidRPr="00394670">
        <w:rPr>
          <w:lang w:val="en-US"/>
        </w:rPr>
        <w:t xml:space="preserve"> of people fused with a group. </w:t>
      </w:r>
      <w:proofErr w:type="spellStart"/>
      <w:r w:rsidRPr="00394670">
        <w:rPr>
          <w:i/>
          <w:lang w:val="en-US"/>
        </w:rPr>
        <w:t>Anales</w:t>
      </w:r>
      <w:proofErr w:type="spellEnd"/>
      <w:r w:rsidRPr="00394670">
        <w:rPr>
          <w:i/>
          <w:lang w:val="en-US"/>
        </w:rPr>
        <w:t xml:space="preserve"> De </w:t>
      </w:r>
      <w:proofErr w:type="spellStart"/>
      <w:r w:rsidRPr="00394670">
        <w:rPr>
          <w:i/>
          <w:lang w:val="en-US"/>
        </w:rPr>
        <w:t>Psicología</w:t>
      </w:r>
      <w:proofErr w:type="spellEnd"/>
      <w:r w:rsidRPr="00394670">
        <w:rPr>
          <w:i/>
          <w:lang w:val="en-US"/>
        </w:rPr>
        <w:t>/Annals of Psychology, 34</w:t>
      </w:r>
      <w:r w:rsidRPr="00394670">
        <w:rPr>
          <w:lang w:val="en-US"/>
        </w:rPr>
        <w:t xml:space="preserve">(1), 123-134. </w:t>
      </w:r>
      <w:hyperlink r:id="rId18" w:history="1">
        <w:r w:rsidRPr="00394670">
          <w:rPr>
            <w:rStyle w:val="Hipervnculo"/>
            <w:lang w:val="en-US"/>
          </w:rPr>
          <w:t>https://doi.org/10.6018/analesps.34.1.266201</w:t>
        </w:r>
      </w:hyperlink>
    </w:p>
    <w:p w14:paraId="2C62FC7A" w14:textId="0931D84A" w:rsidR="002D3A62" w:rsidRPr="00394670" w:rsidRDefault="004A08D3" w:rsidP="00F80D31">
      <w:pPr>
        <w:spacing w:line="360" w:lineRule="auto"/>
        <w:ind w:left="709" w:hanging="709"/>
        <w:jc w:val="both"/>
        <w:rPr>
          <w:lang w:val="en-US"/>
        </w:rPr>
      </w:pPr>
      <w:proofErr w:type="spellStart"/>
      <w:r w:rsidRPr="00FE3D9A">
        <w:rPr>
          <w:lang w:val="en-US"/>
        </w:rPr>
        <w:t>Besta</w:t>
      </w:r>
      <w:proofErr w:type="spellEnd"/>
      <w:r w:rsidRPr="00FE3D9A">
        <w:rPr>
          <w:lang w:val="en-US"/>
        </w:rPr>
        <w:t xml:space="preserve">, T., </w:t>
      </w:r>
      <w:proofErr w:type="spellStart"/>
      <w:r w:rsidRPr="00FE3D9A">
        <w:rPr>
          <w:lang w:val="en-US"/>
        </w:rPr>
        <w:t>Jaśkiewicz</w:t>
      </w:r>
      <w:proofErr w:type="spellEnd"/>
      <w:r w:rsidRPr="00FE3D9A">
        <w:rPr>
          <w:lang w:val="en-US"/>
        </w:rPr>
        <w:t xml:space="preserve">, M., </w:t>
      </w:r>
      <w:proofErr w:type="spellStart"/>
      <w:r w:rsidRPr="00FE3D9A">
        <w:rPr>
          <w:lang w:val="en-US"/>
        </w:rPr>
        <w:t>Kosakowska‐Berezecka</w:t>
      </w:r>
      <w:proofErr w:type="spellEnd"/>
      <w:r w:rsidRPr="00FE3D9A">
        <w:rPr>
          <w:lang w:val="en-US"/>
        </w:rPr>
        <w:t xml:space="preserve">, N., </w:t>
      </w:r>
      <w:proofErr w:type="spellStart"/>
      <w:r w:rsidRPr="00FE3D9A">
        <w:rPr>
          <w:lang w:val="en-US"/>
        </w:rPr>
        <w:t>Lawendowski</w:t>
      </w:r>
      <w:proofErr w:type="spellEnd"/>
      <w:r w:rsidRPr="00FE3D9A">
        <w:rPr>
          <w:lang w:val="en-US"/>
        </w:rPr>
        <w:t xml:space="preserve">, R., &amp; </w:t>
      </w:r>
      <w:proofErr w:type="spellStart"/>
      <w:r w:rsidRPr="00FE3D9A">
        <w:rPr>
          <w:lang w:val="en-US"/>
        </w:rPr>
        <w:t>Zawadzka</w:t>
      </w:r>
      <w:proofErr w:type="spellEnd"/>
      <w:r w:rsidRPr="00FE3D9A">
        <w:rPr>
          <w:lang w:val="en-US"/>
        </w:rPr>
        <w:t xml:space="preserve">, A. M. (2018). What do I gain from joining crowds? Does self‐expansion help to explain the relationship between identity fusion, group efficacy and collective </w:t>
      </w:r>
      <w:proofErr w:type="gramStart"/>
      <w:r w:rsidRPr="00FE3D9A">
        <w:rPr>
          <w:lang w:val="en-US"/>
        </w:rPr>
        <w:t>action?.</w:t>
      </w:r>
      <w:proofErr w:type="gramEnd"/>
      <w:r w:rsidRPr="00FE3D9A">
        <w:rPr>
          <w:lang w:val="en-US"/>
        </w:rPr>
        <w:t> </w:t>
      </w:r>
      <w:r w:rsidRPr="00FE3D9A">
        <w:rPr>
          <w:i/>
          <w:iCs/>
          <w:lang w:val="en-US"/>
        </w:rPr>
        <w:t>European Journal of Social Psychology</w:t>
      </w:r>
      <w:r w:rsidRPr="00FE3D9A">
        <w:rPr>
          <w:lang w:val="en-US"/>
        </w:rPr>
        <w:t>, </w:t>
      </w:r>
      <w:r w:rsidRPr="00FE3D9A">
        <w:rPr>
          <w:i/>
          <w:iCs/>
          <w:lang w:val="en-US"/>
        </w:rPr>
        <w:t>48</w:t>
      </w:r>
      <w:r w:rsidRPr="00FE3D9A">
        <w:rPr>
          <w:lang w:val="en-US"/>
        </w:rPr>
        <w:t>(2), O152-O167.</w:t>
      </w:r>
      <w:r w:rsidRPr="00394670">
        <w:rPr>
          <w:lang w:val="en-US"/>
        </w:rPr>
        <w:t xml:space="preserve"> </w:t>
      </w:r>
      <w:hyperlink r:id="rId19" w:history="1">
        <w:r w:rsidRPr="00394670">
          <w:rPr>
            <w:rStyle w:val="Hipervnculo"/>
            <w:lang w:val="en-US"/>
          </w:rPr>
          <w:t>https://doi.org/10.1002/ejsp.2332</w:t>
        </w:r>
      </w:hyperlink>
      <w:r w:rsidRPr="00394670">
        <w:rPr>
          <w:lang w:val="en-US"/>
        </w:rPr>
        <w:t xml:space="preserve"> </w:t>
      </w:r>
    </w:p>
    <w:p w14:paraId="78F60985" w14:textId="58435191" w:rsidR="002D3A62" w:rsidRPr="002D3A62" w:rsidRDefault="004A08D3" w:rsidP="00F80D31">
      <w:pPr>
        <w:spacing w:line="360" w:lineRule="auto"/>
        <w:ind w:left="709" w:hanging="709"/>
        <w:rPr>
          <w:rStyle w:val="Hipervnculo"/>
          <w:lang w:val="es-ES"/>
        </w:rPr>
      </w:pPr>
      <w:r w:rsidRPr="00394670">
        <w:rPr>
          <w:color w:val="000000" w:themeColor="text1"/>
        </w:rPr>
        <w:t>Cienfuegos-</w:t>
      </w:r>
      <w:proofErr w:type="spellStart"/>
      <w:r w:rsidRPr="00394670">
        <w:rPr>
          <w:color w:val="000000" w:themeColor="text1"/>
        </w:rPr>
        <w:t>Illanes</w:t>
      </w:r>
      <w:proofErr w:type="spellEnd"/>
      <w:r w:rsidRPr="00394670">
        <w:rPr>
          <w:color w:val="000000" w:themeColor="text1"/>
        </w:rPr>
        <w:t xml:space="preserve">, J., &amp; </w:t>
      </w:r>
      <w:proofErr w:type="spellStart"/>
      <w:r w:rsidRPr="00394670">
        <w:rPr>
          <w:color w:val="000000" w:themeColor="text1"/>
        </w:rPr>
        <w:t>Ruf</w:t>
      </w:r>
      <w:proofErr w:type="spellEnd"/>
      <w:r w:rsidRPr="00394670">
        <w:rPr>
          <w:color w:val="000000" w:themeColor="text1"/>
        </w:rPr>
        <w:t>-Toledo, I. (2022). Profesionales de nacionalidad venezolana en Chile: barreras, estrategias y trayectorias de su migración. </w:t>
      </w:r>
      <w:r w:rsidRPr="002D3A62">
        <w:rPr>
          <w:i/>
          <w:iCs/>
          <w:color w:val="000000" w:themeColor="text1"/>
          <w:lang w:val="es-ES"/>
        </w:rPr>
        <w:t>Estudios Públicos</w:t>
      </w:r>
      <w:r w:rsidRPr="002D3A62">
        <w:rPr>
          <w:color w:val="000000" w:themeColor="text1"/>
          <w:lang w:val="es-ES"/>
        </w:rPr>
        <w:t xml:space="preserve">, (165), 77-104. </w:t>
      </w:r>
      <w:hyperlink r:id="rId20" w:history="1">
        <w:r w:rsidRPr="002D3A62">
          <w:rPr>
            <w:rStyle w:val="Hipervnculo"/>
            <w:lang w:val="es-ES"/>
          </w:rPr>
          <w:t>https://doi.org/10.38178/07183089/1314210429</w:t>
        </w:r>
      </w:hyperlink>
    </w:p>
    <w:p w14:paraId="726189F9" w14:textId="299D1AD8" w:rsidR="002D3A62" w:rsidRPr="00394670" w:rsidRDefault="004A08D3" w:rsidP="00F80D31">
      <w:pPr>
        <w:spacing w:line="360" w:lineRule="auto"/>
        <w:ind w:left="709" w:hanging="709"/>
        <w:rPr>
          <w:rStyle w:val="Hipervnculo"/>
          <w:bCs/>
          <w:lang w:val="en-US"/>
        </w:rPr>
      </w:pPr>
      <w:proofErr w:type="spellStart"/>
      <w:r w:rsidRPr="007565C9">
        <w:rPr>
          <w:bCs/>
          <w:lang w:val="en-US"/>
        </w:rPr>
        <w:t>Firat</w:t>
      </w:r>
      <w:proofErr w:type="spellEnd"/>
      <w:r w:rsidRPr="007565C9">
        <w:rPr>
          <w:bCs/>
          <w:lang w:val="en-US"/>
        </w:rPr>
        <w:t xml:space="preserve">, M., &amp; Noels, K. A. (2021). </w:t>
      </w:r>
      <w:r w:rsidRPr="00394670">
        <w:rPr>
          <w:bCs/>
          <w:lang w:val="en-US"/>
        </w:rPr>
        <w:t>Perceived discrimination and psychological distress among immigrants to Canada: The mediating role of bicultural identity orientations. </w:t>
      </w:r>
      <w:r w:rsidRPr="00394670">
        <w:rPr>
          <w:bCs/>
          <w:i/>
          <w:iCs/>
          <w:lang w:val="en-US"/>
        </w:rPr>
        <w:t>Group Processes &amp; Intergroup Relations</w:t>
      </w:r>
      <w:r w:rsidRPr="00394670">
        <w:rPr>
          <w:bCs/>
          <w:lang w:val="en-US"/>
        </w:rPr>
        <w:t xml:space="preserve">, 1368430221990082. </w:t>
      </w:r>
      <w:hyperlink r:id="rId21" w:history="1">
        <w:r w:rsidRPr="00394670">
          <w:rPr>
            <w:rStyle w:val="Hipervnculo"/>
            <w:bCs/>
            <w:lang w:val="en-US"/>
          </w:rPr>
          <w:t>https://doi.org/10.1177/1368430221990082</w:t>
        </w:r>
      </w:hyperlink>
    </w:p>
    <w:p w14:paraId="24B864CA" w14:textId="0B1B8AEB" w:rsidR="002D3A62" w:rsidRPr="00394670" w:rsidRDefault="004A08D3" w:rsidP="00F80D31">
      <w:pPr>
        <w:spacing w:line="360" w:lineRule="auto"/>
        <w:ind w:left="709" w:hanging="709"/>
        <w:rPr>
          <w:bCs/>
          <w:lang w:val="en-US"/>
        </w:rPr>
      </w:pPr>
      <w:proofErr w:type="spellStart"/>
      <w:r w:rsidRPr="00394670">
        <w:rPr>
          <w:bCs/>
          <w:lang w:val="en-US"/>
        </w:rPr>
        <w:t>Fredman</w:t>
      </w:r>
      <w:proofErr w:type="spellEnd"/>
      <w:r w:rsidRPr="00394670">
        <w:rPr>
          <w:bCs/>
          <w:lang w:val="en-US"/>
        </w:rPr>
        <w:t xml:space="preserve">, L. A., </w:t>
      </w:r>
      <w:proofErr w:type="spellStart"/>
      <w:r w:rsidRPr="00394670">
        <w:rPr>
          <w:bCs/>
          <w:lang w:val="en-US"/>
        </w:rPr>
        <w:t>Buhrmester</w:t>
      </w:r>
      <w:proofErr w:type="spellEnd"/>
      <w:r w:rsidRPr="00394670">
        <w:rPr>
          <w:bCs/>
          <w:lang w:val="en-US"/>
        </w:rPr>
        <w:t xml:space="preserve">, M. D., Gomez, A., Fraser, W. T., </w:t>
      </w:r>
      <w:proofErr w:type="spellStart"/>
      <w:r w:rsidRPr="00394670">
        <w:rPr>
          <w:bCs/>
          <w:lang w:val="en-US"/>
        </w:rPr>
        <w:t>Talaifar</w:t>
      </w:r>
      <w:proofErr w:type="spellEnd"/>
      <w:r w:rsidRPr="00394670">
        <w:rPr>
          <w:bCs/>
          <w:lang w:val="en-US"/>
        </w:rPr>
        <w:t xml:space="preserve">, S., Brannon, S. M., &amp; Swann Jr, W. B. (2015). Identity fusion, extreme pro‐group behavior, and the path to </w:t>
      </w:r>
      <w:proofErr w:type="spellStart"/>
      <w:r w:rsidRPr="00394670">
        <w:rPr>
          <w:bCs/>
          <w:lang w:val="en-US"/>
        </w:rPr>
        <w:t>defusion</w:t>
      </w:r>
      <w:proofErr w:type="spellEnd"/>
      <w:r w:rsidRPr="00394670">
        <w:rPr>
          <w:bCs/>
          <w:lang w:val="en-US"/>
        </w:rPr>
        <w:t>. </w:t>
      </w:r>
      <w:r w:rsidRPr="00394670">
        <w:rPr>
          <w:bCs/>
          <w:i/>
          <w:iCs/>
          <w:lang w:val="en-US"/>
        </w:rPr>
        <w:t>Social and Personality Psychology Compass</w:t>
      </w:r>
      <w:r w:rsidRPr="00394670">
        <w:rPr>
          <w:bCs/>
          <w:lang w:val="en-US"/>
        </w:rPr>
        <w:t>, </w:t>
      </w:r>
      <w:r w:rsidRPr="00394670">
        <w:rPr>
          <w:bCs/>
          <w:i/>
          <w:iCs/>
          <w:lang w:val="en-US"/>
        </w:rPr>
        <w:t>9</w:t>
      </w:r>
      <w:r w:rsidRPr="00394670">
        <w:rPr>
          <w:bCs/>
          <w:lang w:val="en-US"/>
        </w:rPr>
        <w:t xml:space="preserve">(9), 468-480. </w:t>
      </w:r>
      <w:hyperlink r:id="rId22" w:history="1">
        <w:r w:rsidRPr="00394670">
          <w:rPr>
            <w:rStyle w:val="Hipervnculo"/>
            <w:bCs/>
            <w:lang w:val="en-US"/>
          </w:rPr>
          <w:t>https://doi.org/10.1111/spc3.12193</w:t>
        </w:r>
      </w:hyperlink>
      <w:r w:rsidRPr="00394670">
        <w:rPr>
          <w:bCs/>
          <w:lang w:val="en-US"/>
        </w:rPr>
        <w:t xml:space="preserve"> </w:t>
      </w:r>
    </w:p>
    <w:p w14:paraId="10F23DA3" w14:textId="3AAD008F" w:rsidR="002D3A62" w:rsidRPr="00394670" w:rsidRDefault="004A08D3" w:rsidP="00F80D31">
      <w:pPr>
        <w:spacing w:line="360" w:lineRule="auto"/>
        <w:ind w:left="709" w:hanging="709"/>
        <w:jc w:val="both"/>
      </w:pPr>
      <w:proofErr w:type="spellStart"/>
      <w:r w:rsidRPr="004A08D3">
        <w:rPr>
          <w:lang w:val="pt-BR"/>
        </w:rPr>
        <w:lastRenderedPageBreak/>
        <w:t>Gaviria</w:t>
      </w:r>
      <w:proofErr w:type="spellEnd"/>
      <w:r w:rsidRPr="004A08D3">
        <w:rPr>
          <w:lang w:val="pt-BR"/>
        </w:rPr>
        <w:t xml:space="preserve">, E., Ferreira, C., Martínez, M., &amp; </w:t>
      </w:r>
      <w:proofErr w:type="spellStart"/>
      <w:r w:rsidRPr="004A08D3">
        <w:rPr>
          <w:lang w:val="pt-BR"/>
        </w:rPr>
        <w:t>Whitehouse</w:t>
      </w:r>
      <w:proofErr w:type="spellEnd"/>
      <w:r w:rsidRPr="004A08D3">
        <w:rPr>
          <w:lang w:val="pt-BR"/>
        </w:rPr>
        <w:t xml:space="preserve">, H. (2015). </w:t>
      </w:r>
      <w:proofErr w:type="spellStart"/>
      <w:r w:rsidRPr="00394670">
        <w:t>Identity</w:t>
      </w:r>
      <w:proofErr w:type="spellEnd"/>
      <w:r w:rsidRPr="00394670">
        <w:t xml:space="preserve"> and </w:t>
      </w:r>
      <w:proofErr w:type="spellStart"/>
      <w:r w:rsidRPr="00394670">
        <w:t>the</w:t>
      </w:r>
      <w:proofErr w:type="spellEnd"/>
      <w:r w:rsidRPr="00394670">
        <w:t xml:space="preserve"> </w:t>
      </w:r>
      <w:proofErr w:type="spellStart"/>
      <w:r w:rsidRPr="00394670">
        <w:t>developmental</w:t>
      </w:r>
      <w:proofErr w:type="spellEnd"/>
      <w:r w:rsidRPr="00394670">
        <w:t xml:space="preserve"> </w:t>
      </w:r>
      <w:proofErr w:type="spellStart"/>
      <w:r w:rsidRPr="00394670">
        <w:t>origins</w:t>
      </w:r>
      <w:proofErr w:type="spellEnd"/>
      <w:r w:rsidRPr="00394670">
        <w:t xml:space="preserve"> of </w:t>
      </w:r>
      <w:proofErr w:type="spellStart"/>
      <w:r w:rsidRPr="00394670">
        <w:t>fusion</w:t>
      </w:r>
      <w:proofErr w:type="spellEnd"/>
      <w:r w:rsidRPr="00394670">
        <w:t xml:space="preserve">: </w:t>
      </w:r>
      <w:proofErr w:type="spellStart"/>
      <w:r w:rsidRPr="00394670">
        <w:t>an</w:t>
      </w:r>
      <w:proofErr w:type="spellEnd"/>
      <w:r w:rsidRPr="00394670">
        <w:t xml:space="preserve"> </w:t>
      </w:r>
      <w:proofErr w:type="spellStart"/>
      <w:r w:rsidRPr="00394670">
        <w:t>exploratory</w:t>
      </w:r>
      <w:proofErr w:type="spellEnd"/>
      <w:r w:rsidRPr="00394670">
        <w:t xml:space="preserve"> </w:t>
      </w:r>
      <w:proofErr w:type="spellStart"/>
      <w:r w:rsidRPr="00394670">
        <w:t>approach</w:t>
      </w:r>
      <w:proofErr w:type="spellEnd"/>
      <w:r w:rsidRPr="00394670">
        <w:t xml:space="preserve">/La identidad y los orígenes de la fusión en el desarrollo: un enfoque exploratorio. </w:t>
      </w:r>
      <w:r w:rsidRPr="00394670">
        <w:rPr>
          <w:i/>
          <w:iCs/>
        </w:rPr>
        <w:t>Revista de Psicología Social, 30</w:t>
      </w:r>
      <w:r w:rsidRPr="00394670">
        <w:t xml:space="preserve">(3), 531-562. </w:t>
      </w:r>
      <w:hyperlink r:id="rId23" w:history="1">
        <w:r w:rsidRPr="00394670">
          <w:rPr>
            <w:rStyle w:val="Hipervnculo"/>
          </w:rPr>
          <w:t>https://doi.org/10.1080/02134748.2015.1065088</w:t>
        </w:r>
      </w:hyperlink>
      <w:r w:rsidRPr="00394670">
        <w:t xml:space="preserve"> </w:t>
      </w:r>
    </w:p>
    <w:p w14:paraId="7B62710F" w14:textId="19FB47B7" w:rsidR="002D3A62" w:rsidRPr="00F641A3" w:rsidRDefault="004A08D3" w:rsidP="00F80D31">
      <w:pPr>
        <w:spacing w:line="360" w:lineRule="auto"/>
        <w:ind w:left="709" w:hanging="709"/>
        <w:jc w:val="both"/>
        <w:rPr>
          <w:bCs/>
        </w:rPr>
      </w:pPr>
      <w:r w:rsidRPr="00394670">
        <w:rPr>
          <w:bCs/>
          <w:lang w:val="es-ES"/>
        </w:rPr>
        <w:t xml:space="preserve">Gómez, A. (2018). Psicología social aplicada a la violencia y el extremismo. El caso de la fusión de identidad. En </w:t>
      </w:r>
      <w:r w:rsidRPr="00394670">
        <w:rPr>
          <w:lang w:val="es-ES"/>
        </w:rPr>
        <w:t>Vázquez, A.</w:t>
      </w:r>
      <w:r w:rsidRPr="00394670">
        <w:rPr>
          <w:bCs/>
          <w:lang w:val="es-ES"/>
        </w:rPr>
        <w:t>, &amp;</w:t>
      </w:r>
      <w:r w:rsidRPr="00394670">
        <w:t xml:space="preserve"> </w:t>
      </w:r>
      <w:r w:rsidRPr="00394670">
        <w:rPr>
          <w:bCs/>
          <w:lang w:val="es-ES"/>
        </w:rPr>
        <w:t xml:space="preserve">Gómez, A. (Eds.), </w:t>
      </w:r>
      <w:r w:rsidRPr="00394670">
        <w:rPr>
          <w:bCs/>
          <w:i/>
          <w:lang w:val="es-ES"/>
        </w:rPr>
        <w:t>Psicología Social</w:t>
      </w:r>
      <w:r w:rsidRPr="00394670">
        <w:rPr>
          <w:bCs/>
          <w:lang w:val="es-ES"/>
        </w:rPr>
        <w:t xml:space="preserve"> (pp. 389-434). Sans y Torres.</w:t>
      </w:r>
    </w:p>
    <w:p w14:paraId="68CC543B" w14:textId="57FB022F" w:rsidR="002D3A62" w:rsidRPr="00394670" w:rsidRDefault="004A08D3" w:rsidP="00F80D31">
      <w:pPr>
        <w:spacing w:line="360" w:lineRule="auto"/>
        <w:ind w:left="709" w:hanging="709"/>
        <w:rPr>
          <w:rStyle w:val="Hipervnculo"/>
          <w:bCs/>
        </w:rPr>
      </w:pPr>
      <w:r w:rsidRPr="00394670">
        <w:rPr>
          <w:bCs/>
        </w:rPr>
        <w:t xml:space="preserve">Gómez, Á., &amp; Vázquez, A. (2015). El poder de ‘sentirse uno’ con un grupo: fusión de la identidad y conductas </w:t>
      </w:r>
      <w:proofErr w:type="spellStart"/>
      <w:r w:rsidRPr="00394670">
        <w:rPr>
          <w:bCs/>
        </w:rPr>
        <w:t>progrupales</w:t>
      </w:r>
      <w:proofErr w:type="spellEnd"/>
      <w:r w:rsidRPr="00394670">
        <w:rPr>
          <w:bCs/>
        </w:rPr>
        <w:t xml:space="preserve"> extremas. </w:t>
      </w:r>
      <w:r w:rsidRPr="00394670">
        <w:rPr>
          <w:bCs/>
          <w:i/>
          <w:iCs/>
        </w:rPr>
        <w:t>Revista de Psicología Social, 30</w:t>
      </w:r>
      <w:r w:rsidRPr="00394670">
        <w:rPr>
          <w:bCs/>
        </w:rPr>
        <w:t xml:space="preserve">(3), 1-31. </w:t>
      </w:r>
      <w:hyperlink r:id="rId24" w:history="1">
        <w:r w:rsidRPr="00394670">
          <w:rPr>
            <w:rStyle w:val="Hipervnculo"/>
            <w:bCs/>
          </w:rPr>
          <w:t>https://doi.org/10.1080/02134748.2015.1065089</w:t>
        </w:r>
      </w:hyperlink>
    </w:p>
    <w:p w14:paraId="685AD5FB" w14:textId="538FA295" w:rsidR="002D3A62" w:rsidRPr="00394670" w:rsidRDefault="004A08D3" w:rsidP="00F80D31">
      <w:pPr>
        <w:spacing w:line="360" w:lineRule="auto"/>
        <w:ind w:left="709" w:hanging="709"/>
        <w:jc w:val="both"/>
        <w:rPr>
          <w:lang w:val="en-US"/>
        </w:rPr>
      </w:pPr>
      <w:r w:rsidRPr="001C72F3">
        <w:t xml:space="preserve">Gómez, A., </w:t>
      </w:r>
      <w:proofErr w:type="spellStart"/>
      <w:r w:rsidRPr="001C72F3">
        <w:t>Atran</w:t>
      </w:r>
      <w:proofErr w:type="spellEnd"/>
      <w:r w:rsidRPr="001C72F3">
        <w:t xml:space="preserve">, S., Chinchilla, J., Vázquez, A., López-Rodríguez, L., Paredes, B., ... </w:t>
      </w:r>
      <w:r w:rsidRPr="001C72F3">
        <w:rPr>
          <w:lang w:val="en-US"/>
        </w:rPr>
        <w:t>&amp; Davis, R. (2022). Willingness to sacrifice among convicted Islamist terrorists versus violent gang members and other criminals. </w:t>
      </w:r>
      <w:r w:rsidRPr="001C72F3">
        <w:rPr>
          <w:i/>
          <w:iCs/>
          <w:lang w:val="en-US"/>
        </w:rPr>
        <w:t>Scientific reports</w:t>
      </w:r>
      <w:r w:rsidRPr="001C72F3">
        <w:rPr>
          <w:lang w:val="en-US"/>
        </w:rPr>
        <w:t>, </w:t>
      </w:r>
      <w:r w:rsidRPr="001C72F3">
        <w:rPr>
          <w:i/>
          <w:iCs/>
          <w:lang w:val="en-US"/>
        </w:rPr>
        <w:t>12</w:t>
      </w:r>
      <w:r w:rsidRPr="001C72F3">
        <w:rPr>
          <w:lang w:val="en-US"/>
        </w:rPr>
        <w:t>(1), 1-15.</w:t>
      </w:r>
      <w:r w:rsidRPr="00394670">
        <w:rPr>
          <w:lang w:val="en-US"/>
        </w:rPr>
        <w:t xml:space="preserve"> </w:t>
      </w:r>
      <w:hyperlink r:id="rId25" w:history="1">
        <w:r w:rsidRPr="00394670">
          <w:rPr>
            <w:rStyle w:val="Hipervnculo"/>
            <w:lang w:val="en-US"/>
          </w:rPr>
          <w:t>https://doi.org/10.1038/s41598-022-06590-0</w:t>
        </w:r>
      </w:hyperlink>
      <w:r w:rsidRPr="00394670">
        <w:rPr>
          <w:lang w:val="en-US"/>
        </w:rPr>
        <w:t xml:space="preserve"> </w:t>
      </w:r>
    </w:p>
    <w:p w14:paraId="2627D645" w14:textId="485D2258" w:rsidR="002D3A62" w:rsidRPr="00394670" w:rsidRDefault="004A08D3" w:rsidP="00F80D31">
      <w:pPr>
        <w:spacing w:line="360" w:lineRule="auto"/>
        <w:ind w:left="709" w:hanging="709"/>
        <w:jc w:val="both"/>
        <w:rPr>
          <w:rStyle w:val="Hipervnculo"/>
          <w:lang w:val="en-US"/>
        </w:rPr>
      </w:pPr>
      <w:r w:rsidRPr="00394670">
        <w:rPr>
          <w:lang w:val="en-US"/>
        </w:rPr>
        <w:t xml:space="preserve">Gómez, Á., Brooks, M. L., </w:t>
      </w:r>
      <w:proofErr w:type="spellStart"/>
      <w:r w:rsidRPr="00394670">
        <w:rPr>
          <w:lang w:val="en-US"/>
        </w:rPr>
        <w:t>Buhrmester</w:t>
      </w:r>
      <w:proofErr w:type="spellEnd"/>
      <w:r w:rsidRPr="00394670">
        <w:rPr>
          <w:lang w:val="en-US"/>
        </w:rPr>
        <w:t xml:space="preserve">, M. D., Vázquez, A., </w:t>
      </w:r>
      <w:proofErr w:type="spellStart"/>
      <w:r w:rsidRPr="00394670">
        <w:rPr>
          <w:lang w:val="en-US"/>
        </w:rPr>
        <w:t>Jetten</w:t>
      </w:r>
      <w:proofErr w:type="spellEnd"/>
      <w:r w:rsidRPr="00394670">
        <w:rPr>
          <w:lang w:val="en-US"/>
        </w:rPr>
        <w:t xml:space="preserve">, J., &amp; Swann Jr, W. B. (2011). On the nature of identity fusion: Insights into the construct and a new measure. </w:t>
      </w:r>
      <w:r w:rsidRPr="00394670">
        <w:rPr>
          <w:i/>
          <w:lang w:val="en-US"/>
        </w:rPr>
        <w:t>Journal of Personality and Social Psychology, 100</w:t>
      </w:r>
      <w:r w:rsidRPr="00394670">
        <w:rPr>
          <w:lang w:val="en-US"/>
        </w:rPr>
        <w:t xml:space="preserve">(5), 918-933. </w:t>
      </w:r>
      <w:hyperlink r:id="rId26" w:history="1">
        <w:r w:rsidRPr="00394670">
          <w:rPr>
            <w:rStyle w:val="Hipervnculo"/>
            <w:lang w:val="en-US"/>
          </w:rPr>
          <w:t>http://dx.doi.org/10.1037/a0022642</w:t>
        </w:r>
      </w:hyperlink>
    </w:p>
    <w:p w14:paraId="042CDC3A" w14:textId="37FB593E" w:rsidR="002D3A62" w:rsidRPr="00394670" w:rsidRDefault="004A08D3" w:rsidP="00F80D31">
      <w:pPr>
        <w:spacing w:line="360" w:lineRule="auto"/>
        <w:ind w:left="709" w:hanging="709"/>
        <w:jc w:val="both"/>
        <w:rPr>
          <w:bCs/>
          <w:lang w:val="en-US"/>
        </w:rPr>
      </w:pPr>
      <w:r w:rsidRPr="00394670">
        <w:rPr>
          <w:bCs/>
        </w:rPr>
        <w:t xml:space="preserve">Gómez, A., Chinchilla, J., Vázquez, A., López‐Rodríguez, L., Paredes, B., &amp; Martínez, M. (2020). </w:t>
      </w:r>
      <w:r w:rsidRPr="00394670">
        <w:rPr>
          <w:bCs/>
          <w:lang w:val="en-US"/>
        </w:rPr>
        <w:t>Recent advances, misconceptions, untested assumptions, and future research agenda for identity fusion theory. </w:t>
      </w:r>
      <w:r w:rsidRPr="00394670">
        <w:rPr>
          <w:bCs/>
          <w:i/>
          <w:iCs/>
          <w:lang w:val="en-US"/>
        </w:rPr>
        <w:t>Social and Personality Psychology Compass</w:t>
      </w:r>
      <w:r w:rsidRPr="00394670">
        <w:rPr>
          <w:bCs/>
          <w:lang w:val="en-US"/>
        </w:rPr>
        <w:t>, </w:t>
      </w:r>
      <w:r w:rsidRPr="00394670">
        <w:rPr>
          <w:bCs/>
          <w:i/>
          <w:iCs/>
          <w:lang w:val="en-US"/>
        </w:rPr>
        <w:t>14</w:t>
      </w:r>
      <w:r w:rsidRPr="00394670">
        <w:rPr>
          <w:bCs/>
          <w:lang w:val="en-US"/>
        </w:rPr>
        <w:t xml:space="preserve">(6), e12531. </w:t>
      </w:r>
      <w:hyperlink r:id="rId27" w:history="1">
        <w:r w:rsidRPr="00394670">
          <w:rPr>
            <w:rStyle w:val="Hipervnculo"/>
            <w:bCs/>
            <w:lang w:val="en-US"/>
          </w:rPr>
          <w:t>https://doi.org/10.1111/spc3.12531</w:t>
        </w:r>
      </w:hyperlink>
      <w:r w:rsidRPr="00394670">
        <w:rPr>
          <w:bCs/>
          <w:lang w:val="en-US"/>
        </w:rPr>
        <w:t xml:space="preserve"> </w:t>
      </w:r>
    </w:p>
    <w:p w14:paraId="5DD13CBE" w14:textId="409B801B" w:rsidR="002D3A62" w:rsidRPr="00394670" w:rsidRDefault="004A08D3" w:rsidP="00F80D31">
      <w:pPr>
        <w:spacing w:line="360" w:lineRule="auto"/>
        <w:ind w:left="709" w:hanging="709"/>
        <w:jc w:val="both"/>
        <w:rPr>
          <w:rStyle w:val="Hipervnculo"/>
          <w:lang w:val="en-US"/>
        </w:rPr>
      </w:pPr>
      <w:r w:rsidRPr="00394670">
        <w:t xml:space="preserve">Gómez, A., Morales, J. F., </w:t>
      </w:r>
      <w:proofErr w:type="spellStart"/>
      <w:r w:rsidRPr="00394670">
        <w:t>Hart</w:t>
      </w:r>
      <w:proofErr w:type="spellEnd"/>
      <w:r w:rsidRPr="00394670">
        <w:t xml:space="preserve">, S., Vázquez, A., &amp; </w:t>
      </w:r>
      <w:proofErr w:type="spellStart"/>
      <w:r w:rsidRPr="00394670">
        <w:t>Swann</w:t>
      </w:r>
      <w:proofErr w:type="spellEnd"/>
      <w:r w:rsidRPr="00394670">
        <w:t xml:space="preserve">, Jr., W. B. (2011). </w:t>
      </w:r>
      <w:r w:rsidRPr="00394670">
        <w:rPr>
          <w:lang w:val="en-US"/>
        </w:rPr>
        <w:t xml:space="preserve">Rejected and excluded forevermore, but even more devoted: Irrevocable ostracism intensifies loyalty to the group among identity fused persons. </w:t>
      </w:r>
      <w:r w:rsidRPr="00394670">
        <w:rPr>
          <w:i/>
          <w:lang w:val="en-US"/>
        </w:rPr>
        <w:t>Personality and Social Psychology Bulletin, 37</w:t>
      </w:r>
      <w:r w:rsidRPr="00394670">
        <w:rPr>
          <w:lang w:val="en-US"/>
        </w:rPr>
        <w:t xml:space="preserve">(12), 1574-1586. </w:t>
      </w:r>
      <w:hyperlink r:id="rId28" w:history="1">
        <w:r w:rsidRPr="00394670">
          <w:rPr>
            <w:rStyle w:val="Hipervnculo"/>
            <w:lang w:val="en-US"/>
          </w:rPr>
          <w:t>https://doi.org/10.1177/0146167211424580</w:t>
        </w:r>
      </w:hyperlink>
    </w:p>
    <w:p w14:paraId="60C5656D" w14:textId="288E6AD2" w:rsidR="002D3A62" w:rsidRPr="00394670" w:rsidRDefault="004A08D3" w:rsidP="00F80D31">
      <w:pPr>
        <w:spacing w:line="360" w:lineRule="auto"/>
        <w:ind w:left="709" w:hanging="709"/>
        <w:rPr>
          <w:rStyle w:val="Hipervnculo"/>
          <w:bCs/>
          <w:lang w:val="en-US"/>
        </w:rPr>
      </w:pPr>
      <w:r w:rsidRPr="007565C9">
        <w:rPr>
          <w:bCs/>
          <w:lang w:val="es-ES"/>
        </w:rPr>
        <w:t xml:space="preserve">Gómez, Á., Vázquez, A., López-Rodríguez, L., </w:t>
      </w:r>
      <w:proofErr w:type="spellStart"/>
      <w:r w:rsidRPr="007565C9">
        <w:rPr>
          <w:bCs/>
          <w:lang w:val="es-ES"/>
        </w:rPr>
        <w:t>Talaifar</w:t>
      </w:r>
      <w:proofErr w:type="spellEnd"/>
      <w:r w:rsidRPr="007565C9">
        <w:rPr>
          <w:bCs/>
          <w:lang w:val="es-ES"/>
        </w:rPr>
        <w:t xml:space="preserve">, S., Martínez, M., </w:t>
      </w:r>
      <w:proofErr w:type="spellStart"/>
      <w:r w:rsidRPr="007565C9">
        <w:rPr>
          <w:bCs/>
          <w:lang w:val="es-ES"/>
        </w:rPr>
        <w:t>Buhrmester</w:t>
      </w:r>
      <w:proofErr w:type="spellEnd"/>
      <w:r w:rsidRPr="007565C9">
        <w:rPr>
          <w:bCs/>
          <w:lang w:val="es-ES"/>
        </w:rPr>
        <w:t xml:space="preserve">, M. D., &amp; </w:t>
      </w:r>
      <w:proofErr w:type="spellStart"/>
      <w:r w:rsidRPr="007565C9">
        <w:rPr>
          <w:bCs/>
          <w:lang w:val="es-ES"/>
        </w:rPr>
        <w:t>Swann</w:t>
      </w:r>
      <w:proofErr w:type="spellEnd"/>
      <w:r w:rsidRPr="007565C9">
        <w:rPr>
          <w:bCs/>
          <w:lang w:val="es-ES"/>
        </w:rPr>
        <w:t xml:space="preserve"> </w:t>
      </w:r>
      <w:proofErr w:type="spellStart"/>
      <w:r w:rsidRPr="007565C9">
        <w:rPr>
          <w:bCs/>
          <w:lang w:val="es-ES"/>
        </w:rPr>
        <w:t>Jr</w:t>
      </w:r>
      <w:proofErr w:type="spellEnd"/>
      <w:r w:rsidRPr="007565C9">
        <w:rPr>
          <w:bCs/>
          <w:lang w:val="es-ES"/>
        </w:rPr>
        <w:t xml:space="preserve">, W. B. (2019). </w:t>
      </w:r>
      <w:r w:rsidRPr="00394670">
        <w:rPr>
          <w:bCs/>
          <w:lang w:val="en-US"/>
        </w:rPr>
        <w:t>Why people abandon groups: Degrading relational vs collective ties uniquely impacts identity fusion and identification. </w:t>
      </w:r>
      <w:r w:rsidRPr="00394670">
        <w:rPr>
          <w:bCs/>
          <w:i/>
          <w:iCs/>
          <w:lang w:val="en-US"/>
        </w:rPr>
        <w:t xml:space="preserve">Journal of </w:t>
      </w:r>
      <w:r w:rsidRPr="00394670">
        <w:rPr>
          <w:bCs/>
          <w:i/>
          <w:iCs/>
          <w:lang w:val="en-US"/>
        </w:rPr>
        <w:lastRenderedPageBreak/>
        <w:t>Experimental Social Psychology</w:t>
      </w:r>
      <w:r w:rsidRPr="00394670">
        <w:rPr>
          <w:bCs/>
          <w:lang w:val="en-US"/>
        </w:rPr>
        <w:t>, </w:t>
      </w:r>
      <w:r w:rsidRPr="00394670">
        <w:rPr>
          <w:bCs/>
          <w:i/>
          <w:iCs/>
          <w:lang w:val="en-US"/>
        </w:rPr>
        <w:t>85</w:t>
      </w:r>
      <w:r w:rsidRPr="00394670">
        <w:rPr>
          <w:bCs/>
          <w:lang w:val="en-US"/>
        </w:rPr>
        <w:t xml:space="preserve">, 103853. </w:t>
      </w:r>
      <w:hyperlink r:id="rId29" w:history="1">
        <w:r w:rsidRPr="00394670">
          <w:rPr>
            <w:rStyle w:val="Hipervnculo"/>
            <w:bCs/>
            <w:lang w:val="en-US"/>
          </w:rPr>
          <w:t>https://doi.org/10.1016/j.jesp.2019.103853</w:t>
        </w:r>
      </w:hyperlink>
    </w:p>
    <w:p w14:paraId="621E87FF" w14:textId="7AA4BA0D" w:rsidR="002D3A62" w:rsidRPr="00394670" w:rsidRDefault="004A08D3" w:rsidP="00F80D31">
      <w:pPr>
        <w:spacing w:line="360" w:lineRule="auto"/>
        <w:ind w:left="709" w:hanging="709"/>
        <w:jc w:val="both"/>
        <w:rPr>
          <w:lang w:val="en-US"/>
        </w:rPr>
      </w:pPr>
      <w:r w:rsidRPr="00761C5A">
        <w:rPr>
          <w:lang w:val="en-US"/>
        </w:rPr>
        <w:t>Hart, R., &amp; Lancaster, S. L. (2019). Identity fusion in US military members. </w:t>
      </w:r>
      <w:r w:rsidRPr="00761C5A">
        <w:rPr>
          <w:i/>
          <w:iCs/>
          <w:lang w:val="en-US"/>
        </w:rPr>
        <w:t>Armed Forces &amp; Society</w:t>
      </w:r>
      <w:r w:rsidRPr="00761C5A">
        <w:rPr>
          <w:lang w:val="en-US"/>
        </w:rPr>
        <w:t>, </w:t>
      </w:r>
      <w:r w:rsidRPr="00761C5A">
        <w:rPr>
          <w:i/>
          <w:iCs/>
          <w:lang w:val="en-US"/>
        </w:rPr>
        <w:t>45</w:t>
      </w:r>
      <w:r w:rsidRPr="00761C5A">
        <w:rPr>
          <w:lang w:val="en-US"/>
        </w:rPr>
        <w:t>(1), 45-58.</w:t>
      </w:r>
      <w:r w:rsidRPr="00394670">
        <w:rPr>
          <w:lang w:val="en-US"/>
        </w:rPr>
        <w:t xml:space="preserve"> </w:t>
      </w:r>
      <w:hyperlink r:id="rId30" w:history="1">
        <w:r w:rsidRPr="00394670">
          <w:rPr>
            <w:rStyle w:val="Hipervnculo"/>
            <w:lang w:val="en-US"/>
          </w:rPr>
          <w:t>https://doi.org/10.1177/0095327X17737021</w:t>
        </w:r>
      </w:hyperlink>
      <w:r w:rsidRPr="00394670">
        <w:rPr>
          <w:lang w:val="en-US"/>
        </w:rPr>
        <w:t xml:space="preserve"> </w:t>
      </w:r>
    </w:p>
    <w:p w14:paraId="70ABF151" w14:textId="1C8274AB" w:rsidR="002D3A62" w:rsidRPr="002D3A62" w:rsidRDefault="004A08D3" w:rsidP="00F80D31">
      <w:pPr>
        <w:spacing w:line="360" w:lineRule="auto"/>
        <w:ind w:left="709" w:hanging="709"/>
        <w:rPr>
          <w:rStyle w:val="Hipervnculo"/>
          <w:bCs/>
          <w:lang w:val="es-ES"/>
        </w:rPr>
      </w:pPr>
      <w:r w:rsidRPr="00394670">
        <w:rPr>
          <w:bCs/>
          <w:lang w:val="en-US"/>
        </w:rPr>
        <w:t xml:space="preserve">Haslam, S. A., </w:t>
      </w:r>
      <w:proofErr w:type="spellStart"/>
      <w:r w:rsidRPr="00394670">
        <w:rPr>
          <w:bCs/>
          <w:lang w:val="en-US"/>
        </w:rPr>
        <w:t>Jetten</w:t>
      </w:r>
      <w:proofErr w:type="spellEnd"/>
      <w:r w:rsidRPr="00394670">
        <w:rPr>
          <w:bCs/>
          <w:lang w:val="en-US"/>
        </w:rPr>
        <w:t xml:space="preserve">, J., </w:t>
      </w:r>
      <w:proofErr w:type="spellStart"/>
      <w:r w:rsidRPr="00394670">
        <w:rPr>
          <w:bCs/>
          <w:lang w:val="en-US"/>
        </w:rPr>
        <w:t>Postmes</w:t>
      </w:r>
      <w:proofErr w:type="spellEnd"/>
      <w:r w:rsidRPr="00394670">
        <w:rPr>
          <w:bCs/>
          <w:lang w:val="en-US"/>
        </w:rPr>
        <w:t>, T., &amp; Haslam, C. (2009). Social identity, health and well‐being: An emerging agenda for applied psychology. </w:t>
      </w:r>
      <w:proofErr w:type="spellStart"/>
      <w:r w:rsidRPr="002D3A62">
        <w:rPr>
          <w:bCs/>
          <w:i/>
          <w:iCs/>
          <w:lang w:val="es-ES"/>
        </w:rPr>
        <w:t>Applied</w:t>
      </w:r>
      <w:proofErr w:type="spellEnd"/>
      <w:r w:rsidRPr="002D3A62">
        <w:rPr>
          <w:bCs/>
          <w:i/>
          <w:iCs/>
          <w:lang w:val="es-ES"/>
        </w:rPr>
        <w:t xml:space="preserve"> </w:t>
      </w:r>
      <w:proofErr w:type="spellStart"/>
      <w:r w:rsidRPr="002D3A62">
        <w:rPr>
          <w:bCs/>
          <w:i/>
          <w:iCs/>
          <w:lang w:val="es-ES"/>
        </w:rPr>
        <w:t>Psychology</w:t>
      </w:r>
      <w:proofErr w:type="spellEnd"/>
      <w:r w:rsidRPr="002D3A62">
        <w:rPr>
          <w:bCs/>
          <w:lang w:val="es-ES"/>
        </w:rPr>
        <w:t>, </w:t>
      </w:r>
      <w:r w:rsidRPr="002D3A62">
        <w:rPr>
          <w:bCs/>
          <w:i/>
          <w:iCs/>
          <w:lang w:val="es-ES"/>
        </w:rPr>
        <w:t>58</w:t>
      </w:r>
      <w:r w:rsidRPr="002D3A62">
        <w:rPr>
          <w:bCs/>
          <w:lang w:val="es-ES"/>
        </w:rPr>
        <w:t xml:space="preserve">(1), 1-23. </w:t>
      </w:r>
      <w:hyperlink r:id="rId31" w:history="1">
        <w:r w:rsidRPr="002D3A62">
          <w:rPr>
            <w:rStyle w:val="Hipervnculo"/>
            <w:bCs/>
            <w:lang w:val="es-ES"/>
          </w:rPr>
          <w:t>https://doi.org/10.1111/j.1464-0597.2008.00379.x</w:t>
        </w:r>
      </w:hyperlink>
    </w:p>
    <w:p w14:paraId="04B4DD9C" w14:textId="53C285FB" w:rsidR="002D3A62" w:rsidRPr="002D3A62" w:rsidRDefault="004A08D3" w:rsidP="00F80D31">
      <w:pPr>
        <w:spacing w:line="360" w:lineRule="auto"/>
        <w:ind w:left="709" w:hanging="709"/>
        <w:jc w:val="both"/>
        <w:rPr>
          <w:bCs/>
        </w:rPr>
      </w:pPr>
      <w:r w:rsidRPr="002D3A62">
        <w:rPr>
          <w:bCs/>
          <w:lang w:val="es-ES"/>
        </w:rPr>
        <w:t xml:space="preserve">Instituto Nacional de Estadísticas [INE] (2018). Síntesis de resultados Censo 2017, Chile. </w:t>
      </w:r>
      <w:hyperlink r:id="rId32" w:history="1">
        <w:r w:rsidRPr="002D3A62">
          <w:rPr>
            <w:rStyle w:val="Hipervnculo"/>
            <w:bCs/>
          </w:rPr>
          <w:t>http://www.censo2017.cl/descargas/home/sintesis-de-resultados-censo2017.pdf</w:t>
        </w:r>
      </w:hyperlink>
    </w:p>
    <w:p w14:paraId="48613DF7" w14:textId="689AE16C" w:rsidR="002D3A62" w:rsidRPr="00394670" w:rsidRDefault="004A08D3" w:rsidP="00F80D31">
      <w:pPr>
        <w:spacing w:line="360" w:lineRule="auto"/>
        <w:ind w:left="709" w:hanging="709"/>
        <w:rPr>
          <w:rStyle w:val="Hipervnculo"/>
          <w:bCs/>
        </w:rPr>
      </w:pPr>
      <w:r w:rsidRPr="00394670">
        <w:rPr>
          <w:bCs/>
        </w:rPr>
        <w:t xml:space="preserve">Instituto Nacional de Estadísticas [INE] y Departamento de Extranjería y Migración [DEM] (2021). Estimación de personas extranjeras residentes en Chile al 31 de diciembre 2020. </w:t>
      </w:r>
      <w:hyperlink r:id="rId33" w:history="1">
        <w:r w:rsidRPr="00394670">
          <w:rPr>
            <w:rStyle w:val="Hipervnculo"/>
            <w:bCs/>
          </w:rPr>
          <w:t>https://www.ine.cl/docs/default-source/demografia-y-migracion/publicaciones-y-anuarios/migración-internacional/estimación-población-extranjera-en-chile-2018/estimación-población-extranjera-en-chile-2020-metodología.pdf</w:t>
        </w:r>
      </w:hyperlink>
    </w:p>
    <w:p w14:paraId="03502CC2" w14:textId="18C6D403" w:rsidR="002D3A62" w:rsidRPr="00394670" w:rsidRDefault="004A08D3" w:rsidP="00F80D31">
      <w:pPr>
        <w:spacing w:line="360" w:lineRule="auto"/>
        <w:ind w:left="709" w:hanging="709"/>
        <w:rPr>
          <w:rStyle w:val="Hipervnculo"/>
          <w:bCs/>
          <w:lang w:val="en-US"/>
        </w:rPr>
      </w:pPr>
      <w:r w:rsidRPr="00394670">
        <w:rPr>
          <w:bCs/>
          <w:lang w:val="en-US"/>
        </w:rPr>
        <w:t xml:space="preserve">International Organization for Migration (IOM, 2020). World Migration Report 2020. IOM, Geneva. </w:t>
      </w:r>
      <w:hyperlink r:id="rId34" w:history="1">
        <w:r w:rsidRPr="00394670">
          <w:rPr>
            <w:rStyle w:val="Hipervnculo"/>
            <w:bCs/>
            <w:lang w:val="en-US"/>
          </w:rPr>
          <w:t>https://publications.iom.int/system/files/pdf/wmr_2020_es.pdf</w:t>
        </w:r>
      </w:hyperlink>
    </w:p>
    <w:p w14:paraId="4AC8AD79" w14:textId="1EC04086" w:rsidR="002D3A62" w:rsidRPr="00036588" w:rsidRDefault="004A08D3" w:rsidP="00F80D31">
      <w:pPr>
        <w:spacing w:line="360" w:lineRule="auto"/>
        <w:ind w:left="709" w:hanging="709"/>
      </w:pPr>
      <w:r w:rsidRPr="00394670">
        <w:rPr>
          <w:bCs/>
          <w:lang w:val="en-US"/>
        </w:rPr>
        <w:t xml:space="preserve">International Organization for Migration (IOM, 2022). World Migration Report 2022. IOM, Geneva. </w:t>
      </w:r>
      <w:hyperlink r:id="rId35" w:history="1">
        <w:r w:rsidRPr="00036588">
          <w:rPr>
            <w:rStyle w:val="Hipervnculo"/>
          </w:rPr>
          <w:t>https://publications.iom.int/books/informe-sobre-las-migraciones-en-el-mundo-2022</w:t>
        </w:r>
      </w:hyperlink>
      <w:r w:rsidRPr="00036588">
        <w:t xml:space="preserve"> </w:t>
      </w:r>
    </w:p>
    <w:p w14:paraId="0224F3A5" w14:textId="50780874" w:rsidR="002D3A62" w:rsidRPr="00394670" w:rsidRDefault="004A08D3" w:rsidP="00F80D31">
      <w:pPr>
        <w:spacing w:line="360" w:lineRule="auto"/>
        <w:ind w:left="709" w:hanging="709"/>
        <w:jc w:val="both"/>
        <w:rPr>
          <w:bCs/>
        </w:rPr>
      </w:pPr>
      <w:r w:rsidRPr="00F641A3">
        <w:rPr>
          <w:bCs/>
          <w:lang w:val="en-US"/>
        </w:rPr>
        <w:t xml:space="preserve">Jong, J., Whitehouse, H., Kavanagh, C., &amp; Lane, J. (2015). Shared negative experiences lead to identity fusion via reflection. </w:t>
      </w:r>
      <w:proofErr w:type="spellStart"/>
      <w:r w:rsidRPr="00F641A3">
        <w:rPr>
          <w:bCs/>
          <w:i/>
          <w:iCs/>
        </w:rPr>
        <w:t>PLoS</w:t>
      </w:r>
      <w:proofErr w:type="spellEnd"/>
      <w:r w:rsidRPr="00F641A3">
        <w:rPr>
          <w:bCs/>
          <w:i/>
          <w:iCs/>
        </w:rPr>
        <w:t xml:space="preserve"> </w:t>
      </w:r>
      <w:proofErr w:type="spellStart"/>
      <w:r w:rsidRPr="00F641A3">
        <w:rPr>
          <w:bCs/>
          <w:i/>
          <w:iCs/>
        </w:rPr>
        <w:t>One</w:t>
      </w:r>
      <w:proofErr w:type="spellEnd"/>
      <w:r w:rsidRPr="00F641A3">
        <w:rPr>
          <w:bCs/>
          <w:i/>
          <w:iCs/>
        </w:rPr>
        <w:t>, 10</w:t>
      </w:r>
      <w:r w:rsidRPr="00F641A3">
        <w:rPr>
          <w:bCs/>
        </w:rPr>
        <w:t xml:space="preserve">(12), e0145611. </w:t>
      </w:r>
      <w:hyperlink r:id="rId36" w:history="1">
        <w:r w:rsidRPr="00F641A3">
          <w:rPr>
            <w:rStyle w:val="Hipervnculo"/>
            <w:bCs/>
          </w:rPr>
          <w:t>https://doi.org/10.1371/journal.pone.0145611</w:t>
        </w:r>
      </w:hyperlink>
      <w:r w:rsidRPr="00394670">
        <w:rPr>
          <w:bCs/>
        </w:rPr>
        <w:t xml:space="preserve"> </w:t>
      </w:r>
    </w:p>
    <w:p w14:paraId="0379BF46" w14:textId="27E937B0" w:rsidR="002D3A62" w:rsidRPr="00394670" w:rsidRDefault="004A08D3" w:rsidP="00F80D31">
      <w:pPr>
        <w:spacing w:line="360" w:lineRule="auto"/>
        <w:ind w:left="709" w:hanging="709"/>
        <w:rPr>
          <w:rStyle w:val="Hipervnculo"/>
          <w:bCs/>
          <w:lang w:val="en-US"/>
        </w:rPr>
      </w:pPr>
      <w:proofErr w:type="spellStart"/>
      <w:r w:rsidRPr="00394670">
        <w:rPr>
          <w:bCs/>
          <w:lang w:val="es-ES"/>
        </w:rPr>
        <w:t>Kader</w:t>
      </w:r>
      <w:proofErr w:type="spellEnd"/>
      <w:r w:rsidRPr="00394670">
        <w:rPr>
          <w:bCs/>
          <w:lang w:val="es-ES"/>
        </w:rPr>
        <w:t xml:space="preserve">, F., </w:t>
      </w:r>
      <w:proofErr w:type="spellStart"/>
      <w:r w:rsidRPr="00394670">
        <w:rPr>
          <w:bCs/>
          <w:lang w:val="es-ES"/>
        </w:rPr>
        <w:t>Bazzi</w:t>
      </w:r>
      <w:proofErr w:type="spellEnd"/>
      <w:r w:rsidRPr="00394670">
        <w:rPr>
          <w:bCs/>
          <w:lang w:val="es-ES"/>
        </w:rPr>
        <w:t xml:space="preserve">, L., </w:t>
      </w:r>
      <w:proofErr w:type="spellStart"/>
      <w:r w:rsidRPr="00394670">
        <w:rPr>
          <w:bCs/>
          <w:lang w:val="es-ES"/>
        </w:rPr>
        <w:t>Khoja</w:t>
      </w:r>
      <w:proofErr w:type="spellEnd"/>
      <w:r w:rsidRPr="00394670">
        <w:rPr>
          <w:bCs/>
          <w:lang w:val="es-ES"/>
        </w:rPr>
        <w:t xml:space="preserve">, L., Hassan, F., &amp; de </w:t>
      </w:r>
      <w:proofErr w:type="spellStart"/>
      <w:r w:rsidRPr="00394670">
        <w:rPr>
          <w:bCs/>
          <w:lang w:val="es-ES"/>
        </w:rPr>
        <w:t>Leon</w:t>
      </w:r>
      <w:proofErr w:type="spellEnd"/>
      <w:r w:rsidRPr="00394670">
        <w:rPr>
          <w:bCs/>
          <w:lang w:val="es-ES"/>
        </w:rPr>
        <w:t xml:space="preserve">, C. M. (2020). </w:t>
      </w:r>
      <w:r w:rsidRPr="00394670">
        <w:rPr>
          <w:bCs/>
          <w:lang w:val="en-US"/>
        </w:rPr>
        <w:t>Perceived discrimination and mental well-being in Arab Americans from southeast Michigan: a cross-sectional study. </w:t>
      </w:r>
      <w:r w:rsidRPr="00394670">
        <w:rPr>
          <w:bCs/>
          <w:i/>
          <w:iCs/>
          <w:lang w:val="en-US"/>
        </w:rPr>
        <w:t>Journal of racial and ethnic health disparities</w:t>
      </w:r>
      <w:r w:rsidRPr="00394670">
        <w:rPr>
          <w:bCs/>
          <w:lang w:val="en-US"/>
        </w:rPr>
        <w:t>, </w:t>
      </w:r>
      <w:r w:rsidRPr="00394670">
        <w:rPr>
          <w:bCs/>
          <w:i/>
          <w:iCs/>
          <w:lang w:val="en-US"/>
        </w:rPr>
        <w:t>7</w:t>
      </w:r>
      <w:r w:rsidRPr="00394670">
        <w:rPr>
          <w:bCs/>
          <w:lang w:val="en-US"/>
        </w:rPr>
        <w:t xml:space="preserve">(3), 436-445. </w:t>
      </w:r>
      <w:hyperlink r:id="rId37" w:history="1">
        <w:r w:rsidRPr="00394670">
          <w:rPr>
            <w:rStyle w:val="Hipervnculo"/>
            <w:bCs/>
            <w:lang w:val="en-US"/>
          </w:rPr>
          <w:t>https://doi.org/10.1007/s40615-019-00672-y</w:t>
        </w:r>
      </w:hyperlink>
    </w:p>
    <w:p w14:paraId="1F125D95" w14:textId="390A23D8" w:rsidR="002D3A62" w:rsidRPr="00394670" w:rsidRDefault="004A08D3" w:rsidP="00F80D31">
      <w:pPr>
        <w:spacing w:line="360" w:lineRule="auto"/>
        <w:ind w:left="709" w:hanging="709"/>
        <w:jc w:val="both"/>
        <w:rPr>
          <w:bCs/>
          <w:lang w:val="en-US"/>
        </w:rPr>
      </w:pPr>
      <w:proofErr w:type="spellStart"/>
      <w:r w:rsidRPr="00F641A3">
        <w:rPr>
          <w:bCs/>
          <w:lang w:val="en-US"/>
        </w:rPr>
        <w:lastRenderedPageBreak/>
        <w:t>Kapitány</w:t>
      </w:r>
      <w:proofErr w:type="spellEnd"/>
      <w:r w:rsidRPr="00F641A3">
        <w:rPr>
          <w:bCs/>
          <w:lang w:val="en-US"/>
        </w:rPr>
        <w:t xml:space="preserve">, R., Kavanagh, C., </w:t>
      </w:r>
      <w:proofErr w:type="spellStart"/>
      <w:r w:rsidRPr="00F641A3">
        <w:rPr>
          <w:bCs/>
          <w:lang w:val="en-US"/>
        </w:rPr>
        <w:t>Buhrmester</w:t>
      </w:r>
      <w:proofErr w:type="spellEnd"/>
      <w:r w:rsidRPr="00F641A3">
        <w:rPr>
          <w:bCs/>
          <w:lang w:val="en-US"/>
        </w:rPr>
        <w:t>, M. D., Newson, M., &amp; Whitehouse, H. (2020). Ritual, identity fusion, and the inauguration of President Trump: A pseudo-experiment of ritual modes theory. </w:t>
      </w:r>
      <w:r w:rsidRPr="00F641A3">
        <w:rPr>
          <w:bCs/>
          <w:i/>
          <w:iCs/>
          <w:lang w:val="en-US"/>
        </w:rPr>
        <w:t>Self and Identity</w:t>
      </w:r>
      <w:r w:rsidRPr="00F641A3">
        <w:rPr>
          <w:bCs/>
          <w:lang w:val="en-US"/>
        </w:rPr>
        <w:t>, </w:t>
      </w:r>
      <w:r w:rsidRPr="00F641A3">
        <w:rPr>
          <w:bCs/>
          <w:i/>
          <w:iCs/>
          <w:lang w:val="en-US"/>
        </w:rPr>
        <w:t>19</w:t>
      </w:r>
      <w:r w:rsidRPr="00F641A3">
        <w:rPr>
          <w:bCs/>
          <w:lang w:val="en-US"/>
        </w:rPr>
        <w:t>(3), 293-323.</w:t>
      </w:r>
      <w:r w:rsidRPr="00394670">
        <w:rPr>
          <w:bCs/>
          <w:lang w:val="en-US"/>
        </w:rPr>
        <w:t xml:space="preserve"> </w:t>
      </w:r>
      <w:hyperlink r:id="rId38" w:history="1">
        <w:r w:rsidRPr="00394670">
          <w:rPr>
            <w:rStyle w:val="Hipervnculo"/>
            <w:bCs/>
            <w:lang w:val="en-US"/>
          </w:rPr>
          <w:t>https://doi.org/10.1080/15298868.2019.1578686</w:t>
        </w:r>
      </w:hyperlink>
      <w:r w:rsidRPr="00394670">
        <w:rPr>
          <w:bCs/>
          <w:lang w:val="en-US"/>
        </w:rPr>
        <w:t xml:space="preserve"> </w:t>
      </w:r>
    </w:p>
    <w:p w14:paraId="2380E833" w14:textId="550DE531" w:rsidR="002D3A62" w:rsidRPr="00394670" w:rsidRDefault="004A08D3" w:rsidP="00F80D31">
      <w:pPr>
        <w:spacing w:line="360" w:lineRule="auto"/>
        <w:ind w:left="709" w:hanging="709"/>
        <w:jc w:val="both"/>
        <w:rPr>
          <w:lang w:val="en-US"/>
        </w:rPr>
      </w:pPr>
      <w:r w:rsidRPr="00795B45">
        <w:rPr>
          <w:lang w:val="en-US"/>
        </w:rPr>
        <w:t>Kavanagh, C. M., Jong, J., McKay, R., &amp; Whitehouse, H. (2019). Positive experiences of high arousal martial arts rituals are linked to identity fusion and costly pro‐group actions. </w:t>
      </w:r>
      <w:r w:rsidRPr="00795B45">
        <w:rPr>
          <w:i/>
          <w:iCs/>
          <w:lang w:val="en-US"/>
        </w:rPr>
        <w:t>European Journal of Social Psychology</w:t>
      </w:r>
      <w:r w:rsidRPr="00795B45">
        <w:rPr>
          <w:lang w:val="en-US"/>
        </w:rPr>
        <w:t>, </w:t>
      </w:r>
      <w:r w:rsidRPr="00795B45">
        <w:rPr>
          <w:i/>
          <w:iCs/>
          <w:lang w:val="en-US"/>
        </w:rPr>
        <w:t>49</w:t>
      </w:r>
      <w:r w:rsidRPr="00795B45">
        <w:rPr>
          <w:lang w:val="en-US"/>
        </w:rPr>
        <w:t>(3), 461-481.</w:t>
      </w:r>
      <w:r w:rsidRPr="00394670">
        <w:rPr>
          <w:lang w:val="en-US"/>
        </w:rPr>
        <w:t xml:space="preserve"> </w:t>
      </w:r>
      <w:hyperlink r:id="rId39" w:history="1">
        <w:r w:rsidRPr="00394670">
          <w:rPr>
            <w:rStyle w:val="Hipervnculo"/>
            <w:lang w:val="en-US"/>
          </w:rPr>
          <w:t>https://doi.org/10.1002/ejsp.2514</w:t>
        </w:r>
      </w:hyperlink>
      <w:r w:rsidRPr="00394670">
        <w:rPr>
          <w:lang w:val="en-US"/>
        </w:rPr>
        <w:t xml:space="preserve"> </w:t>
      </w:r>
    </w:p>
    <w:p w14:paraId="47BB3E85" w14:textId="111E6CD5" w:rsidR="002D3A62" w:rsidRPr="00394670" w:rsidRDefault="004A08D3" w:rsidP="00F80D31">
      <w:pPr>
        <w:spacing w:line="360" w:lineRule="auto"/>
        <w:ind w:left="709" w:hanging="709"/>
        <w:jc w:val="both"/>
        <w:rPr>
          <w:lang w:val="en-US"/>
        </w:rPr>
      </w:pPr>
      <w:r w:rsidRPr="00D04F2A">
        <w:rPr>
          <w:bCs/>
          <w:lang w:val="en-US"/>
        </w:rPr>
        <w:t xml:space="preserve">Kiang, L., C. </w:t>
      </w:r>
      <w:proofErr w:type="spellStart"/>
      <w:r w:rsidRPr="00D04F2A">
        <w:rPr>
          <w:bCs/>
          <w:lang w:val="en-US"/>
        </w:rPr>
        <w:t>Brunsting</w:t>
      </w:r>
      <w:proofErr w:type="spellEnd"/>
      <w:r w:rsidRPr="00D04F2A">
        <w:rPr>
          <w:bCs/>
          <w:lang w:val="en-US"/>
        </w:rPr>
        <w:t xml:space="preserve">, N., </w:t>
      </w:r>
      <w:proofErr w:type="spellStart"/>
      <w:r w:rsidRPr="00D04F2A">
        <w:rPr>
          <w:bCs/>
          <w:lang w:val="en-US"/>
        </w:rPr>
        <w:t>Tevis</w:t>
      </w:r>
      <w:proofErr w:type="spellEnd"/>
      <w:r w:rsidRPr="00D04F2A">
        <w:rPr>
          <w:bCs/>
          <w:lang w:val="en-US"/>
        </w:rPr>
        <w:t xml:space="preserve">, T., </w:t>
      </w:r>
      <w:proofErr w:type="spellStart"/>
      <w:r w:rsidRPr="00D04F2A">
        <w:rPr>
          <w:bCs/>
          <w:lang w:val="en-US"/>
        </w:rPr>
        <w:t>Zachry</w:t>
      </w:r>
      <w:proofErr w:type="spellEnd"/>
      <w:r w:rsidRPr="00D04F2A">
        <w:rPr>
          <w:bCs/>
          <w:lang w:val="en-US"/>
        </w:rPr>
        <w:t>, C., He, Y., &amp; Takeuchi, R. (2020). Identity Fusion and Adjustment in International Students at US Colleges and Universities. </w:t>
      </w:r>
      <w:r w:rsidRPr="00D04F2A">
        <w:rPr>
          <w:bCs/>
          <w:i/>
          <w:iCs/>
          <w:lang w:val="en-US"/>
        </w:rPr>
        <w:t>Journal of Studies in International Education</w:t>
      </w:r>
      <w:r w:rsidRPr="00D04F2A">
        <w:rPr>
          <w:bCs/>
          <w:lang w:val="en-US"/>
        </w:rPr>
        <w:t xml:space="preserve">, 1028315320932320. </w:t>
      </w:r>
      <w:hyperlink r:id="rId40" w:history="1">
        <w:r w:rsidRPr="00D04F2A">
          <w:rPr>
            <w:rStyle w:val="Hipervnculo"/>
            <w:bCs/>
            <w:lang w:val="en-US"/>
          </w:rPr>
          <w:t>https://doi.org/10.1177/1028315320932320</w:t>
        </w:r>
      </w:hyperlink>
    </w:p>
    <w:p w14:paraId="7AC8C150" w14:textId="5741EDA9" w:rsidR="002D3A62" w:rsidRPr="00394670" w:rsidRDefault="004A08D3" w:rsidP="00F80D31">
      <w:pPr>
        <w:spacing w:line="360" w:lineRule="auto"/>
        <w:ind w:left="709" w:hanging="709"/>
        <w:jc w:val="both"/>
        <w:rPr>
          <w:lang w:val="pt-BR"/>
        </w:rPr>
      </w:pPr>
      <w:proofErr w:type="spellStart"/>
      <w:r w:rsidRPr="00394670">
        <w:rPr>
          <w:lang w:val="en-US"/>
        </w:rPr>
        <w:t>Kunst</w:t>
      </w:r>
      <w:proofErr w:type="spellEnd"/>
      <w:r w:rsidRPr="00394670">
        <w:rPr>
          <w:lang w:val="en-US"/>
        </w:rPr>
        <w:t xml:space="preserve">, J. R., Boos, B., </w:t>
      </w:r>
      <w:proofErr w:type="spellStart"/>
      <w:r w:rsidRPr="00394670">
        <w:rPr>
          <w:lang w:val="en-US"/>
        </w:rPr>
        <w:t>Kimel</w:t>
      </w:r>
      <w:proofErr w:type="spellEnd"/>
      <w:r w:rsidRPr="00394670">
        <w:rPr>
          <w:lang w:val="en-US"/>
        </w:rPr>
        <w:t xml:space="preserve">, S. Y., </w:t>
      </w:r>
      <w:proofErr w:type="spellStart"/>
      <w:r w:rsidRPr="00394670">
        <w:rPr>
          <w:lang w:val="en-US"/>
        </w:rPr>
        <w:t>Obaidi</w:t>
      </w:r>
      <w:proofErr w:type="spellEnd"/>
      <w:r w:rsidRPr="00394670">
        <w:rPr>
          <w:lang w:val="en-US"/>
        </w:rPr>
        <w:t xml:space="preserve">, M., </w:t>
      </w:r>
      <w:proofErr w:type="spellStart"/>
      <w:r w:rsidRPr="00394670">
        <w:rPr>
          <w:lang w:val="en-US"/>
        </w:rPr>
        <w:t>Shani</w:t>
      </w:r>
      <w:proofErr w:type="spellEnd"/>
      <w:r w:rsidRPr="00394670">
        <w:rPr>
          <w:lang w:val="en-US"/>
        </w:rPr>
        <w:t xml:space="preserve">, M., &amp; Thomsen, L. (2018). Engaging in extreme activism in support of others’ political struggles: The role of politically motivated fusion with out-groups. </w:t>
      </w:r>
      <w:proofErr w:type="spellStart"/>
      <w:r w:rsidRPr="00394670">
        <w:rPr>
          <w:lang w:val="pt-BR"/>
        </w:rPr>
        <w:t>PloS</w:t>
      </w:r>
      <w:proofErr w:type="spellEnd"/>
      <w:r w:rsidRPr="00394670">
        <w:rPr>
          <w:lang w:val="pt-BR"/>
        </w:rPr>
        <w:t xml:space="preserve"> </w:t>
      </w:r>
      <w:proofErr w:type="spellStart"/>
      <w:r w:rsidRPr="00394670">
        <w:rPr>
          <w:lang w:val="pt-BR"/>
        </w:rPr>
        <w:t>one</w:t>
      </w:r>
      <w:proofErr w:type="spellEnd"/>
      <w:r w:rsidRPr="00394670">
        <w:rPr>
          <w:lang w:val="pt-BR"/>
        </w:rPr>
        <w:t xml:space="preserve">, 13(1), e0190639. </w:t>
      </w:r>
      <w:hyperlink r:id="rId41" w:history="1">
        <w:r w:rsidRPr="00394670">
          <w:rPr>
            <w:rStyle w:val="Hipervnculo"/>
            <w:lang w:val="pt-BR"/>
          </w:rPr>
          <w:t>https://doi.org/10.1371/journal.pone.0190639</w:t>
        </w:r>
      </w:hyperlink>
      <w:r w:rsidRPr="00394670">
        <w:rPr>
          <w:lang w:val="pt-BR"/>
        </w:rPr>
        <w:t xml:space="preserve"> </w:t>
      </w:r>
    </w:p>
    <w:p w14:paraId="7D140E1E" w14:textId="174754C6" w:rsidR="002D3A62" w:rsidRPr="00394670" w:rsidRDefault="004A08D3" w:rsidP="00F80D31">
      <w:pPr>
        <w:spacing w:line="360" w:lineRule="auto"/>
        <w:ind w:left="709" w:hanging="709"/>
        <w:rPr>
          <w:rStyle w:val="Hipervnculo"/>
          <w:bCs/>
          <w:lang w:val="en-US"/>
        </w:rPr>
      </w:pPr>
      <w:r w:rsidRPr="00394670">
        <w:rPr>
          <w:bCs/>
          <w:lang w:val="pt-BR"/>
        </w:rPr>
        <w:t xml:space="preserve">Lincoln, A. K., </w:t>
      </w:r>
      <w:proofErr w:type="spellStart"/>
      <w:r w:rsidRPr="00394670">
        <w:rPr>
          <w:bCs/>
          <w:lang w:val="pt-BR"/>
        </w:rPr>
        <w:t>Cardeli</w:t>
      </w:r>
      <w:proofErr w:type="spellEnd"/>
      <w:r w:rsidRPr="00394670">
        <w:rPr>
          <w:bCs/>
          <w:lang w:val="pt-BR"/>
        </w:rPr>
        <w:t xml:space="preserve">, E., </w:t>
      </w:r>
      <w:proofErr w:type="spellStart"/>
      <w:r w:rsidRPr="00394670">
        <w:rPr>
          <w:bCs/>
          <w:lang w:val="pt-BR"/>
        </w:rPr>
        <w:t>Sideridis</w:t>
      </w:r>
      <w:proofErr w:type="spellEnd"/>
      <w:r w:rsidRPr="00394670">
        <w:rPr>
          <w:bCs/>
          <w:lang w:val="pt-BR"/>
        </w:rPr>
        <w:t xml:space="preserve">, G., </w:t>
      </w:r>
      <w:proofErr w:type="spellStart"/>
      <w:r w:rsidRPr="00394670">
        <w:rPr>
          <w:bCs/>
          <w:lang w:val="pt-BR"/>
        </w:rPr>
        <w:t>Salhi</w:t>
      </w:r>
      <w:proofErr w:type="spellEnd"/>
      <w:r w:rsidRPr="00394670">
        <w:rPr>
          <w:bCs/>
          <w:lang w:val="pt-BR"/>
        </w:rPr>
        <w:t xml:space="preserve">, C., Miller, A. B., Da Fonseca, T., ... </w:t>
      </w:r>
      <w:r w:rsidRPr="00394670">
        <w:rPr>
          <w:bCs/>
          <w:lang w:val="en-US"/>
        </w:rPr>
        <w:t>&amp; Ellis, B. H. (2021). Discrimination, marginalization, belonging, and mental health among Somali immigrants in North America. </w:t>
      </w:r>
      <w:r w:rsidRPr="00394670">
        <w:rPr>
          <w:bCs/>
          <w:i/>
          <w:iCs/>
          <w:lang w:val="en-US"/>
        </w:rPr>
        <w:t>American Journal of Orthopsychiatry</w:t>
      </w:r>
      <w:r w:rsidRPr="00394670">
        <w:rPr>
          <w:bCs/>
          <w:lang w:val="en-US"/>
        </w:rPr>
        <w:t>, </w:t>
      </w:r>
      <w:r w:rsidRPr="00394670">
        <w:rPr>
          <w:bCs/>
          <w:i/>
          <w:iCs/>
          <w:lang w:val="en-US"/>
        </w:rPr>
        <w:t>91</w:t>
      </w:r>
      <w:r w:rsidRPr="00394670">
        <w:rPr>
          <w:bCs/>
          <w:lang w:val="en-US"/>
        </w:rPr>
        <w:t xml:space="preserve">(2), 280. </w:t>
      </w:r>
      <w:hyperlink r:id="rId42" w:history="1">
        <w:r w:rsidRPr="00394670">
          <w:rPr>
            <w:rStyle w:val="Hipervnculo"/>
            <w:bCs/>
            <w:lang w:val="en-US"/>
          </w:rPr>
          <w:t>https://doi.org/10.1037/ort0000524</w:t>
        </w:r>
      </w:hyperlink>
    </w:p>
    <w:p w14:paraId="6E9F9A18" w14:textId="268BE462" w:rsidR="002D3A62" w:rsidRPr="00394670" w:rsidRDefault="004A08D3" w:rsidP="00F80D31">
      <w:pPr>
        <w:spacing w:line="360" w:lineRule="auto"/>
        <w:ind w:left="709" w:hanging="709"/>
        <w:jc w:val="both"/>
        <w:rPr>
          <w:bCs/>
          <w:lang w:val="en-US"/>
        </w:rPr>
      </w:pPr>
      <w:r w:rsidRPr="007565C9">
        <w:rPr>
          <w:bCs/>
          <w:lang w:val="es-ES"/>
        </w:rPr>
        <w:t xml:space="preserve">Lobato, R. M., &amp; Sainz, M. (2020). </w:t>
      </w:r>
      <w:r w:rsidRPr="00AE6D52">
        <w:rPr>
          <w:bCs/>
          <w:lang w:val="en-US"/>
        </w:rPr>
        <w:t>On the way to fusion through the pilgrims’ route: Factors that maintain identity fusion in collective rituals. </w:t>
      </w:r>
      <w:r w:rsidRPr="00AE6D52">
        <w:rPr>
          <w:bCs/>
          <w:i/>
          <w:iCs/>
          <w:lang w:val="en-US"/>
        </w:rPr>
        <w:t>Group Processes &amp; Intergroup Relations</w:t>
      </w:r>
      <w:r w:rsidRPr="00AE6D52">
        <w:rPr>
          <w:bCs/>
          <w:lang w:val="en-US"/>
        </w:rPr>
        <w:t>, </w:t>
      </w:r>
      <w:r w:rsidRPr="00AE6D52">
        <w:rPr>
          <w:bCs/>
          <w:i/>
          <w:iCs/>
          <w:lang w:val="en-US"/>
        </w:rPr>
        <w:t>23</w:t>
      </w:r>
      <w:r w:rsidRPr="00AE6D52">
        <w:rPr>
          <w:bCs/>
          <w:lang w:val="en-US"/>
        </w:rPr>
        <w:t>(4), 502-518.</w:t>
      </w:r>
      <w:r w:rsidRPr="00394670">
        <w:rPr>
          <w:bCs/>
          <w:lang w:val="en-US"/>
        </w:rPr>
        <w:t xml:space="preserve"> </w:t>
      </w:r>
      <w:hyperlink r:id="rId43" w:history="1">
        <w:r w:rsidRPr="00394670">
          <w:rPr>
            <w:rStyle w:val="Hipervnculo"/>
            <w:bCs/>
            <w:lang w:val="en-US"/>
          </w:rPr>
          <w:t>https://doi.org/10.1177/1368430219849690</w:t>
        </w:r>
      </w:hyperlink>
      <w:r w:rsidRPr="00394670">
        <w:rPr>
          <w:bCs/>
          <w:lang w:val="en-US"/>
        </w:rPr>
        <w:t xml:space="preserve"> </w:t>
      </w:r>
    </w:p>
    <w:p w14:paraId="34F34314" w14:textId="5FC53CC5" w:rsidR="002D3A62" w:rsidRPr="00394670" w:rsidRDefault="004A08D3" w:rsidP="00F80D31">
      <w:pPr>
        <w:spacing w:line="360" w:lineRule="auto"/>
        <w:ind w:left="709" w:hanging="709"/>
        <w:rPr>
          <w:rStyle w:val="Hipervnculo"/>
          <w:rFonts w:eastAsia="Times New Roman"/>
          <w:bCs/>
          <w:lang w:val="en-US" w:eastAsia="es-CO"/>
        </w:rPr>
      </w:pPr>
      <w:proofErr w:type="spellStart"/>
      <w:r w:rsidRPr="00394670">
        <w:rPr>
          <w:rFonts w:eastAsia="Times New Roman"/>
          <w:bCs/>
          <w:lang w:val="en-US" w:eastAsia="es-CO"/>
        </w:rPr>
        <w:t>Luhtanen</w:t>
      </w:r>
      <w:proofErr w:type="spellEnd"/>
      <w:r w:rsidRPr="00394670">
        <w:rPr>
          <w:rFonts w:eastAsia="Times New Roman"/>
          <w:bCs/>
          <w:lang w:val="en-US" w:eastAsia="es-CO"/>
        </w:rPr>
        <w:t xml:space="preserve">, R., &amp; Crocker, J. (1992). A collective self-esteem scale: Self-evaluation of one's social identity. </w:t>
      </w:r>
      <w:r w:rsidRPr="00394670">
        <w:rPr>
          <w:rFonts w:eastAsia="Times New Roman"/>
          <w:bCs/>
          <w:i/>
          <w:iCs/>
          <w:lang w:val="en-US" w:eastAsia="es-CO"/>
        </w:rPr>
        <w:t>Personality and social psychology bulletin, 18</w:t>
      </w:r>
      <w:r w:rsidRPr="00394670">
        <w:rPr>
          <w:rFonts w:eastAsia="Times New Roman"/>
          <w:bCs/>
          <w:lang w:val="en-US" w:eastAsia="es-CO"/>
        </w:rPr>
        <w:t xml:space="preserve">(3), 302-318. </w:t>
      </w:r>
      <w:hyperlink r:id="rId44" w:history="1">
        <w:r w:rsidRPr="00394670">
          <w:rPr>
            <w:rStyle w:val="Hipervnculo"/>
            <w:rFonts w:eastAsia="Times New Roman"/>
            <w:bCs/>
            <w:lang w:val="en-US" w:eastAsia="es-CO"/>
          </w:rPr>
          <w:t>https://doi.org/10.1177/0146167292183006</w:t>
        </w:r>
      </w:hyperlink>
    </w:p>
    <w:p w14:paraId="18E110D4" w14:textId="2CB9421C" w:rsidR="002D3A62" w:rsidRPr="00394670" w:rsidRDefault="004A08D3" w:rsidP="00F80D31">
      <w:pPr>
        <w:spacing w:line="360" w:lineRule="auto"/>
        <w:ind w:left="709" w:hanging="709"/>
        <w:jc w:val="both"/>
        <w:rPr>
          <w:lang w:val="en-US"/>
        </w:rPr>
      </w:pPr>
      <w:proofErr w:type="spellStart"/>
      <w:r w:rsidRPr="002F2660">
        <w:rPr>
          <w:lang w:val="en-US"/>
        </w:rPr>
        <w:t>Misch</w:t>
      </w:r>
      <w:proofErr w:type="spellEnd"/>
      <w:r w:rsidRPr="002F2660">
        <w:rPr>
          <w:lang w:val="en-US"/>
        </w:rPr>
        <w:t xml:space="preserve">, A., Fergusson, G., &amp; Dunham, Y. (2018). Temporal dynamics of partisan identity fusion and </w:t>
      </w:r>
      <w:proofErr w:type="spellStart"/>
      <w:r w:rsidRPr="002F2660">
        <w:rPr>
          <w:lang w:val="en-US"/>
        </w:rPr>
        <w:t>prosociality</w:t>
      </w:r>
      <w:proofErr w:type="spellEnd"/>
      <w:r w:rsidRPr="002F2660">
        <w:rPr>
          <w:lang w:val="en-US"/>
        </w:rPr>
        <w:t xml:space="preserve"> during the 2016 US presidential election. </w:t>
      </w:r>
      <w:r w:rsidRPr="002F2660">
        <w:rPr>
          <w:i/>
          <w:iCs/>
          <w:lang w:val="en-US"/>
        </w:rPr>
        <w:t>Self and Identity</w:t>
      </w:r>
      <w:r w:rsidRPr="002F2660">
        <w:rPr>
          <w:lang w:val="en-US"/>
        </w:rPr>
        <w:t>, </w:t>
      </w:r>
      <w:r w:rsidRPr="002F2660">
        <w:rPr>
          <w:i/>
          <w:iCs/>
          <w:lang w:val="en-US"/>
        </w:rPr>
        <w:t>17</w:t>
      </w:r>
      <w:r w:rsidRPr="002F2660">
        <w:rPr>
          <w:lang w:val="en-US"/>
        </w:rPr>
        <w:t>(5), 531-548.</w:t>
      </w:r>
      <w:r w:rsidRPr="00394670">
        <w:rPr>
          <w:lang w:val="en-US"/>
        </w:rPr>
        <w:t xml:space="preserve"> </w:t>
      </w:r>
      <w:hyperlink r:id="rId45" w:history="1">
        <w:r w:rsidRPr="00394670">
          <w:rPr>
            <w:rStyle w:val="Hipervnculo"/>
            <w:lang w:val="en-US"/>
          </w:rPr>
          <w:t>https://doi.org/10.1080/15298868.2018.1430063</w:t>
        </w:r>
      </w:hyperlink>
      <w:r w:rsidRPr="00394670">
        <w:rPr>
          <w:lang w:val="en-US"/>
        </w:rPr>
        <w:t xml:space="preserve"> </w:t>
      </w:r>
    </w:p>
    <w:p w14:paraId="2B916E32" w14:textId="5A29FF44" w:rsidR="002D3A62" w:rsidRPr="00394670" w:rsidRDefault="004A08D3" w:rsidP="00F80D31">
      <w:pPr>
        <w:spacing w:line="360" w:lineRule="auto"/>
        <w:ind w:left="709" w:hanging="709"/>
        <w:jc w:val="both"/>
        <w:rPr>
          <w:bCs/>
          <w:lang w:val="en-US"/>
        </w:rPr>
      </w:pPr>
      <w:proofErr w:type="spellStart"/>
      <w:r w:rsidRPr="00F641A3">
        <w:rPr>
          <w:bCs/>
          <w:lang w:val="en-US"/>
        </w:rPr>
        <w:lastRenderedPageBreak/>
        <w:t>Misch</w:t>
      </w:r>
      <w:proofErr w:type="spellEnd"/>
      <w:r w:rsidRPr="00F641A3">
        <w:rPr>
          <w:bCs/>
          <w:lang w:val="en-US"/>
        </w:rPr>
        <w:t xml:space="preserve">, A., Fergusson, G., &amp; Dunham, Y. (2018). Temporal dynamics of partisan identity fusion and </w:t>
      </w:r>
      <w:proofErr w:type="spellStart"/>
      <w:r w:rsidRPr="00F641A3">
        <w:rPr>
          <w:bCs/>
          <w:lang w:val="en-US"/>
        </w:rPr>
        <w:t>prosociality</w:t>
      </w:r>
      <w:proofErr w:type="spellEnd"/>
      <w:r w:rsidRPr="00F641A3">
        <w:rPr>
          <w:bCs/>
          <w:lang w:val="en-US"/>
        </w:rPr>
        <w:t xml:space="preserve"> during the 2016 US presidential election. </w:t>
      </w:r>
      <w:r w:rsidRPr="00F641A3">
        <w:rPr>
          <w:bCs/>
          <w:i/>
          <w:iCs/>
          <w:lang w:val="en-US"/>
        </w:rPr>
        <w:t>Self and Identity</w:t>
      </w:r>
      <w:r w:rsidRPr="00F641A3">
        <w:rPr>
          <w:bCs/>
          <w:lang w:val="en-US"/>
        </w:rPr>
        <w:t>, </w:t>
      </w:r>
      <w:r w:rsidRPr="00F641A3">
        <w:rPr>
          <w:bCs/>
          <w:i/>
          <w:iCs/>
          <w:lang w:val="en-US"/>
        </w:rPr>
        <w:t>17</w:t>
      </w:r>
      <w:r w:rsidRPr="00F641A3">
        <w:rPr>
          <w:bCs/>
          <w:lang w:val="en-US"/>
        </w:rPr>
        <w:t>(5), 531-548.</w:t>
      </w:r>
      <w:r w:rsidRPr="00394670">
        <w:rPr>
          <w:bCs/>
          <w:lang w:val="en-US"/>
        </w:rPr>
        <w:t xml:space="preserve"> </w:t>
      </w:r>
      <w:hyperlink r:id="rId46" w:history="1">
        <w:r w:rsidRPr="00394670">
          <w:rPr>
            <w:rStyle w:val="Hipervnculo"/>
            <w:bCs/>
            <w:lang w:val="en-US"/>
          </w:rPr>
          <w:t>https://doi.org/10.1080/15298868.2018.1430063</w:t>
        </w:r>
      </w:hyperlink>
      <w:r w:rsidRPr="00394670">
        <w:rPr>
          <w:bCs/>
          <w:lang w:val="en-US"/>
        </w:rPr>
        <w:t xml:space="preserve"> </w:t>
      </w:r>
    </w:p>
    <w:p w14:paraId="69FD191A" w14:textId="1832BE67" w:rsidR="002D3A62" w:rsidRPr="00394670" w:rsidRDefault="004A08D3" w:rsidP="00F80D31">
      <w:pPr>
        <w:spacing w:line="360" w:lineRule="auto"/>
        <w:ind w:left="709" w:hanging="709"/>
        <w:jc w:val="both"/>
        <w:rPr>
          <w:bCs/>
          <w:lang w:val="en-US"/>
        </w:rPr>
      </w:pPr>
      <w:r w:rsidRPr="00F641A3">
        <w:rPr>
          <w:bCs/>
          <w:lang w:val="en-US"/>
        </w:rPr>
        <w:t>Newson, M. (2019). Football, fan violence, and identity fusion. </w:t>
      </w:r>
      <w:r w:rsidRPr="00F641A3">
        <w:rPr>
          <w:bCs/>
          <w:i/>
          <w:iCs/>
          <w:lang w:val="en-US"/>
        </w:rPr>
        <w:t>International Review for the Sociology of Sport</w:t>
      </w:r>
      <w:r w:rsidRPr="00F641A3">
        <w:rPr>
          <w:bCs/>
          <w:lang w:val="en-US"/>
        </w:rPr>
        <w:t>, </w:t>
      </w:r>
      <w:r w:rsidRPr="00F641A3">
        <w:rPr>
          <w:bCs/>
          <w:i/>
          <w:iCs/>
          <w:lang w:val="en-US"/>
        </w:rPr>
        <w:t>54</w:t>
      </w:r>
      <w:r w:rsidRPr="00F641A3">
        <w:rPr>
          <w:bCs/>
          <w:lang w:val="en-US"/>
        </w:rPr>
        <w:t>(4), 431-444.</w:t>
      </w:r>
      <w:r w:rsidRPr="00394670">
        <w:rPr>
          <w:bCs/>
          <w:lang w:val="en-US"/>
        </w:rPr>
        <w:t xml:space="preserve"> </w:t>
      </w:r>
      <w:hyperlink r:id="rId47" w:history="1">
        <w:r w:rsidRPr="00394670">
          <w:rPr>
            <w:rStyle w:val="Hipervnculo"/>
            <w:bCs/>
            <w:lang w:val="en-US"/>
          </w:rPr>
          <w:t>https://doi.org/10.1177/1012690217731293</w:t>
        </w:r>
      </w:hyperlink>
      <w:r w:rsidRPr="00394670">
        <w:rPr>
          <w:bCs/>
          <w:lang w:val="en-US"/>
        </w:rPr>
        <w:t xml:space="preserve"> </w:t>
      </w:r>
    </w:p>
    <w:p w14:paraId="40FCAAFD" w14:textId="6DBF4211" w:rsidR="002D3A62" w:rsidRPr="00394670" w:rsidRDefault="004A08D3" w:rsidP="00F80D31">
      <w:pPr>
        <w:spacing w:line="360" w:lineRule="auto"/>
        <w:ind w:left="709" w:hanging="709"/>
        <w:jc w:val="both"/>
        <w:rPr>
          <w:lang w:val="pt-BR"/>
        </w:rPr>
      </w:pPr>
      <w:r w:rsidRPr="003054F4">
        <w:rPr>
          <w:lang w:val="en-US"/>
        </w:rPr>
        <w:t xml:space="preserve">Newson, M., </w:t>
      </w:r>
      <w:proofErr w:type="spellStart"/>
      <w:r w:rsidRPr="003054F4">
        <w:rPr>
          <w:lang w:val="en-US"/>
        </w:rPr>
        <w:t>Buhrmester</w:t>
      </w:r>
      <w:proofErr w:type="spellEnd"/>
      <w:r w:rsidRPr="003054F4">
        <w:rPr>
          <w:lang w:val="en-US"/>
        </w:rPr>
        <w:t>, M., &amp; Whitehouse, H. (2016). Explaining lifelong loyalty: The role of identity fusion and self-shaping group events. </w:t>
      </w:r>
      <w:proofErr w:type="spellStart"/>
      <w:r w:rsidRPr="003054F4">
        <w:rPr>
          <w:i/>
          <w:iCs/>
          <w:lang w:val="pt-BR"/>
        </w:rPr>
        <w:t>PloS</w:t>
      </w:r>
      <w:proofErr w:type="spellEnd"/>
      <w:r w:rsidRPr="003054F4">
        <w:rPr>
          <w:i/>
          <w:iCs/>
          <w:lang w:val="pt-BR"/>
        </w:rPr>
        <w:t xml:space="preserve"> </w:t>
      </w:r>
      <w:proofErr w:type="spellStart"/>
      <w:r w:rsidRPr="003054F4">
        <w:rPr>
          <w:i/>
          <w:iCs/>
          <w:lang w:val="pt-BR"/>
        </w:rPr>
        <w:t>one</w:t>
      </w:r>
      <w:proofErr w:type="spellEnd"/>
      <w:r w:rsidRPr="003054F4">
        <w:rPr>
          <w:lang w:val="pt-BR"/>
        </w:rPr>
        <w:t>, </w:t>
      </w:r>
      <w:r w:rsidRPr="003054F4">
        <w:rPr>
          <w:i/>
          <w:iCs/>
          <w:lang w:val="pt-BR"/>
        </w:rPr>
        <w:t>11</w:t>
      </w:r>
      <w:r w:rsidRPr="003054F4">
        <w:rPr>
          <w:lang w:val="pt-BR"/>
        </w:rPr>
        <w:t>(8), e0160427.</w:t>
      </w:r>
      <w:r w:rsidRPr="00394670">
        <w:rPr>
          <w:lang w:val="pt-BR"/>
        </w:rPr>
        <w:t xml:space="preserve"> </w:t>
      </w:r>
      <w:hyperlink r:id="rId48" w:history="1">
        <w:r w:rsidRPr="00394670">
          <w:rPr>
            <w:rStyle w:val="Hipervnculo"/>
            <w:lang w:val="pt-BR"/>
          </w:rPr>
          <w:t>https://doi.org/10.1371/journal.pone.0160427</w:t>
        </w:r>
      </w:hyperlink>
      <w:r w:rsidRPr="00394670">
        <w:rPr>
          <w:lang w:val="pt-BR"/>
        </w:rPr>
        <w:t xml:space="preserve"> </w:t>
      </w:r>
    </w:p>
    <w:p w14:paraId="35C755B7" w14:textId="5D567F69" w:rsidR="002D3A62" w:rsidRPr="00394670" w:rsidRDefault="004A08D3" w:rsidP="00F80D31">
      <w:pPr>
        <w:spacing w:line="360" w:lineRule="auto"/>
        <w:ind w:left="709" w:hanging="709"/>
        <w:jc w:val="both"/>
        <w:rPr>
          <w:bCs/>
          <w:lang w:val="en-US"/>
        </w:rPr>
      </w:pPr>
      <w:proofErr w:type="spellStart"/>
      <w:r w:rsidRPr="00AE6D52">
        <w:rPr>
          <w:bCs/>
          <w:lang w:val="pt-BR"/>
        </w:rPr>
        <w:t>Páez</w:t>
      </w:r>
      <w:proofErr w:type="spellEnd"/>
      <w:r w:rsidRPr="00AE6D52">
        <w:rPr>
          <w:bCs/>
          <w:lang w:val="pt-BR"/>
        </w:rPr>
        <w:t xml:space="preserve">, D., </w:t>
      </w:r>
      <w:proofErr w:type="spellStart"/>
      <w:r w:rsidRPr="00AE6D52">
        <w:rPr>
          <w:bCs/>
          <w:lang w:val="pt-BR"/>
        </w:rPr>
        <w:t>Rimé</w:t>
      </w:r>
      <w:proofErr w:type="spellEnd"/>
      <w:r w:rsidRPr="00AE6D52">
        <w:rPr>
          <w:bCs/>
          <w:lang w:val="pt-BR"/>
        </w:rPr>
        <w:t xml:space="preserve">, B., </w:t>
      </w:r>
      <w:proofErr w:type="spellStart"/>
      <w:r w:rsidRPr="00AE6D52">
        <w:rPr>
          <w:bCs/>
          <w:lang w:val="pt-BR"/>
        </w:rPr>
        <w:t>Basabe</w:t>
      </w:r>
      <w:proofErr w:type="spellEnd"/>
      <w:r w:rsidRPr="00AE6D52">
        <w:rPr>
          <w:bCs/>
          <w:lang w:val="pt-BR"/>
        </w:rPr>
        <w:t xml:space="preserve">, N., </w:t>
      </w:r>
      <w:proofErr w:type="spellStart"/>
      <w:r w:rsidRPr="00AE6D52">
        <w:rPr>
          <w:bCs/>
          <w:lang w:val="pt-BR"/>
        </w:rPr>
        <w:t>Wlodarcsyk</w:t>
      </w:r>
      <w:proofErr w:type="spellEnd"/>
      <w:r w:rsidRPr="00AE6D52">
        <w:rPr>
          <w:bCs/>
          <w:lang w:val="pt-BR"/>
        </w:rPr>
        <w:t xml:space="preserve">, A., &amp; </w:t>
      </w:r>
      <w:proofErr w:type="spellStart"/>
      <w:r w:rsidRPr="00AE6D52">
        <w:rPr>
          <w:bCs/>
          <w:lang w:val="pt-BR"/>
        </w:rPr>
        <w:t>Zumeta</w:t>
      </w:r>
      <w:proofErr w:type="spellEnd"/>
      <w:r w:rsidRPr="00AE6D52">
        <w:rPr>
          <w:bCs/>
          <w:lang w:val="pt-BR"/>
        </w:rPr>
        <w:t xml:space="preserve">, L. (2015). </w:t>
      </w:r>
      <w:r w:rsidRPr="00AE6D52">
        <w:rPr>
          <w:bCs/>
          <w:lang w:val="en-US"/>
        </w:rPr>
        <w:t xml:space="preserve">Psychological effects of perceived synchrony in collective gatherings. </w:t>
      </w:r>
      <w:r w:rsidRPr="00AE6D52">
        <w:rPr>
          <w:bCs/>
          <w:i/>
          <w:iCs/>
          <w:lang w:val="en-US"/>
        </w:rPr>
        <w:t>Journal of Personality and Social Psychology, 108</w:t>
      </w:r>
      <w:r w:rsidRPr="00AE6D52">
        <w:rPr>
          <w:bCs/>
          <w:lang w:val="en-US"/>
        </w:rPr>
        <w:t xml:space="preserve">(5), 711–729. </w:t>
      </w:r>
      <w:hyperlink r:id="rId49" w:history="1">
        <w:r w:rsidRPr="00AE6D52">
          <w:rPr>
            <w:rStyle w:val="Hipervnculo"/>
            <w:bCs/>
            <w:lang w:val="en-US"/>
          </w:rPr>
          <w:t>https://doi.org/10.1037/pspi0000014</w:t>
        </w:r>
      </w:hyperlink>
      <w:r w:rsidRPr="00394670">
        <w:rPr>
          <w:bCs/>
          <w:lang w:val="en-US"/>
        </w:rPr>
        <w:t xml:space="preserve"> </w:t>
      </w:r>
    </w:p>
    <w:p w14:paraId="7D3D801B" w14:textId="5A62B516" w:rsidR="002D3A62" w:rsidRPr="00394670" w:rsidRDefault="004A08D3" w:rsidP="00F80D31">
      <w:pPr>
        <w:spacing w:line="360" w:lineRule="auto"/>
        <w:ind w:left="709" w:hanging="709"/>
        <w:jc w:val="both"/>
        <w:rPr>
          <w:bCs/>
          <w:lang w:val="en-US"/>
        </w:rPr>
      </w:pPr>
      <w:r w:rsidRPr="00394670">
        <w:rPr>
          <w:bCs/>
          <w:lang w:val="en-US"/>
        </w:rPr>
        <w:t>Pettigrew, T. F. (1998). Reactions toward the new minorities of Western Europe. </w:t>
      </w:r>
      <w:r w:rsidRPr="00394670">
        <w:rPr>
          <w:bCs/>
          <w:i/>
          <w:iCs/>
          <w:lang w:val="en-US"/>
        </w:rPr>
        <w:t>Annual review of sociology</w:t>
      </w:r>
      <w:r w:rsidRPr="00394670">
        <w:rPr>
          <w:bCs/>
          <w:lang w:val="en-US"/>
        </w:rPr>
        <w:t>, </w:t>
      </w:r>
      <w:r w:rsidRPr="00394670">
        <w:rPr>
          <w:bCs/>
          <w:i/>
          <w:iCs/>
          <w:lang w:val="en-US"/>
        </w:rPr>
        <w:t>24</w:t>
      </w:r>
      <w:r w:rsidRPr="00394670">
        <w:rPr>
          <w:bCs/>
          <w:lang w:val="en-US"/>
        </w:rPr>
        <w:t xml:space="preserve">(1), 77-103. </w:t>
      </w:r>
      <w:hyperlink r:id="rId50" w:history="1">
        <w:r w:rsidRPr="00394670">
          <w:rPr>
            <w:rStyle w:val="Hipervnculo"/>
            <w:bCs/>
            <w:lang w:val="en-US"/>
          </w:rPr>
          <w:t>https://doi.org/10.1146/annurev.soc.24.1.77</w:t>
        </w:r>
      </w:hyperlink>
    </w:p>
    <w:p w14:paraId="2EA673AB" w14:textId="17C9F3F2" w:rsidR="002D3A62" w:rsidRPr="00394670" w:rsidRDefault="004A08D3" w:rsidP="00F80D31">
      <w:pPr>
        <w:spacing w:line="360" w:lineRule="auto"/>
        <w:ind w:left="709" w:hanging="709"/>
        <w:rPr>
          <w:rStyle w:val="Hipervnculo"/>
          <w:bCs/>
        </w:rPr>
      </w:pPr>
      <w:proofErr w:type="spellStart"/>
      <w:r w:rsidRPr="00394670">
        <w:rPr>
          <w:bCs/>
          <w:lang w:val="en-US"/>
        </w:rPr>
        <w:t>Phinney</w:t>
      </w:r>
      <w:proofErr w:type="spellEnd"/>
      <w:r w:rsidRPr="00394670">
        <w:rPr>
          <w:bCs/>
          <w:lang w:val="en-US"/>
        </w:rPr>
        <w:t xml:space="preserve">, J. S., </w:t>
      </w:r>
      <w:proofErr w:type="spellStart"/>
      <w:r w:rsidRPr="00394670">
        <w:rPr>
          <w:bCs/>
          <w:lang w:val="en-US"/>
        </w:rPr>
        <w:t>Horenczyk</w:t>
      </w:r>
      <w:proofErr w:type="spellEnd"/>
      <w:r w:rsidRPr="00394670">
        <w:rPr>
          <w:bCs/>
          <w:lang w:val="en-US"/>
        </w:rPr>
        <w:t xml:space="preserve">, G., </w:t>
      </w:r>
      <w:proofErr w:type="spellStart"/>
      <w:r w:rsidRPr="00394670">
        <w:rPr>
          <w:bCs/>
          <w:lang w:val="en-US"/>
        </w:rPr>
        <w:t>Liebkind</w:t>
      </w:r>
      <w:proofErr w:type="spellEnd"/>
      <w:r w:rsidRPr="00394670">
        <w:rPr>
          <w:bCs/>
          <w:lang w:val="en-US"/>
        </w:rPr>
        <w:t xml:space="preserve">, K., &amp; </w:t>
      </w:r>
      <w:proofErr w:type="spellStart"/>
      <w:r w:rsidRPr="00394670">
        <w:rPr>
          <w:bCs/>
          <w:lang w:val="en-US"/>
        </w:rPr>
        <w:t>Vedder</w:t>
      </w:r>
      <w:proofErr w:type="spellEnd"/>
      <w:r w:rsidRPr="00394670">
        <w:rPr>
          <w:bCs/>
          <w:lang w:val="en-US"/>
        </w:rPr>
        <w:t>, P. (2001). Ethnic identity, immigration, and well‐being: An interactional perspective. </w:t>
      </w:r>
      <w:r w:rsidRPr="00394670">
        <w:rPr>
          <w:bCs/>
          <w:i/>
          <w:iCs/>
          <w:lang w:val="en-US"/>
        </w:rPr>
        <w:t>Journal of social issues</w:t>
      </w:r>
      <w:r w:rsidRPr="00394670">
        <w:rPr>
          <w:bCs/>
          <w:lang w:val="en-US"/>
        </w:rPr>
        <w:t>, </w:t>
      </w:r>
      <w:r w:rsidRPr="00394670">
        <w:rPr>
          <w:bCs/>
          <w:i/>
          <w:iCs/>
          <w:lang w:val="en-US"/>
        </w:rPr>
        <w:t>57</w:t>
      </w:r>
      <w:r w:rsidRPr="00394670">
        <w:rPr>
          <w:bCs/>
          <w:lang w:val="en-US"/>
        </w:rPr>
        <w:t xml:space="preserve">(3), 493-510. </w:t>
      </w:r>
      <w:hyperlink r:id="rId51" w:history="1">
        <w:r w:rsidRPr="00394670">
          <w:rPr>
            <w:rStyle w:val="Hipervnculo"/>
            <w:bCs/>
          </w:rPr>
          <w:t>https://doi.org/10.1111/0022-4537.00225</w:t>
        </w:r>
      </w:hyperlink>
    </w:p>
    <w:p w14:paraId="5225621C" w14:textId="39A0546B" w:rsidR="002D3A62" w:rsidRPr="00394670" w:rsidRDefault="004A08D3" w:rsidP="00F80D31">
      <w:pPr>
        <w:spacing w:line="360" w:lineRule="auto"/>
        <w:ind w:left="709" w:hanging="709"/>
        <w:rPr>
          <w:rStyle w:val="Hipervnculo"/>
          <w:bCs/>
          <w:lang w:val="es-ES"/>
        </w:rPr>
      </w:pPr>
      <w:r w:rsidRPr="00394670">
        <w:rPr>
          <w:bCs/>
        </w:rPr>
        <w:t xml:space="preserve">Salgado, F., Contreras, C., &amp; Albornoz, L. (2018). La migración venezolana en Santiago de Chile: entre la inseguridad laboral y la discriminación. </w:t>
      </w:r>
      <w:r w:rsidRPr="00394670">
        <w:rPr>
          <w:bCs/>
          <w:lang w:val="es-ES"/>
        </w:rPr>
        <w:t xml:space="preserve">RIEM. </w:t>
      </w:r>
      <w:r w:rsidRPr="00394670">
        <w:rPr>
          <w:bCs/>
          <w:i/>
          <w:iCs/>
          <w:lang w:val="es-ES"/>
        </w:rPr>
        <w:t>Revista internacional de estudios migratorios, 8</w:t>
      </w:r>
      <w:r w:rsidRPr="00394670">
        <w:rPr>
          <w:bCs/>
          <w:lang w:val="es-ES"/>
        </w:rPr>
        <w:t xml:space="preserve">(1), 81-117. </w:t>
      </w:r>
      <w:hyperlink r:id="rId52" w:history="1">
        <w:r w:rsidRPr="00394670">
          <w:rPr>
            <w:rStyle w:val="Hipervnculo"/>
            <w:bCs/>
            <w:lang w:val="es-ES"/>
          </w:rPr>
          <w:t>https://doi.org/10.25115/riem.v8i1.2164</w:t>
        </w:r>
      </w:hyperlink>
    </w:p>
    <w:p w14:paraId="2C6DE1B7" w14:textId="56D36DFA" w:rsidR="002D3A62" w:rsidRPr="00394670" w:rsidRDefault="004A08D3" w:rsidP="00F80D31">
      <w:pPr>
        <w:spacing w:line="360" w:lineRule="auto"/>
        <w:ind w:left="709" w:hanging="709"/>
        <w:jc w:val="both"/>
        <w:rPr>
          <w:rStyle w:val="Hipervnculo"/>
          <w:lang w:val="en-US"/>
        </w:rPr>
      </w:pPr>
      <w:r w:rsidRPr="00394670">
        <w:rPr>
          <w:lang w:val="es-ES"/>
        </w:rPr>
        <w:t xml:space="preserve">Schwartz, S. J., </w:t>
      </w:r>
      <w:proofErr w:type="spellStart"/>
      <w:r w:rsidRPr="00394670">
        <w:rPr>
          <w:lang w:val="es-ES"/>
        </w:rPr>
        <w:t>Unger</w:t>
      </w:r>
      <w:proofErr w:type="spellEnd"/>
      <w:r w:rsidRPr="00394670">
        <w:rPr>
          <w:lang w:val="es-ES"/>
        </w:rPr>
        <w:t xml:space="preserve">, J. B., </w:t>
      </w:r>
      <w:proofErr w:type="spellStart"/>
      <w:r w:rsidRPr="00394670">
        <w:rPr>
          <w:lang w:val="es-ES"/>
        </w:rPr>
        <w:t>Zamboanga</w:t>
      </w:r>
      <w:proofErr w:type="spellEnd"/>
      <w:r w:rsidRPr="00394670">
        <w:rPr>
          <w:lang w:val="es-ES"/>
        </w:rPr>
        <w:t xml:space="preserve">, B. L., &amp; </w:t>
      </w:r>
      <w:proofErr w:type="spellStart"/>
      <w:r w:rsidRPr="00394670">
        <w:rPr>
          <w:lang w:val="es-ES"/>
        </w:rPr>
        <w:t>Szapocznik</w:t>
      </w:r>
      <w:proofErr w:type="spellEnd"/>
      <w:r w:rsidRPr="00394670">
        <w:rPr>
          <w:lang w:val="es-ES"/>
        </w:rPr>
        <w:t xml:space="preserve">, J. (2010). </w:t>
      </w:r>
      <w:r w:rsidRPr="00394670">
        <w:rPr>
          <w:lang w:val="en-US"/>
        </w:rPr>
        <w:t>Rethinking the concept of acculturation: implications for theory and research. </w:t>
      </w:r>
      <w:r w:rsidRPr="00394670">
        <w:rPr>
          <w:i/>
          <w:iCs/>
          <w:lang w:val="en-US"/>
        </w:rPr>
        <w:t>American Psychologist</w:t>
      </w:r>
      <w:r w:rsidRPr="00394670">
        <w:rPr>
          <w:lang w:val="en-US"/>
        </w:rPr>
        <w:t>, </w:t>
      </w:r>
      <w:r w:rsidRPr="00394670">
        <w:rPr>
          <w:i/>
          <w:iCs/>
          <w:lang w:val="en-US"/>
        </w:rPr>
        <w:t>65</w:t>
      </w:r>
      <w:r w:rsidRPr="00394670">
        <w:rPr>
          <w:lang w:val="en-US"/>
        </w:rPr>
        <w:t xml:space="preserve">(4), 237. </w:t>
      </w:r>
      <w:hyperlink r:id="rId53" w:history="1">
        <w:r w:rsidRPr="00394670">
          <w:rPr>
            <w:rStyle w:val="Hipervnculo"/>
            <w:lang w:val="en-US"/>
          </w:rPr>
          <w:t>https://doi.org/10.1037/a0019330</w:t>
        </w:r>
      </w:hyperlink>
    </w:p>
    <w:p w14:paraId="44BE1753" w14:textId="082EF940" w:rsidR="002D3A62" w:rsidRPr="002D3A62" w:rsidRDefault="004A08D3" w:rsidP="00F80D31">
      <w:pPr>
        <w:spacing w:line="360" w:lineRule="auto"/>
        <w:ind w:left="709" w:hanging="709"/>
        <w:jc w:val="both"/>
        <w:rPr>
          <w:bCs/>
          <w:lang w:val="en-US"/>
        </w:rPr>
      </w:pPr>
      <w:r w:rsidRPr="001D0465">
        <w:rPr>
          <w:bCs/>
          <w:lang w:val="en-US"/>
        </w:rPr>
        <w:t xml:space="preserve">Segal, K., Jong, J., &amp; </w:t>
      </w:r>
      <w:proofErr w:type="spellStart"/>
      <w:r w:rsidRPr="001D0465">
        <w:rPr>
          <w:bCs/>
          <w:lang w:val="en-US"/>
        </w:rPr>
        <w:t>Halberstadt</w:t>
      </w:r>
      <w:proofErr w:type="spellEnd"/>
      <w:r w:rsidRPr="001D0465">
        <w:rPr>
          <w:bCs/>
          <w:lang w:val="en-US"/>
        </w:rPr>
        <w:t xml:space="preserve">, J. (2018). The fusing powers of natural disasters: An experimental study. </w:t>
      </w:r>
      <w:r w:rsidRPr="002D3A62">
        <w:rPr>
          <w:bCs/>
          <w:i/>
          <w:iCs/>
          <w:lang w:val="en-US"/>
        </w:rPr>
        <w:t>Self and Identity, 17</w:t>
      </w:r>
      <w:r w:rsidRPr="002D3A62">
        <w:rPr>
          <w:bCs/>
          <w:lang w:val="en-US"/>
        </w:rPr>
        <w:t xml:space="preserve">(5), 574–586. </w:t>
      </w:r>
      <w:hyperlink r:id="rId54" w:history="1">
        <w:r w:rsidRPr="002D3A62">
          <w:rPr>
            <w:rStyle w:val="Hipervnculo"/>
            <w:bCs/>
            <w:lang w:val="en-US"/>
          </w:rPr>
          <w:t>https://doi.org/10.1080/15298868.2018.1458645</w:t>
        </w:r>
      </w:hyperlink>
      <w:r w:rsidRPr="002D3A62">
        <w:rPr>
          <w:bCs/>
          <w:lang w:val="en-US"/>
        </w:rPr>
        <w:t xml:space="preserve"> </w:t>
      </w:r>
    </w:p>
    <w:p w14:paraId="4595D1EA" w14:textId="0D1CAF2C" w:rsidR="002D3A62" w:rsidRPr="00394670" w:rsidRDefault="004A08D3" w:rsidP="00F80D31">
      <w:pPr>
        <w:spacing w:line="360" w:lineRule="auto"/>
        <w:ind w:left="709" w:hanging="709"/>
        <w:jc w:val="both"/>
        <w:rPr>
          <w:bCs/>
          <w:lang w:val="en-US"/>
        </w:rPr>
      </w:pPr>
      <w:r w:rsidRPr="002D3A62">
        <w:rPr>
          <w:bCs/>
          <w:lang w:val="en-US"/>
        </w:rPr>
        <w:t xml:space="preserve">Swann, Jr., W. B., </w:t>
      </w:r>
      <w:proofErr w:type="spellStart"/>
      <w:r w:rsidRPr="002D3A62">
        <w:rPr>
          <w:bCs/>
          <w:lang w:val="en-US"/>
        </w:rPr>
        <w:t>Buhrmester</w:t>
      </w:r>
      <w:proofErr w:type="spellEnd"/>
      <w:r w:rsidRPr="002D3A62">
        <w:rPr>
          <w:bCs/>
          <w:lang w:val="en-US"/>
        </w:rPr>
        <w:t xml:space="preserve">, M. D., Gómez, A., </w:t>
      </w:r>
      <w:proofErr w:type="spellStart"/>
      <w:r w:rsidRPr="002D3A62">
        <w:rPr>
          <w:bCs/>
          <w:lang w:val="en-US"/>
        </w:rPr>
        <w:t>Jetten</w:t>
      </w:r>
      <w:proofErr w:type="spellEnd"/>
      <w:r w:rsidRPr="002D3A62">
        <w:rPr>
          <w:bCs/>
          <w:lang w:val="en-US"/>
        </w:rPr>
        <w:t xml:space="preserve">, J., Bastian, B., Vázquez, A., . . . </w:t>
      </w:r>
      <w:r w:rsidRPr="00394670">
        <w:rPr>
          <w:bCs/>
          <w:lang w:val="en-US"/>
        </w:rPr>
        <w:t xml:space="preserve">Zhang, A. (2014). What makes a group worth dying for? Identity fusion fosters </w:t>
      </w:r>
      <w:r w:rsidRPr="00394670">
        <w:rPr>
          <w:bCs/>
          <w:lang w:val="en-US"/>
        </w:rPr>
        <w:lastRenderedPageBreak/>
        <w:t xml:space="preserve">perception of familial ties, promoting self-sacrifice. </w:t>
      </w:r>
      <w:r w:rsidRPr="00394670">
        <w:rPr>
          <w:bCs/>
          <w:i/>
          <w:iCs/>
          <w:lang w:val="en-US"/>
        </w:rPr>
        <w:t>Journal of Personality and Social Psychology, 106</w:t>
      </w:r>
      <w:r w:rsidRPr="00394670">
        <w:rPr>
          <w:bCs/>
          <w:lang w:val="en-US"/>
        </w:rPr>
        <w:t xml:space="preserve">(6), 912-926. </w:t>
      </w:r>
      <w:hyperlink r:id="rId55" w:history="1">
        <w:r w:rsidRPr="00394670">
          <w:rPr>
            <w:rStyle w:val="Hipervnculo"/>
            <w:bCs/>
            <w:lang w:val="en-US"/>
          </w:rPr>
          <w:t>https://doi.org/10.1037/a0036089</w:t>
        </w:r>
      </w:hyperlink>
    </w:p>
    <w:p w14:paraId="0266FDBE" w14:textId="2078D0D3" w:rsidR="002D3A62" w:rsidRPr="00394670" w:rsidRDefault="004A08D3" w:rsidP="00F80D31">
      <w:pPr>
        <w:spacing w:line="360" w:lineRule="auto"/>
        <w:ind w:left="709" w:hanging="709"/>
        <w:jc w:val="both"/>
        <w:rPr>
          <w:lang w:val="en-US"/>
        </w:rPr>
      </w:pPr>
      <w:proofErr w:type="spellStart"/>
      <w:r w:rsidRPr="007565C9">
        <w:rPr>
          <w:lang w:val="es-ES"/>
        </w:rPr>
        <w:t>Swann</w:t>
      </w:r>
      <w:proofErr w:type="spellEnd"/>
      <w:r w:rsidRPr="007565C9">
        <w:rPr>
          <w:lang w:val="es-ES"/>
        </w:rPr>
        <w:t xml:space="preserve">, Jr., W. B., Gómez, Á., </w:t>
      </w:r>
      <w:proofErr w:type="spellStart"/>
      <w:r w:rsidRPr="007565C9">
        <w:rPr>
          <w:lang w:val="es-ES"/>
        </w:rPr>
        <w:t>Huici</w:t>
      </w:r>
      <w:proofErr w:type="spellEnd"/>
      <w:r w:rsidRPr="007565C9">
        <w:rPr>
          <w:lang w:val="es-ES"/>
        </w:rPr>
        <w:t xml:space="preserve">, C., Morales, F., &amp; </w:t>
      </w:r>
      <w:proofErr w:type="spellStart"/>
      <w:r w:rsidRPr="007565C9">
        <w:rPr>
          <w:lang w:val="es-ES"/>
        </w:rPr>
        <w:t>Hixon</w:t>
      </w:r>
      <w:proofErr w:type="spellEnd"/>
      <w:r w:rsidRPr="007565C9">
        <w:rPr>
          <w:lang w:val="es-ES"/>
        </w:rPr>
        <w:t xml:space="preserve">, J. G. (2010). </w:t>
      </w:r>
      <w:r w:rsidRPr="00394670">
        <w:rPr>
          <w:lang w:val="en-US"/>
        </w:rPr>
        <w:t xml:space="preserve">Identity fusion and self-sacrifice: Arousal as a catalyst of pro-group fighting, dying, and helping behavior. </w:t>
      </w:r>
      <w:r w:rsidRPr="00394670">
        <w:rPr>
          <w:i/>
          <w:lang w:val="en-US"/>
        </w:rPr>
        <w:t>Journal of Personality and Social Psychology, 99</w:t>
      </w:r>
      <w:r w:rsidRPr="00394670">
        <w:rPr>
          <w:lang w:val="en-US"/>
        </w:rPr>
        <w:t xml:space="preserve">(5), 824-841. </w:t>
      </w:r>
      <w:hyperlink r:id="rId56" w:history="1">
        <w:r w:rsidRPr="00394670">
          <w:rPr>
            <w:rStyle w:val="Hipervnculo"/>
            <w:lang w:val="en-US"/>
          </w:rPr>
          <w:t>https://doi.org/10.1037/a0020014</w:t>
        </w:r>
      </w:hyperlink>
      <w:r w:rsidRPr="00394670">
        <w:rPr>
          <w:lang w:val="en-US"/>
        </w:rPr>
        <w:t xml:space="preserve">   </w:t>
      </w:r>
    </w:p>
    <w:p w14:paraId="54DEEF8B" w14:textId="55EFFE13" w:rsidR="002D3A62" w:rsidRPr="00394670" w:rsidRDefault="004A08D3" w:rsidP="00F80D31">
      <w:pPr>
        <w:spacing w:line="360" w:lineRule="auto"/>
        <w:ind w:left="709" w:hanging="709"/>
        <w:rPr>
          <w:rStyle w:val="Hipervnculo"/>
          <w:lang w:val="en-US"/>
        </w:rPr>
      </w:pPr>
      <w:proofErr w:type="spellStart"/>
      <w:r w:rsidRPr="007565C9">
        <w:rPr>
          <w:bCs/>
          <w:lang w:val="es-ES"/>
        </w:rPr>
        <w:t>Swann</w:t>
      </w:r>
      <w:proofErr w:type="spellEnd"/>
      <w:r w:rsidRPr="007565C9">
        <w:rPr>
          <w:bCs/>
          <w:lang w:val="es-ES"/>
        </w:rPr>
        <w:t xml:space="preserve">, W. B., Gómez, Á., Vázquez, A., </w:t>
      </w:r>
      <w:proofErr w:type="spellStart"/>
      <w:r w:rsidRPr="007565C9">
        <w:rPr>
          <w:bCs/>
          <w:lang w:val="es-ES"/>
        </w:rPr>
        <w:t>Guillamón</w:t>
      </w:r>
      <w:proofErr w:type="spellEnd"/>
      <w:r w:rsidRPr="007565C9">
        <w:rPr>
          <w:bCs/>
          <w:lang w:val="es-ES"/>
        </w:rPr>
        <w:t xml:space="preserve">, A., Segovia, S., &amp; Carillo, B. (2015). </w:t>
      </w:r>
      <w:r w:rsidRPr="00394670">
        <w:rPr>
          <w:bCs/>
          <w:lang w:val="en-US"/>
        </w:rPr>
        <w:t xml:space="preserve">Fusion with the cross-gender group predicts genital sex reassignment surgery. </w:t>
      </w:r>
      <w:r w:rsidRPr="00394670">
        <w:rPr>
          <w:bCs/>
          <w:i/>
          <w:lang w:val="en-US"/>
        </w:rPr>
        <w:t>Archives of sexual behavior, 44</w:t>
      </w:r>
      <w:r w:rsidRPr="00394670">
        <w:rPr>
          <w:bCs/>
          <w:lang w:val="en-US"/>
        </w:rPr>
        <w:t xml:space="preserve">(5), 1313-1318. </w:t>
      </w:r>
      <w:hyperlink r:id="rId57" w:history="1">
        <w:r w:rsidRPr="00394670">
          <w:rPr>
            <w:rStyle w:val="Hipervnculo"/>
            <w:bCs/>
            <w:lang w:val="en-US"/>
          </w:rPr>
          <w:t>http://dx.doi.org/10.1007/s10508-015-0526-0</w:t>
        </w:r>
      </w:hyperlink>
    </w:p>
    <w:p w14:paraId="322D2177" w14:textId="72F30D6B" w:rsidR="002D3A62" w:rsidRPr="00394670" w:rsidRDefault="004A08D3" w:rsidP="00F80D31">
      <w:pPr>
        <w:spacing w:line="360" w:lineRule="auto"/>
        <w:ind w:left="709" w:hanging="709"/>
        <w:rPr>
          <w:rStyle w:val="Hipervnculo"/>
          <w:bCs/>
          <w:lang w:val="en-US"/>
        </w:rPr>
      </w:pPr>
      <w:r w:rsidRPr="00394670">
        <w:rPr>
          <w:bCs/>
          <w:lang w:val="en-US"/>
        </w:rPr>
        <w:t xml:space="preserve">Swann, W. B., Jr., </w:t>
      </w:r>
      <w:proofErr w:type="spellStart"/>
      <w:r w:rsidRPr="00394670">
        <w:rPr>
          <w:bCs/>
          <w:lang w:val="en-US"/>
        </w:rPr>
        <w:t>Jetten</w:t>
      </w:r>
      <w:proofErr w:type="spellEnd"/>
      <w:r w:rsidRPr="00394670">
        <w:rPr>
          <w:bCs/>
          <w:lang w:val="en-US"/>
        </w:rPr>
        <w:t>, J., Gómez, Á., Whitehouse, H., &amp; Bastian, B. (2012). When group membership gets personal: A theory of identity fusion</w:t>
      </w:r>
      <w:r w:rsidRPr="00394670">
        <w:rPr>
          <w:bCs/>
          <w:i/>
          <w:iCs/>
          <w:lang w:val="en-US"/>
        </w:rPr>
        <w:t>. Psychological review, 119</w:t>
      </w:r>
      <w:r w:rsidRPr="00394670">
        <w:rPr>
          <w:bCs/>
          <w:lang w:val="en-US"/>
        </w:rPr>
        <w:t xml:space="preserve">(3), 441-456. </w:t>
      </w:r>
      <w:hyperlink r:id="rId58" w:history="1">
        <w:r w:rsidRPr="00394670">
          <w:rPr>
            <w:rStyle w:val="Hipervnculo"/>
            <w:bCs/>
            <w:lang w:val="en-US"/>
          </w:rPr>
          <w:t>https://doi.org/10.1037/a0028589</w:t>
        </w:r>
      </w:hyperlink>
    </w:p>
    <w:p w14:paraId="2D21D6EB" w14:textId="7156BF00" w:rsidR="002D3A62" w:rsidRPr="00394670" w:rsidRDefault="004A08D3" w:rsidP="00F80D31">
      <w:pPr>
        <w:spacing w:line="360" w:lineRule="auto"/>
        <w:ind w:left="709" w:hanging="709"/>
        <w:jc w:val="both"/>
      </w:pPr>
      <w:proofErr w:type="spellStart"/>
      <w:r w:rsidRPr="00D95430">
        <w:rPr>
          <w:lang w:val="en-US"/>
        </w:rPr>
        <w:t>Varmann</w:t>
      </w:r>
      <w:proofErr w:type="spellEnd"/>
      <w:r w:rsidRPr="00D95430">
        <w:rPr>
          <w:lang w:val="en-US"/>
        </w:rPr>
        <w:t xml:space="preserve">, A. H., Kruse, L., </w:t>
      </w:r>
      <w:proofErr w:type="spellStart"/>
      <w:r w:rsidRPr="00D95430">
        <w:rPr>
          <w:lang w:val="en-US"/>
        </w:rPr>
        <w:t>Bierwiaczonek</w:t>
      </w:r>
      <w:proofErr w:type="spellEnd"/>
      <w:r w:rsidRPr="00D95430">
        <w:rPr>
          <w:lang w:val="en-US"/>
        </w:rPr>
        <w:t xml:space="preserve">, K., Gomez, A., Vázquez, A., &amp; </w:t>
      </w:r>
      <w:proofErr w:type="spellStart"/>
      <w:r w:rsidRPr="00D95430">
        <w:rPr>
          <w:lang w:val="en-US"/>
        </w:rPr>
        <w:t>Kunst</w:t>
      </w:r>
      <w:proofErr w:type="spellEnd"/>
      <w:r w:rsidRPr="00D95430">
        <w:rPr>
          <w:lang w:val="en-US"/>
        </w:rPr>
        <w:t>, J. R. (2022). How Identity Fusion Predicts Extreme Pro-Group Orientations: A Meta-Analysis.</w:t>
      </w:r>
      <w:r w:rsidRPr="00394670">
        <w:rPr>
          <w:lang w:val="en-US"/>
        </w:rPr>
        <w:t xml:space="preserve"> </w:t>
      </w:r>
      <w:hyperlink r:id="rId59" w:history="1">
        <w:r w:rsidRPr="00394670">
          <w:rPr>
            <w:rStyle w:val="Hipervnculo"/>
          </w:rPr>
          <w:t>https://doi.org/10.31234/osf.io/prasc</w:t>
        </w:r>
      </w:hyperlink>
      <w:r w:rsidRPr="00394670">
        <w:t xml:space="preserve"> </w:t>
      </w:r>
    </w:p>
    <w:p w14:paraId="5F54C0B9" w14:textId="27EA4A07" w:rsidR="002D3A62" w:rsidRPr="00394670" w:rsidRDefault="004A08D3" w:rsidP="00F80D31">
      <w:pPr>
        <w:spacing w:line="360" w:lineRule="auto"/>
        <w:ind w:left="709" w:hanging="709"/>
        <w:rPr>
          <w:rStyle w:val="Hipervnculo"/>
          <w:lang w:val="en-US"/>
        </w:rPr>
      </w:pPr>
      <w:r w:rsidRPr="00394670">
        <w:t xml:space="preserve">Vázquez, A., Gómez, Á., &amp; </w:t>
      </w:r>
      <w:proofErr w:type="spellStart"/>
      <w:r w:rsidRPr="00394670">
        <w:t>Swann</w:t>
      </w:r>
      <w:proofErr w:type="spellEnd"/>
      <w:r w:rsidRPr="00394670">
        <w:t xml:space="preserve">, W. B. (2017). </w:t>
      </w:r>
      <w:r w:rsidRPr="00394670">
        <w:rPr>
          <w:lang w:val="en-US"/>
        </w:rPr>
        <w:t xml:space="preserve">Do historic threats to the group diminish identity fusion and its </w:t>
      </w:r>
      <w:proofErr w:type="gramStart"/>
      <w:r w:rsidRPr="00394670">
        <w:rPr>
          <w:lang w:val="en-US"/>
        </w:rPr>
        <w:t>correlates?.</w:t>
      </w:r>
      <w:proofErr w:type="gramEnd"/>
      <w:r w:rsidRPr="00394670">
        <w:rPr>
          <w:lang w:val="en-US"/>
        </w:rPr>
        <w:t xml:space="preserve"> </w:t>
      </w:r>
      <w:r w:rsidRPr="00394670">
        <w:rPr>
          <w:i/>
          <w:lang w:val="en-US"/>
        </w:rPr>
        <w:t>Self and Identity, 16</w:t>
      </w:r>
      <w:r w:rsidRPr="00394670">
        <w:rPr>
          <w:lang w:val="en-US"/>
        </w:rPr>
        <w:t xml:space="preserve">(4), 480-503. </w:t>
      </w:r>
      <w:hyperlink r:id="rId60" w:history="1">
        <w:r w:rsidRPr="00394670">
          <w:rPr>
            <w:rStyle w:val="Hipervnculo"/>
            <w:lang w:val="en-US"/>
          </w:rPr>
          <w:t>https://doi.org/10.1080/15298868.2016.1272485</w:t>
        </w:r>
      </w:hyperlink>
    </w:p>
    <w:p w14:paraId="3C50CBB5" w14:textId="6226BF17" w:rsidR="002D3A62" w:rsidRPr="00394670" w:rsidRDefault="004A08D3" w:rsidP="00F80D31">
      <w:pPr>
        <w:spacing w:line="360" w:lineRule="auto"/>
        <w:ind w:left="709" w:hanging="709"/>
        <w:jc w:val="both"/>
      </w:pPr>
      <w:r w:rsidRPr="009E03E6">
        <w:rPr>
          <w:lang w:val="en-US"/>
        </w:rPr>
        <w:t xml:space="preserve">Vázquez, A., Gómez, Á., </w:t>
      </w:r>
      <w:proofErr w:type="spellStart"/>
      <w:r w:rsidRPr="009E03E6">
        <w:rPr>
          <w:lang w:val="en-US"/>
        </w:rPr>
        <w:t>Ordoñana</w:t>
      </w:r>
      <w:proofErr w:type="spellEnd"/>
      <w:r w:rsidRPr="009E03E6">
        <w:rPr>
          <w:lang w:val="en-US"/>
        </w:rPr>
        <w:t>, J. R., Swann, W. B., &amp; Whitehouse, H. (2017). Sharing genes fosters identity fusion and altruism. </w:t>
      </w:r>
      <w:r w:rsidRPr="009E03E6">
        <w:rPr>
          <w:i/>
          <w:iCs/>
          <w:lang w:val="en-US"/>
        </w:rPr>
        <w:t>Self and Identity</w:t>
      </w:r>
      <w:r w:rsidRPr="009E03E6">
        <w:rPr>
          <w:lang w:val="en-US"/>
        </w:rPr>
        <w:t>, </w:t>
      </w:r>
      <w:r w:rsidRPr="009E03E6">
        <w:rPr>
          <w:i/>
          <w:iCs/>
          <w:lang w:val="en-US"/>
        </w:rPr>
        <w:t>16</w:t>
      </w:r>
      <w:r w:rsidRPr="009E03E6">
        <w:rPr>
          <w:lang w:val="en-US"/>
        </w:rPr>
        <w:t>(6), 684-702.</w:t>
      </w:r>
      <w:r w:rsidRPr="00394670">
        <w:rPr>
          <w:lang w:val="en-US"/>
        </w:rPr>
        <w:t xml:space="preserve"> </w:t>
      </w:r>
      <w:hyperlink r:id="rId61" w:history="1">
        <w:r w:rsidRPr="00394670">
          <w:rPr>
            <w:rStyle w:val="Hipervnculo"/>
          </w:rPr>
          <w:t>https://doi.org/10.1080/15298868.2017.1296887</w:t>
        </w:r>
      </w:hyperlink>
      <w:r w:rsidRPr="00394670">
        <w:t xml:space="preserve"> </w:t>
      </w:r>
    </w:p>
    <w:p w14:paraId="1C2AC800" w14:textId="037DB950" w:rsidR="002D3A62" w:rsidRPr="00394670" w:rsidRDefault="004A08D3" w:rsidP="00F80D31">
      <w:pPr>
        <w:spacing w:line="360" w:lineRule="auto"/>
        <w:ind w:left="709" w:hanging="709"/>
        <w:jc w:val="both"/>
        <w:rPr>
          <w:rStyle w:val="Hipervnculo"/>
          <w:bCs/>
          <w:lang w:val="en-US"/>
        </w:rPr>
      </w:pPr>
      <w:r w:rsidRPr="00394670">
        <w:rPr>
          <w:bCs/>
        </w:rPr>
        <w:t xml:space="preserve">Vázquez, A., López-Rodríguez, L., Gómez, Á., &amp; </w:t>
      </w:r>
      <w:proofErr w:type="spellStart"/>
      <w:r w:rsidRPr="00394670">
        <w:rPr>
          <w:bCs/>
        </w:rPr>
        <w:t>Dovidio</w:t>
      </w:r>
      <w:proofErr w:type="spellEnd"/>
      <w:r w:rsidRPr="00394670">
        <w:rPr>
          <w:bCs/>
        </w:rPr>
        <w:t xml:space="preserve">, J. F. (2021). </w:t>
      </w:r>
      <w:r w:rsidRPr="00394670">
        <w:rPr>
          <w:bCs/>
          <w:lang w:val="en-US"/>
        </w:rPr>
        <w:t>Ambivalent Effects of Positive Contact Between Women and Men on Collective Actions for Women’s Rights. </w:t>
      </w:r>
      <w:r w:rsidRPr="00394670">
        <w:rPr>
          <w:bCs/>
          <w:i/>
          <w:iCs/>
          <w:lang w:val="en-US"/>
        </w:rPr>
        <w:t>Personality and Social Psychology Bulletin</w:t>
      </w:r>
      <w:r w:rsidRPr="00394670">
        <w:rPr>
          <w:bCs/>
          <w:lang w:val="en-US"/>
        </w:rPr>
        <w:t>, </w:t>
      </w:r>
      <w:r w:rsidRPr="00394670">
        <w:rPr>
          <w:bCs/>
          <w:i/>
          <w:iCs/>
          <w:lang w:val="en-US"/>
        </w:rPr>
        <w:t>47</w:t>
      </w:r>
      <w:r w:rsidRPr="00394670">
        <w:rPr>
          <w:bCs/>
          <w:lang w:val="en-US"/>
        </w:rPr>
        <w:t xml:space="preserve">(9), 1358-1373. </w:t>
      </w:r>
      <w:hyperlink r:id="rId62" w:history="1">
        <w:r w:rsidRPr="00394670">
          <w:rPr>
            <w:rStyle w:val="Hipervnculo"/>
            <w:bCs/>
            <w:lang w:val="en-US"/>
          </w:rPr>
          <w:t>https://doi.org/10.1177/0146167220974162</w:t>
        </w:r>
      </w:hyperlink>
    </w:p>
    <w:p w14:paraId="1B84918B" w14:textId="093AF161" w:rsidR="002D3A62" w:rsidRPr="00036588" w:rsidRDefault="004A08D3" w:rsidP="00F80D31">
      <w:pPr>
        <w:spacing w:line="360" w:lineRule="auto"/>
        <w:ind w:left="709" w:hanging="709"/>
        <w:jc w:val="both"/>
        <w:rPr>
          <w:lang w:val="en-US"/>
        </w:rPr>
      </w:pPr>
      <w:r w:rsidRPr="00E5722D">
        <w:rPr>
          <w:lang w:val="en-US"/>
        </w:rPr>
        <w:lastRenderedPageBreak/>
        <w:t>Walsh, C. M., &amp; Neff, L. A. (2018). We’re better when we blend: The benefits of couple identity fusion. </w:t>
      </w:r>
      <w:r w:rsidRPr="00036588">
        <w:rPr>
          <w:i/>
          <w:iCs/>
          <w:lang w:val="en-US"/>
        </w:rPr>
        <w:t>Self and Identity</w:t>
      </w:r>
      <w:r w:rsidRPr="00036588">
        <w:rPr>
          <w:lang w:val="en-US"/>
        </w:rPr>
        <w:t>, </w:t>
      </w:r>
      <w:r w:rsidRPr="00036588">
        <w:rPr>
          <w:i/>
          <w:iCs/>
          <w:lang w:val="en-US"/>
        </w:rPr>
        <w:t>17</w:t>
      </w:r>
      <w:r w:rsidRPr="00036588">
        <w:rPr>
          <w:lang w:val="en-US"/>
        </w:rPr>
        <w:t xml:space="preserve">(5), 587-603. </w:t>
      </w:r>
      <w:hyperlink r:id="rId63" w:history="1">
        <w:r w:rsidRPr="00036588">
          <w:rPr>
            <w:rStyle w:val="Hipervnculo"/>
            <w:lang w:val="en-US"/>
          </w:rPr>
          <w:t>https://doi.org/10.1080/15298868.2018.1430062</w:t>
        </w:r>
      </w:hyperlink>
      <w:r w:rsidRPr="00036588">
        <w:rPr>
          <w:lang w:val="en-US"/>
        </w:rPr>
        <w:t xml:space="preserve"> </w:t>
      </w:r>
    </w:p>
    <w:p w14:paraId="4AA5538D" w14:textId="354ADC5F" w:rsidR="002D3A62" w:rsidRPr="00D132D8" w:rsidRDefault="004A08D3" w:rsidP="00F80D31">
      <w:pPr>
        <w:spacing w:line="360" w:lineRule="auto"/>
        <w:ind w:left="709" w:hanging="709"/>
        <w:jc w:val="both"/>
        <w:rPr>
          <w:bCs/>
          <w:lang w:val="en-US"/>
        </w:rPr>
      </w:pPr>
      <w:r w:rsidRPr="00D132D8">
        <w:rPr>
          <w:bCs/>
          <w:lang w:val="en-US"/>
        </w:rPr>
        <w:t xml:space="preserve">Whitehouse, H., &amp; </w:t>
      </w:r>
      <w:proofErr w:type="spellStart"/>
      <w:r w:rsidRPr="00D132D8">
        <w:rPr>
          <w:bCs/>
          <w:lang w:val="en-US"/>
        </w:rPr>
        <w:t>Lanman</w:t>
      </w:r>
      <w:proofErr w:type="spellEnd"/>
      <w:r w:rsidRPr="00D132D8">
        <w:rPr>
          <w:bCs/>
          <w:lang w:val="en-US"/>
        </w:rPr>
        <w:t xml:space="preserve">, J. A. (2014). The Ties That Bind Us: Ritual, Fusion, and Identification. </w:t>
      </w:r>
      <w:r w:rsidRPr="00D132D8">
        <w:rPr>
          <w:bCs/>
          <w:i/>
          <w:lang w:val="en-US"/>
        </w:rPr>
        <w:t>Current Anthropology, 55</w:t>
      </w:r>
      <w:r w:rsidRPr="00D132D8">
        <w:rPr>
          <w:bCs/>
          <w:lang w:val="en-US"/>
        </w:rPr>
        <w:t xml:space="preserve">(6), 674-695. </w:t>
      </w:r>
      <w:hyperlink r:id="rId64" w:history="1">
        <w:r w:rsidRPr="00D132D8">
          <w:rPr>
            <w:rStyle w:val="Hipervnculo"/>
            <w:bCs/>
            <w:lang w:val="en-US"/>
          </w:rPr>
          <w:t>https://doi.org/10.1086/678698</w:t>
        </w:r>
      </w:hyperlink>
      <w:r w:rsidRPr="00D132D8">
        <w:rPr>
          <w:bCs/>
          <w:lang w:val="en-US"/>
        </w:rPr>
        <w:t xml:space="preserve"> </w:t>
      </w:r>
    </w:p>
    <w:p w14:paraId="22BB8770" w14:textId="13F502F4" w:rsidR="002D3A62" w:rsidRPr="00394670" w:rsidRDefault="004A08D3" w:rsidP="00F80D31">
      <w:pPr>
        <w:spacing w:line="360" w:lineRule="auto"/>
        <w:ind w:left="709" w:hanging="709"/>
        <w:jc w:val="both"/>
        <w:rPr>
          <w:bCs/>
          <w:lang w:val="en-US"/>
        </w:rPr>
      </w:pPr>
      <w:r w:rsidRPr="001D0465">
        <w:rPr>
          <w:bCs/>
          <w:lang w:val="en-US"/>
        </w:rPr>
        <w:t xml:space="preserve">Whitehouse, H., Jong, J., </w:t>
      </w:r>
      <w:proofErr w:type="spellStart"/>
      <w:r w:rsidRPr="001D0465">
        <w:rPr>
          <w:bCs/>
          <w:lang w:val="en-US"/>
        </w:rPr>
        <w:t>Buhrmester</w:t>
      </w:r>
      <w:proofErr w:type="spellEnd"/>
      <w:r w:rsidRPr="001D0465">
        <w:rPr>
          <w:bCs/>
          <w:lang w:val="en-US"/>
        </w:rPr>
        <w:t xml:space="preserve">, M. D., Gómez, A., Bastian, B., Kavanagh, C. M., … </w:t>
      </w:r>
      <w:proofErr w:type="spellStart"/>
      <w:r w:rsidRPr="001D0465">
        <w:rPr>
          <w:bCs/>
          <w:lang w:val="en-US"/>
        </w:rPr>
        <w:t>Gavrilets</w:t>
      </w:r>
      <w:proofErr w:type="spellEnd"/>
      <w:r w:rsidRPr="001D0465">
        <w:rPr>
          <w:bCs/>
          <w:lang w:val="en-US"/>
        </w:rPr>
        <w:t xml:space="preserve">, S. (2017). The evolution of extreme cooperation via shared dysphoric experiences. </w:t>
      </w:r>
      <w:r w:rsidRPr="001D0465">
        <w:rPr>
          <w:bCs/>
          <w:i/>
          <w:iCs/>
          <w:lang w:val="en-US"/>
        </w:rPr>
        <w:t>Scientific Reports,</w:t>
      </w:r>
      <w:r w:rsidRPr="001D0465">
        <w:rPr>
          <w:bCs/>
          <w:lang w:val="en-US"/>
        </w:rPr>
        <w:t xml:space="preserve"> 7, 44292. </w:t>
      </w:r>
      <w:hyperlink r:id="rId65" w:history="1">
        <w:r w:rsidRPr="001D0465">
          <w:rPr>
            <w:rStyle w:val="Hipervnculo"/>
            <w:bCs/>
            <w:lang w:val="en-US"/>
          </w:rPr>
          <w:t>https://doi.org/10.1038/srep44292</w:t>
        </w:r>
      </w:hyperlink>
      <w:r w:rsidRPr="00394670">
        <w:rPr>
          <w:bCs/>
          <w:lang w:val="en-US"/>
        </w:rPr>
        <w:t xml:space="preserve"> </w:t>
      </w:r>
    </w:p>
    <w:p w14:paraId="3D73B43B" w14:textId="397F0755" w:rsidR="002D3A62" w:rsidRPr="00394670" w:rsidRDefault="004A08D3" w:rsidP="00F80D31">
      <w:pPr>
        <w:spacing w:line="360" w:lineRule="auto"/>
        <w:ind w:left="709" w:hanging="709"/>
        <w:jc w:val="both"/>
        <w:rPr>
          <w:bCs/>
          <w:lang w:val="en-US"/>
        </w:rPr>
      </w:pPr>
      <w:r w:rsidRPr="00D132D8">
        <w:rPr>
          <w:bCs/>
          <w:lang w:val="en-US"/>
        </w:rPr>
        <w:t xml:space="preserve">Whitehouse, H., Jong, J., </w:t>
      </w:r>
      <w:proofErr w:type="spellStart"/>
      <w:r w:rsidRPr="00D132D8">
        <w:rPr>
          <w:bCs/>
          <w:lang w:val="en-US"/>
        </w:rPr>
        <w:t>Buhrmester</w:t>
      </w:r>
      <w:proofErr w:type="spellEnd"/>
      <w:r w:rsidRPr="00D132D8">
        <w:rPr>
          <w:bCs/>
          <w:lang w:val="en-US"/>
        </w:rPr>
        <w:t xml:space="preserve">, M. D., Gómez, Á., Bastian, B., Kavanagh, C. M., ... &amp; </w:t>
      </w:r>
      <w:proofErr w:type="spellStart"/>
      <w:r w:rsidRPr="00D132D8">
        <w:rPr>
          <w:bCs/>
          <w:lang w:val="en-US"/>
        </w:rPr>
        <w:t>Gavrilets</w:t>
      </w:r>
      <w:proofErr w:type="spellEnd"/>
      <w:r w:rsidRPr="00D132D8">
        <w:rPr>
          <w:bCs/>
          <w:lang w:val="en-US"/>
        </w:rPr>
        <w:t>, S. (2017). The evolution of extreme cooperation via shared dysphoric experiences. </w:t>
      </w:r>
      <w:r w:rsidRPr="00D132D8">
        <w:rPr>
          <w:bCs/>
          <w:i/>
          <w:iCs/>
          <w:lang w:val="en-US"/>
        </w:rPr>
        <w:t>Scientific Reports</w:t>
      </w:r>
      <w:r w:rsidRPr="00D132D8">
        <w:rPr>
          <w:bCs/>
          <w:lang w:val="en-US"/>
        </w:rPr>
        <w:t>, </w:t>
      </w:r>
      <w:r w:rsidRPr="00D132D8">
        <w:rPr>
          <w:bCs/>
          <w:i/>
          <w:iCs/>
          <w:lang w:val="en-US"/>
        </w:rPr>
        <w:t>7</w:t>
      </w:r>
      <w:r w:rsidRPr="00D132D8">
        <w:rPr>
          <w:bCs/>
          <w:lang w:val="en-US"/>
        </w:rPr>
        <w:t>(1), 1-10.</w:t>
      </w:r>
      <w:r w:rsidRPr="00394670">
        <w:rPr>
          <w:bCs/>
          <w:lang w:val="en-US"/>
        </w:rPr>
        <w:t xml:space="preserve"> </w:t>
      </w:r>
      <w:hyperlink r:id="rId66" w:history="1">
        <w:r w:rsidRPr="00394670">
          <w:rPr>
            <w:rStyle w:val="Hipervnculo"/>
            <w:bCs/>
            <w:lang w:val="en-US"/>
          </w:rPr>
          <w:t>https://doi.org/10.1038/srep44292</w:t>
        </w:r>
      </w:hyperlink>
      <w:r w:rsidRPr="00394670">
        <w:rPr>
          <w:bCs/>
          <w:lang w:val="en-US"/>
        </w:rPr>
        <w:t xml:space="preserve"> </w:t>
      </w:r>
    </w:p>
    <w:p w14:paraId="01949EE2" w14:textId="594926A9" w:rsidR="002D3A62" w:rsidRPr="00394670" w:rsidRDefault="004A08D3" w:rsidP="00F80D31">
      <w:pPr>
        <w:spacing w:line="360" w:lineRule="auto"/>
        <w:ind w:left="709" w:hanging="709"/>
        <w:jc w:val="both"/>
      </w:pPr>
      <w:r w:rsidRPr="00D30909">
        <w:rPr>
          <w:lang w:val="en-US"/>
        </w:rPr>
        <w:t xml:space="preserve">Whitehouse, H., </w:t>
      </w:r>
      <w:proofErr w:type="spellStart"/>
      <w:r w:rsidRPr="00D30909">
        <w:rPr>
          <w:lang w:val="en-US"/>
        </w:rPr>
        <w:t>McQuinn</w:t>
      </w:r>
      <w:proofErr w:type="spellEnd"/>
      <w:r w:rsidRPr="00D30909">
        <w:rPr>
          <w:lang w:val="en-US"/>
        </w:rPr>
        <w:t xml:space="preserve">, B., </w:t>
      </w:r>
      <w:proofErr w:type="spellStart"/>
      <w:r w:rsidRPr="00D30909">
        <w:rPr>
          <w:lang w:val="en-US"/>
        </w:rPr>
        <w:t>Buhrmester</w:t>
      </w:r>
      <w:proofErr w:type="spellEnd"/>
      <w:r w:rsidRPr="00D30909">
        <w:rPr>
          <w:lang w:val="en-US"/>
        </w:rPr>
        <w:t>, M., &amp; Swann, W. B. (2014). Brothers in arms: Libyan revolutionaries bond like family. </w:t>
      </w:r>
      <w:r w:rsidRPr="00D30909">
        <w:rPr>
          <w:i/>
          <w:iCs/>
          <w:lang w:val="en-US"/>
        </w:rPr>
        <w:t>Proceedings of the National Academy of Sciences</w:t>
      </w:r>
      <w:r w:rsidRPr="00D30909">
        <w:rPr>
          <w:lang w:val="en-US"/>
        </w:rPr>
        <w:t>, </w:t>
      </w:r>
      <w:r w:rsidRPr="00D30909">
        <w:rPr>
          <w:i/>
          <w:iCs/>
          <w:lang w:val="en-US"/>
        </w:rPr>
        <w:t>111</w:t>
      </w:r>
      <w:r w:rsidRPr="00D30909">
        <w:rPr>
          <w:lang w:val="en-US"/>
        </w:rPr>
        <w:t>(50), 17783-17785.</w:t>
      </w:r>
      <w:r w:rsidRPr="00394670">
        <w:rPr>
          <w:lang w:val="en-US"/>
        </w:rPr>
        <w:t xml:space="preserve"> </w:t>
      </w:r>
      <w:hyperlink r:id="rId67" w:history="1">
        <w:r w:rsidRPr="00394670">
          <w:rPr>
            <w:rStyle w:val="Hipervnculo"/>
          </w:rPr>
          <w:t>https://doi.org/10.1073/pnas.141628411</w:t>
        </w:r>
      </w:hyperlink>
      <w:r w:rsidRPr="00394670">
        <w:t xml:space="preserve"> </w:t>
      </w:r>
    </w:p>
    <w:p w14:paraId="306C9B3B" w14:textId="665D18FA" w:rsidR="002D3A62" w:rsidRPr="002D3A62" w:rsidRDefault="004A08D3" w:rsidP="00F80D31">
      <w:pPr>
        <w:spacing w:line="360" w:lineRule="auto"/>
        <w:ind w:left="709" w:hanging="709"/>
        <w:jc w:val="both"/>
        <w:rPr>
          <w:rStyle w:val="Hipervnculo"/>
          <w:bCs/>
          <w:lang w:val="es-ES"/>
        </w:rPr>
      </w:pPr>
      <w:r w:rsidRPr="00394670">
        <w:rPr>
          <w:bCs/>
        </w:rPr>
        <w:t>Zabala, J., Conejero, S., Pascual, A., Alonso-</w:t>
      </w:r>
      <w:proofErr w:type="spellStart"/>
      <w:r w:rsidRPr="00394670">
        <w:rPr>
          <w:bCs/>
        </w:rPr>
        <w:t>Arbiol</w:t>
      </w:r>
      <w:proofErr w:type="spellEnd"/>
      <w:r w:rsidRPr="00394670">
        <w:rPr>
          <w:bCs/>
        </w:rPr>
        <w:t xml:space="preserve">, I., </w:t>
      </w:r>
      <w:proofErr w:type="spellStart"/>
      <w:r w:rsidRPr="00394670">
        <w:rPr>
          <w:bCs/>
        </w:rPr>
        <w:t>Amutio</w:t>
      </w:r>
      <w:proofErr w:type="spellEnd"/>
      <w:r w:rsidRPr="00394670">
        <w:rPr>
          <w:bCs/>
        </w:rPr>
        <w:t>, A., Torres-</w:t>
      </w:r>
      <w:proofErr w:type="spellStart"/>
      <w:r w:rsidRPr="00394670">
        <w:rPr>
          <w:bCs/>
        </w:rPr>
        <w:t>Gomez</w:t>
      </w:r>
      <w:proofErr w:type="spellEnd"/>
      <w:r w:rsidRPr="00394670">
        <w:rPr>
          <w:bCs/>
        </w:rPr>
        <w:t xml:space="preserve">, B., et al. </w:t>
      </w:r>
      <w:r w:rsidRPr="00394670">
        <w:rPr>
          <w:bCs/>
          <w:lang w:val="en-US"/>
        </w:rPr>
        <w:t xml:space="preserve">(2020). Basque ethnic identity and collective empowerment: two key factors in well-being and community participation. </w:t>
      </w:r>
      <w:r w:rsidRPr="002D3A62">
        <w:rPr>
          <w:bCs/>
          <w:i/>
          <w:iCs/>
          <w:lang w:val="es-ES"/>
        </w:rPr>
        <w:t xml:space="preserve">Front. </w:t>
      </w:r>
      <w:proofErr w:type="spellStart"/>
      <w:r w:rsidRPr="002D3A62">
        <w:rPr>
          <w:bCs/>
          <w:i/>
          <w:iCs/>
          <w:lang w:val="es-ES"/>
        </w:rPr>
        <w:t>Psychol</w:t>
      </w:r>
      <w:proofErr w:type="spellEnd"/>
      <w:r w:rsidRPr="002D3A62">
        <w:rPr>
          <w:bCs/>
          <w:i/>
          <w:iCs/>
          <w:lang w:val="es-ES"/>
        </w:rPr>
        <w:t>.</w:t>
      </w:r>
      <w:r w:rsidRPr="002D3A62">
        <w:rPr>
          <w:bCs/>
          <w:lang w:val="es-ES"/>
        </w:rPr>
        <w:t xml:space="preserve"> 11:606316. </w:t>
      </w:r>
      <w:hyperlink r:id="rId68" w:history="1">
        <w:r w:rsidRPr="002D3A62">
          <w:rPr>
            <w:rStyle w:val="Hipervnculo"/>
            <w:bCs/>
            <w:lang w:val="es-ES"/>
          </w:rPr>
          <w:t>https://doi.org/10.3389/fpsyg.2020.606316</w:t>
        </w:r>
      </w:hyperlink>
    </w:p>
    <w:p w14:paraId="562DE940" w14:textId="1C942B21" w:rsidR="002D3A62" w:rsidRPr="002D3A62" w:rsidRDefault="004A08D3" w:rsidP="00F80D31">
      <w:pPr>
        <w:spacing w:line="360" w:lineRule="auto"/>
        <w:ind w:left="709" w:hanging="709"/>
        <w:jc w:val="both"/>
        <w:rPr>
          <w:lang w:val="en-US"/>
        </w:rPr>
      </w:pPr>
      <w:r w:rsidRPr="002D3A62">
        <w:rPr>
          <w:bCs/>
          <w:lang w:val="es-ES"/>
        </w:rPr>
        <w:t xml:space="preserve">Zumeta, L. N., Castro-Abril, P., Méndez, L., Pizarro, J. J., </w:t>
      </w:r>
      <w:proofErr w:type="spellStart"/>
      <w:r w:rsidRPr="002D3A62">
        <w:rPr>
          <w:bCs/>
          <w:lang w:val="es-ES"/>
        </w:rPr>
        <w:t>Wlodarczyk</w:t>
      </w:r>
      <w:proofErr w:type="spellEnd"/>
      <w:r w:rsidRPr="002D3A62">
        <w:rPr>
          <w:bCs/>
          <w:lang w:val="es-ES"/>
        </w:rPr>
        <w:t xml:space="preserve">, A., </w:t>
      </w:r>
      <w:proofErr w:type="spellStart"/>
      <w:r w:rsidRPr="002D3A62">
        <w:rPr>
          <w:bCs/>
          <w:lang w:val="es-ES"/>
        </w:rPr>
        <w:t>Basabe</w:t>
      </w:r>
      <w:proofErr w:type="spellEnd"/>
      <w:r w:rsidRPr="002D3A62">
        <w:rPr>
          <w:bCs/>
          <w:lang w:val="es-ES"/>
        </w:rPr>
        <w:t xml:space="preserve">, N., Navarro-Carrillo, G., </w:t>
      </w:r>
      <w:proofErr w:type="spellStart"/>
      <w:r w:rsidRPr="002D3A62">
        <w:rPr>
          <w:bCs/>
          <w:lang w:val="es-ES"/>
        </w:rPr>
        <w:t>Padoan</w:t>
      </w:r>
      <w:proofErr w:type="spellEnd"/>
      <w:r w:rsidRPr="002D3A62">
        <w:rPr>
          <w:bCs/>
          <w:lang w:val="es-ES"/>
        </w:rPr>
        <w:t>-De Luca, S., da Costa, S., Alonso-</w:t>
      </w:r>
      <w:proofErr w:type="spellStart"/>
      <w:r w:rsidRPr="002D3A62">
        <w:rPr>
          <w:bCs/>
          <w:lang w:val="es-ES"/>
        </w:rPr>
        <w:t>Arbiol</w:t>
      </w:r>
      <w:proofErr w:type="spellEnd"/>
      <w:r w:rsidRPr="002D3A62">
        <w:rPr>
          <w:bCs/>
          <w:lang w:val="es-ES"/>
        </w:rPr>
        <w:t xml:space="preserve">, I., Torres-Gómez, B., </w:t>
      </w:r>
      <w:proofErr w:type="spellStart"/>
      <w:r w:rsidRPr="002D3A62">
        <w:rPr>
          <w:bCs/>
          <w:lang w:val="es-ES"/>
        </w:rPr>
        <w:t>Cakal</w:t>
      </w:r>
      <w:proofErr w:type="spellEnd"/>
      <w:r w:rsidRPr="002D3A62">
        <w:rPr>
          <w:bCs/>
          <w:lang w:val="es-ES"/>
        </w:rPr>
        <w:t xml:space="preserve">, H., Delfino, G., </w:t>
      </w:r>
      <w:proofErr w:type="spellStart"/>
      <w:r w:rsidRPr="002D3A62">
        <w:rPr>
          <w:bCs/>
          <w:lang w:val="es-ES"/>
        </w:rPr>
        <w:t>Techio</w:t>
      </w:r>
      <w:proofErr w:type="spellEnd"/>
      <w:r w:rsidRPr="002D3A62">
        <w:rPr>
          <w:bCs/>
          <w:lang w:val="es-ES"/>
        </w:rPr>
        <w:t xml:space="preserve">, E. M., </w:t>
      </w:r>
      <w:proofErr w:type="spellStart"/>
      <w:r w:rsidRPr="002D3A62">
        <w:rPr>
          <w:bCs/>
          <w:lang w:val="es-ES"/>
        </w:rPr>
        <w:t>Alzugaray</w:t>
      </w:r>
      <w:proofErr w:type="spellEnd"/>
      <w:r w:rsidRPr="002D3A62">
        <w:rPr>
          <w:bCs/>
          <w:lang w:val="es-ES"/>
        </w:rPr>
        <w:t xml:space="preserve">, C., Bilbao, M., Villagrán, L., </w:t>
      </w:r>
      <w:proofErr w:type="spellStart"/>
      <w:r w:rsidRPr="002D3A62">
        <w:rPr>
          <w:bCs/>
          <w:lang w:val="es-ES"/>
        </w:rPr>
        <w:t>LópezLópez</w:t>
      </w:r>
      <w:proofErr w:type="spellEnd"/>
      <w:r w:rsidRPr="002D3A62">
        <w:rPr>
          <w:bCs/>
          <w:lang w:val="es-ES"/>
        </w:rPr>
        <w:t>, W., Ruiz-Pérez, J. I., Cedeño, C. C., Reyes-Valenzuela, C., Alfaro-</w:t>
      </w:r>
      <w:proofErr w:type="spellStart"/>
      <w:r w:rsidRPr="002D3A62">
        <w:rPr>
          <w:bCs/>
          <w:lang w:val="es-ES"/>
        </w:rPr>
        <w:t>Beracoechea</w:t>
      </w:r>
      <w:proofErr w:type="spellEnd"/>
      <w:r w:rsidRPr="002D3A62">
        <w:rPr>
          <w:bCs/>
          <w:lang w:val="es-ES"/>
        </w:rPr>
        <w:t xml:space="preserve">, L., Contreras-Ibáñez, C., Ibarra, M. L., </w:t>
      </w:r>
      <w:proofErr w:type="spellStart"/>
      <w:r w:rsidRPr="002D3A62">
        <w:rPr>
          <w:bCs/>
          <w:lang w:val="es-ES"/>
        </w:rPr>
        <w:t>ReyesSosa</w:t>
      </w:r>
      <w:proofErr w:type="spellEnd"/>
      <w:r w:rsidRPr="002D3A62">
        <w:rPr>
          <w:bCs/>
          <w:lang w:val="es-ES"/>
        </w:rPr>
        <w:t xml:space="preserve">, H., Cueto, R. M., Carvalho, C. L., &amp; Pinto, I. R. (2020). </w:t>
      </w:r>
      <w:r w:rsidRPr="00394670">
        <w:rPr>
          <w:bCs/>
          <w:lang w:val="en-US"/>
        </w:rPr>
        <w:t xml:space="preserve">Collective effervescence, self-transcendence, and gender differences in social well-being during 8 march demonstrations. </w:t>
      </w:r>
      <w:r w:rsidRPr="00394670">
        <w:rPr>
          <w:bCs/>
          <w:i/>
          <w:iCs/>
          <w:lang w:val="en-US"/>
        </w:rPr>
        <w:t>Frontiers in Psychology, 11</w:t>
      </w:r>
      <w:r w:rsidRPr="00394670">
        <w:rPr>
          <w:bCs/>
          <w:lang w:val="en-US"/>
        </w:rPr>
        <w:t xml:space="preserve">, 607538. </w:t>
      </w:r>
      <w:hyperlink r:id="rId69" w:history="1">
        <w:r w:rsidRPr="00394670">
          <w:rPr>
            <w:rStyle w:val="Hipervnculo"/>
            <w:bCs/>
            <w:lang w:val="en-US"/>
          </w:rPr>
          <w:t>https://doi.org/10.3389/fpsyg.2020. 607538</w:t>
        </w:r>
      </w:hyperlink>
    </w:p>
    <w:p w14:paraId="280FB3F9" w14:textId="77777777" w:rsidR="004A08D3" w:rsidRPr="00145CD8" w:rsidRDefault="004A08D3" w:rsidP="00F80D31">
      <w:pPr>
        <w:spacing w:line="360" w:lineRule="auto"/>
        <w:ind w:left="709" w:hanging="709"/>
        <w:jc w:val="both"/>
        <w:rPr>
          <w:bCs/>
          <w:lang w:val="en-US"/>
        </w:rPr>
      </w:pPr>
      <w:r w:rsidRPr="00B34EA4">
        <w:rPr>
          <w:bCs/>
          <w:lang w:val="es-ES"/>
        </w:rPr>
        <w:lastRenderedPageBreak/>
        <w:t xml:space="preserve">Zumeta, L., </w:t>
      </w:r>
      <w:proofErr w:type="spellStart"/>
      <w:r w:rsidRPr="00B34EA4">
        <w:rPr>
          <w:bCs/>
          <w:lang w:val="es-ES"/>
        </w:rPr>
        <w:t>Basabe</w:t>
      </w:r>
      <w:proofErr w:type="spellEnd"/>
      <w:r w:rsidRPr="00B34EA4">
        <w:rPr>
          <w:bCs/>
          <w:lang w:val="es-ES"/>
        </w:rPr>
        <w:t xml:space="preserve">, N., </w:t>
      </w:r>
      <w:proofErr w:type="spellStart"/>
      <w:r w:rsidRPr="00B34EA4">
        <w:rPr>
          <w:bCs/>
          <w:lang w:val="es-ES"/>
        </w:rPr>
        <w:t>Wlodarczyk</w:t>
      </w:r>
      <w:proofErr w:type="spellEnd"/>
      <w:r w:rsidRPr="00B34EA4">
        <w:rPr>
          <w:bCs/>
          <w:lang w:val="es-ES"/>
        </w:rPr>
        <w:t xml:space="preserve">, A., </w:t>
      </w:r>
      <w:proofErr w:type="spellStart"/>
      <w:r w:rsidRPr="00B34EA4">
        <w:rPr>
          <w:bCs/>
          <w:lang w:val="es-ES"/>
        </w:rPr>
        <w:t>Bobowik</w:t>
      </w:r>
      <w:proofErr w:type="spellEnd"/>
      <w:r w:rsidRPr="00B34EA4">
        <w:rPr>
          <w:bCs/>
          <w:lang w:val="es-ES"/>
        </w:rPr>
        <w:t xml:space="preserve">, M., &amp; Páez, D. (2016). </w:t>
      </w:r>
      <w:r w:rsidRPr="00AE6D52">
        <w:rPr>
          <w:bCs/>
          <w:lang w:val="en-US"/>
        </w:rPr>
        <w:t xml:space="preserve">Shared flow and positive collective gatherings. </w:t>
      </w:r>
      <w:proofErr w:type="spellStart"/>
      <w:r w:rsidRPr="00AE6D52">
        <w:rPr>
          <w:bCs/>
          <w:i/>
          <w:iCs/>
          <w:lang w:val="en-US"/>
        </w:rPr>
        <w:t>Anales</w:t>
      </w:r>
      <w:proofErr w:type="spellEnd"/>
      <w:r w:rsidRPr="00AE6D52">
        <w:rPr>
          <w:bCs/>
          <w:i/>
          <w:iCs/>
          <w:lang w:val="en-US"/>
        </w:rPr>
        <w:t xml:space="preserve"> de </w:t>
      </w:r>
      <w:proofErr w:type="spellStart"/>
      <w:r w:rsidRPr="00AE6D52">
        <w:rPr>
          <w:bCs/>
          <w:i/>
          <w:iCs/>
          <w:lang w:val="en-US"/>
        </w:rPr>
        <w:t>Psicología</w:t>
      </w:r>
      <w:proofErr w:type="spellEnd"/>
      <w:r w:rsidRPr="00AE6D52">
        <w:rPr>
          <w:bCs/>
          <w:i/>
          <w:iCs/>
          <w:lang w:val="en-US"/>
        </w:rPr>
        <w:t>, 32</w:t>
      </w:r>
      <w:r w:rsidRPr="00AE6D52">
        <w:rPr>
          <w:bCs/>
          <w:lang w:val="en-US"/>
        </w:rPr>
        <w:t xml:space="preserve">(3), 717–727. </w:t>
      </w:r>
      <w:hyperlink r:id="rId70" w:history="1">
        <w:r w:rsidRPr="00AE6D52">
          <w:rPr>
            <w:rStyle w:val="Hipervnculo"/>
            <w:bCs/>
            <w:lang w:val="en-US"/>
          </w:rPr>
          <w:t>https://doi.org/10.6018/analesps.32.3.261651</w:t>
        </w:r>
      </w:hyperlink>
      <w:r w:rsidRPr="00145CD8">
        <w:rPr>
          <w:bCs/>
          <w:lang w:val="en-US"/>
        </w:rPr>
        <w:t xml:space="preserve"> </w:t>
      </w:r>
    </w:p>
    <w:sectPr w:rsidR="004A08D3" w:rsidRPr="00145CD8" w:rsidSect="002652A8">
      <w:headerReference w:type="even" r:id="rId71"/>
      <w:headerReference w:type="default" r:id="rId72"/>
      <w:footerReference w:type="even" r:id="rId73"/>
      <w:footerReference w:type="default" r:id="rId74"/>
      <w:headerReference w:type="first" r:id="rId75"/>
      <w:footerReference w:type="first" r:id="rId76"/>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3B1B0" w14:textId="77777777" w:rsidR="00D93641" w:rsidRDefault="00D93641" w:rsidP="0041475C">
      <w:pPr>
        <w:spacing w:after="0" w:line="240" w:lineRule="auto"/>
      </w:pPr>
      <w:r>
        <w:separator/>
      </w:r>
    </w:p>
  </w:endnote>
  <w:endnote w:type="continuationSeparator" w:id="0">
    <w:p w14:paraId="6E56DDF9" w14:textId="77777777" w:rsidR="00D93641" w:rsidRDefault="00D93641" w:rsidP="00414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2373B" w14:textId="77777777" w:rsidR="00B34EA4" w:rsidRDefault="00B34EA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99A6B" w14:textId="77777777" w:rsidR="00B34EA4" w:rsidRDefault="00B34EA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390BF" w14:textId="77777777" w:rsidR="00B34EA4" w:rsidRDefault="00B34E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44D03" w14:textId="77777777" w:rsidR="00D93641" w:rsidRDefault="00D93641" w:rsidP="0041475C">
      <w:pPr>
        <w:spacing w:after="0" w:line="240" w:lineRule="auto"/>
      </w:pPr>
      <w:r>
        <w:separator/>
      </w:r>
    </w:p>
  </w:footnote>
  <w:footnote w:type="continuationSeparator" w:id="0">
    <w:p w14:paraId="3952F092" w14:textId="77777777" w:rsidR="00D93641" w:rsidRDefault="00D93641" w:rsidP="00414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6673E" w14:textId="77777777" w:rsidR="00B34EA4" w:rsidRDefault="00B34EA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0BFD9" w14:textId="77777777" w:rsidR="00270F08" w:rsidRPr="00BD6280" w:rsidRDefault="00270F08">
    <w:pPr>
      <w:pStyle w:val="Encabezado"/>
    </w:pPr>
    <w:r w:rsidRPr="00BD6280">
      <w:t xml:space="preserve">FUSIÓN DE IDENTIDAD EN MIGRANTES </w:t>
    </w:r>
    <w:r>
      <w:t>RESIDENTES EN CHILE</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EB320" w14:textId="77777777" w:rsidR="00B34EA4" w:rsidRDefault="00B34EA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16A02"/>
    <w:multiLevelType w:val="hybridMultilevel"/>
    <w:tmpl w:val="914815BA"/>
    <w:lvl w:ilvl="0" w:tplc="A6766C78">
      <w:start w:val="5"/>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8D13A50"/>
    <w:multiLevelType w:val="multilevel"/>
    <w:tmpl w:val="9C84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DD295F"/>
    <w:multiLevelType w:val="hybridMultilevel"/>
    <w:tmpl w:val="05F293B0"/>
    <w:lvl w:ilvl="0" w:tplc="A1CA5B18">
      <w:start w:val="1"/>
      <w:numFmt w:val="decimal"/>
      <w:lvlText w:val="%1."/>
      <w:lvlJc w:val="left"/>
      <w:pPr>
        <w:ind w:left="1069" w:hanging="36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28"/>
    <w:rsid w:val="00000285"/>
    <w:rsid w:val="000004B9"/>
    <w:rsid w:val="00000A29"/>
    <w:rsid w:val="00001488"/>
    <w:rsid w:val="00002379"/>
    <w:rsid w:val="0000307C"/>
    <w:rsid w:val="00003D9C"/>
    <w:rsid w:val="000059EB"/>
    <w:rsid w:val="00011A07"/>
    <w:rsid w:val="00011A3F"/>
    <w:rsid w:val="00011C7E"/>
    <w:rsid w:val="00013D85"/>
    <w:rsid w:val="00015345"/>
    <w:rsid w:val="000167B0"/>
    <w:rsid w:val="00020DF4"/>
    <w:rsid w:val="00020FF6"/>
    <w:rsid w:val="000218FD"/>
    <w:rsid w:val="00022E0E"/>
    <w:rsid w:val="00023648"/>
    <w:rsid w:val="00023CE7"/>
    <w:rsid w:val="00025009"/>
    <w:rsid w:val="00025575"/>
    <w:rsid w:val="00026BC7"/>
    <w:rsid w:val="000303AE"/>
    <w:rsid w:val="00030687"/>
    <w:rsid w:val="00030AE3"/>
    <w:rsid w:val="00030F16"/>
    <w:rsid w:val="000310D5"/>
    <w:rsid w:val="0003118F"/>
    <w:rsid w:val="0003186C"/>
    <w:rsid w:val="0003218C"/>
    <w:rsid w:val="000323D2"/>
    <w:rsid w:val="00033046"/>
    <w:rsid w:val="00033DD0"/>
    <w:rsid w:val="000355A1"/>
    <w:rsid w:val="0003649F"/>
    <w:rsid w:val="00036588"/>
    <w:rsid w:val="00037104"/>
    <w:rsid w:val="00037A93"/>
    <w:rsid w:val="000402A8"/>
    <w:rsid w:val="00040BD8"/>
    <w:rsid w:val="00040CEA"/>
    <w:rsid w:val="00041647"/>
    <w:rsid w:val="00041C89"/>
    <w:rsid w:val="00041CAB"/>
    <w:rsid w:val="00041F87"/>
    <w:rsid w:val="00042956"/>
    <w:rsid w:val="00042B99"/>
    <w:rsid w:val="000443C0"/>
    <w:rsid w:val="00044CA6"/>
    <w:rsid w:val="00045343"/>
    <w:rsid w:val="0004563A"/>
    <w:rsid w:val="000460DE"/>
    <w:rsid w:val="000469C5"/>
    <w:rsid w:val="00046F78"/>
    <w:rsid w:val="00047780"/>
    <w:rsid w:val="0005062D"/>
    <w:rsid w:val="00051305"/>
    <w:rsid w:val="00051855"/>
    <w:rsid w:val="000519EE"/>
    <w:rsid w:val="000529E8"/>
    <w:rsid w:val="00052E8B"/>
    <w:rsid w:val="00053878"/>
    <w:rsid w:val="00053BA6"/>
    <w:rsid w:val="00053E04"/>
    <w:rsid w:val="000559E6"/>
    <w:rsid w:val="0005680B"/>
    <w:rsid w:val="00056F15"/>
    <w:rsid w:val="0006057D"/>
    <w:rsid w:val="0006137E"/>
    <w:rsid w:val="000615A1"/>
    <w:rsid w:val="00062B63"/>
    <w:rsid w:val="00063F35"/>
    <w:rsid w:val="0006496A"/>
    <w:rsid w:val="00065182"/>
    <w:rsid w:val="00065F4A"/>
    <w:rsid w:val="00066052"/>
    <w:rsid w:val="000661CC"/>
    <w:rsid w:val="00066308"/>
    <w:rsid w:val="00066B7F"/>
    <w:rsid w:val="000672A5"/>
    <w:rsid w:val="000674D4"/>
    <w:rsid w:val="00070E73"/>
    <w:rsid w:val="000712D1"/>
    <w:rsid w:val="0007210C"/>
    <w:rsid w:val="00073136"/>
    <w:rsid w:val="00073209"/>
    <w:rsid w:val="000732F6"/>
    <w:rsid w:val="00073EC2"/>
    <w:rsid w:val="0007428B"/>
    <w:rsid w:val="000743B7"/>
    <w:rsid w:val="00074518"/>
    <w:rsid w:val="00074835"/>
    <w:rsid w:val="0007496A"/>
    <w:rsid w:val="00075436"/>
    <w:rsid w:val="00075CDB"/>
    <w:rsid w:val="00075F3F"/>
    <w:rsid w:val="00076296"/>
    <w:rsid w:val="00077484"/>
    <w:rsid w:val="00080019"/>
    <w:rsid w:val="0008192C"/>
    <w:rsid w:val="00082488"/>
    <w:rsid w:val="00082FD5"/>
    <w:rsid w:val="00083105"/>
    <w:rsid w:val="00083DE2"/>
    <w:rsid w:val="00084679"/>
    <w:rsid w:val="00084AEF"/>
    <w:rsid w:val="000852A7"/>
    <w:rsid w:val="0008552A"/>
    <w:rsid w:val="000860F1"/>
    <w:rsid w:val="0009011C"/>
    <w:rsid w:val="000903A4"/>
    <w:rsid w:val="00090853"/>
    <w:rsid w:val="000913C9"/>
    <w:rsid w:val="000922B3"/>
    <w:rsid w:val="000923AB"/>
    <w:rsid w:val="00093290"/>
    <w:rsid w:val="00094A3D"/>
    <w:rsid w:val="00094FF5"/>
    <w:rsid w:val="00095C99"/>
    <w:rsid w:val="000964CE"/>
    <w:rsid w:val="000971B6"/>
    <w:rsid w:val="000A0F9E"/>
    <w:rsid w:val="000A1080"/>
    <w:rsid w:val="000A1352"/>
    <w:rsid w:val="000A14C4"/>
    <w:rsid w:val="000A1C1E"/>
    <w:rsid w:val="000A252D"/>
    <w:rsid w:val="000A3133"/>
    <w:rsid w:val="000A4071"/>
    <w:rsid w:val="000A58DB"/>
    <w:rsid w:val="000A5917"/>
    <w:rsid w:val="000A5DA1"/>
    <w:rsid w:val="000A6744"/>
    <w:rsid w:val="000A6BF7"/>
    <w:rsid w:val="000A70A9"/>
    <w:rsid w:val="000A7BC1"/>
    <w:rsid w:val="000B03DB"/>
    <w:rsid w:val="000B0685"/>
    <w:rsid w:val="000B0915"/>
    <w:rsid w:val="000B0BAE"/>
    <w:rsid w:val="000B13FE"/>
    <w:rsid w:val="000B14E5"/>
    <w:rsid w:val="000B17DE"/>
    <w:rsid w:val="000B1DE7"/>
    <w:rsid w:val="000B2275"/>
    <w:rsid w:val="000B2E96"/>
    <w:rsid w:val="000B3279"/>
    <w:rsid w:val="000B3392"/>
    <w:rsid w:val="000B3731"/>
    <w:rsid w:val="000B509B"/>
    <w:rsid w:val="000B5428"/>
    <w:rsid w:val="000B5DAC"/>
    <w:rsid w:val="000B6210"/>
    <w:rsid w:val="000B63CE"/>
    <w:rsid w:val="000B6B0C"/>
    <w:rsid w:val="000B7100"/>
    <w:rsid w:val="000B7648"/>
    <w:rsid w:val="000B7690"/>
    <w:rsid w:val="000B76FF"/>
    <w:rsid w:val="000B7ACB"/>
    <w:rsid w:val="000C01AC"/>
    <w:rsid w:val="000C0E9E"/>
    <w:rsid w:val="000C1C6C"/>
    <w:rsid w:val="000C233A"/>
    <w:rsid w:val="000C2690"/>
    <w:rsid w:val="000C2BD5"/>
    <w:rsid w:val="000C3C7B"/>
    <w:rsid w:val="000C3FFC"/>
    <w:rsid w:val="000C49F2"/>
    <w:rsid w:val="000C5212"/>
    <w:rsid w:val="000C5D26"/>
    <w:rsid w:val="000C5D51"/>
    <w:rsid w:val="000C6F51"/>
    <w:rsid w:val="000C75C6"/>
    <w:rsid w:val="000D05C0"/>
    <w:rsid w:val="000D1047"/>
    <w:rsid w:val="000D2219"/>
    <w:rsid w:val="000D2632"/>
    <w:rsid w:val="000D35DD"/>
    <w:rsid w:val="000D3E37"/>
    <w:rsid w:val="000D5193"/>
    <w:rsid w:val="000D6B23"/>
    <w:rsid w:val="000D79BE"/>
    <w:rsid w:val="000D7BE9"/>
    <w:rsid w:val="000D7D81"/>
    <w:rsid w:val="000D7D87"/>
    <w:rsid w:val="000E2F33"/>
    <w:rsid w:val="000E5029"/>
    <w:rsid w:val="000E597C"/>
    <w:rsid w:val="000E702C"/>
    <w:rsid w:val="000E709D"/>
    <w:rsid w:val="000F0373"/>
    <w:rsid w:val="000F06E9"/>
    <w:rsid w:val="000F0B32"/>
    <w:rsid w:val="000F1582"/>
    <w:rsid w:val="000F222B"/>
    <w:rsid w:val="000F2551"/>
    <w:rsid w:val="000F2A79"/>
    <w:rsid w:val="000F2BF8"/>
    <w:rsid w:val="000F2D86"/>
    <w:rsid w:val="000F2E33"/>
    <w:rsid w:val="000F3BDE"/>
    <w:rsid w:val="000F568D"/>
    <w:rsid w:val="000F663B"/>
    <w:rsid w:val="001017BD"/>
    <w:rsid w:val="0010238F"/>
    <w:rsid w:val="00102D09"/>
    <w:rsid w:val="00103959"/>
    <w:rsid w:val="0010436A"/>
    <w:rsid w:val="001048AD"/>
    <w:rsid w:val="00105F07"/>
    <w:rsid w:val="00106CFA"/>
    <w:rsid w:val="0010797C"/>
    <w:rsid w:val="00107DDC"/>
    <w:rsid w:val="00110788"/>
    <w:rsid w:val="00111EA9"/>
    <w:rsid w:val="00112F4E"/>
    <w:rsid w:val="00112FAB"/>
    <w:rsid w:val="0011326E"/>
    <w:rsid w:val="0011340A"/>
    <w:rsid w:val="00113C1C"/>
    <w:rsid w:val="00114CB0"/>
    <w:rsid w:val="00114EED"/>
    <w:rsid w:val="0011620B"/>
    <w:rsid w:val="0011697D"/>
    <w:rsid w:val="00116A85"/>
    <w:rsid w:val="00116F30"/>
    <w:rsid w:val="00120010"/>
    <w:rsid w:val="0012057F"/>
    <w:rsid w:val="001205C5"/>
    <w:rsid w:val="00120CB1"/>
    <w:rsid w:val="00120F08"/>
    <w:rsid w:val="00120FE8"/>
    <w:rsid w:val="00122126"/>
    <w:rsid w:val="00122AB0"/>
    <w:rsid w:val="00122CC6"/>
    <w:rsid w:val="00124788"/>
    <w:rsid w:val="0012486B"/>
    <w:rsid w:val="00124AAC"/>
    <w:rsid w:val="00124EB8"/>
    <w:rsid w:val="0012610C"/>
    <w:rsid w:val="001269D1"/>
    <w:rsid w:val="00126F25"/>
    <w:rsid w:val="001271A4"/>
    <w:rsid w:val="00127DA6"/>
    <w:rsid w:val="00130441"/>
    <w:rsid w:val="00132421"/>
    <w:rsid w:val="0013365D"/>
    <w:rsid w:val="001338F8"/>
    <w:rsid w:val="0013441B"/>
    <w:rsid w:val="001345DA"/>
    <w:rsid w:val="00134837"/>
    <w:rsid w:val="0013640A"/>
    <w:rsid w:val="001365CA"/>
    <w:rsid w:val="00136D61"/>
    <w:rsid w:val="00137203"/>
    <w:rsid w:val="001404DC"/>
    <w:rsid w:val="00141A08"/>
    <w:rsid w:val="00142CF5"/>
    <w:rsid w:val="0014398F"/>
    <w:rsid w:val="00143BBC"/>
    <w:rsid w:val="00144B2E"/>
    <w:rsid w:val="00144D71"/>
    <w:rsid w:val="0014559A"/>
    <w:rsid w:val="00145990"/>
    <w:rsid w:val="00145CD8"/>
    <w:rsid w:val="00146402"/>
    <w:rsid w:val="001466B5"/>
    <w:rsid w:val="001472E9"/>
    <w:rsid w:val="00147B4C"/>
    <w:rsid w:val="00147F78"/>
    <w:rsid w:val="00147FBD"/>
    <w:rsid w:val="00151D7C"/>
    <w:rsid w:val="001523B1"/>
    <w:rsid w:val="00153151"/>
    <w:rsid w:val="00153862"/>
    <w:rsid w:val="00153B4E"/>
    <w:rsid w:val="00153C59"/>
    <w:rsid w:val="00154046"/>
    <w:rsid w:val="001540CE"/>
    <w:rsid w:val="00154DFF"/>
    <w:rsid w:val="0015509B"/>
    <w:rsid w:val="00155BC3"/>
    <w:rsid w:val="00156BE4"/>
    <w:rsid w:val="00157181"/>
    <w:rsid w:val="001605DA"/>
    <w:rsid w:val="0016092F"/>
    <w:rsid w:val="00160B51"/>
    <w:rsid w:val="00161191"/>
    <w:rsid w:val="00161341"/>
    <w:rsid w:val="001619E8"/>
    <w:rsid w:val="001631D3"/>
    <w:rsid w:val="0016367E"/>
    <w:rsid w:val="001640CD"/>
    <w:rsid w:val="001646F1"/>
    <w:rsid w:val="00165BC0"/>
    <w:rsid w:val="00165EAA"/>
    <w:rsid w:val="00165FBB"/>
    <w:rsid w:val="001677F6"/>
    <w:rsid w:val="00171924"/>
    <w:rsid w:val="00172033"/>
    <w:rsid w:val="001721F7"/>
    <w:rsid w:val="00172A1E"/>
    <w:rsid w:val="00172D18"/>
    <w:rsid w:val="00172E27"/>
    <w:rsid w:val="001738B0"/>
    <w:rsid w:val="00175997"/>
    <w:rsid w:val="0017675F"/>
    <w:rsid w:val="0017679B"/>
    <w:rsid w:val="00176AFE"/>
    <w:rsid w:val="0017744E"/>
    <w:rsid w:val="00177860"/>
    <w:rsid w:val="0017795D"/>
    <w:rsid w:val="00177F2E"/>
    <w:rsid w:val="00180205"/>
    <w:rsid w:val="00182EE0"/>
    <w:rsid w:val="00182F41"/>
    <w:rsid w:val="0018380D"/>
    <w:rsid w:val="00183D1A"/>
    <w:rsid w:val="00185AB7"/>
    <w:rsid w:val="001864DA"/>
    <w:rsid w:val="00186528"/>
    <w:rsid w:val="001879E6"/>
    <w:rsid w:val="0019003E"/>
    <w:rsid w:val="00190901"/>
    <w:rsid w:val="0019168A"/>
    <w:rsid w:val="001918E5"/>
    <w:rsid w:val="00192575"/>
    <w:rsid w:val="00192B06"/>
    <w:rsid w:val="00192FA5"/>
    <w:rsid w:val="00193821"/>
    <w:rsid w:val="001942C1"/>
    <w:rsid w:val="001951A2"/>
    <w:rsid w:val="00195DDD"/>
    <w:rsid w:val="00196D02"/>
    <w:rsid w:val="001978A0"/>
    <w:rsid w:val="00197B3E"/>
    <w:rsid w:val="001A009E"/>
    <w:rsid w:val="001A049E"/>
    <w:rsid w:val="001A1341"/>
    <w:rsid w:val="001A18A9"/>
    <w:rsid w:val="001A210A"/>
    <w:rsid w:val="001A2417"/>
    <w:rsid w:val="001A2C88"/>
    <w:rsid w:val="001A2F11"/>
    <w:rsid w:val="001A3F8E"/>
    <w:rsid w:val="001A410D"/>
    <w:rsid w:val="001A5972"/>
    <w:rsid w:val="001A6F0B"/>
    <w:rsid w:val="001A7513"/>
    <w:rsid w:val="001A76BE"/>
    <w:rsid w:val="001A7778"/>
    <w:rsid w:val="001A7AD0"/>
    <w:rsid w:val="001B0AF6"/>
    <w:rsid w:val="001B17C4"/>
    <w:rsid w:val="001B1948"/>
    <w:rsid w:val="001B33FA"/>
    <w:rsid w:val="001B353E"/>
    <w:rsid w:val="001B5326"/>
    <w:rsid w:val="001B5B98"/>
    <w:rsid w:val="001C2B00"/>
    <w:rsid w:val="001C3247"/>
    <w:rsid w:val="001C3315"/>
    <w:rsid w:val="001C3816"/>
    <w:rsid w:val="001C4127"/>
    <w:rsid w:val="001C4407"/>
    <w:rsid w:val="001C4B5D"/>
    <w:rsid w:val="001C54E9"/>
    <w:rsid w:val="001C58F7"/>
    <w:rsid w:val="001C7244"/>
    <w:rsid w:val="001C73A2"/>
    <w:rsid w:val="001C7FB0"/>
    <w:rsid w:val="001D0474"/>
    <w:rsid w:val="001D0711"/>
    <w:rsid w:val="001D0C3E"/>
    <w:rsid w:val="001D3257"/>
    <w:rsid w:val="001D37A4"/>
    <w:rsid w:val="001D434E"/>
    <w:rsid w:val="001D4AA7"/>
    <w:rsid w:val="001D5C7F"/>
    <w:rsid w:val="001D5D5B"/>
    <w:rsid w:val="001D7FC6"/>
    <w:rsid w:val="001E22F4"/>
    <w:rsid w:val="001E23DC"/>
    <w:rsid w:val="001E3F40"/>
    <w:rsid w:val="001E4768"/>
    <w:rsid w:val="001E541A"/>
    <w:rsid w:val="001E5703"/>
    <w:rsid w:val="001E5BE4"/>
    <w:rsid w:val="001E64CE"/>
    <w:rsid w:val="001E6EDA"/>
    <w:rsid w:val="001E72A5"/>
    <w:rsid w:val="001F10EC"/>
    <w:rsid w:val="001F25B8"/>
    <w:rsid w:val="001F27B4"/>
    <w:rsid w:val="001F27E0"/>
    <w:rsid w:val="001F2ABA"/>
    <w:rsid w:val="001F3693"/>
    <w:rsid w:val="001F403A"/>
    <w:rsid w:val="001F4620"/>
    <w:rsid w:val="001F478C"/>
    <w:rsid w:val="001F544E"/>
    <w:rsid w:val="001F5BB4"/>
    <w:rsid w:val="001F63C6"/>
    <w:rsid w:val="001F764D"/>
    <w:rsid w:val="001F7ADF"/>
    <w:rsid w:val="00203169"/>
    <w:rsid w:val="0020335C"/>
    <w:rsid w:val="0020439C"/>
    <w:rsid w:val="0020443A"/>
    <w:rsid w:val="002044D7"/>
    <w:rsid w:val="00204A34"/>
    <w:rsid w:val="00204FEF"/>
    <w:rsid w:val="00206FF4"/>
    <w:rsid w:val="00207CBC"/>
    <w:rsid w:val="00207E3B"/>
    <w:rsid w:val="00210AA8"/>
    <w:rsid w:val="00210CF4"/>
    <w:rsid w:val="00210F29"/>
    <w:rsid w:val="00211930"/>
    <w:rsid w:val="00212BB0"/>
    <w:rsid w:val="00212CB1"/>
    <w:rsid w:val="00213D67"/>
    <w:rsid w:val="00213DE5"/>
    <w:rsid w:val="0021421B"/>
    <w:rsid w:val="0021440A"/>
    <w:rsid w:val="0021454A"/>
    <w:rsid w:val="002147CF"/>
    <w:rsid w:val="002151A0"/>
    <w:rsid w:val="00215E7F"/>
    <w:rsid w:val="00215F3F"/>
    <w:rsid w:val="002162AD"/>
    <w:rsid w:val="00216847"/>
    <w:rsid w:val="00217263"/>
    <w:rsid w:val="002178E3"/>
    <w:rsid w:val="00217D22"/>
    <w:rsid w:val="00221384"/>
    <w:rsid w:val="002218C4"/>
    <w:rsid w:val="00221B93"/>
    <w:rsid w:val="0022245D"/>
    <w:rsid w:val="00222A29"/>
    <w:rsid w:val="002237B8"/>
    <w:rsid w:val="00223F79"/>
    <w:rsid w:val="00224AE0"/>
    <w:rsid w:val="00224DF5"/>
    <w:rsid w:val="00225368"/>
    <w:rsid w:val="0023036D"/>
    <w:rsid w:val="00230B77"/>
    <w:rsid w:val="00232B44"/>
    <w:rsid w:val="00233BA1"/>
    <w:rsid w:val="00233D0D"/>
    <w:rsid w:val="00234AAB"/>
    <w:rsid w:val="00235384"/>
    <w:rsid w:val="002355BB"/>
    <w:rsid w:val="002373DB"/>
    <w:rsid w:val="0023797E"/>
    <w:rsid w:val="00240107"/>
    <w:rsid w:val="0024069A"/>
    <w:rsid w:val="002410BB"/>
    <w:rsid w:val="00242007"/>
    <w:rsid w:val="002439E4"/>
    <w:rsid w:val="002440AC"/>
    <w:rsid w:val="0024469F"/>
    <w:rsid w:val="00244A79"/>
    <w:rsid w:val="00245252"/>
    <w:rsid w:val="00245511"/>
    <w:rsid w:val="00245B40"/>
    <w:rsid w:val="00246AC0"/>
    <w:rsid w:val="00246CC3"/>
    <w:rsid w:val="00247BC3"/>
    <w:rsid w:val="002503DB"/>
    <w:rsid w:val="00250E30"/>
    <w:rsid w:val="002513BA"/>
    <w:rsid w:val="00252AD4"/>
    <w:rsid w:val="002531D6"/>
    <w:rsid w:val="00253474"/>
    <w:rsid w:val="00253C72"/>
    <w:rsid w:val="00257161"/>
    <w:rsid w:val="002576CB"/>
    <w:rsid w:val="00257732"/>
    <w:rsid w:val="002577B7"/>
    <w:rsid w:val="002577C8"/>
    <w:rsid w:val="00257D67"/>
    <w:rsid w:val="00261377"/>
    <w:rsid w:val="002622E4"/>
    <w:rsid w:val="00262526"/>
    <w:rsid w:val="00263617"/>
    <w:rsid w:val="00264A4B"/>
    <w:rsid w:val="00264A7F"/>
    <w:rsid w:val="002652A8"/>
    <w:rsid w:val="00265D1B"/>
    <w:rsid w:val="0026726F"/>
    <w:rsid w:val="0026734E"/>
    <w:rsid w:val="00270F08"/>
    <w:rsid w:val="00272495"/>
    <w:rsid w:val="00273CEF"/>
    <w:rsid w:val="00273F64"/>
    <w:rsid w:val="00274181"/>
    <w:rsid w:val="00275008"/>
    <w:rsid w:val="00275828"/>
    <w:rsid w:val="002766DD"/>
    <w:rsid w:val="00276FCA"/>
    <w:rsid w:val="002816E2"/>
    <w:rsid w:val="00281D7D"/>
    <w:rsid w:val="00281DB0"/>
    <w:rsid w:val="00282F3F"/>
    <w:rsid w:val="00283343"/>
    <w:rsid w:val="00284189"/>
    <w:rsid w:val="00284AE7"/>
    <w:rsid w:val="0028501B"/>
    <w:rsid w:val="002875F7"/>
    <w:rsid w:val="002901C8"/>
    <w:rsid w:val="002909C9"/>
    <w:rsid w:val="00291C34"/>
    <w:rsid w:val="00294927"/>
    <w:rsid w:val="002953E1"/>
    <w:rsid w:val="00296C7A"/>
    <w:rsid w:val="00297D54"/>
    <w:rsid w:val="002A04C3"/>
    <w:rsid w:val="002A1A34"/>
    <w:rsid w:val="002A2223"/>
    <w:rsid w:val="002A244B"/>
    <w:rsid w:val="002A2680"/>
    <w:rsid w:val="002A2821"/>
    <w:rsid w:val="002A386C"/>
    <w:rsid w:val="002A3E00"/>
    <w:rsid w:val="002A3E23"/>
    <w:rsid w:val="002A4F2B"/>
    <w:rsid w:val="002A66AB"/>
    <w:rsid w:val="002A756D"/>
    <w:rsid w:val="002B0088"/>
    <w:rsid w:val="002B0113"/>
    <w:rsid w:val="002B0A41"/>
    <w:rsid w:val="002B1BAF"/>
    <w:rsid w:val="002B1ECA"/>
    <w:rsid w:val="002B239A"/>
    <w:rsid w:val="002B255F"/>
    <w:rsid w:val="002B2B90"/>
    <w:rsid w:val="002B3596"/>
    <w:rsid w:val="002B4792"/>
    <w:rsid w:val="002B5721"/>
    <w:rsid w:val="002B5E51"/>
    <w:rsid w:val="002B5F9B"/>
    <w:rsid w:val="002B6644"/>
    <w:rsid w:val="002B66F5"/>
    <w:rsid w:val="002B6FCF"/>
    <w:rsid w:val="002B713A"/>
    <w:rsid w:val="002B7CA9"/>
    <w:rsid w:val="002B7E16"/>
    <w:rsid w:val="002C0000"/>
    <w:rsid w:val="002C2196"/>
    <w:rsid w:val="002C2BE4"/>
    <w:rsid w:val="002C3034"/>
    <w:rsid w:val="002C418F"/>
    <w:rsid w:val="002C4A71"/>
    <w:rsid w:val="002C528C"/>
    <w:rsid w:val="002C5C45"/>
    <w:rsid w:val="002C61C7"/>
    <w:rsid w:val="002C7C7C"/>
    <w:rsid w:val="002C7D19"/>
    <w:rsid w:val="002C7D74"/>
    <w:rsid w:val="002D02A3"/>
    <w:rsid w:val="002D0AB8"/>
    <w:rsid w:val="002D0B3C"/>
    <w:rsid w:val="002D0CEB"/>
    <w:rsid w:val="002D0DB0"/>
    <w:rsid w:val="002D19AF"/>
    <w:rsid w:val="002D1D6C"/>
    <w:rsid w:val="002D24B4"/>
    <w:rsid w:val="002D2A9A"/>
    <w:rsid w:val="002D3575"/>
    <w:rsid w:val="002D3A62"/>
    <w:rsid w:val="002D49A3"/>
    <w:rsid w:val="002D723E"/>
    <w:rsid w:val="002D7528"/>
    <w:rsid w:val="002D798F"/>
    <w:rsid w:val="002E000F"/>
    <w:rsid w:val="002E0B40"/>
    <w:rsid w:val="002E0D70"/>
    <w:rsid w:val="002E2D73"/>
    <w:rsid w:val="002E3FA7"/>
    <w:rsid w:val="002E42B5"/>
    <w:rsid w:val="002E440C"/>
    <w:rsid w:val="002E4511"/>
    <w:rsid w:val="002E5F10"/>
    <w:rsid w:val="002E632C"/>
    <w:rsid w:val="002E7991"/>
    <w:rsid w:val="002E7A0A"/>
    <w:rsid w:val="002F0031"/>
    <w:rsid w:val="002F0E06"/>
    <w:rsid w:val="002F0FF5"/>
    <w:rsid w:val="002F1658"/>
    <w:rsid w:val="002F2000"/>
    <w:rsid w:val="002F225D"/>
    <w:rsid w:val="002F2970"/>
    <w:rsid w:val="002F2D16"/>
    <w:rsid w:val="002F550B"/>
    <w:rsid w:val="002F5895"/>
    <w:rsid w:val="002F5EF0"/>
    <w:rsid w:val="002F67D0"/>
    <w:rsid w:val="0030005B"/>
    <w:rsid w:val="00300F48"/>
    <w:rsid w:val="00301566"/>
    <w:rsid w:val="003015AA"/>
    <w:rsid w:val="00301B7B"/>
    <w:rsid w:val="00301DDF"/>
    <w:rsid w:val="00303214"/>
    <w:rsid w:val="00303807"/>
    <w:rsid w:val="00304C84"/>
    <w:rsid w:val="00304CD1"/>
    <w:rsid w:val="0030558A"/>
    <w:rsid w:val="003056A6"/>
    <w:rsid w:val="0030598E"/>
    <w:rsid w:val="00306846"/>
    <w:rsid w:val="0030715C"/>
    <w:rsid w:val="00307999"/>
    <w:rsid w:val="003105A6"/>
    <w:rsid w:val="00311161"/>
    <w:rsid w:val="00311317"/>
    <w:rsid w:val="00311F06"/>
    <w:rsid w:val="003122F8"/>
    <w:rsid w:val="003123A3"/>
    <w:rsid w:val="00313192"/>
    <w:rsid w:val="00313D9A"/>
    <w:rsid w:val="003142B8"/>
    <w:rsid w:val="003144D4"/>
    <w:rsid w:val="0031472C"/>
    <w:rsid w:val="00314B4E"/>
    <w:rsid w:val="00317C8A"/>
    <w:rsid w:val="003201D4"/>
    <w:rsid w:val="0032109F"/>
    <w:rsid w:val="0032250E"/>
    <w:rsid w:val="00322B49"/>
    <w:rsid w:val="0032579D"/>
    <w:rsid w:val="00325A8D"/>
    <w:rsid w:val="00325E8D"/>
    <w:rsid w:val="00325ED9"/>
    <w:rsid w:val="00326D65"/>
    <w:rsid w:val="00326EE6"/>
    <w:rsid w:val="00327204"/>
    <w:rsid w:val="0032725E"/>
    <w:rsid w:val="00330522"/>
    <w:rsid w:val="00332B83"/>
    <w:rsid w:val="003335CA"/>
    <w:rsid w:val="0033370E"/>
    <w:rsid w:val="003352A3"/>
    <w:rsid w:val="00335DC7"/>
    <w:rsid w:val="00336CD5"/>
    <w:rsid w:val="0033701C"/>
    <w:rsid w:val="0033717A"/>
    <w:rsid w:val="0033729D"/>
    <w:rsid w:val="003373C7"/>
    <w:rsid w:val="00340227"/>
    <w:rsid w:val="003407FC"/>
    <w:rsid w:val="003432CF"/>
    <w:rsid w:val="0034360C"/>
    <w:rsid w:val="003447AC"/>
    <w:rsid w:val="00344C0B"/>
    <w:rsid w:val="003467DD"/>
    <w:rsid w:val="003469EE"/>
    <w:rsid w:val="00346A0B"/>
    <w:rsid w:val="00347CD7"/>
    <w:rsid w:val="0035090C"/>
    <w:rsid w:val="00350ABC"/>
    <w:rsid w:val="00351579"/>
    <w:rsid w:val="00352C27"/>
    <w:rsid w:val="0035487E"/>
    <w:rsid w:val="0035566D"/>
    <w:rsid w:val="003569B3"/>
    <w:rsid w:val="00356B21"/>
    <w:rsid w:val="00357099"/>
    <w:rsid w:val="00357446"/>
    <w:rsid w:val="003574CD"/>
    <w:rsid w:val="0036041B"/>
    <w:rsid w:val="00360690"/>
    <w:rsid w:val="003617D5"/>
    <w:rsid w:val="00361A2E"/>
    <w:rsid w:val="00362109"/>
    <w:rsid w:val="003623FE"/>
    <w:rsid w:val="003630BB"/>
    <w:rsid w:val="003637C5"/>
    <w:rsid w:val="00363B44"/>
    <w:rsid w:val="00363C26"/>
    <w:rsid w:val="00364D4C"/>
    <w:rsid w:val="0036578D"/>
    <w:rsid w:val="003661AF"/>
    <w:rsid w:val="00370626"/>
    <w:rsid w:val="00370D57"/>
    <w:rsid w:val="0037106C"/>
    <w:rsid w:val="0037148C"/>
    <w:rsid w:val="003714AC"/>
    <w:rsid w:val="00371B75"/>
    <w:rsid w:val="00372140"/>
    <w:rsid w:val="00373303"/>
    <w:rsid w:val="003763E9"/>
    <w:rsid w:val="00376928"/>
    <w:rsid w:val="00377455"/>
    <w:rsid w:val="00377755"/>
    <w:rsid w:val="00380FA7"/>
    <w:rsid w:val="003819E7"/>
    <w:rsid w:val="00381D03"/>
    <w:rsid w:val="0038221B"/>
    <w:rsid w:val="00382C35"/>
    <w:rsid w:val="00382E14"/>
    <w:rsid w:val="00383480"/>
    <w:rsid w:val="0038371D"/>
    <w:rsid w:val="00383E85"/>
    <w:rsid w:val="003854C3"/>
    <w:rsid w:val="00386112"/>
    <w:rsid w:val="00391C71"/>
    <w:rsid w:val="003931FB"/>
    <w:rsid w:val="00393C89"/>
    <w:rsid w:val="00393E55"/>
    <w:rsid w:val="00394670"/>
    <w:rsid w:val="0039719A"/>
    <w:rsid w:val="00397E6F"/>
    <w:rsid w:val="003A0284"/>
    <w:rsid w:val="003A0AE8"/>
    <w:rsid w:val="003A1609"/>
    <w:rsid w:val="003A235D"/>
    <w:rsid w:val="003A31CB"/>
    <w:rsid w:val="003A52F1"/>
    <w:rsid w:val="003A55B3"/>
    <w:rsid w:val="003A56D3"/>
    <w:rsid w:val="003A5B78"/>
    <w:rsid w:val="003A6E1A"/>
    <w:rsid w:val="003A6F03"/>
    <w:rsid w:val="003B0BB0"/>
    <w:rsid w:val="003B145C"/>
    <w:rsid w:val="003B2A61"/>
    <w:rsid w:val="003B32CD"/>
    <w:rsid w:val="003B34BE"/>
    <w:rsid w:val="003B5E42"/>
    <w:rsid w:val="003B65F9"/>
    <w:rsid w:val="003B67C0"/>
    <w:rsid w:val="003B768B"/>
    <w:rsid w:val="003C0F31"/>
    <w:rsid w:val="003C24A5"/>
    <w:rsid w:val="003C275E"/>
    <w:rsid w:val="003C27AA"/>
    <w:rsid w:val="003C2BCE"/>
    <w:rsid w:val="003C3CE5"/>
    <w:rsid w:val="003C3CE6"/>
    <w:rsid w:val="003C40DC"/>
    <w:rsid w:val="003C5BE5"/>
    <w:rsid w:val="003C6138"/>
    <w:rsid w:val="003C7527"/>
    <w:rsid w:val="003D0154"/>
    <w:rsid w:val="003D03AA"/>
    <w:rsid w:val="003D06A4"/>
    <w:rsid w:val="003D06B4"/>
    <w:rsid w:val="003D1883"/>
    <w:rsid w:val="003D1FE6"/>
    <w:rsid w:val="003D26E8"/>
    <w:rsid w:val="003D3E37"/>
    <w:rsid w:val="003D42BA"/>
    <w:rsid w:val="003D4AC8"/>
    <w:rsid w:val="003D4C59"/>
    <w:rsid w:val="003D5AE0"/>
    <w:rsid w:val="003D5FF7"/>
    <w:rsid w:val="003D71B4"/>
    <w:rsid w:val="003D732B"/>
    <w:rsid w:val="003D77E4"/>
    <w:rsid w:val="003E0FEF"/>
    <w:rsid w:val="003E1A3B"/>
    <w:rsid w:val="003E1FC0"/>
    <w:rsid w:val="003E209A"/>
    <w:rsid w:val="003E2E02"/>
    <w:rsid w:val="003E3C58"/>
    <w:rsid w:val="003E6A42"/>
    <w:rsid w:val="003E7935"/>
    <w:rsid w:val="003E7941"/>
    <w:rsid w:val="003F09D5"/>
    <w:rsid w:val="003F2531"/>
    <w:rsid w:val="003F41AB"/>
    <w:rsid w:val="003F5B56"/>
    <w:rsid w:val="003F6383"/>
    <w:rsid w:val="003F63AD"/>
    <w:rsid w:val="003F66AA"/>
    <w:rsid w:val="003F7085"/>
    <w:rsid w:val="003F7438"/>
    <w:rsid w:val="0040150B"/>
    <w:rsid w:val="004019F4"/>
    <w:rsid w:val="0040234B"/>
    <w:rsid w:val="00402575"/>
    <w:rsid w:val="00402DE9"/>
    <w:rsid w:val="004030B0"/>
    <w:rsid w:val="00403CC0"/>
    <w:rsid w:val="00403E3B"/>
    <w:rsid w:val="00403FD7"/>
    <w:rsid w:val="0040410F"/>
    <w:rsid w:val="004046CC"/>
    <w:rsid w:val="0040501A"/>
    <w:rsid w:val="00405BE5"/>
    <w:rsid w:val="00406487"/>
    <w:rsid w:val="0040713C"/>
    <w:rsid w:val="0040739C"/>
    <w:rsid w:val="004103D3"/>
    <w:rsid w:val="004104A3"/>
    <w:rsid w:val="00411BCA"/>
    <w:rsid w:val="00412C58"/>
    <w:rsid w:val="004142DC"/>
    <w:rsid w:val="0041475C"/>
    <w:rsid w:val="004151B3"/>
    <w:rsid w:val="00415972"/>
    <w:rsid w:val="00416149"/>
    <w:rsid w:val="00416414"/>
    <w:rsid w:val="00417942"/>
    <w:rsid w:val="00417E91"/>
    <w:rsid w:val="00420D43"/>
    <w:rsid w:val="00420DA4"/>
    <w:rsid w:val="00421599"/>
    <w:rsid w:val="00421B30"/>
    <w:rsid w:val="00422B9E"/>
    <w:rsid w:val="0042325F"/>
    <w:rsid w:val="00423900"/>
    <w:rsid w:val="00423C7F"/>
    <w:rsid w:val="0042424C"/>
    <w:rsid w:val="00424253"/>
    <w:rsid w:val="00424535"/>
    <w:rsid w:val="00424C5F"/>
    <w:rsid w:val="00424E96"/>
    <w:rsid w:val="0042543A"/>
    <w:rsid w:val="00425A53"/>
    <w:rsid w:val="0042679D"/>
    <w:rsid w:val="00426AB9"/>
    <w:rsid w:val="00427F98"/>
    <w:rsid w:val="00431E6C"/>
    <w:rsid w:val="00432EF1"/>
    <w:rsid w:val="00433010"/>
    <w:rsid w:val="00433389"/>
    <w:rsid w:val="00434F18"/>
    <w:rsid w:val="00435455"/>
    <w:rsid w:val="00435D40"/>
    <w:rsid w:val="00435D56"/>
    <w:rsid w:val="00435F3C"/>
    <w:rsid w:val="00436438"/>
    <w:rsid w:val="00436646"/>
    <w:rsid w:val="004376E9"/>
    <w:rsid w:val="00437FA6"/>
    <w:rsid w:val="00440B99"/>
    <w:rsid w:val="00440CC1"/>
    <w:rsid w:val="0044187B"/>
    <w:rsid w:val="00441D88"/>
    <w:rsid w:val="00442580"/>
    <w:rsid w:val="00442A26"/>
    <w:rsid w:val="004436C9"/>
    <w:rsid w:val="004462D5"/>
    <w:rsid w:val="00446FEC"/>
    <w:rsid w:val="004470B6"/>
    <w:rsid w:val="00450F67"/>
    <w:rsid w:val="004513A7"/>
    <w:rsid w:val="00451719"/>
    <w:rsid w:val="00453B76"/>
    <w:rsid w:val="00454E28"/>
    <w:rsid w:val="00455897"/>
    <w:rsid w:val="004559C3"/>
    <w:rsid w:val="00455A2E"/>
    <w:rsid w:val="00455A3F"/>
    <w:rsid w:val="00455E1F"/>
    <w:rsid w:val="00456063"/>
    <w:rsid w:val="004568FE"/>
    <w:rsid w:val="00456955"/>
    <w:rsid w:val="00457BF6"/>
    <w:rsid w:val="00460D94"/>
    <w:rsid w:val="00461249"/>
    <w:rsid w:val="00461B52"/>
    <w:rsid w:val="00462062"/>
    <w:rsid w:val="00464ABB"/>
    <w:rsid w:val="00465F3D"/>
    <w:rsid w:val="00466C9D"/>
    <w:rsid w:val="00466EC8"/>
    <w:rsid w:val="00467D25"/>
    <w:rsid w:val="004702B0"/>
    <w:rsid w:val="00471623"/>
    <w:rsid w:val="00472ED9"/>
    <w:rsid w:val="0047379E"/>
    <w:rsid w:val="0047416E"/>
    <w:rsid w:val="00474B40"/>
    <w:rsid w:val="00475A6C"/>
    <w:rsid w:val="004778B4"/>
    <w:rsid w:val="0048038D"/>
    <w:rsid w:val="00480511"/>
    <w:rsid w:val="00481631"/>
    <w:rsid w:val="004817F2"/>
    <w:rsid w:val="00481E49"/>
    <w:rsid w:val="004828AF"/>
    <w:rsid w:val="00482BA6"/>
    <w:rsid w:val="00482C04"/>
    <w:rsid w:val="00482DE0"/>
    <w:rsid w:val="00483642"/>
    <w:rsid w:val="00483686"/>
    <w:rsid w:val="004839A9"/>
    <w:rsid w:val="004842EE"/>
    <w:rsid w:val="004855A6"/>
    <w:rsid w:val="00485C83"/>
    <w:rsid w:val="00485F18"/>
    <w:rsid w:val="004865CF"/>
    <w:rsid w:val="00486BF2"/>
    <w:rsid w:val="00490208"/>
    <w:rsid w:val="0049292C"/>
    <w:rsid w:val="00493776"/>
    <w:rsid w:val="00493F9F"/>
    <w:rsid w:val="00494146"/>
    <w:rsid w:val="00495AB4"/>
    <w:rsid w:val="00496564"/>
    <w:rsid w:val="00497F88"/>
    <w:rsid w:val="004A0089"/>
    <w:rsid w:val="004A0107"/>
    <w:rsid w:val="004A08D3"/>
    <w:rsid w:val="004A1974"/>
    <w:rsid w:val="004A3725"/>
    <w:rsid w:val="004A3C14"/>
    <w:rsid w:val="004A3E45"/>
    <w:rsid w:val="004A3FB7"/>
    <w:rsid w:val="004A4474"/>
    <w:rsid w:val="004A4B66"/>
    <w:rsid w:val="004A5518"/>
    <w:rsid w:val="004A6D3E"/>
    <w:rsid w:val="004A75E8"/>
    <w:rsid w:val="004A7E3C"/>
    <w:rsid w:val="004B008E"/>
    <w:rsid w:val="004B0D67"/>
    <w:rsid w:val="004B361F"/>
    <w:rsid w:val="004B3B58"/>
    <w:rsid w:val="004B4D07"/>
    <w:rsid w:val="004B4F88"/>
    <w:rsid w:val="004B6A4A"/>
    <w:rsid w:val="004B6E5A"/>
    <w:rsid w:val="004B6EA8"/>
    <w:rsid w:val="004C0747"/>
    <w:rsid w:val="004C0A0B"/>
    <w:rsid w:val="004C14A3"/>
    <w:rsid w:val="004C2D9D"/>
    <w:rsid w:val="004C4DE0"/>
    <w:rsid w:val="004C5675"/>
    <w:rsid w:val="004C582D"/>
    <w:rsid w:val="004C7300"/>
    <w:rsid w:val="004C7BED"/>
    <w:rsid w:val="004D0AC0"/>
    <w:rsid w:val="004D1572"/>
    <w:rsid w:val="004D3E98"/>
    <w:rsid w:val="004D431C"/>
    <w:rsid w:val="004D53A1"/>
    <w:rsid w:val="004D579A"/>
    <w:rsid w:val="004E0D77"/>
    <w:rsid w:val="004E171A"/>
    <w:rsid w:val="004E18F1"/>
    <w:rsid w:val="004E2234"/>
    <w:rsid w:val="004E2B12"/>
    <w:rsid w:val="004E79FF"/>
    <w:rsid w:val="004F0252"/>
    <w:rsid w:val="004F256F"/>
    <w:rsid w:val="004F3461"/>
    <w:rsid w:val="004F3D48"/>
    <w:rsid w:val="004F3E11"/>
    <w:rsid w:val="004F4487"/>
    <w:rsid w:val="004F50A0"/>
    <w:rsid w:val="004F7976"/>
    <w:rsid w:val="00501CE6"/>
    <w:rsid w:val="00501E16"/>
    <w:rsid w:val="005038A3"/>
    <w:rsid w:val="005038FF"/>
    <w:rsid w:val="0050446A"/>
    <w:rsid w:val="00504757"/>
    <w:rsid w:val="00504B93"/>
    <w:rsid w:val="005052B9"/>
    <w:rsid w:val="00505862"/>
    <w:rsid w:val="005069A3"/>
    <w:rsid w:val="00506BC5"/>
    <w:rsid w:val="005073A5"/>
    <w:rsid w:val="0050750F"/>
    <w:rsid w:val="005075DC"/>
    <w:rsid w:val="00510278"/>
    <w:rsid w:val="00510A19"/>
    <w:rsid w:val="00510AC5"/>
    <w:rsid w:val="005114B3"/>
    <w:rsid w:val="005116EA"/>
    <w:rsid w:val="00511F14"/>
    <w:rsid w:val="005128B5"/>
    <w:rsid w:val="00512EF8"/>
    <w:rsid w:val="0051343B"/>
    <w:rsid w:val="00514173"/>
    <w:rsid w:val="00514A5B"/>
    <w:rsid w:val="005168C9"/>
    <w:rsid w:val="00517015"/>
    <w:rsid w:val="0052011A"/>
    <w:rsid w:val="00520426"/>
    <w:rsid w:val="00521228"/>
    <w:rsid w:val="0052133D"/>
    <w:rsid w:val="00522619"/>
    <w:rsid w:val="00525CD9"/>
    <w:rsid w:val="00527CA4"/>
    <w:rsid w:val="00527DA8"/>
    <w:rsid w:val="005317FA"/>
    <w:rsid w:val="00531C22"/>
    <w:rsid w:val="00531DC2"/>
    <w:rsid w:val="00531F69"/>
    <w:rsid w:val="005321FB"/>
    <w:rsid w:val="00532499"/>
    <w:rsid w:val="00532DC9"/>
    <w:rsid w:val="00532F1E"/>
    <w:rsid w:val="00534780"/>
    <w:rsid w:val="00535434"/>
    <w:rsid w:val="00537B88"/>
    <w:rsid w:val="005401D3"/>
    <w:rsid w:val="00540911"/>
    <w:rsid w:val="005415F9"/>
    <w:rsid w:val="0054309F"/>
    <w:rsid w:val="00543890"/>
    <w:rsid w:val="005446E5"/>
    <w:rsid w:val="0054671C"/>
    <w:rsid w:val="0054673A"/>
    <w:rsid w:val="00546991"/>
    <w:rsid w:val="0054700E"/>
    <w:rsid w:val="00551F02"/>
    <w:rsid w:val="00552154"/>
    <w:rsid w:val="00552B7C"/>
    <w:rsid w:val="00553A90"/>
    <w:rsid w:val="00553B33"/>
    <w:rsid w:val="0055512B"/>
    <w:rsid w:val="005560FE"/>
    <w:rsid w:val="005562E1"/>
    <w:rsid w:val="005564F7"/>
    <w:rsid w:val="005611A6"/>
    <w:rsid w:val="00561AFA"/>
    <w:rsid w:val="0056225A"/>
    <w:rsid w:val="00562419"/>
    <w:rsid w:val="00562A86"/>
    <w:rsid w:val="00563777"/>
    <w:rsid w:val="0056477E"/>
    <w:rsid w:val="00564E2B"/>
    <w:rsid w:val="00565404"/>
    <w:rsid w:val="00565AA5"/>
    <w:rsid w:val="00565DDD"/>
    <w:rsid w:val="00567010"/>
    <w:rsid w:val="00567B01"/>
    <w:rsid w:val="00567CBB"/>
    <w:rsid w:val="00570120"/>
    <w:rsid w:val="005715B3"/>
    <w:rsid w:val="00571672"/>
    <w:rsid w:val="00572DD5"/>
    <w:rsid w:val="00573CCD"/>
    <w:rsid w:val="00574D27"/>
    <w:rsid w:val="0057557B"/>
    <w:rsid w:val="005756ED"/>
    <w:rsid w:val="00576789"/>
    <w:rsid w:val="0057687F"/>
    <w:rsid w:val="00576CF6"/>
    <w:rsid w:val="005820A8"/>
    <w:rsid w:val="00582651"/>
    <w:rsid w:val="005839F1"/>
    <w:rsid w:val="00584061"/>
    <w:rsid w:val="005840C2"/>
    <w:rsid w:val="0058461C"/>
    <w:rsid w:val="00586245"/>
    <w:rsid w:val="00586527"/>
    <w:rsid w:val="005867D1"/>
    <w:rsid w:val="005874DB"/>
    <w:rsid w:val="00587F32"/>
    <w:rsid w:val="00593317"/>
    <w:rsid w:val="005939CC"/>
    <w:rsid w:val="00595167"/>
    <w:rsid w:val="00596246"/>
    <w:rsid w:val="00596462"/>
    <w:rsid w:val="00596B04"/>
    <w:rsid w:val="005A2F0C"/>
    <w:rsid w:val="005A3707"/>
    <w:rsid w:val="005A3B26"/>
    <w:rsid w:val="005A5EC2"/>
    <w:rsid w:val="005A6869"/>
    <w:rsid w:val="005A7226"/>
    <w:rsid w:val="005A7587"/>
    <w:rsid w:val="005B02AD"/>
    <w:rsid w:val="005B2334"/>
    <w:rsid w:val="005B2666"/>
    <w:rsid w:val="005B2E35"/>
    <w:rsid w:val="005B3843"/>
    <w:rsid w:val="005B3D11"/>
    <w:rsid w:val="005B4241"/>
    <w:rsid w:val="005B4B75"/>
    <w:rsid w:val="005B559F"/>
    <w:rsid w:val="005B5DAB"/>
    <w:rsid w:val="005B67F9"/>
    <w:rsid w:val="005C04F0"/>
    <w:rsid w:val="005C1DA0"/>
    <w:rsid w:val="005C2D1D"/>
    <w:rsid w:val="005C2F65"/>
    <w:rsid w:val="005C2F76"/>
    <w:rsid w:val="005C3134"/>
    <w:rsid w:val="005C32BD"/>
    <w:rsid w:val="005C3936"/>
    <w:rsid w:val="005C510C"/>
    <w:rsid w:val="005C5C9C"/>
    <w:rsid w:val="005C5F44"/>
    <w:rsid w:val="005C64F3"/>
    <w:rsid w:val="005C7409"/>
    <w:rsid w:val="005C75DF"/>
    <w:rsid w:val="005C7792"/>
    <w:rsid w:val="005D0874"/>
    <w:rsid w:val="005D0BB1"/>
    <w:rsid w:val="005D1A5B"/>
    <w:rsid w:val="005D20A4"/>
    <w:rsid w:val="005D2C6A"/>
    <w:rsid w:val="005D3894"/>
    <w:rsid w:val="005D3A62"/>
    <w:rsid w:val="005D4977"/>
    <w:rsid w:val="005D499A"/>
    <w:rsid w:val="005D4CB0"/>
    <w:rsid w:val="005D4E0A"/>
    <w:rsid w:val="005D5909"/>
    <w:rsid w:val="005D5D4B"/>
    <w:rsid w:val="005D5E02"/>
    <w:rsid w:val="005D5EB1"/>
    <w:rsid w:val="005D6B1D"/>
    <w:rsid w:val="005D78FB"/>
    <w:rsid w:val="005D7A95"/>
    <w:rsid w:val="005E006E"/>
    <w:rsid w:val="005E03AE"/>
    <w:rsid w:val="005E37DB"/>
    <w:rsid w:val="005E4370"/>
    <w:rsid w:val="005E4AC5"/>
    <w:rsid w:val="005E585B"/>
    <w:rsid w:val="005E5934"/>
    <w:rsid w:val="005E6AFC"/>
    <w:rsid w:val="005F1287"/>
    <w:rsid w:val="005F3751"/>
    <w:rsid w:val="005F37AF"/>
    <w:rsid w:val="005F3CAD"/>
    <w:rsid w:val="005F3CF4"/>
    <w:rsid w:val="005F428B"/>
    <w:rsid w:val="005F5CA7"/>
    <w:rsid w:val="005F6CFD"/>
    <w:rsid w:val="005F6E02"/>
    <w:rsid w:val="00601439"/>
    <w:rsid w:val="006014E2"/>
    <w:rsid w:val="00601ADB"/>
    <w:rsid w:val="00602B84"/>
    <w:rsid w:val="00603A6D"/>
    <w:rsid w:val="00604321"/>
    <w:rsid w:val="00604490"/>
    <w:rsid w:val="006048D2"/>
    <w:rsid w:val="00604B25"/>
    <w:rsid w:val="00604EB1"/>
    <w:rsid w:val="006053AD"/>
    <w:rsid w:val="006078B9"/>
    <w:rsid w:val="00607FA7"/>
    <w:rsid w:val="0061176D"/>
    <w:rsid w:val="0061295E"/>
    <w:rsid w:val="006129B0"/>
    <w:rsid w:val="00612A2F"/>
    <w:rsid w:val="00613A8B"/>
    <w:rsid w:val="00613CA5"/>
    <w:rsid w:val="00614B1F"/>
    <w:rsid w:val="00615797"/>
    <w:rsid w:val="0061655F"/>
    <w:rsid w:val="00616EBD"/>
    <w:rsid w:val="00616FFA"/>
    <w:rsid w:val="006179EB"/>
    <w:rsid w:val="00617B2E"/>
    <w:rsid w:val="00620480"/>
    <w:rsid w:val="00620969"/>
    <w:rsid w:val="00621186"/>
    <w:rsid w:val="00621A5D"/>
    <w:rsid w:val="00621CEB"/>
    <w:rsid w:val="00621E80"/>
    <w:rsid w:val="006226B3"/>
    <w:rsid w:val="00623286"/>
    <w:rsid w:val="00623538"/>
    <w:rsid w:val="00623A97"/>
    <w:rsid w:val="006246F1"/>
    <w:rsid w:val="00624B4F"/>
    <w:rsid w:val="00625852"/>
    <w:rsid w:val="00625C6F"/>
    <w:rsid w:val="00626354"/>
    <w:rsid w:val="006276F9"/>
    <w:rsid w:val="0063088F"/>
    <w:rsid w:val="006313C9"/>
    <w:rsid w:val="00633282"/>
    <w:rsid w:val="00633B88"/>
    <w:rsid w:val="0063455E"/>
    <w:rsid w:val="00635AE0"/>
    <w:rsid w:val="00635EA6"/>
    <w:rsid w:val="0063620D"/>
    <w:rsid w:val="0063737B"/>
    <w:rsid w:val="00637491"/>
    <w:rsid w:val="0064071F"/>
    <w:rsid w:val="00641BB1"/>
    <w:rsid w:val="00642EC7"/>
    <w:rsid w:val="006438C3"/>
    <w:rsid w:val="0064441B"/>
    <w:rsid w:val="006451A5"/>
    <w:rsid w:val="00645499"/>
    <w:rsid w:val="00645E68"/>
    <w:rsid w:val="0064669B"/>
    <w:rsid w:val="006469BB"/>
    <w:rsid w:val="0065073C"/>
    <w:rsid w:val="00650B9D"/>
    <w:rsid w:val="00650D3B"/>
    <w:rsid w:val="00651549"/>
    <w:rsid w:val="0065267B"/>
    <w:rsid w:val="00654733"/>
    <w:rsid w:val="00654B56"/>
    <w:rsid w:val="00655143"/>
    <w:rsid w:val="006556EB"/>
    <w:rsid w:val="006570FE"/>
    <w:rsid w:val="006609A2"/>
    <w:rsid w:val="006611C4"/>
    <w:rsid w:val="006612FE"/>
    <w:rsid w:val="0066151D"/>
    <w:rsid w:val="00661B1B"/>
    <w:rsid w:val="0066242E"/>
    <w:rsid w:val="00663103"/>
    <w:rsid w:val="00664BBB"/>
    <w:rsid w:val="006654AE"/>
    <w:rsid w:val="00665552"/>
    <w:rsid w:val="006668BA"/>
    <w:rsid w:val="006675A4"/>
    <w:rsid w:val="00667B75"/>
    <w:rsid w:val="00670DD7"/>
    <w:rsid w:val="00671320"/>
    <w:rsid w:val="006729C3"/>
    <w:rsid w:val="00673108"/>
    <w:rsid w:val="006731D7"/>
    <w:rsid w:val="00674436"/>
    <w:rsid w:val="00674B1D"/>
    <w:rsid w:val="00674B52"/>
    <w:rsid w:val="0067500A"/>
    <w:rsid w:val="00675482"/>
    <w:rsid w:val="00675D65"/>
    <w:rsid w:val="00677792"/>
    <w:rsid w:val="0068129D"/>
    <w:rsid w:val="00685EA1"/>
    <w:rsid w:val="00686954"/>
    <w:rsid w:val="00687E7F"/>
    <w:rsid w:val="00690479"/>
    <w:rsid w:val="00690540"/>
    <w:rsid w:val="006907CC"/>
    <w:rsid w:val="0069130F"/>
    <w:rsid w:val="006917AC"/>
    <w:rsid w:val="0069244A"/>
    <w:rsid w:val="006930B5"/>
    <w:rsid w:val="00693448"/>
    <w:rsid w:val="006935FF"/>
    <w:rsid w:val="0069363C"/>
    <w:rsid w:val="00693640"/>
    <w:rsid w:val="00693975"/>
    <w:rsid w:val="00693BD5"/>
    <w:rsid w:val="006966C2"/>
    <w:rsid w:val="0069728C"/>
    <w:rsid w:val="00697429"/>
    <w:rsid w:val="00697E19"/>
    <w:rsid w:val="006A001C"/>
    <w:rsid w:val="006A0125"/>
    <w:rsid w:val="006A035A"/>
    <w:rsid w:val="006A0F1D"/>
    <w:rsid w:val="006A0F65"/>
    <w:rsid w:val="006A52D7"/>
    <w:rsid w:val="006A54C0"/>
    <w:rsid w:val="006A5D58"/>
    <w:rsid w:val="006A6109"/>
    <w:rsid w:val="006A677C"/>
    <w:rsid w:val="006A67E4"/>
    <w:rsid w:val="006A6B9D"/>
    <w:rsid w:val="006A6C25"/>
    <w:rsid w:val="006B03CD"/>
    <w:rsid w:val="006B08BC"/>
    <w:rsid w:val="006B0901"/>
    <w:rsid w:val="006B2643"/>
    <w:rsid w:val="006B2B8C"/>
    <w:rsid w:val="006B338C"/>
    <w:rsid w:val="006B370F"/>
    <w:rsid w:val="006B4075"/>
    <w:rsid w:val="006B48C2"/>
    <w:rsid w:val="006B4CBA"/>
    <w:rsid w:val="006B5C82"/>
    <w:rsid w:val="006B60FB"/>
    <w:rsid w:val="006B6AB8"/>
    <w:rsid w:val="006B6EA5"/>
    <w:rsid w:val="006B7575"/>
    <w:rsid w:val="006B75BE"/>
    <w:rsid w:val="006B7DB7"/>
    <w:rsid w:val="006C19C5"/>
    <w:rsid w:val="006C39E3"/>
    <w:rsid w:val="006C3A87"/>
    <w:rsid w:val="006C4CEF"/>
    <w:rsid w:val="006C5CC1"/>
    <w:rsid w:val="006C7356"/>
    <w:rsid w:val="006C7A00"/>
    <w:rsid w:val="006C7E0C"/>
    <w:rsid w:val="006D0106"/>
    <w:rsid w:val="006D01DD"/>
    <w:rsid w:val="006D01F5"/>
    <w:rsid w:val="006D0F3F"/>
    <w:rsid w:val="006D0F8B"/>
    <w:rsid w:val="006D1C8C"/>
    <w:rsid w:val="006D35AD"/>
    <w:rsid w:val="006D48C7"/>
    <w:rsid w:val="006D4BB4"/>
    <w:rsid w:val="006D5033"/>
    <w:rsid w:val="006D5162"/>
    <w:rsid w:val="006D65F1"/>
    <w:rsid w:val="006D7249"/>
    <w:rsid w:val="006D7AD1"/>
    <w:rsid w:val="006E0823"/>
    <w:rsid w:val="006E11AE"/>
    <w:rsid w:val="006E19F4"/>
    <w:rsid w:val="006E1A1F"/>
    <w:rsid w:val="006E2674"/>
    <w:rsid w:val="006E2923"/>
    <w:rsid w:val="006E2E96"/>
    <w:rsid w:val="006E389C"/>
    <w:rsid w:val="006E403A"/>
    <w:rsid w:val="006E41D2"/>
    <w:rsid w:val="006E41E9"/>
    <w:rsid w:val="006E464D"/>
    <w:rsid w:val="006E4A6A"/>
    <w:rsid w:val="006E60B1"/>
    <w:rsid w:val="006E73F3"/>
    <w:rsid w:val="006E79E3"/>
    <w:rsid w:val="006F1039"/>
    <w:rsid w:val="006F1C82"/>
    <w:rsid w:val="006F2359"/>
    <w:rsid w:val="006F4594"/>
    <w:rsid w:val="006F51A8"/>
    <w:rsid w:val="006F5AC8"/>
    <w:rsid w:val="00700B90"/>
    <w:rsid w:val="0070154D"/>
    <w:rsid w:val="0070184E"/>
    <w:rsid w:val="007021C9"/>
    <w:rsid w:val="007029BF"/>
    <w:rsid w:val="00702E57"/>
    <w:rsid w:val="00703259"/>
    <w:rsid w:val="0070389F"/>
    <w:rsid w:val="00703C2F"/>
    <w:rsid w:val="00703FAC"/>
    <w:rsid w:val="0070458C"/>
    <w:rsid w:val="00704D37"/>
    <w:rsid w:val="00705E89"/>
    <w:rsid w:val="00706B2C"/>
    <w:rsid w:val="00707369"/>
    <w:rsid w:val="007074F9"/>
    <w:rsid w:val="007100B6"/>
    <w:rsid w:val="00710C92"/>
    <w:rsid w:val="007117AC"/>
    <w:rsid w:val="007139E8"/>
    <w:rsid w:val="00713F38"/>
    <w:rsid w:val="0071492E"/>
    <w:rsid w:val="00714C0B"/>
    <w:rsid w:val="00714DBA"/>
    <w:rsid w:val="00715932"/>
    <w:rsid w:val="00715E12"/>
    <w:rsid w:val="00716516"/>
    <w:rsid w:val="007166B5"/>
    <w:rsid w:val="00717062"/>
    <w:rsid w:val="00717963"/>
    <w:rsid w:val="007209A2"/>
    <w:rsid w:val="00725E19"/>
    <w:rsid w:val="007260DE"/>
    <w:rsid w:val="00726E45"/>
    <w:rsid w:val="00727AE4"/>
    <w:rsid w:val="007308CD"/>
    <w:rsid w:val="007313AF"/>
    <w:rsid w:val="00731E17"/>
    <w:rsid w:val="007328A2"/>
    <w:rsid w:val="00734B9C"/>
    <w:rsid w:val="00735347"/>
    <w:rsid w:val="00735CDB"/>
    <w:rsid w:val="0073624B"/>
    <w:rsid w:val="0073629A"/>
    <w:rsid w:val="0073637A"/>
    <w:rsid w:val="00740528"/>
    <w:rsid w:val="00740746"/>
    <w:rsid w:val="00741A28"/>
    <w:rsid w:val="00741C2D"/>
    <w:rsid w:val="0074299F"/>
    <w:rsid w:val="00743DC2"/>
    <w:rsid w:val="00743DEE"/>
    <w:rsid w:val="00744785"/>
    <w:rsid w:val="00744CA0"/>
    <w:rsid w:val="00746462"/>
    <w:rsid w:val="00746673"/>
    <w:rsid w:val="00750025"/>
    <w:rsid w:val="0075060B"/>
    <w:rsid w:val="00750973"/>
    <w:rsid w:val="00750D0E"/>
    <w:rsid w:val="00751B61"/>
    <w:rsid w:val="0075308B"/>
    <w:rsid w:val="007540CB"/>
    <w:rsid w:val="00755F62"/>
    <w:rsid w:val="00755FEA"/>
    <w:rsid w:val="007560AE"/>
    <w:rsid w:val="007565C9"/>
    <w:rsid w:val="0076136E"/>
    <w:rsid w:val="00761F0C"/>
    <w:rsid w:val="0076364E"/>
    <w:rsid w:val="00763F4F"/>
    <w:rsid w:val="00766351"/>
    <w:rsid w:val="00767163"/>
    <w:rsid w:val="007675A5"/>
    <w:rsid w:val="00767B77"/>
    <w:rsid w:val="007704F5"/>
    <w:rsid w:val="007709C6"/>
    <w:rsid w:val="00770A77"/>
    <w:rsid w:val="00770E5D"/>
    <w:rsid w:val="00770F78"/>
    <w:rsid w:val="007716EB"/>
    <w:rsid w:val="00771B89"/>
    <w:rsid w:val="0077384D"/>
    <w:rsid w:val="00775463"/>
    <w:rsid w:val="007756DC"/>
    <w:rsid w:val="00775991"/>
    <w:rsid w:val="00775FCF"/>
    <w:rsid w:val="00776436"/>
    <w:rsid w:val="007807AC"/>
    <w:rsid w:val="007809C1"/>
    <w:rsid w:val="00785C3F"/>
    <w:rsid w:val="007866F3"/>
    <w:rsid w:val="00786A6F"/>
    <w:rsid w:val="00786C27"/>
    <w:rsid w:val="00787B21"/>
    <w:rsid w:val="00790A40"/>
    <w:rsid w:val="00790FDF"/>
    <w:rsid w:val="00792C36"/>
    <w:rsid w:val="00793FED"/>
    <w:rsid w:val="00794D01"/>
    <w:rsid w:val="007950F3"/>
    <w:rsid w:val="00795F6C"/>
    <w:rsid w:val="00796393"/>
    <w:rsid w:val="007963BF"/>
    <w:rsid w:val="00796CBE"/>
    <w:rsid w:val="00796D3C"/>
    <w:rsid w:val="007A0104"/>
    <w:rsid w:val="007A127E"/>
    <w:rsid w:val="007A25B5"/>
    <w:rsid w:val="007A2B14"/>
    <w:rsid w:val="007A385A"/>
    <w:rsid w:val="007A4604"/>
    <w:rsid w:val="007A53B2"/>
    <w:rsid w:val="007A5F68"/>
    <w:rsid w:val="007A7275"/>
    <w:rsid w:val="007A736F"/>
    <w:rsid w:val="007A765E"/>
    <w:rsid w:val="007B3419"/>
    <w:rsid w:val="007B3791"/>
    <w:rsid w:val="007B37F0"/>
    <w:rsid w:val="007B4FE8"/>
    <w:rsid w:val="007B533C"/>
    <w:rsid w:val="007B5426"/>
    <w:rsid w:val="007B550A"/>
    <w:rsid w:val="007B55C9"/>
    <w:rsid w:val="007B58C5"/>
    <w:rsid w:val="007B5FFA"/>
    <w:rsid w:val="007B70CF"/>
    <w:rsid w:val="007B74E5"/>
    <w:rsid w:val="007C00FF"/>
    <w:rsid w:val="007C1999"/>
    <w:rsid w:val="007C1A58"/>
    <w:rsid w:val="007C3512"/>
    <w:rsid w:val="007C3586"/>
    <w:rsid w:val="007C3C13"/>
    <w:rsid w:val="007C4A81"/>
    <w:rsid w:val="007C5509"/>
    <w:rsid w:val="007C61C6"/>
    <w:rsid w:val="007C66EE"/>
    <w:rsid w:val="007C6AA1"/>
    <w:rsid w:val="007C6B58"/>
    <w:rsid w:val="007C6C2A"/>
    <w:rsid w:val="007C6E30"/>
    <w:rsid w:val="007C6FDD"/>
    <w:rsid w:val="007C7277"/>
    <w:rsid w:val="007C72C9"/>
    <w:rsid w:val="007C7A1B"/>
    <w:rsid w:val="007D02D5"/>
    <w:rsid w:val="007D0874"/>
    <w:rsid w:val="007D0980"/>
    <w:rsid w:val="007D318B"/>
    <w:rsid w:val="007D4923"/>
    <w:rsid w:val="007D541E"/>
    <w:rsid w:val="007D5667"/>
    <w:rsid w:val="007D6438"/>
    <w:rsid w:val="007D64D8"/>
    <w:rsid w:val="007D79B3"/>
    <w:rsid w:val="007E08D8"/>
    <w:rsid w:val="007E10AF"/>
    <w:rsid w:val="007E1680"/>
    <w:rsid w:val="007E190F"/>
    <w:rsid w:val="007E1FB0"/>
    <w:rsid w:val="007E449B"/>
    <w:rsid w:val="007E5270"/>
    <w:rsid w:val="007E5E0D"/>
    <w:rsid w:val="007E5F25"/>
    <w:rsid w:val="007E692A"/>
    <w:rsid w:val="007E7268"/>
    <w:rsid w:val="007E7792"/>
    <w:rsid w:val="007E783C"/>
    <w:rsid w:val="007E7B58"/>
    <w:rsid w:val="007F0DA1"/>
    <w:rsid w:val="007F246B"/>
    <w:rsid w:val="007F2ABD"/>
    <w:rsid w:val="007F2C2C"/>
    <w:rsid w:val="007F3112"/>
    <w:rsid w:val="007F4132"/>
    <w:rsid w:val="007F4CA8"/>
    <w:rsid w:val="007F5278"/>
    <w:rsid w:val="007F5E14"/>
    <w:rsid w:val="007F6B33"/>
    <w:rsid w:val="007F73B5"/>
    <w:rsid w:val="007F7F91"/>
    <w:rsid w:val="008022DE"/>
    <w:rsid w:val="00803E5A"/>
    <w:rsid w:val="00803FCB"/>
    <w:rsid w:val="00804351"/>
    <w:rsid w:val="00805EF8"/>
    <w:rsid w:val="008062E4"/>
    <w:rsid w:val="008102EE"/>
    <w:rsid w:val="00810723"/>
    <w:rsid w:val="00811FD4"/>
    <w:rsid w:val="00812590"/>
    <w:rsid w:val="00813308"/>
    <w:rsid w:val="00813E21"/>
    <w:rsid w:val="00813F28"/>
    <w:rsid w:val="00813F90"/>
    <w:rsid w:val="008140BA"/>
    <w:rsid w:val="008157E8"/>
    <w:rsid w:val="00815908"/>
    <w:rsid w:val="00815B78"/>
    <w:rsid w:val="008161DD"/>
    <w:rsid w:val="008169CD"/>
    <w:rsid w:val="00816BA4"/>
    <w:rsid w:val="00820206"/>
    <w:rsid w:val="00820F8D"/>
    <w:rsid w:val="0082130D"/>
    <w:rsid w:val="0082187E"/>
    <w:rsid w:val="00822234"/>
    <w:rsid w:val="00822F5F"/>
    <w:rsid w:val="00822FBC"/>
    <w:rsid w:val="0082345B"/>
    <w:rsid w:val="00823AFE"/>
    <w:rsid w:val="00823BA5"/>
    <w:rsid w:val="008241FE"/>
    <w:rsid w:val="0082443D"/>
    <w:rsid w:val="00824CA2"/>
    <w:rsid w:val="008258EC"/>
    <w:rsid w:val="00825CFC"/>
    <w:rsid w:val="0082628C"/>
    <w:rsid w:val="00827228"/>
    <w:rsid w:val="008274FA"/>
    <w:rsid w:val="00827A74"/>
    <w:rsid w:val="0083147B"/>
    <w:rsid w:val="008317FA"/>
    <w:rsid w:val="00831D60"/>
    <w:rsid w:val="00831FC2"/>
    <w:rsid w:val="00832082"/>
    <w:rsid w:val="00832AAD"/>
    <w:rsid w:val="008339D2"/>
    <w:rsid w:val="0083476A"/>
    <w:rsid w:val="008348EF"/>
    <w:rsid w:val="00834A5B"/>
    <w:rsid w:val="00834B10"/>
    <w:rsid w:val="008354D9"/>
    <w:rsid w:val="00835C2A"/>
    <w:rsid w:val="00836256"/>
    <w:rsid w:val="0083773A"/>
    <w:rsid w:val="008377C8"/>
    <w:rsid w:val="0083784C"/>
    <w:rsid w:val="00840943"/>
    <w:rsid w:val="00841A8A"/>
    <w:rsid w:val="008428C8"/>
    <w:rsid w:val="00842CFA"/>
    <w:rsid w:val="00842ECF"/>
    <w:rsid w:val="0084303D"/>
    <w:rsid w:val="00843315"/>
    <w:rsid w:val="0084354C"/>
    <w:rsid w:val="0084451B"/>
    <w:rsid w:val="00844FB6"/>
    <w:rsid w:val="00845085"/>
    <w:rsid w:val="00846875"/>
    <w:rsid w:val="00847107"/>
    <w:rsid w:val="00850381"/>
    <w:rsid w:val="00850A92"/>
    <w:rsid w:val="00850D18"/>
    <w:rsid w:val="00852398"/>
    <w:rsid w:val="00852B5F"/>
    <w:rsid w:val="008544F8"/>
    <w:rsid w:val="008562F8"/>
    <w:rsid w:val="00856635"/>
    <w:rsid w:val="00856E7A"/>
    <w:rsid w:val="0085760A"/>
    <w:rsid w:val="0086012E"/>
    <w:rsid w:val="00860F14"/>
    <w:rsid w:val="00861941"/>
    <w:rsid w:val="00861F12"/>
    <w:rsid w:val="0086211B"/>
    <w:rsid w:val="00863572"/>
    <w:rsid w:val="00864327"/>
    <w:rsid w:val="00866606"/>
    <w:rsid w:val="00867371"/>
    <w:rsid w:val="00867FDF"/>
    <w:rsid w:val="0087099F"/>
    <w:rsid w:val="0087123B"/>
    <w:rsid w:val="00871845"/>
    <w:rsid w:val="00872647"/>
    <w:rsid w:val="00873689"/>
    <w:rsid w:val="00873ACF"/>
    <w:rsid w:val="00875340"/>
    <w:rsid w:val="00876BD9"/>
    <w:rsid w:val="00877137"/>
    <w:rsid w:val="00877F5A"/>
    <w:rsid w:val="008801C6"/>
    <w:rsid w:val="008801D8"/>
    <w:rsid w:val="00881526"/>
    <w:rsid w:val="00881538"/>
    <w:rsid w:val="00881E6D"/>
    <w:rsid w:val="008822F1"/>
    <w:rsid w:val="00882700"/>
    <w:rsid w:val="008830D7"/>
    <w:rsid w:val="00883ABA"/>
    <w:rsid w:val="00885769"/>
    <w:rsid w:val="008869E8"/>
    <w:rsid w:val="00890064"/>
    <w:rsid w:val="008904FD"/>
    <w:rsid w:val="00890CD0"/>
    <w:rsid w:val="00890D24"/>
    <w:rsid w:val="008921B2"/>
    <w:rsid w:val="00892467"/>
    <w:rsid w:val="0089253B"/>
    <w:rsid w:val="00892731"/>
    <w:rsid w:val="00892B43"/>
    <w:rsid w:val="0089355A"/>
    <w:rsid w:val="0089411A"/>
    <w:rsid w:val="008973E8"/>
    <w:rsid w:val="00897666"/>
    <w:rsid w:val="008A1B59"/>
    <w:rsid w:val="008A1BDB"/>
    <w:rsid w:val="008A2DAE"/>
    <w:rsid w:val="008A49D2"/>
    <w:rsid w:val="008A6093"/>
    <w:rsid w:val="008A6934"/>
    <w:rsid w:val="008B04E3"/>
    <w:rsid w:val="008B1DB9"/>
    <w:rsid w:val="008B2A47"/>
    <w:rsid w:val="008B307E"/>
    <w:rsid w:val="008B4431"/>
    <w:rsid w:val="008B4755"/>
    <w:rsid w:val="008B576A"/>
    <w:rsid w:val="008B5832"/>
    <w:rsid w:val="008B653C"/>
    <w:rsid w:val="008B73F0"/>
    <w:rsid w:val="008B743D"/>
    <w:rsid w:val="008C07F4"/>
    <w:rsid w:val="008C0D0D"/>
    <w:rsid w:val="008C150B"/>
    <w:rsid w:val="008C2365"/>
    <w:rsid w:val="008C25E9"/>
    <w:rsid w:val="008C474C"/>
    <w:rsid w:val="008C47A4"/>
    <w:rsid w:val="008C61A6"/>
    <w:rsid w:val="008C62A1"/>
    <w:rsid w:val="008C64A3"/>
    <w:rsid w:val="008C6637"/>
    <w:rsid w:val="008C7106"/>
    <w:rsid w:val="008C7184"/>
    <w:rsid w:val="008C7708"/>
    <w:rsid w:val="008D1B06"/>
    <w:rsid w:val="008D2547"/>
    <w:rsid w:val="008D4284"/>
    <w:rsid w:val="008D4C3A"/>
    <w:rsid w:val="008D5880"/>
    <w:rsid w:val="008D642D"/>
    <w:rsid w:val="008D7702"/>
    <w:rsid w:val="008D79C5"/>
    <w:rsid w:val="008D7AE3"/>
    <w:rsid w:val="008D7BD3"/>
    <w:rsid w:val="008D7F35"/>
    <w:rsid w:val="008E0EC8"/>
    <w:rsid w:val="008E164D"/>
    <w:rsid w:val="008E17C9"/>
    <w:rsid w:val="008E1D77"/>
    <w:rsid w:val="008E235A"/>
    <w:rsid w:val="008E28B2"/>
    <w:rsid w:val="008E2A50"/>
    <w:rsid w:val="008E2F0C"/>
    <w:rsid w:val="008E3262"/>
    <w:rsid w:val="008E38B2"/>
    <w:rsid w:val="008E3E2D"/>
    <w:rsid w:val="008E50E4"/>
    <w:rsid w:val="008E5299"/>
    <w:rsid w:val="008E5FE4"/>
    <w:rsid w:val="008E6A60"/>
    <w:rsid w:val="008E738E"/>
    <w:rsid w:val="008F0499"/>
    <w:rsid w:val="008F0D04"/>
    <w:rsid w:val="008F120D"/>
    <w:rsid w:val="008F2A92"/>
    <w:rsid w:val="008F2C6E"/>
    <w:rsid w:val="008F3FEE"/>
    <w:rsid w:val="008F5CB1"/>
    <w:rsid w:val="008F68FF"/>
    <w:rsid w:val="008F691D"/>
    <w:rsid w:val="008F6A3C"/>
    <w:rsid w:val="008F6B1B"/>
    <w:rsid w:val="008F6B4F"/>
    <w:rsid w:val="008F6BC5"/>
    <w:rsid w:val="008F701C"/>
    <w:rsid w:val="008F799A"/>
    <w:rsid w:val="008F79E2"/>
    <w:rsid w:val="008F7BF2"/>
    <w:rsid w:val="008F7F19"/>
    <w:rsid w:val="009009F8"/>
    <w:rsid w:val="00901D9B"/>
    <w:rsid w:val="00903522"/>
    <w:rsid w:val="00903D4D"/>
    <w:rsid w:val="009045F8"/>
    <w:rsid w:val="0090525E"/>
    <w:rsid w:val="00905DFD"/>
    <w:rsid w:val="00906FBA"/>
    <w:rsid w:val="00907E96"/>
    <w:rsid w:val="00907EAB"/>
    <w:rsid w:val="00911383"/>
    <w:rsid w:val="009120D6"/>
    <w:rsid w:val="00913B55"/>
    <w:rsid w:val="00914BA4"/>
    <w:rsid w:val="00914CDC"/>
    <w:rsid w:val="00915102"/>
    <w:rsid w:val="009151DE"/>
    <w:rsid w:val="009155EE"/>
    <w:rsid w:val="0091688C"/>
    <w:rsid w:val="009204DE"/>
    <w:rsid w:val="0092089F"/>
    <w:rsid w:val="00920B20"/>
    <w:rsid w:val="00920FB1"/>
    <w:rsid w:val="009210B0"/>
    <w:rsid w:val="0092217A"/>
    <w:rsid w:val="0092267A"/>
    <w:rsid w:val="00922B52"/>
    <w:rsid w:val="009231A8"/>
    <w:rsid w:val="00924070"/>
    <w:rsid w:val="009246F2"/>
    <w:rsid w:val="00924C42"/>
    <w:rsid w:val="0092563A"/>
    <w:rsid w:val="0092570A"/>
    <w:rsid w:val="00925BDD"/>
    <w:rsid w:val="00925F70"/>
    <w:rsid w:val="009265C7"/>
    <w:rsid w:val="0092673E"/>
    <w:rsid w:val="00926CFA"/>
    <w:rsid w:val="00927002"/>
    <w:rsid w:val="00927494"/>
    <w:rsid w:val="00927613"/>
    <w:rsid w:val="009302AA"/>
    <w:rsid w:val="00930B15"/>
    <w:rsid w:val="009325F3"/>
    <w:rsid w:val="00933DB3"/>
    <w:rsid w:val="0093403A"/>
    <w:rsid w:val="0093531B"/>
    <w:rsid w:val="00936A88"/>
    <w:rsid w:val="00936B9E"/>
    <w:rsid w:val="00940053"/>
    <w:rsid w:val="0094017B"/>
    <w:rsid w:val="00940D75"/>
    <w:rsid w:val="00941698"/>
    <w:rsid w:val="00942707"/>
    <w:rsid w:val="0094459C"/>
    <w:rsid w:val="00944BE0"/>
    <w:rsid w:val="00945EF0"/>
    <w:rsid w:val="00945F01"/>
    <w:rsid w:val="009463DC"/>
    <w:rsid w:val="00946EDE"/>
    <w:rsid w:val="00946FCF"/>
    <w:rsid w:val="009475DD"/>
    <w:rsid w:val="00947A5D"/>
    <w:rsid w:val="00947C9F"/>
    <w:rsid w:val="00947F2B"/>
    <w:rsid w:val="009513CF"/>
    <w:rsid w:val="00954934"/>
    <w:rsid w:val="00956CA8"/>
    <w:rsid w:val="00957519"/>
    <w:rsid w:val="00957DD6"/>
    <w:rsid w:val="00961236"/>
    <w:rsid w:val="009616E3"/>
    <w:rsid w:val="00961B69"/>
    <w:rsid w:val="00961E72"/>
    <w:rsid w:val="0096282B"/>
    <w:rsid w:val="00962BC7"/>
    <w:rsid w:val="00962D30"/>
    <w:rsid w:val="00964728"/>
    <w:rsid w:val="00964D12"/>
    <w:rsid w:val="00964F5C"/>
    <w:rsid w:val="00965342"/>
    <w:rsid w:val="0096553B"/>
    <w:rsid w:val="00965B3B"/>
    <w:rsid w:val="00965FDB"/>
    <w:rsid w:val="009662B2"/>
    <w:rsid w:val="00966F6E"/>
    <w:rsid w:val="00970272"/>
    <w:rsid w:val="00970531"/>
    <w:rsid w:val="00970855"/>
    <w:rsid w:val="00971CC0"/>
    <w:rsid w:val="00972192"/>
    <w:rsid w:val="0097223B"/>
    <w:rsid w:val="009733A5"/>
    <w:rsid w:val="00973B0E"/>
    <w:rsid w:val="00974852"/>
    <w:rsid w:val="00974DB5"/>
    <w:rsid w:val="0097508D"/>
    <w:rsid w:val="00975C45"/>
    <w:rsid w:val="00975CA6"/>
    <w:rsid w:val="009763AB"/>
    <w:rsid w:val="0097644B"/>
    <w:rsid w:val="009770B6"/>
    <w:rsid w:val="00980138"/>
    <w:rsid w:val="009808AB"/>
    <w:rsid w:val="00980F75"/>
    <w:rsid w:val="0098191A"/>
    <w:rsid w:val="009819D3"/>
    <w:rsid w:val="00981F09"/>
    <w:rsid w:val="0098223F"/>
    <w:rsid w:val="0098381E"/>
    <w:rsid w:val="00983C16"/>
    <w:rsid w:val="00983DE7"/>
    <w:rsid w:val="00985A66"/>
    <w:rsid w:val="0098749F"/>
    <w:rsid w:val="00987668"/>
    <w:rsid w:val="009908DC"/>
    <w:rsid w:val="00991368"/>
    <w:rsid w:val="00991AE9"/>
    <w:rsid w:val="00992276"/>
    <w:rsid w:val="0099275D"/>
    <w:rsid w:val="00992C34"/>
    <w:rsid w:val="00993132"/>
    <w:rsid w:val="00993EC2"/>
    <w:rsid w:val="0099447A"/>
    <w:rsid w:val="00995011"/>
    <w:rsid w:val="009955D8"/>
    <w:rsid w:val="009958D3"/>
    <w:rsid w:val="00995FCA"/>
    <w:rsid w:val="00996FF9"/>
    <w:rsid w:val="009977A7"/>
    <w:rsid w:val="00997BC1"/>
    <w:rsid w:val="009A03DD"/>
    <w:rsid w:val="009A15F1"/>
    <w:rsid w:val="009A19E5"/>
    <w:rsid w:val="009A2342"/>
    <w:rsid w:val="009A2399"/>
    <w:rsid w:val="009A25CC"/>
    <w:rsid w:val="009A3332"/>
    <w:rsid w:val="009A374C"/>
    <w:rsid w:val="009A3FCB"/>
    <w:rsid w:val="009A42BD"/>
    <w:rsid w:val="009A4855"/>
    <w:rsid w:val="009A504A"/>
    <w:rsid w:val="009A54E9"/>
    <w:rsid w:val="009A5FF3"/>
    <w:rsid w:val="009A6843"/>
    <w:rsid w:val="009A6AD0"/>
    <w:rsid w:val="009A6BD9"/>
    <w:rsid w:val="009A6E16"/>
    <w:rsid w:val="009B3803"/>
    <w:rsid w:val="009B401A"/>
    <w:rsid w:val="009B413C"/>
    <w:rsid w:val="009B4255"/>
    <w:rsid w:val="009B4C10"/>
    <w:rsid w:val="009B4DCC"/>
    <w:rsid w:val="009B628B"/>
    <w:rsid w:val="009B6C4A"/>
    <w:rsid w:val="009B6D44"/>
    <w:rsid w:val="009B6EB4"/>
    <w:rsid w:val="009C0476"/>
    <w:rsid w:val="009C1286"/>
    <w:rsid w:val="009C46C3"/>
    <w:rsid w:val="009C48C3"/>
    <w:rsid w:val="009C4C77"/>
    <w:rsid w:val="009C52FE"/>
    <w:rsid w:val="009C56D9"/>
    <w:rsid w:val="009C6BB1"/>
    <w:rsid w:val="009C7236"/>
    <w:rsid w:val="009D0C55"/>
    <w:rsid w:val="009D181B"/>
    <w:rsid w:val="009D1B9B"/>
    <w:rsid w:val="009D1BBC"/>
    <w:rsid w:val="009D211D"/>
    <w:rsid w:val="009D215F"/>
    <w:rsid w:val="009D250C"/>
    <w:rsid w:val="009D2A21"/>
    <w:rsid w:val="009D3D9C"/>
    <w:rsid w:val="009D4BC6"/>
    <w:rsid w:val="009D4F92"/>
    <w:rsid w:val="009D5F5E"/>
    <w:rsid w:val="009D63F6"/>
    <w:rsid w:val="009D6468"/>
    <w:rsid w:val="009D6F05"/>
    <w:rsid w:val="009E07EA"/>
    <w:rsid w:val="009E2702"/>
    <w:rsid w:val="009E4C83"/>
    <w:rsid w:val="009E6EB6"/>
    <w:rsid w:val="009F04F0"/>
    <w:rsid w:val="009F07BA"/>
    <w:rsid w:val="009F0B46"/>
    <w:rsid w:val="009F0C5C"/>
    <w:rsid w:val="009F0ED4"/>
    <w:rsid w:val="009F10D6"/>
    <w:rsid w:val="009F20E7"/>
    <w:rsid w:val="009F2D4A"/>
    <w:rsid w:val="009F33AC"/>
    <w:rsid w:val="009F3BAB"/>
    <w:rsid w:val="009F3D66"/>
    <w:rsid w:val="009F3DF5"/>
    <w:rsid w:val="009F64F0"/>
    <w:rsid w:val="009F6DAF"/>
    <w:rsid w:val="009F7C1A"/>
    <w:rsid w:val="009F7C2B"/>
    <w:rsid w:val="00A00290"/>
    <w:rsid w:val="00A002D9"/>
    <w:rsid w:val="00A01291"/>
    <w:rsid w:val="00A01826"/>
    <w:rsid w:val="00A02695"/>
    <w:rsid w:val="00A02FE0"/>
    <w:rsid w:val="00A03393"/>
    <w:rsid w:val="00A037A1"/>
    <w:rsid w:val="00A04288"/>
    <w:rsid w:val="00A059B0"/>
    <w:rsid w:val="00A0618E"/>
    <w:rsid w:val="00A06467"/>
    <w:rsid w:val="00A071EE"/>
    <w:rsid w:val="00A07B4E"/>
    <w:rsid w:val="00A07F19"/>
    <w:rsid w:val="00A11787"/>
    <w:rsid w:val="00A12C49"/>
    <w:rsid w:val="00A12E9B"/>
    <w:rsid w:val="00A13DF7"/>
    <w:rsid w:val="00A15D04"/>
    <w:rsid w:val="00A1607F"/>
    <w:rsid w:val="00A16B52"/>
    <w:rsid w:val="00A205D8"/>
    <w:rsid w:val="00A20778"/>
    <w:rsid w:val="00A21737"/>
    <w:rsid w:val="00A22162"/>
    <w:rsid w:val="00A229F9"/>
    <w:rsid w:val="00A237BF"/>
    <w:rsid w:val="00A2385C"/>
    <w:rsid w:val="00A23B53"/>
    <w:rsid w:val="00A23D08"/>
    <w:rsid w:val="00A23F3B"/>
    <w:rsid w:val="00A24995"/>
    <w:rsid w:val="00A252C5"/>
    <w:rsid w:val="00A25835"/>
    <w:rsid w:val="00A26891"/>
    <w:rsid w:val="00A27039"/>
    <w:rsid w:val="00A27FD7"/>
    <w:rsid w:val="00A30024"/>
    <w:rsid w:val="00A302A0"/>
    <w:rsid w:val="00A30AFD"/>
    <w:rsid w:val="00A31D82"/>
    <w:rsid w:val="00A32389"/>
    <w:rsid w:val="00A34590"/>
    <w:rsid w:val="00A35814"/>
    <w:rsid w:val="00A35B2A"/>
    <w:rsid w:val="00A361AA"/>
    <w:rsid w:val="00A370AF"/>
    <w:rsid w:val="00A37D22"/>
    <w:rsid w:val="00A412A7"/>
    <w:rsid w:val="00A4224D"/>
    <w:rsid w:val="00A436CC"/>
    <w:rsid w:val="00A43741"/>
    <w:rsid w:val="00A440B3"/>
    <w:rsid w:val="00A460CE"/>
    <w:rsid w:val="00A46FDB"/>
    <w:rsid w:val="00A47B50"/>
    <w:rsid w:val="00A50DB1"/>
    <w:rsid w:val="00A519E0"/>
    <w:rsid w:val="00A5268F"/>
    <w:rsid w:val="00A52841"/>
    <w:rsid w:val="00A52981"/>
    <w:rsid w:val="00A52BA8"/>
    <w:rsid w:val="00A52C9D"/>
    <w:rsid w:val="00A5312D"/>
    <w:rsid w:val="00A53BB1"/>
    <w:rsid w:val="00A54616"/>
    <w:rsid w:val="00A55408"/>
    <w:rsid w:val="00A56FE0"/>
    <w:rsid w:val="00A60DD6"/>
    <w:rsid w:val="00A60E1D"/>
    <w:rsid w:val="00A6168B"/>
    <w:rsid w:val="00A61BFC"/>
    <w:rsid w:val="00A61CC4"/>
    <w:rsid w:val="00A62B15"/>
    <w:rsid w:val="00A634FE"/>
    <w:rsid w:val="00A63C7E"/>
    <w:rsid w:val="00A643DA"/>
    <w:rsid w:val="00A64D4F"/>
    <w:rsid w:val="00A6520B"/>
    <w:rsid w:val="00A65354"/>
    <w:rsid w:val="00A659CF"/>
    <w:rsid w:val="00A66875"/>
    <w:rsid w:val="00A67BFC"/>
    <w:rsid w:val="00A722B3"/>
    <w:rsid w:val="00A73AA8"/>
    <w:rsid w:val="00A7455D"/>
    <w:rsid w:val="00A74621"/>
    <w:rsid w:val="00A74E38"/>
    <w:rsid w:val="00A758C0"/>
    <w:rsid w:val="00A7785C"/>
    <w:rsid w:val="00A77E79"/>
    <w:rsid w:val="00A8118B"/>
    <w:rsid w:val="00A812E0"/>
    <w:rsid w:val="00A813B5"/>
    <w:rsid w:val="00A82E72"/>
    <w:rsid w:val="00A835C8"/>
    <w:rsid w:val="00A8379A"/>
    <w:rsid w:val="00A8390F"/>
    <w:rsid w:val="00A83C03"/>
    <w:rsid w:val="00A83DD3"/>
    <w:rsid w:val="00A8439C"/>
    <w:rsid w:val="00A843E5"/>
    <w:rsid w:val="00A85660"/>
    <w:rsid w:val="00A85CAE"/>
    <w:rsid w:val="00A87359"/>
    <w:rsid w:val="00A90155"/>
    <w:rsid w:val="00A90B9C"/>
    <w:rsid w:val="00A9207D"/>
    <w:rsid w:val="00A92128"/>
    <w:rsid w:val="00A93542"/>
    <w:rsid w:val="00A93572"/>
    <w:rsid w:val="00A9465C"/>
    <w:rsid w:val="00A94C77"/>
    <w:rsid w:val="00A9679E"/>
    <w:rsid w:val="00A96D55"/>
    <w:rsid w:val="00A96DE8"/>
    <w:rsid w:val="00A97FF6"/>
    <w:rsid w:val="00AA0BC8"/>
    <w:rsid w:val="00AA1CFD"/>
    <w:rsid w:val="00AA2292"/>
    <w:rsid w:val="00AA3EC7"/>
    <w:rsid w:val="00AA4720"/>
    <w:rsid w:val="00AA4789"/>
    <w:rsid w:val="00AA686A"/>
    <w:rsid w:val="00AA6F7D"/>
    <w:rsid w:val="00AA71A2"/>
    <w:rsid w:val="00AA7EAE"/>
    <w:rsid w:val="00AA7F4A"/>
    <w:rsid w:val="00AB1FC4"/>
    <w:rsid w:val="00AB238F"/>
    <w:rsid w:val="00AB2570"/>
    <w:rsid w:val="00AB28A3"/>
    <w:rsid w:val="00AB2A44"/>
    <w:rsid w:val="00AB3D09"/>
    <w:rsid w:val="00AB518B"/>
    <w:rsid w:val="00AB5596"/>
    <w:rsid w:val="00AB5BD3"/>
    <w:rsid w:val="00AB6016"/>
    <w:rsid w:val="00AB74AB"/>
    <w:rsid w:val="00AC262C"/>
    <w:rsid w:val="00AC2A25"/>
    <w:rsid w:val="00AC52F9"/>
    <w:rsid w:val="00AD0412"/>
    <w:rsid w:val="00AD06A7"/>
    <w:rsid w:val="00AD0F2D"/>
    <w:rsid w:val="00AD18A6"/>
    <w:rsid w:val="00AD21D8"/>
    <w:rsid w:val="00AD3C64"/>
    <w:rsid w:val="00AD429C"/>
    <w:rsid w:val="00AD4D61"/>
    <w:rsid w:val="00AD5283"/>
    <w:rsid w:val="00AD5423"/>
    <w:rsid w:val="00AD58BE"/>
    <w:rsid w:val="00AD7E09"/>
    <w:rsid w:val="00AE0CF8"/>
    <w:rsid w:val="00AE160A"/>
    <w:rsid w:val="00AE31BB"/>
    <w:rsid w:val="00AE420A"/>
    <w:rsid w:val="00AE4550"/>
    <w:rsid w:val="00AE4A11"/>
    <w:rsid w:val="00AE536B"/>
    <w:rsid w:val="00AE53E3"/>
    <w:rsid w:val="00AE7413"/>
    <w:rsid w:val="00AF0736"/>
    <w:rsid w:val="00AF12DD"/>
    <w:rsid w:val="00AF1EDF"/>
    <w:rsid w:val="00AF1F43"/>
    <w:rsid w:val="00AF24F3"/>
    <w:rsid w:val="00AF2910"/>
    <w:rsid w:val="00AF3D11"/>
    <w:rsid w:val="00AF462F"/>
    <w:rsid w:val="00AF47B2"/>
    <w:rsid w:val="00AF4A06"/>
    <w:rsid w:val="00AF78F2"/>
    <w:rsid w:val="00B01FBB"/>
    <w:rsid w:val="00B02C15"/>
    <w:rsid w:val="00B030B7"/>
    <w:rsid w:val="00B036AD"/>
    <w:rsid w:val="00B0386D"/>
    <w:rsid w:val="00B04C69"/>
    <w:rsid w:val="00B063FD"/>
    <w:rsid w:val="00B06E6D"/>
    <w:rsid w:val="00B104BE"/>
    <w:rsid w:val="00B10E21"/>
    <w:rsid w:val="00B10FA8"/>
    <w:rsid w:val="00B123E5"/>
    <w:rsid w:val="00B12EA2"/>
    <w:rsid w:val="00B1500E"/>
    <w:rsid w:val="00B16265"/>
    <w:rsid w:val="00B16316"/>
    <w:rsid w:val="00B17060"/>
    <w:rsid w:val="00B17539"/>
    <w:rsid w:val="00B20674"/>
    <w:rsid w:val="00B20B1E"/>
    <w:rsid w:val="00B212F0"/>
    <w:rsid w:val="00B21AF2"/>
    <w:rsid w:val="00B2253B"/>
    <w:rsid w:val="00B228F5"/>
    <w:rsid w:val="00B24CDE"/>
    <w:rsid w:val="00B24E9E"/>
    <w:rsid w:val="00B26070"/>
    <w:rsid w:val="00B26506"/>
    <w:rsid w:val="00B26D02"/>
    <w:rsid w:val="00B27103"/>
    <w:rsid w:val="00B27D6F"/>
    <w:rsid w:val="00B338A7"/>
    <w:rsid w:val="00B34EA4"/>
    <w:rsid w:val="00B34FE1"/>
    <w:rsid w:val="00B352D5"/>
    <w:rsid w:val="00B3588D"/>
    <w:rsid w:val="00B36287"/>
    <w:rsid w:val="00B37349"/>
    <w:rsid w:val="00B40A37"/>
    <w:rsid w:val="00B40D45"/>
    <w:rsid w:val="00B40FA2"/>
    <w:rsid w:val="00B413A1"/>
    <w:rsid w:val="00B41472"/>
    <w:rsid w:val="00B41D35"/>
    <w:rsid w:val="00B42EDB"/>
    <w:rsid w:val="00B42F82"/>
    <w:rsid w:val="00B43717"/>
    <w:rsid w:val="00B43FE8"/>
    <w:rsid w:val="00B4400B"/>
    <w:rsid w:val="00B45DBA"/>
    <w:rsid w:val="00B46D16"/>
    <w:rsid w:val="00B500BD"/>
    <w:rsid w:val="00B50409"/>
    <w:rsid w:val="00B518BA"/>
    <w:rsid w:val="00B51ADC"/>
    <w:rsid w:val="00B521A7"/>
    <w:rsid w:val="00B5220F"/>
    <w:rsid w:val="00B52B21"/>
    <w:rsid w:val="00B56316"/>
    <w:rsid w:val="00B57361"/>
    <w:rsid w:val="00B60354"/>
    <w:rsid w:val="00B613FD"/>
    <w:rsid w:val="00B615D3"/>
    <w:rsid w:val="00B62B2D"/>
    <w:rsid w:val="00B63786"/>
    <w:rsid w:val="00B63ACF"/>
    <w:rsid w:val="00B63D70"/>
    <w:rsid w:val="00B645EA"/>
    <w:rsid w:val="00B65A3F"/>
    <w:rsid w:val="00B66447"/>
    <w:rsid w:val="00B66476"/>
    <w:rsid w:val="00B66839"/>
    <w:rsid w:val="00B66ACC"/>
    <w:rsid w:val="00B66FB7"/>
    <w:rsid w:val="00B71EF9"/>
    <w:rsid w:val="00B7229B"/>
    <w:rsid w:val="00B72A52"/>
    <w:rsid w:val="00B73574"/>
    <w:rsid w:val="00B73F2D"/>
    <w:rsid w:val="00B768DF"/>
    <w:rsid w:val="00B8115D"/>
    <w:rsid w:val="00B81BCE"/>
    <w:rsid w:val="00B823DD"/>
    <w:rsid w:val="00B82844"/>
    <w:rsid w:val="00B858AF"/>
    <w:rsid w:val="00B85AEE"/>
    <w:rsid w:val="00B85CD6"/>
    <w:rsid w:val="00B85F57"/>
    <w:rsid w:val="00B86FA1"/>
    <w:rsid w:val="00B8715C"/>
    <w:rsid w:val="00B873B8"/>
    <w:rsid w:val="00B87641"/>
    <w:rsid w:val="00B8788A"/>
    <w:rsid w:val="00B903B7"/>
    <w:rsid w:val="00B90AB5"/>
    <w:rsid w:val="00B90C76"/>
    <w:rsid w:val="00B91062"/>
    <w:rsid w:val="00B92D8C"/>
    <w:rsid w:val="00B939A8"/>
    <w:rsid w:val="00B958E0"/>
    <w:rsid w:val="00B96B8E"/>
    <w:rsid w:val="00B96F1E"/>
    <w:rsid w:val="00B97209"/>
    <w:rsid w:val="00B97D57"/>
    <w:rsid w:val="00BA1069"/>
    <w:rsid w:val="00BA1848"/>
    <w:rsid w:val="00BA2556"/>
    <w:rsid w:val="00BA3EBD"/>
    <w:rsid w:val="00BA45FB"/>
    <w:rsid w:val="00BA7E8C"/>
    <w:rsid w:val="00BB14E9"/>
    <w:rsid w:val="00BB2A2D"/>
    <w:rsid w:val="00BB2B7E"/>
    <w:rsid w:val="00BB411A"/>
    <w:rsid w:val="00BB4882"/>
    <w:rsid w:val="00BB49DA"/>
    <w:rsid w:val="00BB50C1"/>
    <w:rsid w:val="00BB765D"/>
    <w:rsid w:val="00BC0A05"/>
    <w:rsid w:val="00BC12CE"/>
    <w:rsid w:val="00BC1BC4"/>
    <w:rsid w:val="00BC301A"/>
    <w:rsid w:val="00BC4A18"/>
    <w:rsid w:val="00BC5145"/>
    <w:rsid w:val="00BC51E3"/>
    <w:rsid w:val="00BC5F88"/>
    <w:rsid w:val="00BC6A37"/>
    <w:rsid w:val="00BC7272"/>
    <w:rsid w:val="00BC791B"/>
    <w:rsid w:val="00BC7AA2"/>
    <w:rsid w:val="00BC7D46"/>
    <w:rsid w:val="00BD0775"/>
    <w:rsid w:val="00BD09A9"/>
    <w:rsid w:val="00BD0FBD"/>
    <w:rsid w:val="00BD15CB"/>
    <w:rsid w:val="00BD1637"/>
    <w:rsid w:val="00BD1756"/>
    <w:rsid w:val="00BD19CE"/>
    <w:rsid w:val="00BD2548"/>
    <w:rsid w:val="00BD293B"/>
    <w:rsid w:val="00BD3EE9"/>
    <w:rsid w:val="00BD4AA3"/>
    <w:rsid w:val="00BD4F40"/>
    <w:rsid w:val="00BD5436"/>
    <w:rsid w:val="00BD57CD"/>
    <w:rsid w:val="00BD5E35"/>
    <w:rsid w:val="00BD6280"/>
    <w:rsid w:val="00BE0017"/>
    <w:rsid w:val="00BE11FB"/>
    <w:rsid w:val="00BE1D73"/>
    <w:rsid w:val="00BE277E"/>
    <w:rsid w:val="00BE2CA9"/>
    <w:rsid w:val="00BE4242"/>
    <w:rsid w:val="00BE4F1D"/>
    <w:rsid w:val="00BE5048"/>
    <w:rsid w:val="00BE5447"/>
    <w:rsid w:val="00BE5841"/>
    <w:rsid w:val="00BE6F1D"/>
    <w:rsid w:val="00BF079C"/>
    <w:rsid w:val="00BF114F"/>
    <w:rsid w:val="00BF19D7"/>
    <w:rsid w:val="00BF53EB"/>
    <w:rsid w:val="00BF576B"/>
    <w:rsid w:val="00BF5D86"/>
    <w:rsid w:val="00BF6155"/>
    <w:rsid w:val="00BF6C7E"/>
    <w:rsid w:val="00BF72AB"/>
    <w:rsid w:val="00BF7B74"/>
    <w:rsid w:val="00C00B1D"/>
    <w:rsid w:val="00C0109D"/>
    <w:rsid w:val="00C0169F"/>
    <w:rsid w:val="00C035CF"/>
    <w:rsid w:val="00C04CED"/>
    <w:rsid w:val="00C04E4A"/>
    <w:rsid w:val="00C05537"/>
    <w:rsid w:val="00C063D4"/>
    <w:rsid w:val="00C06DE2"/>
    <w:rsid w:val="00C1057D"/>
    <w:rsid w:val="00C11420"/>
    <w:rsid w:val="00C146CE"/>
    <w:rsid w:val="00C1479D"/>
    <w:rsid w:val="00C154F5"/>
    <w:rsid w:val="00C159DC"/>
    <w:rsid w:val="00C15CE2"/>
    <w:rsid w:val="00C167CD"/>
    <w:rsid w:val="00C16F90"/>
    <w:rsid w:val="00C174EC"/>
    <w:rsid w:val="00C175E2"/>
    <w:rsid w:val="00C21CBC"/>
    <w:rsid w:val="00C21E17"/>
    <w:rsid w:val="00C21ED0"/>
    <w:rsid w:val="00C234ED"/>
    <w:rsid w:val="00C234F3"/>
    <w:rsid w:val="00C2350B"/>
    <w:rsid w:val="00C23554"/>
    <w:rsid w:val="00C24C95"/>
    <w:rsid w:val="00C24FE5"/>
    <w:rsid w:val="00C2506E"/>
    <w:rsid w:val="00C251D2"/>
    <w:rsid w:val="00C25B54"/>
    <w:rsid w:val="00C25EFA"/>
    <w:rsid w:val="00C331CD"/>
    <w:rsid w:val="00C3335F"/>
    <w:rsid w:val="00C335C1"/>
    <w:rsid w:val="00C33A22"/>
    <w:rsid w:val="00C33BD4"/>
    <w:rsid w:val="00C343CE"/>
    <w:rsid w:val="00C3466F"/>
    <w:rsid w:val="00C34877"/>
    <w:rsid w:val="00C35F81"/>
    <w:rsid w:val="00C369E5"/>
    <w:rsid w:val="00C37EC8"/>
    <w:rsid w:val="00C42E46"/>
    <w:rsid w:val="00C438AD"/>
    <w:rsid w:val="00C43D6E"/>
    <w:rsid w:val="00C45166"/>
    <w:rsid w:val="00C4530B"/>
    <w:rsid w:val="00C45813"/>
    <w:rsid w:val="00C45BDA"/>
    <w:rsid w:val="00C467AA"/>
    <w:rsid w:val="00C46EFA"/>
    <w:rsid w:val="00C47304"/>
    <w:rsid w:val="00C47A14"/>
    <w:rsid w:val="00C503F3"/>
    <w:rsid w:val="00C506DC"/>
    <w:rsid w:val="00C51DE7"/>
    <w:rsid w:val="00C531DD"/>
    <w:rsid w:val="00C53C3F"/>
    <w:rsid w:val="00C53CD6"/>
    <w:rsid w:val="00C540C0"/>
    <w:rsid w:val="00C54BEF"/>
    <w:rsid w:val="00C5507B"/>
    <w:rsid w:val="00C551E5"/>
    <w:rsid w:val="00C55586"/>
    <w:rsid w:val="00C569ED"/>
    <w:rsid w:val="00C56CCC"/>
    <w:rsid w:val="00C5757D"/>
    <w:rsid w:val="00C601DE"/>
    <w:rsid w:val="00C6040C"/>
    <w:rsid w:val="00C60587"/>
    <w:rsid w:val="00C60B61"/>
    <w:rsid w:val="00C60CEB"/>
    <w:rsid w:val="00C61559"/>
    <w:rsid w:val="00C61FFC"/>
    <w:rsid w:val="00C621BB"/>
    <w:rsid w:val="00C6297A"/>
    <w:rsid w:val="00C62F51"/>
    <w:rsid w:val="00C63E63"/>
    <w:rsid w:val="00C64078"/>
    <w:rsid w:val="00C6419E"/>
    <w:rsid w:val="00C64FE3"/>
    <w:rsid w:val="00C65BB0"/>
    <w:rsid w:val="00C66968"/>
    <w:rsid w:val="00C67243"/>
    <w:rsid w:val="00C70AD5"/>
    <w:rsid w:val="00C70E0E"/>
    <w:rsid w:val="00C71B62"/>
    <w:rsid w:val="00C73D00"/>
    <w:rsid w:val="00C74CEA"/>
    <w:rsid w:val="00C74E29"/>
    <w:rsid w:val="00C754D5"/>
    <w:rsid w:val="00C759E8"/>
    <w:rsid w:val="00C76F13"/>
    <w:rsid w:val="00C77764"/>
    <w:rsid w:val="00C77DF8"/>
    <w:rsid w:val="00C80701"/>
    <w:rsid w:val="00C80A88"/>
    <w:rsid w:val="00C81FC5"/>
    <w:rsid w:val="00C8271A"/>
    <w:rsid w:val="00C8458D"/>
    <w:rsid w:val="00C84813"/>
    <w:rsid w:val="00C848A1"/>
    <w:rsid w:val="00C84922"/>
    <w:rsid w:val="00C8504E"/>
    <w:rsid w:val="00C858E0"/>
    <w:rsid w:val="00C86F54"/>
    <w:rsid w:val="00C90ABB"/>
    <w:rsid w:val="00C92388"/>
    <w:rsid w:val="00C92C65"/>
    <w:rsid w:val="00C93442"/>
    <w:rsid w:val="00C93798"/>
    <w:rsid w:val="00C95160"/>
    <w:rsid w:val="00C9533D"/>
    <w:rsid w:val="00C96054"/>
    <w:rsid w:val="00C96C8B"/>
    <w:rsid w:val="00CA06FB"/>
    <w:rsid w:val="00CA29B1"/>
    <w:rsid w:val="00CA2F49"/>
    <w:rsid w:val="00CA3528"/>
    <w:rsid w:val="00CA4676"/>
    <w:rsid w:val="00CA635F"/>
    <w:rsid w:val="00CA776A"/>
    <w:rsid w:val="00CA7D55"/>
    <w:rsid w:val="00CA7D56"/>
    <w:rsid w:val="00CB1016"/>
    <w:rsid w:val="00CB10D8"/>
    <w:rsid w:val="00CB2E85"/>
    <w:rsid w:val="00CB393B"/>
    <w:rsid w:val="00CB43FB"/>
    <w:rsid w:val="00CB5555"/>
    <w:rsid w:val="00CC1175"/>
    <w:rsid w:val="00CC1729"/>
    <w:rsid w:val="00CC2415"/>
    <w:rsid w:val="00CC26CC"/>
    <w:rsid w:val="00CC3171"/>
    <w:rsid w:val="00CC32EE"/>
    <w:rsid w:val="00CC37BE"/>
    <w:rsid w:val="00CC5120"/>
    <w:rsid w:val="00CC599E"/>
    <w:rsid w:val="00CC762A"/>
    <w:rsid w:val="00CC7DF6"/>
    <w:rsid w:val="00CD0EF9"/>
    <w:rsid w:val="00CD27E4"/>
    <w:rsid w:val="00CD2A5A"/>
    <w:rsid w:val="00CD3CF0"/>
    <w:rsid w:val="00CD408C"/>
    <w:rsid w:val="00CD5EC8"/>
    <w:rsid w:val="00CD6447"/>
    <w:rsid w:val="00CD6F8B"/>
    <w:rsid w:val="00CD7404"/>
    <w:rsid w:val="00CE0815"/>
    <w:rsid w:val="00CE15BC"/>
    <w:rsid w:val="00CE4879"/>
    <w:rsid w:val="00CE4B2D"/>
    <w:rsid w:val="00CE50A7"/>
    <w:rsid w:val="00CE5623"/>
    <w:rsid w:val="00CE5ACF"/>
    <w:rsid w:val="00CE6C1E"/>
    <w:rsid w:val="00CE7726"/>
    <w:rsid w:val="00CF0C34"/>
    <w:rsid w:val="00CF167D"/>
    <w:rsid w:val="00CF175F"/>
    <w:rsid w:val="00CF3B55"/>
    <w:rsid w:val="00CF3CC4"/>
    <w:rsid w:val="00CF3FE6"/>
    <w:rsid w:val="00CF5087"/>
    <w:rsid w:val="00CF7CCC"/>
    <w:rsid w:val="00CF7D9C"/>
    <w:rsid w:val="00D006BA"/>
    <w:rsid w:val="00D00CA6"/>
    <w:rsid w:val="00D016D0"/>
    <w:rsid w:val="00D019DD"/>
    <w:rsid w:val="00D0278C"/>
    <w:rsid w:val="00D0306F"/>
    <w:rsid w:val="00D0370A"/>
    <w:rsid w:val="00D04871"/>
    <w:rsid w:val="00D04FFB"/>
    <w:rsid w:val="00D05762"/>
    <w:rsid w:val="00D06BCF"/>
    <w:rsid w:val="00D06F35"/>
    <w:rsid w:val="00D10069"/>
    <w:rsid w:val="00D10703"/>
    <w:rsid w:val="00D10F51"/>
    <w:rsid w:val="00D118E9"/>
    <w:rsid w:val="00D11A17"/>
    <w:rsid w:val="00D11C80"/>
    <w:rsid w:val="00D13CF5"/>
    <w:rsid w:val="00D13FFA"/>
    <w:rsid w:val="00D142B8"/>
    <w:rsid w:val="00D14F77"/>
    <w:rsid w:val="00D1524F"/>
    <w:rsid w:val="00D1741A"/>
    <w:rsid w:val="00D17F63"/>
    <w:rsid w:val="00D200B3"/>
    <w:rsid w:val="00D20EFA"/>
    <w:rsid w:val="00D214EA"/>
    <w:rsid w:val="00D221DD"/>
    <w:rsid w:val="00D24175"/>
    <w:rsid w:val="00D245E2"/>
    <w:rsid w:val="00D24E30"/>
    <w:rsid w:val="00D24E7D"/>
    <w:rsid w:val="00D267B7"/>
    <w:rsid w:val="00D30303"/>
    <w:rsid w:val="00D311E0"/>
    <w:rsid w:val="00D31307"/>
    <w:rsid w:val="00D33DE0"/>
    <w:rsid w:val="00D34833"/>
    <w:rsid w:val="00D3486D"/>
    <w:rsid w:val="00D34C2A"/>
    <w:rsid w:val="00D34C3C"/>
    <w:rsid w:val="00D34D3F"/>
    <w:rsid w:val="00D34F6D"/>
    <w:rsid w:val="00D369B4"/>
    <w:rsid w:val="00D36B2C"/>
    <w:rsid w:val="00D37843"/>
    <w:rsid w:val="00D37D24"/>
    <w:rsid w:val="00D40281"/>
    <w:rsid w:val="00D40725"/>
    <w:rsid w:val="00D4233B"/>
    <w:rsid w:val="00D427FB"/>
    <w:rsid w:val="00D42A2B"/>
    <w:rsid w:val="00D43AD7"/>
    <w:rsid w:val="00D43F93"/>
    <w:rsid w:val="00D440D6"/>
    <w:rsid w:val="00D4420A"/>
    <w:rsid w:val="00D45740"/>
    <w:rsid w:val="00D45C6C"/>
    <w:rsid w:val="00D462A1"/>
    <w:rsid w:val="00D50262"/>
    <w:rsid w:val="00D52FBF"/>
    <w:rsid w:val="00D54714"/>
    <w:rsid w:val="00D569A2"/>
    <w:rsid w:val="00D5749A"/>
    <w:rsid w:val="00D60D23"/>
    <w:rsid w:val="00D61574"/>
    <w:rsid w:val="00D61F85"/>
    <w:rsid w:val="00D62F66"/>
    <w:rsid w:val="00D636F8"/>
    <w:rsid w:val="00D66CDC"/>
    <w:rsid w:val="00D66E77"/>
    <w:rsid w:val="00D67E82"/>
    <w:rsid w:val="00D704B5"/>
    <w:rsid w:val="00D7077D"/>
    <w:rsid w:val="00D70D6F"/>
    <w:rsid w:val="00D72767"/>
    <w:rsid w:val="00D72AF9"/>
    <w:rsid w:val="00D73635"/>
    <w:rsid w:val="00D74573"/>
    <w:rsid w:val="00D7485D"/>
    <w:rsid w:val="00D76AE6"/>
    <w:rsid w:val="00D773ED"/>
    <w:rsid w:val="00D7751F"/>
    <w:rsid w:val="00D80080"/>
    <w:rsid w:val="00D80224"/>
    <w:rsid w:val="00D802AC"/>
    <w:rsid w:val="00D8141C"/>
    <w:rsid w:val="00D81C93"/>
    <w:rsid w:val="00D8442D"/>
    <w:rsid w:val="00D846F1"/>
    <w:rsid w:val="00D84A75"/>
    <w:rsid w:val="00D85C0C"/>
    <w:rsid w:val="00D85D72"/>
    <w:rsid w:val="00D863C2"/>
    <w:rsid w:val="00D8680C"/>
    <w:rsid w:val="00D86C9B"/>
    <w:rsid w:val="00D87FA8"/>
    <w:rsid w:val="00D91E0D"/>
    <w:rsid w:val="00D91F28"/>
    <w:rsid w:val="00D92C18"/>
    <w:rsid w:val="00D93641"/>
    <w:rsid w:val="00D937DC"/>
    <w:rsid w:val="00D93968"/>
    <w:rsid w:val="00D93F8F"/>
    <w:rsid w:val="00D94DB6"/>
    <w:rsid w:val="00D96307"/>
    <w:rsid w:val="00D96545"/>
    <w:rsid w:val="00D96BAA"/>
    <w:rsid w:val="00D971BA"/>
    <w:rsid w:val="00D977FE"/>
    <w:rsid w:val="00D97DFB"/>
    <w:rsid w:val="00DA075C"/>
    <w:rsid w:val="00DA0950"/>
    <w:rsid w:val="00DA109A"/>
    <w:rsid w:val="00DA24DA"/>
    <w:rsid w:val="00DA33F6"/>
    <w:rsid w:val="00DA3740"/>
    <w:rsid w:val="00DA4E03"/>
    <w:rsid w:val="00DA4ECA"/>
    <w:rsid w:val="00DA7143"/>
    <w:rsid w:val="00DA7850"/>
    <w:rsid w:val="00DA79EC"/>
    <w:rsid w:val="00DB3AE4"/>
    <w:rsid w:val="00DB466C"/>
    <w:rsid w:val="00DB4BE3"/>
    <w:rsid w:val="00DB5EE1"/>
    <w:rsid w:val="00DB6260"/>
    <w:rsid w:val="00DB7496"/>
    <w:rsid w:val="00DB7560"/>
    <w:rsid w:val="00DB7796"/>
    <w:rsid w:val="00DB7AAD"/>
    <w:rsid w:val="00DB7AD2"/>
    <w:rsid w:val="00DC03ED"/>
    <w:rsid w:val="00DC0D79"/>
    <w:rsid w:val="00DC1251"/>
    <w:rsid w:val="00DC523F"/>
    <w:rsid w:val="00DC65F1"/>
    <w:rsid w:val="00DC7B30"/>
    <w:rsid w:val="00DD0FAC"/>
    <w:rsid w:val="00DD1606"/>
    <w:rsid w:val="00DD16E4"/>
    <w:rsid w:val="00DD1AFB"/>
    <w:rsid w:val="00DD1FF4"/>
    <w:rsid w:val="00DD2365"/>
    <w:rsid w:val="00DD2ADB"/>
    <w:rsid w:val="00DD2DB6"/>
    <w:rsid w:val="00DD2DE7"/>
    <w:rsid w:val="00DD30C6"/>
    <w:rsid w:val="00DD35A0"/>
    <w:rsid w:val="00DD3AE5"/>
    <w:rsid w:val="00DD3D13"/>
    <w:rsid w:val="00DD49DB"/>
    <w:rsid w:val="00DD6E01"/>
    <w:rsid w:val="00DD6F57"/>
    <w:rsid w:val="00DD7F17"/>
    <w:rsid w:val="00DE0037"/>
    <w:rsid w:val="00DE0864"/>
    <w:rsid w:val="00DE19B2"/>
    <w:rsid w:val="00DE1F33"/>
    <w:rsid w:val="00DE3010"/>
    <w:rsid w:val="00DE43C3"/>
    <w:rsid w:val="00DE5D21"/>
    <w:rsid w:val="00DE7C95"/>
    <w:rsid w:val="00DF1AA9"/>
    <w:rsid w:val="00DF2792"/>
    <w:rsid w:val="00DF2868"/>
    <w:rsid w:val="00DF31F9"/>
    <w:rsid w:val="00DF370A"/>
    <w:rsid w:val="00DF3962"/>
    <w:rsid w:val="00DF538D"/>
    <w:rsid w:val="00DF5B9C"/>
    <w:rsid w:val="00DF6818"/>
    <w:rsid w:val="00DF6FFC"/>
    <w:rsid w:val="00DF7CA6"/>
    <w:rsid w:val="00DF7D06"/>
    <w:rsid w:val="00DF7D99"/>
    <w:rsid w:val="00E013E0"/>
    <w:rsid w:val="00E016AE"/>
    <w:rsid w:val="00E0181F"/>
    <w:rsid w:val="00E0243C"/>
    <w:rsid w:val="00E02982"/>
    <w:rsid w:val="00E0334B"/>
    <w:rsid w:val="00E0405A"/>
    <w:rsid w:val="00E0424E"/>
    <w:rsid w:val="00E047FD"/>
    <w:rsid w:val="00E07150"/>
    <w:rsid w:val="00E079CE"/>
    <w:rsid w:val="00E07C4A"/>
    <w:rsid w:val="00E1021D"/>
    <w:rsid w:val="00E10D2E"/>
    <w:rsid w:val="00E11A48"/>
    <w:rsid w:val="00E12E2D"/>
    <w:rsid w:val="00E13945"/>
    <w:rsid w:val="00E1541E"/>
    <w:rsid w:val="00E17F7D"/>
    <w:rsid w:val="00E17F88"/>
    <w:rsid w:val="00E20547"/>
    <w:rsid w:val="00E20F4A"/>
    <w:rsid w:val="00E22C51"/>
    <w:rsid w:val="00E23120"/>
    <w:rsid w:val="00E2327B"/>
    <w:rsid w:val="00E233FF"/>
    <w:rsid w:val="00E2360B"/>
    <w:rsid w:val="00E258B3"/>
    <w:rsid w:val="00E25AA7"/>
    <w:rsid w:val="00E2650B"/>
    <w:rsid w:val="00E2743A"/>
    <w:rsid w:val="00E277DD"/>
    <w:rsid w:val="00E27B49"/>
    <w:rsid w:val="00E300D9"/>
    <w:rsid w:val="00E30636"/>
    <w:rsid w:val="00E308AC"/>
    <w:rsid w:val="00E31E8A"/>
    <w:rsid w:val="00E3258E"/>
    <w:rsid w:val="00E32A33"/>
    <w:rsid w:val="00E32D8A"/>
    <w:rsid w:val="00E33801"/>
    <w:rsid w:val="00E34B9B"/>
    <w:rsid w:val="00E35110"/>
    <w:rsid w:val="00E35369"/>
    <w:rsid w:val="00E35DF0"/>
    <w:rsid w:val="00E3735E"/>
    <w:rsid w:val="00E37E21"/>
    <w:rsid w:val="00E37F95"/>
    <w:rsid w:val="00E414A8"/>
    <w:rsid w:val="00E415BE"/>
    <w:rsid w:val="00E417B3"/>
    <w:rsid w:val="00E42549"/>
    <w:rsid w:val="00E430CB"/>
    <w:rsid w:val="00E43393"/>
    <w:rsid w:val="00E43532"/>
    <w:rsid w:val="00E43CDA"/>
    <w:rsid w:val="00E44758"/>
    <w:rsid w:val="00E45280"/>
    <w:rsid w:val="00E46292"/>
    <w:rsid w:val="00E46847"/>
    <w:rsid w:val="00E46974"/>
    <w:rsid w:val="00E470AD"/>
    <w:rsid w:val="00E51287"/>
    <w:rsid w:val="00E5406B"/>
    <w:rsid w:val="00E55D50"/>
    <w:rsid w:val="00E564CB"/>
    <w:rsid w:val="00E56C93"/>
    <w:rsid w:val="00E60037"/>
    <w:rsid w:val="00E60410"/>
    <w:rsid w:val="00E60FD5"/>
    <w:rsid w:val="00E611CB"/>
    <w:rsid w:val="00E61212"/>
    <w:rsid w:val="00E61E4A"/>
    <w:rsid w:val="00E639EA"/>
    <w:rsid w:val="00E63BCC"/>
    <w:rsid w:val="00E63D80"/>
    <w:rsid w:val="00E63E95"/>
    <w:rsid w:val="00E64A31"/>
    <w:rsid w:val="00E65751"/>
    <w:rsid w:val="00E65FA7"/>
    <w:rsid w:val="00E6636A"/>
    <w:rsid w:val="00E674A0"/>
    <w:rsid w:val="00E67FF6"/>
    <w:rsid w:val="00E70B23"/>
    <w:rsid w:val="00E71243"/>
    <w:rsid w:val="00E72A63"/>
    <w:rsid w:val="00E72D9E"/>
    <w:rsid w:val="00E73011"/>
    <w:rsid w:val="00E734CE"/>
    <w:rsid w:val="00E73969"/>
    <w:rsid w:val="00E73C8E"/>
    <w:rsid w:val="00E743DF"/>
    <w:rsid w:val="00E751F1"/>
    <w:rsid w:val="00E76049"/>
    <w:rsid w:val="00E761CE"/>
    <w:rsid w:val="00E8057F"/>
    <w:rsid w:val="00E81F73"/>
    <w:rsid w:val="00E82459"/>
    <w:rsid w:val="00E83FE3"/>
    <w:rsid w:val="00E84153"/>
    <w:rsid w:val="00E84990"/>
    <w:rsid w:val="00E849D0"/>
    <w:rsid w:val="00E84BC5"/>
    <w:rsid w:val="00E8549D"/>
    <w:rsid w:val="00E85E69"/>
    <w:rsid w:val="00E85FCE"/>
    <w:rsid w:val="00E862AA"/>
    <w:rsid w:val="00E868C4"/>
    <w:rsid w:val="00E8731D"/>
    <w:rsid w:val="00E878D3"/>
    <w:rsid w:val="00E91318"/>
    <w:rsid w:val="00E916EC"/>
    <w:rsid w:val="00E9319C"/>
    <w:rsid w:val="00E94E4A"/>
    <w:rsid w:val="00E96C08"/>
    <w:rsid w:val="00E9789B"/>
    <w:rsid w:val="00EA0939"/>
    <w:rsid w:val="00EA0E10"/>
    <w:rsid w:val="00EA1AAA"/>
    <w:rsid w:val="00EA1EDA"/>
    <w:rsid w:val="00EA2349"/>
    <w:rsid w:val="00EA4747"/>
    <w:rsid w:val="00EA5C9D"/>
    <w:rsid w:val="00EA6B10"/>
    <w:rsid w:val="00EA6D4B"/>
    <w:rsid w:val="00EA7603"/>
    <w:rsid w:val="00EA7614"/>
    <w:rsid w:val="00EB186B"/>
    <w:rsid w:val="00EB2C62"/>
    <w:rsid w:val="00EB33FF"/>
    <w:rsid w:val="00EB3BCE"/>
    <w:rsid w:val="00EB3E9B"/>
    <w:rsid w:val="00EB5319"/>
    <w:rsid w:val="00EB5B4D"/>
    <w:rsid w:val="00EB5F64"/>
    <w:rsid w:val="00EB6B79"/>
    <w:rsid w:val="00EB6F34"/>
    <w:rsid w:val="00EB746D"/>
    <w:rsid w:val="00EB766C"/>
    <w:rsid w:val="00EC0E40"/>
    <w:rsid w:val="00EC11F1"/>
    <w:rsid w:val="00EC18B7"/>
    <w:rsid w:val="00EC2CFB"/>
    <w:rsid w:val="00EC2DEE"/>
    <w:rsid w:val="00EC432A"/>
    <w:rsid w:val="00EC4489"/>
    <w:rsid w:val="00EC5C24"/>
    <w:rsid w:val="00EC5E42"/>
    <w:rsid w:val="00EC5E6A"/>
    <w:rsid w:val="00EC6E4A"/>
    <w:rsid w:val="00EC711D"/>
    <w:rsid w:val="00EC76E2"/>
    <w:rsid w:val="00ED02D8"/>
    <w:rsid w:val="00ED2364"/>
    <w:rsid w:val="00ED2476"/>
    <w:rsid w:val="00ED2D66"/>
    <w:rsid w:val="00ED46C3"/>
    <w:rsid w:val="00ED634F"/>
    <w:rsid w:val="00ED6AE5"/>
    <w:rsid w:val="00ED77FD"/>
    <w:rsid w:val="00ED7DA7"/>
    <w:rsid w:val="00ED7FD3"/>
    <w:rsid w:val="00EE067C"/>
    <w:rsid w:val="00EE0D9D"/>
    <w:rsid w:val="00EE1530"/>
    <w:rsid w:val="00EE164E"/>
    <w:rsid w:val="00EE1B69"/>
    <w:rsid w:val="00EE1B9B"/>
    <w:rsid w:val="00EE3C93"/>
    <w:rsid w:val="00EE4AD3"/>
    <w:rsid w:val="00EE525C"/>
    <w:rsid w:val="00EE5429"/>
    <w:rsid w:val="00EE7FAF"/>
    <w:rsid w:val="00EF1817"/>
    <w:rsid w:val="00EF2C19"/>
    <w:rsid w:val="00EF2E06"/>
    <w:rsid w:val="00EF3641"/>
    <w:rsid w:val="00EF60BC"/>
    <w:rsid w:val="00EF6216"/>
    <w:rsid w:val="00EF6DDB"/>
    <w:rsid w:val="00EF7230"/>
    <w:rsid w:val="00EF790E"/>
    <w:rsid w:val="00F00020"/>
    <w:rsid w:val="00F01836"/>
    <w:rsid w:val="00F02087"/>
    <w:rsid w:val="00F02BA6"/>
    <w:rsid w:val="00F03527"/>
    <w:rsid w:val="00F035AE"/>
    <w:rsid w:val="00F041D2"/>
    <w:rsid w:val="00F045AA"/>
    <w:rsid w:val="00F045C4"/>
    <w:rsid w:val="00F052E9"/>
    <w:rsid w:val="00F06BBF"/>
    <w:rsid w:val="00F11D37"/>
    <w:rsid w:val="00F130CC"/>
    <w:rsid w:val="00F13A36"/>
    <w:rsid w:val="00F13F04"/>
    <w:rsid w:val="00F143D4"/>
    <w:rsid w:val="00F143E2"/>
    <w:rsid w:val="00F160BF"/>
    <w:rsid w:val="00F1660D"/>
    <w:rsid w:val="00F16EE6"/>
    <w:rsid w:val="00F17564"/>
    <w:rsid w:val="00F17781"/>
    <w:rsid w:val="00F178CF"/>
    <w:rsid w:val="00F209F1"/>
    <w:rsid w:val="00F23134"/>
    <w:rsid w:val="00F23269"/>
    <w:rsid w:val="00F23C2C"/>
    <w:rsid w:val="00F23C66"/>
    <w:rsid w:val="00F25F6B"/>
    <w:rsid w:val="00F274D6"/>
    <w:rsid w:val="00F305AC"/>
    <w:rsid w:val="00F30701"/>
    <w:rsid w:val="00F3126C"/>
    <w:rsid w:val="00F31EEF"/>
    <w:rsid w:val="00F33DCF"/>
    <w:rsid w:val="00F340EC"/>
    <w:rsid w:val="00F34288"/>
    <w:rsid w:val="00F351D7"/>
    <w:rsid w:val="00F35A77"/>
    <w:rsid w:val="00F36706"/>
    <w:rsid w:val="00F36FD1"/>
    <w:rsid w:val="00F37390"/>
    <w:rsid w:val="00F37A8C"/>
    <w:rsid w:val="00F400DE"/>
    <w:rsid w:val="00F4070F"/>
    <w:rsid w:val="00F43C8E"/>
    <w:rsid w:val="00F45611"/>
    <w:rsid w:val="00F466E0"/>
    <w:rsid w:val="00F507F4"/>
    <w:rsid w:val="00F511E7"/>
    <w:rsid w:val="00F52B50"/>
    <w:rsid w:val="00F52E82"/>
    <w:rsid w:val="00F52EAE"/>
    <w:rsid w:val="00F54BC6"/>
    <w:rsid w:val="00F55366"/>
    <w:rsid w:val="00F55BD8"/>
    <w:rsid w:val="00F55E4F"/>
    <w:rsid w:val="00F56FE1"/>
    <w:rsid w:val="00F60052"/>
    <w:rsid w:val="00F61A33"/>
    <w:rsid w:val="00F62576"/>
    <w:rsid w:val="00F629FC"/>
    <w:rsid w:val="00F6346F"/>
    <w:rsid w:val="00F634DC"/>
    <w:rsid w:val="00F64233"/>
    <w:rsid w:val="00F65071"/>
    <w:rsid w:val="00F65101"/>
    <w:rsid w:val="00F66CD6"/>
    <w:rsid w:val="00F70912"/>
    <w:rsid w:val="00F70A18"/>
    <w:rsid w:val="00F71717"/>
    <w:rsid w:val="00F717A7"/>
    <w:rsid w:val="00F71B6B"/>
    <w:rsid w:val="00F7236F"/>
    <w:rsid w:val="00F72394"/>
    <w:rsid w:val="00F72471"/>
    <w:rsid w:val="00F729BB"/>
    <w:rsid w:val="00F73475"/>
    <w:rsid w:val="00F8061B"/>
    <w:rsid w:val="00F80D31"/>
    <w:rsid w:val="00F82226"/>
    <w:rsid w:val="00F82843"/>
    <w:rsid w:val="00F828DC"/>
    <w:rsid w:val="00F834EC"/>
    <w:rsid w:val="00F83983"/>
    <w:rsid w:val="00F83B77"/>
    <w:rsid w:val="00F844D6"/>
    <w:rsid w:val="00F853F7"/>
    <w:rsid w:val="00F8582C"/>
    <w:rsid w:val="00F90713"/>
    <w:rsid w:val="00F908D1"/>
    <w:rsid w:val="00F90A8C"/>
    <w:rsid w:val="00F90BB0"/>
    <w:rsid w:val="00F90DBE"/>
    <w:rsid w:val="00F91063"/>
    <w:rsid w:val="00F91429"/>
    <w:rsid w:val="00F917EC"/>
    <w:rsid w:val="00F91C4B"/>
    <w:rsid w:val="00F926DB"/>
    <w:rsid w:val="00F9342A"/>
    <w:rsid w:val="00F93864"/>
    <w:rsid w:val="00F93CBD"/>
    <w:rsid w:val="00F9491D"/>
    <w:rsid w:val="00F95228"/>
    <w:rsid w:val="00F97038"/>
    <w:rsid w:val="00FA04EF"/>
    <w:rsid w:val="00FA06C8"/>
    <w:rsid w:val="00FA1314"/>
    <w:rsid w:val="00FA200F"/>
    <w:rsid w:val="00FA3766"/>
    <w:rsid w:val="00FA3CB5"/>
    <w:rsid w:val="00FA43E5"/>
    <w:rsid w:val="00FA5731"/>
    <w:rsid w:val="00FA57B9"/>
    <w:rsid w:val="00FA5B18"/>
    <w:rsid w:val="00FA5CB0"/>
    <w:rsid w:val="00FA5D80"/>
    <w:rsid w:val="00FA7866"/>
    <w:rsid w:val="00FB0C24"/>
    <w:rsid w:val="00FB0FEC"/>
    <w:rsid w:val="00FB1018"/>
    <w:rsid w:val="00FB1995"/>
    <w:rsid w:val="00FB25CC"/>
    <w:rsid w:val="00FB34AC"/>
    <w:rsid w:val="00FB3C99"/>
    <w:rsid w:val="00FB57B5"/>
    <w:rsid w:val="00FC0CAA"/>
    <w:rsid w:val="00FC1E26"/>
    <w:rsid w:val="00FC25A8"/>
    <w:rsid w:val="00FC28C2"/>
    <w:rsid w:val="00FC2A4C"/>
    <w:rsid w:val="00FC2CA9"/>
    <w:rsid w:val="00FC3159"/>
    <w:rsid w:val="00FC3342"/>
    <w:rsid w:val="00FC3ABA"/>
    <w:rsid w:val="00FC451F"/>
    <w:rsid w:val="00FC4E8B"/>
    <w:rsid w:val="00FC5A4D"/>
    <w:rsid w:val="00FC616D"/>
    <w:rsid w:val="00FD0DC2"/>
    <w:rsid w:val="00FD1071"/>
    <w:rsid w:val="00FD11E3"/>
    <w:rsid w:val="00FD1E89"/>
    <w:rsid w:val="00FD2324"/>
    <w:rsid w:val="00FD239E"/>
    <w:rsid w:val="00FD293D"/>
    <w:rsid w:val="00FD36C4"/>
    <w:rsid w:val="00FD3A74"/>
    <w:rsid w:val="00FD4572"/>
    <w:rsid w:val="00FD4D9A"/>
    <w:rsid w:val="00FD5752"/>
    <w:rsid w:val="00FD5C0D"/>
    <w:rsid w:val="00FD6074"/>
    <w:rsid w:val="00FD6771"/>
    <w:rsid w:val="00FD74B6"/>
    <w:rsid w:val="00FD7995"/>
    <w:rsid w:val="00FE0CA2"/>
    <w:rsid w:val="00FE0F99"/>
    <w:rsid w:val="00FE17A1"/>
    <w:rsid w:val="00FE1AAC"/>
    <w:rsid w:val="00FE1E33"/>
    <w:rsid w:val="00FE4A62"/>
    <w:rsid w:val="00FE5337"/>
    <w:rsid w:val="00FE691A"/>
    <w:rsid w:val="00FE7709"/>
    <w:rsid w:val="00FE77A9"/>
    <w:rsid w:val="00FF1D6E"/>
    <w:rsid w:val="00FF3B64"/>
    <w:rsid w:val="00FF3D6B"/>
    <w:rsid w:val="00FF47BB"/>
    <w:rsid w:val="00FF55DF"/>
    <w:rsid w:val="00FF5986"/>
    <w:rsid w:val="00FF632D"/>
    <w:rsid w:val="00FF752B"/>
    <w:rsid w:val="00FF7A3C"/>
    <w:rsid w:val="00FF7E26"/>
    <w:rsid w:val="00FF7FD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FFD0C"/>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C19"/>
    <w:pPr>
      <w:spacing w:after="160" w:line="480" w:lineRule="auto"/>
      <w:ind w:firstLine="709"/>
    </w:pPr>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APrrafo">
    <w:name w:val="APA Párrafo"/>
    <w:basedOn w:val="Normal"/>
    <w:qFormat/>
    <w:rsid w:val="00F95228"/>
    <w:pPr>
      <w:pBdr>
        <w:top w:val="nil"/>
        <w:left w:val="nil"/>
        <w:bottom w:val="nil"/>
        <w:right w:val="nil"/>
        <w:between w:val="nil"/>
      </w:pBdr>
      <w:spacing w:after="0"/>
      <w:jc w:val="both"/>
    </w:pPr>
    <w:rPr>
      <w:rFonts w:eastAsia="Times New Roman" w:cs="Calibri"/>
      <w:lang w:val="es-ES" w:eastAsia="es-CO"/>
    </w:rPr>
  </w:style>
  <w:style w:type="table" w:styleId="Tablaconcuadrcula">
    <w:name w:val="Table Grid"/>
    <w:basedOn w:val="Tablanormal"/>
    <w:uiPriority w:val="39"/>
    <w:rsid w:val="00F95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1475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475C"/>
    <w:rPr>
      <w:rFonts w:ascii="Segoe UI" w:hAnsi="Segoe UI" w:cs="Segoe UI"/>
      <w:sz w:val="18"/>
      <w:szCs w:val="18"/>
    </w:rPr>
  </w:style>
  <w:style w:type="paragraph" w:styleId="Textocomentario">
    <w:name w:val="annotation text"/>
    <w:basedOn w:val="Normal"/>
    <w:link w:val="TextocomentarioCar"/>
    <w:uiPriority w:val="99"/>
    <w:unhideWhenUsed/>
    <w:rsid w:val="0041475C"/>
    <w:pPr>
      <w:spacing w:line="240" w:lineRule="auto"/>
    </w:pPr>
    <w:rPr>
      <w:sz w:val="20"/>
      <w:szCs w:val="20"/>
    </w:rPr>
  </w:style>
  <w:style w:type="character" w:customStyle="1" w:styleId="TextocomentarioCar">
    <w:name w:val="Texto comentario Car"/>
    <w:link w:val="Textocomentario"/>
    <w:uiPriority w:val="99"/>
    <w:rsid w:val="0041475C"/>
    <w:rPr>
      <w:sz w:val="20"/>
      <w:szCs w:val="20"/>
    </w:rPr>
  </w:style>
  <w:style w:type="character" w:styleId="Refdenotaalpie">
    <w:name w:val="footnote reference"/>
    <w:uiPriority w:val="99"/>
    <w:semiHidden/>
    <w:unhideWhenUsed/>
    <w:rsid w:val="0041475C"/>
    <w:rPr>
      <w:vertAlign w:val="superscript"/>
    </w:rPr>
  </w:style>
  <w:style w:type="character" w:styleId="Refdecomentario">
    <w:name w:val="annotation reference"/>
    <w:uiPriority w:val="99"/>
    <w:semiHidden/>
    <w:unhideWhenUsed/>
    <w:rsid w:val="0041475C"/>
    <w:rPr>
      <w:sz w:val="18"/>
      <w:szCs w:val="18"/>
    </w:rPr>
  </w:style>
  <w:style w:type="paragraph" w:styleId="Encabezado">
    <w:name w:val="header"/>
    <w:basedOn w:val="Normal"/>
    <w:link w:val="EncabezadoCar"/>
    <w:uiPriority w:val="99"/>
    <w:unhideWhenUsed/>
    <w:rsid w:val="009F3D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3DF5"/>
  </w:style>
  <w:style w:type="paragraph" w:styleId="Piedepgina">
    <w:name w:val="footer"/>
    <w:basedOn w:val="Normal"/>
    <w:link w:val="PiedepginaCar"/>
    <w:uiPriority w:val="99"/>
    <w:unhideWhenUsed/>
    <w:rsid w:val="009F3D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3DF5"/>
  </w:style>
  <w:style w:type="paragraph" w:styleId="NormalWeb">
    <w:name w:val="Normal (Web)"/>
    <w:basedOn w:val="Normal"/>
    <w:uiPriority w:val="99"/>
    <w:semiHidden/>
    <w:unhideWhenUsed/>
    <w:rsid w:val="005C5C9C"/>
    <w:pPr>
      <w:spacing w:before="100" w:beforeAutospacing="1" w:after="100" w:afterAutospacing="1" w:line="240" w:lineRule="auto"/>
      <w:ind w:firstLine="0"/>
    </w:pPr>
    <w:rPr>
      <w:rFonts w:eastAsia="Times New Roman"/>
      <w:lang w:eastAsia="es-CL"/>
    </w:rPr>
  </w:style>
  <w:style w:type="paragraph" w:styleId="Prrafodelista">
    <w:name w:val="List Paragraph"/>
    <w:basedOn w:val="Normal"/>
    <w:uiPriority w:val="34"/>
    <w:qFormat/>
    <w:rsid w:val="00AF3D11"/>
    <w:pPr>
      <w:ind w:left="720"/>
      <w:contextualSpacing/>
    </w:pPr>
  </w:style>
  <w:style w:type="character" w:styleId="Hipervnculo">
    <w:name w:val="Hyperlink"/>
    <w:uiPriority w:val="99"/>
    <w:unhideWhenUsed/>
    <w:rsid w:val="00DF538D"/>
    <w:rPr>
      <w:color w:val="0563C1"/>
      <w:u w:val="single"/>
    </w:rPr>
  </w:style>
  <w:style w:type="character" w:customStyle="1" w:styleId="Mencinsinresolver1">
    <w:name w:val="Mención sin resolver1"/>
    <w:uiPriority w:val="99"/>
    <w:semiHidden/>
    <w:unhideWhenUsed/>
    <w:rsid w:val="00DF538D"/>
    <w:rPr>
      <w:color w:val="605E5C"/>
      <w:shd w:val="clear" w:color="auto" w:fill="E1DFDD"/>
    </w:rPr>
  </w:style>
  <w:style w:type="character" w:customStyle="1" w:styleId="elsevieritemreferenciahostrevistalink">
    <w:name w:val="elsevieritemreferenciahostrevistalink"/>
    <w:basedOn w:val="Fuentedeprrafopredeter"/>
    <w:rsid w:val="008F5CB1"/>
  </w:style>
  <w:style w:type="paragraph" w:styleId="Asuntodelcomentario">
    <w:name w:val="annotation subject"/>
    <w:basedOn w:val="Textocomentario"/>
    <w:next w:val="Textocomentario"/>
    <w:link w:val="AsuntodelcomentarioCar"/>
    <w:uiPriority w:val="99"/>
    <w:semiHidden/>
    <w:unhideWhenUsed/>
    <w:rsid w:val="00C51DE7"/>
    <w:rPr>
      <w:b/>
      <w:bCs/>
    </w:rPr>
  </w:style>
  <w:style w:type="character" w:customStyle="1" w:styleId="AsuntodelcomentarioCar">
    <w:name w:val="Asunto del comentario Car"/>
    <w:link w:val="Asuntodelcomentario"/>
    <w:uiPriority w:val="99"/>
    <w:semiHidden/>
    <w:rsid w:val="00C51DE7"/>
    <w:rPr>
      <w:b/>
      <w:bCs/>
      <w:sz w:val="20"/>
      <w:szCs w:val="20"/>
    </w:rPr>
  </w:style>
  <w:style w:type="paragraph" w:customStyle="1" w:styleId="APAReferencias">
    <w:name w:val="APA Referencias"/>
    <w:basedOn w:val="Normal"/>
    <w:qFormat/>
    <w:rsid w:val="000D2632"/>
    <w:pPr>
      <w:pBdr>
        <w:top w:val="nil"/>
        <w:left w:val="nil"/>
        <w:bottom w:val="nil"/>
        <w:right w:val="nil"/>
        <w:between w:val="nil"/>
      </w:pBdr>
      <w:spacing w:after="0"/>
      <w:ind w:left="720" w:hanging="720"/>
      <w:jc w:val="both"/>
    </w:pPr>
    <w:rPr>
      <w:rFonts w:eastAsia="Times New Roman" w:cs="Calibri"/>
      <w:noProof/>
      <w:lang w:val="es-ES" w:eastAsia="es-CO"/>
    </w:rPr>
  </w:style>
  <w:style w:type="character" w:styleId="Hipervnculovisitado">
    <w:name w:val="FollowedHyperlink"/>
    <w:uiPriority w:val="99"/>
    <w:semiHidden/>
    <w:unhideWhenUsed/>
    <w:rsid w:val="00914BA4"/>
    <w:rPr>
      <w:color w:val="954F72"/>
      <w:u w:val="single"/>
    </w:rPr>
  </w:style>
  <w:style w:type="table" w:customStyle="1" w:styleId="Tablaconcuadrcula1">
    <w:name w:val="Tabla con cuadrícula1"/>
    <w:basedOn w:val="Tablanormal"/>
    <w:next w:val="Tablaconcuadrcula"/>
    <w:uiPriority w:val="39"/>
    <w:rsid w:val="00D142B8"/>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38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eastAsia="es-CL"/>
    </w:rPr>
  </w:style>
  <w:style w:type="character" w:customStyle="1" w:styleId="HTMLconformatoprevioCar">
    <w:name w:val="HTML con formato previo Car"/>
    <w:link w:val="HTMLconformatoprevio"/>
    <w:uiPriority w:val="99"/>
    <w:semiHidden/>
    <w:rsid w:val="00382E14"/>
    <w:rPr>
      <w:rFonts w:ascii="Courier New" w:eastAsia="Times New Roman" w:hAnsi="Courier New" w:cs="Courier New"/>
    </w:rPr>
  </w:style>
  <w:style w:type="character" w:customStyle="1" w:styleId="y2iqfc">
    <w:name w:val="y2iqfc"/>
    <w:rsid w:val="00382E14"/>
  </w:style>
  <w:style w:type="table" w:customStyle="1" w:styleId="Tablaconcuadrcula2">
    <w:name w:val="Tabla con cuadrícula2"/>
    <w:basedOn w:val="Tablanormal"/>
    <w:next w:val="Tablaconcuadrcula"/>
    <w:uiPriority w:val="39"/>
    <w:rsid w:val="00051305"/>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950F3"/>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E18F1"/>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939A8"/>
    <w:rPr>
      <w:sz w:val="24"/>
      <w:szCs w:val="24"/>
      <w:lang w:eastAsia="en-US"/>
    </w:rPr>
  </w:style>
  <w:style w:type="character" w:customStyle="1" w:styleId="UnresolvedMention">
    <w:name w:val="Unresolved Mention"/>
    <w:basedOn w:val="Fuentedeprrafopredeter"/>
    <w:uiPriority w:val="99"/>
    <w:semiHidden/>
    <w:unhideWhenUsed/>
    <w:rsid w:val="00F82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5726">
      <w:bodyDiv w:val="1"/>
      <w:marLeft w:val="0"/>
      <w:marRight w:val="0"/>
      <w:marTop w:val="0"/>
      <w:marBottom w:val="0"/>
      <w:divBdr>
        <w:top w:val="none" w:sz="0" w:space="0" w:color="auto"/>
        <w:left w:val="none" w:sz="0" w:space="0" w:color="auto"/>
        <w:bottom w:val="none" w:sz="0" w:space="0" w:color="auto"/>
        <w:right w:val="none" w:sz="0" w:space="0" w:color="auto"/>
      </w:divBdr>
    </w:div>
    <w:div w:id="295183065">
      <w:bodyDiv w:val="1"/>
      <w:marLeft w:val="0"/>
      <w:marRight w:val="0"/>
      <w:marTop w:val="0"/>
      <w:marBottom w:val="0"/>
      <w:divBdr>
        <w:top w:val="none" w:sz="0" w:space="0" w:color="auto"/>
        <w:left w:val="none" w:sz="0" w:space="0" w:color="auto"/>
        <w:bottom w:val="none" w:sz="0" w:space="0" w:color="auto"/>
        <w:right w:val="none" w:sz="0" w:space="0" w:color="auto"/>
      </w:divBdr>
    </w:div>
    <w:div w:id="296689666">
      <w:bodyDiv w:val="1"/>
      <w:marLeft w:val="0"/>
      <w:marRight w:val="0"/>
      <w:marTop w:val="0"/>
      <w:marBottom w:val="0"/>
      <w:divBdr>
        <w:top w:val="none" w:sz="0" w:space="0" w:color="auto"/>
        <w:left w:val="none" w:sz="0" w:space="0" w:color="auto"/>
        <w:bottom w:val="none" w:sz="0" w:space="0" w:color="auto"/>
        <w:right w:val="none" w:sz="0" w:space="0" w:color="auto"/>
      </w:divBdr>
    </w:div>
    <w:div w:id="323096923">
      <w:bodyDiv w:val="1"/>
      <w:marLeft w:val="0"/>
      <w:marRight w:val="0"/>
      <w:marTop w:val="0"/>
      <w:marBottom w:val="0"/>
      <w:divBdr>
        <w:top w:val="none" w:sz="0" w:space="0" w:color="auto"/>
        <w:left w:val="none" w:sz="0" w:space="0" w:color="auto"/>
        <w:bottom w:val="none" w:sz="0" w:space="0" w:color="auto"/>
        <w:right w:val="none" w:sz="0" w:space="0" w:color="auto"/>
      </w:divBdr>
    </w:div>
    <w:div w:id="454954468">
      <w:bodyDiv w:val="1"/>
      <w:marLeft w:val="0"/>
      <w:marRight w:val="0"/>
      <w:marTop w:val="0"/>
      <w:marBottom w:val="0"/>
      <w:divBdr>
        <w:top w:val="none" w:sz="0" w:space="0" w:color="auto"/>
        <w:left w:val="none" w:sz="0" w:space="0" w:color="auto"/>
        <w:bottom w:val="none" w:sz="0" w:space="0" w:color="auto"/>
        <w:right w:val="none" w:sz="0" w:space="0" w:color="auto"/>
      </w:divBdr>
    </w:div>
    <w:div w:id="458114684">
      <w:bodyDiv w:val="1"/>
      <w:marLeft w:val="0"/>
      <w:marRight w:val="0"/>
      <w:marTop w:val="0"/>
      <w:marBottom w:val="0"/>
      <w:divBdr>
        <w:top w:val="none" w:sz="0" w:space="0" w:color="auto"/>
        <w:left w:val="none" w:sz="0" w:space="0" w:color="auto"/>
        <w:bottom w:val="none" w:sz="0" w:space="0" w:color="auto"/>
        <w:right w:val="none" w:sz="0" w:space="0" w:color="auto"/>
      </w:divBdr>
    </w:div>
    <w:div w:id="550314820">
      <w:bodyDiv w:val="1"/>
      <w:marLeft w:val="0"/>
      <w:marRight w:val="0"/>
      <w:marTop w:val="0"/>
      <w:marBottom w:val="0"/>
      <w:divBdr>
        <w:top w:val="none" w:sz="0" w:space="0" w:color="auto"/>
        <w:left w:val="none" w:sz="0" w:space="0" w:color="auto"/>
        <w:bottom w:val="none" w:sz="0" w:space="0" w:color="auto"/>
        <w:right w:val="none" w:sz="0" w:space="0" w:color="auto"/>
      </w:divBdr>
    </w:div>
    <w:div w:id="577130012">
      <w:bodyDiv w:val="1"/>
      <w:marLeft w:val="0"/>
      <w:marRight w:val="0"/>
      <w:marTop w:val="0"/>
      <w:marBottom w:val="0"/>
      <w:divBdr>
        <w:top w:val="none" w:sz="0" w:space="0" w:color="auto"/>
        <w:left w:val="none" w:sz="0" w:space="0" w:color="auto"/>
        <w:bottom w:val="none" w:sz="0" w:space="0" w:color="auto"/>
        <w:right w:val="none" w:sz="0" w:space="0" w:color="auto"/>
      </w:divBdr>
    </w:div>
    <w:div w:id="583610607">
      <w:bodyDiv w:val="1"/>
      <w:marLeft w:val="0"/>
      <w:marRight w:val="0"/>
      <w:marTop w:val="0"/>
      <w:marBottom w:val="0"/>
      <w:divBdr>
        <w:top w:val="none" w:sz="0" w:space="0" w:color="auto"/>
        <w:left w:val="none" w:sz="0" w:space="0" w:color="auto"/>
        <w:bottom w:val="none" w:sz="0" w:space="0" w:color="auto"/>
        <w:right w:val="none" w:sz="0" w:space="0" w:color="auto"/>
      </w:divBdr>
      <w:divsChild>
        <w:div w:id="212036603">
          <w:marLeft w:val="600"/>
          <w:marRight w:val="0"/>
          <w:marTop w:val="0"/>
          <w:marBottom w:val="0"/>
          <w:divBdr>
            <w:top w:val="none" w:sz="0" w:space="0" w:color="auto"/>
            <w:left w:val="none" w:sz="0" w:space="0" w:color="auto"/>
            <w:bottom w:val="none" w:sz="0" w:space="0" w:color="auto"/>
            <w:right w:val="none" w:sz="0" w:space="0" w:color="auto"/>
          </w:divBdr>
          <w:divsChild>
            <w:div w:id="1107895516">
              <w:marLeft w:val="0"/>
              <w:marRight w:val="0"/>
              <w:marTop w:val="0"/>
              <w:marBottom w:val="0"/>
              <w:divBdr>
                <w:top w:val="none" w:sz="0" w:space="0" w:color="auto"/>
                <w:left w:val="none" w:sz="0" w:space="0" w:color="auto"/>
                <w:bottom w:val="none" w:sz="0" w:space="0" w:color="auto"/>
                <w:right w:val="none" w:sz="0" w:space="0" w:color="auto"/>
              </w:divBdr>
              <w:divsChild>
                <w:div w:id="1778526272">
                  <w:marLeft w:val="0"/>
                  <w:marRight w:val="0"/>
                  <w:marTop w:val="0"/>
                  <w:marBottom w:val="0"/>
                  <w:divBdr>
                    <w:top w:val="none" w:sz="0" w:space="0" w:color="auto"/>
                    <w:left w:val="none" w:sz="0" w:space="0" w:color="auto"/>
                    <w:bottom w:val="none" w:sz="0" w:space="0" w:color="auto"/>
                    <w:right w:val="none" w:sz="0" w:space="0" w:color="auto"/>
                  </w:divBdr>
                  <w:divsChild>
                    <w:div w:id="9123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76831">
              <w:marLeft w:val="0"/>
              <w:marRight w:val="0"/>
              <w:marTop w:val="0"/>
              <w:marBottom w:val="0"/>
              <w:divBdr>
                <w:top w:val="none" w:sz="0" w:space="0" w:color="auto"/>
                <w:left w:val="none" w:sz="0" w:space="0" w:color="auto"/>
                <w:bottom w:val="none" w:sz="0" w:space="0" w:color="auto"/>
                <w:right w:val="none" w:sz="0" w:space="0" w:color="auto"/>
              </w:divBdr>
              <w:divsChild>
                <w:div w:id="127817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32899">
      <w:bodyDiv w:val="1"/>
      <w:marLeft w:val="0"/>
      <w:marRight w:val="0"/>
      <w:marTop w:val="0"/>
      <w:marBottom w:val="0"/>
      <w:divBdr>
        <w:top w:val="none" w:sz="0" w:space="0" w:color="auto"/>
        <w:left w:val="none" w:sz="0" w:space="0" w:color="auto"/>
        <w:bottom w:val="none" w:sz="0" w:space="0" w:color="auto"/>
        <w:right w:val="none" w:sz="0" w:space="0" w:color="auto"/>
      </w:divBdr>
    </w:div>
    <w:div w:id="650862762">
      <w:bodyDiv w:val="1"/>
      <w:marLeft w:val="0"/>
      <w:marRight w:val="0"/>
      <w:marTop w:val="0"/>
      <w:marBottom w:val="0"/>
      <w:divBdr>
        <w:top w:val="none" w:sz="0" w:space="0" w:color="auto"/>
        <w:left w:val="none" w:sz="0" w:space="0" w:color="auto"/>
        <w:bottom w:val="none" w:sz="0" w:space="0" w:color="auto"/>
        <w:right w:val="none" w:sz="0" w:space="0" w:color="auto"/>
      </w:divBdr>
    </w:div>
    <w:div w:id="715012328">
      <w:bodyDiv w:val="1"/>
      <w:marLeft w:val="0"/>
      <w:marRight w:val="0"/>
      <w:marTop w:val="0"/>
      <w:marBottom w:val="0"/>
      <w:divBdr>
        <w:top w:val="none" w:sz="0" w:space="0" w:color="auto"/>
        <w:left w:val="none" w:sz="0" w:space="0" w:color="auto"/>
        <w:bottom w:val="none" w:sz="0" w:space="0" w:color="auto"/>
        <w:right w:val="none" w:sz="0" w:space="0" w:color="auto"/>
      </w:divBdr>
    </w:div>
    <w:div w:id="715734891">
      <w:bodyDiv w:val="1"/>
      <w:marLeft w:val="0"/>
      <w:marRight w:val="0"/>
      <w:marTop w:val="0"/>
      <w:marBottom w:val="0"/>
      <w:divBdr>
        <w:top w:val="none" w:sz="0" w:space="0" w:color="auto"/>
        <w:left w:val="none" w:sz="0" w:space="0" w:color="auto"/>
        <w:bottom w:val="none" w:sz="0" w:space="0" w:color="auto"/>
        <w:right w:val="none" w:sz="0" w:space="0" w:color="auto"/>
      </w:divBdr>
    </w:div>
    <w:div w:id="811289874">
      <w:bodyDiv w:val="1"/>
      <w:marLeft w:val="0"/>
      <w:marRight w:val="0"/>
      <w:marTop w:val="0"/>
      <w:marBottom w:val="0"/>
      <w:divBdr>
        <w:top w:val="none" w:sz="0" w:space="0" w:color="auto"/>
        <w:left w:val="none" w:sz="0" w:space="0" w:color="auto"/>
        <w:bottom w:val="none" w:sz="0" w:space="0" w:color="auto"/>
        <w:right w:val="none" w:sz="0" w:space="0" w:color="auto"/>
      </w:divBdr>
    </w:div>
    <w:div w:id="854879369">
      <w:bodyDiv w:val="1"/>
      <w:marLeft w:val="0"/>
      <w:marRight w:val="0"/>
      <w:marTop w:val="0"/>
      <w:marBottom w:val="0"/>
      <w:divBdr>
        <w:top w:val="none" w:sz="0" w:space="0" w:color="auto"/>
        <w:left w:val="none" w:sz="0" w:space="0" w:color="auto"/>
        <w:bottom w:val="none" w:sz="0" w:space="0" w:color="auto"/>
        <w:right w:val="none" w:sz="0" w:space="0" w:color="auto"/>
      </w:divBdr>
    </w:div>
    <w:div w:id="1246957148">
      <w:bodyDiv w:val="1"/>
      <w:marLeft w:val="0"/>
      <w:marRight w:val="0"/>
      <w:marTop w:val="0"/>
      <w:marBottom w:val="0"/>
      <w:divBdr>
        <w:top w:val="none" w:sz="0" w:space="0" w:color="auto"/>
        <w:left w:val="none" w:sz="0" w:space="0" w:color="auto"/>
        <w:bottom w:val="none" w:sz="0" w:space="0" w:color="auto"/>
        <w:right w:val="none" w:sz="0" w:space="0" w:color="auto"/>
      </w:divBdr>
    </w:div>
    <w:div w:id="1276905044">
      <w:bodyDiv w:val="1"/>
      <w:marLeft w:val="0"/>
      <w:marRight w:val="0"/>
      <w:marTop w:val="0"/>
      <w:marBottom w:val="0"/>
      <w:divBdr>
        <w:top w:val="none" w:sz="0" w:space="0" w:color="auto"/>
        <w:left w:val="none" w:sz="0" w:space="0" w:color="auto"/>
        <w:bottom w:val="none" w:sz="0" w:space="0" w:color="auto"/>
        <w:right w:val="none" w:sz="0" w:space="0" w:color="auto"/>
      </w:divBdr>
    </w:div>
    <w:div w:id="1330989159">
      <w:bodyDiv w:val="1"/>
      <w:marLeft w:val="0"/>
      <w:marRight w:val="0"/>
      <w:marTop w:val="0"/>
      <w:marBottom w:val="0"/>
      <w:divBdr>
        <w:top w:val="none" w:sz="0" w:space="0" w:color="auto"/>
        <w:left w:val="none" w:sz="0" w:space="0" w:color="auto"/>
        <w:bottom w:val="none" w:sz="0" w:space="0" w:color="auto"/>
        <w:right w:val="none" w:sz="0" w:space="0" w:color="auto"/>
      </w:divBdr>
    </w:div>
    <w:div w:id="1420515651">
      <w:bodyDiv w:val="1"/>
      <w:marLeft w:val="0"/>
      <w:marRight w:val="0"/>
      <w:marTop w:val="0"/>
      <w:marBottom w:val="0"/>
      <w:divBdr>
        <w:top w:val="none" w:sz="0" w:space="0" w:color="auto"/>
        <w:left w:val="none" w:sz="0" w:space="0" w:color="auto"/>
        <w:bottom w:val="none" w:sz="0" w:space="0" w:color="auto"/>
        <w:right w:val="none" w:sz="0" w:space="0" w:color="auto"/>
      </w:divBdr>
      <w:divsChild>
        <w:div w:id="1247377213">
          <w:marLeft w:val="0"/>
          <w:marRight w:val="0"/>
          <w:marTop w:val="0"/>
          <w:marBottom w:val="0"/>
          <w:divBdr>
            <w:top w:val="none" w:sz="0" w:space="0" w:color="auto"/>
            <w:left w:val="none" w:sz="0" w:space="0" w:color="auto"/>
            <w:bottom w:val="none" w:sz="0" w:space="0" w:color="auto"/>
            <w:right w:val="none" w:sz="0" w:space="0" w:color="auto"/>
          </w:divBdr>
        </w:div>
      </w:divsChild>
    </w:div>
    <w:div w:id="1475101861">
      <w:bodyDiv w:val="1"/>
      <w:marLeft w:val="0"/>
      <w:marRight w:val="0"/>
      <w:marTop w:val="0"/>
      <w:marBottom w:val="0"/>
      <w:divBdr>
        <w:top w:val="none" w:sz="0" w:space="0" w:color="auto"/>
        <w:left w:val="none" w:sz="0" w:space="0" w:color="auto"/>
        <w:bottom w:val="none" w:sz="0" w:space="0" w:color="auto"/>
        <w:right w:val="none" w:sz="0" w:space="0" w:color="auto"/>
      </w:divBdr>
    </w:div>
    <w:div w:id="1641807880">
      <w:bodyDiv w:val="1"/>
      <w:marLeft w:val="0"/>
      <w:marRight w:val="0"/>
      <w:marTop w:val="0"/>
      <w:marBottom w:val="0"/>
      <w:divBdr>
        <w:top w:val="none" w:sz="0" w:space="0" w:color="auto"/>
        <w:left w:val="none" w:sz="0" w:space="0" w:color="auto"/>
        <w:bottom w:val="none" w:sz="0" w:space="0" w:color="auto"/>
        <w:right w:val="none" w:sz="0" w:space="0" w:color="auto"/>
      </w:divBdr>
    </w:div>
    <w:div w:id="1666469983">
      <w:bodyDiv w:val="1"/>
      <w:marLeft w:val="0"/>
      <w:marRight w:val="0"/>
      <w:marTop w:val="0"/>
      <w:marBottom w:val="0"/>
      <w:divBdr>
        <w:top w:val="none" w:sz="0" w:space="0" w:color="auto"/>
        <w:left w:val="none" w:sz="0" w:space="0" w:color="auto"/>
        <w:bottom w:val="none" w:sz="0" w:space="0" w:color="auto"/>
        <w:right w:val="none" w:sz="0" w:space="0" w:color="auto"/>
      </w:divBdr>
    </w:div>
    <w:div w:id="1710060807">
      <w:bodyDiv w:val="1"/>
      <w:marLeft w:val="0"/>
      <w:marRight w:val="0"/>
      <w:marTop w:val="0"/>
      <w:marBottom w:val="0"/>
      <w:divBdr>
        <w:top w:val="none" w:sz="0" w:space="0" w:color="auto"/>
        <w:left w:val="none" w:sz="0" w:space="0" w:color="auto"/>
        <w:bottom w:val="none" w:sz="0" w:space="0" w:color="auto"/>
        <w:right w:val="none" w:sz="0" w:space="0" w:color="auto"/>
      </w:divBdr>
    </w:div>
    <w:div w:id="1719738449">
      <w:bodyDiv w:val="1"/>
      <w:marLeft w:val="0"/>
      <w:marRight w:val="0"/>
      <w:marTop w:val="0"/>
      <w:marBottom w:val="0"/>
      <w:divBdr>
        <w:top w:val="none" w:sz="0" w:space="0" w:color="auto"/>
        <w:left w:val="none" w:sz="0" w:space="0" w:color="auto"/>
        <w:bottom w:val="none" w:sz="0" w:space="0" w:color="auto"/>
        <w:right w:val="none" w:sz="0" w:space="0" w:color="auto"/>
      </w:divBdr>
    </w:div>
    <w:div w:id="1752967654">
      <w:bodyDiv w:val="1"/>
      <w:marLeft w:val="0"/>
      <w:marRight w:val="0"/>
      <w:marTop w:val="0"/>
      <w:marBottom w:val="0"/>
      <w:divBdr>
        <w:top w:val="none" w:sz="0" w:space="0" w:color="auto"/>
        <w:left w:val="none" w:sz="0" w:space="0" w:color="auto"/>
        <w:bottom w:val="none" w:sz="0" w:space="0" w:color="auto"/>
        <w:right w:val="none" w:sz="0" w:space="0" w:color="auto"/>
      </w:divBdr>
    </w:div>
    <w:div w:id="1952584485">
      <w:bodyDiv w:val="1"/>
      <w:marLeft w:val="0"/>
      <w:marRight w:val="0"/>
      <w:marTop w:val="0"/>
      <w:marBottom w:val="0"/>
      <w:divBdr>
        <w:top w:val="none" w:sz="0" w:space="0" w:color="auto"/>
        <w:left w:val="none" w:sz="0" w:space="0" w:color="auto"/>
        <w:bottom w:val="none" w:sz="0" w:space="0" w:color="auto"/>
        <w:right w:val="none" w:sz="0" w:space="0" w:color="auto"/>
      </w:divBdr>
    </w:div>
    <w:div w:id="204127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jintrel.2005.07.013" TargetMode="External"/><Relationship Id="rId18" Type="http://schemas.openxmlformats.org/officeDocument/2006/relationships/hyperlink" Target="https://doi.org/10.6018/analesps.34.1.266201" TargetMode="External"/><Relationship Id="rId26" Type="http://schemas.openxmlformats.org/officeDocument/2006/relationships/hyperlink" Target="http://dx.doi.org/10.1037/a0022642" TargetMode="External"/><Relationship Id="rId39" Type="http://schemas.openxmlformats.org/officeDocument/2006/relationships/hyperlink" Target="https://doi.org/10.1002/ejsp.2514" TargetMode="External"/><Relationship Id="rId21" Type="http://schemas.openxmlformats.org/officeDocument/2006/relationships/hyperlink" Target="https://doi.org/10.1177/1368430221990082" TargetMode="External"/><Relationship Id="rId34" Type="http://schemas.openxmlformats.org/officeDocument/2006/relationships/hyperlink" Target="https://publications.iom.int/system/files/pdf/wmr_2020_es.pdf" TargetMode="External"/><Relationship Id="rId42" Type="http://schemas.openxmlformats.org/officeDocument/2006/relationships/hyperlink" Target="https://doi.org/10.1037/ort0000524" TargetMode="External"/><Relationship Id="rId47" Type="http://schemas.openxmlformats.org/officeDocument/2006/relationships/hyperlink" Target="https://doi.org/10.1177/1012690217731293" TargetMode="External"/><Relationship Id="rId50" Type="http://schemas.openxmlformats.org/officeDocument/2006/relationships/hyperlink" Target="https://doi.org/10.1146/annurev.soc.24.1.77" TargetMode="External"/><Relationship Id="rId55" Type="http://schemas.openxmlformats.org/officeDocument/2006/relationships/hyperlink" Target="https://doi.org/10.1037/a0036089" TargetMode="External"/><Relationship Id="rId63" Type="http://schemas.openxmlformats.org/officeDocument/2006/relationships/hyperlink" Target="https://doi.org/10.1080/15298868.2018.1430062" TargetMode="External"/><Relationship Id="rId68" Type="http://schemas.openxmlformats.org/officeDocument/2006/relationships/hyperlink" Target="https://doi.org/10.3389/fpsyg.2020.606316" TargetMode="External"/><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11/j.1464-0597.2006.00256.x" TargetMode="External"/><Relationship Id="rId29" Type="http://schemas.openxmlformats.org/officeDocument/2006/relationships/hyperlink" Target="https://doi.org/10.1016/j.jesp.2019.103853" TargetMode="External"/><Relationship Id="rId11" Type="http://schemas.openxmlformats.org/officeDocument/2006/relationships/hyperlink" Target="https://doi.org/10.1177/0020764019867994" TargetMode="External"/><Relationship Id="rId24" Type="http://schemas.openxmlformats.org/officeDocument/2006/relationships/hyperlink" Target="https://doi.org/10.1080/02134748.2015.1065089" TargetMode="External"/><Relationship Id="rId32" Type="http://schemas.openxmlformats.org/officeDocument/2006/relationships/hyperlink" Target="http://www.censo2017.cl/descargas/home/sintesis-de-resultados-censo2017.pdf" TargetMode="External"/><Relationship Id="rId37" Type="http://schemas.openxmlformats.org/officeDocument/2006/relationships/hyperlink" Target="https://doi.org/10.1007/s40615-019-00672-y" TargetMode="External"/><Relationship Id="rId40" Type="http://schemas.openxmlformats.org/officeDocument/2006/relationships/hyperlink" Target="https://doi.org/10.1177/1028315320932320" TargetMode="External"/><Relationship Id="rId45" Type="http://schemas.openxmlformats.org/officeDocument/2006/relationships/hyperlink" Target="https://doi.org/10.1080/15298868.2018.1430063" TargetMode="External"/><Relationship Id="rId53" Type="http://schemas.openxmlformats.org/officeDocument/2006/relationships/hyperlink" Target="https://doi.org/10.1037/a0019330" TargetMode="External"/><Relationship Id="rId58" Type="http://schemas.openxmlformats.org/officeDocument/2006/relationships/hyperlink" Target="https://doi.org/10.1037/a0028589" TargetMode="External"/><Relationship Id="rId66" Type="http://schemas.openxmlformats.org/officeDocument/2006/relationships/hyperlink" Target="https://doi.org/10.1038/srep44292" TargetMode="External"/><Relationship Id="rId7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ijintrel.2011.02.002" TargetMode="External"/><Relationship Id="rId23" Type="http://schemas.openxmlformats.org/officeDocument/2006/relationships/hyperlink" Target="https://doi.org/10.1080/02134748.2015.1065088" TargetMode="External"/><Relationship Id="rId28" Type="http://schemas.openxmlformats.org/officeDocument/2006/relationships/hyperlink" Target="https://doi.org/10.1177/0146167211424580" TargetMode="External"/><Relationship Id="rId36" Type="http://schemas.openxmlformats.org/officeDocument/2006/relationships/hyperlink" Target="https://doi.org/10.1371/journal.pone.0145611" TargetMode="External"/><Relationship Id="rId49" Type="http://schemas.openxmlformats.org/officeDocument/2006/relationships/hyperlink" Target="https://doi.org/10.1037/pspi0000014" TargetMode="External"/><Relationship Id="rId57" Type="http://schemas.openxmlformats.org/officeDocument/2006/relationships/hyperlink" Target="http://dx.doi.org/10.1007/s10508-015-0526-0" TargetMode="External"/><Relationship Id="rId61" Type="http://schemas.openxmlformats.org/officeDocument/2006/relationships/hyperlink" Target="https://doi.org/10.1080/15298868.2017.1296887" TargetMode="External"/><Relationship Id="rId10" Type="http://schemas.openxmlformats.org/officeDocument/2006/relationships/hyperlink" Target="https://www.redalyc.org/pdf/167/16728244043.pdf" TargetMode="External"/><Relationship Id="rId19" Type="http://schemas.openxmlformats.org/officeDocument/2006/relationships/hyperlink" Target="https://doi.org/10.1002/ejsp.2332" TargetMode="External"/><Relationship Id="rId31" Type="http://schemas.openxmlformats.org/officeDocument/2006/relationships/hyperlink" Target="https://doi.org/10.1111/j.1464-0597.2008.00379.x" TargetMode="External"/><Relationship Id="rId44" Type="http://schemas.openxmlformats.org/officeDocument/2006/relationships/hyperlink" Target="https://doi.org/10.1177/0146167292183006" TargetMode="External"/><Relationship Id="rId52" Type="http://schemas.openxmlformats.org/officeDocument/2006/relationships/hyperlink" Target="https://doi.org/10.25115/riem.v8i1.2164" TargetMode="External"/><Relationship Id="rId60" Type="http://schemas.openxmlformats.org/officeDocument/2006/relationships/hyperlink" Target="https://doi.org/10.1080/15298868.2016.1272485" TargetMode="External"/><Relationship Id="rId65" Type="http://schemas.openxmlformats.org/officeDocument/2006/relationships/hyperlink" Target="https://doi.org/10.1038/srep44292"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80/09540261.2020.1750801" TargetMode="External"/><Relationship Id="rId22" Type="http://schemas.openxmlformats.org/officeDocument/2006/relationships/hyperlink" Target="https://doi.org/10.1111/spc3.12193" TargetMode="External"/><Relationship Id="rId27" Type="http://schemas.openxmlformats.org/officeDocument/2006/relationships/hyperlink" Target="https://doi.org/10.1111/spc3.12531" TargetMode="External"/><Relationship Id="rId30" Type="http://schemas.openxmlformats.org/officeDocument/2006/relationships/hyperlink" Target="https://doi.org/10.1177/0095327X17737021" TargetMode="External"/><Relationship Id="rId35" Type="http://schemas.openxmlformats.org/officeDocument/2006/relationships/hyperlink" Target="https://publications.iom.int/books/informe-sobre-las-migraciones-en-el-mundo-2022" TargetMode="External"/><Relationship Id="rId43" Type="http://schemas.openxmlformats.org/officeDocument/2006/relationships/hyperlink" Target="https://doi.org/10.1177/1368430219849690" TargetMode="External"/><Relationship Id="rId48" Type="http://schemas.openxmlformats.org/officeDocument/2006/relationships/hyperlink" Target="https://doi.org/10.1371/journal.pone.0160427" TargetMode="External"/><Relationship Id="rId56" Type="http://schemas.openxmlformats.org/officeDocument/2006/relationships/hyperlink" Target="https://doi.org/10.1037/a0020014" TargetMode="External"/><Relationship Id="rId64" Type="http://schemas.openxmlformats.org/officeDocument/2006/relationships/hyperlink" Target="https://doi.org/10.1086/678698" TargetMode="External"/><Relationship Id="rId69" Type="http://schemas.openxmlformats.org/officeDocument/2006/relationships/hyperlink" Target="https://doi.org/10.3389/fpsyg.2020.%20607538" TargetMode="External"/><Relationship Id="rId77" Type="http://schemas.openxmlformats.org/officeDocument/2006/relationships/fontTable" Target="fontTable.xml"/><Relationship Id="rId8" Type="http://schemas.openxmlformats.org/officeDocument/2006/relationships/chart" Target="charts/chart1.xml"/><Relationship Id="rId51" Type="http://schemas.openxmlformats.org/officeDocument/2006/relationships/hyperlink" Target="https://doi.org/10.1111/0022-4537.00225"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doi-org/10.1111/soc4.12235" TargetMode="External"/><Relationship Id="rId17" Type="http://schemas.openxmlformats.org/officeDocument/2006/relationships/hyperlink" Target="https://doi.org/10.21909/sp.2014.01.651" TargetMode="External"/><Relationship Id="rId25" Type="http://schemas.openxmlformats.org/officeDocument/2006/relationships/hyperlink" Target="https://doi.org/10.1038/s41598-022-06590-0" TargetMode="External"/><Relationship Id="rId33" Type="http://schemas.openxmlformats.org/officeDocument/2006/relationships/hyperlink" Target="https://www.ine.cl/docs/default-source/demografia-y-migracion/publicaciones-y-anuarios/migraci&#243;n-internacional/estimaci&#243;n-poblaci&#243;n-extranjera-en-chile-2018/estimaci&#243;n-poblaci&#243;n-extranjera-en-chile-2020-metodolog&#237;a.pdf" TargetMode="External"/><Relationship Id="rId38" Type="http://schemas.openxmlformats.org/officeDocument/2006/relationships/hyperlink" Target="https://doi.org/10.1080/15298868.2019.1578686" TargetMode="External"/><Relationship Id="rId46" Type="http://schemas.openxmlformats.org/officeDocument/2006/relationships/hyperlink" Target="https://doi.org/10.1080/15298868.2018.1430063" TargetMode="External"/><Relationship Id="rId59" Type="http://schemas.openxmlformats.org/officeDocument/2006/relationships/hyperlink" Target="https://doi.org/10.31234/osf.io/prasc" TargetMode="External"/><Relationship Id="rId67" Type="http://schemas.openxmlformats.org/officeDocument/2006/relationships/hyperlink" Target="https://doi.org/10.1073/pnas.141628411" TargetMode="External"/><Relationship Id="rId20" Type="http://schemas.openxmlformats.org/officeDocument/2006/relationships/hyperlink" Target="https://doi.org/10.38178/07183089/1314210429" TargetMode="External"/><Relationship Id="rId41" Type="http://schemas.openxmlformats.org/officeDocument/2006/relationships/hyperlink" Target="https://doi.org/10.1371/journal.pone.0190639" TargetMode="External"/><Relationship Id="rId54" Type="http://schemas.openxmlformats.org/officeDocument/2006/relationships/hyperlink" Target="https://doi.org/10.1080/15298868.2018.1458645" TargetMode="External"/><Relationship Id="rId62" Type="http://schemas.openxmlformats.org/officeDocument/2006/relationships/hyperlink" Target="https://doi.org/10.1177%2F0146167220974162" TargetMode="External"/><Relationship Id="rId70" Type="http://schemas.openxmlformats.org/officeDocument/2006/relationships/hyperlink" Target="https://doi.org/10.6018/analesps.32.3.261651"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Hoja1!$B$1</c:f>
              <c:strCache>
                <c:ptCount val="1"/>
                <c:pt idx="0">
                  <c:v>FIO</c:v>
                </c:pt>
              </c:strCache>
            </c:strRef>
          </c:tx>
          <c:spPr>
            <a:ln w="28575" cap="sq">
              <a:solidFill>
                <a:schemeClr val="tx1"/>
              </a:solidFill>
              <a:prstDash val="solid"/>
              <a:bevel/>
              <a:headEnd type="none"/>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1 a 3 años</c:v>
                </c:pt>
                <c:pt idx="1">
                  <c:v>4 a 6 años</c:v>
                </c:pt>
                <c:pt idx="2">
                  <c:v>Más de 6 años</c:v>
                </c:pt>
              </c:strCache>
            </c:strRef>
          </c:cat>
          <c:val>
            <c:numRef>
              <c:f>Hoja1!$B$2:$B$4</c:f>
              <c:numCache>
                <c:formatCode>General</c:formatCode>
                <c:ptCount val="3"/>
                <c:pt idx="0">
                  <c:v>3.42</c:v>
                </c:pt>
                <c:pt idx="1">
                  <c:v>3.64</c:v>
                </c:pt>
                <c:pt idx="2">
                  <c:v>3.72</c:v>
                </c:pt>
              </c:numCache>
            </c:numRef>
          </c:val>
          <c:smooth val="0"/>
          <c:extLst>
            <c:ext xmlns:c16="http://schemas.microsoft.com/office/drawing/2014/chart" uri="{C3380CC4-5D6E-409C-BE32-E72D297353CC}">
              <c16:uniqueId val="{00000000-73BF-4F2A-A456-CAE5B1A495F3}"/>
            </c:ext>
          </c:extLst>
        </c:ser>
        <c:ser>
          <c:idx val="1"/>
          <c:order val="1"/>
          <c:tx>
            <c:strRef>
              <c:f>Hoja1!$C$1</c:f>
              <c:strCache>
                <c:ptCount val="1"/>
                <c:pt idx="0">
                  <c:v>FIA</c:v>
                </c:pt>
              </c:strCache>
            </c:strRef>
          </c:tx>
          <c:spPr>
            <a:ln w="28575" cap="rnd">
              <a:solidFill>
                <a:schemeClr val="tx1"/>
              </a:solidFill>
              <a:prstDash val="sysDash"/>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1 a 3 años</c:v>
                </c:pt>
                <c:pt idx="1">
                  <c:v>4 a 6 años</c:v>
                </c:pt>
                <c:pt idx="2">
                  <c:v>Más de 6 años</c:v>
                </c:pt>
              </c:strCache>
            </c:strRef>
          </c:cat>
          <c:val>
            <c:numRef>
              <c:f>Hoja1!$C$2:$C$4</c:f>
              <c:numCache>
                <c:formatCode>General</c:formatCode>
                <c:ptCount val="3"/>
                <c:pt idx="0">
                  <c:v>2.15</c:v>
                </c:pt>
                <c:pt idx="1">
                  <c:v>2.21</c:v>
                </c:pt>
                <c:pt idx="2">
                  <c:v>2.8</c:v>
                </c:pt>
              </c:numCache>
            </c:numRef>
          </c:val>
          <c:smooth val="0"/>
          <c:extLst>
            <c:ext xmlns:c16="http://schemas.microsoft.com/office/drawing/2014/chart" uri="{C3380CC4-5D6E-409C-BE32-E72D297353CC}">
              <c16:uniqueId val="{00000001-73BF-4F2A-A456-CAE5B1A495F3}"/>
            </c:ext>
          </c:extLst>
        </c:ser>
        <c:dLbls>
          <c:dLblPos val="t"/>
          <c:showLegendKey val="0"/>
          <c:showVal val="1"/>
          <c:showCatName val="0"/>
          <c:showSerName val="0"/>
          <c:showPercent val="0"/>
          <c:showBubbleSize val="0"/>
        </c:dLbls>
        <c:smooth val="0"/>
        <c:axId val="2093121823"/>
        <c:axId val="2093120575"/>
      </c:lineChart>
      <c:catAx>
        <c:axId val="2093121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2093120575"/>
        <c:crosses val="autoZero"/>
        <c:auto val="1"/>
        <c:lblAlgn val="ctr"/>
        <c:lblOffset val="100"/>
        <c:noMultiLvlLbl val="0"/>
      </c:catAx>
      <c:valAx>
        <c:axId val="2093120575"/>
        <c:scaling>
          <c:orientation val="minMax"/>
          <c:max val="6"/>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2093121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n>
            <a:noFill/>
          </a:ln>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Hoja1!$B$1</c:f>
              <c:strCache>
                <c:ptCount val="1"/>
                <c:pt idx="0">
                  <c:v>FIO</c:v>
                </c:pt>
              </c:strCache>
            </c:strRef>
          </c:tx>
          <c:spPr>
            <a:ln w="28575" cap="sq">
              <a:solidFill>
                <a:schemeClr val="tx1"/>
              </a:solidFill>
              <a:prstDash val="solid"/>
              <a:bevel/>
              <a:headEnd type="none"/>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1 a 3 años</c:v>
                </c:pt>
                <c:pt idx="1">
                  <c:v>4 a 6 años</c:v>
                </c:pt>
                <c:pt idx="2">
                  <c:v>Más de 6 años</c:v>
                </c:pt>
              </c:strCache>
            </c:strRef>
          </c:cat>
          <c:val>
            <c:numRef>
              <c:f>Hoja1!$B$2:$B$4</c:f>
              <c:numCache>
                <c:formatCode>General</c:formatCode>
                <c:ptCount val="3"/>
                <c:pt idx="0">
                  <c:v>3.69</c:v>
                </c:pt>
                <c:pt idx="1">
                  <c:v>3.36</c:v>
                </c:pt>
                <c:pt idx="2">
                  <c:v>4.18</c:v>
                </c:pt>
              </c:numCache>
            </c:numRef>
          </c:val>
          <c:smooth val="0"/>
          <c:extLst>
            <c:ext xmlns:c16="http://schemas.microsoft.com/office/drawing/2014/chart" uri="{C3380CC4-5D6E-409C-BE32-E72D297353CC}">
              <c16:uniqueId val="{00000000-C728-4E7C-AC82-7ADFEFA340C7}"/>
            </c:ext>
          </c:extLst>
        </c:ser>
        <c:ser>
          <c:idx val="1"/>
          <c:order val="1"/>
          <c:tx>
            <c:strRef>
              <c:f>Hoja1!$C$1</c:f>
              <c:strCache>
                <c:ptCount val="1"/>
                <c:pt idx="0">
                  <c:v>FIA</c:v>
                </c:pt>
              </c:strCache>
            </c:strRef>
          </c:tx>
          <c:spPr>
            <a:ln w="28575" cap="rnd">
              <a:solidFill>
                <a:schemeClr val="tx1"/>
              </a:solidFill>
              <a:prstDash val="sysDash"/>
              <a:round/>
            </a:ln>
            <a:effectLst/>
          </c:spPr>
          <c:marker>
            <c:symbol val="none"/>
          </c:marker>
          <c:dLbls>
            <c:dLbl>
              <c:idx val="0"/>
              <c:layout>
                <c:manualLayout>
                  <c:x val="-4.4270924467774884E-2"/>
                  <c:y val="3.10614298212722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728-4E7C-AC82-7ADFEFA340C7}"/>
                </c:ext>
              </c:extLst>
            </c:dLbl>
            <c:dLbl>
              <c:idx val="1"/>
              <c:layout>
                <c:manualLayout>
                  <c:x val="-4.0219998541848934E-2"/>
                  <c:y val="3.89979377577802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728-4E7C-AC82-7ADFEFA340C7}"/>
                </c:ext>
              </c:extLst>
            </c:dLbl>
            <c:dLbl>
              <c:idx val="2"/>
              <c:layout>
                <c:manualLayout>
                  <c:x val="-2.1701480023330586E-2"/>
                  <c:y val="2.70931758530183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728-4E7C-AC82-7ADFEFA340C7}"/>
                </c:ext>
              </c:extLst>
            </c:dLbl>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1 a 3 años</c:v>
                </c:pt>
                <c:pt idx="1">
                  <c:v>4 a 6 años</c:v>
                </c:pt>
                <c:pt idx="2">
                  <c:v>Más de 6 años</c:v>
                </c:pt>
              </c:strCache>
            </c:strRef>
          </c:cat>
          <c:val>
            <c:numRef>
              <c:f>Hoja1!$C$2:$C$4</c:f>
              <c:numCache>
                <c:formatCode>General</c:formatCode>
                <c:ptCount val="3"/>
                <c:pt idx="0">
                  <c:v>2.9</c:v>
                </c:pt>
                <c:pt idx="1">
                  <c:v>3.03</c:v>
                </c:pt>
                <c:pt idx="2">
                  <c:v>3.79</c:v>
                </c:pt>
              </c:numCache>
            </c:numRef>
          </c:val>
          <c:smooth val="0"/>
          <c:extLst>
            <c:ext xmlns:c16="http://schemas.microsoft.com/office/drawing/2014/chart" uri="{C3380CC4-5D6E-409C-BE32-E72D297353CC}">
              <c16:uniqueId val="{00000001-C728-4E7C-AC82-7ADFEFA340C7}"/>
            </c:ext>
          </c:extLst>
        </c:ser>
        <c:dLbls>
          <c:dLblPos val="t"/>
          <c:showLegendKey val="0"/>
          <c:showVal val="1"/>
          <c:showCatName val="0"/>
          <c:showSerName val="0"/>
          <c:showPercent val="0"/>
          <c:showBubbleSize val="0"/>
        </c:dLbls>
        <c:smooth val="0"/>
        <c:axId val="2093121823"/>
        <c:axId val="2093120575"/>
      </c:lineChart>
      <c:catAx>
        <c:axId val="2093121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2093120575"/>
        <c:crosses val="autoZero"/>
        <c:auto val="1"/>
        <c:lblAlgn val="ctr"/>
        <c:lblOffset val="100"/>
        <c:noMultiLvlLbl val="0"/>
      </c:catAx>
      <c:valAx>
        <c:axId val="2093120575"/>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2093121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n>
            <a:noFill/>
          </a:ln>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15F88-2596-4AA7-80D8-0B3809918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9231</Words>
  <Characters>52620</Characters>
  <Application>Microsoft Office Word</Application>
  <DocSecurity>0</DocSecurity>
  <Lines>438</Lines>
  <Paragraphs>123</Paragraphs>
  <ScaleCrop>false</ScaleCrop>
  <Company/>
  <LinksUpToDate>false</LinksUpToDate>
  <CharactersWithSpaces>61728</CharactersWithSpaces>
  <SharedDoc>false</SharedDoc>
  <HLinks>
    <vt:vector size="444" baseType="variant">
      <vt:variant>
        <vt:i4>2293822</vt:i4>
      </vt:variant>
      <vt:variant>
        <vt:i4>219</vt:i4>
      </vt:variant>
      <vt:variant>
        <vt:i4>0</vt:i4>
      </vt:variant>
      <vt:variant>
        <vt:i4>5</vt:i4>
      </vt:variant>
      <vt:variant>
        <vt:lpwstr>https://doi.org/10.3389/fpsyg.2020. 607538</vt:lpwstr>
      </vt:variant>
      <vt:variant>
        <vt:lpwstr/>
      </vt:variant>
      <vt:variant>
        <vt:i4>983055</vt:i4>
      </vt:variant>
      <vt:variant>
        <vt:i4>216</vt:i4>
      </vt:variant>
      <vt:variant>
        <vt:i4>0</vt:i4>
      </vt:variant>
      <vt:variant>
        <vt:i4>5</vt:i4>
      </vt:variant>
      <vt:variant>
        <vt:lpwstr>https://doi.org/10.3389/fpsyg.2020.606316</vt:lpwstr>
      </vt:variant>
      <vt:variant>
        <vt:lpwstr/>
      </vt:variant>
      <vt:variant>
        <vt:i4>2818100</vt:i4>
      </vt:variant>
      <vt:variant>
        <vt:i4>213</vt:i4>
      </vt:variant>
      <vt:variant>
        <vt:i4>0</vt:i4>
      </vt:variant>
      <vt:variant>
        <vt:i4>5</vt:i4>
      </vt:variant>
      <vt:variant>
        <vt:lpwstr>https://doi.org/10.1007/s10903-020-01042-1</vt:lpwstr>
      </vt:variant>
      <vt:variant>
        <vt:lpwstr/>
      </vt:variant>
      <vt:variant>
        <vt:i4>4063341</vt:i4>
      </vt:variant>
      <vt:variant>
        <vt:i4>210</vt:i4>
      </vt:variant>
      <vt:variant>
        <vt:i4>0</vt:i4>
      </vt:variant>
      <vt:variant>
        <vt:i4>5</vt:i4>
      </vt:variant>
      <vt:variant>
        <vt:lpwstr>https://doi.org/10.1073/pnas.1416284111</vt:lpwstr>
      </vt:variant>
      <vt:variant>
        <vt:lpwstr/>
      </vt:variant>
      <vt:variant>
        <vt:i4>2228331</vt:i4>
      </vt:variant>
      <vt:variant>
        <vt:i4>207</vt:i4>
      </vt:variant>
      <vt:variant>
        <vt:i4>0</vt:i4>
      </vt:variant>
      <vt:variant>
        <vt:i4>5</vt:i4>
      </vt:variant>
      <vt:variant>
        <vt:lpwstr>https://doi.org/10.1086/678698</vt:lpwstr>
      </vt:variant>
      <vt:variant>
        <vt:lpwstr/>
      </vt:variant>
      <vt:variant>
        <vt:i4>7274621</vt:i4>
      </vt:variant>
      <vt:variant>
        <vt:i4>204</vt:i4>
      </vt:variant>
      <vt:variant>
        <vt:i4>0</vt:i4>
      </vt:variant>
      <vt:variant>
        <vt:i4>5</vt:i4>
      </vt:variant>
      <vt:variant>
        <vt:lpwstr>https://doi.org/10.2298/PSI1602105V</vt:lpwstr>
      </vt:variant>
      <vt:variant>
        <vt:lpwstr/>
      </vt:variant>
      <vt:variant>
        <vt:i4>786445</vt:i4>
      </vt:variant>
      <vt:variant>
        <vt:i4>201</vt:i4>
      </vt:variant>
      <vt:variant>
        <vt:i4>0</vt:i4>
      </vt:variant>
      <vt:variant>
        <vt:i4>5</vt:i4>
      </vt:variant>
      <vt:variant>
        <vt:lpwstr>https://doi.org/10.3389/fpsyg.2016.01632</vt:lpwstr>
      </vt:variant>
      <vt:variant>
        <vt:lpwstr/>
      </vt:variant>
      <vt:variant>
        <vt:i4>6619171</vt:i4>
      </vt:variant>
      <vt:variant>
        <vt:i4>198</vt:i4>
      </vt:variant>
      <vt:variant>
        <vt:i4>0</vt:i4>
      </vt:variant>
      <vt:variant>
        <vt:i4>5</vt:i4>
      </vt:variant>
      <vt:variant>
        <vt:lpwstr>https://doi.org/10.3390/ijerph19010174</vt:lpwstr>
      </vt:variant>
      <vt:variant>
        <vt:lpwstr/>
      </vt:variant>
      <vt:variant>
        <vt:i4>589833</vt:i4>
      </vt:variant>
      <vt:variant>
        <vt:i4>195</vt:i4>
      </vt:variant>
      <vt:variant>
        <vt:i4>0</vt:i4>
      </vt:variant>
      <vt:variant>
        <vt:i4>5</vt:i4>
      </vt:variant>
      <vt:variant>
        <vt:lpwstr>https://doi.org/10.3389/fpsyg.2020.602537</vt:lpwstr>
      </vt:variant>
      <vt:variant>
        <vt:lpwstr/>
      </vt:variant>
      <vt:variant>
        <vt:i4>6357025</vt:i4>
      </vt:variant>
      <vt:variant>
        <vt:i4>192</vt:i4>
      </vt:variant>
      <vt:variant>
        <vt:i4>0</vt:i4>
      </vt:variant>
      <vt:variant>
        <vt:i4>5</vt:i4>
      </vt:variant>
      <vt:variant>
        <vt:lpwstr>https://doi.org/10.3390/ijerph18105312</vt:lpwstr>
      </vt:variant>
      <vt:variant>
        <vt:lpwstr/>
      </vt:variant>
      <vt:variant>
        <vt:i4>7274531</vt:i4>
      </vt:variant>
      <vt:variant>
        <vt:i4>189</vt:i4>
      </vt:variant>
      <vt:variant>
        <vt:i4>0</vt:i4>
      </vt:variant>
      <vt:variant>
        <vt:i4>5</vt:i4>
      </vt:variant>
      <vt:variant>
        <vt:lpwstr>https://doi.org/10.3390/ijerph18052359</vt:lpwstr>
      </vt:variant>
      <vt:variant>
        <vt:lpwstr/>
      </vt:variant>
      <vt:variant>
        <vt:i4>7340089</vt:i4>
      </vt:variant>
      <vt:variant>
        <vt:i4>186</vt:i4>
      </vt:variant>
      <vt:variant>
        <vt:i4>0</vt:i4>
      </vt:variant>
      <vt:variant>
        <vt:i4>5</vt:i4>
      </vt:variant>
      <vt:variant>
        <vt:lpwstr>https://doi.org/10.1007/BF01537146</vt:lpwstr>
      </vt:variant>
      <vt:variant>
        <vt:lpwstr/>
      </vt:variant>
      <vt:variant>
        <vt:i4>5898330</vt:i4>
      </vt:variant>
      <vt:variant>
        <vt:i4>183</vt:i4>
      </vt:variant>
      <vt:variant>
        <vt:i4>0</vt:i4>
      </vt:variant>
      <vt:variant>
        <vt:i4>5</vt:i4>
      </vt:variant>
      <vt:variant>
        <vt:lpwstr>https://doi.org/10.1093/geroni/igx025</vt:lpwstr>
      </vt:variant>
      <vt:variant>
        <vt:lpwstr/>
      </vt:variant>
      <vt:variant>
        <vt:i4>1966092</vt:i4>
      </vt:variant>
      <vt:variant>
        <vt:i4>180</vt:i4>
      </vt:variant>
      <vt:variant>
        <vt:i4>0</vt:i4>
      </vt:variant>
      <vt:variant>
        <vt:i4>5</vt:i4>
      </vt:variant>
      <vt:variant>
        <vt:lpwstr>https://doi.org/10.1037/a0028589</vt:lpwstr>
      </vt:variant>
      <vt:variant>
        <vt:lpwstr/>
      </vt:variant>
      <vt:variant>
        <vt:i4>1966092</vt:i4>
      </vt:variant>
      <vt:variant>
        <vt:i4>177</vt:i4>
      </vt:variant>
      <vt:variant>
        <vt:i4>0</vt:i4>
      </vt:variant>
      <vt:variant>
        <vt:i4>5</vt:i4>
      </vt:variant>
      <vt:variant>
        <vt:lpwstr>https://doi.org/10.1037/a0028589</vt:lpwstr>
      </vt:variant>
      <vt:variant>
        <vt:lpwstr/>
      </vt:variant>
      <vt:variant>
        <vt:i4>2031625</vt:i4>
      </vt:variant>
      <vt:variant>
        <vt:i4>174</vt:i4>
      </vt:variant>
      <vt:variant>
        <vt:i4>0</vt:i4>
      </vt:variant>
      <vt:variant>
        <vt:i4>5</vt:i4>
      </vt:variant>
      <vt:variant>
        <vt:lpwstr>https://doi.org/10.1037/a0013668</vt:lpwstr>
      </vt:variant>
      <vt:variant>
        <vt:lpwstr/>
      </vt:variant>
      <vt:variant>
        <vt:i4>1703938</vt:i4>
      </vt:variant>
      <vt:variant>
        <vt:i4>171</vt:i4>
      </vt:variant>
      <vt:variant>
        <vt:i4>0</vt:i4>
      </vt:variant>
      <vt:variant>
        <vt:i4>5</vt:i4>
      </vt:variant>
      <vt:variant>
        <vt:lpwstr>https://doi.org/10.1037/a0036089</vt:lpwstr>
      </vt:variant>
      <vt:variant>
        <vt:lpwstr/>
      </vt:variant>
      <vt:variant>
        <vt:i4>3473511</vt:i4>
      </vt:variant>
      <vt:variant>
        <vt:i4>168</vt:i4>
      </vt:variant>
      <vt:variant>
        <vt:i4>0</vt:i4>
      </vt:variant>
      <vt:variant>
        <vt:i4>5</vt:i4>
      </vt:variant>
      <vt:variant>
        <vt:lpwstr>http://www.offbeat.group.shef.ac.uk/FIO/mplusmedmod.htm</vt:lpwstr>
      </vt:variant>
      <vt:variant>
        <vt:lpwstr/>
      </vt:variant>
      <vt:variant>
        <vt:i4>2031631</vt:i4>
      </vt:variant>
      <vt:variant>
        <vt:i4>165</vt:i4>
      </vt:variant>
      <vt:variant>
        <vt:i4>0</vt:i4>
      </vt:variant>
      <vt:variant>
        <vt:i4>5</vt:i4>
      </vt:variant>
      <vt:variant>
        <vt:lpwstr>https://doi.org/10.1037/a0021528</vt:lpwstr>
      </vt:variant>
      <vt:variant>
        <vt:lpwstr/>
      </vt:variant>
      <vt:variant>
        <vt:i4>6422589</vt:i4>
      </vt:variant>
      <vt:variant>
        <vt:i4>162</vt:i4>
      </vt:variant>
      <vt:variant>
        <vt:i4>0</vt:i4>
      </vt:variant>
      <vt:variant>
        <vt:i4>5</vt:i4>
      </vt:variant>
      <vt:variant>
        <vt:lpwstr>https://www.redalyc.org/pdf/339/33948806002.pdf</vt:lpwstr>
      </vt:variant>
      <vt:variant>
        <vt:lpwstr/>
      </vt:variant>
      <vt:variant>
        <vt:i4>1179654</vt:i4>
      </vt:variant>
      <vt:variant>
        <vt:i4>159</vt:i4>
      </vt:variant>
      <vt:variant>
        <vt:i4>0</vt:i4>
      </vt:variant>
      <vt:variant>
        <vt:i4>5</vt:i4>
      </vt:variant>
      <vt:variant>
        <vt:lpwstr>https://doi.org/10.1037/a0019330</vt:lpwstr>
      </vt:variant>
      <vt:variant>
        <vt:lpwstr/>
      </vt:variant>
      <vt:variant>
        <vt:i4>4259858</vt:i4>
      </vt:variant>
      <vt:variant>
        <vt:i4>156</vt:i4>
      </vt:variant>
      <vt:variant>
        <vt:i4>0</vt:i4>
      </vt:variant>
      <vt:variant>
        <vt:i4>5</vt:i4>
      </vt:variant>
      <vt:variant>
        <vt:lpwstr>https://doi.org/10.1016/j.sapharm.2016.06.006</vt:lpwstr>
      </vt:variant>
      <vt:variant>
        <vt:lpwstr/>
      </vt:variant>
      <vt:variant>
        <vt:i4>4128885</vt:i4>
      </vt:variant>
      <vt:variant>
        <vt:i4>153</vt:i4>
      </vt:variant>
      <vt:variant>
        <vt:i4>0</vt:i4>
      </vt:variant>
      <vt:variant>
        <vt:i4>5</vt:i4>
      </vt:variant>
      <vt:variant>
        <vt:lpwstr>https://doi.org/10.25115/riem.v8i1.2164</vt:lpwstr>
      </vt:variant>
      <vt:variant>
        <vt:lpwstr/>
      </vt:variant>
      <vt:variant>
        <vt:i4>2949221</vt:i4>
      </vt:variant>
      <vt:variant>
        <vt:i4>150</vt:i4>
      </vt:variant>
      <vt:variant>
        <vt:i4>0</vt:i4>
      </vt:variant>
      <vt:variant>
        <vt:i4>5</vt:i4>
      </vt:variant>
      <vt:variant>
        <vt:lpwstr>https://doi.org/10.1177/016502548901200102</vt:lpwstr>
      </vt:variant>
      <vt:variant>
        <vt:lpwstr/>
      </vt:variant>
      <vt:variant>
        <vt:i4>3473460</vt:i4>
      </vt:variant>
      <vt:variant>
        <vt:i4>147</vt:i4>
      </vt:variant>
      <vt:variant>
        <vt:i4>0</vt:i4>
      </vt:variant>
      <vt:variant>
        <vt:i4>5</vt:i4>
      </vt:variant>
      <vt:variant>
        <vt:lpwstr>https://doi.org/10.1016/j.evolhumbehav.2019.06.001</vt:lpwstr>
      </vt:variant>
      <vt:variant>
        <vt:lpwstr/>
      </vt:variant>
      <vt:variant>
        <vt:i4>7864434</vt:i4>
      </vt:variant>
      <vt:variant>
        <vt:i4>144</vt:i4>
      </vt:variant>
      <vt:variant>
        <vt:i4>0</vt:i4>
      </vt:variant>
      <vt:variant>
        <vt:i4>5</vt:i4>
      </vt:variant>
      <vt:variant>
        <vt:lpwstr>http://dx.doi.org/10.2139/ssrn.1368756</vt:lpwstr>
      </vt:variant>
      <vt:variant>
        <vt:lpwstr/>
      </vt:variant>
      <vt:variant>
        <vt:i4>3866741</vt:i4>
      </vt:variant>
      <vt:variant>
        <vt:i4>141</vt:i4>
      </vt:variant>
      <vt:variant>
        <vt:i4>0</vt:i4>
      </vt:variant>
      <vt:variant>
        <vt:i4>5</vt:i4>
      </vt:variant>
      <vt:variant>
        <vt:lpwstr>https://doi.org/10.1111/0022-4537.00225</vt:lpwstr>
      </vt:variant>
      <vt:variant>
        <vt:lpwstr/>
      </vt:variant>
      <vt:variant>
        <vt:i4>3407988</vt:i4>
      </vt:variant>
      <vt:variant>
        <vt:i4>138</vt:i4>
      </vt:variant>
      <vt:variant>
        <vt:i4>0</vt:i4>
      </vt:variant>
      <vt:variant>
        <vt:i4>5</vt:i4>
      </vt:variant>
      <vt:variant>
        <vt:lpwstr>https://doi.org/10.1146/annurev.soc.24.1.77</vt:lpwstr>
      </vt:variant>
      <vt:variant>
        <vt:lpwstr/>
      </vt:variant>
      <vt:variant>
        <vt:i4>3866733</vt:i4>
      </vt:variant>
      <vt:variant>
        <vt:i4>135</vt:i4>
      </vt:variant>
      <vt:variant>
        <vt:i4>0</vt:i4>
      </vt:variant>
      <vt:variant>
        <vt:i4>5</vt:i4>
      </vt:variant>
      <vt:variant>
        <vt:lpwstr>https://doi.org/10.1037/pspi0000014</vt:lpwstr>
      </vt:variant>
      <vt:variant>
        <vt:lpwstr/>
      </vt:variant>
      <vt:variant>
        <vt:i4>3407924</vt:i4>
      </vt:variant>
      <vt:variant>
        <vt:i4>132</vt:i4>
      </vt:variant>
      <vt:variant>
        <vt:i4>0</vt:i4>
      </vt:variant>
      <vt:variant>
        <vt:i4>5</vt:i4>
      </vt:variant>
      <vt:variant>
        <vt:lpwstr>https://doi.org/10.1016/j.evolhumbehav.2018.06.010</vt:lpwstr>
      </vt:variant>
      <vt:variant>
        <vt:lpwstr/>
      </vt:variant>
      <vt:variant>
        <vt:i4>4521989</vt:i4>
      </vt:variant>
      <vt:variant>
        <vt:i4>129</vt:i4>
      </vt:variant>
      <vt:variant>
        <vt:i4>0</vt:i4>
      </vt:variant>
      <vt:variant>
        <vt:i4>5</vt:i4>
      </vt:variant>
      <vt:variant>
        <vt:lpwstr>https://doi.org/10.2466/pr0.1991.68.1.215</vt:lpwstr>
      </vt:variant>
      <vt:variant>
        <vt:lpwstr/>
      </vt:variant>
      <vt:variant>
        <vt:i4>2293817</vt:i4>
      </vt:variant>
      <vt:variant>
        <vt:i4>126</vt:i4>
      </vt:variant>
      <vt:variant>
        <vt:i4>0</vt:i4>
      </vt:variant>
      <vt:variant>
        <vt:i4>5</vt:i4>
      </vt:variant>
      <vt:variant>
        <vt:lpwstr>https://dx.doi.org/10.5093/jwop2019a24</vt:lpwstr>
      </vt:variant>
      <vt:variant>
        <vt:lpwstr/>
      </vt:variant>
      <vt:variant>
        <vt:i4>3670112</vt:i4>
      </vt:variant>
      <vt:variant>
        <vt:i4>123</vt:i4>
      </vt:variant>
      <vt:variant>
        <vt:i4>0</vt:i4>
      </vt:variant>
      <vt:variant>
        <vt:i4>5</vt:i4>
      </vt:variant>
      <vt:variant>
        <vt:lpwstr>https://doi.org/10.1037//0022-3514.70.4.810</vt:lpwstr>
      </vt:variant>
      <vt:variant>
        <vt:lpwstr/>
      </vt:variant>
      <vt:variant>
        <vt:i4>1769557</vt:i4>
      </vt:variant>
      <vt:variant>
        <vt:i4>120</vt:i4>
      </vt:variant>
      <vt:variant>
        <vt:i4>0</vt:i4>
      </vt:variant>
      <vt:variant>
        <vt:i4>5</vt:i4>
      </vt:variant>
      <vt:variant>
        <vt:lpwstr>https://doi.org/10.1177/0146167292183006</vt:lpwstr>
      </vt:variant>
      <vt:variant>
        <vt:lpwstr/>
      </vt:variant>
      <vt:variant>
        <vt:i4>6488180</vt:i4>
      </vt:variant>
      <vt:variant>
        <vt:i4>117</vt:i4>
      </vt:variant>
      <vt:variant>
        <vt:i4>0</vt:i4>
      </vt:variant>
      <vt:variant>
        <vt:i4>5</vt:i4>
      </vt:variant>
      <vt:variant>
        <vt:lpwstr>https://doi.org/10.1037/ort0000524</vt:lpwstr>
      </vt:variant>
      <vt:variant>
        <vt:lpwstr/>
      </vt:variant>
      <vt:variant>
        <vt:i4>1966162</vt:i4>
      </vt:variant>
      <vt:variant>
        <vt:i4>114</vt:i4>
      </vt:variant>
      <vt:variant>
        <vt:i4>0</vt:i4>
      </vt:variant>
      <vt:variant>
        <vt:i4>5</vt:i4>
      </vt:variant>
      <vt:variant>
        <vt:lpwstr>https://doi.org/10.1177/1028315320932320</vt:lpwstr>
      </vt:variant>
      <vt:variant>
        <vt:lpwstr/>
      </vt:variant>
      <vt:variant>
        <vt:i4>6291508</vt:i4>
      </vt:variant>
      <vt:variant>
        <vt:i4>111</vt:i4>
      </vt:variant>
      <vt:variant>
        <vt:i4>0</vt:i4>
      </vt:variant>
      <vt:variant>
        <vt:i4>5</vt:i4>
      </vt:variant>
      <vt:variant>
        <vt:lpwstr>https://doi.org/10.1007/s40615-019-00672-y</vt:lpwstr>
      </vt:variant>
      <vt:variant>
        <vt:lpwstr/>
      </vt:variant>
      <vt:variant>
        <vt:i4>458770</vt:i4>
      </vt:variant>
      <vt:variant>
        <vt:i4>108</vt:i4>
      </vt:variant>
      <vt:variant>
        <vt:i4>0</vt:i4>
      </vt:variant>
      <vt:variant>
        <vt:i4>5</vt:i4>
      </vt:variant>
      <vt:variant>
        <vt:lpwstr>https://doi.org/10.1007/s11482-013-9246-6</vt:lpwstr>
      </vt:variant>
      <vt:variant>
        <vt:lpwstr/>
      </vt:variant>
      <vt:variant>
        <vt:i4>2424869</vt:i4>
      </vt:variant>
      <vt:variant>
        <vt:i4>105</vt:i4>
      </vt:variant>
      <vt:variant>
        <vt:i4>0</vt:i4>
      </vt:variant>
      <vt:variant>
        <vt:i4>5</vt:i4>
      </vt:variant>
      <vt:variant>
        <vt:lpwstr>https://publications.iom.int/system/files/pdf/wmr_2020_es.pdf</vt:lpwstr>
      </vt:variant>
      <vt:variant>
        <vt:lpwstr/>
      </vt:variant>
      <vt:variant>
        <vt:i4>2687011</vt:i4>
      </vt:variant>
      <vt:variant>
        <vt:i4>102</vt:i4>
      </vt:variant>
      <vt:variant>
        <vt:i4>0</vt:i4>
      </vt:variant>
      <vt:variant>
        <vt:i4>5</vt:i4>
      </vt:variant>
      <vt:variant>
        <vt:lpwstr>https://www.ine.cl/docs/default-source/demografia-y-migracion/publicaciones-y-anuarios/migración-internacional/estimación-población-extranjera-en-chile-2018/estimación-población-extranjera-en-chile-2020-metodología.pdf</vt:lpwstr>
      </vt:variant>
      <vt:variant>
        <vt:lpwstr/>
      </vt:variant>
      <vt:variant>
        <vt:i4>2883639</vt:i4>
      </vt:variant>
      <vt:variant>
        <vt:i4>99</vt:i4>
      </vt:variant>
      <vt:variant>
        <vt:i4>0</vt:i4>
      </vt:variant>
      <vt:variant>
        <vt:i4>5</vt:i4>
      </vt:variant>
      <vt:variant>
        <vt:lpwstr>https://doi.org/10.1007/s40615-021-00972-2</vt:lpwstr>
      </vt:variant>
      <vt:variant>
        <vt:lpwstr/>
      </vt:variant>
      <vt:variant>
        <vt:i4>983053</vt:i4>
      </vt:variant>
      <vt:variant>
        <vt:i4>96</vt:i4>
      </vt:variant>
      <vt:variant>
        <vt:i4>0</vt:i4>
      </vt:variant>
      <vt:variant>
        <vt:i4>5</vt:i4>
      </vt:variant>
      <vt:variant>
        <vt:lpwstr>https://doi.org/10.3389/fpsyg.2021.707101</vt:lpwstr>
      </vt:variant>
      <vt:variant>
        <vt:lpwstr/>
      </vt:variant>
      <vt:variant>
        <vt:i4>5308493</vt:i4>
      </vt:variant>
      <vt:variant>
        <vt:i4>93</vt:i4>
      </vt:variant>
      <vt:variant>
        <vt:i4>0</vt:i4>
      </vt:variant>
      <vt:variant>
        <vt:i4>5</vt:i4>
      </vt:variant>
      <vt:variant>
        <vt:lpwstr>http://www.doi.org/10.14718/ACP.2020.23.2.15</vt:lpwstr>
      </vt:variant>
      <vt:variant>
        <vt:lpwstr/>
      </vt:variant>
      <vt:variant>
        <vt:i4>5308445</vt:i4>
      </vt:variant>
      <vt:variant>
        <vt:i4>90</vt:i4>
      </vt:variant>
      <vt:variant>
        <vt:i4>0</vt:i4>
      </vt:variant>
      <vt:variant>
        <vt:i4>5</vt:i4>
      </vt:variant>
      <vt:variant>
        <vt:lpwstr>https://doi.org/10.1111/j.1464-0597.2008.00379.x</vt:lpwstr>
      </vt:variant>
      <vt:variant>
        <vt:lpwstr/>
      </vt:variant>
      <vt:variant>
        <vt:i4>983069</vt:i4>
      </vt:variant>
      <vt:variant>
        <vt:i4>87</vt:i4>
      </vt:variant>
      <vt:variant>
        <vt:i4>0</vt:i4>
      </vt:variant>
      <vt:variant>
        <vt:i4>5</vt:i4>
      </vt:variant>
      <vt:variant>
        <vt:lpwstr>https://doi.org/10.1007/s11205-017-1615-3</vt:lpwstr>
      </vt:variant>
      <vt:variant>
        <vt:lpwstr/>
      </vt:variant>
      <vt:variant>
        <vt:i4>4128831</vt:i4>
      </vt:variant>
      <vt:variant>
        <vt:i4>84</vt:i4>
      </vt:variant>
      <vt:variant>
        <vt:i4>0</vt:i4>
      </vt:variant>
      <vt:variant>
        <vt:i4>5</vt:i4>
      </vt:variant>
      <vt:variant>
        <vt:lpwstr>https://doi.org/10.1016/j.jesp.2019.103853</vt:lpwstr>
      </vt:variant>
      <vt:variant>
        <vt:lpwstr/>
      </vt:variant>
      <vt:variant>
        <vt:i4>589835</vt:i4>
      </vt:variant>
      <vt:variant>
        <vt:i4>81</vt:i4>
      </vt:variant>
      <vt:variant>
        <vt:i4>0</vt:i4>
      </vt:variant>
      <vt:variant>
        <vt:i4>5</vt:i4>
      </vt:variant>
      <vt:variant>
        <vt:lpwstr>https://doi.org/10.3389/fpsyg.2020.614657</vt:lpwstr>
      </vt:variant>
      <vt:variant>
        <vt:lpwstr/>
      </vt:variant>
      <vt:variant>
        <vt:i4>6684731</vt:i4>
      </vt:variant>
      <vt:variant>
        <vt:i4>78</vt:i4>
      </vt:variant>
      <vt:variant>
        <vt:i4>0</vt:i4>
      </vt:variant>
      <vt:variant>
        <vt:i4>5</vt:i4>
      </vt:variant>
      <vt:variant>
        <vt:lpwstr>http://dx.doi.org/10.1037/a0022642</vt:lpwstr>
      </vt:variant>
      <vt:variant>
        <vt:lpwstr/>
      </vt:variant>
      <vt:variant>
        <vt:i4>327751</vt:i4>
      </vt:variant>
      <vt:variant>
        <vt:i4>75</vt:i4>
      </vt:variant>
      <vt:variant>
        <vt:i4>0</vt:i4>
      </vt:variant>
      <vt:variant>
        <vt:i4>5</vt:i4>
      </vt:variant>
      <vt:variant>
        <vt:lpwstr>https://doi.org/10.1080/02134748.2015.1065089</vt:lpwstr>
      </vt:variant>
      <vt:variant>
        <vt:lpwstr/>
      </vt:variant>
      <vt:variant>
        <vt:i4>7995441</vt:i4>
      </vt:variant>
      <vt:variant>
        <vt:i4>72</vt:i4>
      </vt:variant>
      <vt:variant>
        <vt:i4>0</vt:i4>
      </vt:variant>
      <vt:variant>
        <vt:i4>5</vt:i4>
      </vt:variant>
      <vt:variant>
        <vt:lpwstr>https://doi.org/10.5964/ejop.v14i1.1434</vt:lpwstr>
      </vt:variant>
      <vt:variant>
        <vt:lpwstr/>
      </vt:variant>
      <vt:variant>
        <vt:i4>1310812</vt:i4>
      </vt:variant>
      <vt:variant>
        <vt:i4>69</vt:i4>
      </vt:variant>
      <vt:variant>
        <vt:i4>0</vt:i4>
      </vt:variant>
      <vt:variant>
        <vt:i4>5</vt:i4>
      </vt:variant>
      <vt:variant>
        <vt:lpwstr>https://doi.org/10.1177/1368430221990082</vt:lpwstr>
      </vt:variant>
      <vt:variant>
        <vt:lpwstr/>
      </vt:variant>
      <vt:variant>
        <vt:i4>4194396</vt:i4>
      </vt:variant>
      <vt:variant>
        <vt:i4>66</vt:i4>
      </vt:variant>
      <vt:variant>
        <vt:i4>0</vt:i4>
      </vt:variant>
      <vt:variant>
        <vt:i4>5</vt:i4>
      </vt:variant>
      <vt:variant>
        <vt:lpwstr>http://dx.doi.org/10.14482/psdc.31.3.4766</vt:lpwstr>
      </vt:variant>
      <vt:variant>
        <vt:lpwstr/>
      </vt:variant>
      <vt:variant>
        <vt:i4>6094851</vt:i4>
      </vt:variant>
      <vt:variant>
        <vt:i4>63</vt:i4>
      </vt:variant>
      <vt:variant>
        <vt:i4>0</vt:i4>
      </vt:variant>
      <vt:variant>
        <vt:i4>5</vt:i4>
      </vt:variant>
      <vt:variant>
        <vt:lpwstr>https://ri.conicet.gov.ar/handle/11336/71083</vt:lpwstr>
      </vt:variant>
      <vt:variant>
        <vt:lpwstr/>
      </vt:variant>
      <vt:variant>
        <vt:i4>3604603</vt:i4>
      </vt:variant>
      <vt:variant>
        <vt:i4>60</vt:i4>
      </vt:variant>
      <vt:variant>
        <vt:i4>0</vt:i4>
      </vt:variant>
      <vt:variant>
        <vt:i4>5</vt:i4>
      </vt:variant>
      <vt:variant>
        <vt:lpwstr>https://www.uv.es/seoane/boletin/previos/N102-5.pdf</vt:lpwstr>
      </vt:variant>
      <vt:variant>
        <vt:lpwstr/>
      </vt:variant>
      <vt:variant>
        <vt:i4>65542</vt:i4>
      </vt:variant>
      <vt:variant>
        <vt:i4>57</vt:i4>
      </vt:variant>
      <vt:variant>
        <vt:i4>0</vt:i4>
      </vt:variant>
      <vt:variant>
        <vt:i4>5</vt:i4>
      </vt:variant>
      <vt:variant>
        <vt:lpwstr>https://www.redalyc.org/pdf/727/72718337.pdf</vt:lpwstr>
      </vt:variant>
      <vt:variant>
        <vt:lpwstr/>
      </vt:variant>
      <vt:variant>
        <vt:i4>5439489</vt:i4>
      </vt:variant>
      <vt:variant>
        <vt:i4>54</vt:i4>
      </vt:variant>
      <vt:variant>
        <vt:i4>0</vt:i4>
      </vt:variant>
      <vt:variant>
        <vt:i4>5</vt:i4>
      </vt:variant>
      <vt:variant>
        <vt:lpwstr>https://www.extranjeria.gob.cl/estadisticas-migratorias/</vt:lpwstr>
      </vt:variant>
      <vt:variant>
        <vt:lpwstr/>
      </vt:variant>
      <vt:variant>
        <vt:i4>2490490</vt:i4>
      </vt:variant>
      <vt:variant>
        <vt:i4>51</vt:i4>
      </vt:variant>
      <vt:variant>
        <vt:i4>0</vt:i4>
      </vt:variant>
      <vt:variant>
        <vt:i4>5</vt:i4>
      </vt:variant>
      <vt:variant>
        <vt:lpwstr>https://doi.org/10.1111/aphw.12351</vt:lpwstr>
      </vt:variant>
      <vt:variant>
        <vt:lpwstr/>
      </vt:variant>
      <vt:variant>
        <vt:i4>7405692</vt:i4>
      </vt:variant>
      <vt:variant>
        <vt:i4>48</vt:i4>
      </vt:variant>
      <vt:variant>
        <vt:i4>0</vt:i4>
      </vt:variant>
      <vt:variant>
        <vt:i4>5</vt:i4>
      </vt:variant>
      <vt:variant>
        <vt:lpwstr>https://doi.org/10.1037/cdp0000227</vt:lpwstr>
      </vt:variant>
      <vt:variant>
        <vt:lpwstr/>
      </vt:variant>
      <vt:variant>
        <vt:i4>1638476</vt:i4>
      </vt:variant>
      <vt:variant>
        <vt:i4>45</vt:i4>
      </vt:variant>
      <vt:variant>
        <vt:i4>0</vt:i4>
      </vt:variant>
      <vt:variant>
        <vt:i4>5</vt:i4>
      </vt:variant>
      <vt:variant>
        <vt:lpwstr>https://doi.org/10.38178/07183089/1314210429</vt:lpwstr>
      </vt:variant>
      <vt:variant>
        <vt:lpwstr/>
      </vt:variant>
      <vt:variant>
        <vt:i4>5242967</vt:i4>
      </vt:variant>
      <vt:variant>
        <vt:i4>42</vt:i4>
      </vt:variant>
      <vt:variant>
        <vt:i4>0</vt:i4>
      </vt:variant>
      <vt:variant>
        <vt:i4>5</vt:i4>
      </vt:variant>
      <vt:variant>
        <vt:lpwstr>https://doi.org/10.1177/0192513X12460218</vt:lpwstr>
      </vt:variant>
      <vt:variant>
        <vt:lpwstr/>
      </vt:variant>
      <vt:variant>
        <vt:i4>131136</vt:i4>
      </vt:variant>
      <vt:variant>
        <vt:i4>39</vt:i4>
      </vt:variant>
      <vt:variant>
        <vt:i4>0</vt:i4>
      </vt:variant>
      <vt:variant>
        <vt:i4>5</vt:i4>
      </vt:variant>
      <vt:variant>
        <vt:lpwstr>https://doi.org/10.1080/15298868.2014.992465</vt:lpwstr>
      </vt:variant>
      <vt:variant>
        <vt:lpwstr/>
      </vt:variant>
      <vt:variant>
        <vt:i4>1114200</vt:i4>
      </vt:variant>
      <vt:variant>
        <vt:i4>36</vt:i4>
      </vt:variant>
      <vt:variant>
        <vt:i4>0</vt:i4>
      </vt:variant>
      <vt:variant>
        <vt:i4>5</vt:i4>
      </vt:variant>
      <vt:variant>
        <vt:lpwstr>https://doi.org/10.6018/analesps.34.1.266201</vt:lpwstr>
      </vt:variant>
      <vt:variant>
        <vt:lpwstr/>
      </vt:variant>
      <vt:variant>
        <vt:i4>5308447</vt:i4>
      </vt:variant>
      <vt:variant>
        <vt:i4>33</vt:i4>
      </vt:variant>
      <vt:variant>
        <vt:i4>0</vt:i4>
      </vt:variant>
      <vt:variant>
        <vt:i4>5</vt:i4>
      </vt:variant>
      <vt:variant>
        <vt:lpwstr>https://doi.org/10.1111/j.1464-0597.2006.00256.x</vt:lpwstr>
      </vt:variant>
      <vt:variant>
        <vt:lpwstr/>
      </vt:variant>
      <vt:variant>
        <vt:i4>3866662</vt:i4>
      </vt:variant>
      <vt:variant>
        <vt:i4>30</vt:i4>
      </vt:variant>
      <vt:variant>
        <vt:i4>0</vt:i4>
      </vt:variant>
      <vt:variant>
        <vt:i4>5</vt:i4>
      </vt:variant>
      <vt:variant>
        <vt:lpwstr>https://doi.org/10.1016/j.ijintrel.2011.02.002</vt:lpwstr>
      </vt:variant>
      <vt:variant>
        <vt:lpwstr/>
      </vt:variant>
      <vt:variant>
        <vt:i4>786507</vt:i4>
      </vt:variant>
      <vt:variant>
        <vt:i4>27</vt:i4>
      </vt:variant>
      <vt:variant>
        <vt:i4>0</vt:i4>
      </vt:variant>
      <vt:variant>
        <vt:i4>5</vt:i4>
      </vt:variant>
      <vt:variant>
        <vt:lpwstr>https://doi.org/10.1080/09540261.2020.1750801</vt:lpwstr>
      </vt:variant>
      <vt:variant>
        <vt:lpwstr/>
      </vt:variant>
      <vt:variant>
        <vt:i4>8126565</vt:i4>
      </vt:variant>
      <vt:variant>
        <vt:i4>24</vt:i4>
      </vt:variant>
      <vt:variant>
        <vt:i4>0</vt:i4>
      </vt:variant>
      <vt:variant>
        <vt:i4>5</vt:i4>
      </vt:variant>
      <vt:variant>
        <vt:lpwstr>https://doi-org/10.1111/soc4.12235</vt:lpwstr>
      </vt:variant>
      <vt:variant>
        <vt:lpwstr/>
      </vt:variant>
      <vt:variant>
        <vt:i4>3407895</vt:i4>
      </vt:variant>
      <vt:variant>
        <vt:i4>21</vt:i4>
      </vt:variant>
      <vt:variant>
        <vt:i4>0</vt:i4>
      </vt:variant>
      <vt:variant>
        <vt:i4>5</vt:i4>
      </vt:variant>
      <vt:variant>
        <vt:lpwstr>https://doi.org/10.1207/s15328007sem1302_2</vt:lpwstr>
      </vt:variant>
      <vt:variant>
        <vt:lpwstr/>
      </vt:variant>
      <vt:variant>
        <vt:i4>1048666</vt:i4>
      </vt:variant>
      <vt:variant>
        <vt:i4>18</vt:i4>
      </vt:variant>
      <vt:variant>
        <vt:i4>0</vt:i4>
      </vt:variant>
      <vt:variant>
        <vt:i4>5</vt:i4>
      </vt:variant>
      <vt:variant>
        <vt:lpwstr>https://doi.org/10.1177/0020764019867994</vt:lpwstr>
      </vt:variant>
      <vt:variant>
        <vt:lpwstr/>
      </vt:variant>
      <vt:variant>
        <vt:i4>1179648</vt:i4>
      </vt:variant>
      <vt:variant>
        <vt:i4>15</vt:i4>
      </vt:variant>
      <vt:variant>
        <vt:i4>0</vt:i4>
      </vt:variant>
      <vt:variant>
        <vt:i4>5</vt:i4>
      </vt:variant>
      <vt:variant>
        <vt:lpwstr>https://doi.org/10.1037/h0085309</vt:lpwstr>
      </vt:variant>
      <vt:variant>
        <vt:lpwstr/>
      </vt:variant>
      <vt:variant>
        <vt:i4>7143542</vt:i4>
      </vt:variant>
      <vt:variant>
        <vt:i4>12</vt:i4>
      </vt:variant>
      <vt:variant>
        <vt:i4>0</vt:i4>
      </vt:variant>
      <vt:variant>
        <vt:i4>5</vt:i4>
      </vt:variant>
      <vt:variant>
        <vt:lpwstr>https://doi.org/10.21237/C7clio5124900</vt:lpwstr>
      </vt:variant>
      <vt:variant>
        <vt:lpwstr/>
      </vt:variant>
      <vt:variant>
        <vt:i4>6815800</vt:i4>
      </vt:variant>
      <vt:variant>
        <vt:i4>9</vt:i4>
      </vt:variant>
      <vt:variant>
        <vt:i4>0</vt:i4>
      </vt:variant>
      <vt:variant>
        <vt:i4>5</vt:i4>
      </vt:variant>
      <vt:variant>
        <vt:lpwstr>https://www.redalyc.org/pdf/167/16728244043.pdf</vt:lpwstr>
      </vt:variant>
      <vt:variant>
        <vt:lpwstr/>
      </vt:variant>
      <vt:variant>
        <vt:i4>1507399</vt:i4>
      </vt:variant>
      <vt:variant>
        <vt:i4>6</vt:i4>
      </vt:variant>
      <vt:variant>
        <vt:i4>0</vt:i4>
      </vt:variant>
      <vt:variant>
        <vt:i4>5</vt:i4>
      </vt:variant>
      <vt:variant>
        <vt:lpwstr>https://doi.org/10.6018/analesps</vt:lpwstr>
      </vt:variant>
      <vt:variant>
        <vt:lpwstr/>
      </vt:variant>
      <vt:variant>
        <vt:i4>2293882</vt:i4>
      </vt:variant>
      <vt:variant>
        <vt:i4>3</vt:i4>
      </vt:variant>
      <vt:variant>
        <vt:i4>0</vt:i4>
      </vt:variant>
      <vt:variant>
        <vt:i4>5</vt:i4>
      </vt:variant>
      <vt:variant>
        <vt:lpwstr>https://doi.org/10.5377/rlpc.v1i1.9518</vt:lpwstr>
      </vt:variant>
      <vt:variant>
        <vt:lpwstr/>
      </vt:variant>
      <vt:variant>
        <vt:i4>1376300</vt:i4>
      </vt:variant>
      <vt:variant>
        <vt:i4>0</vt:i4>
      </vt:variant>
      <vt:variant>
        <vt:i4>0</vt:i4>
      </vt:variant>
      <vt:variant>
        <vt:i4>5</vt:i4>
      </vt:variant>
      <vt:variant>
        <vt:lpwstr>mailto:alurzua@ucn.cl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2022-06-29T15:16:00Z</dcterms:created>
  <dcterms:modified xsi:type="dcterms:W3CDTF">2022-06-29T15:26:00Z</dcterms:modified>
</cp:coreProperties>
</file>