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007B4" w14:textId="77777777" w:rsidR="00B14CF0" w:rsidRDefault="00937578" w:rsidP="001415FC">
      <w:pPr>
        <w:spacing w:after="0" w:line="360" w:lineRule="auto"/>
        <w:rPr>
          <w:rFonts w:ascii="Times New Roman" w:eastAsia="Calibri" w:hAnsi="Times New Roman" w:cs="Times New Roman"/>
          <w:b/>
          <w:sz w:val="24"/>
          <w:lang w:val="es-CL"/>
        </w:rPr>
      </w:pPr>
      <w:r>
        <w:rPr>
          <w:rFonts w:ascii="Times New Roman" w:eastAsia="Calibri" w:hAnsi="Times New Roman" w:cs="Times New Roman"/>
          <w:b/>
          <w:sz w:val="24"/>
          <w:lang w:val="es-CL"/>
        </w:rPr>
        <w:t xml:space="preserve">Validación de la Batería Neurocognitiva </w:t>
      </w:r>
      <w:proofErr w:type="spellStart"/>
      <w:r>
        <w:rPr>
          <w:rFonts w:ascii="Times New Roman" w:eastAsia="Calibri" w:hAnsi="Times New Roman" w:cs="Times New Roman"/>
          <w:b/>
          <w:sz w:val="24"/>
          <w:lang w:val="es-CL"/>
        </w:rPr>
        <w:t>PreAcadémica</w:t>
      </w:r>
      <w:proofErr w:type="spellEnd"/>
      <w:r>
        <w:rPr>
          <w:rFonts w:ascii="Times New Roman" w:eastAsia="Calibri" w:hAnsi="Times New Roman" w:cs="Times New Roman"/>
          <w:b/>
          <w:sz w:val="24"/>
          <w:lang w:val="es-CL"/>
        </w:rPr>
        <w:t xml:space="preserve"> en preescolares cubanos </w:t>
      </w:r>
    </w:p>
    <w:p w14:paraId="3C1464E6" w14:textId="77777777" w:rsidR="00B14CF0" w:rsidRDefault="00B14CF0" w:rsidP="001415FC">
      <w:pPr>
        <w:shd w:val="clear" w:color="auto" w:fill="FFFFFF"/>
        <w:spacing w:after="0" w:line="360" w:lineRule="auto"/>
        <w:jc w:val="both"/>
        <w:rPr>
          <w:rFonts w:ascii="Times New Roman" w:eastAsia="Times New Roman" w:hAnsi="Times New Roman" w:cs="Times New Roman"/>
          <w:sz w:val="24"/>
          <w:lang w:eastAsia="es-ES"/>
        </w:rPr>
      </w:pPr>
    </w:p>
    <w:p w14:paraId="756FA398" w14:textId="77777777" w:rsidR="00B14CF0" w:rsidRDefault="00937578" w:rsidP="001415FC">
      <w:pPr>
        <w:spacing w:line="360" w:lineRule="auto"/>
        <w:jc w:val="center"/>
        <w:rPr>
          <w:rFonts w:ascii="Times New Roman" w:hAnsi="Times New Roman" w:cs="Times New Roman"/>
          <w:b/>
          <w:sz w:val="24"/>
          <w:lang w:val="es-CL"/>
        </w:rPr>
      </w:pPr>
      <w:r>
        <w:rPr>
          <w:rFonts w:ascii="Times New Roman" w:hAnsi="Times New Roman" w:cs="Times New Roman"/>
          <w:b/>
          <w:sz w:val="24"/>
          <w:lang w:val="es-CL"/>
        </w:rPr>
        <w:t>Resumen</w:t>
      </w:r>
    </w:p>
    <w:p w14:paraId="56E3E877" w14:textId="77777777" w:rsidR="00B14CF0" w:rsidRDefault="00937578" w:rsidP="001415FC">
      <w:pPr>
        <w:spacing w:after="0" w:line="360" w:lineRule="auto"/>
        <w:jc w:val="both"/>
        <w:rPr>
          <w:rFonts w:ascii="Times New Roman" w:eastAsia="Calibri" w:hAnsi="Times New Roman" w:cs="Times New Roman"/>
          <w:sz w:val="24"/>
          <w:lang w:val="es-CL"/>
        </w:rPr>
      </w:pPr>
      <w:r>
        <w:rPr>
          <w:rFonts w:ascii="Times New Roman" w:eastAsia="Calibri" w:hAnsi="Times New Roman" w:cs="Times New Roman"/>
          <w:sz w:val="24"/>
          <w:lang w:val="es-CL"/>
        </w:rPr>
        <w:t xml:space="preserve">La presente investigación tuvo como objetivo evaluar las propiedades psicométricas de la Batería </w:t>
      </w:r>
      <w:proofErr w:type="spellStart"/>
      <w:r>
        <w:rPr>
          <w:rFonts w:ascii="Times New Roman" w:eastAsia="Calibri" w:hAnsi="Times New Roman" w:cs="Times New Roman"/>
          <w:sz w:val="24"/>
          <w:lang w:val="es-CL"/>
        </w:rPr>
        <w:t>PreAcadémica</w:t>
      </w:r>
      <w:proofErr w:type="spellEnd"/>
      <w:r>
        <w:rPr>
          <w:rFonts w:ascii="Times New Roman" w:eastAsia="Calibri" w:hAnsi="Times New Roman" w:cs="Times New Roman"/>
          <w:sz w:val="24"/>
          <w:lang w:val="es-CL"/>
        </w:rPr>
        <w:t xml:space="preserve"> versión revisada (B-PREA-R) para niños preescolares cubanos. </w:t>
      </w:r>
      <w:r w:rsidRPr="00CF05E8">
        <w:rPr>
          <w:rFonts w:ascii="Times New Roman" w:eastAsia="Calibri" w:hAnsi="Times New Roman" w:cs="Times New Roman"/>
          <w:sz w:val="24"/>
          <w:lang w:val="es-CL"/>
        </w:rPr>
        <w:t xml:space="preserve">La batería fue aplicada a 300 niños entre cuatro y seis años en Cienfuegos, Cuba. El análisis de ítems mostró que, de 199 ítems, 61 ítems tuvieron una </w:t>
      </w:r>
      <w:r w:rsidR="00CF05E8" w:rsidRPr="00CF05E8">
        <w:rPr>
          <w:rFonts w:ascii="Times New Roman" w:eastAsia="Calibri" w:hAnsi="Times New Roman" w:cs="Times New Roman"/>
          <w:sz w:val="24"/>
          <w:lang w:val="es-CL"/>
        </w:rPr>
        <w:t xml:space="preserve">alta </w:t>
      </w:r>
      <w:r w:rsidRPr="00CF05E8">
        <w:rPr>
          <w:rFonts w:ascii="Times New Roman" w:eastAsia="Calibri" w:hAnsi="Times New Roman" w:cs="Times New Roman"/>
          <w:sz w:val="24"/>
          <w:lang w:val="es-CL"/>
        </w:rPr>
        <w:t xml:space="preserve">calidad, 132 ítems con buena calidad y 6 ítems con calidad regular. El alfa de Cronbach mostró adecuados valores, α= .85. El análisis de factores reveló tres factores. Factor 1 “Habilidades Ejecutivas”, conformado por los </w:t>
      </w:r>
      <w:proofErr w:type="spellStart"/>
      <w:r w:rsidRPr="00CF05E8">
        <w:rPr>
          <w:rFonts w:ascii="Times New Roman" w:eastAsia="Calibri" w:hAnsi="Times New Roman" w:cs="Times New Roman"/>
          <w:sz w:val="24"/>
          <w:lang w:val="es-CL"/>
        </w:rPr>
        <w:t>subtests</w:t>
      </w:r>
      <w:proofErr w:type="spellEnd"/>
      <w:r w:rsidRPr="00CF05E8">
        <w:rPr>
          <w:rFonts w:ascii="Times New Roman" w:eastAsia="Calibri" w:hAnsi="Times New Roman" w:cs="Times New Roman"/>
          <w:sz w:val="24"/>
          <w:lang w:val="es-CL"/>
        </w:rPr>
        <w:t xml:space="preserve"> atención selectiva visual, matrices, comprensión de cuentos, grafomotricidad y contar cantidades. Factor 2, “Habilidades de Memoria”, que agrupa el </w:t>
      </w:r>
      <w:proofErr w:type="spellStart"/>
      <w:r w:rsidRPr="00CF05E8">
        <w:rPr>
          <w:rFonts w:ascii="Times New Roman" w:eastAsia="Calibri" w:hAnsi="Times New Roman" w:cs="Times New Roman"/>
          <w:sz w:val="24"/>
          <w:lang w:val="es-CL"/>
        </w:rPr>
        <w:t>subtest</w:t>
      </w:r>
      <w:proofErr w:type="spellEnd"/>
      <w:r w:rsidRPr="00CF05E8">
        <w:rPr>
          <w:rFonts w:ascii="Times New Roman" w:eastAsia="Calibri" w:hAnsi="Times New Roman" w:cs="Times New Roman"/>
          <w:sz w:val="24"/>
          <w:lang w:val="es-CL"/>
        </w:rPr>
        <w:t xml:space="preserve"> memoria de trabajo visual. Factor 3, “Habilidades Lingüísticas”, conformado por los </w:t>
      </w:r>
      <w:proofErr w:type="spellStart"/>
      <w:r w:rsidRPr="00CF05E8">
        <w:rPr>
          <w:rFonts w:ascii="Times New Roman" w:eastAsia="Calibri" w:hAnsi="Times New Roman" w:cs="Times New Roman"/>
          <w:sz w:val="24"/>
          <w:lang w:val="es-CL"/>
        </w:rPr>
        <w:t>subtests</w:t>
      </w:r>
      <w:proofErr w:type="spellEnd"/>
      <w:r w:rsidRPr="00CF05E8">
        <w:rPr>
          <w:rFonts w:ascii="Times New Roman" w:eastAsia="Calibri" w:hAnsi="Times New Roman" w:cs="Times New Roman"/>
          <w:sz w:val="24"/>
          <w:lang w:val="es-CL"/>
        </w:rPr>
        <w:t xml:space="preserve"> vocabulario, memoria de trabajo verbal y repetir sílabas. La selección de los cuartiles para los tres grupos de edades (4, 5 y 6 años) permite emitir un criterio sobre el desarrollo de las habilidades ejecutivas, lingüísticas y de memoria del niño preescolar. </w:t>
      </w:r>
      <w:r>
        <w:rPr>
          <w:rFonts w:ascii="Times New Roman" w:eastAsia="Calibri" w:hAnsi="Times New Roman" w:cs="Times New Roman"/>
          <w:sz w:val="24"/>
          <w:lang w:val="es-CL"/>
        </w:rPr>
        <w:t>La B-PREA-R es una prueba rápida y fácil de aplicar en el contexto educativo y presenta propiedades psicométricas adecuadas para evaluar el desarrollo neurocognitivo en la etapa preescolar, descubrir las potencialidades y debilidades del niño y guiar su preparación para iniciar la escolarización básica.</w:t>
      </w:r>
    </w:p>
    <w:p w14:paraId="70B15A39" w14:textId="77777777" w:rsidR="00C20912" w:rsidRDefault="00C20912" w:rsidP="001415FC">
      <w:pPr>
        <w:spacing w:after="0" w:line="360" w:lineRule="auto"/>
        <w:jc w:val="both"/>
        <w:rPr>
          <w:rFonts w:ascii="Times New Roman" w:eastAsia="Calibri" w:hAnsi="Times New Roman" w:cs="Times New Roman"/>
          <w:b/>
          <w:sz w:val="24"/>
          <w:lang w:val="es-CL"/>
        </w:rPr>
      </w:pPr>
    </w:p>
    <w:p w14:paraId="005A0CF4" w14:textId="77777777" w:rsidR="00B14CF0" w:rsidRDefault="00937578" w:rsidP="001415FC">
      <w:pPr>
        <w:spacing w:after="0" w:line="360" w:lineRule="auto"/>
        <w:jc w:val="both"/>
        <w:rPr>
          <w:rFonts w:ascii="Times New Roman" w:eastAsia="Calibri" w:hAnsi="Times New Roman" w:cs="Times New Roman"/>
          <w:b/>
          <w:sz w:val="24"/>
          <w:lang w:val="es-CL"/>
        </w:rPr>
      </w:pPr>
      <w:r>
        <w:rPr>
          <w:rFonts w:ascii="Times New Roman" w:eastAsia="Calibri" w:hAnsi="Times New Roman" w:cs="Times New Roman"/>
          <w:b/>
          <w:sz w:val="24"/>
          <w:lang w:val="es-CL"/>
        </w:rPr>
        <w:t>Palabras claves:</w:t>
      </w:r>
      <w:r>
        <w:rPr>
          <w:rFonts w:ascii="Times New Roman" w:eastAsia="Calibri" w:hAnsi="Times New Roman" w:cs="Times New Roman"/>
          <w:sz w:val="24"/>
          <w:lang w:val="es-CL"/>
        </w:rPr>
        <w:t xml:space="preserve"> cognitivo, evaluación, neurodesarrollo, neuropsicología, preescolares.</w:t>
      </w:r>
    </w:p>
    <w:p w14:paraId="19AF9973" w14:textId="77777777" w:rsidR="00B14CF0" w:rsidRDefault="00937578" w:rsidP="001415FC">
      <w:pPr>
        <w:spacing w:line="360" w:lineRule="auto"/>
        <w:rPr>
          <w:rFonts w:ascii="Times New Roman" w:hAnsi="Times New Roman" w:cs="Times New Roman"/>
          <w:b/>
          <w:sz w:val="24"/>
          <w:lang w:val="es-CL"/>
        </w:rPr>
      </w:pPr>
      <w:r>
        <w:rPr>
          <w:rFonts w:ascii="Times New Roman" w:hAnsi="Times New Roman" w:cs="Times New Roman"/>
          <w:b/>
          <w:sz w:val="24"/>
          <w:lang w:val="es-CL"/>
        </w:rPr>
        <w:br w:type="page"/>
      </w:r>
    </w:p>
    <w:p w14:paraId="009E9C16" w14:textId="77777777" w:rsidR="00B14CF0" w:rsidRDefault="00937578" w:rsidP="001415FC">
      <w:pPr>
        <w:spacing w:after="0" w:line="360" w:lineRule="auto"/>
        <w:rPr>
          <w:rFonts w:ascii="Times New Roman" w:eastAsia="Calibri" w:hAnsi="Times New Roman" w:cs="Times New Roman"/>
          <w:b/>
          <w:sz w:val="24"/>
          <w:lang w:val="en-US"/>
        </w:rPr>
      </w:pPr>
      <w:r>
        <w:rPr>
          <w:rFonts w:ascii="Times New Roman" w:eastAsia="Calibri" w:hAnsi="Times New Roman" w:cs="Times New Roman"/>
          <w:b/>
          <w:sz w:val="24"/>
          <w:lang w:val="en-US"/>
        </w:rPr>
        <w:lastRenderedPageBreak/>
        <w:t xml:space="preserve">Validation of the neurocognitive battery </w:t>
      </w:r>
      <w:proofErr w:type="spellStart"/>
      <w:r>
        <w:rPr>
          <w:rFonts w:ascii="Times New Roman" w:eastAsia="Calibri" w:hAnsi="Times New Roman" w:cs="Times New Roman"/>
          <w:b/>
          <w:sz w:val="24"/>
          <w:lang w:val="en-US"/>
        </w:rPr>
        <w:t>PreAcadémica</w:t>
      </w:r>
      <w:proofErr w:type="spellEnd"/>
      <w:r>
        <w:rPr>
          <w:rFonts w:ascii="Times New Roman" w:eastAsia="Calibri" w:hAnsi="Times New Roman" w:cs="Times New Roman"/>
          <w:b/>
          <w:sz w:val="24"/>
          <w:lang w:val="en-US"/>
        </w:rPr>
        <w:t xml:space="preserve"> in Cuban preschoolers</w:t>
      </w:r>
    </w:p>
    <w:p w14:paraId="5FD6A886" w14:textId="77777777" w:rsidR="00B14CF0" w:rsidRDefault="00B14CF0" w:rsidP="001415FC">
      <w:pPr>
        <w:spacing w:after="0" w:line="360" w:lineRule="auto"/>
        <w:rPr>
          <w:rFonts w:ascii="Times New Roman" w:eastAsia="Calibri" w:hAnsi="Times New Roman" w:cs="Times New Roman"/>
          <w:b/>
          <w:sz w:val="24"/>
          <w:lang w:val="en-US"/>
        </w:rPr>
      </w:pPr>
    </w:p>
    <w:p w14:paraId="490C1958" w14:textId="77777777" w:rsidR="00B14CF0" w:rsidRDefault="00937578" w:rsidP="001415FC">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Abstract</w:t>
      </w:r>
    </w:p>
    <w:p w14:paraId="7035155D" w14:textId="77777777" w:rsidR="00B14CF0" w:rsidRDefault="00937578" w:rsidP="001415FC">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purpose of this study was to evaluate the psychometric properties of the </w:t>
      </w:r>
      <w:proofErr w:type="spellStart"/>
      <w:r>
        <w:rPr>
          <w:rFonts w:ascii="Times New Roman" w:hAnsi="Times New Roman" w:cs="Times New Roman"/>
          <w:sz w:val="24"/>
          <w:lang w:val="en-US"/>
        </w:rPr>
        <w:t>PreAcademic</w:t>
      </w:r>
      <w:proofErr w:type="spellEnd"/>
      <w:r>
        <w:rPr>
          <w:rFonts w:ascii="Times New Roman" w:hAnsi="Times New Roman" w:cs="Times New Roman"/>
          <w:sz w:val="24"/>
          <w:lang w:val="en-US"/>
        </w:rPr>
        <w:t xml:space="preserve"> Battery, revised version (B-PREA-R) for Cuban preschool children. The battery </w:t>
      </w:r>
      <w:proofErr w:type="gramStart"/>
      <w:r>
        <w:rPr>
          <w:rFonts w:ascii="Times New Roman" w:hAnsi="Times New Roman" w:cs="Times New Roman"/>
          <w:sz w:val="24"/>
          <w:lang w:val="en-US"/>
        </w:rPr>
        <w:t>was administered</w:t>
      </w:r>
      <w:proofErr w:type="gramEnd"/>
      <w:r>
        <w:rPr>
          <w:rFonts w:ascii="Times New Roman" w:hAnsi="Times New Roman" w:cs="Times New Roman"/>
          <w:sz w:val="24"/>
          <w:lang w:val="en-US"/>
        </w:rPr>
        <w:t xml:space="preserve"> to 300 children between four and six years of age in Cienfuegos, Cuba. Item analysis showed that, out of 199 items, 61 items were of </w:t>
      </w:r>
      <w:r w:rsidR="00CF05E8">
        <w:rPr>
          <w:rFonts w:ascii="Times New Roman" w:hAnsi="Times New Roman" w:cs="Times New Roman"/>
          <w:sz w:val="24"/>
          <w:lang w:val="en-US"/>
        </w:rPr>
        <w:t xml:space="preserve">high </w:t>
      </w:r>
      <w:r>
        <w:rPr>
          <w:rFonts w:ascii="Times New Roman" w:hAnsi="Times New Roman" w:cs="Times New Roman"/>
          <w:sz w:val="24"/>
          <w:lang w:val="en-US"/>
        </w:rPr>
        <w:t xml:space="preserve">quality, 132 items of good quality and 6 items of regulate quality. </w:t>
      </w:r>
      <w:proofErr w:type="spellStart"/>
      <w:r>
        <w:rPr>
          <w:rFonts w:ascii="Times New Roman" w:hAnsi="Times New Roman" w:cs="Times New Roman"/>
          <w:sz w:val="24"/>
          <w:lang w:val="en-US"/>
        </w:rPr>
        <w:t>Cronbach's</w:t>
      </w:r>
      <w:proofErr w:type="spellEnd"/>
      <w:r>
        <w:rPr>
          <w:rFonts w:ascii="Times New Roman" w:hAnsi="Times New Roman" w:cs="Times New Roman"/>
          <w:sz w:val="24"/>
          <w:lang w:val="en-US"/>
        </w:rPr>
        <w:t xml:space="preserve"> alpha showed adequate values, α= .85. Factor analysis revealed three factors. Factor 1, "Executive Skills," comprised of the subtests visual selective attention, matrices, story comprehension, </w:t>
      </w:r>
      <w:proofErr w:type="spellStart"/>
      <w:r>
        <w:rPr>
          <w:rFonts w:ascii="Times New Roman" w:hAnsi="Times New Roman" w:cs="Times New Roman"/>
          <w:sz w:val="24"/>
          <w:lang w:val="en-US"/>
        </w:rPr>
        <w:t>graphomotor</w:t>
      </w:r>
      <w:proofErr w:type="spellEnd"/>
      <w:r>
        <w:rPr>
          <w:rFonts w:ascii="Times New Roman" w:hAnsi="Times New Roman" w:cs="Times New Roman"/>
          <w:sz w:val="24"/>
          <w:lang w:val="en-US"/>
        </w:rPr>
        <w:t xml:space="preserve"> skills, and quantity counting. Factor </w:t>
      </w:r>
      <w:proofErr w:type="gramStart"/>
      <w:r>
        <w:rPr>
          <w:rFonts w:ascii="Times New Roman" w:hAnsi="Times New Roman" w:cs="Times New Roman"/>
          <w:sz w:val="24"/>
          <w:lang w:val="en-US"/>
        </w:rPr>
        <w:t>2</w:t>
      </w:r>
      <w:proofErr w:type="gramEnd"/>
      <w:r>
        <w:rPr>
          <w:rFonts w:ascii="Times New Roman" w:hAnsi="Times New Roman" w:cs="Times New Roman"/>
          <w:sz w:val="24"/>
          <w:lang w:val="en-US"/>
        </w:rPr>
        <w:t>, "Memory Skills", which groups the visual working memory subtest. Factor 3, "Linguistic Skills", made up of the vocabulary, verbal working memory and repeating syllables subtests. The selection of quartiles for the three age groups (4, 5 and 6 years) allows us to make a judgment about the development of executive, linguistic and memory skills of preschool children. The B-PREA-R is a quick and easy test to apply in the educational context and presents adequate psychometric properties to evaluate the neurocognitive development in the preschool stage, to discover the child's potentialities and weaknesses and to guide his or her preparation to start basic schooling.</w:t>
      </w:r>
    </w:p>
    <w:p w14:paraId="3F818D2B" w14:textId="77777777" w:rsidR="00B14CF0" w:rsidRDefault="00937578" w:rsidP="001415FC">
      <w:pPr>
        <w:spacing w:line="360" w:lineRule="auto"/>
        <w:jc w:val="both"/>
        <w:rPr>
          <w:rFonts w:ascii="Times New Roman" w:hAnsi="Times New Roman" w:cs="Times New Roman"/>
          <w:b/>
          <w:sz w:val="24"/>
          <w:lang w:val="en-US"/>
        </w:rPr>
      </w:pPr>
      <w:r>
        <w:rPr>
          <w:rFonts w:ascii="Times New Roman" w:eastAsia="Times New Roman" w:hAnsi="Times New Roman" w:cs="Times New Roman"/>
          <w:b/>
          <w:sz w:val="24"/>
          <w:lang w:val="en-US" w:eastAsia="es-ES"/>
        </w:rPr>
        <w:t>Key words</w:t>
      </w:r>
      <w:r>
        <w:rPr>
          <w:rFonts w:ascii="Times New Roman" w:eastAsia="Times New Roman" w:hAnsi="Times New Roman" w:cs="Times New Roman"/>
          <w:sz w:val="24"/>
          <w:lang w:val="en-US" w:eastAsia="es-ES"/>
        </w:rPr>
        <w:t xml:space="preserve">: cognitive, evaluation, neurodevelopment, neuropsychology, preschool.  </w:t>
      </w:r>
    </w:p>
    <w:p w14:paraId="6811722D" w14:textId="77777777" w:rsidR="00B14CF0" w:rsidRDefault="00B14CF0" w:rsidP="001415FC">
      <w:pPr>
        <w:spacing w:line="360" w:lineRule="auto"/>
        <w:jc w:val="both"/>
        <w:rPr>
          <w:rFonts w:ascii="Times New Roman" w:hAnsi="Times New Roman" w:cs="Times New Roman"/>
          <w:b/>
          <w:sz w:val="24"/>
          <w:lang w:val="en-US"/>
        </w:rPr>
      </w:pPr>
    </w:p>
    <w:p w14:paraId="00561419" w14:textId="77777777" w:rsidR="00B14CF0" w:rsidRDefault="00937578" w:rsidP="001415FC">
      <w:pPr>
        <w:spacing w:line="360" w:lineRule="auto"/>
        <w:rPr>
          <w:rFonts w:ascii="Times New Roman" w:hAnsi="Times New Roman" w:cs="Times New Roman"/>
          <w:b/>
          <w:sz w:val="24"/>
          <w:lang w:val="en-US"/>
        </w:rPr>
      </w:pPr>
      <w:r>
        <w:rPr>
          <w:rFonts w:ascii="Times New Roman" w:hAnsi="Times New Roman" w:cs="Times New Roman"/>
          <w:b/>
          <w:sz w:val="24"/>
          <w:lang w:val="en-US"/>
        </w:rPr>
        <w:br w:type="page"/>
      </w:r>
    </w:p>
    <w:p w14:paraId="014DBE34" w14:textId="77777777" w:rsidR="00B14CF0" w:rsidRDefault="00937578" w:rsidP="001415FC">
      <w:pPr>
        <w:spacing w:after="0" w:line="360" w:lineRule="auto"/>
        <w:jc w:val="both"/>
        <w:rPr>
          <w:rFonts w:ascii="Times New Roman" w:hAnsi="Times New Roman" w:cs="Times New Roman"/>
          <w:sz w:val="24"/>
          <w:lang w:val="es-CL"/>
        </w:rPr>
      </w:pPr>
      <w:r>
        <w:rPr>
          <w:rFonts w:ascii="Times New Roman" w:hAnsi="Times New Roman" w:cs="Times New Roman"/>
          <w:b/>
          <w:sz w:val="24"/>
          <w:lang w:val="es-CL"/>
        </w:rPr>
        <w:lastRenderedPageBreak/>
        <w:t>Introducción</w:t>
      </w:r>
    </w:p>
    <w:p w14:paraId="1E86906F"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El desarrollo cognitivo en la primera infancia crea las bases para una trayectoria escolar favorable en la niñez y adolescencia, así como el éxito académico y laboral en la adultez (</w:t>
      </w:r>
      <w:proofErr w:type="spellStart"/>
      <w:r>
        <w:rPr>
          <w:rFonts w:ascii="Times New Roman" w:hAnsi="Times New Roman" w:cs="Times New Roman"/>
          <w:sz w:val="24"/>
          <w:lang w:val="es-CL"/>
        </w:rPr>
        <w:t>Doebel</w:t>
      </w:r>
      <w:proofErr w:type="spellEnd"/>
      <w:r>
        <w:rPr>
          <w:rFonts w:ascii="Times New Roman" w:hAnsi="Times New Roman" w:cs="Times New Roman"/>
          <w:sz w:val="24"/>
          <w:lang w:val="es-CL"/>
        </w:rPr>
        <w:t>, 2020). En muchos países latinoamericanos de ingresos bajos y medios, más de la mitad de los niños demuestran un retraso en el dominio cognitivo cuando ingresan a la enseñanza básica (</w:t>
      </w:r>
      <w:proofErr w:type="spellStart"/>
      <w:r>
        <w:rPr>
          <w:rFonts w:ascii="Times New Roman" w:hAnsi="Times New Roman" w:cs="Times New Roman"/>
          <w:sz w:val="24"/>
          <w:lang w:val="es-CL"/>
        </w:rPr>
        <w:t>Abufhele</w:t>
      </w:r>
      <w:proofErr w:type="spellEnd"/>
      <w:r>
        <w:rPr>
          <w:rFonts w:ascii="Times New Roman" w:hAnsi="Times New Roman" w:cs="Times New Roman"/>
          <w:sz w:val="24"/>
          <w:lang w:val="es-CL"/>
        </w:rPr>
        <w:t xml:space="preserve"> et al., 2021; </w:t>
      </w:r>
      <w:proofErr w:type="spellStart"/>
      <w:r>
        <w:rPr>
          <w:rFonts w:ascii="Times New Roman" w:hAnsi="Times New Roman" w:cs="Times New Roman"/>
          <w:sz w:val="24"/>
          <w:lang w:val="es-CL"/>
        </w:rPr>
        <w:t>Borrescio</w:t>
      </w:r>
      <w:proofErr w:type="spellEnd"/>
      <w:r>
        <w:rPr>
          <w:rFonts w:ascii="Times New Roman" w:hAnsi="Times New Roman" w:cs="Times New Roman"/>
          <w:sz w:val="24"/>
          <w:lang w:val="es-CL"/>
        </w:rPr>
        <w:t xml:space="preserve"> &amp; Valenzuela, 2021; </w:t>
      </w:r>
      <w:proofErr w:type="spellStart"/>
      <w:r>
        <w:rPr>
          <w:rFonts w:ascii="Times New Roman" w:hAnsi="Times New Roman" w:cs="Times New Roman"/>
          <w:sz w:val="24"/>
          <w:lang w:val="es-CL"/>
        </w:rPr>
        <w:t>Vollman</w:t>
      </w:r>
      <w:proofErr w:type="spellEnd"/>
      <w:r>
        <w:rPr>
          <w:rFonts w:ascii="Times New Roman" w:hAnsi="Times New Roman" w:cs="Times New Roman"/>
          <w:sz w:val="24"/>
          <w:lang w:val="es-CL"/>
        </w:rPr>
        <w:t xml:space="preserve"> &amp; Richland, 2020). Estos niños no están suficientemente preparados para aprender y suelen enfrentar dificultades adicionales en la escuela. Además, en las últimas décadas se ha registrado un aumento de trastornos de aprendizaje y conducta asociados a alteraciones en el desarrollo cognitivo durante los primeros años de vida (</w:t>
      </w:r>
      <w:proofErr w:type="spellStart"/>
      <w:r>
        <w:rPr>
          <w:rFonts w:ascii="Times New Roman" w:hAnsi="Times New Roman" w:cs="Times New Roman"/>
          <w:sz w:val="24"/>
          <w:lang w:val="es-CL"/>
        </w:rPr>
        <w:t>Albes</w:t>
      </w:r>
      <w:proofErr w:type="spellEnd"/>
      <w:r>
        <w:rPr>
          <w:rFonts w:ascii="Times New Roman" w:hAnsi="Times New Roman" w:cs="Times New Roman"/>
          <w:sz w:val="24"/>
          <w:lang w:val="es-CL"/>
        </w:rPr>
        <w:t xml:space="preserve"> et al., 2021). Para reducir esta brecha de ingreso a la escuela es necesario detectar dificultades en el desarrollo cognitivo tempranamente para poder intervenir a tiempo y no perpetuar la falta de oportunidades académicas, socioeconómicas y de movilidad social. Sin embargo, actualmente existen pocos instrumentos culturalmente validados en América Latina. Este estudio trata de llenar este vacío de investigación en el contexto cultural de Cuba, donde el adecuado desarrollo cognitivo en la primera infancia es una preocupación importante de educadores e investigadores.</w:t>
      </w:r>
    </w:p>
    <w:p w14:paraId="2B5FB560"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 xml:space="preserve">Durante las últimas décadas la neuropsicología cultural de Luria ha ganado impulso en la evaluación y rehabilitación de niños preescolares (Solovieva &amp; Quintanar, 2021; Solovieva et al., 2019; Bonilla-Sánchez et al., 2019; Cadavid-Ruiz et al., 2019). Dicha neuropsicología surge de la teoría sociocultural de Vygotsky y se basa en dos principios: (1) el desarrollo infantil ocurre en un contexto sociocultural y (2) la estructura sistémica de los procesos mentales. El primero, significa que el niño se desarrolla a través de la actividad intersubjetiva durante la crianza y enseñanza en un cierto contexto social y cultural. El segundo, por su parte, significa que los procesos mentales no pueden dividirse en funciones aisladas (atención, lenguaje, memoria, etc.), sino más bien es un sistema integral (Solovieva &amp; Quintanar, 2021; Solovieva et al., 2019).  </w:t>
      </w:r>
    </w:p>
    <w:p w14:paraId="11BDE1C5"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 xml:space="preserve">El enfoque sociocultural ofrece un marco teórico importante para evaluar y estimular el desarrollo de niños preescolares en el contexto educativo, que se complementa con la neuropsicología cognitiva en la población infantil, que típicamente estudia las relaciones entre el cerebro (maduración de las estructuras cerebrales) y las conductas de los niños en desarrollo. Una revisión de la literatura permite observar una tendencia de los investigadores de elaborar y adaptar pruebas cognitivas en niños preescolares con un enfoque integral, en el cual se reúnen la experiencia de la </w:t>
      </w:r>
      <w:r>
        <w:rPr>
          <w:rFonts w:ascii="Times New Roman" w:hAnsi="Times New Roman" w:cs="Times New Roman"/>
          <w:sz w:val="24"/>
          <w:lang w:val="es-CL"/>
        </w:rPr>
        <w:lastRenderedPageBreak/>
        <w:t>neuropsicología cognitiva con los fundamentos del enfoque sociocultural (Piedra et al., 2021).</w:t>
      </w:r>
    </w:p>
    <w:p w14:paraId="3C8AF764"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 xml:space="preserve">Desde esta perspectiva, algunos investigadores han avanzado en esta integración (Flores et al., 2012; Manga &amp; Ramos, 2006; Matute et al., 2007) y proponen tres exigencias para elaborar pruebas en la población infantil: (1) evaluar las habilidades neuropsicológicas como indicador de la maduración y funcionamiento de ciertas estructuras cerebral en formación, (2) considerar los procedimientos más adecuados para diseñar la prueba y sus ítems en un contexto cultural determinado (ej. el procedimiento </w:t>
      </w:r>
      <w:proofErr w:type="spellStart"/>
      <w:r>
        <w:rPr>
          <w:rFonts w:ascii="Times New Roman" w:hAnsi="Times New Roman" w:cs="Times New Roman"/>
          <w:sz w:val="24"/>
          <w:lang w:val="es-CL"/>
        </w:rPr>
        <w:t>go</w:t>
      </w:r>
      <w:proofErr w:type="spellEnd"/>
      <w:r>
        <w:rPr>
          <w:rFonts w:ascii="Times New Roman" w:hAnsi="Times New Roman" w:cs="Times New Roman"/>
          <w:sz w:val="24"/>
          <w:lang w:val="es-CL"/>
        </w:rPr>
        <w:t xml:space="preserve">–no </w:t>
      </w:r>
      <w:proofErr w:type="spellStart"/>
      <w:r>
        <w:rPr>
          <w:rFonts w:ascii="Times New Roman" w:hAnsi="Times New Roman" w:cs="Times New Roman"/>
          <w:sz w:val="24"/>
          <w:lang w:val="es-CL"/>
        </w:rPr>
        <w:t>go</w:t>
      </w:r>
      <w:proofErr w:type="spellEnd"/>
      <w:r>
        <w:rPr>
          <w:rFonts w:ascii="Times New Roman" w:hAnsi="Times New Roman" w:cs="Times New Roman"/>
          <w:sz w:val="24"/>
          <w:lang w:val="es-CL"/>
        </w:rPr>
        <w:t xml:space="preserve"> ha sido muy utilizado para elaborar pruebas de atención en diferentes contextos culturales), y (3) interpretar los resultados a través de normas (comparar al sujeto con un grupo de referencia) y/o criterios (comparar al sujeto con respecto a un objetivo a lograr). </w:t>
      </w:r>
    </w:p>
    <w:p w14:paraId="3A419357"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Según estas exigencias, algunos autores han elaborado y validado instrumentos para niños preescolares en países latinoamericanos de ingresos bajos y medios (</w:t>
      </w:r>
      <w:proofErr w:type="spellStart"/>
      <w:r>
        <w:rPr>
          <w:rFonts w:ascii="Times New Roman" w:hAnsi="Times New Roman" w:cs="Times New Roman"/>
          <w:sz w:val="24"/>
          <w:lang w:val="es-CL"/>
        </w:rPr>
        <w:t>Bornstein</w:t>
      </w:r>
      <w:proofErr w:type="spellEnd"/>
      <w:r>
        <w:rPr>
          <w:rFonts w:ascii="Times New Roman" w:hAnsi="Times New Roman" w:cs="Times New Roman"/>
          <w:sz w:val="24"/>
          <w:lang w:val="es-CL"/>
        </w:rPr>
        <w:t xml:space="preserve"> et al., 2015). En Argentina, se elaboró el CHEXI (</w:t>
      </w:r>
      <w:proofErr w:type="spellStart"/>
      <w:r>
        <w:rPr>
          <w:rFonts w:ascii="Times New Roman" w:hAnsi="Times New Roman" w:cs="Times New Roman"/>
          <w:sz w:val="24"/>
          <w:lang w:val="es-CL"/>
        </w:rPr>
        <w:t>Childhood</w:t>
      </w:r>
      <w:proofErr w:type="spellEnd"/>
      <w:r>
        <w:rPr>
          <w:rFonts w:ascii="Times New Roman" w:hAnsi="Times New Roman" w:cs="Times New Roman"/>
          <w:sz w:val="24"/>
          <w:lang w:val="es-CL"/>
        </w:rPr>
        <w:t xml:space="preserve"> </w:t>
      </w:r>
      <w:proofErr w:type="spellStart"/>
      <w:r>
        <w:rPr>
          <w:rFonts w:ascii="Times New Roman" w:hAnsi="Times New Roman" w:cs="Times New Roman"/>
          <w:sz w:val="24"/>
          <w:lang w:val="es-CL"/>
        </w:rPr>
        <w:t>Executive</w:t>
      </w:r>
      <w:proofErr w:type="spellEnd"/>
      <w:r>
        <w:rPr>
          <w:rFonts w:ascii="Times New Roman" w:hAnsi="Times New Roman" w:cs="Times New Roman"/>
          <w:sz w:val="24"/>
          <w:lang w:val="es-CL"/>
        </w:rPr>
        <w:t xml:space="preserve"> </w:t>
      </w:r>
      <w:proofErr w:type="spellStart"/>
      <w:r>
        <w:rPr>
          <w:rFonts w:ascii="Times New Roman" w:hAnsi="Times New Roman" w:cs="Times New Roman"/>
          <w:sz w:val="24"/>
          <w:lang w:val="es-CL"/>
        </w:rPr>
        <w:t>Functioning</w:t>
      </w:r>
      <w:proofErr w:type="spellEnd"/>
      <w:r>
        <w:rPr>
          <w:rFonts w:ascii="Times New Roman" w:hAnsi="Times New Roman" w:cs="Times New Roman"/>
          <w:sz w:val="24"/>
          <w:lang w:val="es-CL"/>
        </w:rPr>
        <w:t xml:space="preserve"> </w:t>
      </w:r>
      <w:proofErr w:type="spellStart"/>
      <w:r>
        <w:rPr>
          <w:rFonts w:ascii="Times New Roman" w:hAnsi="Times New Roman" w:cs="Times New Roman"/>
          <w:sz w:val="24"/>
          <w:lang w:val="es-CL"/>
        </w:rPr>
        <w:t>Inventory</w:t>
      </w:r>
      <w:proofErr w:type="spellEnd"/>
      <w:r>
        <w:rPr>
          <w:rFonts w:ascii="Times New Roman" w:hAnsi="Times New Roman" w:cs="Times New Roman"/>
          <w:sz w:val="24"/>
          <w:lang w:val="es-CL"/>
        </w:rPr>
        <w:t xml:space="preserve">) (Gutiérrez et al., 2021), en Chile el TENI (Test de Evaluación Neuropsicológica Infantil) (Tenorio et al., 2014), y en México la ENI (Evaluación neuropsicológica infantil) (Matute et al., 2007) y la BANFE (Batería de funciones ejecutivas y lóbulos frontales) (Flores et al., 2012). Por su parte, en Cuba, Ramírez et al. (2013) trabajaron con la batería neuropsicológica Luria Inicial para evaluar el desarrollo de niños preescolares, y si bien, mostró valores adecuados de validez y confiabilidad presenta limitaciones para aplicarse en el contexto educativo: la aplicación es larga y compleja y las educadoras no tienen el tiempo para capacitarse y evaluar a los niños en sus aulas. </w:t>
      </w:r>
    </w:p>
    <w:p w14:paraId="00BE4C8C"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 xml:space="preserve">Considerando esta limitación, Ramírez et al. (2018) elaboraron la Batería </w:t>
      </w:r>
      <w:proofErr w:type="spellStart"/>
      <w:r>
        <w:rPr>
          <w:rFonts w:ascii="Times New Roman" w:hAnsi="Times New Roman" w:cs="Times New Roman"/>
          <w:sz w:val="24"/>
          <w:lang w:val="es-CL"/>
        </w:rPr>
        <w:t>PreAcadémica</w:t>
      </w:r>
      <w:proofErr w:type="spellEnd"/>
      <w:r>
        <w:rPr>
          <w:rFonts w:ascii="Times New Roman" w:hAnsi="Times New Roman" w:cs="Times New Roman"/>
          <w:sz w:val="24"/>
          <w:lang w:val="es-CL"/>
        </w:rPr>
        <w:t xml:space="preserve"> (B-PREA), la cual evalúa el desarrollo cognitivo en niños entre 4 y 6 años y ayuda a determinar si un niño está preparado para iniciar la escolarización. La aplicación de la B-PREA no requiere mucho tiempo, entre 20 y 25 minutos. La batería tiene dos antecedentes teóricos: (1) los aportes de la teoría de Luria en la etapa preescolar (Solovieva &amp; Quintanar, 2013; Manga &amp; Ramos, 2006) y (2) los fundamentos de la neuropsicología cognitiva sobre la elaboración de pruebas para niños preescolares (Tenorio et al., 2014; </w:t>
      </w:r>
      <w:proofErr w:type="spellStart"/>
      <w:r>
        <w:rPr>
          <w:rFonts w:ascii="Times New Roman" w:hAnsi="Times New Roman" w:cs="Times New Roman"/>
          <w:sz w:val="24"/>
          <w:lang w:val="es-CL"/>
        </w:rPr>
        <w:t>Portellano</w:t>
      </w:r>
      <w:proofErr w:type="spellEnd"/>
      <w:r>
        <w:rPr>
          <w:rFonts w:ascii="Times New Roman" w:hAnsi="Times New Roman" w:cs="Times New Roman"/>
          <w:sz w:val="24"/>
          <w:lang w:val="es-CL"/>
        </w:rPr>
        <w:t>, 2000). Sin embargo, la B-PREA sigue siendo una prueba compleja para educadoras del nivel preescolar.</w:t>
      </w:r>
    </w:p>
    <w:p w14:paraId="1F8B4578" w14:textId="2BB9D304"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 xml:space="preserve">Para superar estas debilidades, </w:t>
      </w:r>
      <w:r w:rsidR="004976AD">
        <w:rPr>
          <w:rFonts w:ascii="Times New Roman" w:hAnsi="Times New Roman" w:cs="Times New Roman"/>
          <w:sz w:val="24"/>
          <w:lang w:val="es-CL"/>
        </w:rPr>
        <w:t xml:space="preserve">se realizaron </w:t>
      </w:r>
      <w:r>
        <w:rPr>
          <w:rFonts w:ascii="Times New Roman" w:hAnsi="Times New Roman" w:cs="Times New Roman"/>
          <w:sz w:val="24"/>
          <w:lang w:val="es-CL"/>
        </w:rPr>
        <w:t xml:space="preserve">modificaciones en la B-PREA para que la aplicación </w:t>
      </w:r>
      <w:r w:rsidR="004976AD">
        <w:rPr>
          <w:rFonts w:ascii="Times New Roman" w:hAnsi="Times New Roman" w:cs="Times New Roman"/>
          <w:sz w:val="24"/>
          <w:lang w:val="es-CL"/>
        </w:rPr>
        <w:t xml:space="preserve">fuera </w:t>
      </w:r>
      <w:r>
        <w:rPr>
          <w:rFonts w:ascii="Times New Roman" w:hAnsi="Times New Roman" w:cs="Times New Roman"/>
          <w:sz w:val="24"/>
          <w:lang w:val="es-CL"/>
        </w:rPr>
        <w:t>más atractiva, cort</w:t>
      </w:r>
      <w:r w:rsidR="004976AD">
        <w:rPr>
          <w:rFonts w:ascii="Times New Roman" w:hAnsi="Times New Roman" w:cs="Times New Roman"/>
          <w:sz w:val="24"/>
          <w:lang w:val="es-CL"/>
        </w:rPr>
        <w:t>a</w:t>
      </w:r>
      <w:r>
        <w:rPr>
          <w:rFonts w:ascii="Times New Roman" w:hAnsi="Times New Roman" w:cs="Times New Roman"/>
          <w:sz w:val="24"/>
          <w:lang w:val="es-CL"/>
        </w:rPr>
        <w:t xml:space="preserve"> y fácil para las educadoras en el contexto </w:t>
      </w:r>
      <w:r>
        <w:rPr>
          <w:rFonts w:ascii="Times New Roman" w:hAnsi="Times New Roman" w:cs="Times New Roman"/>
          <w:sz w:val="24"/>
          <w:lang w:val="es-CL"/>
        </w:rPr>
        <w:lastRenderedPageBreak/>
        <w:t xml:space="preserve">educativo a nivel preescolar. En lo particular, </w:t>
      </w:r>
      <w:r w:rsidR="004976AD">
        <w:rPr>
          <w:rFonts w:ascii="Times New Roman" w:hAnsi="Times New Roman" w:cs="Times New Roman"/>
          <w:sz w:val="24"/>
          <w:lang w:val="es-CL"/>
        </w:rPr>
        <w:t xml:space="preserve">los revisores se apoyaron </w:t>
      </w:r>
      <w:r>
        <w:rPr>
          <w:rFonts w:ascii="Times New Roman" w:hAnsi="Times New Roman" w:cs="Times New Roman"/>
          <w:sz w:val="24"/>
          <w:lang w:val="es-CL"/>
        </w:rPr>
        <w:t>en las exigencias</w:t>
      </w:r>
      <w:r w:rsidR="00D44398">
        <w:rPr>
          <w:rFonts w:ascii="Times New Roman" w:hAnsi="Times New Roman" w:cs="Times New Roman"/>
          <w:sz w:val="24"/>
          <w:lang w:val="es-CL"/>
        </w:rPr>
        <w:t xml:space="preserve"> metodológicas de los expertos de la </w:t>
      </w:r>
      <w:r w:rsidR="004976AD">
        <w:rPr>
          <w:rFonts w:ascii="Times New Roman" w:hAnsi="Times New Roman" w:cs="Times New Roman"/>
          <w:sz w:val="24"/>
          <w:lang w:val="es-CL"/>
        </w:rPr>
        <w:t xml:space="preserve">educación de la primera infancia en Cuba (Gallo et al., 2018), </w:t>
      </w:r>
      <w:r>
        <w:rPr>
          <w:rFonts w:ascii="Times New Roman" w:hAnsi="Times New Roman" w:cs="Times New Roman"/>
          <w:sz w:val="24"/>
          <w:lang w:val="es-CL"/>
        </w:rPr>
        <w:t xml:space="preserve">y se reelaboraron los </w:t>
      </w:r>
      <w:proofErr w:type="spellStart"/>
      <w:r>
        <w:rPr>
          <w:rFonts w:ascii="Times New Roman" w:hAnsi="Times New Roman" w:cs="Times New Roman"/>
          <w:sz w:val="24"/>
          <w:lang w:val="es-CL"/>
        </w:rPr>
        <w:t>subtests</w:t>
      </w:r>
      <w:proofErr w:type="spellEnd"/>
      <w:r>
        <w:rPr>
          <w:rFonts w:ascii="Times New Roman" w:hAnsi="Times New Roman" w:cs="Times New Roman"/>
          <w:sz w:val="24"/>
          <w:lang w:val="es-CL"/>
        </w:rPr>
        <w:t xml:space="preserve"> de la B-PREA según las necesidades del currículo preescolar</w:t>
      </w:r>
      <w:r w:rsidR="00D44398">
        <w:rPr>
          <w:rFonts w:ascii="Times New Roman" w:hAnsi="Times New Roman" w:cs="Times New Roman"/>
          <w:sz w:val="24"/>
          <w:lang w:val="es-CL"/>
        </w:rPr>
        <w:t xml:space="preserve">: realizar la evaluación integral del niño según las dimensiones de educación y desarrollo establecidas en el perfeccionamiento. </w:t>
      </w:r>
      <w:r>
        <w:rPr>
          <w:rFonts w:ascii="Times New Roman" w:hAnsi="Times New Roman" w:cs="Times New Roman"/>
          <w:sz w:val="24"/>
          <w:lang w:val="es-CL"/>
        </w:rPr>
        <w:t xml:space="preserve">De igual modo, se apoyó en la resolución 238/2014, reglamento para la aplicación del sistema de evaluación escolar del Ministerio de Educación en Cuba, para incorporar los </w:t>
      </w:r>
      <w:proofErr w:type="spellStart"/>
      <w:r>
        <w:rPr>
          <w:rFonts w:ascii="Times New Roman" w:hAnsi="Times New Roman" w:cs="Times New Roman"/>
          <w:sz w:val="24"/>
          <w:lang w:val="es-CL"/>
        </w:rPr>
        <w:t>subtests</w:t>
      </w:r>
      <w:proofErr w:type="spellEnd"/>
      <w:r>
        <w:rPr>
          <w:rFonts w:ascii="Times New Roman" w:hAnsi="Times New Roman" w:cs="Times New Roman"/>
          <w:sz w:val="24"/>
          <w:lang w:val="es-CL"/>
        </w:rPr>
        <w:t xml:space="preserve"> de la B-PREA al sistema evaluativo del nivel preescolar, ya sea aplicándolas en la corte evaluativo parcial (cuatro meses después de comenzar el curso escolar) o en el corte evaluativo final (al final del curso escolar).  </w:t>
      </w:r>
    </w:p>
    <w:p w14:paraId="3CF4BF52" w14:textId="06AC3FEB"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 xml:space="preserve">La B-PREA revisada (B-PREA-R) para educadores es una necesidad en el contexto educativo cubano, y responde a varias razones prácticas y teóricas: (1) existen pocos estudios de validación en Cuba de pruebas educativas para niños entre tres y seis años, (2) la aplicación de la mayoría de las pruebas cubanas es compleja y larga, por ende, no son aptas para ser usado por educadoras en el contexto preescolar, (3) el aumento de niños preescolares con </w:t>
      </w:r>
      <w:r w:rsidR="005C3949">
        <w:rPr>
          <w:rFonts w:ascii="Times New Roman" w:hAnsi="Times New Roman" w:cs="Times New Roman"/>
          <w:sz w:val="24"/>
          <w:lang w:val="es-CL"/>
        </w:rPr>
        <w:t xml:space="preserve">limitaciones en su desarrollo </w:t>
      </w:r>
      <w:r>
        <w:rPr>
          <w:rFonts w:ascii="Times New Roman" w:hAnsi="Times New Roman" w:cs="Times New Roman"/>
          <w:sz w:val="24"/>
          <w:lang w:val="es-CL"/>
        </w:rPr>
        <w:t xml:space="preserve">en varias provincias de Cuba (Ramírez &amp; Bernal, 2020; Íñiguez et al., 2017), </w:t>
      </w:r>
    </w:p>
    <w:p w14:paraId="145C9102"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Teniendo en cuenta las modificaciones realizadas en la B-PREA, y la necesidad de emplear pruebas en el proceso educativo, la presente investigación plantea como objetivo examinar la validez y confiabilidad de la B-PREA-R (análisis de ítems, consistencia interna, análisis de factores).</w:t>
      </w:r>
    </w:p>
    <w:p w14:paraId="3E33BE36" w14:textId="77777777" w:rsidR="00B14CF0" w:rsidRDefault="00B14CF0" w:rsidP="001415FC">
      <w:pPr>
        <w:spacing w:after="0" w:line="360" w:lineRule="auto"/>
        <w:jc w:val="both"/>
        <w:rPr>
          <w:rFonts w:ascii="Times New Roman" w:hAnsi="Times New Roman" w:cs="Times New Roman"/>
          <w:b/>
          <w:sz w:val="24"/>
          <w:lang w:val="es-CL"/>
        </w:rPr>
      </w:pPr>
    </w:p>
    <w:p w14:paraId="6214F834" w14:textId="77777777" w:rsidR="00B14CF0" w:rsidRDefault="00937578" w:rsidP="001415FC">
      <w:pPr>
        <w:spacing w:after="0" w:line="360" w:lineRule="auto"/>
        <w:jc w:val="center"/>
        <w:rPr>
          <w:rFonts w:ascii="Times New Roman" w:hAnsi="Times New Roman" w:cs="Times New Roman"/>
          <w:b/>
          <w:sz w:val="24"/>
          <w:lang w:val="es-CL"/>
        </w:rPr>
      </w:pPr>
      <w:r>
        <w:rPr>
          <w:rFonts w:ascii="Times New Roman" w:hAnsi="Times New Roman" w:cs="Times New Roman"/>
          <w:b/>
          <w:sz w:val="24"/>
          <w:lang w:val="es-CL"/>
        </w:rPr>
        <w:t>Método</w:t>
      </w:r>
    </w:p>
    <w:p w14:paraId="5982D3E2" w14:textId="77777777" w:rsidR="00B14CF0" w:rsidRDefault="00937578" w:rsidP="001415FC">
      <w:pPr>
        <w:spacing w:after="0" w:line="360" w:lineRule="auto"/>
        <w:jc w:val="both"/>
        <w:rPr>
          <w:rFonts w:ascii="Times New Roman" w:hAnsi="Times New Roman" w:cs="Times New Roman"/>
          <w:b/>
          <w:sz w:val="24"/>
          <w:lang w:val="es-CL"/>
        </w:rPr>
      </w:pPr>
      <w:r>
        <w:rPr>
          <w:rFonts w:ascii="Times New Roman" w:hAnsi="Times New Roman" w:cs="Times New Roman"/>
          <w:b/>
          <w:sz w:val="24"/>
          <w:lang w:val="es-CL"/>
        </w:rPr>
        <w:t xml:space="preserve">Participantes </w:t>
      </w:r>
    </w:p>
    <w:p w14:paraId="0A827194" w14:textId="77777777" w:rsidR="00C25574" w:rsidRPr="00226BBE" w:rsidRDefault="00937578" w:rsidP="001415FC">
      <w:pPr>
        <w:spacing w:after="0" w:line="360" w:lineRule="auto"/>
        <w:ind w:firstLine="708"/>
        <w:jc w:val="both"/>
        <w:rPr>
          <w:rFonts w:ascii="Times New Roman" w:hAnsi="Times New Roman" w:cs="Times New Roman"/>
          <w:sz w:val="24"/>
          <w:lang w:val="es-CL"/>
        </w:rPr>
      </w:pPr>
      <w:r w:rsidRPr="00226BBE">
        <w:rPr>
          <w:rFonts w:ascii="Times New Roman" w:hAnsi="Times New Roman" w:cs="Times New Roman"/>
          <w:sz w:val="24"/>
          <w:lang w:val="es-CL"/>
        </w:rPr>
        <w:t xml:space="preserve">La muestra del estudio incluyó 300 preescolares entre cuatro y seis años (entre 46 y 82 meses de edad), 100 niños entre 46 y 58 meses (equivalente al curso </w:t>
      </w:r>
      <w:proofErr w:type="spellStart"/>
      <w:r w:rsidRPr="00226BBE">
        <w:rPr>
          <w:rFonts w:ascii="Times New Roman" w:hAnsi="Times New Roman" w:cs="Times New Roman"/>
          <w:sz w:val="24"/>
          <w:lang w:val="es-CL"/>
        </w:rPr>
        <w:t>prekínder</w:t>
      </w:r>
      <w:proofErr w:type="spellEnd"/>
      <w:r w:rsidRPr="00226BBE">
        <w:rPr>
          <w:rFonts w:ascii="Times New Roman" w:hAnsi="Times New Roman" w:cs="Times New Roman"/>
          <w:sz w:val="24"/>
          <w:lang w:val="es-CL"/>
        </w:rPr>
        <w:t xml:space="preserve">), 100 entre 60 y 70 meses (equivalente al curso kínder) y 100 entre 72 y 82 meses (equivalente al curso primero básico en Cuba) de ambos sexos (54% fueron niños y 46% niñas), provenientes de tres institución educativas de la ciudad de Cienfuegos, Cuba. Las instituciones educativas fueron elegidas debido a que son centro con más de 150 niños de matrícula y provienen de diferentes zonas de la provincia. </w:t>
      </w:r>
    </w:p>
    <w:p w14:paraId="0B075BA6" w14:textId="642F1FC5" w:rsidR="00B14CF0" w:rsidRPr="00226BBE" w:rsidRDefault="00B918F3" w:rsidP="001415FC">
      <w:pPr>
        <w:spacing w:after="0" w:line="360" w:lineRule="auto"/>
        <w:ind w:firstLine="708"/>
        <w:jc w:val="both"/>
        <w:rPr>
          <w:rFonts w:ascii="Times New Roman" w:hAnsi="Times New Roman" w:cs="Times New Roman"/>
          <w:sz w:val="24"/>
          <w:lang w:val="es-CL"/>
        </w:rPr>
      </w:pPr>
      <w:r w:rsidRPr="00226BBE">
        <w:rPr>
          <w:rFonts w:ascii="Times New Roman" w:hAnsi="Times New Roman" w:cs="Times New Roman"/>
          <w:sz w:val="24"/>
          <w:lang w:val="es-CL"/>
        </w:rPr>
        <w:t xml:space="preserve">Los grupos de niños se eligieron </w:t>
      </w:r>
      <w:r w:rsidR="00D13541" w:rsidRPr="00226BBE">
        <w:rPr>
          <w:rFonts w:ascii="Times New Roman" w:hAnsi="Times New Roman" w:cs="Times New Roman"/>
          <w:sz w:val="24"/>
          <w:lang w:val="es-CL"/>
        </w:rPr>
        <w:t xml:space="preserve">según el procedimiento de la tómbola: </w:t>
      </w:r>
      <w:r w:rsidR="00C25574" w:rsidRPr="00226BBE">
        <w:rPr>
          <w:rFonts w:ascii="Times New Roman" w:hAnsi="Times New Roman" w:cs="Times New Roman"/>
          <w:sz w:val="24"/>
          <w:lang w:val="es-CL"/>
        </w:rPr>
        <w:t xml:space="preserve">primeramente, </w:t>
      </w:r>
      <w:r w:rsidR="00D13541" w:rsidRPr="00226BBE">
        <w:rPr>
          <w:rFonts w:ascii="Times New Roman" w:hAnsi="Times New Roman" w:cs="Times New Roman"/>
          <w:sz w:val="24"/>
          <w:lang w:val="es-CL"/>
        </w:rPr>
        <w:t>se nombraron todos los grupos de niños</w:t>
      </w:r>
      <w:r w:rsidR="0062032A" w:rsidRPr="00226BBE">
        <w:rPr>
          <w:rFonts w:ascii="Times New Roman" w:hAnsi="Times New Roman" w:cs="Times New Roman"/>
          <w:sz w:val="24"/>
          <w:lang w:val="es-CL"/>
        </w:rPr>
        <w:t xml:space="preserve"> (institución, cantidad de niños, edad)</w:t>
      </w:r>
      <w:r w:rsidR="00D13541" w:rsidRPr="00226BBE">
        <w:rPr>
          <w:rFonts w:ascii="Times New Roman" w:hAnsi="Times New Roman" w:cs="Times New Roman"/>
          <w:sz w:val="24"/>
          <w:lang w:val="es-CL"/>
        </w:rPr>
        <w:t xml:space="preserve"> y se pusieron en tres cajas</w:t>
      </w:r>
      <w:r w:rsidR="00313446">
        <w:rPr>
          <w:rFonts w:ascii="Times New Roman" w:hAnsi="Times New Roman" w:cs="Times New Roman"/>
          <w:sz w:val="24"/>
          <w:lang w:val="es-CL"/>
        </w:rPr>
        <w:t xml:space="preserve">, las cuales funcionaron como tómbolas </w:t>
      </w:r>
      <w:r w:rsidR="00D13541" w:rsidRPr="00226BBE">
        <w:rPr>
          <w:rFonts w:ascii="Times New Roman" w:hAnsi="Times New Roman" w:cs="Times New Roman"/>
          <w:sz w:val="24"/>
          <w:lang w:val="es-CL"/>
        </w:rPr>
        <w:t xml:space="preserve">(Caja 1: niños 46 </w:t>
      </w:r>
      <w:r w:rsidR="00D13541" w:rsidRPr="00226BBE">
        <w:rPr>
          <w:rFonts w:ascii="Times New Roman" w:hAnsi="Times New Roman" w:cs="Times New Roman"/>
          <w:sz w:val="24"/>
          <w:lang w:val="es-CL"/>
        </w:rPr>
        <w:lastRenderedPageBreak/>
        <w:t>y 58 meses de edad; Caja 2:</w:t>
      </w:r>
      <w:r w:rsidR="00D13541" w:rsidRPr="00226BBE">
        <w:t xml:space="preserve"> </w:t>
      </w:r>
      <w:r w:rsidR="00D13541" w:rsidRPr="00226BBE">
        <w:rPr>
          <w:rFonts w:ascii="Times New Roman" w:hAnsi="Times New Roman" w:cs="Times New Roman"/>
          <w:sz w:val="24"/>
          <w:lang w:val="es-CL"/>
        </w:rPr>
        <w:t xml:space="preserve">niños 60 y 70 meses de edad; Caja 3: </w:t>
      </w:r>
      <w:r w:rsidR="0062032A" w:rsidRPr="00226BBE">
        <w:rPr>
          <w:rFonts w:ascii="Times New Roman" w:hAnsi="Times New Roman" w:cs="Times New Roman"/>
          <w:sz w:val="24"/>
          <w:lang w:val="es-CL"/>
        </w:rPr>
        <w:t>niños entre 72 y 82 meses de edad)</w:t>
      </w:r>
      <w:r w:rsidR="00C25574" w:rsidRPr="00226BBE">
        <w:rPr>
          <w:rFonts w:ascii="Times New Roman" w:hAnsi="Times New Roman" w:cs="Times New Roman"/>
          <w:sz w:val="24"/>
          <w:lang w:val="es-CL"/>
        </w:rPr>
        <w:t xml:space="preserve">; </w:t>
      </w:r>
      <w:r w:rsidR="0062032A" w:rsidRPr="00226BBE">
        <w:rPr>
          <w:rFonts w:ascii="Times New Roman" w:hAnsi="Times New Roman" w:cs="Times New Roman"/>
          <w:sz w:val="24"/>
          <w:lang w:val="es-CL"/>
        </w:rPr>
        <w:t xml:space="preserve">luego se </w:t>
      </w:r>
      <w:r w:rsidR="00D13541" w:rsidRPr="00226BBE">
        <w:rPr>
          <w:rFonts w:ascii="Times New Roman" w:hAnsi="Times New Roman" w:cs="Times New Roman"/>
          <w:sz w:val="24"/>
          <w:lang w:val="es-CL"/>
        </w:rPr>
        <w:t>eligieron dos grupos por edades</w:t>
      </w:r>
      <w:r w:rsidR="0062032A" w:rsidRPr="00226BBE">
        <w:rPr>
          <w:rFonts w:ascii="Times New Roman" w:hAnsi="Times New Roman" w:cs="Times New Roman"/>
          <w:sz w:val="24"/>
          <w:lang w:val="es-CL"/>
        </w:rPr>
        <w:t xml:space="preserve"> </w:t>
      </w:r>
      <w:r w:rsidR="00937578">
        <w:rPr>
          <w:rFonts w:ascii="Times New Roman" w:hAnsi="Times New Roman" w:cs="Times New Roman"/>
          <w:sz w:val="24"/>
          <w:lang w:val="es-CL"/>
        </w:rPr>
        <w:t xml:space="preserve">en un sorteo </w:t>
      </w:r>
      <w:r w:rsidR="0062032A" w:rsidRPr="00226BBE">
        <w:rPr>
          <w:rFonts w:ascii="Times New Roman" w:hAnsi="Times New Roman" w:cs="Times New Roman"/>
          <w:sz w:val="24"/>
          <w:lang w:val="es-CL"/>
        </w:rPr>
        <w:t xml:space="preserve">para obtener la muestra con 100 o más niños. </w:t>
      </w:r>
      <w:r w:rsidR="00937578" w:rsidRPr="00226BBE">
        <w:rPr>
          <w:rFonts w:ascii="Times New Roman" w:hAnsi="Times New Roman" w:cs="Times New Roman"/>
          <w:sz w:val="24"/>
          <w:lang w:val="es-CL"/>
        </w:rPr>
        <w:t>El Ministerio de Educación de la provincia aprobó el estudio que responde al proyecto “Estimulación del neurodesarrollo en la primera infancia” de la Universidad de Cienfuegos, Facultad de Educación. Criterios de inclusión de los niños participantes: (1) tener entre 46 y 82 meses de edad, (2) tener un desarrollo típico para su edad cronológica</w:t>
      </w:r>
      <w:r w:rsidR="00B87E0B">
        <w:rPr>
          <w:rFonts w:ascii="Times New Roman" w:hAnsi="Times New Roman" w:cs="Times New Roman"/>
          <w:sz w:val="24"/>
          <w:lang w:val="es-CL"/>
        </w:rPr>
        <w:t>, y (3) presentar un nivel socioeconómico medio (familias donde el padre y la madre reciban un salario entre 2</w:t>
      </w:r>
      <w:r w:rsidR="0029027B">
        <w:rPr>
          <w:rFonts w:ascii="Times New Roman" w:hAnsi="Times New Roman" w:cs="Times New Roman"/>
          <w:sz w:val="24"/>
          <w:lang w:val="es-CL"/>
        </w:rPr>
        <w:t>1</w:t>
      </w:r>
      <w:r w:rsidR="00B87E0B">
        <w:rPr>
          <w:rFonts w:ascii="Times New Roman" w:hAnsi="Times New Roman" w:cs="Times New Roman"/>
          <w:sz w:val="24"/>
          <w:lang w:val="es-CL"/>
        </w:rPr>
        <w:t>00 y 4000 pesos</w:t>
      </w:r>
      <w:r w:rsidR="00D218E6">
        <w:rPr>
          <w:rFonts w:ascii="Times New Roman" w:hAnsi="Times New Roman" w:cs="Times New Roman"/>
          <w:sz w:val="24"/>
          <w:lang w:val="es-CL"/>
        </w:rPr>
        <w:t xml:space="preserve"> cubanos</w:t>
      </w:r>
      <w:bookmarkStart w:id="0" w:name="_GoBack"/>
      <w:bookmarkEnd w:id="0"/>
      <w:r w:rsidR="00B87E0B">
        <w:rPr>
          <w:rFonts w:ascii="Times New Roman" w:hAnsi="Times New Roman" w:cs="Times New Roman"/>
          <w:sz w:val="24"/>
          <w:lang w:val="es-CL"/>
        </w:rPr>
        <w:t xml:space="preserve">. </w:t>
      </w:r>
      <w:r w:rsidR="00C25574" w:rsidRPr="00226BBE">
        <w:rPr>
          <w:rFonts w:ascii="Times New Roman" w:hAnsi="Times New Roman" w:cs="Times New Roman"/>
          <w:sz w:val="24"/>
          <w:lang w:val="es-CL"/>
        </w:rPr>
        <w:t xml:space="preserve">El consentimiento de los padres y el asentamiento de los niños para participar en el estudio, fueron documentos éticos para realizar la investigación. </w:t>
      </w:r>
      <w:r w:rsidR="00937578" w:rsidRPr="00226BBE">
        <w:rPr>
          <w:rFonts w:ascii="Times New Roman" w:hAnsi="Times New Roman" w:cs="Times New Roman"/>
          <w:sz w:val="24"/>
          <w:lang w:val="es-CL"/>
        </w:rPr>
        <w:t>La caracterización de la muestra se observa en la Tabla 1.</w:t>
      </w:r>
    </w:p>
    <w:p w14:paraId="34539AEA" w14:textId="77777777" w:rsidR="00B14CF0" w:rsidRPr="00226BBE" w:rsidRDefault="00937578" w:rsidP="001415FC">
      <w:pPr>
        <w:tabs>
          <w:tab w:val="left" w:pos="991"/>
        </w:tabs>
        <w:spacing w:after="0" w:line="360" w:lineRule="auto"/>
        <w:jc w:val="both"/>
        <w:rPr>
          <w:rFonts w:ascii="Times New Roman" w:eastAsia="Calibri" w:hAnsi="Times New Roman" w:cs="Times New Roman"/>
          <w:b/>
          <w:sz w:val="20"/>
          <w:lang w:val="es-CL"/>
        </w:rPr>
      </w:pPr>
      <w:r w:rsidRPr="00226BBE">
        <w:rPr>
          <w:rFonts w:ascii="Times New Roman" w:eastAsia="Calibri" w:hAnsi="Times New Roman" w:cs="Times New Roman"/>
          <w:b/>
          <w:sz w:val="20"/>
          <w:lang w:val="es-CL"/>
        </w:rPr>
        <w:t xml:space="preserve">Tabla 1 </w:t>
      </w:r>
    </w:p>
    <w:p w14:paraId="066AD1E9" w14:textId="77777777" w:rsidR="00B14CF0" w:rsidRPr="00226BBE" w:rsidRDefault="00937578" w:rsidP="001415FC">
      <w:pPr>
        <w:spacing w:after="0" w:line="360" w:lineRule="auto"/>
        <w:rPr>
          <w:rFonts w:ascii="Times New Roman" w:eastAsia="Calibri" w:hAnsi="Times New Roman" w:cs="Times New Roman"/>
          <w:sz w:val="20"/>
          <w:lang w:val="es-CL"/>
        </w:rPr>
      </w:pPr>
      <w:r w:rsidRPr="00226BBE">
        <w:rPr>
          <w:rFonts w:ascii="Times New Roman" w:eastAsia="Calibri" w:hAnsi="Times New Roman" w:cs="Times New Roman"/>
          <w:i/>
          <w:sz w:val="20"/>
          <w:lang w:val="es-CL"/>
        </w:rPr>
        <w:t>Características demográficas de la muestra (N=300)</w:t>
      </w:r>
    </w:p>
    <w:tbl>
      <w:tblPr>
        <w:tblW w:w="9288" w:type="dxa"/>
        <w:tblLayout w:type="fixed"/>
        <w:tblLook w:val="04A0" w:firstRow="1" w:lastRow="0" w:firstColumn="1" w:lastColumn="0" w:noHBand="0" w:noVBand="1"/>
      </w:tblPr>
      <w:tblGrid>
        <w:gridCol w:w="2448"/>
        <w:gridCol w:w="855"/>
        <w:gridCol w:w="855"/>
        <w:gridCol w:w="855"/>
        <w:gridCol w:w="855"/>
        <w:gridCol w:w="855"/>
        <w:gridCol w:w="855"/>
        <w:gridCol w:w="855"/>
        <w:gridCol w:w="855"/>
      </w:tblGrid>
      <w:tr w:rsidR="00226BBE" w:rsidRPr="00226BBE" w14:paraId="169A52E4" w14:textId="77777777">
        <w:tc>
          <w:tcPr>
            <w:tcW w:w="2448" w:type="dxa"/>
            <w:vMerge w:val="restart"/>
            <w:tcBorders>
              <w:top w:val="single" w:sz="8" w:space="0" w:color="auto"/>
            </w:tcBorders>
            <w:shd w:val="clear" w:color="auto" w:fill="auto"/>
          </w:tcPr>
          <w:p w14:paraId="4B039563"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Características</w:t>
            </w:r>
          </w:p>
        </w:tc>
        <w:tc>
          <w:tcPr>
            <w:tcW w:w="1710" w:type="dxa"/>
            <w:gridSpan w:val="2"/>
            <w:tcBorders>
              <w:top w:val="single" w:sz="8" w:space="0" w:color="auto"/>
              <w:bottom w:val="single" w:sz="8" w:space="0" w:color="auto"/>
            </w:tcBorders>
            <w:shd w:val="clear" w:color="auto" w:fill="auto"/>
          </w:tcPr>
          <w:p w14:paraId="6386C437"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 xml:space="preserve">46 - 58 meses </w:t>
            </w:r>
          </w:p>
        </w:tc>
        <w:tc>
          <w:tcPr>
            <w:tcW w:w="1710" w:type="dxa"/>
            <w:gridSpan w:val="2"/>
            <w:tcBorders>
              <w:top w:val="single" w:sz="8" w:space="0" w:color="auto"/>
              <w:bottom w:val="single" w:sz="8" w:space="0" w:color="auto"/>
            </w:tcBorders>
            <w:shd w:val="clear" w:color="auto" w:fill="auto"/>
          </w:tcPr>
          <w:p w14:paraId="4422563C"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60- 70 meses</w:t>
            </w:r>
          </w:p>
        </w:tc>
        <w:tc>
          <w:tcPr>
            <w:tcW w:w="1710" w:type="dxa"/>
            <w:gridSpan w:val="2"/>
            <w:tcBorders>
              <w:top w:val="single" w:sz="8" w:space="0" w:color="auto"/>
              <w:bottom w:val="single" w:sz="8" w:space="0" w:color="auto"/>
            </w:tcBorders>
            <w:shd w:val="clear" w:color="auto" w:fill="auto"/>
          </w:tcPr>
          <w:p w14:paraId="745316FB"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72-82 meses</w:t>
            </w:r>
          </w:p>
        </w:tc>
        <w:tc>
          <w:tcPr>
            <w:tcW w:w="1710" w:type="dxa"/>
            <w:gridSpan w:val="2"/>
            <w:tcBorders>
              <w:top w:val="single" w:sz="8" w:space="0" w:color="auto"/>
              <w:bottom w:val="single" w:sz="8" w:space="0" w:color="auto"/>
            </w:tcBorders>
            <w:shd w:val="clear" w:color="auto" w:fill="auto"/>
          </w:tcPr>
          <w:p w14:paraId="32A59D8F"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Muestra completa</w:t>
            </w:r>
          </w:p>
        </w:tc>
      </w:tr>
      <w:tr w:rsidR="00226BBE" w:rsidRPr="00226BBE" w14:paraId="442BE7DC" w14:textId="77777777">
        <w:tc>
          <w:tcPr>
            <w:tcW w:w="2448" w:type="dxa"/>
            <w:vMerge/>
            <w:tcBorders>
              <w:bottom w:val="single" w:sz="8" w:space="0" w:color="auto"/>
            </w:tcBorders>
            <w:shd w:val="clear" w:color="auto" w:fill="auto"/>
          </w:tcPr>
          <w:p w14:paraId="396AA36F" w14:textId="77777777" w:rsidR="00B14CF0" w:rsidRPr="00226BBE" w:rsidRDefault="00B14CF0" w:rsidP="001415FC">
            <w:pPr>
              <w:spacing w:after="200" w:line="360" w:lineRule="auto"/>
              <w:ind w:left="360" w:hanging="360"/>
              <w:rPr>
                <w:rFonts w:ascii="Times New Roman" w:eastAsia="Calibri" w:hAnsi="Times New Roman" w:cs="Times New Roman"/>
                <w:sz w:val="20"/>
                <w:lang w:val="es-CL"/>
              </w:rPr>
            </w:pPr>
          </w:p>
        </w:tc>
        <w:tc>
          <w:tcPr>
            <w:tcW w:w="855" w:type="dxa"/>
            <w:tcBorders>
              <w:top w:val="single" w:sz="8" w:space="0" w:color="auto"/>
              <w:bottom w:val="single" w:sz="8" w:space="0" w:color="auto"/>
            </w:tcBorders>
            <w:shd w:val="clear" w:color="auto" w:fill="auto"/>
          </w:tcPr>
          <w:p w14:paraId="4B0CB26A" w14:textId="77777777" w:rsidR="00B14CF0" w:rsidRPr="00226BBE" w:rsidRDefault="00937578" w:rsidP="001415FC">
            <w:pPr>
              <w:spacing w:after="200" w:line="360" w:lineRule="auto"/>
              <w:jc w:val="center"/>
              <w:rPr>
                <w:rFonts w:ascii="Times New Roman" w:eastAsia="Calibri" w:hAnsi="Times New Roman" w:cs="Times New Roman"/>
                <w:i/>
                <w:sz w:val="20"/>
                <w:lang w:val="es-CL"/>
              </w:rPr>
            </w:pPr>
            <w:r w:rsidRPr="00226BBE">
              <w:rPr>
                <w:rFonts w:ascii="Times New Roman" w:eastAsia="Calibri" w:hAnsi="Times New Roman" w:cs="Times New Roman"/>
                <w:i/>
                <w:sz w:val="20"/>
                <w:lang w:val="es-CL"/>
              </w:rPr>
              <w:t>n</w:t>
            </w:r>
          </w:p>
        </w:tc>
        <w:tc>
          <w:tcPr>
            <w:tcW w:w="855" w:type="dxa"/>
            <w:tcBorders>
              <w:top w:val="single" w:sz="8" w:space="0" w:color="auto"/>
              <w:bottom w:val="single" w:sz="8" w:space="0" w:color="auto"/>
            </w:tcBorders>
            <w:shd w:val="clear" w:color="auto" w:fill="auto"/>
          </w:tcPr>
          <w:p w14:paraId="41256539"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w:t>
            </w:r>
          </w:p>
        </w:tc>
        <w:tc>
          <w:tcPr>
            <w:tcW w:w="855" w:type="dxa"/>
            <w:tcBorders>
              <w:top w:val="single" w:sz="8" w:space="0" w:color="auto"/>
              <w:bottom w:val="single" w:sz="8" w:space="0" w:color="auto"/>
            </w:tcBorders>
            <w:shd w:val="clear" w:color="auto" w:fill="auto"/>
          </w:tcPr>
          <w:p w14:paraId="52A917F1"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i/>
                <w:sz w:val="20"/>
                <w:lang w:val="es-CL"/>
              </w:rPr>
              <w:t>n</w:t>
            </w:r>
          </w:p>
        </w:tc>
        <w:tc>
          <w:tcPr>
            <w:tcW w:w="855" w:type="dxa"/>
            <w:tcBorders>
              <w:top w:val="single" w:sz="8" w:space="0" w:color="auto"/>
              <w:bottom w:val="single" w:sz="8" w:space="0" w:color="auto"/>
            </w:tcBorders>
            <w:shd w:val="clear" w:color="auto" w:fill="auto"/>
          </w:tcPr>
          <w:p w14:paraId="3C086965"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w:t>
            </w:r>
          </w:p>
        </w:tc>
        <w:tc>
          <w:tcPr>
            <w:tcW w:w="855" w:type="dxa"/>
            <w:tcBorders>
              <w:top w:val="single" w:sz="8" w:space="0" w:color="auto"/>
              <w:bottom w:val="single" w:sz="8" w:space="0" w:color="auto"/>
            </w:tcBorders>
            <w:shd w:val="clear" w:color="auto" w:fill="auto"/>
          </w:tcPr>
          <w:p w14:paraId="29C0104C"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i/>
                <w:sz w:val="20"/>
                <w:lang w:val="es-CL"/>
              </w:rPr>
              <w:t>n</w:t>
            </w:r>
          </w:p>
        </w:tc>
        <w:tc>
          <w:tcPr>
            <w:tcW w:w="855" w:type="dxa"/>
            <w:tcBorders>
              <w:top w:val="single" w:sz="8" w:space="0" w:color="auto"/>
              <w:bottom w:val="single" w:sz="8" w:space="0" w:color="auto"/>
            </w:tcBorders>
            <w:shd w:val="clear" w:color="auto" w:fill="auto"/>
          </w:tcPr>
          <w:p w14:paraId="483E0DD3"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w:t>
            </w:r>
          </w:p>
        </w:tc>
        <w:tc>
          <w:tcPr>
            <w:tcW w:w="855" w:type="dxa"/>
            <w:tcBorders>
              <w:top w:val="single" w:sz="8" w:space="0" w:color="auto"/>
              <w:bottom w:val="single" w:sz="8" w:space="0" w:color="auto"/>
            </w:tcBorders>
            <w:shd w:val="clear" w:color="auto" w:fill="auto"/>
          </w:tcPr>
          <w:p w14:paraId="0FA525CE"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i/>
                <w:sz w:val="20"/>
                <w:lang w:val="es-CL"/>
              </w:rPr>
              <w:t>n</w:t>
            </w:r>
          </w:p>
        </w:tc>
        <w:tc>
          <w:tcPr>
            <w:tcW w:w="855" w:type="dxa"/>
            <w:tcBorders>
              <w:top w:val="single" w:sz="8" w:space="0" w:color="auto"/>
              <w:bottom w:val="single" w:sz="8" w:space="0" w:color="auto"/>
            </w:tcBorders>
            <w:shd w:val="clear" w:color="auto" w:fill="auto"/>
          </w:tcPr>
          <w:p w14:paraId="4DA8149F"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w:t>
            </w:r>
          </w:p>
        </w:tc>
      </w:tr>
      <w:tr w:rsidR="00226BBE" w:rsidRPr="00226BBE" w14:paraId="2A5B5E34" w14:textId="77777777">
        <w:tc>
          <w:tcPr>
            <w:tcW w:w="2448" w:type="dxa"/>
            <w:shd w:val="clear" w:color="auto" w:fill="auto"/>
          </w:tcPr>
          <w:p w14:paraId="636AC36D" w14:textId="77777777" w:rsidR="00B14CF0" w:rsidRPr="00226BBE" w:rsidRDefault="00937578" w:rsidP="001415FC">
            <w:pPr>
              <w:spacing w:after="200" w:line="360" w:lineRule="auto"/>
              <w:ind w:left="360" w:hanging="360"/>
              <w:rPr>
                <w:rFonts w:ascii="Times New Roman" w:eastAsia="Calibri" w:hAnsi="Times New Roman" w:cs="Times New Roman"/>
                <w:sz w:val="20"/>
                <w:lang w:val="es-CL"/>
              </w:rPr>
            </w:pPr>
            <w:r w:rsidRPr="00226BBE">
              <w:rPr>
                <w:rFonts w:ascii="Times New Roman" w:eastAsia="Calibri" w:hAnsi="Times New Roman" w:cs="Times New Roman"/>
                <w:sz w:val="20"/>
                <w:lang w:val="es-CL"/>
              </w:rPr>
              <w:t>Género</w:t>
            </w:r>
          </w:p>
        </w:tc>
        <w:tc>
          <w:tcPr>
            <w:tcW w:w="855" w:type="dxa"/>
            <w:shd w:val="clear" w:color="auto" w:fill="auto"/>
          </w:tcPr>
          <w:p w14:paraId="11D82B01" w14:textId="77777777" w:rsidR="00B14CF0" w:rsidRPr="00226BBE" w:rsidRDefault="00B14CF0" w:rsidP="001415FC">
            <w:pPr>
              <w:spacing w:after="200" w:line="360" w:lineRule="auto"/>
              <w:jc w:val="center"/>
              <w:rPr>
                <w:rFonts w:ascii="Times New Roman" w:eastAsia="Calibri" w:hAnsi="Times New Roman" w:cs="Times New Roman"/>
                <w:sz w:val="20"/>
                <w:lang w:val="es-CL"/>
              </w:rPr>
            </w:pPr>
          </w:p>
        </w:tc>
        <w:tc>
          <w:tcPr>
            <w:tcW w:w="855" w:type="dxa"/>
            <w:shd w:val="clear" w:color="auto" w:fill="auto"/>
          </w:tcPr>
          <w:p w14:paraId="2CF68940" w14:textId="77777777" w:rsidR="00B14CF0" w:rsidRPr="00226BBE" w:rsidRDefault="00B14CF0" w:rsidP="001415FC">
            <w:pPr>
              <w:spacing w:after="200" w:line="360" w:lineRule="auto"/>
              <w:jc w:val="center"/>
              <w:rPr>
                <w:rFonts w:ascii="Times New Roman" w:eastAsia="Calibri" w:hAnsi="Times New Roman" w:cs="Times New Roman"/>
                <w:sz w:val="20"/>
                <w:lang w:val="es-CL"/>
              </w:rPr>
            </w:pPr>
          </w:p>
        </w:tc>
        <w:tc>
          <w:tcPr>
            <w:tcW w:w="855" w:type="dxa"/>
            <w:shd w:val="clear" w:color="auto" w:fill="auto"/>
          </w:tcPr>
          <w:p w14:paraId="08FC2575" w14:textId="77777777" w:rsidR="00B14CF0" w:rsidRPr="00226BBE" w:rsidRDefault="00B14CF0" w:rsidP="001415FC">
            <w:pPr>
              <w:spacing w:after="200" w:line="360" w:lineRule="auto"/>
              <w:jc w:val="center"/>
              <w:rPr>
                <w:rFonts w:ascii="Times New Roman" w:eastAsia="Calibri" w:hAnsi="Times New Roman" w:cs="Times New Roman"/>
                <w:sz w:val="20"/>
                <w:lang w:val="es-CL"/>
              </w:rPr>
            </w:pPr>
          </w:p>
        </w:tc>
        <w:tc>
          <w:tcPr>
            <w:tcW w:w="855" w:type="dxa"/>
            <w:shd w:val="clear" w:color="auto" w:fill="auto"/>
          </w:tcPr>
          <w:p w14:paraId="4C35BEBD" w14:textId="77777777" w:rsidR="00B14CF0" w:rsidRPr="00226BBE" w:rsidRDefault="00B14CF0" w:rsidP="001415FC">
            <w:pPr>
              <w:spacing w:after="200" w:line="360" w:lineRule="auto"/>
              <w:jc w:val="center"/>
              <w:rPr>
                <w:rFonts w:ascii="Times New Roman" w:eastAsia="Calibri" w:hAnsi="Times New Roman" w:cs="Times New Roman"/>
                <w:sz w:val="20"/>
                <w:lang w:val="es-CL"/>
              </w:rPr>
            </w:pPr>
          </w:p>
        </w:tc>
        <w:tc>
          <w:tcPr>
            <w:tcW w:w="855" w:type="dxa"/>
            <w:shd w:val="clear" w:color="auto" w:fill="auto"/>
          </w:tcPr>
          <w:p w14:paraId="44E32C35" w14:textId="77777777" w:rsidR="00B14CF0" w:rsidRPr="00226BBE" w:rsidRDefault="00B14CF0" w:rsidP="001415FC">
            <w:pPr>
              <w:spacing w:after="200" w:line="360" w:lineRule="auto"/>
              <w:jc w:val="center"/>
              <w:rPr>
                <w:rFonts w:ascii="Times New Roman" w:eastAsia="Calibri" w:hAnsi="Times New Roman" w:cs="Times New Roman"/>
                <w:sz w:val="20"/>
                <w:lang w:val="es-CL"/>
              </w:rPr>
            </w:pPr>
          </w:p>
        </w:tc>
        <w:tc>
          <w:tcPr>
            <w:tcW w:w="855" w:type="dxa"/>
            <w:shd w:val="clear" w:color="auto" w:fill="auto"/>
          </w:tcPr>
          <w:p w14:paraId="5A23B509" w14:textId="77777777" w:rsidR="00B14CF0" w:rsidRPr="00226BBE" w:rsidRDefault="00B14CF0" w:rsidP="001415FC">
            <w:pPr>
              <w:spacing w:after="200" w:line="360" w:lineRule="auto"/>
              <w:jc w:val="center"/>
              <w:rPr>
                <w:rFonts w:ascii="Times New Roman" w:eastAsia="Calibri" w:hAnsi="Times New Roman" w:cs="Times New Roman"/>
                <w:sz w:val="20"/>
                <w:lang w:val="es-CL"/>
              </w:rPr>
            </w:pPr>
          </w:p>
        </w:tc>
        <w:tc>
          <w:tcPr>
            <w:tcW w:w="855" w:type="dxa"/>
            <w:shd w:val="clear" w:color="auto" w:fill="auto"/>
          </w:tcPr>
          <w:p w14:paraId="26E4F48F" w14:textId="77777777" w:rsidR="00B14CF0" w:rsidRPr="00226BBE" w:rsidRDefault="00B14CF0" w:rsidP="001415FC">
            <w:pPr>
              <w:spacing w:after="200" w:line="360" w:lineRule="auto"/>
              <w:jc w:val="center"/>
              <w:rPr>
                <w:rFonts w:ascii="Times New Roman" w:eastAsia="Calibri" w:hAnsi="Times New Roman" w:cs="Times New Roman"/>
                <w:sz w:val="20"/>
                <w:lang w:val="es-CL"/>
              </w:rPr>
            </w:pPr>
          </w:p>
        </w:tc>
        <w:tc>
          <w:tcPr>
            <w:tcW w:w="855" w:type="dxa"/>
            <w:shd w:val="clear" w:color="auto" w:fill="auto"/>
          </w:tcPr>
          <w:p w14:paraId="3886E712" w14:textId="77777777" w:rsidR="00B14CF0" w:rsidRPr="00226BBE" w:rsidRDefault="00B14CF0" w:rsidP="001415FC">
            <w:pPr>
              <w:spacing w:after="200" w:line="360" w:lineRule="auto"/>
              <w:jc w:val="center"/>
              <w:rPr>
                <w:rFonts w:ascii="Times New Roman" w:eastAsia="Calibri" w:hAnsi="Times New Roman" w:cs="Times New Roman"/>
                <w:sz w:val="20"/>
                <w:lang w:val="es-CL"/>
              </w:rPr>
            </w:pPr>
          </w:p>
        </w:tc>
      </w:tr>
      <w:tr w:rsidR="00226BBE" w:rsidRPr="00226BBE" w14:paraId="56F7D2C3" w14:textId="77777777">
        <w:tc>
          <w:tcPr>
            <w:tcW w:w="2448" w:type="dxa"/>
            <w:shd w:val="clear" w:color="auto" w:fill="auto"/>
          </w:tcPr>
          <w:p w14:paraId="0E39C15E" w14:textId="77777777" w:rsidR="00B14CF0" w:rsidRPr="00226BBE" w:rsidRDefault="00937578" w:rsidP="001415FC">
            <w:pPr>
              <w:spacing w:after="200" w:line="360" w:lineRule="auto"/>
              <w:rPr>
                <w:rFonts w:ascii="Times New Roman" w:eastAsia="Calibri" w:hAnsi="Times New Roman" w:cs="Times New Roman"/>
                <w:sz w:val="20"/>
                <w:lang w:val="es-CL"/>
              </w:rPr>
            </w:pPr>
            <w:r w:rsidRPr="00226BBE">
              <w:rPr>
                <w:rFonts w:ascii="Times New Roman" w:eastAsia="Calibri" w:hAnsi="Times New Roman" w:cs="Times New Roman"/>
                <w:sz w:val="20"/>
                <w:lang w:val="es-CL"/>
              </w:rPr>
              <w:t> </w:t>
            </w:r>
            <w:r w:rsidRPr="00226BBE">
              <w:rPr>
                <w:rFonts w:ascii="Times New Roman" w:eastAsia="Calibri" w:hAnsi="Times New Roman" w:cs="Times New Roman"/>
                <w:sz w:val="20"/>
                <w:lang w:val="es-CL"/>
              </w:rPr>
              <w:t>Femenino</w:t>
            </w:r>
          </w:p>
        </w:tc>
        <w:tc>
          <w:tcPr>
            <w:tcW w:w="855" w:type="dxa"/>
            <w:shd w:val="clear" w:color="auto" w:fill="auto"/>
          </w:tcPr>
          <w:p w14:paraId="58BBE9C5"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 xml:space="preserve">47 </w:t>
            </w:r>
          </w:p>
        </w:tc>
        <w:tc>
          <w:tcPr>
            <w:tcW w:w="855" w:type="dxa"/>
            <w:shd w:val="clear" w:color="auto" w:fill="auto"/>
          </w:tcPr>
          <w:p w14:paraId="3C04145E"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47</w:t>
            </w:r>
          </w:p>
        </w:tc>
        <w:tc>
          <w:tcPr>
            <w:tcW w:w="855" w:type="dxa"/>
            <w:shd w:val="clear" w:color="auto" w:fill="auto"/>
          </w:tcPr>
          <w:p w14:paraId="038E1FE9"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 xml:space="preserve">55 </w:t>
            </w:r>
          </w:p>
        </w:tc>
        <w:tc>
          <w:tcPr>
            <w:tcW w:w="855" w:type="dxa"/>
            <w:shd w:val="clear" w:color="auto" w:fill="auto"/>
          </w:tcPr>
          <w:p w14:paraId="7E6AE53D"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55</w:t>
            </w:r>
          </w:p>
        </w:tc>
        <w:tc>
          <w:tcPr>
            <w:tcW w:w="855" w:type="dxa"/>
            <w:shd w:val="clear" w:color="auto" w:fill="auto"/>
          </w:tcPr>
          <w:p w14:paraId="65E94CD2"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 xml:space="preserve">51 </w:t>
            </w:r>
          </w:p>
        </w:tc>
        <w:tc>
          <w:tcPr>
            <w:tcW w:w="855" w:type="dxa"/>
            <w:shd w:val="clear" w:color="auto" w:fill="auto"/>
          </w:tcPr>
          <w:p w14:paraId="4234F146"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51</w:t>
            </w:r>
          </w:p>
        </w:tc>
        <w:tc>
          <w:tcPr>
            <w:tcW w:w="855" w:type="dxa"/>
            <w:shd w:val="clear" w:color="auto" w:fill="auto"/>
          </w:tcPr>
          <w:p w14:paraId="0418F43B"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153</w:t>
            </w:r>
          </w:p>
        </w:tc>
        <w:tc>
          <w:tcPr>
            <w:tcW w:w="855" w:type="dxa"/>
            <w:shd w:val="clear" w:color="auto" w:fill="auto"/>
          </w:tcPr>
          <w:p w14:paraId="4C5E4131"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51</w:t>
            </w:r>
          </w:p>
        </w:tc>
      </w:tr>
      <w:tr w:rsidR="00226BBE" w:rsidRPr="00226BBE" w14:paraId="5945D3DF" w14:textId="77777777">
        <w:tc>
          <w:tcPr>
            <w:tcW w:w="2448" w:type="dxa"/>
            <w:tcBorders>
              <w:bottom w:val="single" w:sz="8" w:space="0" w:color="auto"/>
            </w:tcBorders>
            <w:shd w:val="clear" w:color="auto" w:fill="auto"/>
          </w:tcPr>
          <w:p w14:paraId="7C5D5422" w14:textId="77777777" w:rsidR="00B14CF0" w:rsidRPr="00226BBE" w:rsidRDefault="00937578" w:rsidP="001415FC">
            <w:pPr>
              <w:spacing w:after="200" w:line="360" w:lineRule="auto"/>
              <w:rPr>
                <w:rFonts w:ascii="Times New Roman" w:eastAsia="Calibri" w:hAnsi="Times New Roman" w:cs="Times New Roman"/>
                <w:sz w:val="20"/>
                <w:lang w:val="es-CL"/>
              </w:rPr>
            </w:pPr>
            <w:r w:rsidRPr="00226BBE">
              <w:rPr>
                <w:rFonts w:ascii="Times New Roman" w:eastAsia="Calibri" w:hAnsi="Times New Roman" w:cs="Times New Roman"/>
                <w:sz w:val="20"/>
                <w:lang w:val="es-CL"/>
              </w:rPr>
              <w:t> </w:t>
            </w:r>
            <w:r w:rsidRPr="00226BBE">
              <w:rPr>
                <w:rFonts w:ascii="Times New Roman" w:eastAsia="Calibri" w:hAnsi="Times New Roman" w:cs="Times New Roman"/>
                <w:sz w:val="20"/>
                <w:lang w:val="es-CL"/>
              </w:rPr>
              <w:t>Masculino</w:t>
            </w:r>
          </w:p>
        </w:tc>
        <w:tc>
          <w:tcPr>
            <w:tcW w:w="855" w:type="dxa"/>
            <w:tcBorders>
              <w:bottom w:val="single" w:sz="8" w:space="0" w:color="auto"/>
            </w:tcBorders>
            <w:shd w:val="clear" w:color="auto" w:fill="auto"/>
          </w:tcPr>
          <w:p w14:paraId="23719FA1"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53</w:t>
            </w:r>
          </w:p>
        </w:tc>
        <w:tc>
          <w:tcPr>
            <w:tcW w:w="855" w:type="dxa"/>
            <w:tcBorders>
              <w:bottom w:val="single" w:sz="8" w:space="0" w:color="auto"/>
            </w:tcBorders>
            <w:shd w:val="clear" w:color="auto" w:fill="auto"/>
          </w:tcPr>
          <w:p w14:paraId="59059FF4"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53</w:t>
            </w:r>
          </w:p>
        </w:tc>
        <w:tc>
          <w:tcPr>
            <w:tcW w:w="855" w:type="dxa"/>
            <w:tcBorders>
              <w:bottom w:val="single" w:sz="8" w:space="0" w:color="auto"/>
            </w:tcBorders>
            <w:shd w:val="clear" w:color="auto" w:fill="auto"/>
          </w:tcPr>
          <w:p w14:paraId="47D643E2"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45</w:t>
            </w:r>
          </w:p>
        </w:tc>
        <w:tc>
          <w:tcPr>
            <w:tcW w:w="855" w:type="dxa"/>
            <w:tcBorders>
              <w:bottom w:val="single" w:sz="8" w:space="0" w:color="auto"/>
            </w:tcBorders>
            <w:shd w:val="clear" w:color="auto" w:fill="auto"/>
          </w:tcPr>
          <w:p w14:paraId="01F712B1"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45</w:t>
            </w:r>
          </w:p>
        </w:tc>
        <w:tc>
          <w:tcPr>
            <w:tcW w:w="855" w:type="dxa"/>
            <w:tcBorders>
              <w:bottom w:val="single" w:sz="8" w:space="0" w:color="auto"/>
            </w:tcBorders>
            <w:shd w:val="clear" w:color="auto" w:fill="auto"/>
          </w:tcPr>
          <w:p w14:paraId="7E94BEC1"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49</w:t>
            </w:r>
          </w:p>
        </w:tc>
        <w:tc>
          <w:tcPr>
            <w:tcW w:w="855" w:type="dxa"/>
            <w:tcBorders>
              <w:bottom w:val="single" w:sz="8" w:space="0" w:color="auto"/>
            </w:tcBorders>
            <w:shd w:val="clear" w:color="auto" w:fill="auto"/>
          </w:tcPr>
          <w:p w14:paraId="2B66E3A2"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49</w:t>
            </w:r>
          </w:p>
        </w:tc>
        <w:tc>
          <w:tcPr>
            <w:tcW w:w="855" w:type="dxa"/>
            <w:tcBorders>
              <w:bottom w:val="single" w:sz="8" w:space="0" w:color="auto"/>
            </w:tcBorders>
            <w:shd w:val="clear" w:color="auto" w:fill="auto"/>
          </w:tcPr>
          <w:p w14:paraId="25378F73"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147</w:t>
            </w:r>
          </w:p>
        </w:tc>
        <w:tc>
          <w:tcPr>
            <w:tcW w:w="855" w:type="dxa"/>
            <w:tcBorders>
              <w:bottom w:val="single" w:sz="8" w:space="0" w:color="auto"/>
            </w:tcBorders>
            <w:shd w:val="clear" w:color="auto" w:fill="auto"/>
          </w:tcPr>
          <w:p w14:paraId="5F870132"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49</w:t>
            </w:r>
          </w:p>
        </w:tc>
      </w:tr>
      <w:tr w:rsidR="00226BBE" w:rsidRPr="00226BBE" w14:paraId="3B238466" w14:textId="77777777">
        <w:tc>
          <w:tcPr>
            <w:tcW w:w="2448" w:type="dxa"/>
            <w:tcBorders>
              <w:top w:val="single" w:sz="8" w:space="0" w:color="auto"/>
              <w:bottom w:val="single" w:sz="8" w:space="0" w:color="auto"/>
            </w:tcBorders>
            <w:shd w:val="clear" w:color="auto" w:fill="auto"/>
          </w:tcPr>
          <w:p w14:paraId="66DE03C0" w14:textId="77777777" w:rsidR="00B14CF0" w:rsidRPr="00226BBE" w:rsidRDefault="00B14CF0" w:rsidP="001415FC">
            <w:pPr>
              <w:spacing w:after="200" w:line="360" w:lineRule="auto"/>
              <w:ind w:left="360" w:hanging="360"/>
              <w:rPr>
                <w:rFonts w:ascii="Times New Roman" w:eastAsia="Calibri" w:hAnsi="Times New Roman" w:cs="Times New Roman"/>
                <w:sz w:val="20"/>
                <w:lang w:val="es-CL"/>
              </w:rPr>
            </w:pPr>
          </w:p>
        </w:tc>
        <w:tc>
          <w:tcPr>
            <w:tcW w:w="855" w:type="dxa"/>
            <w:tcBorders>
              <w:top w:val="single" w:sz="8" w:space="0" w:color="auto"/>
              <w:bottom w:val="single" w:sz="8" w:space="0" w:color="auto"/>
            </w:tcBorders>
            <w:shd w:val="clear" w:color="auto" w:fill="auto"/>
          </w:tcPr>
          <w:p w14:paraId="6E42D29C"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M</w:t>
            </w:r>
          </w:p>
        </w:tc>
        <w:tc>
          <w:tcPr>
            <w:tcW w:w="855" w:type="dxa"/>
            <w:tcBorders>
              <w:top w:val="single" w:sz="8" w:space="0" w:color="auto"/>
              <w:bottom w:val="single" w:sz="8" w:space="0" w:color="auto"/>
            </w:tcBorders>
            <w:shd w:val="clear" w:color="auto" w:fill="auto"/>
          </w:tcPr>
          <w:p w14:paraId="1496A02A"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DE</w:t>
            </w:r>
          </w:p>
        </w:tc>
        <w:tc>
          <w:tcPr>
            <w:tcW w:w="855" w:type="dxa"/>
            <w:tcBorders>
              <w:top w:val="single" w:sz="8" w:space="0" w:color="auto"/>
              <w:bottom w:val="single" w:sz="8" w:space="0" w:color="auto"/>
            </w:tcBorders>
            <w:shd w:val="clear" w:color="auto" w:fill="auto"/>
          </w:tcPr>
          <w:p w14:paraId="718B178A"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M</w:t>
            </w:r>
          </w:p>
        </w:tc>
        <w:tc>
          <w:tcPr>
            <w:tcW w:w="855" w:type="dxa"/>
            <w:tcBorders>
              <w:top w:val="single" w:sz="8" w:space="0" w:color="auto"/>
              <w:bottom w:val="single" w:sz="8" w:space="0" w:color="auto"/>
            </w:tcBorders>
            <w:shd w:val="clear" w:color="auto" w:fill="auto"/>
          </w:tcPr>
          <w:p w14:paraId="0012F063"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DE</w:t>
            </w:r>
          </w:p>
        </w:tc>
        <w:tc>
          <w:tcPr>
            <w:tcW w:w="855" w:type="dxa"/>
            <w:tcBorders>
              <w:top w:val="single" w:sz="8" w:space="0" w:color="auto"/>
              <w:bottom w:val="single" w:sz="8" w:space="0" w:color="auto"/>
            </w:tcBorders>
            <w:shd w:val="clear" w:color="auto" w:fill="auto"/>
          </w:tcPr>
          <w:p w14:paraId="719CC520"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M</w:t>
            </w:r>
          </w:p>
        </w:tc>
        <w:tc>
          <w:tcPr>
            <w:tcW w:w="855" w:type="dxa"/>
            <w:tcBorders>
              <w:top w:val="single" w:sz="8" w:space="0" w:color="auto"/>
              <w:bottom w:val="single" w:sz="8" w:space="0" w:color="auto"/>
            </w:tcBorders>
            <w:shd w:val="clear" w:color="auto" w:fill="auto"/>
          </w:tcPr>
          <w:p w14:paraId="2643618D"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DE</w:t>
            </w:r>
          </w:p>
        </w:tc>
        <w:tc>
          <w:tcPr>
            <w:tcW w:w="855" w:type="dxa"/>
            <w:tcBorders>
              <w:top w:val="single" w:sz="8" w:space="0" w:color="auto"/>
              <w:bottom w:val="single" w:sz="8" w:space="0" w:color="auto"/>
            </w:tcBorders>
            <w:shd w:val="clear" w:color="auto" w:fill="auto"/>
          </w:tcPr>
          <w:p w14:paraId="02022855"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M</w:t>
            </w:r>
          </w:p>
        </w:tc>
        <w:tc>
          <w:tcPr>
            <w:tcW w:w="855" w:type="dxa"/>
            <w:tcBorders>
              <w:top w:val="single" w:sz="8" w:space="0" w:color="auto"/>
              <w:bottom w:val="single" w:sz="8" w:space="0" w:color="auto"/>
            </w:tcBorders>
            <w:shd w:val="clear" w:color="auto" w:fill="auto"/>
          </w:tcPr>
          <w:p w14:paraId="27D1EAA5"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DE</w:t>
            </w:r>
          </w:p>
        </w:tc>
      </w:tr>
      <w:tr w:rsidR="00226BBE" w:rsidRPr="00226BBE" w14:paraId="46361E65" w14:textId="77777777">
        <w:tc>
          <w:tcPr>
            <w:tcW w:w="2448" w:type="dxa"/>
            <w:tcBorders>
              <w:bottom w:val="single" w:sz="8" w:space="0" w:color="auto"/>
            </w:tcBorders>
            <w:shd w:val="clear" w:color="auto" w:fill="auto"/>
          </w:tcPr>
          <w:p w14:paraId="5C9B2055" w14:textId="77777777" w:rsidR="00B14CF0" w:rsidRPr="00226BBE" w:rsidRDefault="00937578" w:rsidP="001415FC">
            <w:pPr>
              <w:spacing w:after="200" w:line="360" w:lineRule="auto"/>
              <w:ind w:left="360" w:hanging="360"/>
              <w:rPr>
                <w:rFonts w:ascii="Times New Roman" w:eastAsia="Calibri" w:hAnsi="Times New Roman" w:cs="Times New Roman"/>
                <w:sz w:val="20"/>
                <w:lang w:val="es-CL"/>
              </w:rPr>
            </w:pPr>
            <w:r w:rsidRPr="00226BBE">
              <w:rPr>
                <w:rFonts w:ascii="Times New Roman" w:eastAsia="Calibri" w:hAnsi="Times New Roman" w:cs="Times New Roman"/>
                <w:sz w:val="20"/>
                <w:lang w:val="es-CL"/>
              </w:rPr>
              <w:t>Edad</w:t>
            </w:r>
          </w:p>
        </w:tc>
        <w:tc>
          <w:tcPr>
            <w:tcW w:w="855" w:type="dxa"/>
            <w:tcBorders>
              <w:bottom w:val="single" w:sz="8" w:space="0" w:color="auto"/>
            </w:tcBorders>
            <w:shd w:val="clear" w:color="auto" w:fill="auto"/>
          </w:tcPr>
          <w:p w14:paraId="46345091"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48.00</w:t>
            </w:r>
          </w:p>
        </w:tc>
        <w:tc>
          <w:tcPr>
            <w:tcW w:w="855" w:type="dxa"/>
            <w:tcBorders>
              <w:bottom w:val="single" w:sz="8" w:space="0" w:color="auto"/>
            </w:tcBorders>
            <w:shd w:val="clear" w:color="auto" w:fill="auto"/>
          </w:tcPr>
          <w:p w14:paraId="6003B5E6"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0.29</w:t>
            </w:r>
          </w:p>
        </w:tc>
        <w:tc>
          <w:tcPr>
            <w:tcW w:w="855" w:type="dxa"/>
            <w:tcBorders>
              <w:bottom w:val="single" w:sz="8" w:space="0" w:color="auto"/>
            </w:tcBorders>
            <w:shd w:val="clear" w:color="auto" w:fill="auto"/>
          </w:tcPr>
          <w:p w14:paraId="09660FA0"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64.00</w:t>
            </w:r>
          </w:p>
        </w:tc>
        <w:tc>
          <w:tcPr>
            <w:tcW w:w="855" w:type="dxa"/>
            <w:tcBorders>
              <w:bottom w:val="single" w:sz="8" w:space="0" w:color="auto"/>
            </w:tcBorders>
            <w:shd w:val="clear" w:color="auto" w:fill="auto"/>
          </w:tcPr>
          <w:p w14:paraId="2B722326"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0.31</w:t>
            </w:r>
          </w:p>
        </w:tc>
        <w:tc>
          <w:tcPr>
            <w:tcW w:w="855" w:type="dxa"/>
            <w:tcBorders>
              <w:bottom w:val="single" w:sz="8" w:space="0" w:color="auto"/>
            </w:tcBorders>
            <w:shd w:val="clear" w:color="auto" w:fill="auto"/>
          </w:tcPr>
          <w:p w14:paraId="54BB4138"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67.00</w:t>
            </w:r>
          </w:p>
        </w:tc>
        <w:tc>
          <w:tcPr>
            <w:tcW w:w="855" w:type="dxa"/>
            <w:tcBorders>
              <w:bottom w:val="single" w:sz="8" w:space="0" w:color="auto"/>
            </w:tcBorders>
            <w:shd w:val="clear" w:color="auto" w:fill="auto"/>
          </w:tcPr>
          <w:p w14:paraId="2EC1E812"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0.26</w:t>
            </w:r>
          </w:p>
        </w:tc>
        <w:tc>
          <w:tcPr>
            <w:tcW w:w="855" w:type="dxa"/>
            <w:tcBorders>
              <w:bottom w:val="single" w:sz="8" w:space="0" w:color="auto"/>
            </w:tcBorders>
            <w:shd w:val="clear" w:color="auto" w:fill="auto"/>
          </w:tcPr>
          <w:p w14:paraId="5FF0D580"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64.00</w:t>
            </w:r>
          </w:p>
        </w:tc>
        <w:tc>
          <w:tcPr>
            <w:tcW w:w="855" w:type="dxa"/>
            <w:tcBorders>
              <w:bottom w:val="single" w:sz="8" w:space="0" w:color="auto"/>
            </w:tcBorders>
            <w:shd w:val="clear" w:color="auto" w:fill="auto"/>
          </w:tcPr>
          <w:p w14:paraId="353B7CF9" w14:textId="77777777" w:rsidR="00B14CF0" w:rsidRPr="00226BBE" w:rsidRDefault="00937578" w:rsidP="001415FC">
            <w:pPr>
              <w:spacing w:after="200" w:line="360" w:lineRule="auto"/>
              <w:jc w:val="center"/>
              <w:rPr>
                <w:rFonts w:ascii="Times New Roman" w:eastAsia="Calibri" w:hAnsi="Times New Roman" w:cs="Times New Roman"/>
                <w:sz w:val="20"/>
                <w:lang w:val="es-CL"/>
              </w:rPr>
            </w:pPr>
            <w:r w:rsidRPr="00226BBE">
              <w:rPr>
                <w:rFonts w:ascii="Times New Roman" w:eastAsia="Calibri" w:hAnsi="Times New Roman" w:cs="Times New Roman"/>
                <w:sz w:val="20"/>
                <w:lang w:val="es-CL"/>
              </w:rPr>
              <w:t>0.32</w:t>
            </w:r>
          </w:p>
        </w:tc>
      </w:tr>
    </w:tbl>
    <w:p w14:paraId="2538DC8A" w14:textId="77777777" w:rsidR="00B14CF0" w:rsidRPr="00226BBE" w:rsidRDefault="00937578" w:rsidP="001415FC">
      <w:pPr>
        <w:tabs>
          <w:tab w:val="left" w:pos="991"/>
        </w:tabs>
        <w:spacing w:after="0" w:line="360" w:lineRule="auto"/>
        <w:jc w:val="both"/>
        <w:rPr>
          <w:rFonts w:ascii="Times New Roman" w:eastAsia="Calibri" w:hAnsi="Times New Roman" w:cs="Times New Roman"/>
          <w:b/>
          <w:sz w:val="24"/>
          <w:lang w:val="es-CL"/>
        </w:rPr>
      </w:pPr>
      <w:r w:rsidRPr="00226BBE">
        <w:rPr>
          <w:rFonts w:ascii="Times New Roman" w:eastAsia="Calibri" w:hAnsi="Times New Roman" w:cs="Times New Roman"/>
          <w:b/>
          <w:sz w:val="20"/>
          <w:lang w:val="es-CL"/>
        </w:rPr>
        <w:t xml:space="preserve">Nota: </w:t>
      </w:r>
      <w:r w:rsidRPr="00226BBE">
        <w:rPr>
          <w:rFonts w:ascii="Times New Roman" w:eastAsia="Calibri" w:hAnsi="Times New Roman" w:cs="Times New Roman"/>
          <w:sz w:val="20"/>
          <w:lang w:val="es-CL"/>
        </w:rPr>
        <w:t>M (media), DE (desviación estándar)</w:t>
      </w:r>
    </w:p>
    <w:p w14:paraId="1171576D" w14:textId="77777777" w:rsidR="00B14CF0" w:rsidRPr="00226BBE" w:rsidRDefault="00B14CF0" w:rsidP="001415FC">
      <w:pPr>
        <w:spacing w:line="360" w:lineRule="auto"/>
        <w:jc w:val="both"/>
        <w:rPr>
          <w:rFonts w:ascii="Times New Roman" w:hAnsi="Times New Roman" w:cs="Times New Roman"/>
          <w:b/>
          <w:sz w:val="24"/>
          <w:lang w:val="es-CL"/>
        </w:rPr>
      </w:pPr>
    </w:p>
    <w:p w14:paraId="4433BA67" w14:textId="77777777" w:rsidR="00B14CF0" w:rsidRPr="00226BBE" w:rsidRDefault="00937578" w:rsidP="001415FC">
      <w:pPr>
        <w:spacing w:line="360" w:lineRule="auto"/>
        <w:jc w:val="both"/>
        <w:rPr>
          <w:rFonts w:ascii="Times New Roman" w:hAnsi="Times New Roman" w:cs="Times New Roman"/>
          <w:sz w:val="24"/>
          <w:lang w:val="es-CL"/>
        </w:rPr>
      </w:pPr>
      <w:r w:rsidRPr="00226BBE">
        <w:rPr>
          <w:rFonts w:ascii="Times New Roman" w:hAnsi="Times New Roman" w:cs="Times New Roman"/>
          <w:b/>
          <w:sz w:val="24"/>
          <w:lang w:val="es-CL"/>
        </w:rPr>
        <w:t>Procedimientos</w:t>
      </w:r>
    </w:p>
    <w:p w14:paraId="0F82D80A" w14:textId="16BD5402" w:rsidR="00B14CF0" w:rsidRPr="00226BBE" w:rsidRDefault="00937578" w:rsidP="001415FC">
      <w:pPr>
        <w:spacing w:line="360" w:lineRule="auto"/>
        <w:ind w:firstLine="708"/>
        <w:jc w:val="both"/>
        <w:rPr>
          <w:rFonts w:ascii="Times New Roman" w:hAnsi="Times New Roman" w:cs="Times New Roman"/>
          <w:sz w:val="24"/>
          <w:lang w:val="es-CL"/>
        </w:rPr>
      </w:pPr>
      <w:r w:rsidRPr="00226BBE">
        <w:rPr>
          <w:rFonts w:ascii="Times New Roman" w:hAnsi="Times New Roman" w:cs="Times New Roman"/>
          <w:sz w:val="24"/>
          <w:lang w:val="es-CL"/>
        </w:rPr>
        <w:t>El Comité de Ética de la Facultad de Educación de la Universidad de Cienfuegos aprobó el estudio en las tres instituciones educativas seleccionadas del Municipio de Cienfuegos al igual que el Ministerio de Educación en la provincia. A su vez, se obtuvo el consentimiento informado de los padres</w:t>
      </w:r>
      <w:r w:rsidR="00226BBE">
        <w:rPr>
          <w:rFonts w:ascii="Times New Roman" w:hAnsi="Times New Roman" w:cs="Times New Roman"/>
          <w:sz w:val="24"/>
          <w:lang w:val="es-CL"/>
        </w:rPr>
        <w:t xml:space="preserve"> y el asentamiento de los 300 niños</w:t>
      </w:r>
      <w:r w:rsidRPr="00226BBE">
        <w:rPr>
          <w:rFonts w:ascii="Times New Roman" w:hAnsi="Times New Roman" w:cs="Times New Roman"/>
          <w:sz w:val="24"/>
          <w:lang w:val="es-CL"/>
        </w:rPr>
        <w:t xml:space="preserve">. </w:t>
      </w:r>
    </w:p>
    <w:p w14:paraId="29A6AA36" w14:textId="6DC87D83"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 xml:space="preserve">Los datos fueron recopilados en la evaluación final del proceso educativo, entre junio y julio del 2019 en nueve grupos de niños, donde cada educadora realizó la evaluación de su grupo (nueve educadoras de sexo femenino). Para ello, se capacitó a las </w:t>
      </w:r>
      <w:r>
        <w:rPr>
          <w:rFonts w:ascii="Times New Roman" w:hAnsi="Times New Roman" w:cs="Times New Roman"/>
          <w:sz w:val="24"/>
          <w:lang w:val="es-CL"/>
        </w:rPr>
        <w:lastRenderedPageBreak/>
        <w:t xml:space="preserve">educadoras al inicio del curso escolar entre septiembre y octubre del 2018 a través de talleres metodológicos, dos sesiones semanales de 45 minutos cada una por un mes. </w:t>
      </w:r>
      <w:r w:rsidR="007F08D0">
        <w:rPr>
          <w:rFonts w:ascii="Times New Roman" w:hAnsi="Times New Roman" w:cs="Times New Roman"/>
          <w:sz w:val="24"/>
          <w:lang w:val="es-CL"/>
        </w:rPr>
        <w:t xml:space="preserve">Las educadoras obtuvieron </w:t>
      </w:r>
      <w:r w:rsidR="007F08D0" w:rsidRPr="007F08D0">
        <w:rPr>
          <w:rFonts w:ascii="Times New Roman" w:hAnsi="Times New Roman" w:cs="Times New Roman"/>
          <w:sz w:val="24"/>
          <w:lang w:val="es-CL"/>
        </w:rPr>
        <w:t>buenas calificaciones</w:t>
      </w:r>
      <w:r w:rsidR="007F08D0">
        <w:rPr>
          <w:rFonts w:ascii="Times New Roman" w:hAnsi="Times New Roman" w:cs="Times New Roman"/>
          <w:sz w:val="24"/>
          <w:lang w:val="es-CL"/>
        </w:rPr>
        <w:t xml:space="preserve"> en la capacitación</w:t>
      </w:r>
      <w:r w:rsidR="000921BD">
        <w:rPr>
          <w:rFonts w:ascii="Times New Roman" w:hAnsi="Times New Roman" w:cs="Times New Roman"/>
          <w:sz w:val="24"/>
          <w:lang w:val="es-CL"/>
        </w:rPr>
        <w:t xml:space="preserve">, aprendieron a aplicar el instrumento y a utilizarlo en el proceso educativo para dirigir la educación y desarrollo del niño. </w:t>
      </w:r>
      <w:r w:rsidR="007F08D0">
        <w:rPr>
          <w:rFonts w:ascii="Times New Roman" w:hAnsi="Times New Roman" w:cs="Times New Roman"/>
          <w:sz w:val="24"/>
          <w:lang w:val="es-CL"/>
        </w:rPr>
        <w:t xml:space="preserve">Con estos resultados, las </w:t>
      </w:r>
      <w:r>
        <w:rPr>
          <w:rFonts w:ascii="Times New Roman" w:hAnsi="Times New Roman" w:cs="Times New Roman"/>
          <w:sz w:val="24"/>
          <w:lang w:val="es-CL"/>
        </w:rPr>
        <w:t xml:space="preserve">educadoras evaluaron a los niños al final del año escolar y se realizó de manera individual en dos sesiones con una duración entre 10 y 15 minutos cada una. Las sesiones fueron realizadas generalmente por la mañana y se empleó el protocolo estandarizado de la B-PREA-R. </w:t>
      </w:r>
    </w:p>
    <w:p w14:paraId="79DCA464" w14:textId="77777777" w:rsidR="00B14CF0" w:rsidRDefault="00937578" w:rsidP="001415FC">
      <w:pPr>
        <w:spacing w:after="0" w:line="360" w:lineRule="auto"/>
        <w:jc w:val="both"/>
        <w:rPr>
          <w:rFonts w:ascii="Times New Roman" w:hAnsi="Times New Roman" w:cs="Times New Roman"/>
          <w:sz w:val="24"/>
          <w:lang w:val="es-CL"/>
        </w:rPr>
      </w:pPr>
      <w:r>
        <w:rPr>
          <w:rFonts w:ascii="Times New Roman" w:hAnsi="Times New Roman" w:cs="Times New Roman"/>
          <w:b/>
          <w:sz w:val="24"/>
          <w:lang w:val="es-CL"/>
        </w:rPr>
        <w:t>Instrumento</w:t>
      </w:r>
    </w:p>
    <w:p w14:paraId="209B9B2C"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sz w:val="24"/>
          <w:lang w:val="es-CL"/>
        </w:rPr>
        <w:t xml:space="preserve">Se utilizó la Batería Pre-Académica para educadores (B-PREA-R). Esta prueba tiene como antecedente la Batería Pre-Académica desarrollada en Cuba para evaluar el desarrollo cognitivo de niños en la etapa preescolar en contexto cubano (Ramírez et al, 2018). La B-PREA-R tiene nueve </w:t>
      </w:r>
      <w:proofErr w:type="spellStart"/>
      <w:r>
        <w:rPr>
          <w:rFonts w:ascii="Times New Roman" w:hAnsi="Times New Roman" w:cs="Times New Roman"/>
          <w:sz w:val="24"/>
          <w:lang w:val="es-CL"/>
        </w:rPr>
        <w:t>subtests</w:t>
      </w:r>
      <w:proofErr w:type="spellEnd"/>
      <w:r>
        <w:rPr>
          <w:rFonts w:ascii="Times New Roman" w:hAnsi="Times New Roman" w:cs="Times New Roman"/>
          <w:sz w:val="24"/>
          <w:lang w:val="es-CL"/>
        </w:rPr>
        <w:t xml:space="preserve"> agrupados en 199 ítems de diferentes capacidades cognitivas como atención, lenguaje, memoria de trabajo, procesamiento cognitivo numérico, motricidad y pensamiento. Dichos </w:t>
      </w:r>
      <w:proofErr w:type="spellStart"/>
      <w:r>
        <w:rPr>
          <w:rFonts w:ascii="Times New Roman" w:hAnsi="Times New Roman" w:cs="Times New Roman"/>
          <w:sz w:val="24"/>
          <w:lang w:val="es-CL"/>
        </w:rPr>
        <w:t>subtests</w:t>
      </w:r>
      <w:proofErr w:type="spellEnd"/>
      <w:r>
        <w:rPr>
          <w:rFonts w:ascii="Times New Roman" w:hAnsi="Times New Roman" w:cs="Times New Roman"/>
          <w:sz w:val="24"/>
          <w:lang w:val="es-CL"/>
        </w:rPr>
        <w:t xml:space="preserve"> permiten evaluar el desarrollo cognitivo del niño en diferentes actividades propias de la etapa (el dibujo, escuchar cuentos, juegos de roles). En estas actividades se incluyen las habilidades y conocimientos de cada dimensión de educación y desarrollo que exige las orientaciones metodológicas del perfeccionamiento de la educación de la primera infancia en Cuba (Gallo, et al., 2018), tal y como muestra la tabla 2. </w:t>
      </w:r>
    </w:p>
    <w:p w14:paraId="72370BFF" w14:textId="77777777" w:rsidR="00B14CF0" w:rsidRDefault="00937578" w:rsidP="001415FC">
      <w:pPr>
        <w:spacing w:after="0" w:line="360" w:lineRule="auto"/>
        <w:jc w:val="both"/>
        <w:rPr>
          <w:rFonts w:ascii="Times New Roman" w:eastAsia="Calibri" w:hAnsi="Times New Roman" w:cs="Times New Roman"/>
          <w:sz w:val="20"/>
        </w:rPr>
      </w:pPr>
      <w:r>
        <w:rPr>
          <w:rFonts w:ascii="Times New Roman" w:eastAsia="Calibri" w:hAnsi="Times New Roman" w:cs="Times New Roman"/>
          <w:b/>
          <w:sz w:val="20"/>
        </w:rPr>
        <w:t>Tabla 2</w:t>
      </w:r>
      <w:r>
        <w:rPr>
          <w:rFonts w:ascii="Times New Roman" w:eastAsia="Calibri" w:hAnsi="Times New Roman" w:cs="Times New Roman"/>
          <w:sz w:val="20"/>
        </w:rPr>
        <w:t xml:space="preserve">. </w:t>
      </w:r>
    </w:p>
    <w:p w14:paraId="44D434F1" w14:textId="336D9D16" w:rsidR="00B14CF0" w:rsidRDefault="00937578" w:rsidP="001415FC">
      <w:pPr>
        <w:spacing w:after="0" w:line="360" w:lineRule="auto"/>
        <w:rPr>
          <w:rFonts w:ascii="Times New Roman" w:eastAsia="Calibri" w:hAnsi="Times New Roman" w:cs="Times New Roman"/>
          <w:i/>
          <w:sz w:val="20"/>
        </w:rPr>
      </w:pPr>
      <w:r>
        <w:rPr>
          <w:rFonts w:ascii="Times New Roman" w:eastAsia="Calibri" w:hAnsi="Times New Roman" w:cs="Times New Roman"/>
          <w:i/>
          <w:sz w:val="20"/>
        </w:rPr>
        <w:t xml:space="preserve">Descripción de los nueve </w:t>
      </w:r>
      <w:proofErr w:type="spellStart"/>
      <w:r>
        <w:rPr>
          <w:rFonts w:ascii="Times New Roman" w:eastAsia="Calibri" w:hAnsi="Times New Roman" w:cs="Times New Roman"/>
          <w:i/>
          <w:sz w:val="20"/>
        </w:rPr>
        <w:t>subtests</w:t>
      </w:r>
      <w:proofErr w:type="spellEnd"/>
      <w:r>
        <w:rPr>
          <w:rFonts w:ascii="Times New Roman" w:eastAsia="Calibri" w:hAnsi="Times New Roman" w:cs="Times New Roman"/>
          <w:i/>
          <w:sz w:val="20"/>
        </w:rPr>
        <w:t xml:space="preserve"> de la B-PREA-R (199 ítems) </w:t>
      </w:r>
      <w:r w:rsidR="004B1F4F">
        <w:rPr>
          <w:rFonts w:ascii="Times New Roman" w:eastAsia="Calibri" w:hAnsi="Times New Roman" w:cs="Times New Roman"/>
          <w:i/>
          <w:sz w:val="20"/>
        </w:rPr>
        <w:t xml:space="preserve">según exigencias del </w:t>
      </w:r>
      <w:r>
        <w:rPr>
          <w:rFonts w:ascii="Times New Roman" w:eastAsia="Calibri" w:hAnsi="Times New Roman" w:cs="Times New Roman"/>
          <w:i/>
          <w:sz w:val="20"/>
        </w:rPr>
        <w:t>currículo educativo</w:t>
      </w:r>
    </w:p>
    <w:tbl>
      <w:tblPr>
        <w:tblStyle w:val="Tablanormal41"/>
        <w:tblW w:w="8789" w:type="dxa"/>
        <w:shd w:val="clear" w:color="auto" w:fill="FFFFFF" w:themeFill="background1"/>
        <w:tblLook w:val="04A0" w:firstRow="1" w:lastRow="0" w:firstColumn="1" w:lastColumn="0" w:noHBand="0" w:noVBand="1"/>
      </w:tblPr>
      <w:tblGrid>
        <w:gridCol w:w="1985"/>
        <w:gridCol w:w="2268"/>
        <w:gridCol w:w="4536"/>
      </w:tblGrid>
      <w:tr w:rsidR="00B14CF0" w14:paraId="355FFC00" w14:textId="77777777" w:rsidTr="001415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shd w:val="clear" w:color="auto" w:fill="FFFFFF" w:themeFill="background1"/>
          </w:tcPr>
          <w:p w14:paraId="1BFFCC68" w14:textId="77777777" w:rsidR="00B14CF0" w:rsidRDefault="00937578" w:rsidP="00C20912">
            <w:pPr>
              <w:spacing w:line="360" w:lineRule="auto"/>
              <w:jc w:val="center"/>
              <w:rPr>
                <w:rFonts w:ascii="Times New Roman" w:hAnsi="Times New Roman"/>
                <w:color w:val="222222"/>
                <w:shd w:val="clear" w:color="auto" w:fill="FFFFFF"/>
              </w:rPr>
            </w:pPr>
            <w:r>
              <w:rPr>
                <w:rFonts w:ascii="Times New Roman" w:hAnsi="Times New Roman"/>
                <w:color w:val="222222"/>
                <w:shd w:val="clear" w:color="auto" w:fill="FFFFFF"/>
              </w:rPr>
              <w:t xml:space="preserve">Dimensiones según el currículo educativo </w:t>
            </w:r>
          </w:p>
        </w:tc>
        <w:tc>
          <w:tcPr>
            <w:tcW w:w="2268" w:type="dxa"/>
            <w:tcBorders>
              <w:top w:val="single" w:sz="4" w:space="0" w:color="auto"/>
              <w:bottom w:val="single" w:sz="4" w:space="0" w:color="auto"/>
            </w:tcBorders>
            <w:shd w:val="clear" w:color="auto" w:fill="FFFFFF" w:themeFill="background1"/>
          </w:tcPr>
          <w:p w14:paraId="3F5176DE" w14:textId="77777777" w:rsidR="00B14CF0" w:rsidRDefault="00937578" w:rsidP="00C2091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color w:val="222222"/>
                <w:shd w:val="clear" w:color="auto" w:fill="FFFFFF"/>
              </w:rPr>
              <w:t xml:space="preserve">Habilidades de la etapa según el currículo educativo </w:t>
            </w:r>
          </w:p>
        </w:tc>
        <w:tc>
          <w:tcPr>
            <w:tcW w:w="4536" w:type="dxa"/>
            <w:tcBorders>
              <w:top w:val="single" w:sz="4" w:space="0" w:color="auto"/>
              <w:bottom w:val="single" w:sz="4" w:space="0" w:color="auto"/>
            </w:tcBorders>
            <w:shd w:val="clear" w:color="auto" w:fill="FFFFFF" w:themeFill="background1"/>
          </w:tcPr>
          <w:p w14:paraId="3349E842" w14:textId="574C3B6A" w:rsidR="00B14CF0" w:rsidRDefault="004B1F4F" w:rsidP="00C2091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222222"/>
                <w:shd w:val="clear" w:color="auto" w:fill="FFFFFF"/>
              </w:rPr>
            </w:pPr>
            <w:proofErr w:type="spellStart"/>
            <w:r>
              <w:rPr>
                <w:rFonts w:ascii="Times New Roman" w:hAnsi="Times New Roman"/>
                <w:color w:val="222222"/>
                <w:shd w:val="clear" w:color="auto" w:fill="FFFFFF"/>
              </w:rPr>
              <w:t>Subtests</w:t>
            </w:r>
            <w:proofErr w:type="spellEnd"/>
            <w:r>
              <w:rPr>
                <w:rFonts w:ascii="Times New Roman" w:hAnsi="Times New Roman"/>
                <w:color w:val="222222"/>
                <w:shd w:val="clear" w:color="auto" w:fill="FFFFFF"/>
              </w:rPr>
              <w:t xml:space="preserve"> </w:t>
            </w:r>
            <w:r w:rsidR="00937578">
              <w:rPr>
                <w:rFonts w:ascii="Times New Roman" w:hAnsi="Times New Roman"/>
                <w:color w:val="222222"/>
                <w:shd w:val="clear" w:color="auto" w:fill="FFFFFF"/>
              </w:rPr>
              <w:t>e Instrucciones</w:t>
            </w:r>
          </w:p>
        </w:tc>
      </w:tr>
      <w:tr w:rsidR="00B14CF0" w14:paraId="2C61EFFD" w14:textId="77777777" w:rsidTr="00141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tcBorders>
            <w:shd w:val="clear" w:color="auto" w:fill="FFFFFF" w:themeFill="background1"/>
          </w:tcPr>
          <w:p w14:paraId="3E53658A" w14:textId="77777777" w:rsidR="00B14CF0" w:rsidRDefault="00937578" w:rsidP="00C20912">
            <w:pPr>
              <w:spacing w:line="360" w:lineRule="auto"/>
              <w:rPr>
                <w:rFonts w:ascii="Times New Roman" w:hAnsi="Times New Roman"/>
                <w:color w:val="222222"/>
                <w:shd w:val="clear" w:color="auto" w:fill="FFFFFF"/>
              </w:rPr>
            </w:pPr>
            <w:r>
              <w:rPr>
                <w:rFonts w:ascii="Times New Roman" w:hAnsi="Times New Roman"/>
                <w:color w:val="222222"/>
                <w:shd w:val="clear" w:color="auto" w:fill="FFFFFF"/>
              </w:rPr>
              <w:t>Relación con el entorno y Motricidad</w:t>
            </w:r>
          </w:p>
        </w:tc>
        <w:tc>
          <w:tcPr>
            <w:tcW w:w="2268" w:type="dxa"/>
            <w:tcBorders>
              <w:top w:val="single" w:sz="4" w:space="0" w:color="auto"/>
            </w:tcBorders>
            <w:shd w:val="clear" w:color="auto" w:fill="FFFFFF" w:themeFill="background1"/>
          </w:tcPr>
          <w:p w14:paraId="206B3B4C" w14:textId="77777777" w:rsidR="00B14CF0" w:rsidRDefault="00937578" w:rsidP="00C20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color w:val="222222"/>
                <w:shd w:val="clear" w:color="auto" w:fill="FFFFFF"/>
              </w:rPr>
              <w:t>Observar, identificar, comparar y planificar.</w:t>
            </w:r>
            <w:r>
              <w:rPr>
                <w:rFonts w:ascii="Times New Roman" w:hAnsi="Times New Roman"/>
              </w:rPr>
              <w:t xml:space="preserve"> Acciones materiales y materializada simbólica. </w:t>
            </w:r>
          </w:p>
        </w:tc>
        <w:tc>
          <w:tcPr>
            <w:tcW w:w="4536" w:type="dxa"/>
            <w:tcBorders>
              <w:top w:val="single" w:sz="4" w:space="0" w:color="auto"/>
            </w:tcBorders>
            <w:shd w:val="clear" w:color="auto" w:fill="FFFFFF" w:themeFill="background1"/>
          </w:tcPr>
          <w:p w14:paraId="4CCE961F" w14:textId="77777777" w:rsidR="00B14CF0" w:rsidRDefault="00937578" w:rsidP="00C209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rPr>
              <w:t>“Las figuras de Pepe”, atención selectiva visual (20 ítems). Al niño se le muestra 120 figuras en una plantilla con 10 dianas o figura a seleccionar. Prueba de cancelación de símbolos con cinco minutos de tiempo límite.</w:t>
            </w:r>
          </w:p>
        </w:tc>
      </w:tr>
      <w:tr w:rsidR="00B14CF0" w14:paraId="61762D6C" w14:textId="77777777" w:rsidTr="001415FC">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444096C0" w14:textId="77777777" w:rsidR="00B14CF0" w:rsidRDefault="00937578" w:rsidP="00C20912">
            <w:pPr>
              <w:spacing w:line="360" w:lineRule="auto"/>
              <w:rPr>
                <w:rFonts w:ascii="Times New Roman" w:hAnsi="Times New Roman"/>
                <w:color w:val="222222"/>
                <w:shd w:val="clear" w:color="auto" w:fill="FFFFFF"/>
              </w:rPr>
            </w:pPr>
            <w:r>
              <w:rPr>
                <w:rFonts w:ascii="Times New Roman" w:hAnsi="Times New Roman"/>
                <w:color w:val="222222"/>
                <w:shd w:val="clear" w:color="auto" w:fill="FFFFFF"/>
              </w:rPr>
              <w:t>Relación con el entorno</w:t>
            </w:r>
          </w:p>
        </w:tc>
        <w:tc>
          <w:tcPr>
            <w:tcW w:w="2268" w:type="dxa"/>
            <w:shd w:val="clear" w:color="auto" w:fill="FFFFFF" w:themeFill="background1"/>
          </w:tcPr>
          <w:p w14:paraId="7CE4156B" w14:textId="77777777" w:rsidR="00B14CF0" w:rsidRDefault="00937578" w:rsidP="00C20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color w:val="222222"/>
                <w:shd w:val="clear" w:color="auto" w:fill="FFFFFF"/>
              </w:rPr>
              <w:t xml:space="preserve">Observar, identificar, clasificar y planificar. Acciones perceptiva concreta y simbólica.   </w:t>
            </w:r>
          </w:p>
        </w:tc>
        <w:tc>
          <w:tcPr>
            <w:tcW w:w="4536" w:type="dxa"/>
            <w:shd w:val="clear" w:color="auto" w:fill="FFFFFF" w:themeFill="background1"/>
          </w:tcPr>
          <w:p w14:paraId="5516A99F" w14:textId="77777777" w:rsidR="00B14CF0" w:rsidRDefault="00937578" w:rsidP="00C209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rPr>
              <w:t xml:space="preserve">“Las pelotas oscuras”, memoria de trabajo visual (8 ítems). Al niño se le muestra círculos dibujados aleatoriamente en una plantilla de 10 círculos para recordar su ubicación espacial (8 ubicaciones diferentes a recordar). </w:t>
            </w:r>
          </w:p>
        </w:tc>
      </w:tr>
      <w:tr w:rsidR="00B14CF0" w14:paraId="0862A287" w14:textId="77777777" w:rsidTr="00141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0DB98152" w14:textId="77777777" w:rsidR="00B14CF0" w:rsidRDefault="00937578" w:rsidP="00C20912">
            <w:pPr>
              <w:spacing w:line="360" w:lineRule="auto"/>
              <w:rPr>
                <w:rFonts w:ascii="Times New Roman" w:hAnsi="Times New Roman"/>
                <w:color w:val="222222"/>
                <w:shd w:val="clear" w:color="auto" w:fill="FFFFFF"/>
              </w:rPr>
            </w:pPr>
            <w:r>
              <w:rPr>
                <w:rFonts w:ascii="Times New Roman" w:hAnsi="Times New Roman"/>
                <w:color w:val="222222"/>
                <w:shd w:val="clear" w:color="auto" w:fill="FFFFFF"/>
              </w:rPr>
              <w:lastRenderedPageBreak/>
              <w:t>Relación con el entorno</w:t>
            </w:r>
          </w:p>
        </w:tc>
        <w:tc>
          <w:tcPr>
            <w:tcW w:w="2268" w:type="dxa"/>
            <w:shd w:val="clear" w:color="auto" w:fill="FFFFFF" w:themeFill="background1"/>
          </w:tcPr>
          <w:p w14:paraId="20A2EEA6" w14:textId="77777777" w:rsidR="00B14CF0" w:rsidRDefault="00937578" w:rsidP="00C20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color w:val="222222"/>
                <w:shd w:val="clear" w:color="auto" w:fill="FFFFFF"/>
              </w:rPr>
              <w:t xml:space="preserve">Observar, identificar, clasificar y planificar. Acciones verbales.      </w:t>
            </w:r>
          </w:p>
        </w:tc>
        <w:tc>
          <w:tcPr>
            <w:tcW w:w="4536" w:type="dxa"/>
            <w:shd w:val="clear" w:color="auto" w:fill="FFFFFF" w:themeFill="background1"/>
          </w:tcPr>
          <w:p w14:paraId="25AA1133" w14:textId="77777777" w:rsidR="00B14CF0" w:rsidRDefault="00937578" w:rsidP="00C209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rPr>
              <w:t xml:space="preserve">“El árbol de palabras”, memoria de trabajo verbal (30 ítems). El niño tiene que aprenderse 10 palabras sin relación en tres ensayos. </w:t>
            </w:r>
          </w:p>
        </w:tc>
      </w:tr>
      <w:tr w:rsidR="00B14CF0" w14:paraId="0871C2E7" w14:textId="77777777" w:rsidTr="001415FC">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4B01D615" w14:textId="77777777" w:rsidR="00B14CF0" w:rsidRDefault="00937578" w:rsidP="00C20912">
            <w:pPr>
              <w:spacing w:line="360" w:lineRule="auto"/>
              <w:rPr>
                <w:rFonts w:ascii="Times New Roman" w:hAnsi="Times New Roman"/>
                <w:color w:val="222222"/>
                <w:shd w:val="clear" w:color="auto" w:fill="FFFFFF"/>
              </w:rPr>
            </w:pPr>
            <w:r>
              <w:rPr>
                <w:rFonts w:ascii="Times New Roman" w:hAnsi="Times New Roman"/>
                <w:color w:val="222222"/>
                <w:shd w:val="clear" w:color="auto" w:fill="FFFFFF"/>
              </w:rPr>
              <w:t>Relación con el entorno</w:t>
            </w:r>
          </w:p>
        </w:tc>
        <w:tc>
          <w:tcPr>
            <w:tcW w:w="2268" w:type="dxa"/>
            <w:shd w:val="clear" w:color="auto" w:fill="FFFFFF" w:themeFill="background1"/>
          </w:tcPr>
          <w:p w14:paraId="207EB095" w14:textId="77777777" w:rsidR="00B14CF0" w:rsidRDefault="00937578" w:rsidP="00C20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color w:val="222222"/>
                <w:shd w:val="clear" w:color="auto" w:fill="FFFFFF"/>
              </w:rPr>
              <w:t xml:space="preserve">Identificar, clasificar y planificar. Acciones perceptivas concretas, simbólicas y verbales.  </w:t>
            </w:r>
          </w:p>
        </w:tc>
        <w:tc>
          <w:tcPr>
            <w:tcW w:w="4536" w:type="dxa"/>
            <w:shd w:val="clear" w:color="auto" w:fill="FFFFFF" w:themeFill="background1"/>
          </w:tcPr>
          <w:p w14:paraId="37490C83" w14:textId="77777777" w:rsidR="00B14CF0" w:rsidRDefault="00937578" w:rsidP="00C209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“Vamos a contar”, enumerar cantidades no simbólicas (10 ítems). Al niño se le muestra una figura con varios elementos (entre 3 y 12 elementos) para enumerarlos. Con esa misma cantidad identificada, el niño debe buscar la misma cantidad en 4 opciones de respuesta (comparación).</w:t>
            </w:r>
          </w:p>
        </w:tc>
      </w:tr>
      <w:tr w:rsidR="00B14CF0" w14:paraId="2F8BEE66" w14:textId="77777777" w:rsidTr="00141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0F4ECC12" w14:textId="77777777" w:rsidR="00B14CF0" w:rsidRDefault="00937578" w:rsidP="00C20912">
            <w:pPr>
              <w:spacing w:line="360" w:lineRule="auto"/>
              <w:rPr>
                <w:rFonts w:ascii="Times New Roman" w:hAnsi="Times New Roman"/>
                <w:color w:val="222222"/>
                <w:shd w:val="clear" w:color="auto" w:fill="FFFFFF"/>
              </w:rPr>
            </w:pPr>
            <w:r>
              <w:rPr>
                <w:rFonts w:ascii="Times New Roman" w:hAnsi="Times New Roman"/>
                <w:color w:val="222222"/>
                <w:shd w:val="clear" w:color="auto" w:fill="FFFFFF"/>
              </w:rPr>
              <w:t>Relación con el entorno</w:t>
            </w:r>
          </w:p>
        </w:tc>
        <w:tc>
          <w:tcPr>
            <w:tcW w:w="2268" w:type="dxa"/>
            <w:shd w:val="clear" w:color="auto" w:fill="FFFFFF" w:themeFill="background1"/>
          </w:tcPr>
          <w:p w14:paraId="5CF79233" w14:textId="77777777" w:rsidR="00B14CF0" w:rsidRDefault="00937578" w:rsidP="00C20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color w:val="222222"/>
                <w:shd w:val="clear" w:color="auto" w:fill="FFFFFF"/>
              </w:rPr>
              <w:t xml:space="preserve">Observar, identificar, comparar, clasificar, modelar, seriar y planificar. Acciones simbólica y perceptiva esquematizada.    </w:t>
            </w:r>
          </w:p>
        </w:tc>
        <w:tc>
          <w:tcPr>
            <w:tcW w:w="4536" w:type="dxa"/>
            <w:shd w:val="clear" w:color="auto" w:fill="FFFFFF" w:themeFill="background1"/>
          </w:tcPr>
          <w:p w14:paraId="20B08931" w14:textId="77777777" w:rsidR="00B14CF0" w:rsidRDefault="00937578" w:rsidP="00C209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“Rompecabezas” Matrices (15 ítems). El niño debe identificar la parte que le falta a una matriz en cuatro opciones. Tarea similar a la prueba matrices progresiva de </w:t>
            </w:r>
            <w:proofErr w:type="spellStart"/>
            <w:r>
              <w:rPr>
                <w:rFonts w:ascii="Times New Roman" w:hAnsi="Times New Roman"/>
              </w:rPr>
              <w:t>Raven</w:t>
            </w:r>
            <w:proofErr w:type="spellEnd"/>
            <w:r>
              <w:rPr>
                <w:rFonts w:ascii="Times New Roman" w:hAnsi="Times New Roman"/>
              </w:rPr>
              <w:t xml:space="preserve">.   </w:t>
            </w:r>
          </w:p>
        </w:tc>
      </w:tr>
      <w:tr w:rsidR="00B14CF0" w14:paraId="6F381BFF" w14:textId="77777777" w:rsidTr="001415FC">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2645917A" w14:textId="77777777" w:rsidR="00B14CF0" w:rsidRDefault="00937578" w:rsidP="00C20912">
            <w:pPr>
              <w:spacing w:line="360" w:lineRule="auto"/>
              <w:rPr>
                <w:rFonts w:ascii="Times New Roman" w:hAnsi="Times New Roman"/>
                <w:color w:val="222222"/>
                <w:shd w:val="clear" w:color="auto" w:fill="FFFFFF"/>
              </w:rPr>
            </w:pPr>
            <w:r>
              <w:rPr>
                <w:rFonts w:ascii="Times New Roman" w:hAnsi="Times New Roman"/>
                <w:color w:val="222222"/>
                <w:shd w:val="clear" w:color="auto" w:fill="FFFFFF"/>
              </w:rPr>
              <w:t>Comunicación</w:t>
            </w:r>
          </w:p>
        </w:tc>
        <w:tc>
          <w:tcPr>
            <w:tcW w:w="2268" w:type="dxa"/>
            <w:shd w:val="clear" w:color="auto" w:fill="FFFFFF" w:themeFill="background1"/>
          </w:tcPr>
          <w:p w14:paraId="55EAC7AA" w14:textId="77777777" w:rsidR="00B14CF0" w:rsidRDefault="00937578" w:rsidP="00C20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color w:val="222222"/>
                <w:shd w:val="clear" w:color="auto" w:fill="FFFFFF"/>
              </w:rPr>
              <w:t>Identificar, clasificar, escuchar.</w:t>
            </w:r>
            <w:r>
              <w:t xml:space="preserve"> </w:t>
            </w:r>
            <w:r>
              <w:rPr>
                <w:rFonts w:ascii="Times New Roman" w:hAnsi="Times New Roman"/>
                <w:color w:val="222222"/>
                <w:shd w:val="clear" w:color="auto" w:fill="FFFFFF"/>
              </w:rPr>
              <w:t xml:space="preserve">Acciones verbales y simbólicas.  </w:t>
            </w:r>
          </w:p>
        </w:tc>
        <w:tc>
          <w:tcPr>
            <w:tcW w:w="4536" w:type="dxa"/>
            <w:shd w:val="clear" w:color="auto" w:fill="FFFFFF" w:themeFill="background1"/>
          </w:tcPr>
          <w:p w14:paraId="2AFAB680" w14:textId="77777777" w:rsidR="00B14CF0" w:rsidRDefault="00937578" w:rsidP="00C209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color w:val="222222"/>
                <w:shd w:val="clear" w:color="auto" w:fill="FFFFFF"/>
              </w:rPr>
              <w:t xml:space="preserve">“La cotorra repite”, repetición de sílabas (20 ítems). El niño debe repetir 20 sonidos del idioma español (sílabas). Ejemplo, </w:t>
            </w:r>
            <w:proofErr w:type="spellStart"/>
            <w:r>
              <w:rPr>
                <w:rFonts w:ascii="Times New Roman" w:hAnsi="Times New Roman"/>
                <w:color w:val="222222"/>
                <w:shd w:val="clear" w:color="auto" w:fill="FFFFFF"/>
              </w:rPr>
              <w:t>pu</w:t>
            </w:r>
            <w:proofErr w:type="spellEnd"/>
            <w:r>
              <w:rPr>
                <w:rFonts w:ascii="Times New Roman" w:hAnsi="Times New Roman"/>
                <w:color w:val="222222"/>
                <w:shd w:val="clear" w:color="auto" w:fill="FFFFFF"/>
              </w:rPr>
              <w:t xml:space="preserve">, pen, yen.     </w:t>
            </w:r>
          </w:p>
        </w:tc>
      </w:tr>
      <w:tr w:rsidR="00B14CF0" w14:paraId="104483F5" w14:textId="77777777" w:rsidTr="00141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5696FB20" w14:textId="77777777" w:rsidR="00B14CF0" w:rsidRDefault="00937578" w:rsidP="00C20912">
            <w:pPr>
              <w:spacing w:line="360" w:lineRule="auto"/>
              <w:rPr>
                <w:rFonts w:ascii="Times New Roman" w:hAnsi="Times New Roman"/>
                <w:color w:val="222222"/>
                <w:shd w:val="clear" w:color="auto" w:fill="FFFFFF"/>
              </w:rPr>
            </w:pPr>
            <w:r>
              <w:rPr>
                <w:rFonts w:ascii="Times New Roman" w:hAnsi="Times New Roman"/>
                <w:color w:val="222222"/>
                <w:shd w:val="clear" w:color="auto" w:fill="FFFFFF"/>
              </w:rPr>
              <w:t>Motricidad y Estética</w:t>
            </w:r>
          </w:p>
        </w:tc>
        <w:tc>
          <w:tcPr>
            <w:tcW w:w="2268" w:type="dxa"/>
            <w:shd w:val="clear" w:color="auto" w:fill="FFFFFF" w:themeFill="background1"/>
          </w:tcPr>
          <w:p w14:paraId="792CCD45" w14:textId="77777777" w:rsidR="00B14CF0" w:rsidRDefault="00937578" w:rsidP="00C20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color w:val="222222"/>
                <w:shd w:val="clear" w:color="auto" w:fill="FFFFFF"/>
              </w:rPr>
              <w:t xml:space="preserve">Identificar, comparar, clasificar, modelar y planificar. Acciones perceptiva simbólica.    </w:t>
            </w:r>
          </w:p>
        </w:tc>
        <w:tc>
          <w:tcPr>
            <w:tcW w:w="4536" w:type="dxa"/>
            <w:shd w:val="clear" w:color="auto" w:fill="FFFFFF" w:themeFill="background1"/>
          </w:tcPr>
          <w:p w14:paraId="46CBB751" w14:textId="77777777" w:rsidR="00B14CF0" w:rsidRDefault="00937578" w:rsidP="00C20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rPr>
              <w:t>“Vamos a dibujar”, grafomotricidad (42 ítems). El niño debe dibujar 14 figuras. Se tiene en cuenta la semejanza de la figura a dibujada, el tamaño y su ubicación espacial.</w:t>
            </w:r>
          </w:p>
        </w:tc>
      </w:tr>
      <w:tr w:rsidR="00B14CF0" w14:paraId="092117C8" w14:textId="77777777" w:rsidTr="001415FC">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2F870634" w14:textId="77777777" w:rsidR="00B14CF0" w:rsidRDefault="00937578" w:rsidP="00C20912">
            <w:pPr>
              <w:spacing w:line="360" w:lineRule="auto"/>
              <w:rPr>
                <w:rFonts w:ascii="Times New Roman" w:hAnsi="Times New Roman"/>
                <w:color w:val="222222"/>
                <w:shd w:val="clear" w:color="auto" w:fill="FFFFFF"/>
              </w:rPr>
            </w:pPr>
            <w:r>
              <w:rPr>
                <w:rFonts w:ascii="Times New Roman" w:hAnsi="Times New Roman"/>
                <w:color w:val="222222"/>
                <w:shd w:val="clear" w:color="auto" w:fill="FFFFFF"/>
              </w:rPr>
              <w:t>Comunicación</w:t>
            </w:r>
          </w:p>
        </w:tc>
        <w:tc>
          <w:tcPr>
            <w:tcW w:w="2268" w:type="dxa"/>
            <w:shd w:val="clear" w:color="auto" w:fill="FFFFFF" w:themeFill="background1"/>
          </w:tcPr>
          <w:p w14:paraId="6A05B535" w14:textId="77777777" w:rsidR="00B14CF0" w:rsidRDefault="00937578" w:rsidP="00C209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color w:val="222222"/>
                <w:shd w:val="clear" w:color="auto" w:fill="FFFFFF"/>
              </w:rPr>
              <w:t>Identificar, clasificar, planificar, escuchar, apreciar, expresar.</w:t>
            </w:r>
            <w:r>
              <w:t xml:space="preserve"> </w:t>
            </w:r>
            <w:r>
              <w:rPr>
                <w:rFonts w:ascii="Times New Roman" w:hAnsi="Times New Roman"/>
              </w:rPr>
              <w:t>Acciones verbales y simbólicas</w:t>
            </w:r>
            <w:r>
              <w:rPr>
                <w:rFonts w:ascii="Times New Roman" w:hAnsi="Times New Roman"/>
                <w:color w:val="222222"/>
                <w:shd w:val="clear" w:color="auto" w:fill="FFFFFF"/>
              </w:rPr>
              <w:t xml:space="preserve">.  </w:t>
            </w:r>
          </w:p>
        </w:tc>
        <w:tc>
          <w:tcPr>
            <w:tcW w:w="4536" w:type="dxa"/>
            <w:shd w:val="clear" w:color="auto" w:fill="FFFFFF" w:themeFill="background1"/>
          </w:tcPr>
          <w:p w14:paraId="7805948F" w14:textId="77777777" w:rsidR="00B14CF0" w:rsidRDefault="00937578" w:rsidP="00C209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rPr>
              <w:t xml:space="preserve">“Cuentos”, compresión de cuentos orales (24 ítems). El niño debe responder preguntas literales de dos cuentos realizado por el educador. La tarea tiene dos cuentos y 12 preguntas, seis por cada cuento. </w:t>
            </w:r>
          </w:p>
        </w:tc>
      </w:tr>
      <w:tr w:rsidR="00B14CF0" w14:paraId="56201FDA" w14:textId="77777777" w:rsidTr="00141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shd w:val="clear" w:color="auto" w:fill="FFFFFF" w:themeFill="background1"/>
          </w:tcPr>
          <w:p w14:paraId="559A0170" w14:textId="77777777" w:rsidR="00B14CF0" w:rsidRDefault="00937578" w:rsidP="00C20912">
            <w:pPr>
              <w:spacing w:line="360" w:lineRule="auto"/>
              <w:rPr>
                <w:rFonts w:ascii="Times New Roman" w:hAnsi="Times New Roman"/>
                <w:color w:val="222222"/>
                <w:shd w:val="clear" w:color="auto" w:fill="FFFFFF"/>
              </w:rPr>
            </w:pPr>
            <w:r>
              <w:rPr>
                <w:rFonts w:ascii="Times New Roman" w:hAnsi="Times New Roman"/>
                <w:color w:val="222222"/>
                <w:shd w:val="clear" w:color="auto" w:fill="FFFFFF"/>
              </w:rPr>
              <w:t>Comunicación y Estética</w:t>
            </w:r>
          </w:p>
        </w:tc>
        <w:tc>
          <w:tcPr>
            <w:tcW w:w="2268" w:type="dxa"/>
            <w:tcBorders>
              <w:bottom w:val="single" w:sz="4" w:space="0" w:color="auto"/>
            </w:tcBorders>
            <w:shd w:val="clear" w:color="auto" w:fill="FFFFFF" w:themeFill="background1"/>
          </w:tcPr>
          <w:p w14:paraId="1035FEDB" w14:textId="77777777" w:rsidR="00B14CF0" w:rsidRDefault="00937578" w:rsidP="00C20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222222"/>
                <w:shd w:val="clear" w:color="auto" w:fill="FFFFFF"/>
              </w:rPr>
            </w:pPr>
            <w:r>
              <w:rPr>
                <w:rFonts w:ascii="Times New Roman" w:hAnsi="Times New Roman"/>
                <w:color w:val="222222"/>
                <w:shd w:val="clear" w:color="auto" w:fill="FFFFFF"/>
              </w:rPr>
              <w:t xml:space="preserve">Observar, identificar y clasificar. Acciones verbales y simbólicas. </w:t>
            </w:r>
          </w:p>
        </w:tc>
        <w:tc>
          <w:tcPr>
            <w:tcW w:w="4536" w:type="dxa"/>
            <w:tcBorders>
              <w:bottom w:val="single" w:sz="4" w:space="0" w:color="auto"/>
            </w:tcBorders>
            <w:shd w:val="clear" w:color="auto" w:fill="FFFFFF" w:themeFill="background1"/>
          </w:tcPr>
          <w:p w14:paraId="027ED0E2" w14:textId="77777777" w:rsidR="00B14CF0" w:rsidRDefault="00937578" w:rsidP="00C209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“La tienda de Juguetes”, vocabulario (30 ítems). El niño tiene que reconocer por su nombre 30 figuras familiares y no familiares.  </w:t>
            </w:r>
          </w:p>
        </w:tc>
      </w:tr>
    </w:tbl>
    <w:p w14:paraId="2972DF6A" w14:textId="77777777" w:rsidR="00B14CF0" w:rsidRDefault="00B14CF0" w:rsidP="001415FC">
      <w:pPr>
        <w:spacing w:after="0" w:line="360" w:lineRule="auto"/>
        <w:jc w:val="both"/>
        <w:rPr>
          <w:rFonts w:ascii="Times New Roman" w:hAnsi="Times New Roman" w:cs="Times New Roman"/>
          <w:b/>
          <w:sz w:val="24"/>
          <w:lang w:val="es-CL"/>
        </w:rPr>
      </w:pPr>
    </w:p>
    <w:p w14:paraId="36F1C198" w14:textId="77777777" w:rsidR="00B14CF0" w:rsidRDefault="00937578" w:rsidP="001415FC">
      <w:pPr>
        <w:spacing w:after="0" w:line="360" w:lineRule="auto"/>
        <w:jc w:val="both"/>
        <w:rPr>
          <w:rFonts w:ascii="Times New Roman" w:hAnsi="Times New Roman" w:cs="Times New Roman"/>
          <w:b/>
          <w:sz w:val="24"/>
          <w:lang w:val="es-CL"/>
        </w:rPr>
      </w:pPr>
      <w:r>
        <w:rPr>
          <w:rFonts w:ascii="Times New Roman" w:hAnsi="Times New Roman" w:cs="Times New Roman"/>
          <w:b/>
          <w:sz w:val="24"/>
          <w:lang w:val="es-CL"/>
        </w:rPr>
        <w:t xml:space="preserve">Plan de análisis de validez de la B-PREA-R </w:t>
      </w:r>
    </w:p>
    <w:p w14:paraId="739CC71F"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b/>
          <w:sz w:val="24"/>
          <w:lang w:val="es-CL"/>
        </w:rPr>
        <w:t>Validez de contenido.</w:t>
      </w:r>
      <w:r>
        <w:rPr>
          <w:rFonts w:ascii="Times New Roman" w:hAnsi="Times New Roman" w:cs="Times New Roman"/>
          <w:sz w:val="24"/>
          <w:lang w:val="es-CL"/>
        </w:rPr>
        <w:t xml:space="preserve"> Se realizó un análisis de ítems para obtener y analizar los contenidos de la B-PREA-R. El análisis de ítems se realizó considerando los valores del índice de discriminación (correlación</w:t>
      </w:r>
      <w:r>
        <w:t xml:space="preserve"> </w:t>
      </w:r>
      <w:r>
        <w:rPr>
          <w:rFonts w:ascii="Times New Roman" w:hAnsi="Times New Roman" w:cs="Times New Roman"/>
          <w:sz w:val="24"/>
          <w:lang w:val="es-CL"/>
        </w:rPr>
        <w:t xml:space="preserve">ítem-total) y el índice de dificultad de los ítems. El índice de discriminación se clasificó según los criterios de </w:t>
      </w:r>
      <w:proofErr w:type="spellStart"/>
      <w:r>
        <w:rPr>
          <w:rFonts w:ascii="Times New Roman" w:hAnsi="Times New Roman" w:cs="Times New Roman"/>
          <w:sz w:val="24"/>
          <w:lang w:val="es-CL"/>
        </w:rPr>
        <w:t>Ebel</w:t>
      </w:r>
      <w:proofErr w:type="spellEnd"/>
      <w:r>
        <w:rPr>
          <w:rFonts w:ascii="Times New Roman" w:hAnsi="Times New Roman" w:cs="Times New Roman"/>
          <w:sz w:val="24"/>
          <w:lang w:val="es-CL"/>
        </w:rPr>
        <w:t xml:space="preserve"> &amp; </w:t>
      </w:r>
      <w:proofErr w:type="spellStart"/>
      <w:r>
        <w:rPr>
          <w:rFonts w:ascii="Times New Roman" w:hAnsi="Times New Roman" w:cs="Times New Roman"/>
          <w:sz w:val="24"/>
          <w:lang w:val="es-CL"/>
        </w:rPr>
        <w:t>Frisbie</w:t>
      </w:r>
      <w:proofErr w:type="spellEnd"/>
      <w:r>
        <w:rPr>
          <w:rFonts w:ascii="Times New Roman" w:hAnsi="Times New Roman" w:cs="Times New Roman"/>
          <w:sz w:val="24"/>
          <w:lang w:val="es-CL"/>
        </w:rPr>
        <w:t xml:space="preserve"> (citado en </w:t>
      </w:r>
      <w:proofErr w:type="spellStart"/>
      <w:r>
        <w:rPr>
          <w:rFonts w:ascii="Times New Roman" w:hAnsi="Times New Roman" w:cs="Times New Roman"/>
          <w:sz w:val="24"/>
          <w:lang w:val="es-CL"/>
        </w:rPr>
        <w:t>Backhoff</w:t>
      </w:r>
      <w:proofErr w:type="spellEnd"/>
      <w:r>
        <w:rPr>
          <w:rFonts w:ascii="Times New Roman" w:hAnsi="Times New Roman" w:cs="Times New Roman"/>
          <w:sz w:val="24"/>
          <w:lang w:val="es-CL"/>
        </w:rPr>
        <w:t xml:space="preserve"> et al., 2000): un ítem con </w:t>
      </w:r>
      <w:r w:rsidR="00CF05E8">
        <w:rPr>
          <w:rFonts w:ascii="Times New Roman" w:hAnsi="Times New Roman" w:cs="Times New Roman"/>
          <w:sz w:val="24"/>
          <w:lang w:val="es-CL"/>
        </w:rPr>
        <w:t xml:space="preserve">alta </w:t>
      </w:r>
      <w:r>
        <w:rPr>
          <w:rFonts w:ascii="Times New Roman" w:hAnsi="Times New Roman" w:cs="Times New Roman"/>
          <w:sz w:val="24"/>
          <w:lang w:val="es-CL"/>
        </w:rPr>
        <w:t xml:space="preserve">calidad presenta valores ≥.39, un ítem con buena calidad presenta valores entre .30 y .39, un ítem con regular calidad presenta valores entre .20 y .29, y un ítem con baja calidad presentan valores &lt; .20. El índice de dificultad se </w:t>
      </w:r>
      <w:r>
        <w:rPr>
          <w:rFonts w:ascii="Times New Roman" w:hAnsi="Times New Roman" w:cs="Times New Roman"/>
          <w:sz w:val="24"/>
          <w:lang w:val="es-CL"/>
        </w:rPr>
        <w:lastRenderedPageBreak/>
        <w:t xml:space="preserve">clasificó según </w:t>
      </w:r>
      <w:proofErr w:type="spellStart"/>
      <w:r>
        <w:rPr>
          <w:rFonts w:ascii="Times New Roman" w:hAnsi="Times New Roman" w:cs="Times New Roman"/>
          <w:sz w:val="24"/>
          <w:lang w:val="es-CL"/>
        </w:rPr>
        <w:t>Crocker</w:t>
      </w:r>
      <w:proofErr w:type="spellEnd"/>
      <w:r>
        <w:rPr>
          <w:rFonts w:ascii="Times New Roman" w:hAnsi="Times New Roman" w:cs="Times New Roman"/>
          <w:sz w:val="24"/>
          <w:lang w:val="es-CL"/>
        </w:rPr>
        <w:t xml:space="preserve"> y Algina (1986) en dificultad baja (.80); dificultad media (entre .79 y .50) y dificultad alta (&lt;.50). </w:t>
      </w:r>
    </w:p>
    <w:p w14:paraId="608FE779"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b/>
          <w:sz w:val="24"/>
          <w:lang w:val="es-CL"/>
        </w:rPr>
        <w:t>Validez de estructura interna</w:t>
      </w:r>
      <w:r>
        <w:rPr>
          <w:rFonts w:ascii="Times New Roman" w:hAnsi="Times New Roman" w:cs="Times New Roman"/>
          <w:sz w:val="24"/>
          <w:lang w:val="es-CL"/>
        </w:rPr>
        <w:t>. Se realizó un análisis factorial exploratorio para identificar el número y composición de componentes necesario para resumir las puntuaciones observadas de la B-PREA-R. Para determinar este análisis se tuvo en cuenta los supuestos teóricos que sugieren</w:t>
      </w:r>
      <w:r>
        <w:t xml:space="preserve"> </w:t>
      </w:r>
      <w:proofErr w:type="spellStart"/>
      <w:r>
        <w:rPr>
          <w:rFonts w:ascii="Times New Roman" w:hAnsi="Times New Roman" w:cs="Times New Roman"/>
          <w:sz w:val="24"/>
          <w:lang w:val="es-CL"/>
        </w:rPr>
        <w:t>Lloret</w:t>
      </w:r>
      <w:proofErr w:type="spellEnd"/>
      <w:r>
        <w:rPr>
          <w:rFonts w:ascii="Times New Roman" w:hAnsi="Times New Roman" w:cs="Times New Roman"/>
          <w:sz w:val="24"/>
          <w:lang w:val="es-CL"/>
        </w:rPr>
        <w:t xml:space="preserve">-Segura et al. (2014): normalidad de los datos, prueba </w:t>
      </w:r>
      <w:proofErr w:type="spellStart"/>
      <w:r>
        <w:rPr>
          <w:rFonts w:ascii="Times New Roman" w:hAnsi="Times New Roman" w:cs="Times New Roman"/>
          <w:sz w:val="24"/>
          <w:lang w:val="es-CL"/>
        </w:rPr>
        <w:t>Kaiser</w:t>
      </w:r>
      <w:proofErr w:type="spellEnd"/>
      <w:r>
        <w:rPr>
          <w:rFonts w:ascii="Times New Roman" w:hAnsi="Times New Roman" w:cs="Times New Roman"/>
          <w:sz w:val="24"/>
          <w:lang w:val="es-CL"/>
        </w:rPr>
        <w:t>-Meyer-</w:t>
      </w:r>
      <w:proofErr w:type="spellStart"/>
      <w:r>
        <w:rPr>
          <w:rFonts w:ascii="Times New Roman" w:hAnsi="Times New Roman" w:cs="Times New Roman"/>
          <w:sz w:val="24"/>
          <w:lang w:val="es-CL"/>
        </w:rPr>
        <w:t>Olkin</w:t>
      </w:r>
      <w:proofErr w:type="spellEnd"/>
      <w:r>
        <w:rPr>
          <w:rFonts w:ascii="Times New Roman" w:hAnsi="Times New Roman" w:cs="Times New Roman"/>
          <w:sz w:val="24"/>
          <w:lang w:val="es-CL"/>
        </w:rPr>
        <w:t xml:space="preserve"> (KMO) y las ventajas que ofrecen los diferentes métodos de extracción y rotación. </w:t>
      </w:r>
    </w:p>
    <w:p w14:paraId="0BAFE680" w14:textId="77777777" w:rsidR="00B14CF0" w:rsidRDefault="00937578" w:rsidP="001415FC">
      <w:pPr>
        <w:spacing w:after="0" w:line="360" w:lineRule="auto"/>
        <w:ind w:firstLine="708"/>
        <w:jc w:val="both"/>
        <w:rPr>
          <w:rFonts w:ascii="Times New Roman" w:hAnsi="Times New Roman" w:cs="Times New Roman"/>
          <w:sz w:val="24"/>
          <w:lang w:val="es-CL"/>
        </w:rPr>
      </w:pPr>
      <w:r>
        <w:rPr>
          <w:rFonts w:ascii="Times New Roman" w:hAnsi="Times New Roman" w:cs="Times New Roman"/>
          <w:b/>
          <w:sz w:val="24"/>
          <w:lang w:val="es-CL"/>
        </w:rPr>
        <w:t>Fiabilidad por Consistencia Interna</w:t>
      </w:r>
      <w:r>
        <w:rPr>
          <w:rFonts w:ascii="Times New Roman" w:hAnsi="Times New Roman" w:cs="Times New Roman"/>
          <w:sz w:val="24"/>
          <w:lang w:val="es-CL"/>
        </w:rPr>
        <w:t>. Se determinó a través del alfa de Cronbach y a través del análisis de ítems (alfa si el ítem es eliminado).</w:t>
      </w:r>
    </w:p>
    <w:p w14:paraId="762A724C" w14:textId="7A7487EE" w:rsidR="00B14CF0" w:rsidRPr="00697F23" w:rsidRDefault="00937578" w:rsidP="001415FC">
      <w:pPr>
        <w:spacing w:after="0" w:line="360" w:lineRule="auto"/>
        <w:ind w:firstLine="708"/>
        <w:jc w:val="both"/>
        <w:rPr>
          <w:rFonts w:ascii="Times New Roman" w:hAnsi="Times New Roman" w:cs="Times New Roman"/>
          <w:sz w:val="24"/>
          <w:lang w:val="es-CL"/>
        </w:rPr>
      </w:pPr>
      <w:r w:rsidRPr="00697F23">
        <w:rPr>
          <w:rFonts w:ascii="Times New Roman" w:hAnsi="Times New Roman" w:cs="Times New Roman"/>
          <w:b/>
          <w:sz w:val="24"/>
          <w:lang w:val="es-CL"/>
        </w:rPr>
        <w:t>Punto de corte</w:t>
      </w:r>
      <w:r w:rsidRPr="00697F23">
        <w:rPr>
          <w:rFonts w:ascii="Times New Roman" w:hAnsi="Times New Roman" w:cs="Times New Roman"/>
          <w:sz w:val="24"/>
          <w:lang w:val="es-CL"/>
        </w:rPr>
        <w:t xml:space="preserve">. </w:t>
      </w:r>
      <w:r w:rsidR="00697F23" w:rsidRPr="00697F23">
        <w:rPr>
          <w:rFonts w:ascii="Times New Roman" w:hAnsi="Times New Roman" w:cs="Times New Roman"/>
          <w:sz w:val="24"/>
          <w:lang w:val="es-CL"/>
        </w:rPr>
        <w:t xml:space="preserve">Los valores percentiles (obtención de cuartiles) se obtuvieron a través del SPPS. 20.0 en las </w:t>
      </w:r>
      <w:r w:rsidRPr="00697F23">
        <w:rPr>
          <w:rFonts w:ascii="Times New Roman" w:hAnsi="Times New Roman" w:cs="Times New Roman"/>
          <w:sz w:val="24"/>
          <w:lang w:val="es-CL"/>
        </w:rPr>
        <w:t xml:space="preserve">nueve </w:t>
      </w:r>
      <w:proofErr w:type="spellStart"/>
      <w:r w:rsidR="00697F23">
        <w:rPr>
          <w:rFonts w:ascii="Times New Roman" w:hAnsi="Times New Roman" w:cs="Times New Roman"/>
          <w:sz w:val="24"/>
          <w:lang w:val="es-CL"/>
        </w:rPr>
        <w:t>subtests</w:t>
      </w:r>
      <w:proofErr w:type="spellEnd"/>
      <w:r w:rsidR="00697F23">
        <w:rPr>
          <w:rFonts w:ascii="Times New Roman" w:hAnsi="Times New Roman" w:cs="Times New Roman"/>
          <w:sz w:val="24"/>
          <w:lang w:val="es-CL"/>
        </w:rPr>
        <w:t xml:space="preserve"> </w:t>
      </w:r>
      <w:r w:rsidRPr="00697F23">
        <w:rPr>
          <w:rFonts w:ascii="Times New Roman" w:hAnsi="Times New Roman" w:cs="Times New Roman"/>
          <w:sz w:val="24"/>
          <w:lang w:val="es-CL"/>
        </w:rPr>
        <w:t xml:space="preserve">del B-PREA-R para identificar los niños con baja y altas habilidades según su edad. </w:t>
      </w:r>
    </w:p>
    <w:p w14:paraId="5A8AD7E2" w14:textId="77777777" w:rsidR="00C20912" w:rsidRDefault="00C20912" w:rsidP="001415FC">
      <w:pPr>
        <w:spacing w:after="0" w:line="360" w:lineRule="auto"/>
        <w:jc w:val="center"/>
        <w:rPr>
          <w:rFonts w:ascii="Times New Roman" w:eastAsia="Times New Roman" w:hAnsi="Times New Roman" w:cs="Times New Roman"/>
          <w:b/>
          <w:sz w:val="24"/>
          <w:lang w:val="es-CL" w:eastAsia="ar-SA"/>
        </w:rPr>
      </w:pPr>
    </w:p>
    <w:p w14:paraId="39DEDCD9" w14:textId="77777777" w:rsidR="00B14CF0" w:rsidRPr="001415FC" w:rsidRDefault="00937578" w:rsidP="001415FC">
      <w:pPr>
        <w:spacing w:after="0" w:line="360" w:lineRule="auto"/>
        <w:jc w:val="center"/>
        <w:rPr>
          <w:rFonts w:ascii="Times New Roman" w:eastAsia="Times New Roman" w:hAnsi="Times New Roman" w:cs="Times New Roman"/>
          <w:b/>
          <w:sz w:val="24"/>
          <w:lang w:val="es-CL" w:eastAsia="ar-SA"/>
        </w:rPr>
      </w:pPr>
      <w:r w:rsidRPr="001415FC">
        <w:rPr>
          <w:rFonts w:ascii="Times New Roman" w:eastAsia="Times New Roman" w:hAnsi="Times New Roman" w:cs="Times New Roman"/>
          <w:b/>
          <w:sz w:val="24"/>
          <w:lang w:val="es-CL" w:eastAsia="ar-SA"/>
        </w:rPr>
        <w:t xml:space="preserve">Resultados </w:t>
      </w:r>
    </w:p>
    <w:p w14:paraId="35CB51A4" w14:textId="77777777" w:rsidR="00B14CF0" w:rsidRPr="001415FC" w:rsidRDefault="00937578" w:rsidP="001415FC">
      <w:pPr>
        <w:spacing w:after="0" w:line="360" w:lineRule="auto"/>
        <w:jc w:val="both"/>
        <w:rPr>
          <w:rFonts w:ascii="Times New Roman" w:eastAsia="Times New Roman" w:hAnsi="Times New Roman" w:cs="Times New Roman"/>
          <w:b/>
          <w:sz w:val="24"/>
          <w:lang w:val="es-CL" w:eastAsia="ar-SA"/>
        </w:rPr>
      </w:pPr>
      <w:r w:rsidRPr="001415FC">
        <w:rPr>
          <w:rFonts w:ascii="Times New Roman" w:eastAsia="Times New Roman" w:hAnsi="Times New Roman" w:cs="Times New Roman"/>
          <w:b/>
          <w:sz w:val="24"/>
          <w:lang w:val="es-CL" w:eastAsia="ar-SA"/>
        </w:rPr>
        <w:t xml:space="preserve">Validez de contenido </w:t>
      </w:r>
    </w:p>
    <w:p w14:paraId="5407CE21" w14:textId="77777777" w:rsidR="00B14CF0" w:rsidRPr="001415FC" w:rsidRDefault="00937578" w:rsidP="001415FC">
      <w:pPr>
        <w:spacing w:after="0" w:line="360" w:lineRule="auto"/>
        <w:ind w:firstLine="708"/>
        <w:jc w:val="both"/>
        <w:rPr>
          <w:rFonts w:ascii="Times New Roman" w:eastAsia="Calibri" w:hAnsi="Times New Roman" w:cs="Times New Roman"/>
          <w:sz w:val="24"/>
          <w:lang w:val="es-CL"/>
        </w:rPr>
      </w:pPr>
      <w:r w:rsidRPr="001415FC">
        <w:rPr>
          <w:rFonts w:ascii="Times New Roman" w:eastAsia="Times New Roman" w:hAnsi="Times New Roman" w:cs="Times New Roman"/>
          <w:sz w:val="24"/>
          <w:lang w:val="es-CL" w:eastAsia="ar-SA"/>
        </w:rPr>
        <w:t xml:space="preserve">El análisis de correlación ítem-total mostró valores adecuados. De 199 ítems, 61 ítems mostraron una </w:t>
      </w:r>
      <w:r w:rsidR="00CF05E8" w:rsidRPr="001415FC">
        <w:rPr>
          <w:rFonts w:ascii="Times New Roman" w:eastAsia="Calibri" w:hAnsi="Times New Roman" w:cs="Times New Roman"/>
          <w:sz w:val="24"/>
          <w:lang w:val="es-CL"/>
        </w:rPr>
        <w:t xml:space="preserve">alta </w:t>
      </w:r>
      <w:r w:rsidRPr="001415FC">
        <w:rPr>
          <w:rFonts w:ascii="Times New Roman" w:eastAsia="Calibri" w:hAnsi="Times New Roman" w:cs="Times New Roman"/>
          <w:sz w:val="24"/>
          <w:lang w:val="es-CL"/>
        </w:rPr>
        <w:t>calidad (30%), 132 ítems con buena calidad (66%), 6 ítems con calidad regular (4%) (Tabla 3). El índice de dificultad expresó un equilibrio entre ítems de difíciles de ejecutar por los niños, hasta ítems más fáciles. De 199 ítems, 98 ítems son considerados ni fáciles, ni difíciles (49%), 54 ítems fáciles de ejecutar (28%), y 47 ítems difícil de ejecutar por los niños (23%) (Tabla 3).</w:t>
      </w:r>
    </w:p>
    <w:p w14:paraId="4A7BA1C1" w14:textId="77777777" w:rsidR="00B14CF0" w:rsidRPr="001415FC" w:rsidRDefault="00937578" w:rsidP="001415FC">
      <w:pPr>
        <w:spacing w:after="0" w:line="360" w:lineRule="auto"/>
        <w:rPr>
          <w:rFonts w:ascii="Times New Roman" w:eastAsia="Calibri" w:hAnsi="Times New Roman" w:cs="Times New Roman"/>
          <w:b/>
          <w:sz w:val="20"/>
          <w:lang w:val="es-CL"/>
        </w:rPr>
      </w:pPr>
      <w:r w:rsidRPr="001415FC">
        <w:rPr>
          <w:rFonts w:ascii="Times New Roman" w:eastAsia="Calibri" w:hAnsi="Times New Roman" w:cs="Times New Roman"/>
          <w:b/>
          <w:sz w:val="20"/>
          <w:lang w:val="es-CL"/>
        </w:rPr>
        <w:t>Tabla 3</w:t>
      </w:r>
    </w:p>
    <w:p w14:paraId="03F933D2" w14:textId="77777777" w:rsidR="00B14CF0" w:rsidRDefault="00937578" w:rsidP="001415FC">
      <w:pPr>
        <w:spacing w:after="0" w:line="360" w:lineRule="auto"/>
        <w:jc w:val="both"/>
        <w:rPr>
          <w:rFonts w:ascii="Times New Roman" w:eastAsia="Times New Roman" w:hAnsi="Times New Roman" w:cs="Times New Roman"/>
          <w:i/>
          <w:color w:val="000000"/>
          <w:sz w:val="20"/>
          <w:lang w:val="es-CL" w:eastAsia="ar-SA"/>
        </w:rPr>
      </w:pPr>
      <w:r w:rsidRPr="001415FC">
        <w:rPr>
          <w:rFonts w:ascii="Times New Roman" w:eastAsia="Times New Roman" w:hAnsi="Times New Roman" w:cs="Times New Roman"/>
          <w:i/>
          <w:sz w:val="20"/>
          <w:lang w:val="es-CL" w:eastAsia="ar-SA"/>
        </w:rPr>
        <w:t xml:space="preserve">Análisis de ítems incluyendo el índice de dificultad e índice de discriminación* de los </w:t>
      </w:r>
      <w:r>
        <w:rPr>
          <w:rFonts w:ascii="Times New Roman" w:eastAsia="Times New Roman" w:hAnsi="Times New Roman" w:cs="Times New Roman"/>
          <w:i/>
          <w:color w:val="000000"/>
          <w:sz w:val="20"/>
          <w:lang w:val="es-CL" w:eastAsia="ar-SA"/>
        </w:rPr>
        <w:t xml:space="preserve">199 ítems de los 9 sub- </w:t>
      </w:r>
      <w:proofErr w:type="spellStart"/>
      <w:r>
        <w:rPr>
          <w:rFonts w:ascii="Times New Roman" w:eastAsia="Times New Roman" w:hAnsi="Times New Roman" w:cs="Times New Roman"/>
          <w:i/>
          <w:color w:val="000000"/>
          <w:sz w:val="20"/>
          <w:lang w:val="es-CL" w:eastAsia="ar-SA"/>
        </w:rPr>
        <w:t>tests</w:t>
      </w:r>
      <w:proofErr w:type="spellEnd"/>
      <w:r>
        <w:rPr>
          <w:rFonts w:ascii="Times New Roman" w:eastAsia="Times New Roman" w:hAnsi="Times New Roman" w:cs="Times New Roman"/>
          <w:i/>
          <w:color w:val="000000"/>
          <w:sz w:val="20"/>
          <w:lang w:val="es-CL" w:eastAsia="ar-SA"/>
        </w:rPr>
        <w:t xml:space="preserve"> de la B-PREA-R </w:t>
      </w:r>
    </w:p>
    <w:tbl>
      <w:tblPr>
        <w:tblStyle w:val="Tablanormal41"/>
        <w:tblW w:w="0" w:type="auto"/>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1816"/>
        <w:gridCol w:w="2083"/>
        <w:gridCol w:w="2409"/>
        <w:gridCol w:w="1799"/>
      </w:tblGrid>
      <w:tr w:rsidR="00B14CF0" w14:paraId="2B3EE169" w14:textId="77777777" w:rsidTr="00B14CF0">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816" w:type="dxa"/>
            <w:shd w:val="clear" w:color="auto" w:fill="FFFFFF" w:themeFill="background1"/>
          </w:tcPr>
          <w:p w14:paraId="0A45B671" w14:textId="77777777" w:rsidR="00B14CF0" w:rsidRDefault="00B14CF0" w:rsidP="00C20912">
            <w:pPr>
              <w:tabs>
                <w:tab w:val="center" w:pos="6120"/>
              </w:tabs>
              <w:spacing w:line="276" w:lineRule="auto"/>
              <w:jc w:val="both"/>
              <w:rPr>
                <w:rFonts w:ascii="Times New Roman" w:eastAsia="Times New Roman" w:hAnsi="Times New Roman"/>
                <w:lang w:val="es-CL" w:eastAsia="ar-SA"/>
              </w:rPr>
            </w:pPr>
          </w:p>
        </w:tc>
        <w:tc>
          <w:tcPr>
            <w:tcW w:w="6291" w:type="dxa"/>
            <w:gridSpan w:val="3"/>
            <w:shd w:val="clear" w:color="auto" w:fill="FFFFFF" w:themeFill="background1"/>
          </w:tcPr>
          <w:p w14:paraId="2F74B48A" w14:textId="77777777" w:rsidR="00B14CF0" w:rsidRDefault="00937578" w:rsidP="00C20912">
            <w:pPr>
              <w:tabs>
                <w:tab w:val="center" w:pos="612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es-CL" w:eastAsia="ar-SA"/>
              </w:rPr>
            </w:pPr>
            <w:r>
              <w:rPr>
                <w:rFonts w:ascii="Times New Roman" w:eastAsia="Times New Roman" w:hAnsi="Times New Roman"/>
                <w:lang w:val="es-CL" w:eastAsia="ar-SA"/>
              </w:rPr>
              <w:t>Índice de Discriminación</w:t>
            </w:r>
          </w:p>
        </w:tc>
      </w:tr>
      <w:tr w:rsidR="00B14CF0" w14:paraId="7B4C0256" w14:textId="77777777" w:rsidTr="00B14CF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816" w:type="dxa"/>
            <w:shd w:val="clear" w:color="auto" w:fill="FFFFFF" w:themeFill="background1"/>
            <w:vAlign w:val="center"/>
          </w:tcPr>
          <w:p w14:paraId="265A335E" w14:textId="77777777" w:rsidR="00B14CF0" w:rsidRDefault="00937578" w:rsidP="00C20912">
            <w:pPr>
              <w:tabs>
                <w:tab w:val="center" w:pos="6120"/>
              </w:tabs>
              <w:spacing w:line="276" w:lineRule="auto"/>
              <w:rPr>
                <w:rFonts w:ascii="Times New Roman" w:eastAsia="Times New Roman" w:hAnsi="Times New Roman"/>
                <w:lang w:val="es-CL" w:eastAsia="ar-SA"/>
              </w:rPr>
            </w:pPr>
            <w:r>
              <w:rPr>
                <w:rFonts w:ascii="Times New Roman" w:eastAsia="Times New Roman" w:hAnsi="Times New Roman"/>
                <w:lang w:val="es-CL" w:eastAsia="ar-SA"/>
              </w:rPr>
              <w:t>Índice de Dificultad</w:t>
            </w:r>
          </w:p>
        </w:tc>
        <w:tc>
          <w:tcPr>
            <w:tcW w:w="2083" w:type="dxa"/>
            <w:shd w:val="clear" w:color="auto" w:fill="FFFFFF" w:themeFill="background1"/>
          </w:tcPr>
          <w:p w14:paraId="6D7155CB" w14:textId="77777777" w:rsidR="00B14CF0" w:rsidRDefault="00CF05E8" w:rsidP="00C2091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s-CL"/>
              </w:rPr>
            </w:pPr>
            <w:r>
              <w:rPr>
                <w:rFonts w:ascii="Times New Roman" w:eastAsia="Times New Roman" w:hAnsi="Times New Roman"/>
                <w:lang w:val="es-CL"/>
              </w:rPr>
              <w:t>Alta</w:t>
            </w:r>
            <w:r w:rsidR="00937578">
              <w:rPr>
                <w:rFonts w:ascii="Times New Roman" w:eastAsia="Times New Roman" w:hAnsi="Times New Roman"/>
                <w:lang w:val="es-CL"/>
              </w:rPr>
              <w:t xml:space="preserve"> </w:t>
            </w:r>
          </w:p>
          <w:p w14:paraId="2FF532E0" w14:textId="77777777" w:rsidR="00B14CF0" w:rsidRDefault="00937578" w:rsidP="00C2091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s-CL"/>
              </w:rPr>
            </w:pPr>
            <w:r>
              <w:rPr>
                <w:rFonts w:ascii="Times New Roman" w:eastAsia="Times New Roman" w:hAnsi="Times New Roman"/>
                <w:lang w:val="es-CL"/>
              </w:rPr>
              <w:t>(</w:t>
            </w:r>
            <w:r>
              <w:rPr>
                <w:rFonts w:ascii="Arial" w:hAnsi="Arial" w:cs="Arial"/>
                <w:shd w:val="clear" w:color="auto" w:fill="FFFFFF"/>
              </w:rPr>
              <w:t>≥</w:t>
            </w:r>
            <w:r>
              <w:rPr>
                <w:rFonts w:ascii="Times New Roman" w:eastAsia="Times New Roman" w:hAnsi="Times New Roman"/>
                <w:lang w:val="es-CL"/>
              </w:rPr>
              <w:t>.39)</w:t>
            </w:r>
          </w:p>
          <w:p w14:paraId="6CAD8507" w14:textId="77777777" w:rsidR="00B14CF0" w:rsidRDefault="00937578" w:rsidP="00C2091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s-CL"/>
              </w:rPr>
            </w:pPr>
            <w:r>
              <w:rPr>
                <w:rFonts w:ascii="Times New Roman" w:eastAsia="Times New Roman" w:hAnsi="Times New Roman"/>
                <w:lang w:val="es-CL"/>
              </w:rPr>
              <w:t>(61 ítem en total)</w:t>
            </w:r>
          </w:p>
        </w:tc>
        <w:tc>
          <w:tcPr>
            <w:tcW w:w="2409" w:type="dxa"/>
            <w:shd w:val="clear" w:color="auto" w:fill="FFFFFF" w:themeFill="background1"/>
          </w:tcPr>
          <w:p w14:paraId="57D54C96" w14:textId="77777777" w:rsidR="00B14CF0" w:rsidRDefault="00937578" w:rsidP="00C2091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s-CL"/>
              </w:rPr>
            </w:pPr>
            <w:r>
              <w:rPr>
                <w:rFonts w:ascii="Times New Roman" w:eastAsia="Times New Roman" w:hAnsi="Times New Roman"/>
                <w:lang w:val="es-CL"/>
              </w:rPr>
              <w:t xml:space="preserve">Buena </w:t>
            </w:r>
          </w:p>
          <w:p w14:paraId="2CE7F7D3" w14:textId="77777777" w:rsidR="00B14CF0" w:rsidRDefault="00937578" w:rsidP="00C2091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s-CL"/>
              </w:rPr>
            </w:pPr>
            <w:r>
              <w:rPr>
                <w:rFonts w:ascii="Times New Roman" w:eastAsia="Times New Roman" w:hAnsi="Times New Roman"/>
                <w:lang w:val="es-CL"/>
              </w:rPr>
              <w:t>(e/.30 - .39)</w:t>
            </w:r>
          </w:p>
          <w:p w14:paraId="5A1B319E" w14:textId="77777777" w:rsidR="00B14CF0" w:rsidRDefault="00937578" w:rsidP="00C2091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s-CL"/>
              </w:rPr>
            </w:pPr>
            <w:r>
              <w:rPr>
                <w:rFonts w:ascii="Times New Roman" w:eastAsia="Times New Roman" w:hAnsi="Times New Roman"/>
                <w:lang w:val="es-CL"/>
              </w:rPr>
              <w:t>(132 ítems en total)</w:t>
            </w:r>
          </w:p>
        </w:tc>
        <w:tc>
          <w:tcPr>
            <w:tcW w:w="1799" w:type="dxa"/>
            <w:shd w:val="clear" w:color="auto" w:fill="FFFFFF" w:themeFill="background1"/>
          </w:tcPr>
          <w:p w14:paraId="604B5DAD" w14:textId="77777777" w:rsidR="00B14CF0" w:rsidRDefault="00937578" w:rsidP="00C2091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s-CL"/>
              </w:rPr>
            </w:pPr>
            <w:r>
              <w:rPr>
                <w:rFonts w:ascii="Times New Roman" w:eastAsia="Times New Roman" w:hAnsi="Times New Roman"/>
                <w:lang w:val="es-CL"/>
              </w:rPr>
              <w:t>Regular</w:t>
            </w:r>
          </w:p>
          <w:p w14:paraId="4655A989" w14:textId="77777777" w:rsidR="00B14CF0" w:rsidRDefault="00937578" w:rsidP="00C2091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s-CL"/>
              </w:rPr>
            </w:pPr>
            <w:r>
              <w:rPr>
                <w:rFonts w:ascii="Times New Roman" w:eastAsia="Times New Roman" w:hAnsi="Times New Roman"/>
                <w:lang w:val="es-CL"/>
              </w:rPr>
              <w:t>(e/.20 - .29)</w:t>
            </w:r>
          </w:p>
          <w:p w14:paraId="5F55D7FE" w14:textId="77777777" w:rsidR="00B14CF0" w:rsidRDefault="00937578" w:rsidP="00C2091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s-CL"/>
              </w:rPr>
            </w:pPr>
            <w:r>
              <w:rPr>
                <w:rFonts w:ascii="Times New Roman" w:eastAsia="Times New Roman" w:hAnsi="Times New Roman"/>
                <w:lang w:val="es-CL"/>
              </w:rPr>
              <w:t>(6 ítems en total)</w:t>
            </w:r>
          </w:p>
        </w:tc>
      </w:tr>
      <w:tr w:rsidR="00B14CF0" w14:paraId="5CE6FD4C" w14:textId="77777777" w:rsidTr="00B14CF0">
        <w:trPr>
          <w:trHeight w:val="507"/>
        </w:trPr>
        <w:tc>
          <w:tcPr>
            <w:cnfStyle w:val="001000000000" w:firstRow="0" w:lastRow="0" w:firstColumn="1" w:lastColumn="0" w:oddVBand="0" w:evenVBand="0" w:oddHBand="0" w:evenHBand="0" w:firstRowFirstColumn="0" w:firstRowLastColumn="0" w:lastRowFirstColumn="0" w:lastRowLastColumn="0"/>
            <w:tcW w:w="1816" w:type="dxa"/>
            <w:shd w:val="clear" w:color="auto" w:fill="FFFFFF" w:themeFill="background1"/>
            <w:vAlign w:val="center"/>
          </w:tcPr>
          <w:p w14:paraId="2E029FFE" w14:textId="77777777" w:rsidR="00B14CF0" w:rsidRDefault="00937578" w:rsidP="00C20912">
            <w:pPr>
              <w:spacing w:line="276" w:lineRule="auto"/>
              <w:rPr>
                <w:rFonts w:ascii="Times New Roman" w:eastAsia="Times New Roman" w:hAnsi="Times New Roman"/>
                <w:lang w:val="es-CL"/>
              </w:rPr>
            </w:pPr>
            <w:r>
              <w:rPr>
                <w:rFonts w:ascii="Times New Roman" w:eastAsia="Times New Roman" w:hAnsi="Times New Roman"/>
                <w:lang w:val="es-CL"/>
              </w:rPr>
              <w:t>Fácil</w:t>
            </w:r>
          </w:p>
          <w:p w14:paraId="35C0ABC4" w14:textId="77777777" w:rsidR="00B14CF0" w:rsidRDefault="00937578" w:rsidP="00C20912">
            <w:pPr>
              <w:spacing w:line="276" w:lineRule="auto"/>
              <w:rPr>
                <w:rFonts w:ascii="Times New Roman" w:eastAsia="Times New Roman" w:hAnsi="Times New Roman"/>
                <w:lang w:val="es-CL"/>
              </w:rPr>
            </w:pPr>
            <w:r>
              <w:rPr>
                <w:rFonts w:ascii="Times New Roman" w:eastAsia="Times New Roman" w:hAnsi="Times New Roman"/>
                <w:lang w:val="es-CL"/>
              </w:rPr>
              <w:t xml:space="preserve">(≥ .80) </w:t>
            </w:r>
          </w:p>
          <w:p w14:paraId="3B8A4589" w14:textId="77777777" w:rsidR="00B14CF0" w:rsidRDefault="00B14CF0" w:rsidP="00C20912">
            <w:pPr>
              <w:spacing w:line="276" w:lineRule="auto"/>
              <w:rPr>
                <w:rFonts w:ascii="Times New Roman" w:eastAsia="Times New Roman" w:hAnsi="Times New Roman"/>
                <w:lang w:val="es-CL"/>
              </w:rPr>
            </w:pPr>
          </w:p>
          <w:p w14:paraId="429A6F9D" w14:textId="77777777" w:rsidR="00B14CF0" w:rsidRDefault="00937578" w:rsidP="00C20912">
            <w:pPr>
              <w:spacing w:line="276" w:lineRule="auto"/>
              <w:rPr>
                <w:rFonts w:ascii="Times New Roman" w:eastAsia="Times New Roman" w:hAnsi="Times New Roman"/>
                <w:lang w:val="es-CL"/>
              </w:rPr>
            </w:pPr>
            <w:r>
              <w:rPr>
                <w:rFonts w:ascii="Times New Roman" w:eastAsia="Times New Roman" w:hAnsi="Times New Roman"/>
                <w:lang w:val="es-CL"/>
              </w:rPr>
              <w:t>(54 ítems en total)</w:t>
            </w:r>
          </w:p>
        </w:tc>
        <w:tc>
          <w:tcPr>
            <w:tcW w:w="2083" w:type="dxa"/>
            <w:shd w:val="clear" w:color="auto" w:fill="FFFFFF" w:themeFill="background1"/>
          </w:tcPr>
          <w:p w14:paraId="39B8A184" w14:textId="77777777" w:rsidR="00B14CF0" w:rsidRDefault="00937578" w:rsidP="00C20912">
            <w:pPr>
              <w:tabs>
                <w:tab w:val="center" w:pos="612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US" w:eastAsia="ar-SA"/>
              </w:rPr>
            </w:pPr>
            <w:r>
              <w:rPr>
                <w:rFonts w:ascii="Times New Roman" w:eastAsia="Times New Roman" w:hAnsi="Times New Roman"/>
                <w:lang w:eastAsia="ar-SA"/>
              </w:rPr>
              <w:t>112</w:t>
            </w:r>
            <w:r>
              <w:rPr>
                <w:rFonts w:ascii="Times New Roman" w:eastAsia="Times New Roman" w:hAnsi="Times New Roman"/>
                <w:lang w:val="en-US" w:eastAsia="ar-SA"/>
              </w:rPr>
              <w:t>, 116, 119, 121, 138, 144, 152, 163, 169, 173, 178, 179, 186</w:t>
            </w:r>
          </w:p>
        </w:tc>
        <w:tc>
          <w:tcPr>
            <w:tcW w:w="2409" w:type="dxa"/>
            <w:shd w:val="clear" w:color="auto" w:fill="FFFFFF" w:themeFill="background1"/>
          </w:tcPr>
          <w:p w14:paraId="7B1929BA" w14:textId="77777777" w:rsidR="00B14CF0" w:rsidRDefault="00937578" w:rsidP="00C20912">
            <w:pPr>
              <w:tabs>
                <w:tab w:val="center" w:pos="612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lang w:val="en-US" w:eastAsia="ar-SA"/>
              </w:rPr>
            </w:pPr>
            <w:r>
              <w:rPr>
                <w:rFonts w:ascii="Times New Roman" w:eastAsia="Times New Roman" w:hAnsi="Times New Roman"/>
                <w:color w:val="000000" w:themeColor="text1"/>
                <w:lang w:val="en-US" w:eastAsia="ar-SA"/>
              </w:rPr>
              <w:t>21, 22, 23, 24, 25, 32, 54, 59, 60, 62, 64, 65, 67, 69, 72, 73, 78, 80, 93, 94, 96, 101, 102, 107, 108, 113, 114, 120, 122, 125, 135, 139, 143, 147, 156, 160, 161, 162, 191, 196</w:t>
            </w:r>
          </w:p>
        </w:tc>
        <w:tc>
          <w:tcPr>
            <w:tcW w:w="1799" w:type="dxa"/>
            <w:shd w:val="clear" w:color="auto" w:fill="FFFFFF" w:themeFill="background1"/>
          </w:tcPr>
          <w:p w14:paraId="0F62D08A" w14:textId="77777777" w:rsidR="00B14CF0" w:rsidRDefault="00937578" w:rsidP="00C20912">
            <w:pPr>
              <w:tabs>
                <w:tab w:val="center" w:pos="612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US" w:eastAsia="ar-SA"/>
              </w:rPr>
            </w:pPr>
            <w:r>
              <w:rPr>
                <w:rFonts w:ascii="Times New Roman" w:eastAsia="Times New Roman" w:hAnsi="Times New Roman"/>
                <w:lang w:val="en-US" w:eastAsia="ar-SA"/>
              </w:rPr>
              <w:t xml:space="preserve">87 </w:t>
            </w:r>
          </w:p>
        </w:tc>
      </w:tr>
      <w:tr w:rsidR="00B14CF0" w14:paraId="4541F1E7" w14:textId="77777777" w:rsidTr="00B14CF0">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816" w:type="dxa"/>
            <w:shd w:val="clear" w:color="auto" w:fill="FFFFFF" w:themeFill="background1"/>
            <w:vAlign w:val="center"/>
          </w:tcPr>
          <w:p w14:paraId="24902B2C" w14:textId="77777777" w:rsidR="00B14CF0" w:rsidRDefault="00937578" w:rsidP="00C20912">
            <w:pPr>
              <w:spacing w:line="276" w:lineRule="auto"/>
              <w:rPr>
                <w:rFonts w:ascii="Times New Roman" w:eastAsia="Times New Roman" w:hAnsi="Times New Roman"/>
                <w:lang w:val="es-CL"/>
              </w:rPr>
            </w:pPr>
            <w:r>
              <w:rPr>
                <w:rFonts w:ascii="Times New Roman" w:eastAsia="Times New Roman" w:hAnsi="Times New Roman"/>
                <w:lang w:val="es-CL"/>
              </w:rPr>
              <w:t xml:space="preserve">Medio </w:t>
            </w:r>
          </w:p>
          <w:p w14:paraId="49D4F34D" w14:textId="77777777" w:rsidR="00B14CF0" w:rsidRDefault="00937578" w:rsidP="00C20912">
            <w:pPr>
              <w:spacing w:line="276" w:lineRule="auto"/>
              <w:rPr>
                <w:rFonts w:ascii="Times New Roman" w:eastAsia="Times New Roman" w:hAnsi="Times New Roman"/>
                <w:lang w:val="es-CL"/>
              </w:rPr>
            </w:pPr>
            <w:r>
              <w:rPr>
                <w:rFonts w:ascii="Times New Roman" w:eastAsia="Times New Roman" w:hAnsi="Times New Roman"/>
                <w:lang w:val="es-CL"/>
              </w:rPr>
              <w:t xml:space="preserve">(.50 – .79) </w:t>
            </w:r>
          </w:p>
          <w:p w14:paraId="0986B348" w14:textId="77777777" w:rsidR="00B14CF0" w:rsidRDefault="00B14CF0" w:rsidP="00C20912">
            <w:pPr>
              <w:spacing w:line="276" w:lineRule="auto"/>
              <w:rPr>
                <w:rFonts w:ascii="Times New Roman" w:eastAsia="Times New Roman" w:hAnsi="Times New Roman"/>
                <w:lang w:val="es-CL"/>
              </w:rPr>
            </w:pPr>
          </w:p>
          <w:p w14:paraId="0F9890A0" w14:textId="77777777" w:rsidR="00B14CF0" w:rsidRDefault="00937578" w:rsidP="00C20912">
            <w:pPr>
              <w:spacing w:line="276" w:lineRule="auto"/>
              <w:rPr>
                <w:rFonts w:ascii="Times New Roman" w:eastAsia="Times New Roman" w:hAnsi="Times New Roman"/>
                <w:lang w:val="es-CL"/>
              </w:rPr>
            </w:pPr>
            <w:r>
              <w:rPr>
                <w:rFonts w:ascii="Times New Roman" w:eastAsia="Times New Roman" w:hAnsi="Times New Roman"/>
                <w:lang w:val="es-CL"/>
              </w:rPr>
              <w:lastRenderedPageBreak/>
              <w:t>(98 ítems en total)</w:t>
            </w:r>
          </w:p>
        </w:tc>
        <w:tc>
          <w:tcPr>
            <w:tcW w:w="2083" w:type="dxa"/>
            <w:shd w:val="clear" w:color="auto" w:fill="FFFFFF" w:themeFill="background1"/>
          </w:tcPr>
          <w:p w14:paraId="6AF0F7D4" w14:textId="77777777" w:rsidR="00B14CF0" w:rsidRDefault="00937578" w:rsidP="00C20912">
            <w:pPr>
              <w:tabs>
                <w:tab w:val="center" w:pos="61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s-CL" w:eastAsia="ar-SA"/>
              </w:rPr>
            </w:pPr>
            <w:r>
              <w:rPr>
                <w:rFonts w:ascii="Times New Roman" w:eastAsia="Times New Roman" w:hAnsi="Times New Roman"/>
                <w:lang w:val="es-CL" w:eastAsia="ar-SA"/>
              </w:rPr>
              <w:lastRenderedPageBreak/>
              <w:t xml:space="preserve">66, 68, 70, 71, 74, 76, 77, 79, 81, 82, 83, 85, 127, 136, 140, 131, </w:t>
            </w:r>
            <w:r>
              <w:rPr>
                <w:rFonts w:ascii="Times New Roman" w:eastAsia="Times New Roman" w:hAnsi="Times New Roman"/>
                <w:lang w:val="es-CL" w:eastAsia="ar-SA"/>
              </w:rPr>
              <w:lastRenderedPageBreak/>
              <w:t>149, 151, 159, 164, 166, 168, 172, 177, 180, 188, 199, 133, 155, 157, 165, 171, 182, 190, 193, 194</w:t>
            </w:r>
          </w:p>
        </w:tc>
        <w:tc>
          <w:tcPr>
            <w:tcW w:w="2409" w:type="dxa"/>
            <w:shd w:val="clear" w:color="auto" w:fill="FFFFFF" w:themeFill="background1"/>
          </w:tcPr>
          <w:p w14:paraId="39607893" w14:textId="77777777" w:rsidR="00B14CF0" w:rsidRDefault="00937578" w:rsidP="00C20912">
            <w:pPr>
              <w:tabs>
                <w:tab w:val="center" w:pos="61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lang w:val="en-US" w:eastAsia="ar-SA"/>
              </w:rPr>
            </w:pPr>
            <w:r>
              <w:rPr>
                <w:rFonts w:ascii="Times New Roman" w:eastAsia="Times New Roman" w:hAnsi="Times New Roman"/>
                <w:color w:val="000000" w:themeColor="text1"/>
                <w:lang w:val="en-US" w:eastAsia="ar-SA"/>
              </w:rPr>
              <w:lastRenderedPageBreak/>
              <w:t xml:space="preserve">1, 2, 4, 6, 7, 8, 9, 10, 11, 14, 26, 29, 36, 37, 38, 42, 43, 44, 45, 46, 47, 48, 49, 51, </w:t>
            </w:r>
            <w:r>
              <w:rPr>
                <w:rFonts w:ascii="Times New Roman" w:eastAsia="Times New Roman" w:hAnsi="Times New Roman"/>
                <w:color w:val="000000" w:themeColor="text1"/>
                <w:lang w:val="en-US" w:eastAsia="ar-SA"/>
              </w:rPr>
              <w:lastRenderedPageBreak/>
              <w:t>52, 53, 55, 56, 57, 61, 63, 88, 89, 90, 91, 92, 99, 103, 105, 106, 111, 115, 118, 124, 128, 130, 137, 132, 134, 148, 154, 158, 174, 183, 184, 192, 195, 197, 198</w:t>
            </w:r>
          </w:p>
        </w:tc>
        <w:tc>
          <w:tcPr>
            <w:tcW w:w="1799" w:type="dxa"/>
            <w:shd w:val="clear" w:color="auto" w:fill="FFFFFF" w:themeFill="background1"/>
          </w:tcPr>
          <w:p w14:paraId="44FE8348" w14:textId="77777777" w:rsidR="00B14CF0" w:rsidRDefault="00937578" w:rsidP="00C20912">
            <w:pPr>
              <w:tabs>
                <w:tab w:val="center" w:pos="61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n-US" w:eastAsia="ar-SA"/>
              </w:rPr>
            </w:pPr>
            <w:r>
              <w:rPr>
                <w:rFonts w:ascii="Times New Roman" w:eastAsia="Times New Roman" w:hAnsi="Times New Roman"/>
                <w:lang w:val="en-US" w:eastAsia="ar-SA"/>
              </w:rPr>
              <w:lastRenderedPageBreak/>
              <w:t xml:space="preserve"> 95, 98, 100 </w:t>
            </w:r>
          </w:p>
          <w:p w14:paraId="72FF3FDD" w14:textId="77777777" w:rsidR="00B14CF0" w:rsidRDefault="00937578" w:rsidP="00C20912">
            <w:pPr>
              <w:tabs>
                <w:tab w:val="center" w:pos="61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n-US" w:eastAsia="ar-SA"/>
              </w:rPr>
            </w:pPr>
            <w:r>
              <w:rPr>
                <w:rFonts w:ascii="Times New Roman" w:eastAsia="Times New Roman" w:hAnsi="Times New Roman"/>
                <w:lang w:val="en-US" w:eastAsia="ar-SA"/>
              </w:rPr>
              <w:t xml:space="preserve"> </w:t>
            </w:r>
          </w:p>
        </w:tc>
      </w:tr>
      <w:tr w:rsidR="00B14CF0" w14:paraId="113652E6" w14:textId="77777777" w:rsidTr="00B14CF0">
        <w:trPr>
          <w:trHeight w:val="621"/>
        </w:trPr>
        <w:tc>
          <w:tcPr>
            <w:cnfStyle w:val="001000000000" w:firstRow="0" w:lastRow="0" w:firstColumn="1" w:lastColumn="0" w:oddVBand="0" w:evenVBand="0" w:oddHBand="0" w:evenHBand="0" w:firstRowFirstColumn="0" w:firstRowLastColumn="0" w:lastRowFirstColumn="0" w:lastRowLastColumn="0"/>
            <w:tcW w:w="1816" w:type="dxa"/>
            <w:shd w:val="clear" w:color="auto" w:fill="FFFFFF" w:themeFill="background1"/>
            <w:vAlign w:val="center"/>
          </w:tcPr>
          <w:p w14:paraId="0DEA050F" w14:textId="77777777" w:rsidR="00B14CF0" w:rsidRDefault="00937578" w:rsidP="00C20912">
            <w:pPr>
              <w:spacing w:line="276" w:lineRule="auto"/>
              <w:rPr>
                <w:rFonts w:ascii="Times New Roman" w:eastAsia="Times New Roman" w:hAnsi="Times New Roman"/>
                <w:lang w:val="es-CL"/>
              </w:rPr>
            </w:pPr>
            <w:r>
              <w:rPr>
                <w:rFonts w:ascii="Times New Roman" w:eastAsia="Times New Roman" w:hAnsi="Times New Roman"/>
                <w:lang w:val="es-CL"/>
              </w:rPr>
              <w:lastRenderedPageBreak/>
              <w:t>Difícil</w:t>
            </w:r>
          </w:p>
          <w:p w14:paraId="65D0D7A1" w14:textId="77777777" w:rsidR="00B14CF0" w:rsidRDefault="00937578" w:rsidP="00C20912">
            <w:pPr>
              <w:spacing w:line="276" w:lineRule="auto"/>
              <w:rPr>
                <w:rFonts w:ascii="Times New Roman" w:eastAsia="Times New Roman" w:hAnsi="Times New Roman"/>
                <w:lang w:val="es-CL"/>
              </w:rPr>
            </w:pPr>
            <w:r>
              <w:rPr>
                <w:rFonts w:ascii="Times New Roman" w:eastAsia="Times New Roman" w:hAnsi="Times New Roman"/>
                <w:lang w:val="es-CL"/>
              </w:rPr>
              <w:t xml:space="preserve">(0 - .49) </w:t>
            </w:r>
          </w:p>
          <w:p w14:paraId="17ED2AC2" w14:textId="77777777" w:rsidR="00B14CF0" w:rsidRDefault="00B14CF0" w:rsidP="00C20912">
            <w:pPr>
              <w:spacing w:line="276" w:lineRule="auto"/>
              <w:rPr>
                <w:rFonts w:ascii="Times New Roman" w:eastAsia="Times New Roman" w:hAnsi="Times New Roman"/>
                <w:lang w:val="es-CL"/>
              </w:rPr>
            </w:pPr>
          </w:p>
          <w:p w14:paraId="008E2434" w14:textId="77777777" w:rsidR="00B14CF0" w:rsidRDefault="00937578" w:rsidP="00C20912">
            <w:pPr>
              <w:spacing w:line="276" w:lineRule="auto"/>
              <w:rPr>
                <w:rFonts w:ascii="Times New Roman" w:eastAsia="Times New Roman" w:hAnsi="Times New Roman"/>
                <w:lang w:val="es-CL"/>
              </w:rPr>
            </w:pPr>
            <w:r>
              <w:rPr>
                <w:rFonts w:ascii="Times New Roman" w:eastAsia="Times New Roman" w:hAnsi="Times New Roman"/>
                <w:lang w:val="es-CL"/>
              </w:rPr>
              <w:t>(47 ítems en total)</w:t>
            </w:r>
          </w:p>
        </w:tc>
        <w:tc>
          <w:tcPr>
            <w:tcW w:w="2083" w:type="dxa"/>
            <w:shd w:val="clear" w:color="auto" w:fill="FFFFFF" w:themeFill="background1"/>
          </w:tcPr>
          <w:p w14:paraId="680F9C8E" w14:textId="77777777" w:rsidR="00B14CF0" w:rsidRDefault="00937578" w:rsidP="00C20912">
            <w:pPr>
              <w:tabs>
                <w:tab w:val="center" w:pos="612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US" w:eastAsia="ar-SA"/>
              </w:rPr>
            </w:pPr>
            <w:r>
              <w:rPr>
                <w:rFonts w:ascii="Times New Roman" w:eastAsia="Times New Roman" w:hAnsi="Times New Roman"/>
                <w:lang w:val="en-US" w:eastAsia="ar-SA"/>
              </w:rPr>
              <w:t xml:space="preserve">3, 16, 126, 141, 142, 145, 146, 150, 153, 167, 170 </w:t>
            </w:r>
          </w:p>
        </w:tc>
        <w:tc>
          <w:tcPr>
            <w:tcW w:w="2409" w:type="dxa"/>
            <w:shd w:val="clear" w:color="auto" w:fill="FFFFFF" w:themeFill="background1"/>
          </w:tcPr>
          <w:p w14:paraId="39F5E03C" w14:textId="77777777" w:rsidR="00B14CF0" w:rsidRDefault="00937578" w:rsidP="00C20912">
            <w:pPr>
              <w:tabs>
                <w:tab w:val="center" w:pos="612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US" w:eastAsia="ar-SA"/>
              </w:rPr>
            </w:pPr>
            <w:r>
              <w:rPr>
                <w:rFonts w:ascii="Times New Roman" w:eastAsia="Times New Roman" w:hAnsi="Times New Roman"/>
                <w:lang w:val="en-US" w:eastAsia="ar-SA"/>
              </w:rPr>
              <w:t>5, 12, 13, 15, 17, 18, 19, 20, 27, 28, 30, 31, 33, 34, 35, 39, 40, 41, 50, 58, 75, 84, 86, 97, 104, 109, 110, 117, 123, 129, 176, 181, 185, 189</w:t>
            </w:r>
          </w:p>
        </w:tc>
        <w:tc>
          <w:tcPr>
            <w:tcW w:w="1799" w:type="dxa"/>
            <w:shd w:val="clear" w:color="auto" w:fill="FFFFFF" w:themeFill="background1"/>
          </w:tcPr>
          <w:p w14:paraId="28A82B46" w14:textId="77777777" w:rsidR="00B14CF0" w:rsidRDefault="00937578" w:rsidP="00C20912">
            <w:pPr>
              <w:tabs>
                <w:tab w:val="center" w:pos="612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US" w:eastAsia="ar-SA"/>
              </w:rPr>
            </w:pPr>
            <w:r>
              <w:rPr>
                <w:rFonts w:ascii="Times New Roman" w:eastAsia="Times New Roman" w:hAnsi="Times New Roman"/>
                <w:lang w:val="en-US" w:eastAsia="ar-SA"/>
              </w:rPr>
              <w:t xml:space="preserve"> 175, 187 </w:t>
            </w:r>
          </w:p>
          <w:p w14:paraId="5690EF39" w14:textId="77777777" w:rsidR="00B14CF0" w:rsidRDefault="00B14CF0" w:rsidP="00C20912">
            <w:pPr>
              <w:tabs>
                <w:tab w:val="center" w:pos="612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US" w:eastAsia="ar-SA"/>
              </w:rPr>
            </w:pPr>
          </w:p>
        </w:tc>
      </w:tr>
    </w:tbl>
    <w:p w14:paraId="6C16F853" w14:textId="77777777" w:rsidR="00B14CF0" w:rsidRDefault="00937578" w:rsidP="001415FC">
      <w:pPr>
        <w:keepNext/>
        <w:keepLines/>
        <w:spacing w:before="200" w:after="0" w:line="360" w:lineRule="auto"/>
        <w:jc w:val="both"/>
        <w:rPr>
          <w:rFonts w:ascii="Times New Roman" w:eastAsiaTheme="majorEastAsia" w:hAnsi="Times New Roman" w:cs="Times New Roman"/>
          <w:b/>
          <w:i/>
          <w:sz w:val="20"/>
        </w:rPr>
      </w:pPr>
      <w:r>
        <w:rPr>
          <w:rFonts w:ascii="Times New Roman" w:eastAsia="Times New Roman" w:hAnsi="Times New Roman" w:cs="Times New Roman"/>
          <w:b/>
          <w:sz w:val="20"/>
          <w:lang w:val="es-CL" w:eastAsia="ar-SA"/>
        </w:rPr>
        <w:t xml:space="preserve">Nota: </w:t>
      </w:r>
      <w:r>
        <w:rPr>
          <w:rFonts w:ascii="Times New Roman" w:eastAsia="Times New Roman" w:hAnsi="Times New Roman" w:cs="Times New Roman"/>
          <w:sz w:val="20"/>
          <w:lang w:val="es-CL" w:eastAsia="ar-SA"/>
        </w:rPr>
        <w:t>Atención selectiva (1- 20 ítems), Memoria de trabajo visual (21 – 28 ítems), Memoria de trabajo verbal (29 – 58 ítems), Contar cantidades no simbólica (59 – 68 ítems), Matrices (69 – 83 ítems), Repetir sílabas (84 – 103), Grafomotricidad (104 – 145 ítems), Compresión de cuentos (146 – 169 ítems), y Vocabulario (170 - 199).</w:t>
      </w:r>
      <w:r>
        <w:t xml:space="preserve"> </w:t>
      </w:r>
      <w:r>
        <w:rPr>
          <w:rFonts w:ascii="Times New Roman" w:hAnsi="Times New Roman" w:cs="Times New Roman"/>
          <w:sz w:val="20"/>
        </w:rPr>
        <w:t xml:space="preserve">*La clasificación se realizó </w:t>
      </w:r>
      <w:r>
        <w:rPr>
          <w:rFonts w:ascii="Times New Roman" w:eastAsia="Times New Roman" w:hAnsi="Times New Roman" w:cs="Times New Roman"/>
          <w:sz w:val="20"/>
          <w:lang w:val="es-CL" w:eastAsia="ar-SA"/>
        </w:rPr>
        <w:t xml:space="preserve">según </w:t>
      </w:r>
      <w:proofErr w:type="spellStart"/>
      <w:r>
        <w:rPr>
          <w:rFonts w:ascii="Times New Roman" w:eastAsia="Times New Roman" w:hAnsi="Times New Roman" w:cs="Times New Roman"/>
          <w:sz w:val="20"/>
          <w:lang w:val="es-CL" w:eastAsia="ar-SA"/>
        </w:rPr>
        <w:t>Ebel</w:t>
      </w:r>
      <w:proofErr w:type="spellEnd"/>
      <w:r>
        <w:rPr>
          <w:rFonts w:ascii="Times New Roman" w:eastAsia="Times New Roman" w:hAnsi="Times New Roman" w:cs="Times New Roman"/>
          <w:sz w:val="20"/>
          <w:lang w:val="es-CL" w:eastAsia="ar-SA"/>
        </w:rPr>
        <w:t xml:space="preserve"> y </w:t>
      </w:r>
      <w:proofErr w:type="spellStart"/>
      <w:r>
        <w:rPr>
          <w:rFonts w:ascii="Times New Roman" w:eastAsia="Times New Roman" w:hAnsi="Times New Roman" w:cs="Times New Roman"/>
          <w:sz w:val="20"/>
          <w:lang w:val="es-CL" w:eastAsia="ar-SA"/>
        </w:rPr>
        <w:t>Frisbie</w:t>
      </w:r>
      <w:proofErr w:type="spellEnd"/>
      <w:r>
        <w:rPr>
          <w:rFonts w:ascii="Times New Roman" w:eastAsia="Times New Roman" w:hAnsi="Times New Roman" w:cs="Times New Roman"/>
          <w:sz w:val="20"/>
          <w:lang w:val="es-CL" w:eastAsia="ar-SA"/>
        </w:rPr>
        <w:t xml:space="preserve"> (citado en </w:t>
      </w:r>
      <w:proofErr w:type="spellStart"/>
      <w:r>
        <w:rPr>
          <w:rFonts w:ascii="Times New Roman" w:eastAsia="Times New Roman" w:hAnsi="Times New Roman" w:cs="Times New Roman"/>
          <w:sz w:val="20"/>
          <w:lang w:val="es-CL" w:eastAsia="ar-SA"/>
        </w:rPr>
        <w:t>Backhoff</w:t>
      </w:r>
      <w:proofErr w:type="spellEnd"/>
      <w:r>
        <w:rPr>
          <w:rFonts w:ascii="Times New Roman" w:eastAsia="Times New Roman" w:hAnsi="Times New Roman" w:cs="Times New Roman"/>
          <w:sz w:val="20"/>
          <w:lang w:val="es-CL" w:eastAsia="ar-SA"/>
        </w:rPr>
        <w:t xml:space="preserve"> et al., 2000) y </w:t>
      </w:r>
      <w:proofErr w:type="spellStart"/>
      <w:r>
        <w:rPr>
          <w:rFonts w:ascii="Times New Roman" w:eastAsia="Times New Roman" w:hAnsi="Times New Roman" w:cs="Times New Roman"/>
          <w:sz w:val="20"/>
          <w:lang w:val="es-CL" w:eastAsia="ar-SA"/>
        </w:rPr>
        <w:t>Crocker</w:t>
      </w:r>
      <w:proofErr w:type="spellEnd"/>
      <w:r>
        <w:rPr>
          <w:rFonts w:ascii="Times New Roman" w:eastAsia="Times New Roman" w:hAnsi="Times New Roman" w:cs="Times New Roman"/>
          <w:sz w:val="20"/>
          <w:lang w:val="es-CL" w:eastAsia="ar-SA"/>
        </w:rPr>
        <w:t xml:space="preserve"> y Algina (1986).</w:t>
      </w:r>
    </w:p>
    <w:p w14:paraId="48417FE3" w14:textId="77777777" w:rsidR="00B14CF0" w:rsidRDefault="00B14CF0" w:rsidP="001415FC">
      <w:pPr>
        <w:spacing w:after="0" w:line="360" w:lineRule="auto"/>
        <w:rPr>
          <w:rFonts w:ascii="Times New Roman" w:eastAsia="Times New Roman" w:hAnsi="Times New Roman" w:cs="Times New Roman"/>
          <w:b/>
          <w:sz w:val="20"/>
          <w:lang w:val="es-CL" w:eastAsia="ar-SA"/>
        </w:rPr>
      </w:pPr>
    </w:p>
    <w:p w14:paraId="13D40B7F" w14:textId="77777777" w:rsidR="00B14CF0" w:rsidRPr="00555354" w:rsidRDefault="00937578" w:rsidP="001415FC">
      <w:pPr>
        <w:spacing w:after="0" w:line="360" w:lineRule="auto"/>
        <w:rPr>
          <w:rFonts w:ascii="Times New Roman" w:eastAsia="Times New Roman" w:hAnsi="Times New Roman" w:cs="Times New Roman"/>
          <w:b/>
          <w:sz w:val="24"/>
          <w:lang w:val="es-CL" w:eastAsia="ar-SA"/>
        </w:rPr>
      </w:pPr>
      <w:r w:rsidRPr="00555354">
        <w:rPr>
          <w:rFonts w:ascii="Times New Roman" w:eastAsia="Times New Roman" w:hAnsi="Times New Roman" w:cs="Times New Roman"/>
          <w:b/>
          <w:sz w:val="24"/>
          <w:lang w:val="es-CL" w:eastAsia="ar-SA"/>
        </w:rPr>
        <w:t xml:space="preserve">Validez de estructura interna  </w:t>
      </w:r>
    </w:p>
    <w:p w14:paraId="48C9CD6B" w14:textId="77777777" w:rsidR="00B14CF0" w:rsidRPr="00555354" w:rsidRDefault="00937578" w:rsidP="001415FC">
      <w:pPr>
        <w:spacing w:after="0" w:line="360" w:lineRule="auto"/>
        <w:ind w:firstLine="708"/>
        <w:jc w:val="both"/>
        <w:rPr>
          <w:rFonts w:ascii="Times New Roman" w:eastAsia="Times New Roman" w:hAnsi="Times New Roman" w:cs="Times New Roman"/>
          <w:sz w:val="24"/>
          <w:lang w:val="es-CL" w:eastAsia="ar-SA"/>
        </w:rPr>
      </w:pPr>
      <w:r w:rsidRPr="00555354">
        <w:rPr>
          <w:rFonts w:ascii="Times New Roman" w:eastAsia="Times New Roman" w:hAnsi="Times New Roman" w:cs="Times New Roman"/>
          <w:sz w:val="24"/>
          <w:lang w:val="es-CL" w:eastAsia="ar-SA"/>
        </w:rPr>
        <w:t xml:space="preserve">Se analizó la distribución de normalidad multivariada, a través de la estimación de los índices de la asimetría y </w:t>
      </w:r>
      <w:proofErr w:type="spellStart"/>
      <w:r w:rsidRPr="00555354">
        <w:rPr>
          <w:rFonts w:ascii="Times New Roman" w:eastAsia="Times New Roman" w:hAnsi="Times New Roman" w:cs="Times New Roman"/>
          <w:sz w:val="24"/>
          <w:lang w:val="es-CL" w:eastAsia="ar-SA"/>
        </w:rPr>
        <w:t>curtosis</w:t>
      </w:r>
      <w:proofErr w:type="spellEnd"/>
      <w:r w:rsidRPr="00555354">
        <w:rPr>
          <w:rFonts w:ascii="Times New Roman" w:eastAsia="Times New Roman" w:hAnsi="Times New Roman" w:cs="Times New Roman"/>
          <w:sz w:val="24"/>
          <w:lang w:val="es-CL" w:eastAsia="ar-SA"/>
        </w:rPr>
        <w:t>, se confirma el cumplimiento del supuesto de normalidad cuando los puntajes de los índices se encuentran dentro del umbral ± 1,5 (Cuadras, 2016) (Tabla 4). La prueba KMO indicó que los datos pueden someterse a un análisis de factores (KMO = .81).</w:t>
      </w:r>
    </w:p>
    <w:p w14:paraId="00DA6A40" w14:textId="77777777" w:rsidR="00B14CF0" w:rsidRPr="00555354" w:rsidRDefault="00937578" w:rsidP="001415FC">
      <w:pPr>
        <w:spacing w:after="0" w:line="360" w:lineRule="auto"/>
        <w:rPr>
          <w:rFonts w:ascii="Times New Roman" w:eastAsia="Calibri" w:hAnsi="Times New Roman" w:cs="Times New Roman"/>
          <w:sz w:val="20"/>
        </w:rPr>
      </w:pPr>
      <w:r w:rsidRPr="00555354">
        <w:rPr>
          <w:rFonts w:ascii="Times New Roman" w:eastAsia="Calibri" w:hAnsi="Times New Roman" w:cs="Times New Roman"/>
          <w:b/>
          <w:sz w:val="20"/>
        </w:rPr>
        <w:t>Tabla 4</w:t>
      </w:r>
      <w:r w:rsidRPr="00555354">
        <w:rPr>
          <w:rFonts w:ascii="Times New Roman" w:eastAsia="Calibri" w:hAnsi="Times New Roman" w:cs="Times New Roman"/>
          <w:sz w:val="20"/>
        </w:rPr>
        <w:t xml:space="preserve">. </w:t>
      </w:r>
    </w:p>
    <w:p w14:paraId="562ACDB3" w14:textId="77777777" w:rsidR="00B14CF0" w:rsidRPr="00555354" w:rsidRDefault="00937578" w:rsidP="001415FC">
      <w:pPr>
        <w:spacing w:after="0" w:line="360" w:lineRule="auto"/>
        <w:rPr>
          <w:rFonts w:ascii="Times New Roman" w:eastAsia="Calibri" w:hAnsi="Times New Roman" w:cs="Times New Roman"/>
          <w:i/>
          <w:sz w:val="20"/>
        </w:rPr>
      </w:pPr>
      <w:r w:rsidRPr="00555354">
        <w:rPr>
          <w:rFonts w:ascii="Times New Roman" w:eastAsia="Calibri" w:hAnsi="Times New Roman" w:cs="Times New Roman"/>
          <w:i/>
          <w:sz w:val="20"/>
        </w:rPr>
        <w:t xml:space="preserve">Estadística descripción de la B-PREA-R. 9 </w:t>
      </w:r>
      <w:proofErr w:type="spellStart"/>
      <w:r w:rsidRPr="00555354">
        <w:rPr>
          <w:rFonts w:ascii="Times New Roman" w:eastAsia="Calibri" w:hAnsi="Times New Roman" w:cs="Times New Roman"/>
          <w:i/>
          <w:sz w:val="20"/>
        </w:rPr>
        <w:t>subtests</w:t>
      </w:r>
      <w:proofErr w:type="spellEnd"/>
      <w:r w:rsidRPr="00555354">
        <w:rPr>
          <w:rFonts w:ascii="Times New Roman" w:eastAsia="Calibri" w:hAnsi="Times New Roman" w:cs="Times New Roman"/>
          <w:i/>
          <w:sz w:val="20"/>
        </w:rPr>
        <w:t xml:space="preserve"> con 199 ítems.</w:t>
      </w:r>
    </w:p>
    <w:tbl>
      <w:tblPr>
        <w:tblStyle w:val="Tablanormal3"/>
        <w:tblW w:w="0" w:type="auto"/>
        <w:shd w:val="clear" w:color="auto" w:fill="FFFFFF" w:themeFill="background1"/>
        <w:tblLook w:val="0000" w:firstRow="0" w:lastRow="0" w:firstColumn="0" w:lastColumn="0" w:noHBand="0" w:noVBand="0"/>
      </w:tblPr>
      <w:tblGrid>
        <w:gridCol w:w="2930"/>
        <w:gridCol w:w="981"/>
        <w:gridCol w:w="1014"/>
        <w:gridCol w:w="847"/>
        <w:gridCol w:w="1303"/>
        <w:gridCol w:w="1003"/>
      </w:tblGrid>
      <w:tr w:rsidR="00555354" w:rsidRPr="00555354" w14:paraId="5C8A2359" w14:textId="77777777" w:rsidTr="00B14CF0">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930" w:type="dxa"/>
            <w:tcBorders>
              <w:top w:val="single" w:sz="4" w:space="0" w:color="auto"/>
              <w:bottom w:val="single" w:sz="4" w:space="0" w:color="auto"/>
            </w:tcBorders>
            <w:shd w:val="clear" w:color="auto" w:fill="FFFFFF" w:themeFill="background1"/>
          </w:tcPr>
          <w:p w14:paraId="43222B90" w14:textId="77777777" w:rsidR="00B14CF0" w:rsidRPr="00555354" w:rsidRDefault="00B14CF0" w:rsidP="00C20912">
            <w:pPr>
              <w:spacing w:line="360" w:lineRule="auto"/>
              <w:rPr>
                <w:rFonts w:ascii="Times New Roman" w:hAnsi="Times New Roman" w:cs="Times New Roman"/>
                <w:sz w:val="20"/>
              </w:rPr>
            </w:pPr>
          </w:p>
        </w:tc>
        <w:tc>
          <w:tcPr>
            <w:tcW w:w="981" w:type="dxa"/>
            <w:tcBorders>
              <w:top w:val="single" w:sz="4" w:space="0" w:color="auto"/>
              <w:bottom w:val="single" w:sz="4" w:space="0" w:color="auto"/>
            </w:tcBorders>
            <w:shd w:val="clear" w:color="auto" w:fill="FFFFFF" w:themeFill="background1"/>
          </w:tcPr>
          <w:p w14:paraId="10EE08F5" w14:textId="77777777" w:rsidR="00B14CF0" w:rsidRPr="00555354" w:rsidRDefault="00B14CF0"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1014" w:type="dxa"/>
            <w:tcBorders>
              <w:top w:val="single" w:sz="4" w:space="0" w:color="auto"/>
              <w:bottom w:val="single" w:sz="4" w:space="0" w:color="auto"/>
            </w:tcBorders>
            <w:shd w:val="clear" w:color="auto" w:fill="FFFFFF" w:themeFill="background1"/>
          </w:tcPr>
          <w:p w14:paraId="16DA6A16" w14:textId="77777777" w:rsidR="00B14CF0" w:rsidRPr="00555354" w:rsidRDefault="00B14CF0" w:rsidP="00C20912">
            <w:pPr>
              <w:spacing w:line="360" w:lineRule="auto"/>
              <w:ind w:left="60" w:right="60"/>
              <w:jc w:val="center"/>
              <w:rPr>
                <w:rFonts w:ascii="Times New Roman" w:hAnsi="Times New Roman" w:cs="Times New Roman"/>
                <w:sz w:val="20"/>
              </w:rPr>
            </w:pPr>
          </w:p>
        </w:tc>
        <w:tc>
          <w:tcPr>
            <w:tcW w:w="847" w:type="dxa"/>
            <w:tcBorders>
              <w:top w:val="single" w:sz="4" w:space="0" w:color="auto"/>
              <w:bottom w:val="single" w:sz="4" w:space="0" w:color="auto"/>
            </w:tcBorders>
            <w:shd w:val="clear" w:color="auto" w:fill="FFFFFF" w:themeFill="background1"/>
          </w:tcPr>
          <w:p w14:paraId="5424819E" w14:textId="77777777" w:rsidR="00B14CF0" w:rsidRPr="00555354" w:rsidRDefault="00B14CF0"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cnfStyle w:val="000010000000" w:firstRow="0" w:lastRow="0" w:firstColumn="0" w:lastColumn="0" w:oddVBand="1" w:evenVBand="0" w:oddHBand="0" w:evenHBand="0" w:firstRowFirstColumn="0" w:firstRowLastColumn="0" w:lastRowFirstColumn="0" w:lastRowLastColumn="0"/>
            <w:tcW w:w="1303" w:type="dxa"/>
            <w:tcBorders>
              <w:top w:val="single" w:sz="4" w:space="0" w:color="auto"/>
              <w:bottom w:val="single" w:sz="4" w:space="0" w:color="auto"/>
            </w:tcBorders>
            <w:shd w:val="clear" w:color="auto" w:fill="FFFFFF" w:themeFill="background1"/>
          </w:tcPr>
          <w:p w14:paraId="178D6A02" w14:textId="77777777" w:rsidR="00B14CF0" w:rsidRPr="00555354" w:rsidRDefault="00B14CF0" w:rsidP="00C20912">
            <w:pPr>
              <w:spacing w:line="360" w:lineRule="auto"/>
              <w:ind w:left="60" w:right="60"/>
              <w:jc w:val="center"/>
              <w:rPr>
                <w:rFonts w:ascii="Times New Roman" w:hAnsi="Times New Roman" w:cs="Times New Roman"/>
                <w:sz w:val="20"/>
              </w:rPr>
            </w:pPr>
          </w:p>
        </w:tc>
        <w:tc>
          <w:tcPr>
            <w:tcW w:w="1003" w:type="dxa"/>
            <w:tcBorders>
              <w:top w:val="single" w:sz="4" w:space="0" w:color="auto"/>
              <w:bottom w:val="single" w:sz="4" w:space="0" w:color="auto"/>
            </w:tcBorders>
            <w:shd w:val="clear" w:color="auto" w:fill="FFFFFF" w:themeFill="background1"/>
          </w:tcPr>
          <w:p w14:paraId="27289FE0" w14:textId="77777777" w:rsidR="00B14CF0" w:rsidRPr="00555354" w:rsidRDefault="00B14CF0"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555354" w:rsidRPr="00555354" w14:paraId="7C27FF10" w14:textId="77777777" w:rsidTr="00B14CF0">
        <w:trPr>
          <w:trHeight w:val="400"/>
        </w:trPr>
        <w:tc>
          <w:tcPr>
            <w:cnfStyle w:val="000010000000" w:firstRow="0" w:lastRow="0" w:firstColumn="0" w:lastColumn="0" w:oddVBand="1" w:evenVBand="0" w:oddHBand="0" w:evenHBand="0" w:firstRowFirstColumn="0" w:firstRowLastColumn="0" w:lastRowFirstColumn="0" w:lastRowLastColumn="0"/>
            <w:tcW w:w="2930" w:type="dxa"/>
            <w:tcBorders>
              <w:top w:val="single" w:sz="4" w:space="0" w:color="auto"/>
              <w:bottom w:val="single" w:sz="4" w:space="0" w:color="auto"/>
            </w:tcBorders>
            <w:shd w:val="clear" w:color="auto" w:fill="FFFFFF" w:themeFill="background1"/>
          </w:tcPr>
          <w:p w14:paraId="3A7AF868" w14:textId="77777777" w:rsidR="00B14CF0" w:rsidRPr="00555354" w:rsidRDefault="00B14CF0" w:rsidP="00C20912">
            <w:pPr>
              <w:spacing w:line="360" w:lineRule="auto"/>
              <w:rPr>
                <w:rFonts w:ascii="Times New Roman" w:hAnsi="Times New Roman" w:cs="Times New Roman"/>
                <w:sz w:val="20"/>
              </w:rPr>
            </w:pPr>
          </w:p>
        </w:tc>
        <w:tc>
          <w:tcPr>
            <w:tcW w:w="981" w:type="dxa"/>
            <w:tcBorders>
              <w:top w:val="single" w:sz="4" w:space="0" w:color="auto"/>
              <w:bottom w:val="single" w:sz="4" w:space="0" w:color="auto"/>
            </w:tcBorders>
            <w:shd w:val="clear" w:color="auto" w:fill="FFFFFF" w:themeFill="background1"/>
          </w:tcPr>
          <w:p w14:paraId="1A9876EA"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Mínimo</w:t>
            </w:r>
          </w:p>
        </w:tc>
        <w:tc>
          <w:tcPr>
            <w:cnfStyle w:val="000010000000" w:firstRow="0" w:lastRow="0" w:firstColumn="0" w:lastColumn="0" w:oddVBand="1" w:evenVBand="0" w:oddHBand="0" w:evenHBand="0" w:firstRowFirstColumn="0" w:firstRowLastColumn="0" w:lastRowFirstColumn="0" w:lastRowLastColumn="0"/>
            <w:tcW w:w="1014" w:type="dxa"/>
            <w:tcBorders>
              <w:top w:val="single" w:sz="4" w:space="0" w:color="auto"/>
              <w:bottom w:val="single" w:sz="4" w:space="0" w:color="auto"/>
            </w:tcBorders>
            <w:shd w:val="clear" w:color="auto" w:fill="FFFFFF" w:themeFill="background1"/>
          </w:tcPr>
          <w:p w14:paraId="6616AD45"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Máximo</w:t>
            </w:r>
          </w:p>
        </w:tc>
        <w:tc>
          <w:tcPr>
            <w:tcW w:w="847" w:type="dxa"/>
            <w:tcBorders>
              <w:top w:val="single" w:sz="4" w:space="0" w:color="auto"/>
              <w:bottom w:val="single" w:sz="4" w:space="0" w:color="auto"/>
            </w:tcBorders>
            <w:shd w:val="clear" w:color="auto" w:fill="FFFFFF" w:themeFill="background1"/>
          </w:tcPr>
          <w:p w14:paraId="0F022E19"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Media</w:t>
            </w:r>
          </w:p>
        </w:tc>
        <w:tc>
          <w:tcPr>
            <w:cnfStyle w:val="000010000000" w:firstRow="0" w:lastRow="0" w:firstColumn="0" w:lastColumn="0" w:oddVBand="1" w:evenVBand="0" w:oddHBand="0" w:evenHBand="0" w:firstRowFirstColumn="0" w:firstRowLastColumn="0" w:lastRowFirstColumn="0" w:lastRowLastColumn="0"/>
            <w:tcW w:w="1303" w:type="dxa"/>
            <w:tcBorders>
              <w:top w:val="single" w:sz="4" w:space="0" w:color="auto"/>
              <w:bottom w:val="single" w:sz="4" w:space="0" w:color="auto"/>
            </w:tcBorders>
            <w:shd w:val="clear" w:color="auto" w:fill="FFFFFF" w:themeFill="background1"/>
          </w:tcPr>
          <w:p w14:paraId="61AF3C7D" w14:textId="77777777" w:rsidR="00B14CF0" w:rsidRPr="00555354" w:rsidRDefault="00937578" w:rsidP="00C20912">
            <w:pPr>
              <w:spacing w:line="360" w:lineRule="auto"/>
              <w:ind w:left="60" w:right="60"/>
              <w:jc w:val="center"/>
              <w:rPr>
                <w:rFonts w:ascii="Times New Roman" w:hAnsi="Times New Roman" w:cs="Times New Roman"/>
                <w:sz w:val="20"/>
              </w:rPr>
            </w:pPr>
            <w:proofErr w:type="spellStart"/>
            <w:r w:rsidRPr="00555354">
              <w:rPr>
                <w:rFonts w:ascii="Times New Roman" w:hAnsi="Times New Roman" w:cs="Times New Roman"/>
                <w:sz w:val="20"/>
              </w:rPr>
              <w:t>Desv</w:t>
            </w:r>
            <w:proofErr w:type="spellEnd"/>
            <w:r w:rsidRPr="00555354">
              <w:rPr>
                <w:rFonts w:ascii="Times New Roman" w:hAnsi="Times New Roman" w:cs="Times New Roman"/>
                <w:sz w:val="20"/>
              </w:rPr>
              <w:t>. Stand</w:t>
            </w:r>
          </w:p>
        </w:tc>
        <w:tc>
          <w:tcPr>
            <w:tcW w:w="1003" w:type="dxa"/>
            <w:tcBorders>
              <w:top w:val="single" w:sz="4" w:space="0" w:color="auto"/>
              <w:bottom w:val="single" w:sz="4" w:space="0" w:color="auto"/>
            </w:tcBorders>
            <w:shd w:val="clear" w:color="auto" w:fill="FFFFFF" w:themeFill="background1"/>
          </w:tcPr>
          <w:p w14:paraId="1AB06539"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555354">
              <w:rPr>
                <w:rFonts w:ascii="Times New Roman" w:hAnsi="Times New Roman" w:cs="Times New Roman"/>
                <w:sz w:val="20"/>
              </w:rPr>
              <w:t>Curtosis</w:t>
            </w:r>
            <w:proofErr w:type="spellEnd"/>
          </w:p>
        </w:tc>
      </w:tr>
      <w:tr w:rsidR="00555354" w:rsidRPr="00555354" w14:paraId="3AE6A72E" w14:textId="77777777" w:rsidTr="00B14CF0">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2930" w:type="dxa"/>
            <w:tcBorders>
              <w:top w:val="single" w:sz="4" w:space="0" w:color="auto"/>
            </w:tcBorders>
            <w:shd w:val="clear" w:color="auto" w:fill="FFFFFF" w:themeFill="background1"/>
          </w:tcPr>
          <w:p w14:paraId="25711455" w14:textId="77777777" w:rsidR="00B14CF0" w:rsidRPr="00555354" w:rsidRDefault="00937578" w:rsidP="00C20912">
            <w:pPr>
              <w:spacing w:line="360" w:lineRule="auto"/>
              <w:ind w:left="60" w:right="60"/>
              <w:rPr>
                <w:rFonts w:ascii="Times New Roman" w:hAnsi="Times New Roman" w:cs="Times New Roman"/>
                <w:sz w:val="20"/>
              </w:rPr>
            </w:pPr>
            <w:r w:rsidRPr="00555354">
              <w:rPr>
                <w:rFonts w:ascii="Times New Roman" w:hAnsi="Times New Roman" w:cs="Times New Roman"/>
                <w:sz w:val="20"/>
              </w:rPr>
              <w:t>Atención selectiva visual</w:t>
            </w:r>
          </w:p>
        </w:tc>
        <w:tc>
          <w:tcPr>
            <w:tcW w:w="981" w:type="dxa"/>
            <w:tcBorders>
              <w:top w:val="single" w:sz="4" w:space="0" w:color="auto"/>
            </w:tcBorders>
            <w:shd w:val="clear" w:color="auto" w:fill="FFFFFF" w:themeFill="background1"/>
          </w:tcPr>
          <w:p w14:paraId="7E25BCBE"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3</w:t>
            </w:r>
          </w:p>
        </w:tc>
        <w:tc>
          <w:tcPr>
            <w:cnfStyle w:val="000010000000" w:firstRow="0" w:lastRow="0" w:firstColumn="0" w:lastColumn="0" w:oddVBand="1" w:evenVBand="0" w:oddHBand="0" w:evenHBand="0" w:firstRowFirstColumn="0" w:firstRowLastColumn="0" w:lastRowFirstColumn="0" w:lastRowLastColumn="0"/>
            <w:tcW w:w="1014" w:type="dxa"/>
            <w:tcBorders>
              <w:top w:val="single" w:sz="4" w:space="0" w:color="auto"/>
            </w:tcBorders>
            <w:shd w:val="clear" w:color="auto" w:fill="FFFFFF" w:themeFill="background1"/>
          </w:tcPr>
          <w:p w14:paraId="08C6CA40"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18</w:t>
            </w:r>
          </w:p>
        </w:tc>
        <w:tc>
          <w:tcPr>
            <w:tcW w:w="847" w:type="dxa"/>
            <w:tcBorders>
              <w:top w:val="single" w:sz="4" w:space="0" w:color="auto"/>
            </w:tcBorders>
            <w:shd w:val="clear" w:color="auto" w:fill="FFFFFF" w:themeFill="background1"/>
          </w:tcPr>
          <w:p w14:paraId="4D49AB3A"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8.83</w:t>
            </w:r>
          </w:p>
        </w:tc>
        <w:tc>
          <w:tcPr>
            <w:cnfStyle w:val="000010000000" w:firstRow="0" w:lastRow="0" w:firstColumn="0" w:lastColumn="0" w:oddVBand="1" w:evenVBand="0" w:oddHBand="0" w:evenHBand="0" w:firstRowFirstColumn="0" w:firstRowLastColumn="0" w:lastRowFirstColumn="0" w:lastRowLastColumn="0"/>
            <w:tcW w:w="1303" w:type="dxa"/>
            <w:tcBorders>
              <w:top w:val="single" w:sz="4" w:space="0" w:color="auto"/>
            </w:tcBorders>
            <w:shd w:val="clear" w:color="auto" w:fill="FFFFFF" w:themeFill="background1"/>
          </w:tcPr>
          <w:p w14:paraId="1E3AAFD5"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3.20</w:t>
            </w:r>
          </w:p>
        </w:tc>
        <w:tc>
          <w:tcPr>
            <w:tcW w:w="1003" w:type="dxa"/>
            <w:tcBorders>
              <w:top w:val="single" w:sz="4" w:space="0" w:color="auto"/>
            </w:tcBorders>
            <w:shd w:val="clear" w:color="auto" w:fill="FFFFFF" w:themeFill="background1"/>
          </w:tcPr>
          <w:p w14:paraId="4C783719"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.18</w:t>
            </w:r>
          </w:p>
        </w:tc>
      </w:tr>
      <w:tr w:rsidR="00555354" w:rsidRPr="00555354" w14:paraId="64CF7718" w14:textId="77777777" w:rsidTr="00B14CF0">
        <w:trPr>
          <w:trHeight w:val="400"/>
        </w:trPr>
        <w:tc>
          <w:tcPr>
            <w:cnfStyle w:val="000010000000" w:firstRow="0" w:lastRow="0" w:firstColumn="0" w:lastColumn="0" w:oddVBand="1" w:evenVBand="0" w:oddHBand="0" w:evenHBand="0" w:firstRowFirstColumn="0" w:firstRowLastColumn="0" w:lastRowFirstColumn="0" w:lastRowLastColumn="0"/>
            <w:tcW w:w="2930" w:type="dxa"/>
            <w:shd w:val="clear" w:color="auto" w:fill="FFFFFF" w:themeFill="background1"/>
          </w:tcPr>
          <w:p w14:paraId="3DA8552C" w14:textId="77777777" w:rsidR="00B14CF0" w:rsidRPr="00555354" w:rsidRDefault="00937578" w:rsidP="00C20912">
            <w:pPr>
              <w:spacing w:line="360" w:lineRule="auto"/>
              <w:ind w:left="60" w:right="60"/>
              <w:rPr>
                <w:rFonts w:ascii="Times New Roman" w:hAnsi="Times New Roman" w:cs="Times New Roman"/>
                <w:sz w:val="20"/>
              </w:rPr>
            </w:pPr>
            <w:r w:rsidRPr="00555354">
              <w:rPr>
                <w:rFonts w:ascii="Times New Roman" w:hAnsi="Times New Roman" w:cs="Times New Roman"/>
                <w:sz w:val="20"/>
              </w:rPr>
              <w:t>Memoria de trabajo visual</w:t>
            </w:r>
          </w:p>
        </w:tc>
        <w:tc>
          <w:tcPr>
            <w:tcW w:w="981" w:type="dxa"/>
            <w:shd w:val="clear" w:color="auto" w:fill="FFFFFF" w:themeFill="background1"/>
          </w:tcPr>
          <w:p w14:paraId="7DD83B11"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2</w:t>
            </w:r>
          </w:p>
        </w:tc>
        <w:tc>
          <w:tcPr>
            <w:cnfStyle w:val="000010000000" w:firstRow="0" w:lastRow="0" w:firstColumn="0" w:lastColumn="0" w:oddVBand="1" w:evenVBand="0" w:oddHBand="0" w:evenHBand="0" w:firstRowFirstColumn="0" w:firstRowLastColumn="0" w:lastRowFirstColumn="0" w:lastRowLastColumn="0"/>
            <w:tcW w:w="1014" w:type="dxa"/>
            <w:shd w:val="clear" w:color="auto" w:fill="FFFFFF" w:themeFill="background1"/>
          </w:tcPr>
          <w:p w14:paraId="6B5F0351"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8</w:t>
            </w:r>
          </w:p>
        </w:tc>
        <w:tc>
          <w:tcPr>
            <w:tcW w:w="847" w:type="dxa"/>
            <w:shd w:val="clear" w:color="auto" w:fill="FFFFFF" w:themeFill="background1"/>
          </w:tcPr>
          <w:p w14:paraId="370F3C47"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5.63</w:t>
            </w:r>
          </w:p>
        </w:tc>
        <w:tc>
          <w:tcPr>
            <w:cnfStyle w:val="000010000000" w:firstRow="0" w:lastRow="0" w:firstColumn="0" w:lastColumn="0" w:oddVBand="1" w:evenVBand="0" w:oddHBand="0" w:evenHBand="0" w:firstRowFirstColumn="0" w:firstRowLastColumn="0" w:lastRowFirstColumn="0" w:lastRowLastColumn="0"/>
            <w:tcW w:w="1303" w:type="dxa"/>
            <w:shd w:val="clear" w:color="auto" w:fill="FFFFFF" w:themeFill="background1"/>
          </w:tcPr>
          <w:p w14:paraId="5E884163"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1.60</w:t>
            </w:r>
          </w:p>
        </w:tc>
        <w:tc>
          <w:tcPr>
            <w:tcW w:w="1003" w:type="dxa"/>
            <w:shd w:val="clear" w:color="auto" w:fill="FFFFFF" w:themeFill="background1"/>
          </w:tcPr>
          <w:p w14:paraId="2C416BC0"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-.61</w:t>
            </w:r>
          </w:p>
        </w:tc>
      </w:tr>
      <w:tr w:rsidR="00555354" w:rsidRPr="00555354" w14:paraId="4F669C7B" w14:textId="77777777" w:rsidTr="00B14CF0">
        <w:trPr>
          <w:cnfStyle w:val="000000100000" w:firstRow="0" w:lastRow="0" w:firstColumn="0" w:lastColumn="0" w:oddVBand="0" w:evenVBand="0" w:oddHBand="1" w:evenHBand="0" w:firstRowFirstColumn="0" w:firstRowLastColumn="0" w:lastRowFirstColumn="0" w:lastRowLastColumn="0"/>
          <w:trHeight w:val="393"/>
        </w:trPr>
        <w:tc>
          <w:tcPr>
            <w:cnfStyle w:val="000010000000" w:firstRow="0" w:lastRow="0" w:firstColumn="0" w:lastColumn="0" w:oddVBand="1" w:evenVBand="0" w:oddHBand="0" w:evenHBand="0" w:firstRowFirstColumn="0" w:firstRowLastColumn="0" w:lastRowFirstColumn="0" w:lastRowLastColumn="0"/>
            <w:tcW w:w="2930" w:type="dxa"/>
            <w:shd w:val="clear" w:color="auto" w:fill="FFFFFF" w:themeFill="background1"/>
          </w:tcPr>
          <w:p w14:paraId="0618C577" w14:textId="77777777" w:rsidR="00B14CF0" w:rsidRPr="00555354" w:rsidRDefault="00937578" w:rsidP="00C20912">
            <w:pPr>
              <w:spacing w:line="360" w:lineRule="auto"/>
              <w:ind w:left="60" w:right="60"/>
              <w:rPr>
                <w:rFonts w:ascii="Times New Roman" w:hAnsi="Times New Roman" w:cs="Times New Roman"/>
                <w:sz w:val="20"/>
              </w:rPr>
            </w:pPr>
            <w:r w:rsidRPr="00555354">
              <w:rPr>
                <w:rFonts w:ascii="Times New Roman" w:hAnsi="Times New Roman" w:cs="Times New Roman"/>
                <w:sz w:val="20"/>
              </w:rPr>
              <w:t xml:space="preserve">Memoria de trabajo verbal </w:t>
            </w:r>
          </w:p>
        </w:tc>
        <w:tc>
          <w:tcPr>
            <w:tcW w:w="981" w:type="dxa"/>
            <w:shd w:val="clear" w:color="auto" w:fill="FFFFFF" w:themeFill="background1"/>
          </w:tcPr>
          <w:p w14:paraId="7F5C0F5D"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9</w:t>
            </w:r>
          </w:p>
        </w:tc>
        <w:tc>
          <w:tcPr>
            <w:cnfStyle w:val="000010000000" w:firstRow="0" w:lastRow="0" w:firstColumn="0" w:lastColumn="0" w:oddVBand="1" w:evenVBand="0" w:oddHBand="0" w:evenHBand="0" w:firstRowFirstColumn="0" w:firstRowLastColumn="0" w:lastRowFirstColumn="0" w:lastRowLastColumn="0"/>
            <w:tcW w:w="1014" w:type="dxa"/>
            <w:shd w:val="clear" w:color="auto" w:fill="FFFFFF" w:themeFill="background1"/>
          </w:tcPr>
          <w:p w14:paraId="09C65847"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25</w:t>
            </w:r>
          </w:p>
        </w:tc>
        <w:tc>
          <w:tcPr>
            <w:tcW w:w="847" w:type="dxa"/>
            <w:shd w:val="clear" w:color="auto" w:fill="FFFFFF" w:themeFill="background1"/>
          </w:tcPr>
          <w:p w14:paraId="19354814"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16.70</w:t>
            </w:r>
          </w:p>
        </w:tc>
        <w:tc>
          <w:tcPr>
            <w:cnfStyle w:val="000010000000" w:firstRow="0" w:lastRow="0" w:firstColumn="0" w:lastColumn="0" w:oddVBand="1" w:evenVBand="0" w:oddHBand="0" w:evenHBand="0" w:firstRowFirstColumn="0" w:firstRowLastColumn="0" w:lastRowFirstColumn="0" w:lastRowLastColumn="0"/>
            <w:tcW w:w="1303" w:type="dxa"/>
            <w:shd w:val="clear" w:color="auto" w:fill="FFFFFF" w:themeFill="background1"/>
          </w:tcPr>
          <w:p w14:paraId="2C1AE828"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3.77</w:t>
            </w:r>
          </w:p>
        </w:tc>
        <w:tc>
          <w:tcPr>
            <w:tcW w:w="1003" w:type="dxa"/>
            <w:shd w:val="clear" w:color="auto" w:fill="FFFFFF" w:themeFill="background1"/>
          </w:tcPr>
          <w:p w14:paraId="1F49058C"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-.78</w:t>
            </w:r>
          </w:p>
        </w:tc>
      </w:tr>
      <w:tr w:rsidR="00555354" w:rsidRPr="00555354" w14:paraId="7E75EC8B" w14:textId="77777777" w:rsidTr="00B14CF0">
        <w:trPr>
          <w:trHeight w:val="400"/>
        </w:trPr>
        <w:tc>
          <w:tcPr>
            <w:cnfStyle w:val="000010000000" w:firstRow="0" w:lastRow="0" w:firstColumn="0" w:lastColumn="0" w:oddVBand="1" w:evenVBand="0" w:oddHBand="0" w:evenHBand="0" w:firstRowFirstColumn="0" w:firstRowLastColumn="0" w:lastRowFirstColumn="0" w:lastRowLastColumn="0"/>
            <w:tcW w:w="2930" w:type="dxa"/>
            <w:shd w:val="clear" w:color="auto" w:fill="FFFFFF" w:themeFill="background1"/>
          </w:tcPr>
          <w:p w14:paraId="2E8E059C" w14:textId="77777777" w:rsidR="00B14CF0" w:rsidRPr="00555354" w:rsidRDefault="00937578" w:rsidP="00C20912">
            <w:pPr>
              <w:spacing w:line="360" w:lineRule="auto"/>
              <w:ind w:left="60" w:right="60"/>
              <w:rPr>
                <w:rFonts w:ascii="Times New Roman" w:hAnsi="Times New Roman" w:cs="Times New Roman"/>
                <w:sz w:val="20"/>
              </w:rPr>
            </w:pPr>
            <w:r w:rsidRPr="00555354">
              <w:rPr>
                <w:rFonts w:ascii="Times New Roman" w:hAnsi="Times New Roman" w:cs="Times New Roman"/>
                <w:sz w:val="20"/>
              </w:rPr>
              <w:t>Contar cantidades no simbólicas</w:t>
            </w:r>
          </w:p>
        </w:tc>
        <w:tc>
          <w:tcPr>
            <w:tcW w:w="981" w:type="dxa"/>
            <w:shd w:val="clear" w:color="auto" w:fill="FFFFFF" w:themeFill="background1"/>
          </w:tcPr>
          <w:p w14:paraId="1979ECDE"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0</w:t>
            </w:r>
          </w:p>
        </w:tc>
        <w:tc>
          <w:tcPr>
            <w:cnfStyle w:val="000010000000" w:firstRow="0" w:lastRow="0" w:firstColumn="0" w:lastColumn="0" w:oddVBand="1" w:evenVBand="0" w:oddHBand="0" w:evenHBand="0" w:firstRowFirstColumn="0" w:firstRowLastColumn="0" w:lastRowFirstColumn="0" w:lastRowLastColumn="0"/>
            <w:tcW w:w="1014" w:type="dxa"/>
            <w:shd w:val="clear" w:color="auto" w:fill="FFFFFF" w:themeFill="background1"/>
          </w:tcPr>
          <w:p w14:paraId="7580C727"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10</w:t>
            </w:r>
          </w:p>
        </w:tc>
        <w:tc>
          <w:tcPr>
            <w:tcW w:w="847" w:type="dxa"/>
            <w:shd w:val="clear" w:color="auto" w:fill="FFFFFF" w:themeFill="background1"/>
          </w:tcPr>
          <w:p w14:paraId="68652072"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7.44</w:t>
            </w:r>
          </w:p>
        </w:tc>
        <w:tc>
          <w:tcPr>
            <w:cnfStyle w:val="000010000000" w:firstRow="0" w:lastRow="0" w:firstColumn="0" w:lastColumn="0" w:oddVBand="1" w:evenVBand="0" w:oddHBand="0" w:evenHBand="0" w:firstRowFirstColumn="0" w:firstRowLastColumn="0" w:lastRowFirstColumn="0" w:lastRowLastColumn="0"/>
            <w:tcW w:w="1303" w:type="dxa"/>
            <w:shd w:val="clear" w:color="auto" w:fill="FFFFFF" w:themeFill="background1"/>
          </w:tcPr>
          <w:p w14:paraId="0A9AAA3B"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2.09</w:t>
            </w:r>
          </w:p>
        </w:tc>
        <w:tc>
          <w:tcPr>
            <w:tcW w:w="1003" w:type="dxa"/>
            <w:shd w:val="clear" w:color="auto" w:fill="FFFFFF" w:themeFill="background1"/>
          </w:tcPr>
          <w:p w14:paraId="6A8153BA"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.79</w:t>
            </w:r>
          </w:p>
        </w:tc>
      </w:tr>
      <w:tr w:rsidR="00555354" w:rsidRPr="00555354" w14:paraId="25E00AF9" w14:textId="77777777" w:rsidTr="00B14CF0">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2930" w:type="dxa"/>
            <w:shd w:val="clear" w:color="auto" w:fill="FFFFFF" w:themeFill="background1"/>
          </w:tcPr>
          <w:p w14:paraId="0D0098DE" w14:textId="77777777" w:rsidR="00B14CF0" w:rsidRPr="00555354" w:rsidRDefault="00937578" w:rsidP="00C20912">
            <w:pPr>
              <w:spacing w:line="360" w:lineRule="auto"/>
              <w:ind w:left="60" w:right="60"/>
              <w:rPr>
                <w:rFonts w:ascii="Times New Roman" w:hAnsi="Times New Roman" w:cs="Times New Roman"/>
                <w:sz w:val="20"/>
              </w:rPr>
            </w:pPr>
            <w:r w:rsidRPr="00555354">
              <w:rPr>
                <w:rFonts w:ascii="Times New Roman" w:hAnsi="Times New Roman" w:cs="Times New Roman"/>
                <w:sz w:val="20"/>
              </w:rPr>
              <w:t>Matrices</w:t>
            </w:r>
          </w:p>
        </w:tc>
        <w:tc>
          <w:tcPr>
            <w:tcW w:w="981" w:type="dxa"/>
            <w:shd w:val="clear" w:color="auto" w:fill="FFFFFF" w:themeFill="background1"/>
          </w:tcPr>
          <w:p w14:paraId="6AF5469A"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4</w:t>
            </w:r>
          </w:p>
        </w:tc>
        <w:tc>
          <w:tcPr>
            <w:cnfStyle w:val="000010000000" w:firstRow="0" w:lastRow="0" w:firstColumn="0" w:lastColumn="0" w:oddVBand="1" w:evenVBand="0" w:oddHBand="0" w:evenHBand="0" w:firstRowFirstColumn="0" w:firstRowLastColumn="0" w:lastRowFirstColumn="0" w:lastRowLastColumn="0"/>
            <w:tcW w:w="1014" w:type="dxa"/>
            <w:shd w:val="clear" w:color="auto" w:fill="FFFFFF" w:themeFill="background1"/>
          </w:tcPr>
          <w:p w14:paraId="5EA2667F"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15</w:t>
            </w:r>
          </w:p>
        </w:tc>
        <w:tc>
          <w:tcPr>
            <w:tcW w:w="847" w:type="dxa"/>
            <w:shd w:val="clear" w:color="auto" w:fill="FFFFFF" w:themeFill="background1"/>
          </w:tcPr>
          <w:p w14:paraId="17430D5A"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9.12</w:t>
            </w:r>
          </w:p>
        </w:tc>
        <w:tc>
          <w:tcPr>
            <w:cnfStyle w:val="000010000000" w:firstRow="0" w:lastRow="0" w:firstColumn="0" w:lastColumn="0" w:oddVBand="1" w:evenVBand="0" w:oddHBand="0" w:evenHBand="0" w:firstRowFirstColumn="0" w:firstRowLastColumn="0" w:lastRowFirstColumn="0" w:lastRowLastColumn="0"/>
            <w:tcW w:w="1303" w:type="dxa"/>
            <w:shd w:val="clear" w:color="auto" w:fill="FFFFFF" w:themeFill="background1"/>
          </w:tcPr>
          <w:p w14:paraId="0263E8CD"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2.19</w:t>
            </w:r>
          </w:p>
        </w:tc>
        <w:tc>
          <w:tcPr>
            <w:tcW w:w="1003" w:type="dxa"/>
            <w:shd w:val="clear" w:color="auto" w:fill="FFFFFF" w:themeFill="background1"/>
          </w:tcPr>
          <w:p w14:paraId="4DE6AF4D"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-.23</w:t>
            </w:r>
          </w:p>
        </w:tc>
      </w:tr>
      <w:tr w:rsidR="00555354" w:rsidRPr="00555354" w14:paraId="321B2A3E" w14:textId="77777777" w:rsidTr="00B14CF0">
        <w:trPr>
          <w:trHeight w:val="200"/>
        </w:trPr>
        <w:tc>
          <w:tcPr>
            <w:cnfStyle w:val="000010000000" w:firstRow="0" w:lastRow="0" w:firstColumn="0" w:lastColumn="0" w:oddVBand="1" w:evenVBand="0" w:oddHBand="0" w:evenHBand="0" w:firstRowFirstColumn="0" w:firstRowLastColumn="0" w:lastRowFirstColumn="0" w:lastRowLastColumn="0"/>
            <w:tcW w:w="2930" w:type="dxa"/>
            <w:shd w:val="clear" w:color="auto" w:fill="FFFFFF" w:themeFill="background1"/>
          </w:tcPr>
          <w:p w14:paraId="1F11AF73" w14:textId="77777777" w:rsidR="00B14CF0" w:rsidRPr="00555354" w:rsidRDefault="00937578" w:rsidP="00C20912">
            <w:pPr>
              <w:spacing w:line="360" w:lineRule="auto"/>
              <w:ind w:left="60" w:right="60"/>
              <w:rPr>
                <w:rFonts w:ascii="Times New Roman" w:hAnsi="Times New Roman" w:cs="Times New Roman"/>
                <w:sz w:val="20"/>
              </w:rPr>
            </w:pPr>
            <w:r w:rsidRPr="00555354">
              <w:rPr>
                <w:rFonts w:ascii="Times New Roman" w:hAnsi="Times New Roman" w:cs="Times New Roman"/>
                <w:sz w:val="20"/>
              </w:rPr>
              <w:t>Repetir sílabas</w:t>
            </w:r>
          </w:p>
        </w:tc>
        <w:tc>
          <w:tcPr>
            <w:tcW w:w="981" w:type="dxa"/>
            <w:shd w:val="clear" w:color="auto" w:fill="FFFFFF" w:themeFill="background1"/>
          </w:tcPr>
          <w:p w14:paraId="0484A313"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61</w:t>
            </w:r>
          </w:p>
        </w:tc>
        <w:tc>
          <w:tcPr>
            <w:cnfStyle w:val="000010000000" w:firstRow="0" w:lastRow="0" w:firstColumn="0" w:lastColumn="0" w:oddVBand="1" w:evenVBand="0" w:oddHBand="0" w:evenHBand="0" w:firstRowFirstColumn="0" w:firstRowLastColumn="0" w:lastRowFirstColumn="0" w:lastRowLastColumn="0"/>
            <w:tcW w:w="1014" w:type="dxa"/>
            <w:shd w:val="clear" w:color="auto" w:fill="FFFFFF" w:themeFill="background1"/>
          </w:tcPr>
          <w:p w14:paraId="6F70D0A3"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80</w:t>
            </w:r>
          </w:p>
        </w:tc>
        <w:tc>
          <w:tcPr>
            <w:tcW w:w="847" w:type="dxa"/>
            <w:shd w:val="clear" w:color="auto" w:fill="FFFFFF" w:themeFill="background1"/>
          </w:tcPr>
          <w:p w14:paraId="5600FB05"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73.90</w:t>
            </w:r>
          </w:p>
        </w:tc>
        <w:tc>
          <w:tcPr>
            <w:cnfStyle w:val="000010000000" w:firstRow="0" w:lastRow="0" w:firstColumn="0" w:lastColumn="0" w:oddVBand="1" w:evenVBand="0" w:oddHBand="0" w:evenHBand="0" w:firstRowFirstColumn="0" w:firstRowLastColumn="0" w:lastRowFirstColumn="0" w:lastRowLastColumn="0"/>
            <w:tcW w:w="1303" w:type="dxa"/>
            <w:shd w:val="clear" w:color="auto" w:fill="FFFFFF" w:themeFill="background1"/>
          </w:tcPr>
          <w:p w14:paraId="7EAAC7C1"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3.91</w:t>
            </w:r>
          </w:p>
        </w:tc>
        <w:tc>
          <w:tcPr>
            <w:tcW w:w="1003" w:type="dxa"/>
            <w:shd w:val="clear" w:color="auto" w:fill="FFFFFF" w:themeFill="background1"/>
          </w:tcPr>
          <w:p w14:paraId="78BE2840"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-.44</w:t>
            </w:r>
          </w:p>
        </w:tc>
      </w:tr>
      <w:tr w:rsidR="00555354" w:rsidRPr="00555354" w14:paraId="5A10E334" w14:textId="77777777" w:rsidTr="00B14CF0">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2930" w:type="dxa"/>
            <w:shd w:val="clear" w:color="auto" w:fill="FFFFFF" w:themeFill="background1"/>
          </w:tcPr>
          <w:p w14:paraId="57306443" w14:textId="77777777" w:rsidR="00B14CF0" w:rsidRPr="00555354" w:rsidRDefault="00937578" w:rsidP="00C20912">
            <w:pPr>
              <w:spacing w:line="360" w:lineRule="auto"/>
              <w:ind w:left="60" w:right="60"/>
              <w:rPr>
                <w:rFonts w:ascii="Times New Roman" w:hAnsi="Times New Roman" w:cs="Times New Roman"/>
                <w:sz w:val="20"/>
              </w:rPr>
            </w:pPr>
            <w:r w:rsidRPr="00555354">
              <w:rPr>
                <w:rFonts w:ascii="Times New Roman" w:hAnsi="Times New Roman" w:cs="Times New Roman"/>
                <w:sz w:val="20"/>
              </w:rPr>
              <w:t>Grafomotricidad</w:t>
            </w:r>
          </w:p>
        </w:tc>
        <w:tc>
          <w:tcPr>
            <w:tcW w:w="981" w:type="dxa"/>
            <w:shd w:val="clear" w:color="auto" w:fill="FFFFFF" w:themeFill="background1"/>
          </w:tcPr>
          <w:p w14:paraId="76835313"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8</w:t>
            </w:r>
          </w:p>
        </w:tc>
        <w:tc>
          <w:tcPr>
            <w:cnfStyle w:val="000010000000" w:firstRow="0" w:lastRow="0" w:firstColumn="0" w:lastColumn="0" w:oddVBand="1" w:evenVBand="0" w:oddHBand="0" w:evenHBand="0" w:firstRowFirstColumn="0" w:firstRowLastColumn="0" w:lastRowFirstColumn="0" w:lastRowLastColumn="0"/>
            <w:tcW w:w="1014" w:type="dxa"/>
            <w:shd w:val="clear" w:color="auto" w:fill="FFFFFF" w:themeFill="background1"/>
          </w:tcPr>
          <w:p w14:paraId="2716FFF5"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40</w:t>
            </w:r>
          </w:p>
        </w:tc>
        <w:tc>
          <w:tcPr>
            <w:tcW w:w="847" w:type="dxa"/>
            <w:shd w:val="clear" w:color="auto" w:fill="FFFFFF" w:themeFill="background1"/>
          </w:tcPr>
          <w:p w14:paraId="38661DD1"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23.54</w:t>
            </w:r>
          </w:p>
        </w:tc>
        <w:tc>
          <w:tcPr>
            <w:cnfStyle w:val="000010000000" w:firstRow="0" w:lastRow="0" w:firstColumn="0" w:lastColumn="0" w:oddVBand="1" w:evenVBand="0" w:oddHBand="0" w:evenHBand="0" w:firstRowFirstColumn="0" w:firstRowLastColumn="0" w:lastRowFirstColumn="0" w:lastRowLastColumn="0"/>
            <w:tcW w:w="1303" w:type="dxa"/>
            <w:shd w:val="clear" w:color="auto" w:fill="FFFFFF" w:themeFill="background1"/>
          </w:tcPr>
          <w:p w14:paraId="40929D2A"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8.22</w:t>
            </w:r>
          </w:p>
        </w:tc>
        <w:tc>
          <w:tcPr>
            <w:tcW w:w="1003" w:type="dxa"/>
            <w:shd w:val="clear" w:color="auto" w:fill="FFFFFF" w:themeFill="background1"/>
          </w:tcPr>
          <w:p w14:paraId="53A41D9D"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-1.15</w:t>
            </w:r>
          </w:p>
        </w:tc>
      </w:tr>
      <w:tr w:rsidR="00555354" w:rsidRPr="00555354" w14:paraId="09993269" w14:textId="77777777" w:rsidTr="00B14CF0">
        <w:trPr>
          <w:trHeight w:val="200"/>
        </w:trPr>
        <w:tc>
          <w:tcPr>
            <w:cnfStyle w:val="000010000000" w:firstRow="0" w:lastRow="0" w:firstColumn="0" w:lastColumn="0" w:oddVBand="1" w:evenVBand="0" w:oddHBand="0" w:evenHBand="0" w:firstRowFirstColumn="0" w:firstRowLastColumn="0" w:lastRowFirstColumn="0" w:lastRowLastColumn="0"/>
            <w:tcW w:w="2930" w:type="dxa"/>
            <w:shd w:val="clear" w:color="auto" w:fill="FFFFFF" w:themeFill="background1"/>
          </w:tcPr>
          <w:p w14:paraId="54E9338E" w14:textId="77777777" w:rsidR="00B14CF0" w:rsidRPr="00555354" w:rsidRDefault="00937578" w:rsidP="00C20912">
            <w:pPr>
              <w:spacing w:line="360" w:lineRule="auto"/>
              <w:ind w:left="60" w:right="60"/>
              <w:rPr>
                <w:rFonts w:ascii="Times New Roman" w:hAnsi="Times New Roman" w:cs="Times New Roman"/>
                <w:sz w:val="20"/>
              </w:rPr>
            </w:pPr>
            <w:r w:rsidRPr="00555354">
              <w:rPr>
                <w:rFonts w:ascii="Times New Roman" w:hAnsi="Times New Roman" w:cs="Times New Roman"/>
                <w:sz w:val="20"/>
              </w:rPr>
              <w:t>Compresión de cuentos</w:t>
            </w:r>
          </w:p>
        </w:tc>
        <w:tc>
          <w:tcPr>
            <w:tcW w:w="981" w:type="dxa"/>
            <w:shd w:val="clear" w:color="auto" w:fill="FFFFFF" w:themeFill="background1"/>
          </w:tcPr>
          <w:p w14:paraId="116BBD7C"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6</w:t>
            </w:r>
          </w:p>
        </w:tc>
        <w:tc>
          <w:tcPr>
            <w:cnfStyle w:val="000010000000" w:firstRow="0" w:lastRow="0" w:firstColumn="0" w:lastColumn="0" w:oddVBand="1" w:evenVBand="0" w:oddHBand="0" w:evenHBand="0" w:firstRowFirstColumn="0" w:firstRowLastColumn="0" w:lastRowFirstColumn="0" w:lastRowLastColumn="0"/>
            <w:tcW w:w="1014" w:type="dxa"/>
            <w:shd w:val="clear" w:color="auto" w:fill="FFFFFF" w:themeFill="background1"/>
          </w:tcPr>
          <w:p w14:paraId="6D50EAED"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24</w:t>
            </w:r>
          </w:p>
        </w:tc>
        <w:tc>
          <w:tcPr>
            <w:tcW w:w="847" w:type="dxa"/>
            <w:shd w:val="clear" w:color="auto" w:fill="FFFFFF" w:themeFill="background1"/>
          </w:tcPr>
          <w:p w14:paraId="54517EBB"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13.16</w:t>
            </w:r>
          </w:p>
        </w:tc>
        <w:tc>
          <w:tcPr>
            <w:cnfStyle w:val="000010000000" w:firstRow="0" w:lastRow="0" w:firstColumn="0" w:lastColumn="0" w:oddVBand="1" w:evenVBand="0" w:oddHBand="0" w:evenHBand="0" w:firstRowFirstColumn="0" w:firstRowLastColumn="0" w:lastRowFirstColumn="0" w:lastRowLastColumn="0"/>
            <w:tcW w:w="1303" w:type="dxa"/>
            <w:shd w:val="clear" w:color="auto" w:fill="FFFFFF" w:themeFill="background1"/>
          </w:tcPr>
          <w:p w14:paraId="5577B6DB"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4.68</w:t>
            </w:r>
          </w:p>
        </w:tc>
        <w:tc>
          <w:tcPr>
            <w:tcW w:w="1003" w:type="dxa"/>
            <w:shd w:val="clear" w:color="auto" w:fill="FFFFFF" w:themeFill="background1"/>
          </w:tcPr>
          <w:p w14:paraId="6CAED11D" w14:textId="77777777" w:rsidR="00B14CF0" w:rsidRPr="00555354" w:rsidRDefault="00937578" w:rsidP="00C20912">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-.94</w:t>
            </w:r>
          </w:p>
        </w:tc>
      </w:tr>
      <w:tr w:rsidR="00555354" w:rsidRPr="00555354" w14:paraId="68D0B2E7" w14:textId="77777777" w:rsidTr="00B14CF0">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2930" w:type="dxa"/>
            <w:tcBorders>
              <w:bottom w:val="single" w:sz="4" w:space="0" w:color="auto"/>
            </w:tcBorders>
            <w:shd w:val="clear" w:color="auto" w:fill="FFFFFF" w:themeFill="background1"/>
          </w:tcPr>
          <w:p w14:paraId="552F96C6" w14:textId="77777777" w:rsidR="00B14CF0" w:rsidRPr="00555354" w:rsidRDefault="00937578" w:rsidP="00C20912">
            <w:pPr>
              <w:spacing w:line="360" w:lineRule="auto"/>
              <w:ind w:left="60" w:right="60"/>
              <w:rPr>
                <w:rFonts w:ascii="Times New Roman" w:hAnsi="Times New Roman" w:cs="Times New Roman"/>
                <w:sz w:val="20"/>
              </w:rPr>
            </w:pPr>
            <w:r w:rsidRPr="00555354">
              <w:rPr>
                <w:rFonts w:ascii="Times New Roman" w:hAnsi="Times New Roman" w:cs="Times New Roman"/>
                <w:sz w:val="20"/>
              </w:rPr>
              <w:t>Vocabulario</w:t>
            </w:r>
          </w:p>
        </w:tc>
        <w:tc>
          <w:tcPr>
            <w:tcW w:w="981" w:type="dxa"/>
            <w:tcBorders>
              <w:bottom w:val="single" w:sz="4" w:space="0" w:color="auto"/>
            </w:tcBorders>
            <w:shd w:val="clear" w:color="auto" w:fill="FFFFFF" w:themeFill="background1"/>
          </w:tcPr>
          <w:p w14:paraId="1DB7FF5A"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37</w:t>
            </w:r>
          </w:p>
        </w:tc>
        <w:tc>
          <w:tcPr>
            <w:cnfStyle w:val="000010000000" w:firstRow="0" w:lastRow="0" w:firstColumn="0" w:lastColumn="0" w:oddVBand="1" w:evenVBand="0" w:oddHBand="0" w:evenHBand="0" w:firstRowFirstColumn="0" w:firstRowLastColumn="0" w:lastRowFirstColumn="0" w:lastRowLastColumn="0"/>
            <w:tcW w:w="1014" w:type="dxa"/>
            <w:tcBorders>
              <w:bottom w:val="single" w:sz="4" w:space="0" w:color="auto"/>
            </w:tcBorders>
            <w:shd w:val="clear" w:color="auto" w:fill="FFFFFF" w:themeFill="background1"/>
          </w:tcPr>
          <w:p w14:paraId="36CBD5DF"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62</w:t>
            </w:r>
          </w:p>
        </w:tc>
        <w:tc>
          <w:tcPr>
            <w:tcW w:w="847" w:type="dxa"/>
            <w:tcBorders>
              <w:bottom w:val="single" w:sz="4" w:space="0" w:color="auto"/>
            </w:tcBorders>
            <w:shd w:val="clear" w:color="auto" w:fill="FFFFFF" w:themeFill="background1"/>
          </w:tcPr>
          <w:p w14:paraId="44D88C00"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51.20</w:t>
            </w:r>
          </w:p>
        </w:tc>
        <w:tc>
          <w:tcPr>
            <w:cnfStyle w:val="000010000000" w:firstRow="0" w:lastRow="0" w:firstColumn="0" w:lastColumn="0" w:oddVBand="1" w:evenVBand="0" w:oddHBand="0" w:evenHBand="0" w:firstRowFirstColumn="0" w:firstRowLastColumn="0" w:lastRowFirstColumn="0" w:lastRowLastColumn="0"/>
            <w:tcW w:w="1303" w:type="dxa"/>
            <w:tcBorders>
              <w:bottom w:val="single" w:sz="4" w:space="0" w:color="auto"/>
            </w:tcBorders>
            <w:shd w:val="clear" w:color="auto" w:fill="FFFFFF" w:themeFill="background1"/>
          </w:tcPr>
          <w:p w14:paraId="427FBA7C" w14:textId="77777777" w:rsidR="00B14CF0" w:rsidRPr="00555354" w:rsidRDefault="00937578" w:rsidP="00C20912">
            <w:pPr>
              <w:spacing w:line="360" w:lineRule="auto"/>
              <w:ind w:left="60" w:right="60"/>
              <w:jc w:val="center"/>
              <w:rPr>
                <w:rFonts w:ascii="Times New Roman" w:hAnsi="Times New Roman" w:cs="Times New Roman"/>
                <w:sz w:val="20"/>
              </w:rPr>
            </w:pPr>
            <w:r w:rsidRPr="00555354">
              <w:rPr>
                <w:rFonts w:ascii="Times New Roman" w:hAnsi="Times New Roman" w:cs="Times New Roman"/>
                <w:sz w:val="20"/>
              </w:rPr>
              <w:t>5.69</w:t>
            </w:r>
          </w:p>
        </w:tc>
        <w:tc>
          <w:tcPr>
            <w:tcW w:w="1003" w:type="dxa"/>
            <w:tcBorders>
              <w:bottom w:val="single" w:sz="4" w:space="0" w:color="auto"/>
            </w:tcBorders>
            <w:shd w:val="clear" w:color="auto" w:fill="FFFFFF" w:themeFill="background1"/>
          </w:tcPr>
          <w:p w14:paraId="392202C3" w14:textId="77777777" w:rsidR="00B14CF0" w:rsidRPr="00555354" w:rsidRDefault="00937578" w:rsidP="00C20912">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55354">
              <w:rPr>
                <w:rFonts w:ascii="Times New Roman" w:hAnsi="Times New Roman" w:cs="Times New Roman"/>
                <w:sz w:val="20"/>
              </w:rPr>
              <w:t>-.49</w:t>
            </w:r>
          </w:p>
        </w:tc>
      </w:tr>
    </w:tbl>
    <w:p w14:paraId="296C2D5F" w14:textId="77777777" w:rsidR="00B14CF0" w:rsidRPr="00555354" w:rsidRDefault="00B14CF0" w:rsidP="001415FC">
      <w:pPr>
        <w:spacing w:after="0" w:line="360" w:lineRule="auto"/>
        <w:jc w:val="both"/>
        <w:rPr>
          <w:rFonts w:ascii="Times New Roman" w:eastAsia="Times New Roman" w:hAnsi="Times New Roman" w:cs="Times New Roman"/>
          <w:b/>
          <w:sz w:val="24"/>
          <w:lang w:val="es-CL" w:eastAsia="ar-SA"/>
        </w:rPr>
      </w:pPr>
    </w:p>
    <w:p w14:paraId="36156D1B" w14:textId="77777777" w:rsidR="00B14CF0" w:rsidRPr="00555354" w:rsidRDefault="00937578" w:rsidP="001415FC">
      <w:pPr>
        <w:spacing w:after="0" w:line="360" w:lineRule="auto"/>
        <w:ind w:firstLine="708"/>
        <w:jc w:val="both"/>
        <w:rPr>
          <w:rFonts w:ascii="Times New Roman" w:hAnsi="Times New Roman" w:cs="Times New Roman"/>
          <w:sz w:val="24"/>
        </w:rPr>
      </w:pPr>
      <w:r w:rsidRPr="00555354">
        <w:rPr>
          <w:rFonts w:ascii="Times New Roman" w:hAnsi="Times New Roman" w:cs="Times New Roman"/>
          <w:sz w:val="24"/>
        </w:rPr>
        <w:lastRenderedPageBreak/>
        <w:t xml:space="preserve">El estudio aplicó el análisis factorial empleando el método de máxima verosimilitud con rotación </w:t>
      </w:r>
      <w:proofErr w:type="spellStart"/>
      <w:r w:rsidRPr="00555354">
        <w:rPr>
          <w:rFonts w:ascii="Times New Roman" w:hAnsi="Times New Roman" w:cs="Times New Roman"/>
          <w:sz w:val="24"/>
        </w:rPr>
        <w:t>quartimax</w:t>
      </w:r>
      <w:proofErr w:type="spellEnd"/>
      <w:r w:rsidRPr="00555354">
        <w:rPr>
          <w:rFonts w:ascii="Times New Roman" w:hAnsi="Times New Roman" w:cs="Times New Roman"/>
          <w:sz w:val="24"/>
        </w:rPr>
        <w:t>, sin embargo, el método mostró tres factores con un 47.61% de la varianza común, lo cual no cumple con el supuesto de</w:t>
      </w:r>
      <w:r w:rsidRPr="00555354">
        <w:t xml:space="preserve"> </w:t>
      </w:r>
      <w:r w:rsidRPr="00555354">
        <w:rPr>
          <w:rFonts w:ascii="Times New Roman" w:hAnsi="Times New Roman" w:cs="Times New Roman"/>
          <w:sz w:val="24"/>
        </w:rPr>
        <w:t xml:space="preserve">Cuadras (2016), cuando indica que la adecuación del análisis de factores debe explicar la varianza común mayor o igual al 60%.   </w:t>
      </w:r>
    </w:p>
    <w:p w14:paraId="6F07653F" w14:textId="77777777" w:rsidR="00B14CF0" w:rsidRPr="00555354" w:rsidRDefault="00937578" w:rsidP="001415FC">
      <w:pPr>
        <w:spacing w:after="0" w:line="360" w:lineRule="auto"/>
        <w:ind w:firstLine="708"/>
        <w:jc w:val="both"/>
        <w:rPr>
          <w:rFonts w:ascii="Times New Roman" w:eastAsia="Times New Roman" w:hAnsi="Times New Roman" w:cs="Times New Roman"/>
          <w:sz w:val="24"/>
          <w:lang w:val="es-CL" w:eastAsia="ar-SA"/>
        </w:rPr>
      </w:pPr>
      <w:r w:rsidRPr="00555354">
        <w:rPr>
          <w:rFonts w:ascii="Times New Roman" w:hAnsi="Times New Roman" w:cs="Times New Roman"/>
          <w:sz w:val="24"/>
        </w:rPr>
        <w:t xml:space="preserve">Después de estos resultados, se decidió emplear el método componente principal y con rotación </w:t>
      </w:r>
      <w:proofErr w:type="spellStart"/>
      <w:r w:rsidRPr="00555354">
        <w:rPr>
          <w:rFonts w:ascii="Times New Roman" w:hAnsi="Times New Roman" w:cs="Times New Roman"/>
          <w:sz w:val="24"/>
        </w:rPr>
        <w:t>quartimax</w:t>
      </w:r>
      <w:proofErr w:type="spellEnd"/>
      <w:r w:rsidRPr="00555354">
        <w:rPr>
          <w:rFonts w:ascii="Times New Roman" w:hAnsi="Times New Roman" w:cs="Times New Roman"/>
          <w:sz w:val="24"/>
        </w:rPr>
        <w:t xml:space="preserve">, el cual indicó que los nueve </w:t>
      </w:r>
      <w:proofErr w:type="spellStart"/>
      <w:r w:rsidRPr="00555354">
        <w:rPr>
          <w:rFonts w:ascii="Times New Roman" w:hAnsi="Times New Roman" w:cs="Times New Roman"/>
          <w:sz w:val="24"/>
        </w:rPr>
        <w:t>subtests</w:t>
      </w:r>
      <w:proofErr w:type="spellEnd"/>
      <w:r w:rsidRPr="00555354">
        <w:rPr>
          <w:rFonts w:ascii="Times New Roman" w:hAnsi="Times New Roman" w:cs="Times New Roman"/>
          <w:sz w:val="24"/>
        </w:rPr>
        <w:t xml:space="preserve"> se agrupan en tres factores y explican el 62.74% de la varianza total de la prueba (Ver Tabla 5). </w:t>
      </w:r>
      <w:r w:rsidRPr="00555354">
        <w:rPr>
          <w:rFonts w:ascii="Times New Roman" w:eastAsia="Times New Roman" w:hAnsi="Times New Roman" w:cs="Times New Roman"/>
          <w:sz w:val="24"/>
          <w:lang w:val="es-CL" w:eastAsia="ar-SA"/>
        </w:rPr>
        <w:t>El factor 1 “Habilidades Ejecutivas”, conformado por los sub-</w:t>
      </w:r>
      <w:proofErr w:type="spellStart"/>
      <w:r w:rsidRPr="00555354">
        <w:rPr>
          <w:rFonts w:ascii="Times New Roman" w:eastAsia="Times New Roman" w:hAnsi="Times New Roman" w:cs="Times New Roman"/>
          <w:sz w:val="24"/>
          <w:lang w:val="es-CL" w:eastAsia="ar-SA"/>
        </w:rPr>
        <w:t>tests</w:t>
      </w:r>
      <w:proofErr w:type="spellEnd"/>
      <w:r w:rsidRPr="00555354">
        <w:rPr>
          <w:rFonts w:ascii="Times New Roman" w:eastAsia="Times New Roman" w:hAnsi="Times New Roman" w:cs="Times New Roman"/>
          <w:sz w:val="24"/>
          <w:lang w:val="es-CL" w:eastAsia="ar-SA"/>
        </w:rPr>
        <w:t xml:space="preserve"> atención selectiva visual, matrices, comprensión de cuentos, grafomotricidad y contar cantidades, que explica el 34.69% de la varianza de B-PREA-R. El factor 2, “Habilidades de Memoria” agrupa el sub-test memoria de trabajo visual que explica el 15.30% de la varianza. Finalmente, el factor 3, “Habilidades Lingüísticas”, conformado por los sub-</w:t>
      </w:r>
      <w:proofErr w:type="spellStart"/>
      <w:r w:rsidRPr="00555354">
        <w:rPr>
          <w:rFonts w:ascii="Times New Roman" w:eastAsia="Times New Roman" w:hAnsi="Times New Roman" w:cs="Times New Roman"/>
          <w:sz w:val="24"/>
          <w:lang w:val="es-CL" w:eastAsia="ar-SA"/>
        </w:rPr>
        <w:t>tests</w:t>
      </w:r>
      <w:proofErr w:type="spellEnd"/>
      <w:r w:rsidRPr="00555354">
        <w:rPr>
          <w:rFonts w:ascii="Times New Roman" w:eastAsia="Times New Roman" w:hAnsi="Times New Roman" w:cs="Times New Roman"/>
          <w:sz w:val="24"/>
          <w:lang w:val="es-CL" w:eastAsia="ar-SA"/>
        </w:rPr>
        <w:t xml:space="preserve"> vocabulario, memoria de trabajo verbal y repetir sílabas, que explica el 12.74% de la varianza. </w:t>
      </w:r>
    </w:p>
    <w:p w14:paraId="09C403D2" w14:textId="77777777" w:rsidR="00B14CF0" w:rsidRPr="00555354" w:rsidRDefault="00B14CF0" w:rsidP="001415FC">
      <w:pPr>
        <w:spacing w:after="0" w:line="360" w:lineRule="auto"/>
        <w:rPr>
          <w:rFonts w:ascii="Times New Roman" w:eastAsia="Calibri" w:hAnsi="Times New Roman" w:cs="Times New Roman"/>
          <w:b/>
          <w:sz w:val="20"/>
          <w:lang w:val="es-CL"/>
        </w:rPr>
      </w:pPr>
    </w:p>
    <w:p w14:paraId="3FD3525A" w14:textId="77777777" w:rsidR="00B14CF0" w:rsidRPr="00555354" w:rsidRDefault="00937578" w:rsidP="001415FC">
      <w:pPr>
        <w:spacing w:after="0" w:line="360" w:lineRule="auto"/>
        <w:rPr>
          <w:rFonts w:ascii="Times New Roman" w:eastAsia="Calibri" w:hAnsi="Times New Roman" w:cs="Times New Roman"/>
          <w:b/>
          <w:sz w:val="20"/>
          <w:lang w:val="es-CL"/>
        </w:rPr>
      </w:pPr>
      <w:r w:rsidRPr="00555354">
        <w:rPr>
          <w:rFonts w:ascii="Times New Roman" w:eastAsia="Calibri" w:hAnsi="Times New Roman" w:cs="Times New Roman"/>
          <w:b/>
          <w:sz w:val="20"/>
          <w:lang w:val="es-CL"/>
        </w:rPr>
        <w:t xml:space="preserve">Tabla 5 </w:t>
      </w:r>
    </w:p>
    <w:p w14:paraId="290B0FFA" w14:textId="77777777" w:rsidR="00B14CF0" w:rsidRPr="00555354" w:rsidRDefault="00937578" w:rsidP="001415FC">
      <w:pPr>
        <w:spacing w:after="0" w:line="360" w:lineRule="auto"/>
        <w:rPr>
          <w:rFonts w:ascii="Times New Roman" w:eastAsia="Calibri" w:hAnsi="Times New Roman" w:cs="Times New Roman"/>
          <w:i/>
          <w:sz w:val="20"/>
          <w:lang w:val="es-CL"/>
        </w:rPr>
      </w:pPr>
      <w:r w:rsidRPr="00555354">
        <w:rPr>
          <w:rFonts w:ascii="Times New Roman" w:eastAsia="Calibri" w:hAnsi="Times New Roman" w:cs="Times New Roman"/>
          <w:i/>
          <w:sz w:val="20"/>
          <w:lang w:val="es-CL"/>
        </w:rPr>
        <w:t xml:space="preserve">Resultados del análisis factorial de la B-PREA-R </w:t>
      </w:r>
    </w:p>
    <w:p w14:paraId="2870B606" w14:textId="77777777" w:rsidR="00B14CF0" w:rsidRPr="00555354" w:rsidRDefault="00B14CF0" w:rsidP="001415FC">
      <w:pPr>
        <w:spacing w:after="0" w:line="360" w:lineRule="auto"/>
        <w:jc w:val="both"/>
        <w:rPr>
          <w:rFonts w:ascii="Times New Roman" w:eastAsia="Calibri" w:hAnsi="Times New Roman" w:cs="Times New Roman"/>
          <w:i/>
          <w:sz w:val="20"/>
          <w:lang w:val="es-CL"/>
        </w:rPr>
      </w:pPr>
    </w:p>
    <w:tbl>
      <w:tblPr>
        <w:tblStyle w:val="Tablanormal41"/>
        <w:tblW w:w="8632" w:type="dxa"/>
        <w:tblInd w:w="-5" w:type="dxa"/>
        <w:shd w:val="clear" w:color="auto" w:fill="FFFFFF" w:themeFill="background1"/>
        <w:tblLayout w:type="fixed"/>
        <w:tblLook w:val="04A0" w:firstRow="1" w:lastRow="0" w:firstColumn="1" w:lastColumn="0" w:noHBand="0" w:noVBand="1"/>
      </w:tblPr>
      <w:tblGrid>
        <w:gridCol w:w="2557"/>
        <w:gridCol w:w="992"/>
        <w:gridCol w:w="2421"/>
        <w:gridCol w:w="1084"/>
        <w:gridCol w:w="814"/>
        <w:gridCol w:w="764"/>
      </w:tblGrid>
      <w:tr w:rsidR="00555354" w:rsidRPr="00555354" w14:paraId="0A9BA37E" w14:textId="77777777" w:rsidTr="00B14CF0">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557" w:type="dxa"/>
            <w:vMerge w:val="restart"/>
            <w:tcBorders>
              <w:top w:val="single" w:sz="4" w:space="0" w:color="auto"/>
            </w:tcBorders>
            <w:shd w:val="clear" w:color="auto" w:fill="FFFFFF" w:themeFill="background1"/>
          </w:tcPr>
          <w:p w14:paraId="0703D39C" w14:textId="77777777" w:rsidR="00B14CF0" w:rsidRPr="00555354" w:rsidRDefault="00937578" w:rsidP="001415FC">
            <w:pPr>
              <w:spacing w:line="360" w:lineRule="auto"/>
              <w:jc w:val="center"/>
              <w:rPr>
                <w:rFonts w:ascii="Times New Roman" w:hAnsi="Times New Roman"/>
                <w:lang w:val="es-CL"/>
              </w:rPr>
            </w:pPr>
            <w:r w:rsidRPr="00555354">
              <w:rPr>
                <w:rFonts w:ascii="Times New Roman" w:hAnsi="Times New Roman"/>
                <w:lang w:val="es-CL"/>
              </w:rPr>
              <w:t>Factor</w:t>
            </w:r>
          </w:p>
        </w:tc>
        <w:tc>
          <w:tcPr>
            <w:tcW w:w="992" w:type="dxa"/>
            <w:vMerge w:val="restart"/>
            <w:tcBorders>
              <w:top w:val="single" w:sz="4" w:space="0" w:color="auto"/>
            </w:tcBorders>
            <w:shd w:val="clear" w:color="auto" w:fill="FFFFFF" w:themeFill="background1"/>
          </w:tcPr>
          <w:p w14:paraId="38D9A977" w14:textId="77777777" w:rsidR="00B14CF0" w:rsidRPr="00555354" w:rsidRDefault="00937578" w:rsidP="001415F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lang w:val="es-CL"/>
              </w:rPr>
            </w:pPr>
            <w:r w:rsidRPr="00555354">
              <w:rPr>
                <w:rFonts w:ascii="Times New Roman" w:hAnsi="Times New Roman"/>
                <w:lang w:val="es-CL"/>
              </w:rPr>
              <w:t>% de varianza</w:t>
            </w:r>
          </w:p>
        </w:tc>
        <w:tc>
          <w:tcPr>
            <w:tcW w:w="2421" w:type="dxa"/>
            <w:vMerge w:val="restart"/>
            <w:tcBorders>
              <w:top w:val="single" w:sz="4" w:space="0" w:color="auto"/>
            </w:tcBorders>
            <w:shd w:val="clear" w:color="auto" w:fill="FFFFFF" w:themeFill="background1"/>
          </w:tcPr>
          <w:p w14:paraId="11471100" w14:textId="77777777" w:rsidR="00B14CF0" w:rsidRPr="00555354" w:rsidRDefault="00937578" w:rsidP="001415F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es-CL"/>
              </w:rPr>
            </w:pPr>
            <w:proofErr w:type="spellStart"/>
            <w:r w:rsidRPr="00555354">
              <w:rPr>
                <w:rFonts w:ascii="Times New Roman" w:hAnsi="Times New Roman"/>
                <w:lang w:val="es-CL"/>
              </w:rPr>
              <w:t>Subtests</w:t>
            </w:r>
            <w:proofErr w:type="spellEnd"/>
          </w:p>
        </w:tc>
        <w:tc>
          <w:tcPr>
            <w:tcW w:w="2662" w:type="dxa"/>
            <w:gridSpan w:val="3"/>
            <w:tcBorders>
              <w:top w:val="single" w:sz="4" w:space="0" w:color="auto"/>
            </w:tcBorders>
            <w:shd w:val="clear" w:color="auto" w:fill="FFFFFF" w:themeFill="background1"/>
          </w:tcPr>
          <w:p w14:paraId="6E63ED83" w14:textId="77777777" w:rsidR="00B14CF0" w:rsidRPr="00555354" w:rsidRDefault="00937578" w:rsidP="001415F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es-CL"/>
              </w:rPr>
            </w:pPr>
            <w:r w:rsidRPr="00555354">
              <w:rPr>
                <w:rFonts w:ascii="Times New Roman" w:hAnsi="Times New Roman"/>
                <w:lang w:val="es-CL"/>
              </w:rPr>
              <w:t>Cargas factoriales</w:t>
            </w:r>
          </w:p>
        </w:tc>
      </w:tr>
      <w:tr w:rsidR="00555354" w:rsidRPr="00555354" w14:paraId="031C622E" w14:textId="77777777" w:rsidTr="00B14CF0">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557" w:type="dxa"/>
            <w:vMerge/>
            <w:tcBorders>
              <w:bottom w:val="single" w:sz="4" w:space="0" w:color="auto"/>
            </w:tcBorders>
            <w:shd w:val="clear" w:color="auto" w:fill="FFFFFF" w:themeFill="background1"/>
          </w:tcPr>
          <w:p w14:paraId="0FDBD7A4" w14:textId="77777777" w:rsidR="00B14CF0" w:rsidRPr="00555354" w:rsidRDefault="00B14CF0" w:rsidP="001415FC">
            <w:pPr>
              <w:spacing w:line="360" w:lineRule="auto"/>
              <w:jc w:val="center"/>
              <w:rPr>
                <w:rFonts w:ascii="Times New Roman" w:hAnsi="Times New Roman"/>
                <w:lang w:val="es-CL"/>
              </w:rPr>
            </w:pPr>
          </w:p>
        </w:tc>
        <w:tc>
          <w:tcPr>
            <w:tcW w:w="992" w:type="dxa"/>
            <w:vMerge/>
            <w:tcBorders>
              <w:bottom w:val="single" w:sz="4" w:space="0" w:color="auto"/>
            </w:tcBorders>
            <w:shd w:val="clear" w:color="auto" w:fill="FFFFFF" w:themeFill="background1"/>
          </w:tcPr>
          <w:p w14:paraId="7FEC7143" w14:textId="77777777" w:rsidR="00B14CF0" w:rsidRPr="00555354" w:rsidRDefault="00B14CF0" w:rsidP="001415F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s-CL"/>
              </w:rPr>
            </w:pPr>
          </w:p>
        </w:tc>
        <w:tc>
          <w:tcPr>
            <w:tcW w:w="2421" w:type="dxa"/>
            <w:vMerge/>
            <w:tcBorders>
              <w:bottom w:val="single" w:sz="4" w:space="0" w:color="auto"/>
            </w:tcBorders>
            <w:shd w:val="clear" w:color="auto" w:fill="FFFFFF" w:themeFill="background1"/>
          </w:tcPr>
          <w:p w14:paraId="2CC20A82" w14:textId="77777777" w:rsidR="00B14CF0" w:rsidRPr="00555354" w:rsidRDefault="00B14CF0"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s-CL"/>
              </w:rPr>
            </w:pPr>
          </w:p>
        </w:tc>
        <w:tc>
          <w:tcPr>
            <w:tcW w:w="1084" w:type="dxa"/>
            <w:tcBorders>
              <w:bottom w:val="single" w:sz="4" w:space="0" w:color="auto"/>
            </w:tcBorders>
            <w:shd w:val="clear" w:color="auto" w:fill="FFFFFF" w:themeFill="background1"/>
          </w:tcPr>
          <w:p w14:paraId="2B19D7BF"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s-CL"/>
              </w:rPr>
            </w:pPr>
            <w:r w:rsidRPr="00555354">
              <w:rPr>
                <w:rFonts w:ascii="Times New Roman" w:hAnsi="Times New Roman"/>
                <w:lang w:val="es-CL"/>
              </w:rPr>
              <w:t>1</w:t>
            </w:r>
          </w:p>
        </w:tc>
        <w:tc>
          <w:tcPr>
            <w:tcW w:w="814" w:type="dxa"/>
            <w:tcBorders>
              <w:bottom w:val="single" w:sz="4" w:space="0" w:color="auto"/>
            </w:tcBorders>
            <w:shd w:val="clear" w:color="auto" w:fill="FFFFFF" w:themeFill="background1"/>
          </w:tcPr>
          <w:p w14:paraId="19768EE9"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s-CL"/>
              </w:rPr>
            </w:pPr>
            <w:r w:rsidRPr="00555354">
              <w:rPr>
                <w:rFonts w:ascii="Times New Roman" w:hAnsi="Times New Roman"/>
                <w:lang w:val="es-CL"/>
              </w:rPr>
              <w:t>2</w:t>
            </w:r>
          </w:p>
        </w:tc>
        <w:tc>
          <w:tcPr>
            <w:tcW w:w="764" w:type="dxa"/>
            <w:tcBorders>
              <w:bottom w:val="single" w:sz="4" w:space="0" w:color="auto"/>
            </w:tcBorders>
            <w:shd w:val="clear" w:color="auto" w:fill="FFFFFF" w:themeFill="background1"/>
          </w:tcPr>
          <w:p w14:paraId="74552FEC"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s-CL"/>
              </w:rPr>
            </w:pPr>
            <w:r w:rsidRPr="00555354">
              <w:rPr>
                <w:rFonts w:ascii="Times New Roman" w:hAnsi="Times New Roman"/>
                <w:lang w:val="es-CL"/>
              </w:rPr>
              <w:t>3</w:t>
            </w:r>
          </w:p>
        </w:tc>
      </w:tr>
      <w:tr w:rsidR="00555354" w:rsidRPr="00555354" w14:paraId="76BC0D33" w14:textId="77777777" w:rsidTr="00B14CF0">
        <w:trPr>
          <w:trHeight w:val="259"/>
        </w:trPr>
        <w:tc>
          <w:tcPr>
            <w:cnfStyle w:val="001000000000" w:firstRow="0" w:lastRow="0" w:firstColumn="1" w:lastColumn="0" w:oddVBand="0" w:evenVBand="0" w:oddHBand="0" w:evenHBand="0" w:firstRowFirstColumn="0" w:firstRowLastColumn="0" w:lastRowFirstColumn="0" w:lastRowLastColumn="0"/>
            <w:tcW w:w="2557" w:type="dxa"/>
            <w:tcBorders>
              <w:top w:val="single" w:sz="4" w:space="0" w:color="auto"/>
            </w:tcBorders>
            <w:shd w:val="clear" w:color="auto" w:fill="FFFFFF" w:themeFill="background1"/>
          </w:tcPr>
          <w:p w14:paraId="72EF327C" w14:textId="77777777" w:rsidR="00B14CF0" w:rsidRPr="00555354" w:rsidRDefault="00937578" w:rsidP="001415FC">
            <w:pPr>
              <w:spacing w:line="360" w:lineRule="auto"/>
              <w:rPr>
                <w:rFonts w:ascii="Times New Roman" w:hAnsi="Times New Roman"/>
                <w:lang w:val="es-CL"/>
              </w:rPr>
            </w:pPr>
            <w:r w:rsidRPr="00555354">
              <w:rPr>
                <w:rFonts w:ascii="Times New Roman" w:hAnsi="Times New Roman"/>
                <w:lang w:val="es-CL"/>
              </w:rPr>
              <w:t xml:space="preserve">Habilidades Ejecutivas </w:t>
            </w:r>
          </w:p>
        </w:tc>
        <w:tc>
          <w:tcPr>
            <w:tcW w:w="992" w:type="dxa"/>
            <w:tcBorders>
              <w:top w:val="single" w:sz="4" w:space="0" w:color="auto"/>
            </w:tcBorders>
            <w:shd w:val="clear" w:color="auto" w:fill="FFFFFF" w:themeFill="background1"/>
          </w:tcPr>
          <w:p w14:paraId="5D70AC98" w14:textId="77777777" w:rsidR="00B14CF0" w:rsidRPr="00555354" w:rsidRDefault="00937578" w:rsidP="001415F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s-CL"/>
              </w:rPr>
            </w:pPr>
            <w:r w:rsidRPr="00555354">
              <w:rPr>
                <w:rFonts w:ascii="Times New Roman" w:hAnsi="Times New Roman"/>
                <w:lang w:val="es-CL"/>
              </w:rPr>
              <w:t>34.69%</w:t>
            </w:r>
          </w:p>
        </w:tc>
        <w:tc>
          <w:tcPr>
            <w:tcW w:w="2421" w:type="dxa"/>
            <w:tcBorders>
              <w:top w:val="single" w:sz="4" w:space="0" w:color="auto"/>
            </w:tcBorders>
            <w:shd w:val="clear" w:color="auto" w:fill="FFFFFF" w:themeFill="background1"/>
          </w:tcPr>
          <w:p w14:paraId="469A2334" w14:textId="77777777" w:rsidR="00B14CF0" w:rsidRPr="00555354" w:rsidRDefault="00937578" w:rsidP="001415F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Atención selectiva visual</w:t>
            </w:r>
          </w:p>
        </w:tc>
        <w:tc>
          <w:tcPr>
            <w:tcW w:w="1084" w:type="dxa"/>
            <w:tcBorders>
              <w:top w:val="single" w:sz="4" w:space="0" w:color="auto"/>
            </w:tcBorders>
            <w:shd w:val="clear" w:color="auto" w:fill="FFFFFF" w:themeFill="background1"/>
          </w:tcPr>
          <w:p w14:paraId="22454F85"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555354">
              <w:rPr>
                <w:rFonts w:ascii="Times New Roman" w:hAnsi="Times New Roman"/>
                <w:b/>
              </w:rPr>
              <w:t>,744</w:t>
            </w:r>
          </w:p>
        </w:tc>
        <w:tc>
          <w:tcPr>
            <w:tcW w:w="814" w:type="dxa"/>
            <w:tcBorders>
              <w:top w:val="single" w:sz="4" w:space="0" w:color="auto"/>
            </w:tcBorders>
            <w:shd w:val="clear" w:color="auto" w:fill="FFFFFF" w:themeFill="background1"/>
          </w:tcPr>
          <w:p w14:paraId="58085BAF"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-,059</w:t>
            </w:r>
          </w:p>
        </w:tc>
        <w:tc>
          <w:tcPr>
            <w:tcW w:w="764" w:type="dxa"/>
            <w:tcBorders>
              <w:top w:val="single" w:sz="4" w:space="0" w:color="auto"/>
            </w:tcBorders>
            <w:shd w:val="clear" w:color="auto" w:fill="FFFFFF" w:themeFill="background1"/>
          </w:tcPr>
          <w:p w14:paraId="53B23585"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,027</w:t>
            </w:r>
          </w:p>
        </w:tc>
      </w:tr>
      <w:tr w:rsidR="00555354" w:rsidRPr="00555354" w14:paraId="6F7EBF88" w14:textId="77777777" w:rsidTr="00B14CF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557" w:type="dxa"/>
            <w:shd w:val="clear" w:color="auto" w:fill="FFFFFF" w:themeFill="background1"/>
          </w:tcPr>
          <w:p w14:paraId="27534E39" w14:textId="77777777" w:rsidR="00B14CF0" w:rsidRPr="00555354" w:rsidRDefault="00B14CF0" w:rsidP="001415FC">
            <w:pPr>
              <w:spacing w:line="360" w:lineRule="auto"/>
              <w:rPr>
                <w:rFonts w:ascii="Times New Roman" w:hAnsi="Times New Roman"/>
                <w:lang w:val="es-CL"/>
              </w:rPr>
            </w:pPr>
          </w:p>
        </w:tc>
        <w:tc>
          <w:tcPr>
            <w:tcW w:w="992" w:type="dxa"/>
            <w:shd w:val="clear" w:color="auto" w:fill="FFFFFF" w:themeFill="background1"/>
          </w:tcPr>
          <w:p w14:paraId="41EC9B60" w14:textId="77777777" w:rsidR="00B14CF0" w:rsidRPr="00555354" w:rsidRDefault="00B14CF0" w:rsidP="001415F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s-CL"/>
              </w:rPr>
            </w:pPr>
          </w:p>
        </w:tc>
        <w:tc>
          <w:tcPr>
            <w:tcW w:w="2421" w:type="dxa"/>
            <w:shd w:val="clear" w:color="auto" w:fill="FFFFFF" w:themeFill="background1"/>
          </w:tcPr>
          <w:p w14:paraId="2D119455" w14:textId="77777777" w:rsidR="00B14CF0" w:rsidRPr="00555354" w:rsidRDefault="00937578" w:rsidP="001415F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Matrices</w:t>
            </w:r>
          </w:p>
        </w:tc>
        <w:tc>
          <w:tcPr>
            <w:tcW w:w="1084" w:type="dxa"/>
            <w:shd w:val="clear" w:color="auto" w:fill="FFFFFF" w:themeFill="background1"/>
          </w:tcPr>
          <w:p w14:paraId="16744E48"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55354">
              <w:rPr>
                <w:rFonts w:ascii="Times New Roman" w:hAnsi="Times New Roman"/>
                <w:b/>
              </w:rPr>
              <w:t>,737</w:t>
            </w:r>
          </w:p>
        </w:tc>
        <w:tc>
          <w:tcPr>
            <w:tcW w:w="814" w:type="dxa"/>
            <w:shd w:val="clear" w:color="auto" w:fill="FFFFFF" w:themeFill="background1"/>
          </w:tcPr>
          <w:p w14:paraId="06EBEBFD"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,098</w:t>
            </w:r>
          </w:p>
        </w:tc>
        <w:tc>
          <w:tcPr>
            <w:tcW w:w="764" w:type="dxa"/>
            <w:shd w:val="clear" w:color="auto" w:fill="FFFFFF" w:themeFill="background1"/>
          </w:tcPr>
          <w:p w14:paraId="23C8F57F"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,165</w:t>
            </w:r>
          </w:p>
        </w:tc>
      </w:tr>
      <w:tr w:rsidR="00555354" w:rsidRPr="00555354" w14:paraId="4D748B90" w14:textId="77777777" w:rsidTr="00B14CF0">
        <w:trPr>
          <w:trHeight w:val="358"/>
        </w:trPr>
        <w:tc>
          <w:tcPr>
            <w:cnfStyle w:val="001000000000" w:firstRow="0" w:lastRow="0" w:firstColumn="1" w:lastColumn="0" w:oddVBand="0" w:evenVBand="0" w:oddHBand="0" w:evenHBand="0" w:firstRowFirstColumn="0" w:firstRowLastColumn="0" w:lastRowFirstColumn="0" w:lastRowLastColumn="0"/>
            <w:tcW w:w="2557" w:type="dxa"/>
            <w:shd w:val="clear" w:color="auto" w:fill="FFFFFF" w:themeFill="background1"/>
          </w:tcPr>
          <w:p w14:paraId="6C86BFA9" w14:textId="77777777" w:rsidR="00B14CF0" w:rsidRPr="00555354" w:rsidRDefault="00B14CF0" w:rsidP="001415FC">
            <w:pPr>
              <w:spacing w:line="360" w:lineRule="auto"/>
              <w:rPr>
                <w:rFonts w:ascii="Times New Roman" w:hAnsi="Times New Roman"/>
                <w:lang w:val="es-CL"/>
              </w:rPr>
            </w:pPr>
          </w:p>
        </w:tc>
        <w:tc>
          <w:tcPr>
            <w:tcW w:w="992" w:type="dxa"/>
            <w:shd w:val="clear" w:color="auto" w:fill="FFFFFF" w:themeFill="background1"/>
          </w:tcPr>
          <w:p w14:paraId="0873AEF5" w14:textId="77777777" w:rsidR="00B14CF0" w:rsidRPr="00555354" w:rsidRDefault="00B14CF0" w:rsidP="001415F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s-CL"/>
              </w:rPr>
            </w:pPr>
          </w:p>
        </w:tc>
        <w:tc>
          <w:tcPr>
            <w:tcW w:w="2421" w:type="dxa"/>
            <w:shd w:val="clear" w:color="auto" w:fill="FFFFFF" w:themeFill="background1"/>
          </w:tcPr>
          <w:p w14:paraId="590BAA85" w14:textId="77777777" w:rsidR="00B14CF0" w:rsidRPr="00555354" w:rsidRDefault="00937578" w:rsidP="001415F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Comprensión de Cuentos</w:t>
            </w:r>
          </w:p>
        </w:tc>
        <w:tc>
          <w:tcPr>
            <w:tcW w:w="1084" w:type="dxa"/>
            <w:shd w:val="clear" w:color="auto" w:fill="FFFFFF" w:themeFill="background1"/>
          </w:tcPr>
          <w:p w14:paraId="2F998F07"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555354">
              <w:rPr>
                <w:rFonts w:ascii="Times New Roman" w:hAnsi="Times New Roman"/>
                <w:b/>
              </w:rPr>
              <w:t>,722</w:t>
            </w:r>
          </w:p>
        </w:tc>
        <w:tc>
          <w:tcPr>
            <w:tcW w:w="814" w:type="dxa"/>
            <w:shd w:val="clear" w:color="auto" w:fill="FFFFFF" w:themeFill="background1"/>
          </w:tcPr>
          <w:p w14:paraId="3110C9CC"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555354">
              <w:rPr>
                <w:rFonts w:ascii="Times New Roman" w:hAnsi="Times New Roman"/>
                <w:b/>
              </w:rPr>
              <w:t>,533</w:t>
            </w:r>
          </w:p>
        </w:tc>
        <w:tc>
          <w:tcPr>
            <w:tcW w:w="764" w:type="dxa"/>
            <w:shd w:val="clear" w:color="auto" w:fill="FFFFFF" w:themeFill="background1"/>
          </w:tcPr>
          <w:p w14:paraId="6C1A712C"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,108</w:t>
            </w:r>
          </w:p>
        </w:tc>
      </w:tr>
      <w:tr w:rsidR="00555354" w:rsidRPr="00555354" w14:paraId="2F9F46CD" w14:textId="77777777" w:rsidTr="00B14CF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557" w:type="dxa"/>
            <w:shd w:val="clear" w:color="auto" w:fill="FFFFFF" w:themeFill="background1"/>
          </w:tcPr>
          <w:p w14:paraId="0B1AE06B" w14:textId="77777777" w:rsidR="00B14CF0" w:rsidRPr="00555354" w:rsidRDefault="00B14CF0" w:rsidP="001415FC">
            <w:pPr>
              <w:spacing w:line="360" w:lineRule="auto"/>
              <w:rPr>
                <w:rFonts w:ascii="Times New Roman" w:hAnsi="Times New Roman"/>
                <w:lang w:val="es-CL"/>
              </w:rPr>
            </w:pPr>
          </w:p>
        </w:tc>
        <w:tc>
          <w:tcPr>
            <w:tcW w:w="992" w:type="dxa"/>
            <w:shd w:val="clear" w:color="auto" w:fill="FFFFFF" w:themeFill="background1"/>
          </w:tcPr>
          <w:p w14:paraId="212018D4" w14:textId="77777777" w:rsidR="00B14CF0" w:rsidRPr="00555354" w:rsidRDefault="00B14CF0" w:rsidP="001415F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s-CL"/>
              </w:rPr>
            </w:pPr>
          </w:p>
        </w:tc>
        <w:tc>
          <w:tcPr>
            <w:tcW w:w="2421" w:type="dxa"/>
            <w:shd w:val="clear" w:color="auto" w:fill="FFFFFF" w:themeFill="background1"/>
          </w:tcPr>
          <w:p w14:paraId="67653A15" w14:textId="77777777" w:rsidR="00B14CF0" w:rsidRPr="00555354" w:rsidRDefault="00937578" w:rsidP="001415F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Grafomotricidad</w:t>
            </w:r>
          </w:p>
        </w:tc>
        <w:tc>
          <w:tcPr>
            <w:tcW w:w="1084" w:type="dxa"/>
            <w:shd w:val="clear" w:color="auto" w:fill="FFFFFF" w:themeFill="background1"/>
          </w:tcPr>
          <w:p w14:paraId="317212E5"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55354">
              <w:rPr>
                <w:rFonts w:ascii="Times New Roman" w:hAnsi="Times New Roman"/>
                <w:b/>
              </w:rPr>
              <w:t>,711</w:t>
            </w:r>
          </w:p>
        </w:tc>
        <w:tc>
          <w:tcPr>
            <w:tcW w:w="814" w:type="dxa"/>
            <w:shd w:val="clear" w:color="auto" w:fill="FFFFFF" w:themeFill="background1"/>
          </w:tcPr>
          <w:p w14:paraId="004B97D0"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55354">
              <w:rPr>
                <w:rFonts w:ascii="Times New Roman" w:hAnsi="Times New Roman"/>
                <w:b/>
              </w:rPr>
              <w:t>,516</w:t>
            </w:r>
          </w:p>
        </w:tc>
        <w:tc>
          <w:tcPr>
            <w:tcW w:w="764" w:type="dxa"/>
            <w:shd w:val="clear" w:color="auto" w:fill="FFFFFF" w:themeFill="background1"/>
          </w:tcPr>
          <w:p w14:paraId="6F0BB803"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,151</w:t>
            </w:r>
          </w:p>
        </w:tc>
      </w:tr>
      <w:tr w:rsidR="00555354" w:rsidRPr="00555354" w14:paraId="45B5D5FB" w14:textId="77777777" w:rsidTr="00B14CF0">
        <w:trPr>
          <w:trHeight w:val="371"/>
        </w:trPr>
        <w:tc>
          <w:tcPr>
            <w:cnfStyle w:val="001000000000" w:firstRow="0" w:lastRow="0" w:firstColumn="1" w:lastColumn="0" w:oddVBand="0" w:evenVBand="0" w:oddHBand="0" w:evenHBand="0" w:firstRowFirstColumn="0" w:firstRowLastColumn="0" w:lastRowFirstColumn="0" w:lastRowLastColumn="0"/>
            <w:tcW w:w="2557" w:type="dxa"/>
            <w:tcBorders>
              <w:bottom w:val="single" w:sz="4" w:space="0" w:color="auto"/>
            </w:tcBorders>
            <w:shd w:val="clear" w:color="auto" w:fill="FFFFFF" w:themeFill="background1"/>
          </w:tcPr>
          <w:p w14:paraId="0C6BE424" w14:textId="77777777" w:rsidR="00B14CF0" w:rsidRPr="00555354" w:rsidRDefault="00B14CF0" w:rsidP="001415FC">
            <w:pPr>
              <w:spacing w:line="360" w:lineRule="auto"/>
              <w:rPr>
                <w:rFonts w:ascii="Times New Roman" w:hAnsi="Times New Roman"/>
                <w:lang w:val="es-CL"/>
              </w:rPr>
            </w:pPr>
          </w:p>
        </w:tc>
        <w:tc>
          <w:tcPr>
            <w:tcW w:w="992" w:type="dxa"/>
            <w:tcBorders>
              <w:bottom w:val="single" w:sz="4" w:space="0" w:color="auto"/>
            </w:tcBorders>
            <w:shd w:val="clear" w:color="auto" w:fill="FFFFFF" w:themeFill="background1"/>
          </w:tcPr>
          <w:p w14:paraId="221BFF5D" w14:textId="77777777" w:rsidR="00B14CF0" w:rsidRPr="00555354" w:rsidRDefault="00B14CF0" w:rsidP="001415F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s-CL"/>
              </w:rPr>
            </w:pPr>
          </w:p>
        </w:tc>
        <w:tc>
          <w:tcPr>
            <w:tcW w:w="2421" w:type="dxa"/>
            <w:tcBorders>
              <w:bottom w:val="single" w:sz="4" w:space="0" w:color="auto"/>
            </w:tcBorders>
            <w:shd w:val="clear" w:color="auto" w:fill="FFFFFF" w:themeFill="background1"/>
          </w:tcPr>
          <w:p w14:paraId="272054CC" w14:textId="77777777" w:rsidR="00B14CF0" w:rsidRPr="00555354" w:rsidRDefault="00937578" w:rsidP="001415F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Contar cantidades</w:t>
            </w:r>
          </w:p>
        </w:tc>
        <w:tc>
          <w:tcPr>
            <w:tcW w:w="1084" w:type="dxa"/>
            <w:tcBorders>
              <w:bottom w:val="single" w:sz="4" w:space="0" w:color="auto"/>
            </w:tcBorders>
            <w:shd w:val="clear" w:color="auto" w:fill="FFFFFF" w:themeFill="background1"/>
          </w:tcPr>
          <w:p w14:paraId="1E61F0ED"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555354">
              <w:rPr>
                <w:rFonts w:ascii="Times New Roman" w:hAnsi="Times New Roman"/>
                <w:b/>
              </w:rPr>
              <w:t>,705</w:t>
            </w:r>
          </w:p>
        </w:tc>
        <w:tc>
          <w:tcPr>
            <w:tcW w:w="814" w:type="dxa"/>
            <w:tcBorders>
              <w:bottom w:val="single" w:sz="4" w:space="0" w:color="auto"/>
            </w:tcBorders>
            <w:shd w:val="clear" w:color="auto" w:fill="FFFFFF" w:themeFill="background1"/>
          </w:tcPr>
          <w:p w14:paraId="2E646D45"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-,107</w:t>
            </w:r>
          </w:p>
        </w:tc>
        <w:tc>
          <w:tcPr>
            <w:tcW w:w="764" w:type="dxa"/>
            <w:tcBorders>
              <w:bottom w:val="single" w:sz="4" w:space="0" w:color="auto"/>
            </w:tcBorders>
            <w:shd w:val="clear" w:color="auto" w:fill="FFFFFF" w:themeFill="background1"/>
          </w:tcPr>
          <w:p w14:paraId="5DC0BA3E"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,015</w:t>
            </w:r>
          </w:p>
        </w:tc>
      </w:tr>
      <w:tr w:rsidR="00555354" w:rsidRPr="00555354" w14:paraId="7B16BAF3" w14:textId="77777777" w:rsidTr="00B14CF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557" w:type="dxa"/>
            <w:tcBorders>
              <w:top w:val="single" w:sz="4" w:space="0" w:color="auto"/>
            </w:tcBorders>
            <w:shd w:val="clear" w:color="auto" w:fill="FFFFFF" w:themeFill="background1"/>
          </w:tcPr>
          <w:p w14:paraId="6BDEE8E1" w14:textId="77777777" w:rsidR="00B14CF0" w:rsidRPr="00555354" w:rsidRDefault="00937578" w:rsidP="001415FC">
            <w:pPr>
              <w:spacing w:line="360" w:lineRule="auto"/>
              <w:rPr>
                <w:rFonts w:ascii="Times New Roman" w:hAnsi="Times New Roman"/>
                <w:lang w:val="es-CL"/>
              </w:rPr>
            </w:pPr>
            <w:r w:rsidRPr="00555354">
              <w:rPr>
                <w:rFonts w:ascii="Times New Roman" w:hAnsi="Times New Roman"/>
                <w:lang w:val="es-CL"/>
              </w:rPr>
              <w:t xml:space="preserve">Habilidades de Memoria </w:t>
            </w:r>
          </w:p>
        </w:tc>
        <w:tc>
          <w:tcPr>
            <w:tcW w:w="992" w:type="dxa"/>
            <w:tcBorders>
              <w:top w:val="single" w:sz="4" w:space="0" w:color="auto"/>
            </w:tcBorders>
            <w:shd w:val="clear" w:color="auto" w:fill="FFFFFF" w:themeFill="background1"/>
          </w:tcPr>
          <w:p w14:paraId="6198F2C0" w14:textId="77777777" w:rsidR="00B14CF0" w:rsidRPr="00555354" w:rsidRDefault="00937578" w:rsidP="001415F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s-CL"/>
              </w:rPr>
            </w:pPr>
            <w:r w:rsidRPr="00555354">
              <w:rPr>
                <w:rFonts w:ascii="Times New Roman" w:hAnsi="Times New Roman"/>
                <w:lang w:val="es-CL"/>
              </w:rPr>
              <w:t>15.30%</w:t>
            </w:r>
          </w:p>
        </w:tc>
        <w:tc>
          <w:tcPr>
            <w:tcW w:w="2421" w:type="dxa"/>
            <w:tcBorders>
              <w:top w:val="single" w:sz="4" w:space="0" w:color="auto"/>
            </w:tcBorders>
            <w:shd w:val="clear" w:color="auto" w:fill="FFFFFF" w:themeFill="background1"/>
          </w:tcPr>
          <w:p w14:paraId="43A5A90F" w14:textId="77777777" w:rsidR="00B14CF0" w:rsidRPr="00555354" w:rsidRDefault="00937578" w:rsidP="001415F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Memoria de trabajo visual</w:t>
            </w:r>
          </w:p>
        </w:tc>
        <w:tc>
          <w:tcPr>
            <w:tcW w:w="1084" w:type="dxa"/>
            <w:tcBorders>
              <w:top w:val="single" w:sz="4" w:space="0" w:color="auto"/>
            </w:tcBorders>
            <w:shd w:val="clear" w:color="auto" w:fill="FFFFFF" w:themeFill="background1"/>
          </w:tcPr>
          <w:p w14:paraId="45538136"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-,295</w:t>
            </w:r>
          </w:p>
        </w:tc>
        <w:tc>
          <w:tcPr>
            <w:tcW w:w="814" w:type="dxa"/>
            <w:tcBorders>
              <w:top w:val="single" w:sz="4" w:space="0" w:color="auto"/>
            </w:tcBorders>
            <w:shd w:val="clear" w:color="auto" w:fill="FFFFFF" w:themeFill="background1"/>
          </w:tcPr>
          <w:p w14:paraId="2F90C983"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55354">
              <w:rPr>
                <w:rFonts w:ascii="Times New Roman" w:hAnsi="Times New Roman"/>
                <w:b/>
              </w:rPr>
              <w:t>,801</w:t>
            </w:r>
          </w:p>
        </w:tc>
        <w:tc>
          <w:tcPr>
            <w:tcW w:w="764" w:type="dxa"/>
            <w:tcBorders>
              <w:top w:val="single" w:sz="4" w:space="0" w:color="auto"/>
            </w:tcBorders>
            <w:shd w:val="clear" w:color="auto" w:fill="FFFFFF" w:themeFill="background1"/>
          </w:tcPr>
          <w:p w14:paraId="608F78B6"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,000</w:t>
            </w:r>
          </w:p>
        </w:tc>
      </w:tr>
      <w:tr w:rsidR="00555354" w:rsidRPr="00555354" w14:paraId="78516A3D" w14:textId="77777777" w:rsidTr="00B14CF0">
        <w:trPr>
          <w:trHeight w:val="266"/>
        </w:trPr>
        <w:tc>
          <w:tcPr>
            <w:cnfStyle w:val="001000000000" w:firstRow="0" w:lastRow="0" w:firstColumn="1" w:lastColumn="0" w:oddVBand="0" w:evenVBand="0" w:oddHBand="0" w:evenHBand="0" w:firstRowFirstColumn="0" w:firstRowLastColumn="0" w:lastRowFirstColumn="0" w:lastRowLastColumn="0"/>
            <w:tcW w:w="2557" w:type="dxa"/>
            <w:tcBorders>
              <w:top w:val="single" w:sz="4" w:space="0" w:color="auto"/>
            </w:tcBorders>
            <w:shd w:val="clear" w:color="auto" w:fill="FFFFFF" w:themeFill="background1"/>
          </w:tcPr>
          <w:p w14:paraId="320EFE81" w14:textId="77777777" w:rsidR="00B14CF0" w:rsidRPr="00555354" w:rsidRDefault="00937578" w:rsidP="001415FC">
            <w:pPr>
              <w:spacing w:line="360" w:lineRule="auto"/>
              <w:rPr>
                <w:rFonts w:ascii="Times New Roman" w:hAnsi="Times New Roman"/>
                <w:lang w:val="es-CL"/>
              </w:rPr>
            </w:pPr>
            <w:r w:rsidRPr="00555354">
              <w:rPr>
                <w:rFonts w:ascii="Times New Roman" w:hAnsi="Times New Roman"/>
                <w:lang w:val="es-CL"/>
              </w:rPr>
              <w:t>Habilidades Lingüísticas</w:t>
            </w:r>
          </w:p>
        </w:tc>
        <w:tc>
          <w:tcPr>
            <w:tcW w:w="992" w:type="dxa"/>
            <w:tcBorders>
              <w:top w:val="single" w:sz="4" w:space="0" w:color="auto"/>
            </w:tcBorders>
            <w:shd w:val="clear" w:color="auto" w:fill="FFFFFF" w:themeFill="background1"/>
          </w:tcPr>
          <w:p w14:paraId="04466904" w14:textId="77777777" w:rsidR="00B14CF0" w:rsidRPr="00555354" w:rsidRDefault="00937578" w:rsidP="001415F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s-CL"/>
              </w:rPr>
            </w:pPr>
            <w:r w:rsidRPr="00555354">
              <w:rPr>
                <w:rFonts w:ascii="Times New Roman" w:hAnsi="Times New Roman"/>
                <w:lang w:val="es-CL"/>
              </w:rPr>
              <w:t>12.74%</w:t>
            </w:r>
          </w:p>
        </w:tc>
        <w:tc>
          <w:tcPr>
            <w:tcW w:w="2421" w:type="dxa"/>
            <w:tcBorders>
              <w:top w:val="single" w:sz="4" w:space="0" w:color="auto"/>
            </w:tcBorders>
            <w:shd w:val="clear" w:color="auto" w:fill="FFFFFF" w:themeFill="background1"/>
          </w:tcPr>
          <w:p w14:paraId="1C37833D" w14:textId="77777777" w:rsidR="00B14CF0" w:rsidRPr="00555354" w:rsidRDefault="00937578" w:rsidP="001415FC">
            <w:pPr>
              <w:tabs>
                <w:tab w:val="left" w:pos="10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Vocabulario</w:t>
            </w:r>
          </w:p>
        </w:tc>
        <w:tc>
          <w:tcPr>
            <w:tcW w:w="1084" w:type="dxa"/>
            <w:tcBorders>
              <w:top w:val="single" w:sz="4" w:space="0" w:color="auto"/>
            </w:tcBorders>
            <w:shd w:val="clear" w:color="auto" w:fill="FFFFFF" w:themeFill="background1"/>
          </w:tcPr>
          <w:p w14:paraId="18B28B43"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,142</w:t>
            </w:r>
          </w:p>
        </w:tc>
        <w:tc>
          <w:tcPr>
            <w:tcW w:w="814" w:type="dxa"/>
            <w:tcBorders>
              <w:top w:val="single" w:sz="4" w:space="0" w:color="auto"/>
            </w:tcBorders>
            <w:shd w:val="clear" w:color="auto" w:fill="FFFFFF" w:themeFill="background1"/>
          </w:tcPr>
          <w:p w14:paraId="1495437D"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,231</w:t>
            </w:r>
          </w:p>
        </w:tc>
        <w:tc>
          <w:tcPr>
            <w:tcW w:w="764" w:type="dxa"/>
            <w:tcBorders>
              <w:top w:val="single" w:sz="4" w:space="0" w:color="auto"/>
            </w:tcBorders>
            <w:shd w:val="clear" w:color="auto" w:fill="FFFFFF" w:themeFill="background1"/>
          </w:tcPr>
          <w:p w14:paraId="3D4AC417"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555354">
              <w:rPr>
                <w:rFonts w:ascii="Times New Roman" w:hAnsi="Times New Roman"/>
                <w:b/>
              </w:rPr>
              <w:t>,802</w:t>
            </w:r>
          </w:p>
        </w:tc>
      </w:tr>
      <w:tr w:rsidR="00555354" w:rsidRPr="00555354" w14:paraId="59A477F1" w14:textId="77777777" w:rsidTr="00B14CF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557" w:type="dxa"/>
            <w:shd w:val="clear" w:color="auto" w:fill="FFFFFF" w:themeFill="background1"/>
          </w:tcPr>
          <w:p w14:paraId="666595BA" w14:textId="77777777" w:rsidR="00B14CF0" w:rsidRPr="00555354" w:rsidRDefault="00B14CF0" w:rsidP="001415FC">
            <w:pPr>
              <w:spacing w:line="360" w:lineRule="auto"/>
              <w:rPr>
                <w:rFonts w:ascii="Times New Roman" w:hAnsi="Times New Roman"/>
                <w:lang w:val="es-CL"/>
              </w:rPr>
            </w:pPr>
          </w:p>
        </w:tc>
        <w:tc>
          <w:tcPr>
            <w:tcW w:w="992" w:type="dxa"/>
            <w:shd w:val="clear" w:color="auto" w:fill="FFFFFF" w:themeFill="background1"/>
          </w:tcPr>
          <w:p w14:paraId="622DEC3E" w14:textId="77777777" w:rsidR="00B14CF0" w:rsidRPr="00555354" w:rsidRDefault="00B14CF0" w:rsidP="001415F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s-CL"/>
              </w:rPr>
            </w:pPr>
          </w:p>
        </w:tc>
        <w:tc>
          <w:tcPr>
            <w:tcW w:w="2421" w:type="dxa"/>
            <w:shd w:val="clear" w:color="auto" w:fill="FFFFFF" w:themeFill="background1"/>
          </w:tcPr>
          <w:p w14:paraId="16CCE10A" w14:textId="77777777" w:rsidR="00B14CF0" w:rsidRPr="00555354" w:rsidRDefault="00937578" w:rsidP="001415FC">
            <w:pPr>
              <w:tabs>
                <w:tab w:val="left" w:pos="10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Memoria de trabajo verbal</w:t>
            </w:r>
          </w:p>
        </w:tc>
        <w:tc>
          <w:tcPr>
            <w:tcW w:w="1084" w:type="dxa"/>
            <w:shd w:val="clear" w:color="auto" w:fill="FFFFFF" w:themeFill="background1"/>
          </w:tcPr>
          <w:p w14:paraId="4CE2004B"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,381</w:t>
            </w:r>
          </w:p>
        </w:tc>
        <w:tc>
          <w:tcPr>
            <w:tcW w:w="814" w:type="dxa"/>
            <w:shd w:val="clear" w:color="auto" w:fill="FFFFFF" w:themeFill="background1"/>
          </w:tcPr>
          <w:p w14:paraId="153217EA"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55354">
              <w:rPr>
                <w:rFonts w:ascii="Times New Roman" w:hAnsi="Times New Roman"/>
              </w:rPr>
              <w:t>-,295</w:t>
            </w:r>
          </w:p>
        </w:tc>
        <w:tc>
          <w:tcPr>
            <w:tcW w:w="764" w:type="dxa"/>
            <w:shd w:val="clear" w:color="auto" w:fill="FFFFFF" w:themeFill="background1"/>
          </w:tcPr>
          <w:p w14:paraId="3DCC173E" w14:textId="77777777" w:rsidR="00B14CF0" w:rsidRPr="00555354" w:rsidRDefault="00937578"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55354">
              <w:rPr>
                <w:rFonts w:ascii="Times New Roman" w:hAnsi="Times New Roman"/>
                <w:b/>
              </w:rPr>
              <w:t>,554</w:t>
            </w:r>
          </w:p>
        </w:tc>
      </w:tr>
      <w:tr w:rsidR="00555354" w:rsidRPr="00555354" w14:paraId="042C73A7" w14:textId="77777777" w:rsidTr="00B14CF0">
        <w:trPr>
          <w:trHeight w:val="266"/>
        </w:trPr>
        <w:tc>
          <w:tcPr>
            <w:cnfStyle w:val="001000000000" w:firstRow="0" w:lastRow="0" w:firstColumn="1" w:lastColumn="0" w:oddVBand="0" w:evenVBand="0" w:oddHBand="0" w:evenHBand="0" w:firstRowFirstColumn="0" w:firstRowLastColumn="0" w:lastRowFirstColumn="0" w:lastRowLastColumn="0"/>
            <w:tcW w:w="2557" w:type="dxa"/>
            <w:shd w:val="clear" w:color="auto" w:fill="FFFFFF" w:themeFill="background1"/>
          </w:tcPr>
          <w:p w14:paraId="159A5143" w14:textId="77777777" w:rsidR="00B14CF0" w:rsidRPr="00555354" w:rsidRDefault="00B14CF0" w:rsidP="001415FC">
            <w:pPr>
              <w:spacing w:line="360" w:lineRule="auto"/>
              <w:rPr>
                <w:rFonts w:ascii="Times New Roman" w:hAnsi="Times New Roman"/>
                <w:lang w:val="es-CL"/>
              </w:rPr>
            </w:pPr>
          </w:p>
        </w:tc>
        <w:tc>
          <w:tcPr>
            <w:tcW w:w="992" w:type="dxa"/>
            <w:shd w:val="clear" w:color="auto" w:fill="FFFFFF" w:themeFill="background1"/>
          </w:tcPr>
          <w:p w14:paraId="5C2C42B7" w14:textId="77777777" w:rsidR="00B14CF0" w:rsidRPr="00555354" w:rsidRDefault="00B14CF0" w:rsidP="001415F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s-CL"/>
              </w:rPr>
            </w:pPr>
          </w:p>
        </w:tc>
        <w:tc>
          <w:tcPr>
            <w:tcW w:w="2421" w:type="dxa"/>
            <w:shd w:val="clear" w:color="auto" w:fill="FFFFFF" w:themeFill="background1"/>
          </w:tcPr>
          <w:p w14:paraId="29085C58" w14:textId="77777777" w:rsidR="00B14CF0" w:rsidRPr="00555354" w:rsidRDefault="00937578" w:rsidP="001415FC">
            <w:pPr>
              <w:tabs>
                <w:tab w:val="left" w:pos="10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Repetir sílabas</w:t>
            </w:r>
          </w:p>
        </w:tc>
        <w:tc>
          <w:tcPr>
            <w:tcW w:w="1084" w:type="dxa"/>
            <w:shd w:val="clear" w:color="auto" w:fill="FFFFFF" w:themeFill="background1"/>
          </w:tcPr>
          <w:p w14:paraId="40CB6B18"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b/>
              </w:rPr>
              <w:t>,498</w:t>
            </w:r>
          </w:p>
        </w:tc>
        <w:tc>
          <w:tcPr>
            <w:tcW w:w="814" w:type="dxa"/>
            <w:shd w:val="clear" w:color="auto" w:fill="FFFFFF" w:themeFill="background1"/>
          </w:tcPr>
          <w:p w14:paraId="56D84A5D"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5354">
              <w:rPr>
                <w:rFonts w:ascii="Times New Roman" w:hAnsi="Times New Roman"/>
              </w:rPr>
              <w:t>,142</w:t>
            </w:r>
          </w:p>
        </w:tc>
        <w:tc>
          <w:tcPr>
            <w:tcW w:w="764" w:type="dxa"/>
            <w:shd w:val="clear" w:color="auto" w:fill="FFFFFF" w:themeFill="background1"/>
          </w:tcPr>
          <w:p w14:paraId="42A9B909" w14:textId="77777777" w:rsidR="00B14CF0" w:rsidRPr="00555354" w:rsidRDefault="00937578" w:rsidP="001415F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555354">
              <w:rPr>
                <w:rFonts w:ascii="Times New Roman" w:hAnsi="Times New Roman"/>
                <w:b/>
              </w:rPr>
              <w:t>,365</w:t>
            </w:r>
          </w:p>
        </w:tc>
      </w:tr>
      <w:tr w:rsidR="00555354" w:rsidRPr="00555354" w14:paraId="1DBC0245" w14:textId="77777777" w:rsidTr="00B14CF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557" w:type="dxa"/>
            <w:tcBorders>
              <w:top w:val="single" w:sz="4" w:space="0" w:color="auto"/>
              <w:bottom w:val="single" w:sz="4" w:space="0" w:color="auto"/>
            </w:tcBorders>
            <w:shd w:val="clear" w:color="auto" w:fill="FFFFFF" w:themeFill="background1"/>
          </w:tcPr>
          <w:p w14:paraId="385D77EE" w14:textId="77777777" w:rsidR="00B14CF0" w:rsidRPr="00555354" w:rsidRDefault="00B14CF0" w:rsidP="001415FC">
            <w:pPr>
              <w:spacing w:line="360" w:lineRule="auto"/>
              <w:rPr>
                <w:rFonts w:ascii="Times New Roman" w:hAnsi="Times New Roman"/>
                <w:lang w:val="es-CL"/>
              </w:rPr>
            </w:pPr>
          </w:p>
        </w:tc>
        <w:tc>
          <w:tcPr>
            <w:tcW w:w="992" w:type="dxa"/>
            <w:tcBorders>
              <w:top w:val="single" w:sz="4" w:space="0" w:color="auto"/>
              <w:bottom w:val="single" w:sz="4" w:space="0" w:color="auto"/>
            </w:tcBorders>
            <w:shd w:val="clear" w:color="auto" w:fill="FFFFFF" w:themeFill="background1"/>
          </w:tcPr>
          <w:p w14:paraId="74CEAA04" w14:textId="77777777" w:rsidR="00B14CF0" w:rsidRPr="00555354" w:rsidRDefault="00937578" w:rsidP="001415F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s-CL"/>
              </w:rPr>
            </w:pPr>
            <w:r w:rsidRPr="00555354">
              <w:rPr>
                <w:rFonts w:ascii="Times New Roman" w:hAnsi="Times New Roman"/>
                <w:lang w:val="es-CL"/>
              </w:rPr>
              <w:t>62.74%</w:t>
            </w:r>
          </w:p>
        </w:tc>
        <w:tc>
          <w:tcPr>
            <w:tcW w:w="2421" w:type="dxa"/>
            <w:tcBorders>
              <w:top w:val="single" w:sz="4" w:space="0" w:color="auto"/>
              <w:bottom w:val="single" w:sz="4" w:space="0" w:color="auto"/>
            </w:tcBorders>
            <w:shd w:val="clear" w:color="auto" w:fill="FFFFFF" w:themeFill="background1"/>
          </w:tcPr>
          <w:p w14:paraId="375D6360" w14:textId="77777777" w:rsidR="00B14CF0" w:rsidRPr="00555354" w:rsidRDefault="00B14CF0" w:rsidP="001415FC">
            <w:pPr>
              <w:tabs>
                <w:tab w:val="left" w:pos="10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084" w:type="dxa"/>
            <w:tcBorders>
              <w:top w:val="single" w:sz="4" w:space="0" w:color="auto"/>
              <w:bottom w:val="single" w:sz="4" w:space="0" w:color="auto"/>
            </w:tcBorders>
            <w:shd w:val="clear" w:color="auto" w:fill="FFFFFF" w:themeFill="background1"/>
          </w:tcPr>
          <w:p w14:paraId="14BA2089" w14:textId="77777777" w:rsidR="00B14CF0" w:rsidRPr="00555354" w:rsidRDefault="00B14CF0"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814" w:type="dxa"/>
            <w:tcBorders>
              <w:top w:val="single" w:sz="4" w:space="0" w:color="auto"/>
              <w:bottom w:val="single" w:sz="4" w:space="0" w:color="auto"/>
            </w:tcBorders>
            <w:shd w:val="clear" w:color="auto" w:fill="FFFFFF" w:themeFill="background1"/>
          </w:tcPr>
          <w:p w14:paraId="437EE643" w14:textId="77777777" w:rsidR="00B14CF0" w:rsidRPr="00555354" w:rsidRDefault="00B14CF0"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64" w:type="dxa"/>
            <w:tcBorders>
              <w:top w:val="single" w:sz="4" w:space="0" w:color="auto"/>
              <w:bottom w:val="single" w:sz="4" w:space="0" w:color="auto"/>
            </w:tcBorders>
            <w:shd w:val="clear" w:color="auto" w:fill="FFFFFF" w:themeFill="background1"/>
          </w:tcPr>
          <w:p w14:paraId="76545E8B" w14:textId="77777777" w:rsidR="00B14CF0" w:rsidRPr="00555354" w:rsidRDefault="00B14CF0" w:rsidP="001415F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bl>
    <w:p w14:paraId="50AFC9A3" w14:textId="77777777" w:rsidR="00B14CF0" w:rsidRPr="00555354" w:rsidRDefault="00937578" w:rsidP="001415FC">
      <w:pPr>
        <w:spacing w:after="0" w:line="360" w:lineRule="auto"/>
        <w:rPr>
          <w:rFonts w:ascii="Times New Roman" w:eastAsia="Calibri" w:hAnsi="Times New Roman" w:cs="Times New Roman"/>
          <w:sz w:val="20"/>
        </w:rPr>
      </w:pPr>
      <w:r w:rsidRPr="00555354">
        <w:rPr>
          <w:rFonts w:ascii="Times New Roman" w:eastAsia="Calibri" w:hAnsi="Times New Roman" w:cs="Times New Roman"/>
          <w:sz w:val="20"/>
        </w:rPr>
        <w:t xml:space="preserve">Nota. N = 93.  Método de extracción: análisis de componente principal.  Método de rotación: </w:t>
      </w:r>
      <w:proofErr w:type="spellStart"/>
      <w:r w:rsidRPr="00555354">
        <w:rPr>
          <w:rFonts w:ascii="Times New Roman" w:eastAsia="Calibri" w:hAnsi="Times New Roman" w:cs="Times New Roman"/>
          <w:sz w:val="20"/>
        </w:rPr>
        <w:t>Quartimax</w:t>
      </w:r>
      <w:proofErr w:type="spellEnd"/>
      <w:r w:rsidRPr="00555354">
        <w:rPr>
          <w:rFonts w:ascii="Times New Roman" w:eastAsia="Calibri" w:hAnsi="Times New Roman" w:cs="Times New Roman"/>
          <w:sz w:val="20"/>
        </w:rPr>
        <w:t xml:space="preserve"> con normalización </w:t>
      </w:r>
      <w:proofErr w:type="spellStart"/>
      <w:r w:rsidRPr="00555354">
        <w:rPr>
          <w:rFonts w:ascii="Times New Roman" w:eastAsia="Calibri" w:hAnsi="Times New Roman" w:cs="Times New Roman"/>
          <w:sz w:val="20"/>
        </w:rPr>
        <w:t>Kaiser</w:t>
      </w:r>
      <w:proofErr w:type="spellEnd"/>
      <w:r w:rsidRPr="00555354">
        <w:rPr>
          <w:rFonts w:ascii="Times New Roman" w:eastAsia="Calibri" w:hAnsi="Times New Roman" w:cs="Times New Roman"/>
          <w:sz w:val="20"/>
        </w:rPr>
        <w:t>. Cargas factoriales mayores a .30 se muestran en negrita.</w:t>
      </w:r>
    </w:p>
    <w:p w14:paraId="02D75161" w14:textId="77777777" w:rsidR="00B14CF0" w:rsidRPr="00555354" w:rsidRDefault="00B14CF0" w:rsidP="001415FC">
      <w:pPr>
        <w:spacing w:after="0" w:line="360" w:lineRule="auto"/>
        <w:rPr>
          <w:rFonts w:ascii="Times New Roman" w:eastAsia="Calibri" w:hAnsi="Times New Roman" w:cs="Times New Roman"/>
          <w:b/>
          <w:sz w:val="20"/>
        </w:rPr>
      </w:pPr>
    </w:p>
    <w:p w14:paraId="19599D94" w14:textId="77777777" w:rsidR="00B14CF0" w:rsidRPr="00555354" w:rsidRDefault="00937578" w:rsidP="001415FC">
      <w:pPr>
        <w:spacing w:after="0" w:line="360" w:lineRule="auto"/>
        <w:jc w:val="both"/>
        <w:rPr>
          <w:rFonts w:ascii="Times New Roman" w:eastAsia="Times New Roman" w:hAnsi="Times New Roman" w:cs="Times New Roman"/>
          <w:b/>
          <w:sz w:val="24"/>
          <w:lang w:val="es-CL" w:eastAsia="ar-SA"/>
        </w:rPr>
      </w:pPr>
      <w:r w:rsidRPr="00555354">
        <w:rPr>
          <w:rFonts w:ascii="Times New Roman" w:eastAsia="Times New Roman" w:hAnsi="Times New Roman" w:cs="Times New Roman"/>
          <w:b/>
          <w:sz w:val="24"/>
          <w:lang w:val="es-CL" w:eastAsia="ar-SA"/>
        </w:rPr>
        <w:t>Confiabilidad</w:t>
      </w:r>
    </w:p>
    <w:p w14:paraId="1DFEF81C" w14:textId="77777777" w:rsidR="00B14CF0" w:rsidRPr="00555354" w:rsidRDefault="00937578" w:rsidP="001415FC">
      <w:pPr>
        <w:spacing w:after="0" w:line="360" w:lineRule="auto"/>
        <w:ind w:firstLine="708"/>
        <w:jc w:val="both"/>
        <w:rPr>
          <w:rFonts w:ascii="Times New Roman" w:eastAsia="Times New Roman" w:hAnsi="Times New Roman" w:cs="Times New Roman"/>
          <w:sz w:val="24"/>
          <w:lang w:val="es-CL" w:eastAsia="ar-SA"/>
        </w:rPr>
      </w:pPr>
      <w:r w:rsidRPr="00555354">
        <w:rPr>
          <w:rFonts w:ascii="Times New Roman" w:eastAsia="Times New Roman" w:hAnsi="Times New Roman" w:cs="Times New Roman"/>
          <w:sz w:val="24"/>
          <w:lang w:val="es-CL" w:eastAsia="ar-SA"/>
        </w:rPr>
        <w:t>La consistencia interna del instrumento</w:t>
      </w:r>
      <w:r w:rsidRPr="00555354">
        <w:rPr>
          <w:rFonts w:ascii="Times New Roman" w:eastAsia="Calibri" w:hAnsi="Times New Roman" w:cs="Times New Roman"/>
          <w:sz w:val="24"/>
          <w:lang w:val="es-CL"/>
        </w:rPr>
        <w:t xml:space="preserve"> final </w:t>
      </w:r>
      <w:r w:rsidRPr="00555354">
        <w:rPr>
          <w:rFonts w:ascii="Times New Roman" w:eastAsia="Times New Roman" w:hAnsi="Times New Roman" w:cs="Times New Roman"/>
          <w:sz w:val="24"/>
          <w:lang w:val="es-CL" w:eastAsia="ar-SA"/>
        </w:rPr>
        <w:t xml:space="preserve">indicó un alfa = .85; mientras que el alfa cuando se elimina el ítem indicó valores entre .83 y .86.  </w:t>
      </w:r>
    </w:p>
    <w:p w14:paraId="5980FD46" w14:textId="77777777" w:rsidR="00B14CF0" w:rsidRPr="00555354" w:rsidRDefault="00937578" w:rsidP="001415FC">
      <w:pPr>
        <w:tabs>
          <w:tab w:val="left" w:pos="6210"/>
        </w:tabs>
        <w:spacing w:after="0" w:line="360" w:lineRule="auto"/>
        <w:ind w:firstLine="708"/>
        <w:jc w:val="both"/>
        <w:rPr>
          <w:rFonts w:ascii="Times New Roman" w:eastAsia="Times New Roman" w:hAnsi="Times New Roman" w:cs="Times New Roman"/>
          <w:b/>
          <w:sz w:val="24"/>
          <w:lang w:val="es-CL" w:eastAsia="ar-SA"/>
        </w:rPr>
      </w:pPr>
      <w:r w:rsidRPr="00555354">
        <w:rPr>
          <w:rFonts w:ascii="Times New Roman" w:eastAsia="Times New Roman" w:hAnsi="Times New Roman" w:cs="Times New Roman"/>
          <w:b/>
          <w:sz w:val="24"/>
          <w:lang w:val="es-CL" w:eastAsia="ar-SA"/>
        </w:rPr>
        <w:lastRenderedPageBreak/>
        <w:t>Punto de cortes</w:t>
      </w:r>
    </w:p>
    <w:p w14:paraId="44813BA0" w14:textId="6EC9C97B" w:rsidR="00B14CF0" w:rsidRPr="00555354" w:rsidRDefault="00937578" w:rsidP="001415FC">
      <w:pPr>
        <w:tabs>
          <w:tab w:val="left" w:pos="6210"/>
        </w:tabs>
        <w:spacing w:after="0" w:line="360" w:lineRule="auto"/>
        <w:ind w:firstLine="708"/>
        <w:jc w:val="both"/>
        <w:rPr>
          <w:rFonts w:ascii="Times New Roman" w:eastAsia="Times New Roman" w:hAnsi="Times New Roman" w:cs="Times New Roman"/>
          <w:sz w:val="24"/>
          <w:lang w:val="es-CL" w:eastAsia="ar-SA"/>
        </w:rPr>
      </w:pPr>
      <w:r w:rsidRPr="00555354">
        <w:rPr>
          <w:rFonts w:ascii="Times New Roman" w:eastAsia="Times New Roman" w:hAnsi="Times New Roman" w:cs="Times New Roman"/>
          <w:sz w:val="24"/>
          <w:lang w:val="es-CL" w:eastAsia="ar-SA"/>
        </w:rPr>
        <w:t>Se identificaron los cuartiles de l</w:t>
      </w:r>
      <w:r w:rsidR="00697F23" w:rsidRPr="00555354">
        <w:rPr>
          <w:rFonts w:ascii="Times New Roman" w:eastAsia="Times New Roman" w:hAnsi="Times New Roman" w:cs="Times New Roman"/>
          <w:sz w:val="24"/>
          <w:lang w:val="es-CL" w:eastAsia="ar-SA"/>
        </w:rPr>
        <w:t>o</w:t>
      </w:r>
      <w:r w:rsidRPr="00555354">
        <w:rPr>
          <w:rFonts w:ascii="Times New Roman" w:eastAsia="Times New Roman" w:hAnsi="Times New Roman" w:cs="Times New Roman"/>
          <w:sz w:val="24"/>
          <w:lang w:val="es-CL" w:eastAsia="ar-SA"/>
        </w:rPr>
        <w:t xml:space="preserve">s nueve </w:t>
      </w:r>
      <w:proofErr w:type="spellStart"/>
      <w:r w:rsidR="00697F23" w:rsidRPr="00555354">
        <w:rPr>
          <w:rFonts w:ascii="Times New Roman" w:eastAsia="Times New Roman" w:hAnsi="Times New Roman" w:cs="Times New Roman"/>
          <w:sz w:val="24"/>
          <w:lang w:val="es-CL" w:eastAsia="ar-SA"/>
        </w:rPr>
        <w:t>subtests</w:t>
      </w:r>
      <w:proofErr w:type="spellEnd"/>
      <w:r w:rsidR="00697F23" w:rsidRPr="00555354">
        <w:rPr>
          <w:rFonts w:ascii="Times New Roman" w:eastAsia="Times New Roman" w:hAnsi="Times New Roman" w:cs="Times New Roman"/>
          <w:sz w:val="24"/>
          <w:lang w:val="es-CL" w:eastAsia="ar-SA"/>
        </w:rPr>
        <w:t xml:space="preserve"> e</w:t>
      </w:r>
      <w:r w:rsidRPr="00555354">
        <w:rPr>
          <w:rFonts w:ascii="Times New Roman" w:eastAsia="Times New Roman" w:hAnsi="Times New Roman" w:cs="Times New Roman"/>
          <w:sz w:val="24"/>
          <w:lang w:val="es-CL" w:eastAsia="ar-SA"/>
        </w:rPr>
        <w:t xml:space="preserve">n los tres grupos de edades como se muestra en la tabla 6. </w:t>
      </w:r>
    </w:p>
    <w:p w14:paraId="23304ED5" w14:textId="77777777" w:rsidR="00B14CF0" w:rsidRPr="00555354" w:rsidRDefault="00937578" w:rsidP="001415FC">
      <w:pPr>
        <w:tabs>
          <w:tab w:val="left" w:pos="6210"/>
        </w:tabs>
        <w:spacing w:after="0" w:line="360" w:lineRule="auto"/>
        <w:ind w:firstLine="708"/>
        <w:jc w:val="both"/>
        <w:rPr>
          <w:rFonts w:ascii="Times New Roman" w:eastAsia="Times New Roman" w:hAnsi="Times New Roman" w:cs="Times New Roman"/>
          <w:b/>
          <w:sz w:val="20"/>
          <w:lang w:val="es-CL" w:eastAsia="ar-SA"/>
        </w:rPr>
      </w:pPr>
      <w:r w:rsidRPr="00555354">
        <w:rPr>
          <w:rFonts w:ascii="Times New Roman" w:eastAsia="Times New Roman" w:hAnsi="Times New Roman" w:cs="Times New Roman"/>
          <w:b/>
          <w:sz w:val="20"/>
          <w:lang w:val="es-CL" w:eastAsia="ar-SA"/>
        </w:rPr>
        <w:t xml:space="preserve">Tabla 6 </w:t>
      </w:r>
    </w:p>
    <w:p w14:paraId="0F4CF861" w14:textId="768EEE1E" w:rsidR="00B14CF0" w:rsidRPr="00555354" w:rsidRDefault="00937578" w:rsidP="001415FC">
      <w:pPr>
        <w:tabs>
          <w:tab w:val="left" w:pos="6210"/>
        </w:tabs>
        <w:spacing w:after="0" w:line="360" w:lineRule="auto"/>
        <w:ind w:firstLine="708"/>
        <w:jc w:val="both"/>
        <w:rPr>
          <w:rFonts w:ascii="Times New Roman" w:eastAsia="Times New Roman" w:hAnsi="Times New Roman" w:cs="Times New Roman"/>
          <w:sz w:val="20"/>
          <w:lang w:val="es-CL" w:eastAsia="ar-SA"/>
        </w:rPr>
      </w:pPr>
      <w:r w:rsidRPr="00555354">
        <w:rPr>
          <w:rFonts w:ascii="Times New Roman" w:eastAsia="Times New Roman" w:hAnsi="Times New Roman" w:cs="Times New Roman"/>
          <w:sz w:val="20"/>
          <w:lang w:val="es-CL" w:eastAsia="ar-SA"/>
        </w:rPr>
        <w:t>Punto de cortes de l</w:t>
      </w:r>
      <w:r w:rsidR="00697F23" w:rsidRPr="00555354">
        <w:rPr>
          <w:rFonts w:ascii="Times New Roman" w:eastAsia="Times New Roman" w:hAnsi="Times New Roman" w:cs="Times New Roman"/>
          <w:sz w:val="20"/>
          <w:lang w:val="es-CL" w:eastAsia="ar-SA"/>
        </w:rPr>
        <w:t>o</w:t>
      </w:r>
      <w:r w:rsidRPr="00555354">
        <w:rPr>
          <w:rFonts w:ascii="Times New Roman" w:eastAsia="Times New Roman" w:hAnsi="Times New Roman" w:cs="Times New Roman"/>
          <w:sz w:val="20"/>
          <w:lang w:val="es-CL" w:eastAsia="ar-SA"/>
        </w:rPr>
        <w:t xml:space="preserve">s nueve </w:t>
      </w:r>
      <w:proofErr w:type="spellStart"/>
      <w:r w:rsidR="00697F23" w:rsidRPr="00555354">
        <w:rPr>
          <w:rFonts w:ascii="Times New Roman" w:eastAsia="Times New Roman" w:hAnsi="Times New Roman" w:cs="Times New Roman"/>
          <w:sz w:val="20"/>
          <w:lang w:val="es-CL" w:eastAsia="ar-SA"/>
        </w:rPr>
        <w:t>subtests</w:t>
      </w:r>
      <w:proofErr w:type="spellEnd"/>
      <w:r w:rsidR="00697F23" w:rsidRPr="00555354">
        <w:rPr>
          <w:rFonts w:ascii="Times New Roman" w:eastAsia="Times New Roman" w:hAnsi="Times New Roman" w:cs="Times New Roman"/>
          <w:sz w:val="20"/>
          <w:lang w:val="es-CL" w:eastAsia="ar-SA"/>
        </w:rPr>
        <w:t xml:space="preserve"> </w:t>
      </w:r>
      <w:r w:rsidRPr="00555354">
        <w:rPr>
          <w:rFonts w:ascii="Times New Roman" w:eastAsia="Times New Roman" w:hAnsi="Times New Roman" w:cs="Times New Roman"/>
          <w:sz w:val="20"/>
          <w:lang w:val="es-CL" w:eastAsia="ar-SA"/>
        </w:rPr>
        <w:t>del B-PREA-R para niños entre 4 y 6 años.</w:t>
      </w:r>
    </w:p>
    <w:tbl>
      <w:tblPr>
        <w:tblStyle w:val="Tablanormal32"/>
        <w:tblW w:w="8752" w:type="dxa"/>
        <w:jc w:val="center"/>
        <w:shd w:val="clear" w:color="auto" w:fill="FFFFFF" w:themeFill="background1"/>
        <w:tblLook w:val="0000" w:firstRow="0" w:lastRow="0" w:firstColumn="0" w:lastColumn="0" w:noHBand="0" w:noVBand="0"/>
      </w:tblPr>
      <w:tblGrid>
        <w:gridCol w:w="767"/>
        <w:gridCol w:w="712"/>
        <w:gridCol w:w="1245"/>
        <w:gridCol w:w="713"/>
        <w:gridCol w:w="713"/>
        <w:gridCol w:w="1218"/>
        <w:gridCol w:w="713"/>
        <w:gridCol w:w="713"/>
        <w:gridCol w:w="1245"/>
        <w:gridCol w:w="713"/>
      </w:tblGrid>
      <w:tr w:rsidR="00555354" w:rsidRPr="00555354" w14:paraId="5D13DCD5" w14:textId="77777777" w:rsidTr="00B14CF0">
        <w:trPr>
          <w:cnfStyle w:val="000000100000" w:firstRow="0" w:lastRow="0" w:firstColumn="0" w:lastColumn="0" w:oddVBand="0" w:evenVBand="0" w:oddHBand="1" w:evenHBand="0" w:firstRowFirstColumn="0" w:firstRowLastColumn="0" w:lastRowFirstColumn="0" w:lastRowLastColumn="0"/>
          <w:trHeight w:val="325"/>
          <w:jc w:val="center"/>
        </w:trPr>
        <w:tc>
          <w:tcPr>
            <w:cnfStyle w:val="000010000000" w:firstRow="0" w:lastRow="0" w:firstColumn="0" w:lastColumn="0" w:oddVBand="1" w:evenVBand="0" w:oddHBand="0" w:evenHBand="0" w:firstRowFirstColumn="0" w:firstRowLastColumn="0" w:lastRowFirstColumn="0" w:lastRowLastColumn="0"/>
            <w:tcW w:w="3437" w:type="dxa"/>
            <w:gridSpan w:val="4"/>
            <w:tcBorders>
              <w:top w:val="single" w:sz="4" w:space="0" w:color="auto"/>
              <w:bottom w:val="single" w:sz="4" w:space="0" w:color="auto"/>
            </w:tcBorders>
            <w:shd w:val="clear" w:color="auto" w:fill="FFFFFF" w:themeFill="background1"/>
          </w:tcPr>
          <w:p w14:paraId="16E16128" w14:textId="77777777" w:rsidR="00B14CF0" w:rsidRPr="00555354" w:rsidRDefault="00937578" w:rsidP="001415FC">
            <w:pPr>
              <w:spacing w:line="360" w:lineRule="auto"/>
              <w:ind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 xml:space="preserve">4 años </w:t>
            </w:r>
          </w:p>
        </w:tc>
        <w:tc>
          <w:tcPr>
            <w:tcW w:w="2644" w:type="dxa"/>
            <w:gridSpan w:val="3"/>
            <w:tcBorders>
              <w:top w:val="single" w:sz="4" w:space="0" w:color="auto"/>
              <w:bottom w:val="single" w:sz="4" w:space="0" w:color="auto"/>
            </w:tcBorders>
            <w:shd w:val="clear" w:color="auto" w:fill="FFFFFF" w:themeFill="background1"/>
          </w:tcPr>
          <w:p w14:paraId="5F58ECAF" w14:textId="77777777" w:rsidR="00B14CF0" w:rsidRPr="00555354" w:rsidRDefault="00937578" w:rsidP="001415FC">
            <w:pPr>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5 años</w:t>
            </w:r>
          </w:p>
        </w:tc>
        <w:tc>
          <w:tcPr>
            <w:cnfStyle w:val="000010000000" w:firstRow="0" w:lastRow="0" w:firstColumn="0" w:lastColumn="0" w:oddVBand="1" w:evenVBand="0" w:oddHBand="0" w:evenHBand="0" w:firstRowFirstColumn="0" w:firstRowLastColumn="0" w:lastRowFirstColumn="0" w:lastRowLastColumn="0"/>
            <w:tcW w:w="2671" w:type="dxa"/>
            <w:gridSpan w:val="3"/>
            <w:tcBorders>
              <w:top w:val="single" w:sz="4" w:space="0" w:color="auto"/>
              <w:bottom w:val="single" w:sz="4" w:space="0" w:color="auto"/>
            </w:tcBorders>
            <w:shd w:val="clear" w:color="auto" w:fill="FFFFFF" w:themeFill="background1"/>
          </w:tcPr>
          <w:p w14:paraId="717CD568" w14:textId="77777777" w:rsidR="00B14CF0" w:rsidRPr="00555354" w:rsidRDefault="00937578" w:rsidP="001415FC">
            <w:pPr>
              <w:spacing w:line="360" w:lineRule="auto"/>
              <w:ind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6 años</w:t>
            </w:r>
          </w:p>
        </w:tc>
      </w:tr>
      <w:tr w:rsidR="00555354" w:rsidRPr="00555354" w14:paraId="06D21010" w14:textId="77777777" w:rsidTr="00B14CF0">
        <w:trPr>
          <w:trHeight w:val="325"/>
          <w:jc w:val="center"/>
        </w:trPr>
        <w:tc>
          <w:tcPr>
            <w:cnfStyle w:val="000010000000" w:firstRow="0" w:lastRow="0" w:firstColumn="0" w:lastColumn="0" w:oddVBand="1" w:evenVBand="0" w:oddHBand="0" w:evenHBand="0" w:firstRowFirstColumn="0" w:firstRowLastColumn="0" w:lastRowFirstColumn="0" w:lastRowLastColumn="0"/>
            <w:tcW w:w="767" w:type="dxa"/>
            <w:tcBorders>
              <w:top w:val="single" w:sz="4" w:space="0" w:color="auto"/>
              <w:bottom w:val="single" w:sz="4" w:space="0" w:color="auto"/>
            </w:tcBorders>
            <w:shd w:val="clear" w:color="auto" w:fill="FFFFFF" w:themeFill="background1"/>
          </w:tcPr>
          <w:p w14:paraId="5E0BC080" w14:textId="77777777" w:rsidR="00B14CF0" w:rsidRPr="00555354" w:rsidRDefault="00937578" w:rsidP="001415FC">
            <w:pPr>
              <w:spacing w:line="360" w:lineRule="auto"/>
              <w:rPr>
                <w:rFonts w:ascii="Times New Roman" w:hAnsi="Times New Roman" w:cs="Times New Roman"/>
                <w:sz w:val="24"/>
                <w:vertAlign w:val="subscript"/>
              </w:rPr>
            </w:pPr>
            <w:proofErr w:type="spellStart"/>
            <w:r w:rsidRPr="00555354">
              <w:rPr>
                <w:rFonts w:ascii="Times New Roman" w:hAnsi="Times New Roman" w:cs="Times New Roman"/>
                <w:sz w:val="24"/>
                <w:vertAlign w:val="subscript"/>
              </w:rPr>
              <w:t>Subtests</w:t>
            </w:r>
            <w:proofErr w:type="spellEnd"/>
          </w:p>
        </w:tc>
        <w:tc>
          <w:tcPr>
            <w:tcW w:w="712" w:type="dxa"/>
            <w:tcBorders>
              <w:top w:val="single" w:sz="4" w:space="0" w:color="auto"/>
              <w:bottom w:val="single" w:sz="4" w:space="0" w:color="auto"/>
            </w:tcBorders>
            <w:shd w:val="clear" w:color="auto" w:fill="FFFFFF" w:themeFill="background1"/>
          </w:tcPr>
          <w:p w14:paraId="03E4E8A3" w14:textId="77777777" w:rsidR="00B14CF0" w:rsidRPr="00555354" w:rsidRDefault="00937578" w:rsidP="001415FC">
            <w:pPr>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P25</w:t>
            </w:r>
          </w:p>
        </w:tc>
        <w:tc>
          <w:tcPr>
            <w:cnfStyle w:val="000010000000" w:firstRow="0" w:lastRow="0" w:firstColumn="0" w:lastColumn="0" w:oddVBand="1" w:evenVBand="0" w:oddHBand="0" w:evenHBand="0" w:firstRowFirstColumn="0" w:firstRowLastColumn="0" w:lastRowFirstColumn="0" w:lastRowLastColumn="0"/>
            <w:tcW w:w="1245" w:type="dxa"/>
            <w:tcBorders>
              <w:top w:val="single" w:sz="4" w:space="0" w:color="auto"/>
              <w:bottom w:val="single" w:sz="4" w:space="0" w:color="auto"/>
            </w:tcBorders>
            <w:shd w:val="clear" w:color="auto" w:fill="FFFFFF" w:themeFill="background1"/>
          </w:tcPr>
          <w:p w14:paraId="7FBD6B89" w14:textId="77777777" w:rsidR="00B14CF0" w:rsidRPr="00555354" w:rsidRDefault="00937578" w:rsidP="001415FC">
            <w:pPr>
              <w:spacing w:line="360" w:lineRule="auto"/>
              <w:ind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 xml:space="preserve">P50 </w:t>
            </w:r>
          </w:p>
        </w:tc>
        <w:tc>
          <w:tcPr>
            <w:tcW w:w="713" w:type="dxa"/>
            <w:tcBorders>
              <w:top w:val="single" w:sz="4" w:space="0" w:color="auto"/>
              <w:bottom w:val="single" w:sz="4" w:space="0" w:color="auto"/>
            </w:tcBorders>
            <w:shd w:val="clear" w:color="auto" w:fill="FFFFFF" w:themeFill="background1"/>
          </w:tcPr>
          <w:p w14:paraId="20D35B0F"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P75</w:t>
            </w:r>
          </w:p>
        </w:tc>
        <w:tc>
          <w:tcPr>
            <w:cnfStyle w:val="000010000000" w:firstRow="0" w:lastRow="0" w:firstColumn="0" w:lastColumn="0" w:oddVBand="1" w:evenVBand="0" w:oddHBand="0" w:evenHBand="0" w:firstRowFirstColumn="0" w:firstRowLastColumn="0" w:lastRowFirstColumn="0" w:lastRowLastColumn="0"/>
            <w:tcW w:w="713" w:type="dxa"/>
            <w:tcBorders>
              <w:top w:val="single" w:sz="4" w:space="0" w:color="auto"/>
              <w:bottom w:val="single" w:sz="4" w:space="0" w:color="auto"/>
            </w:tcBorders>
            <w:shd w:val="clear" w:color="auto" w:fill="FFFFFF" w:themeFill="background1"/>
          </w:tcPr>
          <w:p w14:paraId="675924B1" w14:textId="77777777" w:rsidR="00B14CF0" w:rsidRPr="00555354" w:rsidRDefault="00937578" w:rsidP="001415FC">
            <w:pPr>
              <w:spacing w:line="360" w:lineRule="auto"/>
              <w:ind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P25</w:t>
            </w:r>
          </w:p>
        </w:tc>
        <w:tc>
          <w:tcPr>
            <w:tcW w:w="1218" w:type="dxa"/>
            <w:tcBorders>
              <w:top w:val="single" w:sz="4" w:space="0" w:color="auto"/>
              <w:bottom w:val="single" w:sz="4" w:space="0" w:color="auto"/>
            </w:tcBorders>
            <w:shd w:val="clear" w:color="auto" w:fill="FFFFFF" w:themeFill="background1"/>
          </w:tcPr>
          <w:p w14:paraId="61E176C3" w14:textId="77777777" w:rsidR="00B14CF0" w:rsidRPr="00555354" w:rsidRDefault="00937578" w:rsidP="001415FC">
            <w:pPr>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 xml:space="preserve">P50 </w:t>
            </w:r>
          </w:p>
        </w:tc>
        <w:tc>
          <w:tcPr>
            <w:cnfStyle w:val="000010000000" w:firstRow="0" w:lastRow="0" w:firstColumn="0" w:lastColumn="0" w:oddVBand="1" w:evenVBand="0" w:oddHBand="0" w:evenHBand="0" w:firstRowFirstColumn="0" w:firstRowLastColumn="0" w:lastRowFirstColumn="0" w:lastRowLastColumn="0"/>
            <w:tcW w:w="713" w:type="dxa"/>
            <w:tcBorders>
              <w:top w:val="single" w:sz="4" w:space="0" w:color="auto"/>
              <w:bottom w:val="single" w:sz="4" w:space="0" w:color="auto"/>
            </w:tcBorders>
            <w:shd w:val="clear" w:color="auto" w:fill="FFFFFF" w:themeFill="background1"/>
          </w:tcPr>
          <w:p w14:paraId="2195F63A" w14:textId="77777777" w:rsidR="00B14CF0" w:rsidRPr="00555354" w:rsidRDefault="00937578" w:rsidP="001415FC">
            <w:pPr>
              <w:spacing w:line="360" w:lineRule="auto"/>
              <w:ind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P75</w:t>
            </w:r>
          </w:p>
        </w:tc>
        <w:tc>
          <w:tcPr>
            <w:tcW w:w="713" w:type="dxa"/>
            <w:tcBorders>
              <w:top w:val="single" w:sz="4" w:space="0" w:color="auto"/>
              <w:bottom w:val="single" w:sz="4" w:space="0" w:color="auto"/>
            </w:tcBorders>
            <w:shd w:val="clear" w:color="auto" w:fill="FFFFFF" w:themeFill="background1"/>
          </w:tcPr>
          <w:p w14:paraId="1113CB51" w14:textId="77777777" w:rsidR="00B14CF0" w:rsidRPr="00555354" w:rsidRDefault="00937578" w:rsidP="001415FC">
            <w:pPr>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P25</w:t>
            </w:r>
          </w:p>
        </w:tc>
        <w:tc>
          <w:tcPr>
            <w:cnfStyle w:val="000010000000" w:firstRow="0" w:lastRow="0" w:firstColumn="0" w:lastColumn="0" w:oddVBand="1" w:evenVBand="0" w:oddHBand="0" w:evenHBand="0" w:firstRowFirstColumn="0" w:firstRowLastColumn="0" w:lastRowFirstColumn="0" w:lastRowLastColumn="0"/>
            <w:tcW w:w="1245" w:type="dxa"/>
            <w:tcBorders>
              <w:top w:val="single" w:sz="4" w:space="0" w:color="auto"/>
              <w:bottom w:val="single" w:sz="4" w:space="0" w:color="auto"/>
            </w:tcBorders>
            <w:shd w:val="clear" w:color="auto" w:fill="FFFFFF" w:themeFill="background1"/>
          </w:tcPr>
          <w:p w14:paraId="3F6B9767" w14:textId="77777777" w:rsidR="00B14CF0" w:rsidRPr="00555354" w:rsidRDefault="00937578" w:rsidP="001415FC">
            <w:pPr>
              <w:spacing w:line="360" w:lineRule="auto"/>
              <w:ind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 xml:space="preserve">P50 </w:t>
            </w:r>
          </w:p>
        </w:tc>
        <w:tc>
          <w:tcPr>
            <w:tcW w:w="713" w:type="dxa"/>
            <w:tcBorders>
              <w:top w:val="single" w:sz="4" w:space="0" w:color="auto"/>
              <w:bottom w:val="single" w:sz="4" w:space="0" w:color="auto"/>
            </w:tcBorders>
            <w:shd w:val="clear" w:color="auto" w:fill="FFFFFF" w:themeFill="background1"/>
          </w:tcPr>
          <w:p w14:paraId="1D9C0E01" w14:textId="77777777" w:rsidR="00B14CF0" w:rsidRPr="00555354" w:rsidRDefault="00937578" w:rsidP="001415FC">
            <w:pPr>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P75</w:t>
            </w:r>
          </w:p>
        </w:tc>
      </w:tr>
      <w:tr w:rsidR="00555354" w:rsidRPr="00555354" w14:paraId="5B4A18ED" w14:textId="77777777" w:rsidTr="00B14CF0">
        <w:trPr>
          <w:cnfStyle w:val="000000100000" w:firstRow="0" w:lastRow="0" w:firstColumn="0" w:lastColumn="0" w:oddVBand="0" w:evenVBand="0" w:oddHBand="1" w:evenHBand="0" w:firstRowFirstColumn="0" w:firstRowLastColumn="0" w:lastRowFirstColumn="0" w:lastRowLastColumn="0"/>
          <w:trHeight w:val="325"/>
          <w:jc w:val="center"/>
        </w:trPr>
        <w:tc>
          <w:tcPr>
            <w:cnfStyle w:val="000010000000" w:firstRow="0" w:lastRow="0" w:firstColumn="0" w:lastColumn="0" w:oddVBand="1" w:evenVBand="0" w:oddHBand="0" w:evenHBand="0" w:firstRowFirstColumn="0" w:firstRowLastColumn="0" w:lastRowFirstColumn="0" w:lastRowLastColumn="0"/>
            <w:tcW w:w="767" w:type="dxa"/>
            <w:tcBorders>
              <w:top w:val="single" w:sz="4" w:space="0" w:color="auto"/>
            </w:tcBorders>
            <w:shd w:val="clear" w:color="auto" w:fill="FFFFFF" w:themeFill="background1"/>
          </w:tcPr>
          <w:p w14:paraId="43BEE52B" w14:textId="77777777" w:rsidR="00B14CF0" w:rsidRPr="00555354" w:rsidRDefault="00937578" w:rsidP="001415FC">
            <w:pPr>
              <w:spacing w:line="360" w:lineRule="auto"/>
              <w:ind w:left="60" w:right="60"/>
              <w:rPr>
                <w:rFonts w:ascii="Times New Roman" w:hAnsi="Times New Roman" w:cs="Times New Roman"/>
                <w:sz w:val="24"/>
                <w:vertAlign w:val="subscript"/>
              </w:rPr>
            </w:pPr>
            <w:r w:rsidRPr="00555354">
              <w:rPr>
                <w:rFonts w:ascii="Times New Roman" w:hAnsi="Times New Roman" w:cs="Times New Roman"/>
                <w:sz w:val="24"/>
                <w:vertAlign w:val="subscript"/>
              </w:rPr>
              <w:t xml:space="preserve">1 </w:t>
            </w:r>
          </w:p>
        </w:tc>
        <w:tc>
          <w:tcPr>
            <w:tcW w:w="712" w:type="dxa"/>
            <w:tcBorders>
              <w:top w:val="single" w:sz="4" w:space="0" w:color="auto"/>
            </w:tcBorders>
            <w:shd w:val="clear" w:color="auto" w:fill="FFFFFF" w:themeFill="background1"/>
          </w:tcPr>
          <w:p w14:paraId="0D6A74AC"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5.00</w:t>
            </w:r>
          </w:p>
        </w:tc>
        <w:tc>
          <w:tcPr>
            <w:cnfStyle w:val="000010000000" w:firstRow="0" w:lastRow="0" w:firstColumn="0" w:lastColumn="0" w:oddVBand="1" w:evenVBand="0" w:oddHBand="0" w:evenHBand="0" w:firstRowFirstColumn="0" w:firstRowLastColumn="0" w:lastRowFirstColumn="0" w:lastRowLastColumn="0"/>
            <w:tcW w:w="1245" w:type="dxa"/>
            <w:tcBorders>
              <w:top w:val="single" w:sz="4" w:space="0" w:color="auto"/>
            </w:tcBorders>
            <w:shd w:val="clear" w:color="auto" w:fill="FFFFFF" w:themeFill="background1"/>
          </w:tcPr>
          <w:p w14:paraId="480A99FD"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6.00 – 8.00</w:t>
            </w:r>
          </w:p>
        </w:tc>
        <w:tc>
          <w:tcPr>
            <w:tcW w:w="713" w:type="dxa"/>
            <w:tcBorders>
              <w:top w:val="single" w:sz="4" w:space="0" w:color="auto"/>
            </w:tcBorders>
            <w:shd w:val="clear" w:color="auto" w:fill="FFFFFF" w:themeFill="background1"/>
          </w:tcPr>
          <w:p w14:paraId="59C25EE4"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9.00</w:t>
            </w:r>
          </w:p>
        </w:tc>
        <w:tc>
          <w:tcPr>
            <w:cnfStyle w:val="000010000000" w:firstRow="0" w:lastRow="0" w:firstColumn="0" w:lastColumn="0" w:oddVBand="1" w:evenVBand="0" w:oddHBand="0" w:evenHBand="0" w:firstRowFirstColumn="0" w:firstRowLastColumn="0" w:lastRowFirstColumn="0" w:lastRowLastColumn="0"/>
            <w:tcW w:w="713" w:type="dxa"/>
            <w:tcBorders>
              <w:top w:val="single" w:sz="4" w:space="0" w:color="auto"/>
            </w:tcBorders>
            <w:shd w:val="clear" w:color="auto" w:fill="FFFFFF" w:themeFill="background1"/>
          </w:tcPr>
          <w:p w14:paraId="10BF44D2"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6.00</w:t>
            </w:r>
          </w:p>
        </w:tc>
        <w:tc>
          <w:tcPr>
            <w:tcW w:w="1218" w:type="dxa"/>
            <w:tcBorders>
              <w:top w:val="single" w:sz="4" w:space="0" w:color="auto"/>
            </w:tcBorders>
            <w:shd w:val="clear" w:color="auto" w:fill="FFFFFF" w:themeFill="background1"/>
          </w:tcPr>
          <w:p w14:paraId="14BFE6A9"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7.00 – 10.00</w:t>
            </w:r>
          </w:p>
        </w:tc>
        <w:tc>
          <w:tcPr>
            <w:cnfStyle w:val="000010000000" w:firstRow="0" w:lastRow="0" w:firstColumn="0" w:lastColumn="0" w:oddVBand="1" w:evenVBand="0" w:oddHBand="0" w:evenHBand="0" w:firstRowFirstColumn="0" w:firstRowLastColumn="0" w:lastRowFirstColumn="0" w:lastRowLastColumn="0"/>
            <w:tcW w:w="713" w:type="dxa"/>
            <w:tcBorders>
              <w:top w:val="single" w:sz="4" w:space="0" w:color="auto"/>
            </w:tcBorders>
            <w:shd w:val="clear" w:color="auto" w:fill="FFFFFF" w:themeFill="background1"/>
          </w:tcPr>
          <w:p w14:paraId="2100A7FB"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11.00</w:t>
            </w:r>
          </w:p>
        </w:tc>
        <w:tc>
          <w:tcPr>
            <w:tcW w:w="713" w:type="dxa"/>
            <w:tcBorders>
              <w:top w:val="single" w:sz="4" w:space="0" w:color="auto"/>
            </w:tcBorders>
            <w:shd w:val="clear" w:color="auto" w:fill="FFFFFF" w:themeFill="background1"/>
          </w:tcPr>
          <w:p w14:paraId="3138FFB5"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9.00</w:t>
            </w:r>
          </w:p>
        </w:tc>
        <w:tc>
          <w:tcPr>
            <w:cnfStyle w:val="000010000000" w:firstRow="0" w:lastRow="0" w:firstColumn="0" w:lastColumn="0" w:oddVBand="1" w:evenVBand="0" w:oddHBand="0" w:evenHBand="0" w:firstRowFirstColumn="0" w:firstRowLastColumn="0" w:lastRowFirstColumn="0" w:lastRowLastColumn="0"/>
            <w:tcW w:w="1245" w:type="dxa"/>
            <w:tcBorders>
              <w:top w:val="single" w:sz="4" w:space="0" w:color="auto"/>
            </w:tcBorders>
            <w:shd w:val="clear" w:color="auto" w:fill="FFFFFF" w:themeFill="background1"/>
          </w:tcPr>
          <w:p w14:paraId="72B68D14"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10.00 – 14.00</w:t>
            </w:r>
          </w:p>
        </w:tc>
        <w:tc>
          <w:tcPr>
            <w:tcW w:w="713" w:type="dxa"/>
            <w:tcBorders>
              <w:top w:val="single" w:sz="4" w:space="0" w:color="auto"/>
            </w:tcBorders>
            <w:shd w:val="clear" w:color="auto" w:fill="FFFFFF" w:themeFill="background1"/>
          </w:tcPr>
          <w:p w14:paraId="604F3FA9"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15.00</w:t>
            </w:r>
          </w:p>
        </w:tc>
      </w:tr>
      <w:tr w:rsidR="00555354" w:rsidRPr="00555354" w14:paraId="43C422B7" w14:textId="77777777" w:rsidTr="00B14CF0">
        <w:trPr>
          <w:trHeight w:val="325"/>
          <w:jc w:val="center"/>
        </w:trPr>
        <w:tc>
          <w:tcPr>
            <w:cnfStyle w:val="000010000000" w:firstRow="0" w:lastRow="0" w:firstColumn="0" w:lastColumn="0" w:oddVBand="1" w:evenVBand="0" w:oddHBand="0" w:evenHBand="0" w:firstRowFirstColumn="0" w:firstRowLastColumn="0" w:lastRowFirstColumn="0" w:lastRowLastColumn="0"/>
            <w:tcW w:w="767" w:type="dxa"/>
            <w:shd w:val="clear" w:color="auto" w:fill="FFFFFF" w:themeFill="background1"/>
          </w:tcPr>
          <w:p w14:paraId="44AB1078" w14:textId="77777777" w:rsidR="00B14CF0" w:rsidRPr="00555354" w:rsidRDefault="00937578" w:rsidP="001415FC">
            <w:pPr>
              <w:spacing w:line="360" w:lineRule="auto"/>
              <w:ind w:left="60" w:right="60"/>
              <w:rPr>
                <w:rFonts w:ascii="Times New Roman" w:hAnsi="Times New Roman" w:cs="Times New Roman"/>
                <w:sz w:val="24"/>
                <w:vertAlign w:val="subscript"/>
              </w:rPr>
            </w:pPr>
            <w:r w:rsidRPr="00555354">
              <w:rPr>
                <w:rFonts w:ascii="Times New Roman" w:hAnsi="Times New Roman" w:cs="Times New Roman"/>
                <w:sz w:val="24"/>
                <w:vertAlign w:val="subscript"/>
              </w:rPr>
              <w:t>2</w:t>
            </w:r>
          </w:p>
        </w:tc>
        <w:tc>
          <w:tcPr>
            <w:tcW w:w="712" w:type="dxa"/>
            <w:shd w:val="clear" w:color="auto" w:fill="FFFFFF" w:themeFill="background1"/>
          </w:tcPr>
          <w:p w14:paraId="71A3934C"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3.00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2B56C44B"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4.00 - 6.00</w:t>
            </w:r>
          </w:p>
        </w:tc>
        <w:tc>
          <w:tcPr>
            <w:tcW w:w="713" w:type="dxa"/>
            <w:shd w:val="clear" w:color="auto" w:fill="FFFFFF" w:themeFill="background1"/>
          </w:tcPr>
          <w:p w14:paraId="3AB54A7D"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7.00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57F75DB3"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4.00</w:t>
            </w:r>
          </w:p>
        </w:tc>
        <w:tc>
          <w:tcPr>
            <w:tcW w:w="1218" w:type="dxa"/>
            <w:shd w:val="clear" w:color="auto" w:fill="FFFFFF" w:themeFill="background1"/>
          </w:tcPr>
          <w:p w14:paraId="47D27006"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5.00 - 7.00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6F206168"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8.00</w:t>
            </w:r>
          </w:p>
        </w:tc>
        <w:tc>
          <w:tcPr>
            <w:tcW w:w="713" w:type="dxa"/>
            <w:shd w:val="clear" w:color="auto" w:fill="FFFFFF" w:themeFill="background1"/>
          </w:tcPr>
          <w:p w14:paraId="4845BAB5"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5.00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36188932"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6.00 – 7.00</w:t>
            </w:r>
          </w:p>
        </w:tc>
        <w:tc>
          <w:tcPr>
            <w:tcW w:w="713" w:type="dxa"/>
            <w:shd w:val="clear" w:color="auto" w:fill="FFFFFF" w:themeFill="background1"/>
          </w:tcPr>
          <w:p w14:paraId="66541C07"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8.00</w:t>
            </w:r>
          </w:p>
        </w:tc>
      </w:tr>
      <w:tr w:rsidR="00555354" w:rsidRPr="00555354" w14:paraId="7FDA60AD" w14:textId="77777777" w:rsidTr="00B14CF0">
        <w:trPr>
          <w:cnfStyle w:val="000000100000" w:firstRow="0" w:lastRow="0" w:firstColumn="0" w:lastColumn="0" w:oddVBand="0" w:evenVBand="0" w:oddHBand="1" w:evenHBand="0" w:firstRowFirstColumn="0" w:firstRowLastColumn="0" w:lastRowFirstColumn="0" w:lastRowLastColumn="0"/>
          <w:trHeight w:val="325"/>
          <w:jc w:val="center"/>
        </w:trPr>
        <w:tc>
          <w:tcPr>
            <w:cnfStyle w:val="000010000000" w:firstRow="0" w:lastRow="0" w:firstColumn="0" w:lastColumn="0" w:oddVBand="1" w:evenVBand="0" w:oddHBand="0" w:evenHBand="0" w:firstRowFirstColumn="0" w:firstRowLastColumn="0" w:lastRowFirstColumn="0" w:lastRowLastColumn="0"/>
            <w:tcW w:w="767" w:type="dxa"/>
            <w:shd w:val="clear" w:color="auto" w:fill="FFFFFF" w:themeFill="background1"/>
          </w:tcPr>
          <w:p w14:paraId="5674AF14" w14:textId="77777777" w:rsidR="00B14CF0" w:rsidRPr="00555354" w:rsidRDefault="00937578" w:rsidP="001415FC">
            <w:pPr>
              <w:spacing w:line="360" w:lineRule="auto"/>
              <w:ind w:left="60" w:right="60"/>
              <w:rPr>
                <w:rFonts w:ascii="Times New Roman" w:hAnsi="Times New Roman" w:cs="Times New Roman"/>
                <w:sz w:val="24"/>
                <w:vertAlign w:val="subscript"/>
              </w:rPr>
            </w:pPr>
            <w:r w:rsidRPr="00555354">
              <w:rPr>
                <w:rFonts w:ascii="Times New Roman" w:hAnsi="Times New Roman" w:cs="Times New Roman"/>
                <w:sz w:val="24"/>
                <w:vertAlign w:val="subscript"/>
              </w:rPr>
              <w:t>3</w:t>
            </w:r>
          </w:p>
        </w:tc>
        <w:tc>
          <w:tcPr>
            <w:tcW w:w="712" w:type="dxa"/>
            <w:shd w:val="clear" w:color="auto" w:fill="FFFFFF" w:themeFill="background1"/>
          </w:tcPr>
          <w:p w14:paraId="556D81FC"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14.00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652073B7"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15.00 – 18.00</w:t>
            </w:r>
          </w:p>
        </w:tc>
        <w:tc>
          <w:tcPr>
            <w:tcW w:w="713" w:type="dxa"/>
            <w:shd w:val="clear" w:color="auto" w:fill="FFFFFF" w:themeFill="background1"/>
          </w:tcPr>
          <w:p w14:paraId="29042526"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19.00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1F11EB56"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13.00</w:t>
            </w:r>
          </w:p>
        </w:tc>
        <w:tc>
          <w:tcPr>
            <w:tcW w:w="1218" w:type="dxa"/>
            <w:shd w:val="clear" w:color="auto" w:fill="FFFFFF" w:themeFill="background1"/>
          </w:tcPr>
          <w:p w14:paraId="0D7E157E"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14.00 - 19.00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390B2EAF"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20.00</w:t>
            </w:r>
          </w:p>
        </w:tc>
        <w:tc>
          <w:tcPr>
            <w:tcW w:w="713" w:type="dxa"/>
            <w:shd w:val="clear" w:color="auto" w:fill="FFFFFF" w:themeFill="background1"/>
          </w:tcPr>
          <w:p w14:paraId="7D0AB3FB"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15.00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1EA79E2B"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16.00 - 19.00</w:t>
            </w:r>
          </w:p>
        </w:tc>
        <w:tc>
          <w:tcPr>
            <w:tcW w:w="713" w:type="dxa"/>
            <w:shd w:val="clear" w:color="auto" w:fill="FFFFFF" w:themeFill="background1"/>
          </w:tcPr>
          <w:p w14:paraId="1F6BA65F"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20.00</w:t>
            </w:r>
          </w:p>
        </w:tc>
      </w:tr>
      <w:tr w:rsidR="00555354" w:rsidRPr="00555354" w14:paraId="6CABF102" w14:textId="77777777" w:rsidTr="00B14CF0">
        <w:trPr>
          <w:trHeight w:val="325"/>
          <w:jc w:val="center"/>
        </w:trPr>
        <w:tc>
          <w:tcPr>
            <w:cnfStyle w:val="000010000000" w:firstRow="0" w:lastRow="0" w:firstColumn="0" w:lastColumn="0" w:oddVBand="1" w:evenVBand="0" w:oddHBand="0" w:evenHBand="0" w:firstRowFirstColumn="0" w:firstRowLastColumn="0" w:lastRowFirstColumn="0" w:lastRowLastColumn="0"/>
            <w:tcW w:w="767" w:type="dxa"/>
            <w:shd w:val="clear" w:color="auto" w:fill="FFFFFF" w:themeFill="background1"/>
          </w:tcPr>
          <w:p w14:paraId="77BBC8B3" w14:textId="77777777" w:rsidR="00B14CF0" w:rsidRPr="00555354" w:rsidRDefault="00937578" w:rsidP="001415FC">
            <w:pPr>
              <w:spacing w:line="360" w:lineRule="auto"/>
              <w:ind w:left="60" w:right="60"/>
              <w:rPr>
                <w:rFonts w:ascii="Times New Roman" w:hAnsi="Times New Roman" w:cs="Times New Roman"/>
                <w:sz w:val="24"/>
                <w:vertAlign w:val="subscript"/>
              </w:rPr>
            </w:pPr>
            <w:r w:rsidRPr="00555354">
              <w:rPr>
                <w:rFonts w:ascii="Times New Roman" w:hAnsi="Times New Roman" w:cs="Times New Roman"/>
                <w:sz w:val="24"/>
                <w:vertAlign w:val="subscript"/>
              </w:rPr>
              <w:t>4</w:t>
            </w:r>
          </w:p>
        </w:tc>
        <w:tc>
          <w:tcPr>
            <w:tcW w:w="712" w:type="dxa"/>
            <w:shd w:val="clear" w:color="auto" w:fill="FFFFFF" w:themeFill="background1"/>
          </w:tcPr>
          <w:p w14:paraId="7A0F84F8"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4.00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406D075E"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5.00 – 8.00</w:t>
            </w:r>
          </w:p>
        </w:tc>
        <w:tc>
          <w:tcPr>
            <w:tcW w:w="713" w:type="dxa"/>
            <w:shd w:val="clear" w:color="auto" w:fill="FFFFFF" w:themeFill="background1"/>
          </w:tcPr>
          <w:p w14:paraId="31C082EE"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9.00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416BBFE0"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5.00</w:t>
            </w:r>
          </w:p>
        </w:tc>
        <w:tc>
          <w:tcPr>
            <w:tcW w:w="1218" w:type="dxa"/>
            <w:shd w:val="clear" w:color="auto" w:fill="FFFFFF" w:themeFill="background1"/>
          </w:tcPr>
          <w:p w14:paraId="5DACBEED"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6.00 - 9.00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47258009"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10.00</w:t>
            </w:r>
          </w:p>
        </w:tc>
        <w:tc>
          <w:tcPr>
            <w:tcW w:w="713" w:type="dxa"/>
            <w:shd w:val="clear" w:color="auto" w:fill="FFFFFF" w:themeFill="background1"/>
          </w:tcPr>
          <w:p w14:paraId="04ADAF5E"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7.00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162D5150"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8.00 - 9.00</w:t>
            </w:r>
          </w:p>
        </w:tc>
        <w:tc>
          <w:tcPr>
            <w:tcW w:w="713" w:type="dxa"/>
            <w:shd w:val="clear" w:color="auto" w:fill="FFFFFF" w:themeFill="background1"/>
          </w:tcPr>
          <w:p w14:paraId="63952B53"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10.00</w:t>
            </w:r>
          </w:p>
        </w:tc>
      </w:tr>
      <w:tr w:rsidR="00555354" w:rsidRPr="00555354" w14:paraId="6122037C" w14:textId="77777777" w:rsidTr="00B14CF0">
        <w:trPr>
          <w:cnfStyle w:val="000000100000" w:firstRow="0" w:lastRow="0" w:firstColumn="0" w:lastColumn="0" w:oddVBand="0" w:evenVBand="0" w:oddHBand="1" w:evenHBand="0" w:firstRowFirstColumn="0" w:firstRowLastColumn="0" w:lastRowFirstColumn="0" w:lastRowLastColumn="0"/>
          <w:trHeight w:val="325"/>
          <w:jc w:val="center"/>
        </w:trPr>
        <w:tc>
          <w:tcPr>
            <w:cnfStyle w:val="000010000000" w:firstRow="0" w:lastRow="0" w:firstColumn="0" w:lastColumn="0" w:oddVBand="1" w:evenVBand="0" w:oddHBand="0" w:evenHBand="0" w:firstRowFirstColumn="0" w:firstRowLastColumn="0" w:lastRowFirstColumn="0" w:lastRowLastColumn="0"/>
            <w:tcW w:w="767" w:type="dxa"/>
            <w:shd w:val="clear" w:color="auto" w:fill="FFFFFF" w:themeFill="background1"/>
          </w:tcPr>
          <w:p w14:paraId="1B49BC1C" w14:textId="77777777" w:rsidR="00B14CF0" w:rsidRPr="00555354" w:rsidRDefault="00937578" w:rsidP="001415FC">
            <w:pPr>
              <w:spacing w:line="360" w:lineRule="auto"/>
              <w:ind w:left="60" w:right="60"/>
              <w:rPr>
                <w:rFonts w:ascii="Times New Roman" w:hAnsi="Times New Roman" w:cs="Times New Roman"/>
                <w:sz w:val="24"/>
                <w:vertAlign w:val="subscript"/>
              </w:rPr>
            </w:pPr>
            <w:r w:rsidRPr="00555354">
              <w:rPr>
                <w:rFonts w:ascii="Times New Roman" w:hAnsi="Times New Roman" w:cs="Times New Roman"/>
                <w:sz w:val="24"/>
                <w:vertAlign w:val="subscript"/>
              </w:rPr>
              <w:t>5</w:t>
            </w:r>
          </w:p>
        </w:tc>
        <w:tc>
          <w:tcPr>
            <w:tcW w:w="712" w:type="dxa"/>
            <w:shd w:val="clear" w:color="auto" w:fill="FFFFFF" w:themeFill="background1"/>
          </w:tcPr>
          <w:p w14:paraId="76C244AD"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4.00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15D19E21"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5.00 – 8.00</w:t>
            </w:r>
          </w:p>
        </w:tc>
        <w:tc>
          <w:tcPr>
            <w:tcW w:w="713" w:type="dxa"/>
            <w:shd w:val="clear" w:color="auto" w:fill="FFFFFF" w:themeFill="background1"/>
          </w:tcPr>
          <w:p w14:paraId="25AC2671"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9.00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584B7758"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5.00</w:t>
            </w:r>
          </w:p>
        </w:tc>
        <w:tc>
          <w:tcPr>
            <w:tcW w:w="1218" w:type="dxa"/>
            <w:shd w:val="clear" w:color="auto" w:fill="FFFFFF" w:themeFill="background1"/>
          </w:tcPr>
          <w:p w14:paraId="622E50F2"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6.00 - 10.00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25E435EC"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11.00</w:t>
            </w:r>
          </w:p>
        </w:tc>
        <w:tc>
          <w:tcPr>
            <w:tcW w:w="713" w:type="dxa"/>
            <w:shd w:val="clear" w:color="auto" w:fill="FFFFFF" w:themeFill="background1"/>
          </w:tcPr>
          <w:p w14:paraId="3EF568B0"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8.00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67BE0C7D"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9.00 - 10.00</w:t>
            </w:r>
          </w:p>
        </w:tc>
        <w:tc>
          <w:tcPr>
            <w:tcW w:w="713" w:type="dxa"/>
            <w:shd w:val="clear" w:color="auto" w:fill="FFFFFF" w:themeFill="background1"/>
          </w:tcPr>
          <w:p w14:paraId="00F20E7A"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12.00</w:t>
            </w:r>
          </w:p>
        </w:tc>
      </w:tr>
      <w:tr w:rsidR="00555354" w:rsidRPr="00555354" w14:paraId="54DF78C6" w14:textId="77777777" w:rsidTr="00B14CF0">
        <w:trPr>
          <w:trHeight w:val="325"/>
          <w:jc w:val="center"/>
        </w:trPr>
        <w:tc>
          <w:tcPr>
            <w:cnfStyle w:val="000010000000" w:firstRow="0" w:lastRow="0" w:firstColumn="0" w:lastColumn="0" w:oddVBand="1" w:evenVBand="0" w:oddHBand="0" w:evenHBand="0" w:firstRowFirstColumn="0" w:firstRowLastColumn="0" w:lastRowFirstColumn="0" w:lastRowLastColumn="0"/>
            <w:tcW w:w="767" w:type="dxa"/>
            <w:shd w:val="clear" w:color="auto" w:fill="FFFFFF" w:themeFill="background1"/>
          </w:tcPr>
          <w:p w14:paraId="70EC897B" w14:textId="77777777" w:rsidR="00B14CF0" w:rsidRPr="00555354" w:rsidRDefault="00937578" w:rsidP="001415FC">
            <w:pPr>
              <w:spacing w:line="360" w:lineRule="auto"/>
              <w:ind w:left="60" w:right="60"/>
              <w:rPr>
                <w:rFonts w:ascii="Times New Roman" w:hAnsi="Times New Roman" w:cs="Times New Roman"/>
                <w:sz w:val="24"/>
                <w:vertAlign w:val="subscript"/>
              </w:rPr>
            </w:pPr>
            <w:r w:rsidRPr="00555354">
              <w:rPr>
                <w:rFonts w:ascii="Times New Roman" w:hAnsi="Times New Roman" w:cs="Times New Roman"/>
                <w:sz w:val="24"/>
                <w:vertAlign w:val="subscript"/>
              </w:rPr>
              <w:t>6</w:t>
            </w:r>
          </w:p>
        </w:tc>
        <w:tc>
          <w:tcPr>
            <w:tcW w:w="712" w:type="dxa"/>
            <w:shd w:val="clear" w:color="auto" w:fill="FFFFFF" w:themeFill="background1"/>
          </w:tcPr>
          <w:p w14:paraId="3D632C65"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10.00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20AAEA25"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11.00 - 20.00</w:t>
            </w:r>
          </w:p>
        </w:tc>
        <w:tc>
          <w:tcPr>
            <w:tcW w:w="713" w:type="dxa"/>
            <w:shd w:val="clear" w:color="auto" w:fill="FFFFFF" w:themeFill="background1"/>
          </w:tcPr>
          <w:p w14:paraId="57E563E8"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21.00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1636ACA7"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17.00</w:t>
            </w:r>
          </w:p>
        </w:tc>
        <w:tc>
          <w:tcPr>
            <w:tcW w:w="1218" w:type="dxa"/>
            <w:shd w:val="clear" w:color="auto" w:fill="FFFFFF" w:themeFill="background1"/>
          </w:tcPr>
          <w:p w14:paraId="4A8A2F53"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18.00 - 20.00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324666E2"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21.00</w:t>
            </w:r>
          </w:p>
        </w:tc>
        <w:tc>
          <w:tcPr>
            <w:tcW w:w="713" w:type="dxa"/>
            <w:shd w:val="clear" w:color="auto" w:fill="FFFFFF" w:themeFill="background1"/>
          </w:tcPr>
          <w:p w14:paraId="51E5BCE0"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18.00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758BAFDE"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19.00 - 20.00</w:t>
            </w:r>
          </w:p>
        </w:tc>
        <w:tc>
          <w:tcPr>
            <w:tcW w:w="713" w:type="dxa"/>
            <w:shd w:val="clear" w:color="auto" w:fill="FFFFFF" w:themeFill="background1"/>
          </w:tcPr>
          <w:p w14:paraId="0AE6D754"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21.00</w:t>
            </w:r>
          </w:p>
        </w:tc>
      </w:tr>
      <w:tr w:rsidR="00555354" w:rsidRPr="00555354" w14:paraId="130D41D3" w14:textId="77777777" w:rsidTr="00B14CF0">
        <w:trPr>
          <w:cnfStyle w:val="000000100000" w:firstRow="0" w:lastRow="0" w:firstColumn="0" w:lastColumn="0" w:oddVBand="0" w:evenVBand="0" w:oddHBand="1" w:evenHBand="0" w:firstRowFirstColumn="0" w:firstRowLastColumn="0" w:lastRowFirstColumn="0" w:lastRowLastColumn="0"/>
          <w:trHeight w:val="325"/>
          <w:jc w:val="center"/>
        </w:trPr>
        <w:tc>
          <w:tcPr>
            <w:cnfStyle w:val="000010000000" w:firstRow="0" w:lastRow="0" w:firstColumn="0" w:lastColumn="0" w:oddVBand="1" w:evenVBand="0" w:oddHBand="0" w:evenHBand="0" w:firstRowFirstColumn="0" w:firstRowLastColumn="0" w:lastRowFirstColumn="0" w:lastRowLastColumn="0"/>
            <w:tcW w:w="767" w:type="dxa"/>
            <w:shd w:val="clear" w:color="auto" w:fill="FFFFFF" w:themeFill="background1"/>
          </w:tcPr>
          <w:p w14:paraId="1C2913CE" w14:textId="77777777" w:rsidR="00B14CF0" w:rsidRPr="00555354" w:rsidRDefault="00937578" w:rsidP="001415FC">
            <w:pPr>
              <w:spacing w:line="360" w:lineRule="auto"/>
              <w:ind w:left="60" w:right="60"/>
              <w:rPr>
                <w:rFonts w:ascii="Times New Roman" w:hAnsi="Times New Roman" w:cs="Times New Roman"/>
                <w:sz w:val="24"/>
                <w:vertAlign w:val="subscript"/>
              </w:rPr>
            </w:pPr>
            <w:r w:rsidRPr="00555354">
              <w:rPr>
                <w:rFonts w:ascii="Times New Roman" w:hAnsi="Times New Roman" w:cs="Times New Roman"/>
                <w:sz w:val="24"/>
                <w:vertAlign w:val="subscript"/>
              </w:rPr>
              <w:t>7</w:t>
            </w:r>
          </w:p>
        </w:tc>
        <w:tc>
          <w:tcPr>
            <w:tcW w:w="712" w:type="dxa"/>
            <w:shd w:val="clear" w:color="auto" w:fill="FFFFFF" w:themeFill="background1"/>
          </w:tcPr>
          <w:p w14:paraId="6EE99170"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11.00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117D5A18"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12.00 – 17.00</w:t>
            </w:r>
          </w:p>
        </w:tc>
        <w:tc>
          <w:tcPr>
            <w:tcW w:w="713" w:type="dxa"/>
            <w:shd w:val="clear" w:color="auto" w:fill="FFFFFF" w:themeFill="background1"/>
          </w:tcPr>
          <w:p w14:paraId="10F60D7C"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17.00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4A6FFB74"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23.00</w:t>
            </w:r>
          </w:p>
        </w:tc>
        <w:tc>
          <w:tcPr>
            <w:tcW w:w="1218" w:type="dxa"/>
            <w:shd w:val="clear" w:color="auto" w:fill="FFFFFF" w:themeFill="background1"/>
          </w:tcPr>
          <w:p w14:paraId="450E6DD4"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24.00 - 29.00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55982BF1"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29.00</w:t>
            </w:r>
          </w:p>
        </w:tc>
        <w:tc>
          <w:tcPr>
            <w:tcW w:w="713" w:type="dxa"/>
            <w:shd w:val="clear" w:color="auto" w:fill="FFFFFF" w:themeFill="background1"/>
          </w:tcPr>
          <w:p w14:paraId="49DA92CB"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30.00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613E5235"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31.00 – 35.00</w:t>
            </w:r>
          </w:p>
        </w:tc>
        <w:tc>
          <w:tcPr>
            <w:tcW w:w="713" w:type="dxa"/>
            <w:shd w:val="clear" w:color="auto" w:fill="FFFFFF" w:themeFill="background1"/>
          </w:tcPr>
          <w:p w14:paraId="2EE49AA4"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36.00</w:t>
            </w:r>
          </w:p>
        </w:tc>
      </w:tr>
      <w:tr w:rsidR="00555354" w:rsidRPr="00555354" w14:paraId="4269F8F0" w14:textId="77777777" w:rsidTr="00B14CF0">
        <w:trPr>
          <w:trHeight w:val="325"/>
          <w:jc w:val="center"/>
        </w:trPr>
        <w:tc>
          <w:tcPr>
            <w:cnfStyle w:val="000010000000" w:firstRow="0" w:lastRow="0" w:firstColumn="0" w:lastColumn="0" w:oddVBand="1" w:evenVBand="0" w:oddHBand="0" w:evenHBand="0" w:firstRowFirstColumn="0" w:firstRowLastColumn="0" w:lastRowFirstColumn="0" w:lastRowLastColumn="0"/>
            <w:tcW w:w="767" w:type="dxa"/>
            <w:shd w:val="clear" w:color="auto" w:fill="FFFFFF" w:themeFill="background1"/>
          </w:tcPr>
          <w:p w14:paraId="7EA2F0A0" w14:textId="77777777" w:rsidR="00B14CF0" w:rsidRPr="00555354" w:rsidRDefault="00937578" w:rsidP="001415FC">
            <w:pPr>
              <w:spacing w:line="360" w:lineRule="auto"/>
              <w:ind w:left="60" w:right="60"/>
              <w:rPr>
                <w:rFonts w:ascii="Times New Roman" w:hAnsi="Times New Roman" w:cs="Times New Roman"/>
                <w:sz w:val="24"/>
                <w:vertAlign w:val="subscript"/>
              </w:rPr>
            </w:pPr>
            <w:r w:rsidRPr="00555354">
              <w:rPr>
                <w:rFonts w:ascii="Times New Roman" w:hAnsi="Times New Roman" w:cs="Times New Roman"/>
                <w:sz w:val="24"/>
                <w:vertAlign w:val="subscript"/>
              </w:rPr>
              <w:t>8</w:t>
            </w:r>
          </w:p>
        </w:tc>
        <w:tc>
          <w:tcPr>
            <w:tcW w:w="712" w:type="dxa"/>
            <w:shd w:val="clear" w:color="auto" w:fill="FFFFFF" w:themeFill="background1"/>
          </w:tcPr>
          <w:p w14:paraId="4BF61413"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7.00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3A6CF0BF"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8.00 – 9.00</w:t>
            </w:r>
          </w:p>
        </w:tc>
        <w:tc>
          <w:tcPr>
            <w:tcW w:w="713" w:type="dxa"/>
            <w:shd w:val="clear" w:color="auto" w:fill="FFFFFF" w:themeFill="background1"/>
          </w:tcPr>
          <w:p w14:paraId="005CB30C"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10.00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7F4D76CC"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13.00</w:t>
            </w:r>
          </w:p>
        </w:tc>
        <w:tc>
          <w:tcPr>
            <w:tcW w:w="1218" w:type="dxa"/>
            <w:shd w:val="clear" w:color="auto" w:fill="FFFFFF" w:themeFill="background1"/>
          </w:tcPr>
          <w:p w14:paraId="59D36D17"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14.00 - 16.00</w:t>
            </w:r>
          </w:p>
        </w:tc>
        <w:tc>
          <w:tcPr>
            <w:cnfStyle w:val="000010000000" w:firstRow="0" w:lastRow="0" w:firstColumn="0" w:lastColumn="0" w:oddVBand="1" w:evenVBand="0" w:oddHBand="0" w:evenHBand="0" w:firstRowFirstColumn="0" w:firstRowLastColumn="0" w:lastRowFirstColumn="0" w:lastRowLastColumn="0"/>
            <w:tcW w:w="713" w:type="dxa"/>
            <w:shd w:val="clear" w:color="auto" w:fill="FFFFFF" w:themeFill="background1"/>
          </w:tcPr>
          <w:p w14:paraId="1F0CF2AF"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17.00</w:t>
            </w:r>
          </w:p>
        </w:tc>
        <w:tc>
          <w:tcPr>
            <w:tcW w:w="713" w:type="dxa"/>
            <w:shd w:val="clear" w:color="auto" w:fill="FFFFFF" w:themeFill="background1"/>
          </w:tcPr>
          <w:p w14:paraId="4EC6E98F"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15.00</w:t>
            </w:r>
          </w:p>
        </w:tc>
        <w:tc>
          <w:tcPr>
            <w:cnfStyle w:val="000010000000" w:firstRow="0" w:lastRow="0" w:firstColumn="0" w:lastColumn="0" w:oddVBand="1" w:evenVBand="0" w:oddHBand="0" w:evenHBand="0" w:firstRowFirstColumn="0" w:firstRowLastColumn="0" w:lastRowFirstColumn="0" w:lastRowLastColumn="0"/>
            <w:tcW w:w="1245" w:type="dxa"/>
            <w:shd w:val="clear" w:color="auto" w:fill="FFFFFF" w:themeFill="background1"/>
          </w:tcPr>
          <w:p w14:paraId="3FFADF74"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16.00 - 18.00</w:t>
            </w:r>
          </w:p>
        </w:tc>
        <w:tc>
          <w:tcPr>
            <w:tcW w:w="713" w:type="dxa"/>
            <w:shd w:val="clear" w:color="auto" w:fill="FFFFFF" w:themeFill="background1"/>
          </w:tcPr>
          <w:p w14:paraId="165B2A14" w14:textId="77777777" w:rsidR="00B14CF0" w:rsidRPr="00555354" w:rsidRDefault="00937578" w:rsidP="001415FC">
            <w:pPr>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20.00</w:t>
            </w:r>
          </w:p>
        </w:tc>
      </w:tr>
      <w:tr w:rsidR="00555354" w:rsidRPr="00555354" w14:paraId="1F9A1C61" w14:textId="77777777" w:rsidTr="00B14CF0">
        <w:trPr>
          <w:cnfStyle w:val="000000100000" w:firstRow="0" w:lastRow="0" w:firstColumn="0" w:lastColumn="0" w:oddVBand="0" w:evenVBand="0" w:oddHBand="1" w:evenHBand="0" w:firstRowFirstColumn="0" w:firstRowLastColumn="0" w:lastRowFirstColumn="0" w:lastRowLastColumn="0"/>
          <w:trHeight w:val="325"/>
          <w:jc w:val="center"/>
        </w:trPr>
        <w:tc>
          <w:tcPr>
            <w:cnfStyle w:val="000010000000" w:firstRow="0" w:lastRow="0" w:firstColumn="0" w:lastColumn="0" w:oddVBand="1" w:evenVBand="0" w:oddHBand="0" w:evenHBand="0" w:firstRowFirstColumn="0" w:firstRowLastColumn="0" w:lastRowFirstColumn="0" w:lastRowLastColumn="0"/>
            <w:tcW w:w="767" w:type="dxa"/>
            <w:tcBorders>
              <w:bottom w:val="single" w:sz="4" w:space="0" w:color="auto"/>
            </w:tcBorders>
            <w:shd w:val="clear" w:color="auto" w:fill="FFFFFF" w:themeFill="background1"/>
          </w:tcPr>
          <w:p w14:paraId="767FE773" w14:textId="77777777" w:rsidR="00B14CF0" w:rsidRPr="00555354" w:rsidRDefault="00937578" w:rsidP="001415FC">
            <w:pPr>
              <w:spacing w:line="360" w:lineRule="auto"/>
              <w:ind w:left="60" w:right="60"/>
              <w:rPr>
                <w:rFonts w:ascii="Times New Roman" w:hAnsi="Times New Roman" w:cs="Times New Roman"/>
                <w:sz w:val="24"/>
                <w:vertAlign w:val="subscript"/>
              </w:rPr>
            </w:pPr>
            <w:r w:rsidRPr="00555354">
              <w:rPr>
                <w:rFonts w:ascii="Times New Roman" w:hAnsi="Times New Roman" w:cs="Times New Roman"/>
                <w:sz w:val="24"/>
                <w:vertAlign w:val="subscript"/>
              </w:rPr>
              <w:t>9</w:t>
            </w:r>
          </w:p>
        </w:tc>
        <w:tc>
          <w:tcPr>
            <w:tcW w:w="712" w:type="dxa"/>
            <w:tcBorders>
              <w:bottom w:val="single" w:sz="4" w:space="0" w:color="auto"/>
            </w:tcBorders>
            <w:shd w:val="clear" w:color="auto" w:fill="FFFFFF" w:themeFill="background1"/>
          </w:tcPr>
          <w:p w14:paraId="23DF25EF"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8.00</w:t>
            </w:r>
          </w:p>
        </w:tc>
        <w:tc>
          <w:tcPr>
            <w:cnfStyle w:val="000010000000" w:firstRow="0" w:lastRow="0" w:firstColumn="0" w:lastColumn="0" w:oddVBand="1" w:evenVBand="0" w:oddHBand="0" w:evenHBand="0" w:firstRowFirstColumn="0" w:firstRowLastColumn="0" w:lastRowFirstColumn="0" w:lastRowLastColumn="0"/>
            <w:tcW w:w="1245" w:type="dxa"/>
            <w:tcBorders>
              <w:bottom w:val="single" w:sz="4" w:space="0" w:color="auto"/>
            </w:tcBorders>
            <w:shd w:val="clear" w:color="auto" w:fill="FFFFFF" w:themeFill="background1"/>
          </w:tcPr>
          <w:p w14:paraId="42BEFEBE"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9.00 - 23.00</w:t>
            </w:r>
          </w:p>
        </w:tc>
        <w:tc>
          <w:tcPr>
            <w:tcW w:w="713" w:type="dxa"/>
            <w:tcBorders>
              <w:bottom w:val="single" w:sz="4" w:space="0" w:color="auto"/>
            </w:tcBorders>
            <w:shd w:val="clear" w:color="auto" w:fill="FFFFFF" w:themeFill="background1"/>
          </w:tcPr>
          <w:p w14:paraId="343F8C5A"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24.00</w:t>
            </w:r>
          </w:p>
        </w:tc>
        <w:tc>
          <w:tcPr>
            <w:cnfStyle w:val="000010000000" w:firstRow="0" w:lastRow="0" w:firstColumn="0" w:lastColumn="0" w:oddVBand="1" w:evenVBand="0" w:oddHBand="0" w:evenHBand="0" w:firstRowFirstColumn="0" w:firstRowLastColumn="0" w:lastRowFirstColumn="0" w:lastRowLastColumn="0"/>
            <w:tcW w:w="713" w:type="dxa"/>
            <w:tcBorders>
              <w:bottom w:val="single" w:sz="4" w:space="0" w:color="auto"/>
            </w:tcBorders>
            <w:shd w:val="clear" w:color="auto" w:fill="FFFFFF" w:themeFill="background1"/>
          </w:tcPr>
          <w:p w14:paraId="04F81D8F"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19.00</w:t>
            </w:r>
          </w:p>
        </w:tc>
        <w:tc>
          <w:tcPr>
            <w:tcW w:w="1218" w:type="dxa"/>
            <w:tcBorders>
              <w:bottom w:val="single" w:sz="4" w:space="0" w:color="auto"/>
            </w:tcBorders>
            <w:shd w:val="clear" w:color="auto" w:fill="FFFFFF" w:themeFill="background1"/>
          </w:tcPr>
          <w:p w14:paraId="3D92A7A7"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20.00 - 27.00</w:t>
            </w:r>
          </w:p>
        </w:tc>
        <w:tc>
          <w:tcPr>
            <w:cnfStyle w:val="000010000000" w:firstRow="0" w:lastRow="0" w:firstColumn="0" w:lastColumn="0" w:oddVBand="1" w:evenVBand="0" w:oddHBand="0" w:evenHBand="0" w:firstRowFirstColumn="0" w:firstRowLastColumn="0" w:lastRowFirstColumn="0" w:lastRowLastColumn="0"/>
            <w:tcW w:w="713" w:type="dxa"/>
            <w:tcBorders>
              <w:bottom w:val="single" w:sz="4" w:space="0" w:color="auto"/>
            </w:tcBorders>
            <w:shd w:val="clear" w:color="auto" w:fill="FFFFFF" w:themeFill="background1"/>
          </w:tcPr>
          <w:p w14:paraId="3E368E0E"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28.00</w:t>
            </w:r>
          </w:p>
        </w:tc>
        <w:tc>
          <w:tcPr>
            <w:tcW w:w="713" w:type="dxa"/>
            <w:tcBorders>
              <w:bottom w:val="single" w:sz="4" w:space="0" w:color="auto"/>
            </w:tcBorders>
            <w:shd w:val="clear" w:color="auto" w:fill="FFFFFF" w:themeFill="background1"/>
          </w:tcPr>
          <w:p w14:paraId="4DF48780"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19.00</w:t>
            </w:r>
          </w:p>
        </w:tc>
        <w:tc>
          <w:tcPr>
            <w:cnfStyle w:val="000010000000" w:firstRow="0" w:lastRow="0" w:firstColumn="0" w:lastColumn="0" w:oddVBand="1" w:evenVBand="0" w:oddHBand="0" w:evenHBand="0" w:firstRowFirstColumn="0" w:firstRowLastColumn="0" w:lastRowFirstColumn="0" w:lastRowLastColumn="0"/>
            <w:tcW w:w="1245" w:type="dxa"/>
            <w:tcBorders>
              <w:bottom w:val="single" w:sz="4" w:space="0" w:color="auto"/>
            </w:tcBorders>
            <w:shd w:val="clear" w:color="auto" w:fill="FFFFFF" w:themeFill="background1"/>
          </w:tcPr>
          <w:p w14:paraId="38FF203A" w14:textId="77777777" w:rsidR="00B14CF0" w:rsidRPr="00555354" w:rsidRDefault="00937578" w:rsidP="001415FC">
            <w:pPr>
              <w:spacing w:line="360" w:lineRule="auto"/>
              <w:ind w:left="60" w:right="60"/>
              <w:jc w:val="center"/>
              <w:rPr>
                <w:rFonts w:ascii="Times New Roman" w:hAnsi="Times New Roman" w:cs="Times New Roman"/>
                <w:sz w:val="24"/>
                <w:vertAlign w:val="subscript"/>
              </w:rPr>
            </w:pPr>
            <w:r w:rsidRPr="00555354">
              <w:rPr>
                <w:rFonts w:ascii="Times New Roman" w:hAnsi="Times New Roman" w:cs="Times New Roman"/>
                <w:sz w:val="24"/>
                <w:vertAlign w:val="subscript"/>
              </w:rPr>
              <w:t>20.00 - 27.00</w:t>
            </w:r>
          </w:p>
        </w:tc>
        <w:tc>
          <w:tcPr>
            <w:tcW w:w="713" w:type="dxa"/>
            <w:tcBorders>
              <w:bottom w:val="single" w:sz="4" w:space="0" w:color="auto"/>
            </w:tcBorders>
            <w:shd w:val="clear" w:color="auto" w:fill="FFFFFF" w:themeFill="background1"/>
          </w:tcPr>
          <w:p w14:paraId="2E842C09" w14:textId="77777777" w:rsidR="00B14CF0" w:rsidRPr="00555354" w:rsidRDefault="00937578" w:rsidP="001415FC">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vertAlign w:val="subscript"/>
              </w:rPr>
            </w:pPr>
            <w:r w:rsidRPr="00555354">
              <w:rPr>
                <w:rFonts w:ascii="Times New Roman" w:hAnsi="Times New Roman" w:cs="Times New Roman"/>
                <w:sz w:val="24"/>
                <w:vertAlign w:val="subscript"/>
              </w:rPr>
              <w:t>28.00</w:t>
            </w:r>
          </w:p>
        </w:tc>
      </w:tr>
    </w:tbl>
    <w:p w14:paraId="763F772C" w14:textId="77777777" w:rsidR="00B14CF0" w:rsidRPr="00555354" w:rsidRDefault="00937578" w:rsidP="001415FC">
      <w:pPr>
        <w:keepNext/>
        <w:keepLines/>
        <w:spacing w:after="0" w:line="360" w:lineRule="auto"/>
        <w:jc w:val="both"/>
        <w:rPr>
          <w:rFonts w:ascii="Times New Roman" w:eastAsiaTheme="majorEastAsia" w:hAnsi="Times New Roman" w:cs="Times New Roman"/>
          <w:b/>
          <w:i/>
          <w:sz w:val="20"/>
        </w:rPr>
      </w:pPr>
      <w:r w:rsidRPr="00555354">
        <w:rPr>
          <w:rFonts w:ascii="Times New Roman" w:eastAsia="Times New Roman" w:hAnsi="Times New Roman" w:cs="Times New Roman"/>
          <w:b/>
          <w:sz w:val="20"/>
          <w:lang w:val="es-CL" w:eastAsia="ar-SA"/>
        </w:rPr>
        <w:t xml:space="preserve">Nota: </w:t>
      </w:r>
      <w:proofErr w:type="spellStart"/>
      <w:r w:rsidRPr="00555354">
        <w:rPr>
          <w:rFonts w:ascii="Times New Roman" w:eastAsia="Times New Roman" w:hAnsi="Times New Roman" w:cs="Times New Roman"/>
          <w:sz w:val="20"/>
          <w:lang w:val="es-CL" w:eastAsia="ar-SA"/>
        </w:rPr>
        <w:t>Subtest</w:t>
      </w:r>
      <w:proofErr w:type="spellEnd"/>
      <w:r w:rsidRPr="00555354">
        <w:rPr>
          <w:rFonts w:ascii="Times New Roman" w:eastAsia="Times New Roman" w:hAnsi="Times New Roman" w:cs="Times New Roman"/>
          <w:sz w:val="20"/>
          <w:lang w:val="es-CL" w:eastAsia="ar-SA"/>
        </w:rPr>
        <w:t xml:space="preserve"> 1. Atención selectiva visual. </w:t>
      </w:r>
      <w:proofErr w:type="spellStart"/>
      <w:r w:rsidRPr="00555354">
        <w:rPr>
          <w:rFonts w:ascii="Times New Roman" w:eastAsia="Times New Roman" w:hAnsi="Times New Roman" w:cs="Times New Roman"/>
          <w:sz w:val="20"/>
          <w:lang w:val="es-CL" w:eastAsia="ar-SA"/>
        </w:rPr>
        <w:t>Subtest</w:t>
      </w:r>
      <w:proofErr w:type="spellEnd"/>
      <w:r w:rsidRPr="00555354">
        <w:rPr>
          <w:rFonts w:ascii="Times New Roman" w:eastAsia="Times New Roman" w:hAnsi="Times New Roman" w:cs="Times New Roman"/>
          <w:sz w:val="20"/>
          <w:lang w:val="es-CL" w:eastAsia="ar-SA"/>
        </w:rPr>
        <w:t xml:space="preserve"> 2. Memoria de trabajo visual. </w:t>
      </w:r>
      <w:proofErr w:type="spellStart"/>
      <w:r w:rsidRPr="00555354">
        <w:rPr>
          <w:rFonts w:ascii="Times New Roman" w:eastAsia="Times New Roman" w:hAnsi="Times New Roman" w:cs="Times New Roman"/>
          <w:sz w:val="20"/>
          <w:lang w:val="es-CL" w:eastAsia="ar-SA"/>
        </w:rPr>
        <w:t>Subtest</w:t>
      </w:r>
      <w:proofErr w:type="spellEnd"/>
      <w:r w:rsidRPr="00555354">
        <w:rPr>
          <w:rFonts w:ascii="Times New Roman" w:eastAsia="Times New Roman" w:hAnsi="Times New Roman" w:cs="Times New Roman"/>
          <w:sz w:val="20"/>
          <w:lang w:val="es-CL" w:eastAsia="ar-SA"/>
        </w:rPr>
        <w:t xml:space="preserve"> 3. Memoria de trabajo verbal. </w:t>
      </w:r>
      <w:proofErr w:type="spellStart"/>
      <w:r w:rsidRPr="00555354">
        <w:rPr>
          <w:rFonts w:ascii="Times New Roman" w:eastAsia="Times New Roman" w:hAnsi="Times New Roman" w:cs="Times New Roman"/>
          <w:sz w:val="20"/>
          <w:lang w:val="es-CL" w:eastAsia="ar-SA"/>
        </w:rPr>
        <w:t>Subtest</w:t>
      </w:r>
      <w:proofErr w:type="spellEnd"/>
      <w:r w:rsidRPr="00555354">
        <w:rPr>
          <w:rFonts w:ascii="Times New Roman" w:eastAsia="Times New Roman" w:hAnsi="Times New Roman" w:cs="Times New Roman"/>
          <w:sz w:val="20"/>
          <w:lang w:val="es-CL" w:eastAsia="ar-SA"/>
        </w:rPr>
        <w:t xml:space="preserve"> 4. Contar cantidades no simbólica. </w:t>
      </w:r>
      <w:proofErr w:type="spellStart"/>
      <w:r w:rsidRPr="00555354">
        <w:rPr>
          <w:rFonts w:ascii="Times New Roman" w:eastAsia="Times New Roman" w:hAnsi="Times New Roman" w:cs="Times New Roman"/>
          <w:sz w:val="20"/>
          <w:lang w:val="es-CL" w:eastAsia="ar-SA"/>
        </w:rPr>
        <w:t>Subtest</w:t>
      </w:r>
      <w:proofErr w:type="spellEnd"/>
      <w:r w:rsidRPr="00555354">
        <w:rPr>
          <w:rFonts w:ascii="Times New Roman" w:eastAsia="Times New Roman" w:hAnsi="Times New Roman" w:cs="Times New Roman"/>
          <w:sz w:val="20"/>
          <w:lang w:val="es-CL" w:eastAsia="ar-SA"/>
        </w:rPr>
        <w:t xml:space="preserve"> 5. Matrices. </w:t>
      </w:r>
      <w:proofErr w:type="spellStart"/>
      <w:r w:rsidRPr="00555354">
        <w:rPr>
          <w:rFonts w:ascii="Times New Roman" w:eastAsia="Times New Roman" w:hAnsi="Times New Roman" w:cs="Times New Roman"/>
          <w:sz w:val="20"/>
          <w:lang w:val="es-CL" w:eastAsia="ar-SA"/>
        </w:rPr>
        <w:t>Subtest</w:t>
      </w:r>
      <w:proofErr w:type="spellEnd"/>
      <w:r w:rsidRPr="00555354">
        <w:rPr>
          <w:rFonts w:ascii="Times New Roman" w:eastAsia="Times New Roman" w:hAnsi="Times New Roman" w:cs="Times New Roman"/>
          <w:sz w:val="20"/>
          <w:lang w:val="es-CL" w:eastAsia="ar-SA"/>
        </w:rPr>
        <w:t xml:space="preserve"> 6. Repetir sílabas. </w:t>
      </w:r>
      <w:proofErr w:type="spellStart"/>
      <w:r w:rsidRPr="00555354">
        <w:rPr>
          <w:rFonts w:ascii="Times New Roman" w:eastAsia="Times New Roman" w:hAnsi="Times New Roman" w:cs="Times New Roman"/>
          <w:sz w:val="20"/>
          <w:lang w:val="es-CL" w:eastAsia="ar-SA"/>
        </w:rPr>
        <w:t>Subtest</w:t>
      </w:r>
      <w:proofErr w:type="spellEnd"/>
      <w:r w:rsidRPr="00555354">
        <w:rPr>
          <w:rFonts w:ascii="Times New Roman" w:eastAsia="Times New Roman" w:hAnsi="Times New Roman" w:cs="Times New Roman"/>
          <w:sz w:val="20"/>
          <w:lang w:val="es-CL" w:eastAsia="ar-SA"/>
        </w:rPr>
        <w:t xml:space="preserve"> 7. Grafomotricidad. </w:t>
      </w:r>
      <w:proofErr w:type="spellStart"/>
      <w:r w:rsidRPr="00555354">
        <w:rPr>
          <w:rFonts w:ascii="Times New Roman" w:eastAsia="Times New Roman" w:hAnsi="Times New Roman" w:cs="Times New Roman"/>
          <w:sz w:val="20"/>
          <w:lang w:val="es-CL" w:eastAsia="ar-SA"/>
        </w:rPr>
        <w:t>Subtest</w:t>
      </w:r>
      <w:proofErr w:type="spellEnd"/>
      <w:r w:rsidRPr="00555354">
        <w:rPr>
          <w:rFonts w:ascii="Times New Roman" w:eastAsia="Times New Roman" w:hAnsi="Times New Roman" w:cs="Times New Roman"/>
          <w:sz w:val="20"/>
          <w:lang w:val="es-CL" w:eastAsia="ar-SA"/>
        </w:rPr>
        <w:t xml:space="preserve"> 8. Compresión de cuentos. </w:t>
      </w:r>
      <w:proofErr w:type="spellStart"/>
      <w:r w:rsidRPr="00555354">
        <w:rPr>
          <w:rFonts w:ascii="Times New Roman" w:eastAsia="Times New Roman" w:hAnsi="Times New Roman" w:cs="Times New Roman"/>
          <w:sz w:val="20"/>
          <w:lang w:val="es-CL" w:eastAsia="ar-SA"/>
        </w:rPr>
        <w:t>Subtest</w:t>
      </w:r>
      <w:proofErr w:type="spellEnd"/>
      <w:r w:rsidRPr="00555354">
        <w:rPr>
          <w:rFonts w:ascii="Times New Roman" w:eastAsia="Times New Roman" w:hAnsi="Times New Roman" w:cs="Times New Roman"/>
          <w:sz w:val="20"/>
          <w:lang w:val="es-CL" w:eastAsia="ar-SA"/>
        </w:rPr>
        <w:t xml:space="preserve"> 9. Vocabulario. </w:t>
      </w:r>
    </w:p>
    <w:p w14:paraId="7BCBCD30" w14:textId="77777777" w:rsidR="00B14CF0" w:rsidRPr="00555354" w:rsidRDefault="00B14CF0" w:rsidP="001415FC">
      <w:pPr>
        <w:tabs>
          <w:tab w:val="left" w:pos="6210"/>
        </w:tabs>
        <w:spacing w:after="0" w:line="360" w:lineRule="auto"/>
        <w:ind w:firstLine="708"/>
        <w:jc w:val="both"/>
        <w:rPr>
          <w:rFonts w:ascii="Times New Roman" w:eastAsia="Times New Roman" w:hAnsi="Times New Roman" w:cs="Times New Roman"/>
          <w:sz w:val="20"/>
          <w:lang w:val="es-CL" w:eastAsia="ar-SA"/>
        </w:rPr>
      </w:pPr>
    </w:p>
    <w:p w14:paraId="548BB488" w14:textId="77777777" w:rsidR="00B14CF0" w:rsidRPr="00555354" w:rsidRDefault="00937578" w:rsidP="001415FC">
      <w:pPr>
        <w:spacing w:after="0" w:line="360" w:lineRule="auto"/>
        <w:ind w:firstLine="708"/>
        <w:jc w:val="center"/>
        <w:rPr>
          <w:rFonts w:ascii="Times New Roman" w:eastAsia="Times New Roman" w:hAnsi="Times New Roman" w:cs="Times New Roman"/>
          <w:sz w:val="24"/>
          <w:lang w:val="es-CL" w:eastAsia="ar-SA"/>
        </w:rPr>
      </w:pPr>
      <w:r w:rsidRPr="00555354">
        <w:rPr>
          <w:rFonts w:ascii="Times New Roman" w:eastAsia="Times New Roman" w:hAnsi="Times New Roman" w:cs="Times New Roman"/>
          <w:b/>
          <w:sz w:val="24"/>
          <w:lang w:val="es-CL" w:eastAsia="ar-SA"/>
        </w:rPr>
        <w:t>Discusión</w:t>
      </w:r>
    </w:p>
    <w:p w14:paraId="0E999642" w14:textId="77777777" w:rsidR="00B14CF0" w:rsidRDefault="00937578" w:rsidP="001415FC">
      <w:pPr>
        <w:spacing w:after="0" w:line="360" w:lineRule="auto"/>
        <w:ind w:firstLine="708"/>
        <w:jc w:val="both"/>
        <w:rPr>
          <w:rFonts w:ascii="Times New Roman" w:eastAsia="Calibri" w:hAnsi="Times New Roman" w:cs="Times New Roman"/>
          <w:color w:val="242021"/>
          <w:sz w:val="24"/>
          <w:lang w:val="es-CL"/>
        </w:rPr>
      </w:pPr>
      <w:r w:rsidRPr="00555354">
        <w:rPr>
          <w:rFonts w:ascii="Times New Roman" w:eastAsia="Calibri" w:hAnsi="Times New Roman" w:cs="Times New Roman"/>
          <w:sz w:val="24"/>
          <w:lang w:val="es-CL"/>
        </w:rPr>
        <w:t>El presente estudio examinó la validez de contenid</w:t>
      </w:r>
      <w:r>
        <w:rPr>
          <w:rFonts w:ascii="Times New Roman" w:eastAsia="Calibri" w:hAnsi="Times New Roman" w:cs="Times New Roman"/>
          <w:sz w:val="24"/>
          <w:lang w:val="es-CL"/>
        </w:rPr>
        <w:t xml:space="preserve">o, la validez de estructura interna y la confiabilidad de consistencia interna de la B-PREA-R, instrumento que fue diseñado para (1) evaluar el desarrollo cognitivo de niños preescolares en el contexto cultural de Cuba y (2) ser aplicado por educadores. La </w:t>
      </w:r>
      <w:r>
        <w:rPr>
          <w:rFonts w:ascii="Times New Roman" w:eastAsia="Calibri" w:hAnsi="Times New Roman" w:cs="Times New Roman"/>
          <w:color w:val="242021"/>
          <w:sz w:val="24"/>
          <w:lang w:val="es-CL"/>
        </w:rPr>
        <w:t xml:space="preserve">validez de contenido de la B-PREA-R mejoró en comparación con la versión anterior (Ramírez, et al., 2018). La B-PREA contaba con 110 ítems donde el 28% tenían una discriminación baja, mientras que la versión revisada finalmente quedó con nueve </w:t>
      </w:r>
      <w:proofErr w:type="spellStart"/>
      <w:r>
        <w:rPr>
          <w:rFonts w:ascii="Times New Roman" w:eastAsia="Calibri" w:hAnsi="Times New Roman" w:cs="Times New Roman"/>
          <w:color w:val="242021"/>
          <w:sz w:val="24"/>
          <w:lang w:val="es-CL"/>
        </w:rPr>
        <w:t>subtests</w:t>
      </w:r>
      <w:proofErr w:type="spellEnd"/>
      <w:r>
        <w:rPr>
          <w:rFonts w:ascii="Times New Roman" w:eastAsia="Calibri" w:hAnsi="Times New Roman" w:cs="Times New Roman"/>
          <w:color w:val="242021"/>
          <w:sz w:val="24"/>
          <w:lang w:val="es-CL"/>
        </w:rPr>
        <w:t xml:space="preserve">, 199 ítems, 193 ítems con </w:t>
      </w:r>
      <w:r w:rsidR="00CF05E8">
        <w:rPr>
          <w:rFonts w:ascii="Times New Roman" w:eastAsia="Calibri" w:hAnsi="Times New Roman" w:cs="Times New Roman"/>
          <w:color w:val="242021"/>
          <w:sz w:val="24"/>
          <w:lang w:val="es-CL"/>
        </w:rPr>
        <w:t xml:space="preserve">alta </w:t>
      </w:r>
      <w:r>
        <w:rPr>
          <w:rFonts w:ascii="Times New Roman" w:eastAsia="Calibri" w:hAnsi="Times New Roman" w:cs="Times New Roman"/>
          <w:color w:val="242021"/>
          <w:sz w:val="24"/>
          <w:lang w:val="es-CL"/>
        </w:rPr>
        <w:t xml:space="preserve">y buena calidad, y seis con calidad regular. En la versión anterior, se recomendó mejorar el funcionamiento de los </w:t>
      </w:r>
      <w:proofErr w:type="spellStart"/>
      <w:r>
        <w:rPr>
          <w:rFonts w:ascii="Times New Roman" w:eastAsia="Calibri" w:hAnsi="Times New Roman" w:cs="Times New Roman"/>
          <w:color w:val="242021"/>
          <w:sz w:val="24"/>
          <w:lang w:val="es-CL"/>
        </w:rPr>
        <w:t>subtests</w:t>
      </w:r>
      <w:proofErr w:type="spellEnd"/>
      <w:r>
        <w:rPr>
          <w:rFonts w:ascii="Times New Roman" w:eastAsia="Calibri" w:hAnsi="Times New Roman" w:cs="Times New Roman"/>
          <w:color w:val="242021"/>
          <w:sz w:val="24"/>
          <w:lang w:val="es-CL"/>
        </w:rPr>
        <w:t xml:space="preserve"> vocabulario, rimas de sílabas, matrices y comparar cantidades, sin embargo, en la B-PREA-R se perfeccionó el </w:t>
      </w:r>
      <w:proofErr w:type="spellStart"/>
      <w:r>
        <w:rPr>
          <w:rFonts w:ascii="Times New Roman" w:eastAsia="Calibri" w:hAnsi="Times New Roman" w:cs="Times New Roman"/>
          <w:color w:val="242021"/>
          <w:sz w:val="24"/>
          <w:lang w:val="es-CL"/>
        </w:rPr>
        <w:t>subtests</w:t>
      </w:r>
      <w:proofErr w:type="spellEnd"/>
      <w:r>
        <w:rPr>
          <w:rFonts w:ascii="Times New Roman" w:eastAsia="Calibri" w:hAnsi="Times New Roman" w:cs="Times New Roman"/>
          <w:color w:val="242021"/>
          <w:sz w:val="24"/>
          <w:lang w:val="es-CL"/>
        </w:rPr>
        <w:t xml:space="preserve"> de matrices con 15 ítems de buena discriminación,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contar cantidades con todos sus ítems de buena calidad, el sub-test rimas de sílabas se eliminó y se elaboró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repetir sílabas con 16 ítems de buena calidad y cuatro de calidad regular, y finalmente,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de vocabulario mejoró con 18 ítems de buena calidad y dos ítems de calidad regular. </w:t>
      </w:r>
      <w:r>
        <w:rPr>
          <w:rFonts w:ascii="Times New Roman" w:eastAsia="Calibri" w:hAnsi="Times New Roman" w:cs="Times New Roman"/>
          <w:color w:val="242021"/>
          <w:sz w:val="24"/>
          <w:lang w:val="es-CL"/>
        </w:rPr>
        <w:lastRenderedPageBreak/>
        <w:t xml:space="preserve">Además, en la versión revisada se eliminó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comparar cantidades, que resultó muy fácil para los niños (efecto techo), y se reemplazó por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contar cantidades que incluye dos habilidades relacionadas con el procesamiento cognitivo numérico que son de vital importancia para la preparación del niño para su trayectoria académica en los primeros tres años de escolarización: la enumeración y la comparación de cantidades (Canto-López et al., 2019). </w:t>
      </w:r>
    </w:p>
    <w:p w14:paraId="35261514" w14:textId="77777777" w:rsidR="00B14CF0" w:rsidRDefault="00937578" w:rsidP="001415FC">
      <w:pPr>
        <w:spacing w:after="0" w:line="360" w:lineRule="auto"/>
        <w:ind w:firstLine="708"/>
        <w:jc w:val="both"/>
        <w:rPr>
          <w:rFonts w:ascii="Times New Roman" w:eastAsia="Calibri" w:hAnsi="Times New Roman" w:cs="Times New Roman"/>
          <w:color w:val="242021"/>
          <w:sz w:val="24"/>
          <w:lang w:val="es-CL"/>
        </w:rPr>
      </w:pPr>
      <w:r>
        <w:rPr>
          <w:rFonts w:ascii="Times New Roman" w:eastAsia="Calibri" w:hAnsi="Times New Roman" w:cs="Times New Roman"/>
          <w:color w:val="242021"/>
          <w:sz w:val="24"/>
          <w:lang w:val="es-CL"/>
        </w:rPr>
        <w:t xml:space="preserve">La validez de estructura interna sigue siendo apropiada tanto en la versión anterior de la B-PREA, como en la versión revisada. El análisis factorial presentó tres factores en la versión anterior (Habilidades de Procesamiento Cognitivo Numérico, Habilidades Ejecutivas y Habilidades Lingüísticas), mientras que la versión revisada confirmó tres factores (Habilidades Ejecutivas, Habilidades de Memoria y Habilidades Lingüísticas). En el factor 1 “Habilidades Ejecutivas” se </w:t>
      </w:r>
      <w:r>
        <w:rPr>
          <w:rFonts w:ascii="Times New Roman" w:eastAsia="Calibri" w:hAnsi="Times New Roman" w:cs="Times New Roman"/>
          <w:sz w:val="24"/>
          <w:lang w:val="es-CL"/>
        </w:rPr>
        <w:t xml:space="preserve">agruparon cinco </w:t>
      </w:r>
      <w:proofErr w:type="spellStart"/>
      <w:r>
        <w:rPr>
          <w:rFonts w:ascii="Times New Roman" w:eastAsia="Calibri" w:hAnsi="Times New Roman" w:cs="Times New Roman"/>
          <w:sz w:val="24"/>
          <w:lang w:val="es-CL"/>
        </w:rPr>
        <w:t>subtests</w:t>
      </w:r>
      <w:proofErr w:type="spellEnd"/>
      <w:r>
        <w:rPr>
          <w:rFonts w:ascii="Times New Roman" w:eastAsia="Calibri" w:hAnsi="Times New Roman" w:cs="Times New Roman"/>
          <w:sz w:val="24"/>
          <w:lang w:val="es-CL"/>
        </w:rPr>
        <w:t xml:space="preserve"> (atención selectiva visual, matrices, comprensión de cuentos, grafomotricidad y contar cantidades), los cuales contienen varias habilidades y acciones de la etapa, y son congruentes con modelos teóricos de las funciones ejecutivas (</w:t>
      </w:r>
      <w:proofErr w:type="spellStart"/>
      <w:r>
        <w:rPr>
          <w:rFonts w:ascii="Times New Roman" w:eastAsia="Calibri" w:hAnsi="Times New Roman" w:cs="Times New Roman"/>
          <w:sz w:val="24"/>
          <w:lang w:val="es-CL"/>
        </w:rPr>
        <w:t>Doebel</w:t>
      </w:r>
      <w:proofErr w:type="spellEnd"/>
      <w:r>
        <w:rPr>
          <w:rFonts w:ascii="Times New Roman" w:eastAsia="Calibri" w:hAnsi="Times New Roman" w:cs="Times New Roman"/>
          <w:sz w:val="24"/>
          <w:lang w:val="es-CL"/>
        </w:rPr>
        <w:t xml:space="preserve">, 2020; </w:t>
      </w:r>
      <w:proofErr w:type="spellStart"/>
      <w:r>
        <w:rPr>
          <w:rFonts w:ascii="Times New Roman" w:eastAsia="Calibri" w:hAnsi="Times New Roman" w:cs="Times New Roman"/>
          <w:sz w:val="24"/>
          <w:lang w:val="es-CL"/>
        </w:rPr>
        <w:t>Zelazo</w:t>
      </w:r>
      <w:proofErr w:type="spellEnd"/>
      <w:r>
        <w:rPr>
          <w:rFonts w:ascii="Times New Roman" w:eastAsia="Calibri" w:hAnsi="Times New Roman" w:cs="Times New Roman"/>
          <w:sz w:val="24"/>
          <w:lang w:val="es-CL"/>
        </w:rPr>
        <w:t xml:space="preserve">, 2020). </w:t>
      </w:r>
    </w:p>
    <w:p w14:paraId="11037576" w14:textId="77777777" w:rsidR="00B14CF0" w:rsidRDefault="00937578" w:rsidP="001415FC">
      <w:pPr>
        <w:spacing w:after="0" w:line="360" w:lineRule="auto"/>
        <w:ind w:firstLine="708"/>
        <w:jc w:val="both"/>
        <w:rPr>
          <w:rFonts w:ascii="Times New Roman" w:eastAsia="Calibri" w:hAnsi="Times New Roman" w:cs="Times New Roman"/>
          <w:color w:val="242021"/>
          <w:sz w:val="24"/>
        </w:rPr>
      </w:pPr>
      <w:proofErr w:type="spellStart"/>
      <w:r>
        <w:rPr>
          <w:rFonts w:ascii="Times New Roman" w:eastAsia="Calibri" w:hAnsi="Times New Roman" w:cs="Times New Roman"/>
          <w:sz w:val="24"/>
          <w:lang w:val="es-CL"/>
        </w:rPr>
        <w:t>Doebel</w:t>
      </w:r>
      <w:proofErr w:type="spellEnd"/>
      <w:r>
        <w:rPr>
          <w:rFonts w:ascii="Times New Roman" w:eastAsia="Calibri" w:hAnsi="Times New Roman" w:cs="Times New Roman"/>
          <w:sz w:val="24"/>
          <w:lang w:val="es-CL"/>
        </w:rPr>
        <w:t xml:space="preserve"> (2020), tomando como referencia el análisis de </w:t>
      </w:r>
      <w:proofErr w:type="spellStart"/>
      <w:r>
        <w:rPr>
          <w:rFonts w:ascii="Times New Roman" w:eastAsia="Calibri" w:hAnsi="Times New Roman" w:cs="Times New Roman"/>
          <w:sz w:val="24"/>
          <w:lang w:val="es-CL"/>
        </w:rPr>
        <w:t>Miyake</w:t>
      </w:r>
      <w:proofErr w:type="spellEnd"/>
      <w:r>
        <w:rPr>
          <w:rFonts w:ascii="Times New Roman" w:eastAsia="Calibri" w:hAnsi="Times New Roman" w:cs="Times New Roman"/>
          <w:sz w:val="24"/>
          <w:lang w:val="es-CL"/>
        </w:rPr>
        <w:t xml:space="preserve"> et al. (2000), declara que en las funciones ejecutivas</w:t>
      </w:r>
      <w:r>
        <w:rPr>
          <w:rFonts w:ascii="Times New Roman" w:eastAsia="Calibri" w:hAnsi="Times New Roman" w:cs="Times New Roman"/>
          <w:color w:val="FF0000"/>
          <w:sz w:val="24"/>
          <w:lang w:val="es-CL"/>
        </w:rPr>
        <w:t xml:space="preserve"> </w:t>
      </w:r>
      <w:r>
        <w:rPr>
          <w:rFonts w:ascii="Times New Roman" w:eastAsia="Calibri" w:hAnsi="Times New Roman" w:cs="Times New Roman"/>
          <w:color w:val="242021"/>
          <w:sz w:val="24"/>
          <w:lang w:val="es-CL"/>
        </w:rPr>
        <w:t>se distinguen tres funciones cognitivas básicas: el control inhibitorio, la memoria de trabajo y la flexibilidad cognitiva, de las cuales se desprenden las funciones ejecutivas superiores como la planificación y la resolución de problemas (</w:t>
      </w:r>
      <w:proofErr w:type="spellStart"/>
      <w:r>
        <w:rPr>
          <w:rFonts w:ascii="Times New Roman" w:eastAsia="Calibri" w:hAnsi="Times New Roman" w:cs="Times New Roman"/>
          <w:color w:val="242021"/>
          <w:sz w:val="24"/>
          <w:lang w:val="es-CL"/>
        </w:rPr>
        <w:t>Zelazo</w:t>
      </w:r>
      <w:proofErr w:type="spellEnd"/>
      <w:r>
        <w:rPr>
          <w:rFonts w:ascii="Times New Roman" w:eastAsia="Calibri" w:hAnsi="Times New Roman" w:cs="Times New Roman"/>
          <w:color w:val="242021"/>
          <w:sz w:val="24"/>
          <w:lang w:val="es-CL"/>
        </w:rPr>
        <w:t xml:space="preserve">, 2020). Desde esta clasificación,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atención selectiva visual sería la tarea que menos dudas podría ocasionar en este factor, sin embargo, los </w:t>
      </w:r>
      <w:proofErr w:type="spellStart"/>
      <w:r>
        <w:rPr>
          <w:rFonts w:ascii="Times New Roman" w:eastAsia="Calibri" w:hAnsi="Times New Roman" w:cs="Times New Roman"/>
          <w:color w:val="242021"/>
          <w:sz w:val="24"/>
          <w:lang w:val="es-CL"/>
        </w:rPr>
        <w:t>subtests</w:t>
      </w:r>
      <w:proofErr w:type="spellEnd"/>
      <w:r>
        <w:rPr>
          <w:rFonts w:ascii="Times New Roman" w:eastAsia="Calibri" w:hAnsi="Times New Roman" w:cs="Times New Roman"/>
          <w:color w:val="242021"/>
          <w:sz w:val="24"/>
          <w:lang w:val="es-CL"/>
        </w:rPr>
        <w:t xml:space="preserve"> </w:t>
      </w:r>
      <w:r>
        <w:rPr>
          <w:rFonts w:ascii="Times New Roman" w:eastAsia="Calibri" w:hAnsi="Times New Roman" w:cs="Times New Roman"/>
          <w:sz w:val="24"/>
          <w:lang w:val="es-CL"/>
        </w:rPr>
        <w:t xml:space="preserve">matrices, comprensión de cuentos, grafomotricidad y contar cantidades </w:t>
      </w:r>
      <w:r>
        <w:rPr>
          <w:rFonts w:ascii="Times New Roman" w:eastAsia="Calibri" w:hAnsi="Times New Roman" w:cs="Times New Roman"/>
          <w:color w:val="242021"/>
          <w:sz w:val="24"/>
          <w:lang w:val="es-CL"/>
        </w:rPr>
        <w:t xml:space="preserve">tienen un elemento en común: la planificación y la resolución de problemas, que a su vez incluye la flexibilidad cognitiva y la memoria de trabajo. </w:t>
      </w:r>
    </w:p>
    <w:p w14:paraId="4CBDF780" w14:textId="77777777" w:rsidR="00B14CF0" w:rsidRDefault="00937578" w:rsidP="001415FC">
      <w:pPr>
        <w:spacing w:after="0" w:line="360" w:lineRule="auto"/>
        <w:ind w:firstLine="708"/>
        <w:jc w:val="both"/>
        <w:rPr>
          <w:rFonts w:ascii="Times New Roman" w:eastAsia="Calibri" w:hAnsi="Times New Roman" w:cs="Times New Roman"/>
          <w:color w:val="242021"/>
          <w:sz w:val="24"/>
          <w:lang w:val="es-CL"/>
        </w:rPr>
      </w:pPr>
      <w:r>
        <w:rPr>
          <w:rFonts w:ascii="Times New Roman" w:eastAsia="Calibri" w:hAnsi="Times New Roman" w:cs="Times New Roman"/>
          <w:color w:val="242021"/>
          <w:sz w:val="24"/>
          <w:lang w:val="es-CL"/>
        </w:rPr>
        <w:t xml:space="preserve">Estos elementos se pueden observar cuando se analizan de manera específica las características de cada </w:t>
      </w:r>
      <w:proofErr w:type="spellStart"/>
      <w:r>
        <w:rPr>
          <w:rFonts w:ascii="Times New Roman" w:eastAsia="Calibri" w:hAnsi="Times New Roman" w:cs="Times New Roman"/>
          <w:color w:val="242021"/>
          <w:sz w:val="24"/>
          <w:lang w:val="es-CL"/>
        </w:rPr>
        <w:t>subtests</w:t>
      </w:r>
      <w:proofErr w:type="spellEnd"/>
      <w:r>
        <w:rPr>
          <w:rFonts w:ascii="Times New Roman" w:eastAsia="Calibri" w:hAnsi="Times New Roman" w:cs="Times New Roman"/>
          <w:color w:val="242021"/>
          <w:sz w:val="24"/>
          <w:lang w:val="es-CL"/>
        </w:rPr>
        <w:t xml:space="preserve">. En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de matrices, el niño debe buscar, entre cuatro alternativas de solución, una para completar la figura abstracta, de este modo lo obliga a buscar la alternativa adecuada empleando habilidades cognitivas superiores que también demandan las funciones ejecutivas. En este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el niño tiene que utilizar habilidades cognitivas superiores  como la percepción de tamaños, percepción de orientación en el espacio, en una dirección y en dos direcciones simultáneamente, analizar la figura como un todo y sus partes, concebir figuras correlativas y </w:t>
      </w:r>
      <w:r>
        <w:rPr>
          <w:rFonts w:ascii="Times New Roman" w:eastAsia="Calibri" w:hAnsi="Times New Roman" w:cs="Times New Roman"/>
          <w:sz w:val="24"/>
          <w:lang w:val="es-CL"/>
        </w:rPr>
        <w:t>deducción de relaciones (</w:t>
      </w:r>
      <w:proofErr w:type="spellStart"/>
      <w:r>
        <w:rPr>
          <w:rFonts w:ascii="Times New Roman" w:eastAsia="Calibri" w:hAnsi="Times New Roman" w:cs="Times New Roman"/>
          <w:sz w:val="24"/>
          <w:lang w:val="es-CL"/>
        </w:rPr>
        <w:t>Gizzonio</w:t>
      </w:r>
      <w:proofErr w:type="spellEnd"/>
      <w:r>
        <w:rPr>
          <w:rFonts w:ascii="Times New Roman" w:eastAsia="Calibri" w:hAnsi="Times New Roman" w:cs="Times New Roman"/>
          <w:sz w:val="24"/>
          <w:lang w:val="es-CL"/>
        </w:rPr>
        <w:t xml:space="preserve"> et al., 2021). </w:t>
      </w:r>
    </w:p>
    <w:p w14:paraId="2ECCB5DA" w14:textId="77777777" w:rsidR="00B14CF0" w:rsidRDefault="00937578" w:rsidP="001415FC">
      <w:pPr>
        <w:spacing w:after="0" w:line="360" w:lineRule="auto"/>
        <w:ind w:firstLine="708"/>
        <w:jc w:val="both"/>
        <w:rPr>
          <w:rFonts w:ascii="Times New Roman" w:eastAsia="Calibri" w:hAnsi="Times New Roman" w:cs="Times New Roman"/>
          <w:color w:val="242021"/>
          <w:sz w:val="24"/>
          <w:lang w:val="es-CL"/>
        </w:rPr>
      </w:pPr>
      <w:r>
        <w:rPr>
          <w:rFonts w:ascii="Times New Roman" w:eastAsia="Calibri" w:hAnsi="Times New Roman" w:cs="Times New Roman"/>
          <w:color w:val="242021"/>
          <w:sz w:val="24"/>
          <w:lang w:val="es-CL"/>
        </w:rPr>
        <w:lastRenderedPageBreak/>
        <w:t xml:space="preserve">En compresión de cuentos, tarea similar al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3 “</w:t>
      </w:r>
      <w:proofErr w:type="spellStart"/>
      <w:r>
        <w:rPr>
          <w:rFonts w:ascii="Times New Roman" w:eastAsia="Calibri" w:hAnsi="Times New Roman" w:cs="Times New Roman"/>
          <w:color w:val="242021"/>
          <w:sz w:val="24"/>
          <w:lang w:val="es-CL"/>
        </w:rPr>
        <w:t>rememorización</w:t>
      </w:r>
      <w:proofErr w:type="spellEnd"/>
      <w:r>
        <w:rPr>
          <w:rFonts w:ascii="Times New Roman" w:eastAsia="Calibri" w:hAnsi="Times New Roman" w:cs="Times New Roman"/>
          <w:color w:val="242021"/>
          <w:sz w:val="24"/>
          <w:lang w:val="es-CL"/>
        </w:rPr>
        <w:t xml:space="preserve"> de cuentos” de la Batería III </w:t>
      </w:r>
      <w:proofErr w:type="spellStart"/>
      <w:r>
        <w:rPr>
          <w:rFonts w:ascii="Times New Roman" w:eastAsia="Calibri" w:hAnsi="Times New Roman" w:cs="Times New Roman"/>
          <w:color w:val="242021"/>
          <w:sz w:val="24"/>
          <w:lang w:val="es-CL"/>
        </w:rPr>
        <w:t>Woodcock</w:t>
      </w:r>
      <w:proofErr w:type="spellEnd"/>
      <w:r>
        <w:rPr>
          <w:rFonts w:ascii="Times New Roman" w:eastAsia="Calibri" w:hAnsi="Times New Roman" w:cs="Times New Roman"/>
          <w:color w:val="242021"/>
          <w:sz w:val="24"/>
          <w:lang w:val="es-CL"/>
        </w:rPr>
        <w:t xml:space="preserve">-Muñoz, prueba de aprovechamiento (Muñoz-Sandoval et al., 2005), el niño debe escuchar con atención la redacción del adulto para comprender el mensaje explícito del texto (cuáles son los personajes, qué relación hay entre ellos, cuál es la historia) y finalmente responder seis preguntas literales en cada cuento. Este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tiene una significativa relación con el desarrollo del lenguaje oral, y precisamente la Batería III </w:t>
      </w:r>
      <w:proofErr w:type="spellStart"/>
      <w:r>
        <w:rPr>
          <w:rFonts w:ascii="Times New Roman" w:eastAsia="Calibri" w:hAnsi="Times New Roman" w:cs="Times New Roman"/>
          <w:color w:val="242021"/>
          <w:sz w:val="24"/>
          <w:lang w:val="es-CL"/>
        </w:rPr>
        <w:t>Woodcock</w:t>
      </w:r>
      <w:proofErr w:type="spellEnd"/>
      <w:r>
        <w:rPr>
          <w:rFonts w:ascii="Times New Roman" w:eastAsia="Calibri" w:hAnsi="Times New Roman" w:cs="Times New Roman"/>
          <w:color w:val="242021"/>
          <w:sz w:val="24"/>
          <w:lang w:val="es-CL"/>
        </w:rPr>
        <w:t>-Muñoz ubica a “</w:t>
      </w:r>
      <w:proofErr w:type="spellStart"/>
      <w:r>
        <w:rPr>
          <w:rFonts w:ascii="Times New Roman" w:eastAsia="Calibri" w:hAnsi="Times New Roman" w:cs="Times New Roman"/>
          <w:color w:val="242021"/>
          <w:sz w:val="24"/>
          <w:lang w:val="es-CL"/>
        </w:rPr>
        <w:t>rememorización</w:t>
      </w:r>
      <w:proofErr w:type="spellEnd"/>
      <w:r>
        <w:rPr>
          <w:rFonts w:ascii="Times New Roman" w:eastAsia="Calibri" w:hAnsi="Times New Roman" w:cs="Times New Roman"/>
          <w:color w:val="242021"/>
          <w:sz w:val="24"/>
          <w:lang w:val="es-CL"/>
        </w:rPr>
        <w:t xml:space="preserve"> de cuentos” en el factor comprensión-conocimiento, aunque la solución del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compresión de cuentos exige altos niveles de atención focalizada y de memoria de trabajo para</w:t>
      </w:r>
      <w:r>
        <w:t xml:space="preserve"> </w:t>
      </w:r>
      <w:r>
        <w:rPr>
          <w:rFonts w:ascii="Times New Roman" w:eastAsia="Calibri" w:hAnsi="Times New Roman" w:cs="Times New Roman"/>
          <w:color w:val="242021"/>
          <w:sz w:val="24"/>
          <w:lang w:val="es-CL"/>
        </w:rPr>
        <w:t xml:space="preserve">mantener, manipular y transformar la información relevante del cuento. Igualmente, es importante resaltar que dicho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no tiene apoyo visual, por lo tanto, es una exigencia para el niño escuchar atentamente el cuento y retener la información relevante</w:t>
      </w:r>
      <w:r>
        <w:rPr>
          <w:rFonts w:ascii="Times New Roman" w:eastAsia="Calibri" w:hAnsi="Times New Roman" w:cs="Times New Roman"/>
          <w:color w:val="242021"/>
          <w:sz w:val="24"/>
        </w:rPr>
        <w:t xml:space="preserve"> sobre la historia</w:t>
      </w:r>
      <w:r>
        <w:rPr>
          <w:rFonts w:ascii="Times New Roman" w:eastAsia="Calibri" w:hAnsi="Times New Roman" w:cs="Times New Roman"/>
          <w:color w:val="242021"/>
          <w:sz w:val="24"/>
          <w:lang w:val="es-CL"/>
        </w:rPr>
        <w:t xml:space="preserve">.  De este modo, las variables latentes que subyacen en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compresión de cuentos son más ejecutivas que lingüísticas, no obstante, el resultado podría cambiar en próximas investigaciones debido al tamaño de la muestra. </w:t>
      </w:r>
    </w:p>
    <w:p w14:paraId="7E69498D" w14:textId="77777777" w:rsidR="00B14CF0" w:rsidRDefault="00937578" w:rsidP="001415FC">
      <w:pPr>
        <w:spacing w:after="0" w:line="360" w:lineRule="auto"/>
        <w:ind w:firstLine="708"/>
        <w:jc w:val="both"/>
        <w:rPr>
          <w:rFonts w:ascii="Times New Roman" w:eastAsia="Calibri" w:hAnsi="Times New Roman" w:cs="Times New Roman"/>
          <w:color w:val="242021"/>
          <w:sz w:val="24"/>
          <w:lang w:val="es-CL"/>
        </w:rPr>
      </w:pPr>
      <w:r>
        <w:rPr>
          <w:rFonts w:ascii="Times New Roman" w:eastAsia="Calibri" w:hAnsi="Times New Roman" w:cs="Times New Roman"/>
          <w:color w:val="242021"/>
          <w:sz w:val="24"/>
          <w:lang w:val="es-CL"/>
        </w:rPr>
        <w:t xml:space="preserve">En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grafomotricidad, tarea similar al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6 “</w:t>
      </w:r>
      <w:proofErr w:type="spellStart"/>
      <w:r>
        <w:rPr>
          <w:rFonts w:ascii="Times New Roman" w:eastAsia="Calibri" w:hAnsi="Times New Roman" w:cs="Times New Roman"/>
          <w:color w:val="242021"/>
          <w:sz w:val="24"/>
          <w:lang w:val="es-CL"/>
        </w:rPr>
        <w:t>visopercepción</w:t>
      </w:r>
      <w:proofErr w:type="spellEnd"/>
      <w:r>
        <w:rPr>
          <w:rFonts w:ascii="Times New Roman" w:eastAsia="Calibri" w:hAnsi="Times New Roman" w:cs="Times New Roman"/>
          <w:color w:val="242021"/>
          <w:sz w:val="24"/>
          <w:lang w:val="es-CL"/>
        </w:rPr>
        <w:t>” en el Cuestionario de Madurez Neuropsicológica Infantil (CUMANIN) (</w:t>
      </w:r>
      <w:proofErr w:type="spellStart"/>
      <w:r>
        <w:rPr>
          <w:rFonts w:ascii="Times New Roman" w:eastAsia="Calibri" w:hAnsi="Times New Roman" w:cs="Times New Roman"/>
          <w:color w:val="242021"/>
          <w:sz w:val="24"/>
          <w:lang w:val="es-CL"/>
        </w:rPr>
        <w:t>Portellano</w:t>
      </w:r>
      <w:proofErr w:type="spellEnd"/>
      <w:r>
        <w:rPr>
          <w:rFonts w:ascii="Times New Roman" w:eastAsia="Calibri" w:hAnsi="Times New Roman" w:cs="Times New Roman"/>
          <w:color w:val="242021"/>
          <w:sz w:val="24"/>
          <w:lang w:val="es-CL"/>
        </w:rPr>
        <w:t xml:space="preserve"> et al., 2000), el niño está obligado a seguir un modelo gráfico que le exige el agarre correcto del lápiz con su mano rectora, hacer los trazos de manera continua, seguir la línea del trazo correctamente, dibujar en el espacio exigido y hacerlo con la mayor similitud posible, así como tener una adecuada coordinación mano-ojo-espacio. Algunos estudios de validación han demostrado que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w:t>
      </w:r>
      <w:proofErr w:type="spellStart"/>
      <w:r>
        <w:rPr>
          <w:rFonts w:ascii="Times New Roman" w:eastAsia="Calibri" w:hAnsi="Times New Roman" w:cs="Times New Roman"/>
          <w:color w:val="242021"/>
          <w:sz w:val="24"/>
          <w:lang w:val="es-CL"/>
        </w:rPr>
        <w:t>visopercepción</w:t>
      </w:r>
      <w:proofErr w:type="spellEnd"/>
      <w:r>
        <w:rPr>
          <w:rFonts w:ascii="Times New Roman" w:eastAsia="Calibri" w:hAnsi="Times New Roman" w:cs="Times New Roman"/>
          <w:color w:val="242021"/>
          <w:sz w:val="24"/>
          <w:lang w:val="es-CL"/>
        </w:rPr>
        <w:t xml:space="preserve"> es una tarea no verbal, y es adecuada para evaluar el desarrollo de las funciones ejecutivas en los preescolares (Parra et al., 2016; Ávila, 2012).</w:t>
      </w:r>
    </w:p>
    <w:p w14:paraId="2837B2DD" w14:textId="77777777" w:rsidR="00B14CF0" w:rsidRPr="00555354" w:rsidRDefault="00937578" w:rsidP="001415FC">
      <w:pPr>
        <w:spacing w:after="0" w:line="360" w:lineRule="auto"/>
        <w:ind w:firstLine="708"/>
        <w:jc w:val="both"/>
        <w:rPr>
          <w:rFonts w:ascii="Times New Roman" w:eastAsia="Calibri" w:hAnsi="Times New Roman" w:cs="Times New Roman"/>
          <w:sz w:val="24"/>
          <w:lang w:val="es-CL"/>
        </w:rPr>
      </w:pPr>
      <w:r>
        <w:rPr>
          <w:rFonts w:ascii="Times New Roman" w:eastAsia="Calibri" w:hAnsi="Times New Roman" w:cs="Times New Roman"/>
          <w:color w:val="242021"/>
          <w:sz w:val="24"/>
          <w:lang w:val="es-CL"/>
        </w:rPr>
        <w:t xml:space="preserve">En el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contar cantidades no simbólicas, tarea similar al </w:t>
      </w:r>
      <w:proofErr w:type="spellStart"/>
      <w:r>
        <w:rPr>
          <w:rFonts w:ascii="Times New Roman" w:eastAsia="Calibri" w:hAnsi="Times New Roman" w:cs="Times New Roman"/>
          <w:color w:val="242021"/>
          <w:sz w:val="24"/>
          <w:lang w:val="es-CL"/>
        </w:rPr>
        <w:t>subtest</w:t>
      </w:r>
      <w:proofErr w:type="spellEnd"/>
      <w:r>
        <w:rPr>
          <w:rFonts w:ascii="Times New Roman" w:eastAsia="Calibri" w:hAnsi="Times New Roman" w:cs="Times New Roman"/>
          <w:color w:val="242021"/>
          <w:sz w:val="24"/>
          <w:lang w:val="es-CL"/>
        </w:rPr>
        <w:t xml:space="preserve"> “conceptos cuantitativos”, Serie A, en la Batería III </w:t>
      </w:r>
      <w:proofErr w:type="spellStart"/>
      <w:r>
        <w:rPr>
          <w:rFonts w:ascii="Times New Roman" w:eastAsia="Calibri" w:hAnsi="Times New Roman" w:cs="Times New Roman"/>
          <w:color w:val="242021"/>
          <w:sz w:val="24"/>
          <w:lang w:val="es-CL"/>
        </w:rPr>
        <w:t>Woodcock</w:t>
      </w:r>
      <w:proofErr w:type="spellEnd"/>
      <w:r>
        <w:rPr>
          <w:rFonts w:ascii="Times New Roman" w:eastAsia="Calibri" w:hAnsi="Times New Roman" w:cs="Times New Roman"/>
          <w:color w:val="242021"/>
          <w:sz w:val="24"/>
          <w:lang w:val="es-CL"/>
        </w:rPr>
        <w:t xml:space="preserve">-Muñoz, prueba de aprovechamiento (Muñoz-Sandoval et al., 2005), el niño debe identificar cantidades entre 3 y 12 elementos en una figura, y luego buscar esa misma cantidad entre cuatro opciones, empleando operaciones de procesamiento cognitivo numérico como la enumeración y la comparación de cantidades. Detrás de estas operaciones el niño debe mantener el objetivo para solucionar el problema, y a su vez debe emplear varias estrategias numéricas, de </w:t>
      </w:r>
      <w:r w:rsidRPr="00555354">
        <w:rPr>
          <w:rFonts w:ascii="Times New Roman" w:eastAsia="Calibri" w:hAnsi="Times New Roman" w:cs="Times New Roman"/>
          <w:sz w:val="24"/>
          <w:lang w:val="es-CL"/>
        </w:rPr>
        <w:t>razonamiento verbal y visual (</w:t>
      </w:r>
      <w:proofErr w:type="spellStart"/>
      <w:r w:rsidRPr="00555354">
        <w:rPr>
          <w:rFonts w:ascii="Times New Roman" w:eastAsia="Calibri" w:hAnsi="Times New Roman" w:cs="Times New Roman"/>
          <w:sz w:val="24"/>
          <w:lang w:val="es-CL"/>
        </w:rPr>
        <w:t>Spiegel</w:t>
      </w:r>
      <w:proofErr w:type="spellEnd"/>
      <w:r w:rsidRPr="00555354">
        <w:rPr>
          <w:rFonts w:ascii="Times New Roman" w:eastAsia="Calibri" w:hAnsi="Times New Roman" w:cs="Times New Roman"/>
          <w:sz w:val="24"/>
          <w:lang w:val="es-CL"/>
        </w:rPr>
        <w:t xml:space="preserve"> et al., 2021).  </w:t>
      </w:r>
    </w:p>
    <w:p w14:paraId="7BD59FDF" w14:textId="424A8D6F" w:rsidR="00B14CF0" w:rsidRPr="00555354" w:rsidRDefault="00937578" w:rsidP="001415FC">
      <w:pPr>
        <w:spacing w:after="0" w:line="360" w:lineRule="auto"/>
        <w:ind w:firstLine="708"/>
        <w:jc w:val="both"/>
        <w:rPr>
          <w:rFonts w:ascii="Times New Roman" w:eastAsia="Calibri" w:hAnsi="Times New Roman" w:cs="Times New Roman"/>
          <w:sz w:val="24"/>
          <w:lang w:val="es-CL"/>
        </w:rPr>
      </w:pPr>
      <w:r w:rsidRPr="00555354">
        <w:rPr>
          <w:rFonts w:ascii="Times New Roman" w:eastAsia="Calibri" w:hAnsi="Times New Roman" w:cs="Times New Roman"/>
          <w:sz w:val="24"/>
          <w:lang w:val="es-CL"/>
        </w:rPr>
        <w:t xml:space="preserve">Por otra parte, la tendencia de la batería es agrupar tareas relacionadas con el desarrollo del lenguaje y la memoria del niño. En el caso del desarrollo del lenguaje se </w:t>
      </w:r>
      <w:r w:rsidRPr="00555354">
        <w:rPr>
          <w:rFonts w:ascii="Times New Roman" w:eastAsia="Calibri" w:hAnsi="Times New Roman" w:cs="Times New Roman"/>
          <w:sz w:val="24"/>
          <w:lang w:val="es-CL"/>
        </w:rPr>
        <w:lastRenderedPageBreak/>
        <w:t xml:space="preserve">pudo apreciar tres </w:t>
      </w:r>
      <w:proofErr w:type="spellStart"/>
      <w:r w:rsidR="004B1F4F" w:rsidRPr="00555354">
        <w:rPr>
          <w:rFonts w:ascii="Times New Roman" w:eastAsia="Calibri" w:hAnsi="Times New Roman" w:cs="Times New Roman"/>
          <w:sz w:val="24"/>
          <w:lang w:val="es-CL"/>
        </w:rPr>
        <w:t>subtests</w:t>
      </w:r>
      <w:proofErr w:type="spellEnd"/>
      <w:r w:rsidR="004B1F4F" w:rsidRPr="00555354">
        <w:rPr>
          <w:rFonts w:ascii="Times New Roman" w:eastAsia="Calibri" w:hAnsi="Times New Roman" w:cs="Times New Roman"/>
          <w:sz w:val="24"/>
          <w:lang w:val="es-CL"/>
        </w:rPr>
        <w:t xml:space="preserve"> </w:t>
      </w:r>
      <w:r w:rsidRPr="00555354">
        <w:rPr>
          <w:rFonts w:ascii="Times New Roman" w:eastAsia="Calibri" w:hAnsi="Times New Roman" w:cs="Times New Roman"/>
          <w:sz w:val="24"/>
          <w:lang w:val="es-CL"/>
        </w:rPr>
        <w:t>que permiten valorar las habilidades semánticas y fonológicas del niño, tales como vocabulario, memoria de trabajo verbal y</w:t>
      </w:r>
      <w:r w:rsidRPr="00555354">
        <w:t xml:space="preserve"> </w:t>
      </w:r>
      <w:r w:rsidRPr="00555354">
        <w:rPr>
          <w:rFonts w:ascii="Times New Roman" w:eastAsia="Calibri" w:hAnsi="Times New Roman" w:cs="Times New Roman"/>
          <w:sz w:val="24"/>
          <w:lang w:val="es-CL"/>
        </w:rPr>
        <w:t xml:space="preserve">repetir sílabas. Con respecto a la memoria, la batería agrupa un tercer factor nombrado habilidades de la memoria de trabajo, donde las características de la tarea posibilitan la afirmación del factor entre los demás </w:t>
      </w:r>
      <w:proofErr w:type="spellStart"/>
      <w:r w:rsidRPr="00555354">
        <w:rPr>
          <w:rFonts w:ascii="Times New Roman" w:eastAsia="Calibri" w:hAnsi="Times New Roman" w:cs="Times New Roman"/>
          <w:sz w:val="24"/>
          <w:lang w:val="es-CL"/>
        </w:rPr>
        <w:t>subtests</w:t>
      </w:r>
      <w:proofErr w:type="spellEnd"/>
      <w:r w:rsidRPr="00555354">
        <w:rPr>
          <w:rFonts w:ascii="Times New Roman" w:eastAsia="Calibri" w:hAnsi="Times New Roman" w:cs="Times New Roman"/>
          <w:sz w:val="24"/>
          <w:lang w:val="es-CL"/>
        </w:rPr>
        <w:t xml:space="preserve"> de la B-PREA-R. </w:t>
      </w:r>
    </w:p>
    <w:p w14:paraId="4D633B2D" w14:textId="77777777" w:rsidR="00B14CF0" w:rsidRPr="00555354" w:rsidRDefault="00937578" w:rsidP="001415FC">
      <w:pPr>
        <w:spacing w:after="0" w:line="360" w:lineRule="auto"/>
        <w:ind w:firstLine="708"/>
        <w:jc w:val="both"/>
        <w:rPr>
          <w:rFonts w:ascii="Times New Roman" w:eastAsia="Calibri" w:hAnsi="Times New Roman" w:cs="Times New Roman"/>
          <w:sz w:val="24"/>
          <w:lang w:val="es-CL"/>
        </w:rPr>
      </w:pPr>
      <w:r w:rsidRPr="00555354">
        <w:rPr>
          <w:rFonts w:ascii="Times New Roman" w:eastAsia="Calibri" w:hAnsi="Times New Roman" w:cs="Times New Roman"/>
          <w:sz w:val="24"/>
          <w:lang w:val="es-CL"/>
        </w:rPr>
        <w:t xml:space="preserve">El </w:t>
      </w:r>
      <w:proofErr w:type="spellStart"/>
      <w:r w:rsidRPr="00555354">
        <w:rPr>
          <w:rFonts w:ascii="Times New Roman" w:eastAsia="Calibri" w:hAnsi="Times New Roman" w:cs="Times New Roman"/>
          <w:sz w:val="24"/>
          <w:lang w:val="es-CL"/>
        </w:rPr>
        <w:t>subtest</w:t>
      </w:r>
      <w:proofErr w:type="spellEnd"/>
      <w:r w:rsidRPr="00555354">
        <w:rPr>
          <w:rFonts w:ascii="Times New Roman" w:eastAsia="Calibri" w:hAnsi="Times New Roman" w:cs="Times New Roman"/>
          <w:sz w:val="24"/>
          <w:lang w:val="es-CL"/>
        </w:rPr>
        <w:t xml:space="preserve"> de memoria de trabajo visual de la B-PREA-R fue elaborado con similares características a la versión del “Visual </w:t>
      </w:r>
      <w:proofErr w:type="spellStart"/>
      <w:r w:rsidRPr="00555354">
        <w:rPr>
          <w:rFonts w:ascii="Times New Roman" w:eastAsia="Calibri" w:hAnsi="Times New Roman" w:cs="Times New Roman"/>
          <w:sz w:val="24"/>
          <w:lang w:val="es-CL"/>
        </w:rPr>
        <w:t>Memory</w:t>
      </w:r>
      <w:proofErr w:type="spellEnd"/>
      <w:r w:rsidRPr="00555354">
        <w:rPr>
          <w:rFonts w:ascii="Times New Roman" w:eastAsia="Calibri" w:hAnsi="Times New Roman" w:cs="Times New Roman"/>
          <w:sz w:val="24"/>
          <w:lang w:val="es-CL"/>
        </w:rPr>
        <w:t xml:space="preserve"> </w:t>
      </w:r>
      <w:proofErr w:type="spellStart"/>
      <w:r w:rsidRPr="00555354">
        <w:rPr>
          <w:rFonts w:ascii="Times New Roman" w:eastAsia="Calibri" w:hAnsi="Times New Roman" w:cs="Times New Roman"/>
          <w:sz w:val="24"/>
          <w:lang w:val="es-CL"/>
        </w:rPr>
        <w:t>Span</w:t>
      </w:r>
      <w:proofErr w:type="spellEnd"/>
      <w:r w:rsidRPr="00555354">
        <w:rPr>
          <w:rFonts w:ascii="Times New Roman" w:eastAsia="Calibri" w:hAnsi="Times New Roman" w:cs="Times New Roman"/>
          <w:sz w:val="24"/>
          <w:lang w:val="es-CL"/>
        </w:rPr>
        <w:t xml:space="preserve">” de la Escala de Memoria de </w:t>
      </w:r>
      <w:proofErr w:type="spellStart"/>
      <w:r w:rsidRPr="00555354">
        <w:rPr>
          <w:rFonts w:ascii="Times New Roman" w:eastAsia="Calibri" w:hAnsi="Times New Roman" w:cs="Times New Roman"/>
          <w:sz w:val="24"/>
          <w:lang w:val="es-CL"/>
        </w:rPr>
        <w:t>Wechsler</w:t>
      </w:r>
      <w:proofErr w:type="spellEnd"/>
      <w:r w:rsidRPr="00555354">
        <w:rPr>
          <w:rFonts w:ascii="Times New Roman" w:eastAsia="Calibri" w:hAnsi="Times New Roman" w:cs="Times New Roman"/>
          <w:sz w:val="24"/>
          <w:lang w:val="es-CL"/>
        </w:rPr>
        <w:t xml:space="preserve"> Revisada, siendo una tarea que se ha comportado como un factor independiente en varias investigaciones cuando se realiza un análisis factorial confirmatorio o exploratorio (Fernández et at., 2019; Zapata et al., 2019; Rosas et al., 2022;</w:t>
      </w:r>
      <w:r w:rsidRPr="00555354">
        <w:rPr>
          <w:rFonts w:ascii="Times New Roman" w:hAnsi="Times New Roman" w:cs="Times New Roman"/>
          <w:sz w:val="24"/>
        </w:rPr>
        <w:t xml:space="preserve"> </w:t>
      </w:r>
      <w:proofErr w:type="spellStart"/>
      <w:r w:rsidRPr="00555354">
        <w:rPr>
          <w:rFonts w:ascii="Times New Roman" w:hAnsi="Times New Roman" w:cs="Times New Roman"/>
          <w:sz w:val="24"/>
        </w:rPr>
        <w:t>Marreros-Tananta</w:t>
      </w:r>
      <w:proofErr w:type="spellEnd"/>
      <w:r w:rsidRPr="00555354">
        <w:rPr>
          <w:rFonts w:ascii="Times New Roman" w:hAnsi="Times New Roman" w:cs="Times New Roman"/>
          <w:sz w:val="24"/>
        </w:rPr>
        <w:t xml:space="preserve"> &amp; Guerrero-Alcedo</w:t>
      </w:r>
      <w:r w:rsidRPr="00555354">
        <w:rPr>
          <w:rFonts w:ascii="Times New Roman" w:eastAsia="Calibri" w:hAnsi="Times New Roman" w:cs="Times New Roman"/>
          <w:sz w:val="24"/>
          <w:lang w:val="es-CL"/>
        </w:rPr>
        <w:t xml:space="preserve">, 2022). </w:t>
      </w:r>
    </w:p>
    <w:p w14:paraId="72E20F47" w14:textId="77777777" w:rsidR="00B14CF0" w:rsidRDefault="00937578" w:rsidP="001415FC">
      <w:pPr>
        <w:spacing w:after="0" w:line="360" w:lineRule="auto"/>
        <w:ind w:firstLine="708"/>
        <w:jc w:val="both"/>
        <w:rPr>
          <w:rFonts w:ascii="Times New Roman" w:eastAsia="Calibri" w:hAnsi="Times New Roman" w:cs="Times New Roman"/>
          <w:color w:val="242021"/>
          <w:sz w:val="24"/>
          <w:lang w:val="es-CL"/>
        </w:rPr>
      </w:pPr>
      <w:r>
        <w:rPr>
          <w:rFonts w:ascii="Times New Roman" w:eastAsia="Calibri" w:hAnsi="Times New Roman" w:cs="Times New Roman"/>
          <w:color w:val="242021"/>
          <w:sz w:val="24"/>
          <w:lang w:val="es-CL"/>
        </w:rPr>
        <w:t xml:space="preserve">La consistencia interna de la B-PREA-R mostró valores apropiados para una prueba psicométrica con varios </w:t>
      </w:r>
      <w:proofErr w:type="spellStart"/>
      <w:r>
        <w:rPr>
          <w:rFonts w:ascii="Times New Roman" w:eastAsia="Calibri" w:hAnsi="Times New Roman" w:cs="Times New Roman"/>
          <w:color w:val="242021"/>
          <w:sz w:val="24"/>
          <w:lang w:val="es-CL"/>
        </w:rPr>
        <w:t>subtests</w:t>
      </w:r>
      <w:proofErr w:type="spellEnd"/>
      <w:r>
        <w:rPr>
          <w:rFonts w:ascii="Times New Roman" w:eastAsia="Calibri" w:hAnsi="Times New Roman" w:cs="Times New Roman"/>
          <w:color w:val="242021"/>
          <w:sz w:val="24"/>
          <w:lang w:val="es-CL"/>
        </w:rPr>
        <w:t>: alfa = .85 y alfa cuando se elimina el ítem entre .83 y .86. La versión anterior igualmente mostró valores apropiados (alfa cuando el ítem es eliminado entre .78 y .81), aunque presentó una consistencia interna con el método test–</w:t>
      </w:r>
      <w:proofErr w:type="spellStart"/>
      <w:r>
        <w:rPr>
          <w:rFonts w:ascii="Times New Roman" w:eastAsia="Calibri" w:hAnsi="Times New Roman" w:cs="Times New Roman"/>
          <w:color w:val="242021"/>
          <w:sz w:val="24"/>
          <w:lang w:val="es-CL"/>
        </w:rPr>
        <w:t>retest</w:t>
      </w:r>
      <w:proofErr w:type="spellEnd"/>
      <w:r>
        <w:rPr>
          <w:rFonts w:ascii="Times New Roman" w:eastAsia="Calibri" w:hAnsi="Times New Roman" w:cs="Times New Roman"/>
          <w:color w:val="242021"/>
          <w:sz w:val="24"/>
          <w:lang w:val="es-CL"/>
        </w:rPr>
        <w:t xml:space="preserve"> entre .82 y .94. De este modo, se recomienda para próximas investigaciones realizar un análisis de consistencia interna a través del método test-</w:t>
      </w:r>
      <w:proofErr w:type="spellStart"/>
      <w:r>
        <w:rPr>
          <w:rFonts w:ascii="Times New Roman" w:eastAsia="Calibri" w:hAnsi="Times New Roman" w:cs="Times New Roman"/>
          <w:color w:val="242021"/>
          <w:sz w:val="24"/>
          <w:lang w:val="es-CL"/>
        </w:rPr>
        <w:t>retest</w:t>
      </w:r>
      <w:proofErr w:type="spellEnd"/>
      <w:r>
        <w:rPr>
          <w:rFonts w:ascii="Times New Roman" w:eastAsia="Calibri" w:hAnsi="Times New Roman" w:cs="Times New Roman"/>
          <w:color w:val="242021"/>
          <w:sz w:val="24"/>
          <w:lang w:val="es-CL"/>
        </w:rPr>
        <w:t xml:space="preserve">. </w:t>
      </w:r>
    </w:p>
    <w:p w14:paraId="65710024" w14:textId="6D053315" w:rsidR="00B14CF0" w:rsidRPr="00555354" w:rsidRDefault="00937578" w:rsidP="001415FC">
      <w:pPr>
        <w:spacing w:after="0" w:line="360" w:lineRule="auto"/>
        <w:ind w:firstLine="708"/>
        <w:jc w:val="both"/>
        <w:rPr>
          <w:rFonts w:ascii="Times New Roman" w:eastAsia="Times New Roman" w:hAnsi="Times New Roman" w:cs="Times New Roman"/>
          <w:sz w:val="24"/>
          <w:lang w:val="es-CL" w:eastAsia="ar-SA"/>
        </w:rPr>
      </w:pPr>
      <w:r>
        <w:rPr>
          <w:rFonts w:ascii="Times New Roman" w:eastAsia="Calibri" w:hAnsi="Times New Roman" w:cs="Times New Roman"/>
          <w:color w:val="242021"/>
          <w:sz w:val="24"/>
          <w:lang w:val="es-CL"/>
        </w:rPr>
        <w:t xml:space="preserve">Si bien, este estudio es </w:t>
      </w:r>
      <w:r w:rsidRPr="00555354">
        <w:rPr>
          <w:rFonts w:ascii="Times New Roman" w:eastAsia="Calibri" w:hAnsi="Times New Roman" w:cs="Times New Roman"/>
          <w:sz w:val="24"/>
          <w:lang w:val="es-CL"/>
        </w:rPr>
        <w:t xml:space="preserve">un aporte importante a la </w:t>
      </w:r>
      <w:r w:rsidRPr="00555354">
        <w:rPr>
          <w:rFonts w:ascii="Times New Roman" w:eastAsia="Times New Roman" w:hAnsi="Times New Roman" w:cs="Times New Roman"/>
          <w:sz w:val="24"/>
          <w:lang w:val="es-CL" w:eastAsia="ar-SA"/>
        </w:rPr>
        <w:t xml:space="preserve">evaluación del desarrollo cognitivo en la etapa preescolar, por la presentación de nueve </w:t>
      </w:r>
      <w:proofErr w:type="spellStart"/>
      <w:r w:rsidR="004B1F4F" w:rsidRPr="00555354">
        <w:rPr>
          <w:rFonts w:ascii="Times New Roman" w:eastAsia="Times New Roman" w:hAnsi="Times New Roman" w:cs="Times New Roman"/>
          <w:sz w:val="24"/>
          <w:lang w:val="es-CL" w:eastAsia="ar-SA"/>
        </w:rPr>
        <w:t>subtests</w:t>
      </w:r>
      <w:proofErr w:type="spellEnd"/>
      <w:r w:rsidR="004B1F4F" w:rsidRPr="00555354">
        <w:rPr>
          <w:rFonts w:ascii="Times New Roman" w:eastAsia="Times New Roman" w:hAnsi="Times New Roman" w:cs="Times New Roman"/>
          <w:sz w:val="24"/>
          <w:lang w:val="es-CL" w:eastAsia="ar-SA"/>
        </w:rPr>
        <w:t xml:space="preserve"> </w:t>
      </w:r>
      <w:r w:rsidRPr="00555354">
        <w:rPr>
          <w:rFonts w:ascii="Times New Roman" w:eastAsia="Times New Roman" w:hAnsi="Times New Roman" w:cs="Times New Roman"/>
          <w:sz w:val="24"/>
          <w:lang w:val="es-CL" w:eastAsia="ar-SA"/>
        </w:rPr>
        <w:t xml:space="preserve">para que la educadora lo aplique en su contexto educativo y emplee los puntos de corte para emitir criterios sobre los avances del niño, </w:t>
      </w:r>
      <w:r w:rsidRPr="00555354">
        <w:rPr>
          <w:rFonts w:ascii="Times New Roman" w:eastAsia="Calibri" w:hAnsi="Times New Roman" w:cs="Times New Roman"/>
          <w:sz w:val="24"/>
          <w:lang w:val="es-CL"/>
        </w:rPr>
        <w:t xml:space="preserve">una limitación es su tamaño </w:t>
      </w:r>
      <w:proofErr w:type="spellStart"/>
      <w:r w:rsidRPr="00555354">
        <w:rPr>
          <w:rFonts w:ascii="Times New Roman" w:eastAsia="Calibri" w:hAnsi="Times New Roman" w:cs="Times New Roman"/>
          <w:sz w:val="24"/>
          <w:lang w:val="es-CL"/>
        </w:rPr>
        <w:t>muestral</w:t>
      </w:r>
      <w:proofErr w:type="spellEnd"/>
      <w:r w:rsidRPr="00555354">
        <w:rPr>
          <w:rFonts w:ascii="Times New Roman" w:eastAsia="Calibri" w:hAnsi="Times New Roman" w:cs="Times New Roman"/>
          <w:sz w:val="24"/>
          <w:lang w:val="es-CL"/>
        </w:rPr>
        <w:t xml:space="preserve"> con respecto a la población nacional, por lo que en futuras investigaciones debería ampliarse a una muestra significativa en diferentes provincias del país. De igual modo, se podría aplicar otras medidas estadísticas como la curva ROC y comparar el punto de corte obtenido con una población de niños con necesidades educativas especial o con limitaciones en su desarrollo. </w:t>
      </w:r>
      <w:r w:rsidRPr="00555354">
        <w:rPr>
          <w:rFonts w:ascii="Times New Roman" w:eastAsia="Times New Roman" w:hAnsi="Times New Roman" w:cs="Times New Roman"/>
          <w:sz w:val="24"/>
          <w:lang w:val="es-CL" w:eastAsia="ar-SA"/>
        </w:rPr>
        <w:t>Se recomienda que futuras investigaciones se enfoquen en ajustar o eliminar los ítems de B-PREA-R que demostraron una discriminación regular. Otra tarea futura consiste en elaborar percentiles o puntos de cortes en una población representativa del país, con el objetivo de desarrollar normas cubanas y así ampliar el uso de la B-PREA-R a contextos tanto clínicos como educativos.</w:t>
      </w:r>
    </w:p>
    <w:p w14:paraId="1B88CC93" w14:textId="77777777" w:rsidR="00C20912" w:rsidRDefault="00C20912" w:rsidP="001415FC">
      <w:pPr>
        <w:spacing w:after="0" w:line="360" w:lineRule="auto"/>
        <w:jc w:val="both"/>
        <w:rPr>
          <w:rFonts w:ascii="Times New Roman" w:eastAsia="Times New Roman" w:hAnsi="Times New Roman" w:cs="Times New Roman"/>
          <w:b/>
          <w:sz w:val="24"/>
          <w:lang w:val="es-CL" w:eastAsia="ar-SA"/>
        </w:rPr>
      </w:pPr>
    </w:p>
    <w:p w14:paraId="3B1F4DE7" w14:textId="77777777" w:rsidR="00B14CF0" w:rsidRPr="00555354" w:rsidRDefault="00937578" w:rsidP="001415FC">
      <w:pPr>
        <w:spacing w:after="0" w:line="360" w:lineRule="auto"/>
        <w:jc w:val="both"/>
        <w:rPr>
          <w:rFonts w:ascii="Times New Roman" w:eastAsia="Times New Roman" w:hAnsi="Times New Roman" w:cs="Times New Roman"/>
          <w:b/>
          <w:sz w:val="24"/>
          <w:lang w:val="es-CL" w:eastAsia="ar-SA"/>
        </w:rPr>
      </w:pPr>
      <w:r w:rsidRPr="00555354">
        <w:rPr>
          <w:rFonts w:ascii="Times New Roman" w:eastAsia="Times New Roman" w:hAnsi="Times New Roman" w:cs="Times New Roman"/>
          <w:b/>
          <w:sz w:val="24"/>
          <w:lang w:val="es-CL" w:eastAsia="ar-SA"/>
        </w:rPr>
        <w:t>Conclusión</w:t>
      </w:r>
    </w:p>
    <w:p w14:paraId="5CCCE2F1" w14:textId="77777777" w:rsidR="00C20912" w:rsidRDefault="00937578" w:rsidP="001415FC">
      <w:pPr>
        <w:spacing w:after="0" w:line="360" w:lineRule="auto"/>
        <w:ind w:firstLine="708"/>
        <w:jc w:val="both"/>
        <w:rPr>
          <w:rFonts w:ascii="Times New Roman" w:eastAsia="Times New Roman" w:hAnsi="Times New Roman" w:cs="Times New Roman"/>
          <w:sz w:val="24"/>
          <w:lang w:val="es-CL" w:eastAsia="ar-SA"/>
        </w:rPr>
      </w:pPr>
      <w:r w:rsidRPr="00555354">
        <w:rPr>
          <w:rFonts w:ascii="Times New Roman" w:eastAsia="Times New Roman" w:hAnsi="Times New Roman" w:cs="Times New Roman"/>
          <w:sz w:val="24"/>
          <w:lang w:val="es-CL" w:eastAsia="ar-SA"/>
        </w:rPr>
        <w:t xml:space="preserve">La B-PREA-R es una prueba rápida y fácil de aplicar en </w:t>
      </w:r>
      <w:r>
        <w:rPr>
          <w:rFonts w:ascii="Times New Roman" w:eastAsia="Times New Roman" w:hAnsi="Times New Roman" w:cs="Times New Roman"/>
          <w:sz w:val="24"/>
          <w:lang w:val="es-CL" w:eastAsia="ar-SA"/>
        </w:rPr>
        <w:t xml:space="preserve">el contexto educativo y presenta propiedades psicométricas adecuadas para evaluar el desarrollo cognitivo en la </w:t>
      </w:r>
      <w:r>
        <w:rPr>
          <w:rFonts w:ascii="Times New Roman" w:eastAsia="Times New Roman" w:hAnsi="Times New Roman" w:cs="Times New Roman"/>
          <w:sz w:val="24"/>
          <w:lang w:val="es-CL" w:eastAsia="ar-SA"/>
        </w:rPr>
        <w:lastRenderedPageBreak/>
        <w:t xml:space="preserve">etapa preescolar, descubrir las potencialidades y debilidades del niño y guiar su preparación cognitiva para iniciar la escolarización básica. La actualización de la batería mejoró la validez y la confiabilidad en cuanto al funcionamiento de los ítems (96% de los ítems con </w:t>
      </w:r>
      <w:r w:rsidR="00CF05E8">
        <w:rPr>
          <w:rFonts w:ascii="Times New Roman" w:eastAsia="Times New Roman" w:hAnsi="Times New Roman" w:cs="Times New Roman"/>
          <w:sz w:val="24"/>
          <w:lang w:val="es-CL" w:eastAsia="ar-SA"/>
        </w:rPr>
        <w:t xml:space="preserve">alta </w:t>
      </w:r>
      <w:r>
        <w:rPr>
          <w:rFonts w:ascii="Times New Roman" w:eastAsia="Times New Roman" w:hAnsi="Times New Roman" w:cs="Times New Roman"/>
          <w:sz w:val="24"/>
          <w:lang w:val="es-CL" w:eastAsia="ar-SA"/>
        </w:rPr>
        <w:t xml:space="preserve">y buena calidad, mientras que solo el 4% con calidad regular), así como la cantidad y calidad de </w:t>
      </w:r>
      <w:proofErr w:type="spellStart"/>
      <w:r>
        <w:rPr>
          <w:rFonts w:ascii="Times New Roman" w:eastAsia="Times New Roman" w:hAnsi="Times New Roman" w:cs="Times New Roman"/>
          <w:sz w:val="24"/>
          <w:lang w:val="es-CL" w:eastAsia="ar-SA"/>
        </w:rPr>
        <w:t>subtests</w:t>
      </w:r>
      <w:proofErr w:type="spellEnd"/>
      <w:r>
        <w:rPr>
          <w:rFonts w:ascii="Times New Roman" w:eastAsia="Times New Roman" w:hAnsi="Times New Roman" w:cs="Times New Roman"/>
          <w:sz w:val="24"/>
          <w:lang w:val="es-CL" w:eastAsia="ar-SA"/>
        </w:rPr>
        <w:t xml:space="preserve"> para caracterizar al niño y evaluar su preparación inicial para el comienzo de la próxima etapa escolar. Las características de la B-PREA-R permiten que las educadoras la apliquen en el contexto educativo, ya sea en el corte evaluativo parcial o final, por lo tanto, es una alternativa para realizar la evaluación del niño preescolar según las exigencias de la resolución 238/2014, reglamento para la aplicación del sistema de evaluación escolar en Cuba.  </w:t>
      </w:r>
    </w:p>
    <w:p w14:paraId="7DD9BFE9" w14:textId="77777777" w:rsidR="00C20912" w:rsidRDefault="00C20912" w:rsidP="001415FC">
      <w:pPr>
        <w:spacing w:after="0" w:line="360" w:lineRule="auto"/>
        <w:ind w:firstLine="708"/>
        <w:jc w:val="both"/>
        <w:rPr>
          <w:rFonts w:ascii="Times New Roman" w:eastAsia="Times New Roman" w:hAnsi="Times New Roman" w:cs="Times New Roman"/>
          <w:sz w:val="24"/>
          <w:lang w:val="es-CL" w:eastAsia="ar-SA"/>
        </w:rPr>
      </w:pPr>
    </w:p>
    <w:p w14:paraId="3AFC752E" w14:textId="2BB2CAED" w:rsidR="00B14CF0" w:rsidRDefault="00937578" w:rsidP="001415FC">
      <w:pPr>
        <w:spacing w:after="0" w:line="360" w:lineRule="auto"/>
        <w:ind w:firstLine="708"/>
        <w:jc w:val="both"/>
        <w:rPr>
          <w:rFonts w:ascii="Times New Roman" w:eastAsia="Times New Roman" w:hAnsi="Times New Roman" w:cs="Times New Roman"/>
          <w:b/>
          <w:sz w:val="24"/>
          <w:lang w:val="en-US" w:eastAsia="ar-SA"/>
        </w:rPr>
      </w:pPr>
      <w:proofErr w:type="spellStart"/>
      <w:r>
        <w:rPr>
          <w:rFonts w:ascii="Times New Roman" w:eastAsia="Times New Roman" w:hAnsi="Times New Roman" w:cs="Times New Roman"/>
          <w:b/>
          <w:sz w:val="24"/>
          <w:lang w:val="en-US" w:eastAsia="ar-SA"/>
        </w:rPr>
        <w:t>Referencias</w:t>
      </w:r>
      <w:proofErr w:type="spellEnd"/>
    </w:p>
    <w:p w14:paraId="02282C86" w14:textId="77777777" w:rsidR="00B14CF0" w:rsidRDefault="00937578" w:rsidP="001415FC">
      <w:pPr>
        <w:spacing w:after="0" w:line="360" w:lineRule="auto"/>
        <w:ind w:left="709" w:hanging="709"/>
        <w:jc w:val="both"/>
        <w:rPr>
          <w:rFonts w:ascii="Times New Roman" w:eastAsia="Times New Roman" w:hAnsi="Times New Roman" w:cs="Times New Roman"/>
          <w:sz w:val="24"/>
          <w:lang w:eastAsia="ar-SA"/>
        </w:rPr>
      </w:pPr>
      <w:proofErr w:type="spellStart"/>
      <w:r>
        <w:rPr>
          <w:rFonts w:ascii="Times New Roman" w:eastAsia="Times New Roman" w:hAnsi="Times New Roman" w:cs="Times New Roman"/>
          <w:sz w:val="24"/>
          <w:lang w:val="en-US" w:eastAsia="ar-SA"/>
        </w:rPr>
        <w:t>Abufhele</w:t>
      </w:r>
      <w:proofErr w:type="spellEnd"/>
      <w:r>
        <w:rPr>
          <w:rFonts w:ascii="Times New Roman" w:eastAsia="Times New Roman" w:hAnsi="Times New Roman" w:cs="Times New Roman"/>
          <w:sz w:val="24"/>
          <w:lang w:val="en-US" w:eastAsia="ar-SA"/>
        </w:rPr>
        <w:t xml:space="preserve">, A., </w:t>
      </w:r>
      <w:proofErr w:type="spellStart"/>
      <w:r>
        <w:rPr>
          <w:rFonts w:ascii="Times New Roman" w:eastAsia="Times New Roman" w:hAnsi="Times New Roman" w:cs="Times New Roman"/>
          <w:sz w:val="24"/>
          <w:lang w:val="en-US" w:eastAsia="ar-SA"/>
        </w:rPr>
        <w:t>Allel</w:t>
      </w:r>
      <w:proofErr w:type="spellEnd"/>
      <w:r>
        <w:rPr>
          <w:rFonts w:ascii="Times New Roman" w:eastAsia="Times New Roman" w:hAnsi="Times New Roman" w:cs="Times New Roman"/>
          <w:sz w:val="24"/>
          <w:lang w:val="en-US" w:eastAsia="ar-SA"/>
        </w:rPr>
        <w:t xml:space="preserve">, K., </w:t>
      </w:r>
      <w:proofErr w:type="spellStart"/>
      <w:r>
        <w:rPr>
          <w:rFonts w:ascii="Times New Roman" w:eastAsia="Times New Roman" w:hAnsi="Times New Roman" w:cs="Times New Roman"/>
          <w:sz w:val="24"/>
          <w:lang w:val="en-US" w:eastAsia="ar-SA"/>
        </w:rPr>
        <w:t>Narea</w:t>
      </w:r>
      <w:proofErr w:type="spellEnd"/>
      <w:r>
        <w:rPr>
          <w:rFonts w:ascii="Times New Roman" w:eastAsia="Times New Roman" w:hAnsi="Times New Roman" w:cs="Times New Roman"/>
          <w:sz w:val="24"/>
          <w:lang w:val="en-US" w:eastAsia="ar-SA"/>
        </w:rPr>
        <w:t xml:space="preserve">, M., &amp; </w:t>
      </w:r>
      <w:proofErr w:type="spellStart"/>
      <w:r>
        <w:rPr>
          <w:rFonts w:ascii="Times New Roman" w:eastAsia="Times New Roman" w:hAnsi="Times New Roman" w:cs="Times New Roman"/>
          <w:sz w:val="24"/>
          <w:lang w:val="en-US" w:eastAsia="ar-SA"/>
        </w:rPr>
        <w:t>Waldfogel</w:t>
      </w:r>
      <w:proofErr w:type="spellEnd"/>
      <w:r>
        <w:rPr>
          <w:rFonts w:ascii="Times New Roman" w:eastAsia="Times New Roman" w:hAnsi="Times New Roman" w:cs="Times New Roman"/>
          <w:sz w:val="24"/>
          <w:lang w:val="en-US" w:eastAsia="ar-SA"/>
        </w:rPr>
        <w:t xml:space="preserve"> J. (2021). </w:t>
      </w:r>
      <w:r w:rsidRPr="00626D13">
        <w:rPr>
          <w:rFonts w:ascii="Times New Roman" w:eastAsia="Times New Roman" w:hAnsi="Times New Roman" w:cs="Times New Roman"/>
          <w:sz w:val="24"/>
          <w:lang w:val="en-US" w:eastAsia="ar-SA"/>
        </w:rPr>
        <w:t xml:space="preserve">Maternal education gradients in early life height: A comparative study of eight Latin American countries. </w:t>
      </w:r>
      <w:proofErr w:type="spellStart"/>
      <w:r w:rsidRPr="00626D13">
        <w:rPr>
          <w:rFonts w:ascii="Times New Roman" w:eastAsia="Times New Roman" w:hAnsi="Times New Roman" w:cs="Times New Roman"/>
          <w:i/>
          <w:sz w:val="24"/>
          <w:lang w:val="es-CL" w:eastAsia="ar-SA"/>
        </w:rPr>
        <w:t>Research</w:t>
      </w:r>
      <w:proofErr w:type="spellEnd"/>
      <w:r w:rsidRPr="00626D13">
        <w:rPr>
          <w:rFonts w:ascii="Times New Roman" w:eastAsia="Times New Roman" w:hAnsi="Times New Roman" w:cs="Times New Roman"/>
          <w:i/>
          <w:sz w:val="24"/>
          <w:lang w:val="es-CL" w:eastAsia="ar-SA"/>
        </w:rPr>
        <w:t xml:space="preserve"> </w:t>
      </w:r>
      <w:proofErr w:type="spellStart"/>
      <w:r w:rsidRPr="00626D13">
        <w:rPr>
          <w:rFonts w:ascii="Times New Roman" w:eastAsia="Times New Roman" w:hAnsi="Times New Roman" w:cs="Times New Roman"/>
          <w:i/>
          <w:sz w:val="24"/>
          <w:lang w:val="es-CL" w:eastAsia="ar-SA"/>
        </w:rPr>
        <w:t>Square</w:t>
      </w:r>
      <w:proofErr w:type="spellEnd"/>
      <w:r w:rsidRPr="00626D13">
        <w:rPr>
          <w:rFonts w:ascii="Times New Roman" w:eastAsia="Times New Roman" w:hAnsi="Times New Roman" w:cs="Times New Roman"/>
          <w:sz w:val="24"/>
          <w:lang w:val="es-CL" w:eastAsia="ar-SA"/>
        </w:rPr>
        <w:t xml:space="preserve">.  </w:t>
      </w:r>
      <w:r w:rsidRPr="00626D13">
        <w:rPr>
          <w:rFonts w:ascii="Times New Roman" w:eastAsia="Times New Roman" w:hAnsi="Times New Roman" w:cs="Times New Roman"/>
          <w:sz w:val="24"/>
          <w:lang w:eastAsia="ar-SA"/>
        </w:rPr>
        <w:t>https://doi.org/10.21203/rs.3.rs-237177/v1</w:t>
      </w:r>
    </w:p>
    <w:p w14:paraId="5A40B6BE" w14:textId="7C1E586C" w:rsidR="00B14CF0" w:rsidRDefault="00937578" w:rsidP="001415FC">
      <w:pPr>
        <w:spacing w:after="0" w:line="360" w:lineRule="auto"/>
        <w:ind w:left="709" w:hanging="709"/>
        <w:jc w:val="both"/>
        <w:rPr>
          <w:rFonts w:ascii="Times New Roman" w:eastAsia="Times New Roman" w:hAnsi="Times New Roman" w:cs="Times New Roman"/>
          <w:sz w:val="24"/>
          <w:lang w:val="es-CL" w:eastAsia="ar-SA"/>
        </w:rPr>
      </w:pPr>
      <w:proofErr w:type="spellStart"/>
      <w:r>
        <w:rPr>
          <w:rFonts w:ascii="Times New Roman" w:eastAsia="Times New Roman" w:hAnsi="Times New Roman" w:cs="Times New Roman"/>
          <w:sz w:val="24"/>
          <w:lang w:val="es-CL" w:eastAsia="ar-SA"/>
        </w:rPr>
        <w:t>Albes</w:t>
      </w:r>
      <w:proofErr w:type="spellEnd"/>
      <w:r>
        <w:rPr>
          <w:rFonts w:ascii="Times New Roman" w:eastAsia="Times New Roman" w:hAnsi="Times New Roman" w:cs="Times New Roman"/>
          <w:sz w:val="24"/>
          <w:lang w:val="es-CL" w:eastAsia="ar-SA"/>
        </w:rPr>
        <w:t xml:space="preserve">, N., Fontana, A de la M., </w:t>
      </w:r>
      <w:proofErr w:type="spellStart"/>
      <w:r>
        <w:rPr>
          <w:rFonts w:ascii="Times New Roman" w:eastAsia="Times New Roman" w:hAnsi="Times New Roman" w:cs="Times New Roman"/>
          <w:sz w:val="24"/>
          <w:lang w:val="es-CL" w:eastAsia="ar-SA"/>
        </w:rPr>
        <w:t>Lacaze</w:t>
      </w:r>
      <w:proofErr w:type="spellEnd"/>
      <w:r>
        <w:rPr>
          <w:rFonts w:ascii="Times New Roman" w:eastAsia="Times New Roman" w:hAnsi="Times New Roman" w:cs="Times New Roman"/>
          <w:sz w:val="24"/>
          <w:lang w:val="es-CL" w:eastAsia="ar-SA"/>
        </w:rPr>
        <w:t xml:space="preserve">, M.L., &amp; Martínez, M.M. (2021). Antecedentes pre y perinatales prevalentes en niños que consultan por alteraciones del lenguaje. </w:t>
      </w:r>
      <w:r>
        <w:rPr>
          <w:rFonts w:ascii="Times New Roman" w:eastAsia="Times New Roman" w:hAnsi="Times New Roman" w:cs="Times New Roman"/>
          <w:i/>
          <w:sz w:val="24"/>
          <w:lang w:val="es-CL" w:eastAsia="ar-SA"/>
        </w:rPr>
        <w:t>Revista de fonoaudiología</w:t>
      </w:r>
      <w:r>
        <w:rPr>
          <w:rFonts w:ascii="Times New Roman" w:eastAsia="Times New Roman" w:hAnsi="Times New Roman" w:cs="Times New Roman"/>
          <w:sz w:val="24"/>
          <w:lang w:val="es-CL" w:eastAsia="ar-SA"/>
        </w:rPr>
        <w:t xml:space="preserve">, </w:t>
      </w:r>
      <w:r>
        <w:rPr>
          <w:rFonts w:ascii="Times New Roman" w:eastAsia="Times New Roman" w:hAnsi="Times New Roman" w:cs="Times New Roman"/>
          <w:i/>
          <w:sz w:val="24"/>
          <w:lang w:val="es-CL" w:eastAsia="ar-SA"/>
        </w:rPr>
        <w:t>68</w:t>
      </w:r>
      <w:r w:rsidR="00E941D8">
        <w:rPr>
          <w:rFonts w:ascii="Times New Roman" w:eastAsia="Times New Roman" w:hAnsi="Times New Roman" w:cs="Times New Roman"/>
          <w:i/>
          <w:sz w:val="24"/>
          <w:lang w:val="es-CL" w:eastAsia="ar-SA"/>
        </w:rPr>
        <w:t xml:space="preserve">, </w:t>
      </w:r>
      <w:r>
        <w:rPr>
          <w:rFonts w:ascii="Times New Roman" w:eastAsia="Times New Roman" w:hAnsi="Times New Roman" w:cs="Times New Roman"/>
          <w:sz w:val="24"/>
          <w:lang w:val="es-CL" w:eastAsia="ar-SA"/>
        </w:rPr>
        <w:t xml:space="preserve">1, 6- 18. </w:t>
      </w:r>
    </w:p>
    <w:p w14:paraId="531DD09B" w14:textId="0B2B6940" w:rsidR="00B14CF0" w:rsidRDefault="00937578" w:rsidP="001415FC">
      <w:pPr>
        <w:spacing w:after="0" w:line="360" w:lineRule="auto"/>
        <w:ind w:left="709" w:hanging="709"/>
        <w:jc w:val="both"/>
        <w:rPr>
          <w:rFonts w:ascii="Times New Roman" w:eastAsia="Times New Roman" w:hAnsi="Times New Roman" w:cs="Times New Roman"/>
          <w:sz w:val="24"/>
          <w:lang w:val="es-CL" w:eastAsia="ar-SA"/>
        </w:rPr>
      </w:pPr>
      <w:r>
        <w:rPr>
          <w:rFonts w:ascii="Times New Roman" w:eastAsia="Times New Roman" w:hAnsi="Times New Roman" w:cs="Times New Roman"/>
          <w:sz w:val="24"/>
          <w:lang w:val="es-CL" w:eastAsia="ar-SA"/>
        </w:rPr>
        <w:t xml:space="preserve">Ávila, A.M. (2012). Adaptación del Cuestionario de Madurez Neuropsicológica Infantil </w:t>
      </w:r>
      <w:proofErr w:type="spellStart"/>
      <w:r>
        <w:rPr>
          <w:rFonts w:ascii="Times New Roman" w:eastAsia="Times New Roman" w:hAnsi="Times New Roman" w:cs="Times New Roman"/>
          <w:sz w:val="24"/>
          <w:lang w:val="es-CL" w:eastAsia="ar-SA"/>
        </w:rPr>
        <w:t>Cumanin</w:t>
      </w:r>
      <w:proofErr w:type="spellEnd"/>
      <w:r>
        <w:rPr>
          <w:rFonts w:ascii="Times New Roman" w:eastAsia="Times New Roman" w:hAnsi="Times New Roman" w:cs="Times New Roman"/>
          <w:sz w:val="24"/>
          <w:lang w:val="es-CL" w:eastAsia="ar-SA"/>
        </w:rPr>
        <w:t xml:space="preserve"> de </w:t>
      </w:r>
      <w:proofErr w:type="spellStart"/>
      <w:r>
        <w:rPr>
          <w:rFonts w:ascii="Times New Roman" w:eastAsia="Times New Roman" w:hAnsi="Times New Roman" w:cs="Times New Roman"/>
          <w:sz w:val="24"/>
          <w:lang w:val="es-CL" w:eastAsia="ar-SA"/>
        </w:rPr>
        <w:t>Portellano</w:t>
      </w:r>
      <w:proofErr w:type="spellEnd"/>
      <w:r>
        <w:rPr>
          <w:rFonts w:ascii="Times New Roman" w:eastAsia="Times New Roman" w:hAnsi="Times New Roman" w:cs="Times New Roman"/>
          <w:sz w:val="24"/>
          <w:lang w:val="es-CL" w:eastAsia="ar-SA"/>
        </w:rPr>
        <w:t xml:space="preserve">. </w:t>
      </w:r>
      <w:r>
        <w:rPr>
          <w:rFonts w:ascii="Times New Roman" w:eastAsia="Times New Roman" w:hAnsi="Times New Roman" w:cs="Times New Roman"/>
          <w:i/>
          <w:sz w:val="24"/>
          <w:lang w:val="es-CL" w:eastAsia="ar-SA"/>
        </w:rPr>
        <w:t>Revista Iberoamericana de Psicología: Ciencia y Tecnología, 5</w:t>
      </w:r>
      <w:r w:rsidR="00E941D8">
        <w:rPr>
          <w:rFonts w:ascii="Times New Roman" w:eastAsia="Times New Roman" w:hAnsi="Times New Roman" w:cs="Times New Roman"/>
          <w:i/>
          <w:sz w:val="24"/>
          <w:lang w:val="es-CL" w:eastAsia="ar-SA"/>
        </w:rPr>
        <w:t xml:space="preserve">, </w:t>
      </w:r>
      <w:r>
        <w:rPr>
          <w:rFonts w:ascii="Times New Roman" w:eastAsia="Times New Roman" w:hAnsi="Times New Roman" w:cs="Times New Roman"/>
          <w:sz w:val="24"/>
          <w:lang w:val="es-CL" w:eastAsia="ar-SA"/>
        </w:rPr>
        <w:t xml:space="preserve">1, 91-99. </w:t>
      </w:r>
      <w:hyperlink r:id="rId4" w:history="1">
        <w:r>
          <w:rPr>
            <w:rFonts w:ascii="Times New Roman" w:eastAsia="Times New Roman" w:hAnsi="Times New Roman" w:cs="Times New Roman"/>
            <w:sz w:val="24"/>
            <w:lang w:val="es-CL" w:eastAsia="ar-SA"/>
          </w:rPr>
          <w:t>https://doi.org/10.33881/2027-1786.rip.5109</w:t>
        </w:r>
      </w:hyperlink>
    </w:p>
    <w:p w14:paraId="39D8BDEC" w14:textId="7577A761" w:rsidR="00B14CF0" w:rsidRDefault="00937578" w:rsidP="001415FC">
      <w:pPr>
        <w:spacing w:after="0" w:line="360" w:lineRule="auto"/>
        <w:ind w:left="709" w:hanging="709"/>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Bonilla-Sánchez, M. R., Solovieva, Y., Méndez-Balbuena, I., &amp; Díaz-Ramírez, I. (2019). </w:t>
      </w:r>
      <w:r>
        <w:rPr>
          <w:rFonts w:ascii="Times New Roman" w:eastAsia="Times New Roman" w:hAnsi="Times New Roman" w:cs="Times New Roman"/>
          <w:sz w:val="24"/>
          <w:lang w:val="es-CL" w:eastAsia="ar-SA"/>
        </w:rPr>
        <w:t xml:space="preserve">Efectos del juego de roles con elementos simbólicos en el desarrollo neuropsicológico de niños preescolares. </w:t>
      </w:r>
      <w:r>
        <w:rPr>
          <w:rFonts w:ascii="Times New Roman" w:eastAsia="Times New Roman" w:hAnsi="Times New Roman" w:cs="Times New Roman"/>
          <w:i/>
          <w:sz w:val="24"/>
          <w:lang w:eastAsia="ar-SA"/>
        </w:rPr>
        <w:t>Revista de la Facultad de Medicina., 67</w:t>
      </w:r>
      <w:r w:rsidR="00E941D8">
        <w:rPr>
          <w:rFonts w:ascii="Times New Roman" w:eastAsia="Times New Roman" w:hAnsi="Times New Roman" w:cs="Times New Roman"/>
          <w:i/>
          <w:sz w:val="24"/>
          <w:lang w:eastAsia="ar-SA"/>
        </w:rPr>
        <w:t>,</w:t>
      </w:r>
      <w:r>
        <w:rPr>
          <w:rFonts w:ascii="Times New Roman" w:eastAsia="Times New Roman" w:hAnsi="Times New Roman" w:cs="Times New Roman"/>
          <w:sz w:val="24"/>
          <w:lang w:eastAsia="ar-SA"/>
        </w:rPr>
        <w:t xml:space="preserve">2, 299-306. </w:t>
      </w:r>
    </w:p>
    <w:p w14:paraId="4AFAEAFD" w14:textId="77777777" w:rsidR="00B14CF0" w:rsidRDefault="00937578" w:rsidP="001415FC">
      <w:pPr>
        <w:spacing w:after="0" w:line="360" w:lineRule="auto"/>
        <w:ind w:left="709" w:hanging="709"/>
        <w:jc w:val="both"/>
        <w:rPr>
          <w:rFonts w:ascii="Times New Roman" w:eastAsia="Calibri" w:hAnsi="Times New Roman" w:cs="Times New Roman"/>
          <w:sz w:val="24"/>
          <w:shd w:val="clear" w:color="auto" w:fill="FFFFFF"/>
          <w:lang w:val="en-US"/>
        </w:rPr>
      </w:pPr>
      <w:proofErr w:type="spellStart"/>
      <w:r w:rsidRPr="00C20912">
        <w:rPr>
          <w:rFonts w:ascii="Times New Roman" w:eastAsia="Calibri" w:hAnsi="Times New Roman" w:cs="Times New Roman"/>
          <w:sz w:val="24"/>
          <w:shd w:val="clear" w:color="auto" w:fill="FFFFFF"/>
        </w:rPr>
        <w:t>Bornstein</w:t>
      </w:r>
      <w:proofErr w:type="spellEnd"/>
      <w:r w:rsidRPr="00C20912">
        <w:rPr>
          <w:rFonts w:ascii="Times New Roman" w:eastAsia="Calibri" w:hAnsi="Times New Roman" w:cs="Times New Roman"/>
          <w:sz w:val="24"/>
          <w:shd w:val="clear" w:color="auto" w:fill="FFFFFF"/>
        </w:rPr>
        <w:t xml:space="preserve">, M.H., </w:t>
      </w:r>
      <w:proofErr w:type="spellStart"/>
      <w:r w:rsidRPr="00C20912">
        <w:rPr>
          <w:rFonts w:ascii="Times New Roman" w:eastAsia="Calibri" w:hAnsi="Times New Roman" w:cs="Times New Roman"/>
          <w:sz w:val="24"/>
          <w:shd w:val="clear" w:color="auto" w:fill="FFFFFF"/>
        </w:rPr>
        <w:t>Putnick</w:t>
      </w:r>
      <w:proofErr w:type="spellEnd"/>
      <w:r w:rsidRPr="00C20912">
        <w:rPr>
          <w:rFonts w:ascii="Times New Roman" w:eastAsia="Calibri" w:hAnsi="Times New Roman" w:cs="Times New Roman"/>
          <w:sz w:val="24"/>
          <w:shd w:val="clear" w:color="auto" w:fill="FFFFFF"/>
        </w:rPr>
        <w:t xml:space="preserve">, D.L., </w:t>
      </w:r>
      <w:proofErr w:type="spellStart"/>
      <w:r w:rsidRPr="00C20912">
        <w:rPr>
          <w:rFonts w:ascii="Times New Roman" w:eastAsia="Calibri" w:hAnsi="Times New Roman" w:cs="Times New Roman"/>
          <w:sz w:val="24"/>
          <w:shd w:val="clear" w:color="auto" w:fill="FFFFFF"/>
        </w:rPr>
        <w:t>Lansford</w:t>
      </w:r>
      <w:proofErr w:type="spellEnd"/>
      <w:r w:rsidRPr="00C20912">
        <w:rPr>
          <w:rFonts w:ascii="Times New Roman" w:eastAsia="Calibri" w:hAnsi="Times New Roman" w:cs="Times New Roman"/>
          <w:sz w:val="24"/>
          <w:shd w:val="clear" w:color="auto" w:fill="FFFFFF"/>
        </w:rPr>
        <w:t xml:space="preserve">, J.E., </w:t>
      </w:r>
      <w:proofErr w:type="spellStart"/>
      <w:r w:rsidRPr="00C20912">
        <w:rPr>
          <w:rFonts w:ascii="Times New Roman" w:eastAsia="Calibri" w:hAnsi="Times New Roman" w:cs="Times New Roman"/>
          <w:sz w:val="24"/>
          <w:shd w:val="clear" w:color="auto" w:fill="FFFFFF"/>
        </w:rPr>
        <w:t>Deater</w:t>
      </w:r>
      <w:r w:rsidRPr="00C20912">
        <w:rPr>
          <w:rFonts w:ascii="Cambria Math" w:eastAsia="Calibri" w:hAnsi="Cambria Math" w:cs="Cambria Math"/>
          <w:sz w:val="24"/>
          <w:shd w:val="clear" w:color="auto" w:fill="FFFFFF"/>
        </w:rPr>
        <w:t>‐</w:t>
      </w:r>
      <w:r w:rsidRPr="00C20912">
        <w:rPr>
          <w:rFonts w:ascii="Times New Roman" w:eastAsia="Calibri" w:hAnsi="Times New Roman" w:cs="Times New Roman"/>
          <w:sz w:val="24"/>
          <w:shd w:val="clear" w:color="auto" w:fill="FFFFFF"/>
        </w:rPr>
        <w:t>Deckard</w:t>
      </w:r>
      <w:proofErr w:type="spellEnd"/>
      <w:r w:rsidRPr="00C20912">
        <w:rPr>
          <w:rFonts w:ascii="Times New Roman" w:eastAsia="Calibri" w:hAnsi="Times New Roman" w:cs="Times New Roman"/>
          <w:sz w:val="24"/>
          <w:shd w:val="clear" w:color="auto" w:fill="FFFFFF"/>
        </w:rPr>
        <w:t xml:space="preserve">, K., &amp; Bradley, R.H. (2015). </w:t>
      </w:r>
      <w:r>
        <w:rPr>
          <w:rFonts w:ascii="Times New Roman" w:eastAsia="Calibri" w:hAnsi="Times New Roman" w:cs="Times New Roman"/>
          <w:sz w:val="24"/>
          <w:shd w:val="clear" w:color="auto" w:fill="FFFFFF"/>
          <w:lang w:val="en-US"/>
        </w:rPr>
        <w:t>A developmental analysis of caregiving modalities across infancy in 38 low</w:t>
      </w:r>
      <w:r>
        <w:rPr>
          <w:rFonts w:ascii="Cambria Math" w:eastAsia="Calibri" w:hAnsi="Cambria Math" w:cs="Cambria Math"/>
          <w:sz w:val="24"/>
          <w:shd w:val="clear" w:color="auto" w:fill="FFFFFF"/>
          <w:lang w:val="en-US"/>
        </w:rPr>
        <w:t>‐</w:t>
      </w:r>
      <w:r>
        <w:rPr>
          <w:rFonts w:ascii="Times New Roman" w:eastAsia="Calibri" w:hAnsi="Times New Roman" w:cs="Times New Roman"/>
          <w:sz w:val="24"/>
          <w:shd w:val="clear" w:color="auto" w:fill="FFFFFF"/>
          <w:lang w:val="en-US"/>
        </w:rPr>
        <w:t>and middle</w:t>
      </w:r>
      <w:r>
        <w:rPr>
          <w:rFonts w:ascii="Cambria Math" w:eastAsia="Calibri" w:hAnsi="Cambria Math" w:cs="Cambria Math"/>
          <w:sz w:val="24"/>
          <w:shd w:val="clear" w:color="auto" w:fill="FFFFFF"/>
          <w:lang w:val="en-US"/>
        </w:rPr>
        <w:t>‐</w:t>
      </w:r>
      <w:r>
        <w:rPr>
          <w:rFonts w:ascii="Times New Roman" w:eastAsia="Calibri" w:hAnsi="Times New Roman" w:cs="Times New Roman"/>
          <w:sz w:val="24"/>
          <w:shd w:val="clear" w:color="auto" w:fill="FFFFFF"/>
          <w:lang w:val="en-US"/>
        </w:rPr>
        <w:t xml:space="preserve">income countries. </w:t>
      </w:r>
      <w:r>
        <w:rPr>
          <w:rFonts w:ascii="Times New Roman" w:eastAsia="Calibri" w:hAnsi="Times New Roman" w:cs="Times New Roman"/>
          <w:i/>
          <w:sz w:val="24"/>
          <w:shd w:val="clear" w:color="auto" w:fill="FFFFFF"/>
          <w:lang w:val="en-US"/>
        </w:rPr>
        <w:t>Child Development</w:t>
      </w:r>
      <w:r>
        <w:rPr>
          <w:rFonts w:ascii="Times New Roman" w:eastAsia="Calibri" w:hAnsi="Times New Roman" w:cs="Times New Roman"/>
          <w:sz w:val="24"/>
          <w:shd w:val="clear" w:color="auto" w:fill="FFFFFF"/>
          <w:lang w:val="en-US"/>
        </w:rPr>
        <w:t xml:space="preserve">, </w:t>
      </w:r>
      <w:r>
        <w:rPr>
          <w:rFonts w:ascii="Times New Roman" w:eastAsia="Calibri" w:hAnsi="Times New Roman" w:cs="Times New Roman"/>
          <w:i/>
          <w:sz w:val="24"/>
          <w:shd w:val="clear" w:color="auto" w:fill="FFFFFF"/>
          <w:lang w:val="en-US"/>
        </w:rPr>
        <w:t>86</w:t>
      </w:r>
      <w:r>
        <w:rPr>
          <w:rFonts w:ascii="Times New Roman" w:eastAsia="Calibri" w:hAnsi="Times New Roman" w:cs="Times New Roman"/>
          <w:sz w:val="24"/>
          <w:shd w:val="clear" w:color="auto" w:fill="FFFFFF"/>
          <w:lang w:val="en-US"/>
        </w:rPr>
        <w:t>, 1571</w:t>
      </w:r>
      <w:r>
        <w:rPr>
          <w:rFonts w:ascii="Times New Roman" w:eastAsia="Calibri" w:hAnsi="Times New Roman" w:cs="Times New Roman"/>
          <w:sz w:val="24"/>
          <w:lang w:val="en-US"/>
        </w:rPr>
        <w:t>–</w:t>
      </w:r>
      <w:r>
        <w:rPr>
          <w:rFonts w:ascii="Times New Roman" w:eastAsia="Calibri" w:hAnsi="Times New Roman" w:cs="Times New Roman"/>
          <w:sz w:val="24"/>
          <w:shd w:val="clear" w:color="auto" w:fill="FFFFFF"/>
          <w:lang w:val="en-US"/>
        </w:rPr>
        <w:t xml:space="preserve">1587. </w:t>
      </w:r>
      <w:r w:rsidR="00D218E6">
        <w:fldChar w:fldCharType="begin"/>
      </w:r>
      <w:r w:rsidR="00D218E6" w:rsidRPr="00D218E6">
        <w:rPr>
          <w:lang w:val="en-US"/>
        </w:rPr>
        <w:instrText xml:space="preserve"> HYPERLINK "https://doi.org/10.1111/cdev.12402" </w:instrText>
      </w:r>
      <w:r w:rsidR="00D218E6">
        <w:fldChar w:fldCharType="separate"/>
      </w:r>
      <w:r>
        <w:rPr>
          <w:rFonts w:ascii="Times New Roman" w:eastAsia="Times New Roman" w:hAnsi="Times New Roman" w:cs="Times New Roman"/>
          <w:sz w:val="24"/>
          <w:lang w:val="en-US" w:eastAsia="ar-SA"/>
        </w:rPr>
        <w:t>https://doi.org/10.1111/cdev.12402</w:t>
      </w:r>
      <w:r w:rsidR="00D218E6">
        <w:rPr>
          <w:rFonts w:ascii="Times New Roman" w:eastAsia="Times New Roman" w:hAnsi="Times New Roman" w:cs="Times New Roman"/>
          <w:sz w:val="24"/>
          <w:lang w:val="en-US" w:eastAsia="ar-SA"/>
        </w:rPr>
        <w:fldChar w:fldCharType="end"/>
      </w:r>
    </w:p>
    <w:p w14:paraId="1715C71A" w14:textId="37DBA3CD" w:rsidR="00B14CF0" w:rsidRPr="00626D13" w:rsidRDefault="00937578" w:rsidP="001415FC">
      <w:pPr>
        <w:spacing w:after="0" w:line="360" w:lineRule="auto"/>
        <w:ind w:left="709" w:hanging="709"/>
        <w:jc w:val="both"/>
        <w:rPr>
          <w:rFonts w:ascii="Times New Roman" w:eastAsia="Calibri" w:hAnsi="Times New Roman" w:cs="Times New Roman"/>
          <w:sz w:val="24"/>
          <w:shd w:val="clear" w:color="auto" w:fill="FFFFFF"/>
        </w:rPr>
      </w:pPr>
      <w:proofErr w:type="spellStart"/>
      <w:r>
        <w:rPr>
          <w:rFonts w:ascii="Times New Roman" w:eastAsia="Calibri" w:hAnsi="Times New Roman" w:cs="Times New Roman"/>
          <w:sz w:val="24"/>
          <w:shd w:val="clear" w:color="auto" w:fill="FFFFFF"/>
          <w:lang w:val="en-US"/>
        </w:rPr>
        <w:t>Borrescio</w:t>
      </w:r>
      <w:proofErr w:type="spellEnd"/>
      <w:r>
        <w:rPr>
          <w:rFonts w:ascii="Times New Roman" w:eastAsia="Calibri" w:hAnsi="Times New Roman" w:cs="Times New Roman"/>
          <w:sz w:val="24"/>
          <w:shd w:val="clear" w:color="auto" w:fill="FFFFFF"/>
          <w:lang w:val="en-US"/>
        </w:rPr>
        <w:t xml:space="preserve">, F., &amp; Valenzuela, P. (2021). Does Education Mitigate the Effect of Population Aging on Health Expenditure? A Panel Data Study of Latin American Countries. </w:t>
      </w:r>
      <w:r>
        <w:rPr>
          <w:rFonts w:ascii="Times New Roman" w:eastAsia="Calibri" w:hAnsi="Times New Roman" w:cs="Times New Roman"/>
          <w:i/>
          <w:sz w:val="24"/>
          <w:shd w:val="clear" w:color="auto" w:fill="FFFFFF"/>
          <w:lang w:val="en-US"/>
        </w:rPr>
        <w:t xml:space="preserve">Journal of Aging and Health, </w:t>
      </w:r>
      <w:r w:rsidRPr="00626D13">
        <w:rPr>
          <w:rFonts w:ascii="Times New Roman" w:hAnsi="Times New Roman" w:cs="Times New Roman"/>
          <w:i/>
          <w:sz w:val="24"/>
          <w:shd w:val="clear" w:color="auto" w:fill="FFFFFF"/>
          <w:lang w:val="en-US"/>
        </w:rPr>
        <w:t>33</w:t>
      </w:r>
      <w:r w:rsidR="00E941D8" w:rsidRPr="00626D13">
        <w:rPr>
          <w:rFonts w:ascii="Times New Roman" w:hAnsi="Times New Roman" w:cs="Times New Roman"/>
          <w:i/>
          <w:sz w:val="24"/>
          <w:shd w:val="clear" w:color="auto" w:fill="FFFFFF"/>
          <w:lang w:val="en-US"/>
        </w:rPr>
        <w:t xml:space="preserve">, </w:t>
      </w:r>
      <w:r w:rsidRPr="00626D13">
        <w:rPr>
          <w:rFonts w:ascii="Times New Roman" w:hAnsi="Times New Roman" w:cs="Times New Roman"/>
          <w:sz w:val="24"/>
          <w:shd w:val="clear" w:color="auto" w:fill="FFFFFF"/>
          <w:lang w:val="en-US"/>
        </w:rPr>
        <w:t xml:space="preserve">7-8, 585-595. </w:t>
      </w:r>
      <w:r w:rsidRPr="00626D13">
        <w:rPr>
          <w:rFonts w:ascii="Times New Roman" w:eastAsia="Calibri" w:hAnsi="Times New Roman" w:cs="Times New Roman"/>
          <w:sz w:val="24"/>
          <w:shd w:val="clear" w:color="auto" w:fill="FFFFFF"/>
          <w:lang w:val="en-US"/>
        </w:rPr>
        <w:t xml:space="preserve"> </w:t>
      </w:r>
      <w:r w:rsidRPr="00626D13">
        <w:rPr>
          <w:lang w:val="en-US"/>
        </w:rPr>
        <w:t xml:space="preserve"> </w:t>
      </w:r>
      <w:r w:rsidR="00D218E6">
        <w:fldChar w:fldCharType="begin"/>
      </w:r>
      <w:r w:rsidR="00D218E6" w:rsidRPr="00D218E6">
        <w:rPr>
          <w:lang w:val="en-US"/>
        </w:rPr>
        <w:instrText xml:space="preserve"> HYPERLINK "https://doi.org/10.1177%2F0898264321</w:instrText>
      </w:r>
      <w:r w:rsidR="00D218E6" w:rsidRPr="00D218E6">
        <w:rPr>
          <w:lang w:val="en-US"/>
        </w:rPr>
        <w:instrText xml:space="preserve">1002338" </w:instrText>
      </w:r>
      <w:r w:rsidR="00D218E6">
        <w:fldChar w:fldCharType="separate"/>
      </w:r>
      <w:r w:rsidRPr="00626D13">
        <w:rPr>
          <w:rFonts w:ascii="Times New Roman" w:eastAsia="Times New Roman" w:hAnsi="Times New Roman" w:cs="Times New Roman"/>
          <w:sz w:val="24"/>
          <w:lang w:val="es-CL" w:eastAsia="ar-SA"/>
        </w:rPr>
        <w:t>https://doi.org/10.1177/08982643211002338</w:t>
      </w:r>
      <w:r w:rsidR="00D218E6">
        <w:rPr>
          <w:rFonts w:ascii="Times New Roman" w:eastAsia="Times New Roman" w:hAnsi="Times New Roman" w:cs="Times New Roman"/>
          <w:sz w:val="24"/>
          <w:lang w:val="es-CL" w:eastAsia="ar-SA"/>
        </w:rPr>
        <w:fldChar w:fldCharType="end"/>
      </w:r>
    </w:p>
    <w:p w14:paraId="3983E618" w14:textId="42DB1C6C" w:rsidR="00B14CF0" w:rsidRDefault="00937578" w:rsidP="001415FC">
      <w:pPr>
        <w:spacing w:after="0" w:line="360" w:lineRule="auto"/>
        <w:ind w:left="709" w:hanging="709"/>
        <w:jc w:val="both"/>
        <w:rPr>
          <w:rFonts w:ascii="Times New Roman" w:eastAsia="Times New Roman" w:hAnsi="Times New Roman" w:cs="Times New Roman"/>
          <w:sz w:val="24"/>
          <w:lang w:val="es-CL" w:eastAsia="ar-SA"/>
        </w:rPr>
      </w:pPr>
      <w:r>
        <w:rPr>
          <w:rFonts w:ascii="Times New Roman" w:eastAsia="Calibri" w:hAnsi="Times New Roman" w:cs="Times New Roman"/>
          <w:sz w:val="24"/>
          <w:shd w:val="clear" w:color="auto" w:fill="FFFFFF"/>
        </w:rPr>
        <w:lastRenderedPageBreak/>
        <w:t xml:space="preserve">Cadavid-Ruiz, N., Jiménez-Jiménez, S., Quijano-Martínez, M.C., &amp; Solovieva, Y. (2019). Corrección de las dificultades psicopedagógicas de la lectura en español. </w:t>
      </w:r>
      <w:r>
        <w:rPr>
          <w:rFonts w:ascii="Times New Roman" w:eastAsia="Calibri" w:hAnsi="Times New Roman" w:cs="Times New Roman"/>
          <w:i/>
          <w:sz w:val="24"/>
          <w:shd w:val="clear" w:color="auto" w:fill="FFFFFF"/>
        </w:rPr>
        <w:t>Avances en Psicología Latinoamericana, 37</w:t>
      </w:r>
      <w:r w:rsidR="00626D13">
        <w:rPr>
          <w:rFonts w:ascii="Times New Roman" w:eastAsia="Calibri" w:hAnsi="Times New Roman" w:cs="Times New Roman"/>
          <w:i/>
          <w:sz w:val="24"/>
          <w:shd w:val="clear" w:color="auto" w:fill="FFFFFF"/>
        </w:rPr>
        <w:t xml:space="preserve">, </w:t>
      </w:r>
      <w:r>
        <w:rPr>
          <w:rFonts w:ascii="Times New Roman" w:eastAsia="Calibri" w:hAnsi="Times New Roman" w:cs="Times New Roman"/>
          <w:sz w:val="24"/>
          <w:shd w:val="clear" w:color="auto" w:fill="FFFFFF"/>
        </w:rPr>
        <w:t>2, 361-374.</w:t>
      </w:r>
      <w:r>
        <w:t xml:space="preserve"> </w:t>
      </w:r>
      <w:hyperlink r:id="rId5" w:history="1">
        <w:r>
          <w:rPr>
            <w:rFonts w:ascii="Times New Roman" w:eastAsia="Times New Roman" w:hAnsi="Times New Roman" w:cs="Times New Roman"/>
            <w:sz w:val="24"/>
            <w:lang w:val="es-CL" w:eastAsia="ar-SA"/>
          </w:rPr>
          <w:t>https://doi.org/10.12804/revistas.urosario.edu.co/apl/a.6628</w:t>
        </w:r>
      </w:hyperlink>
    </w:p>
    <w:p w14:paraId="141F02A9" w14:textId="122A28A3" w:rsidR="00B14CF0" w:rsidRDefault="00937578" w:rsidP="001415FC">
      <w:pPr>
        <w:spacing w:after="0" w:line="360" w:lineRule="auto"/>
        <w:ind w:left="709" w:hanging="709"/>
        <w:jc w:val="both"/>
        <w:rPr>
          <w:rFonts w:ascii="Times New Roman" w:eastAsia="Times New Roman" w:hAnsi="Times New Roman" w:cs="Times New Roman"/>
          <w:sz w:val="24"/>
          <w:lang w:val="en-US" w:eastAsia="ar-SA"/>
        </w:rPr>
      </w:pPr>
      <w:r>
        <w:rPr>
          <w:rFonts w:ascii="Times New Roman" w:eastAsia="Calibri" w:hAnsi="Times New Roman" w:cs="Times New Roman"/>
          <w:sz w:val="24"/>
          <w:shd w:val="clear" w:color="auto" w:fill="FFFFFF"/>
        </w:rPr>
        <w:t xml:space="preserve">Canto-López, M.C., Aguilar, M., García-Sedeño, M.A., Navarro, J.I., Aragón, E., Delgado, C., &amp; Mera, C. (2019). </w:t>
      </w:r>
      <w:r>
        <w:rPr>
          <w:rFonts w:ascii="Times New Roman" w:eastAsia="Calibri" w:hAnsi="Times New Roman" w:cs="Times New Roman"/>
          <w:sz w:val="24"/>
          <w:shd w:val="clear" w:color="auto" w:fill="FFFFFF"/>
          <w:lang w:val="en-US"/>
        </w:rPr>
        <w:t xml:space="preserve">Numerical Estimation and Mathematical Learning Methodology in Preschoolers. </w:t>
      </w:r>
      <w:r>
        <w:rPr>
          <w:rFonts w:ascii="Times New Roman" w:eastAsia="Calibri" w:hAnsi="Times New Roman" w:cs="Times New Roman"/>
          <w:i/>
          <w:sz w:val="24"/>
          <w:shd w:val="clear" w:color="auto" w:fill="FFFFFF"/>
          <w:lang w:val="en-US"/>
        </w:rPr>
        <w:t>Psychological Reports, 124</w:t>
      </w:r>
      <w:r w:rsidR="00626D13">
        <w:rPr>
          <w:rFonts w:ascii="Times New Roman" w:eastAsia="Calibri" w:hAnsi="Times New Roman" w:cs="Times New Roman"/>
          <w:i/>
          <w:sz w:val="24"/>
          <w:shd w:val="clear" w:color="auto" w:fill="FFFFFF"/>
          <w:lang w:val="en-US"/>
        </w:rPr>
        <w:t xml:space="preserve">, </w:t>
      </w:r>
      <w:r>
        <w:rPr>
          <w:rFonts w:ascii="Times New Roman" w:eastAsia="Calibri" w:hAnsi="Times New Roman" w:cs="Times New Roman"/>
          <w:sz w:val="24"/>
          <w:shd w:val="clear" w:color="auto" w:fill="FFFFFF"/>
          <w:lang w:val="en-US"/>
        </w:rPr>
        <w:t xml:space="preserve">2, 438-458. </w:t>
      </w:r>
      <w:r>
        <w:rPr>
          <w:rFonts w:ascii="Times New Roman" w:eastAsia="Times New Roman" w:hAnsi="Times New Roman" w:cs="Times New Roman"/>
          <w:sz w:val="24"/>
          <w:lang w:val="en-US" w:eastAsia="ar-SA"/>
        </w:rPr>
        <w:t>https://doi.org/10.1177/0033294119892880</w:t>
      </w:r>
    </w:p>
    <w:p w14:paraId="04B5BC01" w14:textId="6EC2ACF1" w:rsidR="00B14CF0" w:rsidRPr="00C20912" w:rsidRDefault="00937578" w:rsidP="001415FC">
      <w:pPr>
        <w:spacing w:after="0" w:line="360" w:lineRule="auto"/>
        <w:ind w:left="709" w:hanging="709"/>
        <w:jc w:val="both"/>
        <w:rPr>
          <w:rFonts w:eastAsia="Times New Roman"/>
          <w:lang w:val="en-US" w:eastAsia="ar-SA"/>
        </w:rPr>
      </w:pPr>
      <w:proofErr w:type="spellStart"/>
      <w:r>
        <w:rPr>
          <w:rFonts w:ascii="Times New Roman" w:eastAsia="Calibri" w:hAnsi="Times New Roman" w:cs="Times New Roman"/>
          <w:sz w:val="24"/>
          <w:lang w:val="en-US"/>
        </w:rPr>
        <w:t>Doebel</w:t>
      </w:r>
      <w:proofErr w:type="spellEnd"/>
      <w:r>
        <w:rPr>
          <w:rFonts w:ascii="Times New Roman" w:eastAsia="Calibri" w:hAnsi="Times New Roman" w:cs="Times New Roman"/>
          <w:sz w:val="24"/>
          <w:lang w:val="en-US"/>
        </w:rPr>
        <w:t>, S. (2020). Rethinking executive function and its development. </w:t>
      </w:r>
      <w:r>
        <w:rPr>
          <w:rFonts w:ascii="Times New Roman" w:eastAsia="Calibri" w:hAnsi="Times New Roman" w:cs="Times New Roman"/>
          <w:i/>
          <w:sz w:val="24"/>
          <w:lang w:val="en-US"/>
        </w:rPr>
        <w:t>Perspectives on           Psychological Science, 15</w:t>
      </w:r>
      <w:proofErr w:type="gramStart"/>
      <w:r w:rsidR="00626D13">
        <w:rPr>
          <w:rFonts w:ascii="Times New Roman" w:eastAsia="Calibri" w:hAnsi="Times New Roman" w:cs="Times New Roman"/>
          <w:i/>
          <w:sz w:val="24"/>
          <w:lang w:val="en-US"/>
        </w:rPr>
        <w:t>,</w:t>
      </w:r>
      <w:r>
        <w:rPr>
          <w:rFonts w:ascii="Times New Roman" w:eastAsia="Calibri" w:hAnsi="Times New Roman" w:cs="Times New Roman"/>
          <w:sz w:val="24"/>
          <w:lang w:val="en-US"/>
        </w:rPr>
        <w:t>4</w:t>
      </w:r>
      <w:proofErr w:type="gramEnd"/>
      <w:r>
        <w:rPr>
          <w:rFonts w:ascii="Times New Roman" w:eastAsia="Calibri" w:hAnsi="Times New Roman" w:cs="Times New Roman"/>
          <w:sz w:val="24"/>
          <w:lang w:val="en-US"/>
        </w:rPr>
        <w:t xml:space="preserve">, 942-956. </w:t>
      </w:r>
      <w:r w:rsidR="00D218E6">
        <w:fldChar w:fldCharType="begin"/>
      </w:r>
      <w:r w:rsidR="00D218E6" w:rsidRPr="00D218E6">
        <w:rPr>
          <w:lang w:val="en-US"/>
        </w:rPr>
        <w:instrText xml:space="preserve"> HYPERLINK "https://doi.org/10.1177%2F1745691620904771" </w:instrText>
      </w:r>
      <w:r w:rsidR="00D218E6">
        <w:fldChar w:fldCharType="separate"/>
      </w:r>
      <w:r w:rsidRPr="00C20912">
        <w:rPr>
          <w:rFonts w:ascii="Times New Roman" w:eastAsia="Times New Roman" w:hAnsi="Times New Roman" w:cs="Times New Roman"/>
          <w:sz w:val="24"/>
          <w:lang w:val="en-US" w:eastAsia="ar-SA"/>
        </w:rPr>
        <w:t>https://doi.org/10.1177/1745691620904771</w:t>
      </w:r>
      <w:r w:rsidR="00D218E6">
        <w:rPr>
          <w:rFonts w:ascii="Times New Roman" w:eastAsia="Times New Roman" w:hAnsi="Times New Roman" w:cs="Times New Roman"/>
          <w:sz w:val="24"/>
          <w:lang w:val="en-US" w:eastAsia="ar-SA"/>
        </w:rPr>
        <w:fldChar w:fldCharType="end"/>
      </w:r>
    </w:p>
    <w:p w14:paraId="4AFA2517" w14:textId="77777777" w:rsidR="00B14CF0" w:rsidRDefault="00937578" w:rsidP="001415FC">
      <w:pPr>
        <w:spacing w:after="0" w:line="360" w:lineRule="auto"/>
        <w:ind w:left="709" w:hanging="709"/>
        <w:jc w:val="both"/>
        <w:rPr>
          <w:rFonts w:ascii="Times New Roman" w:eastAsia="Times New Roman" w:hAnsi="Times New Roman" w:cs="Times New Roman"/>
          <w:sz w:val="24"/>
          <w:lang w:eastAsia="ar-SA"/>
        </w:rPr>
      </w:pPr>
      <w:r w:rsidRPr="00C20912">
        <w:rPr>
          <w:rFonts w:ascii="Times New Roman" w:eastAsia="Times New Roman" w:hAnsi="Times New Roman" w:cs="Times New Roman"/>
          <w:sz w:val="24"/>
          <w:lang w:val="en-US" w:eastAsia="ar-SA"/>
        </w:rPr>
        <w:t xml:space="preserve">Flores, J., </w:t>
      </w:r>
      <w:proofErr w:type="spellStart"/>
      <w:r w:rsidRPr="00C20912">
        <w:rPr>
          <w:rFonts w:ascii="Times New Roman" w:eastAsia="Times New Roman" w:hAnsi="Times New Roman" w:cs="Times New Roman"/>
          <w:sz w:val="24"/>
          <w:lang w:val="en-US" w:eastAsia="ar-SA"/>
        </w:rPr>
        <w:t>Ostrosky</w:t>
      </w:r>
      <w:proofErr w:type="spellEnd"/>
      <w:r w:rsidRPr="00C20912">
        <w:rPr>
          <w:rFonts w:ascii="Times New Roman" w:eastAsia="Times New Roman" w:hAnsi="Times New Roman" w:cs="Times New Roman"/>
          <w:sz w:val="24"/>
          <w:lang w:val="en-US" w:eastAsia="ar-SA"/>
        </w:rPr>
        <w:t xml:space="preserve">, F., &amp; Lozano, A. (2012). </w:t>
      </w:r>
      <w:r>
        <w:rPr>
          <w:rFonts w:ascii="Times New Roman" w:eastAsia="Times New Roman" w:hAnsi="Times New Roman" w:cs="Times New Roman"/>
          <w:i/>
          <w:sz w:val="24"/>
          <w:lang w:val="es-CL" w:eastAsia="ar-SA"/>
        </w:rPr>
        <w:t>Batería de lóbulos frontales y funciones ejecutivas, BANFE</w:t>
      </w:r>
      <w:r>
        <w:rPr>
          <w:rFonts w:ascii="Times New Roman" w:eastAsia="Times New Roman" w:hAnsi="Times New Roman" w:cs="Times New Roman"/>
          <w:sz w:val="24"/>
          <w:lang w:val="es-CL" w:eastAsia="ar-SA"/>
        </w:rPr>
        <w:t xml:space="preserve">. </w:t>
      </w:r>
      <w:r>
        <w:rPr>
          <w:rFonts w:ascii="Times New Roman" w:eastAsia="Times New Roman" w:hAnsi="Times New Roman" w:cs="Times New Roman"/>
          <w:sz w:val="24"/>
          <w:lang w:eastAsia="ar-SA"/>
        </w:rPr>
        <w:t>Manual Moderno.</w:t>
      </w:r>
    </w:p>
    <w:p w14:paraId="5B54AD81" w14:textId="77777777" w:rsidR="006E374E" w:rsidRDefault="00937578" w:rsidP="001415FC">
      <w:pPr>
        <w:spacing w:after="0" w:line="360" w:lineRule="auto"/>
        <w:ind w:left="709" w:hanging="709"/>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Fernández, MT., </w:t>
      </w:r>
      <w:proofErr w:type="spellStart"/>
      <w:r>
        <w:rPr>
          <w:rFonts w:ascii="Times New Roman" w:eastAsia="Times New Roman" w:hAnsi="Times New Roman" w:cs="Times New Roman"/>
          <w:sz w:val="24"/>
          <w:lang w:eastAsia="ar-SA"/>
        </w:rPr>
        <w:t>Tuset</w:t>
      </w:r>
      <w:proofErr w:type="spellEnd"/>
      <w:r>
        <w:rPr>
          <w:rFonts w:ascii="Times New Roman" w:eastAsia="Times New Roman" w:hAnsi="Times New Roman" w:cs="Times New Roman"/>
          <w:sz w:val="24"/>
          <w:lang w:eastAsia="ar-SA"/>
        </w:rPr>
        <w:t xml:space="preserve">, AM., &amp; Ross, G. (2019). Validez Estructural de la Escala </w:t>
      </w:r>
      <w:proofErr w:type="spellStart"/>
      <w:r>
        <w:rPr>
          <w:rFonts w:ascii="Times New Roman" w:eastAsia="Times New Roman" w:hAnsi="Times New Roman" w:cs="Times New Roman"/>
          <w:sz w:val="24"/>
          <w:lang w:eastAsia="ar-SA"/>
        </w:rPr>
        <w:t>Wechsler</w:t>
      </w:r>
      <w:proofErr w:type="spellEnd"/>
      <w:r>
        <w:rPr>
          <w:rFonts w:ascii="Times New Roman" w:eastAsia="Times New Roman" w:hAnsi="Times New Roman" w:cs="Times New Roman"/>
          <w:sz w:val="24"/>
          <w:lang w:eastAsia="ar-SA"/>
        </w:rPr>
        <w:t xml:space="preserve"> de Inteligencia para Niños-IV en Estudiantes Indígenas de México.</w:t>
      </w:r>
      <w:r>
        <w:t xml:space="preserve"> </w:t>
      </w:r>
      <w:r>
        <w:rPr>
          <w:rFonts w:ascii="Times New Roman" w:eastAsia="Times New Roman" w:hAnsi="Times New Roman" w:cs="Times New Roman"/>
          <w:i/>
          <w:sz w:val="24"/>
          <w:lang w:eastAsia="ar-SA"/>
        </w:rPr>
        <w:t>Revista Iberoamericana de Diagnóstico y Evaluación, 52</w:t>
      </w:r>
      <w:r>
        <w:rPr>
          <w:rFonts w:ascii="Times New Roman" w:eastAsia="Times New Roman" w:hAnsi="Times New Roman" w:cs="Times New Roman"/>
          <w:sz w:val="24"/>
          <w:lang w:eastAsia="ar-SA"/>
        </w:rPr>
        <w:t xml:space="preserve">, 3, 129-142. </w:t>
      </w:r>
    </w:p>
    <w:p w14:paraId="60CE0B13" w14:textId="33A371EF" w:rsidR="006E374E" w:rsidRDefault="006E374E" w:rsidP="001415FC">
      <w:pPr>
        <w:spacing w:after="0" w:line="360" w:lineRule="auto"/>
        <w:ind w:left="709" w:hanging="709"/>
        <w:jc w:val="both"/>
        <w:rPr>
          <w:rFonts w:ascii="Times New Roman" w:eastAsia="Times New Roman" w:hAnsi="Times New Roman" w:cs="Times New Roman"/>
          <w:sz w:val="24"/>
          <w:lang w:eastAsia="ar-SA"/>
        </w:rPr>
      </w:pPr>
      <w:r w:rsidRPr="006E374E">
        <w:rPr>
          <w:rFonts w:ascii="Times New Roman" w:eastAsia="Times New Roman" w:hAnsi="Times New Roman" w:cs="Times New Roman"/>
          <w:sz w:val="24"/>
          <w:lang w:eastAsia="ar-SA"/>
        </w:rPr>
        <w:t xml:space="preserve">Gallo, MA., Menéndez, C., </w:t>
      </w:r>
      <w:proofErr w:type="spellStart"/>
      <w:r w:rsidRPr="006E374E">
        <w:rPr>
          <w:rFonts w:ascii="Times New Roman" w:eastAsia="Times New Roman" w:hAnsi="Times New Roman" w:cs="Times New Roman"/>
          <w:sz w:val="24"/>
          <w:lang w:eastAsia="ar-SA"/>
        </w:rPr>
        <w:t>Aragones</w:t>
      </w:r>
      <w:proofErr w:type="spellEnd"/>
      <w:r w:rsidRPr="006E374E">
        <w:rPr>
          <w:rFonts w:ascii="Times New Roman" w:eastAsia="Times New Roman" w:hAnsi="Times New Roman" w:cs="Times New Roman"/>
          <w:sz w:val="24"/>
          <w:lang w:eastAsia="ar-SA"/>
        </w:rPr>
        <w:t>, L., Cáceres, Y., Rojas, MC., Hernández, O… Pupo, N. (2018). Orientaciones metodológicas. Cuarto</w:t>
      </w:r>
      <w:r>
        <w:rPr>
          <w:rFonts w:ascii="Times New Roman" w:eastAsia="Times New Roman" w:hAnsi="Times New Roman" w:cs="Times New Roman"/>
          <w:sz w:val="24"/>
          <w:lang w:eastAsia="ar-SA"/>
        </w:rPr>
        <w:t xml:space="preserve">, Quinto y Sexto </w:t>
      </w:r>
      <w:r w:rsidRPr="006E374E">
        <w:rPr>
          <w:rFonts w:ascii="Times New Roman" w:eastAsia="Times New Roman" w:hAnsi="Times New Roman" w:cs="Times New Roman"/>
          <w:sz w:val="24"/>
          <w:lang w:eastAsia="ar-SA"/>
        </w:rPr>
        <w:t xml:space="preserve">año de vida. Primera infancia. Editorial Pueblo y Educación.  </w:t>
      </w:r>
    </w:p>
    <w:p w14:paraId="01D4DAC8" w14:textId="09C18BFB" w:rsidR="00B14CF0" w:rsidRDefault="00937578" w:rsidP="001415FC">
      <w:pPr>
        <w:spacing w:after="0" w:line="360" w:lineRule="auto"/>
        <w:ind w:left="709" w:hanging="709"/>
        <w:jc w:val="both"/>
        <w:rPr>
          <w:rFonts w:ascii="Times New Roman" w:hAnsi="Times New Roman" w:cs="Times New Roman"/>
          <w:sz w:val="24"/>
          <w:u w:val="single"/>
          <w:lang w:val="en-US" w:eastAsia="ar-SA"/>
        </w:rPr>
      </w:pPr>
      <w:r>
        <w:rPr>
          <w:rFonts w:ascii="Times New Roman" w:eastAsia="Times New Roman" w:hAnsi="Times New Roman" w:cs="Times New Roman"/>
          <w:sz w:val="24"/>
          <w:lang w:eastAsia="ar-SA"/>
        </w:rPr>
        <w:t xml:space="preserve"> Gutiérrez, M., </w:t>
      </w:r>
      <w:proofErr w:type="spellStart"/>
      <w:r>
        <w:rPr>
          <w:rFonts w:ascii="Times New Roman" w:eastAsia="Times New Roman" w:hAnsi="Times New Roman" w:cs="Times New Roman"/>
          <w:sz w:val="24"/>
          <w:lang w:eastAsia="ar-SA"/>
        </w:rPr>
        <w:t>Filippetti</w:t>
      </w:r>
      <w:proofErr w:type="spellEnd"/>
      <w:r>
        <w:rPr>
          <w:rFonts w:ascii="Times New Roman" w:eastAsia="Times New Roman" w:hAnsi="Times New Roman" w:cs="Times New Roman"/>
          <w:sz w:val="24"/>
          <w:lang w:eastAsia="ar-SA"/>
        </w:rPr>
        <w:t xml:space="preserve">, V.A. &amp; Lemos V. (2021). </w:t>
      </w:r>
      <w:r>
        <w:rPr>
          <w:rFonts w:ascii="Times New Roman" w:eastAsia="Times New Roman" w:hAnsi="Times New Roman" w:cs="Times New Roman"/>
          <w:sz w:val="24"/>
          <w:lang w:val="en-US" w:eastAsia="ar-SA"/>
        </w:rPr>
        <w:t xml:space="preserve">The Childhood Executive Functioning Inventory (CHEXI) Parent and Teacher Form: Factor Structure and Cognitive Correlates in Spanish-speaking Children from Argentina. </w:t>
      </w:r>
      <w:r>
        <w:rPr>
          <w:rFonts w:ascii="Times New Roman" w:eastAsia="Times New Roman" w:hAnsi="Times New Roman" w:cs="Times New Roman"/>
          <w:i/>
          <w:sz w:val="24"/>
          <w:lang w:val="en-US" w:eastAsia="ar-SA"/>
        </w:rPr>
        <w:t>Developmental Neuropsychology</w:t>
      </w:r>
      <w:r>
        <w:rPr>
          <w:rFonts w:ascii="Times New Roman" w:eastAsia="Times New Roman" w:hAnsi="Times New Roman" w:cs="Times New Roman"/>
          <w:sz w:val="24"/>
          <w:lang w:val="en-US" w:eastAsia="ar-SA"/>
        </w:rPr>
        <w:t>, 46</w:t>
      </w:r>
      <w:r w:rsidR="003428CF">
        <w:rPr>
          <w:rFonts w:ascii="Times New Roman" w:eastAsia="Times New Roman" w:hAnsi="Times New Roman" w:cs="Times New Roman"/>
          <w:sz w:val="24"/>
          <w:lang w:val="en-US" w:eastAsia="ar-SA"/>
        </w:rPr>
        <w:t xml:space="preserve">, </w:t>
      </w:r>
      <w:r>
        <w:rPr>
          <w:rFonts w:ascii="Times New Roman" w:hAnsi="Times New Roman" w:cs="Times New Roman"/>
          <w:color w:val="333333"/>
          <w:sz w:val="24"/>
          <w:shd w:val="clear" w:color="auto" w:fill="FFFFFF"/>
          <w:lang w:val="en-US"/>
        </w:rPr>
        <w:t>2, 136-148</w:t>
      </w:r>
      <w:r>
        <w:rPr>
          <w:rFonts w:ascii="Times New Roman" w:eastAsia="Times New Roman" w:hAnsi="Times New Roman" w:cs="Times New Roman"/>
          <w:sz w:val="28"/>
          <w:lang w:val="en-US" w:eastAsia="ar-SA"/>
        </w:rPr>
        <w:t xml:space="preserve"> </w:t>
      </w:r>
      <w:r w:rsidR="00D218E6">
        <w:fldChar w:fldCharType="begin"/>
      </w:r>
      <w:r w:rsidR="00D218E6" w:rsidRPr="00D218E6">
        <w:rPr>
          <w:lang w:val="en-US"/>
        </w:rPr>
        <w:instrText xml:space="preserve"> HYPERLINK "https://doi.org/10.1080</w:instrText>
      </w:r>
      <w:r w:rsidR="00D218E6" w:rsidRPr="00D218E6">
        <w:rPr>
          <w:lang w:val="en-US"/>
        </w:rPr>
        <w:instrText xml:space="preserve">/87565641.2021.1878175" </w:instrText>
      </w:r>
      <w:r w:rsidR="00D218E6">
        <w:fldChar w:fldCharType="separate"/>
      </w:r>
      <w:r>
        <w:rPr>
          <w:rFonts w:ascii="Times New Roman" w:hAnsi="Times New Roman" w:cs="Times New Roman"/>
          <w:sz w:val="24"/>
          <w:lang w:val="en-US" w:eastAsia="ar-SA"/>
        </w:rPr>
        <w:t>https://doi.org/10.1080/87565641.2021.1878175</w:t>
      </w:r>
      <w:r w:rsidR="00D218E6">
        <w:rPr>
          <w:rFonts w:ascii="Times New Roman" w:hAnsi="Times New Roman" w:cs="Times New Roman"/>
          <w:sz w:val="24"/>
          <w:lang w:val="en-US" w:eastAsia="ar-SA"/>
        </w:rPr>
        <w:fldChar w:fldCharType="end"/>
      </w:r>
    </w:p>
    <w:p w14:paraId="5DD9CED8" w14:textId="65396A95" w:rsidR="00B14CF0" w:rsidRDefault="00937578" w:rsidP="001415FC">
      <w:pPr>
        <w:spacing w:after="0" w:line="360" w:lineRule="auto"/>
        <w:ind w:left="709" w:hanging="709"/>
        <w:contextualSpacing/>
        <w:jc w:val="both"/>
        <w:rPr>
          <w:rFonts w:ascii="Times New Roman" w:eastAsia="Calibri" w:hAnsi="Times New Roman" w:cs="Times New Roman"/>
          <w:sz w:val="24"/>
          <w:lang w:val="en-US"/>
        </w:rPr>
      </w:pPr>
      <w:proofErr w:type="spellStart"/>
      <w:r>
        <w:rPr>
          <w:rFonts w:ascii="Times New Roman" w:eastAsia="Calibri" w:hAnsi="Times New Roman" w:cs="Times New Roman"/>
          <w:sz w:val="24"/>
          <w:lang w:val="en-US"/>
        </w:rPr>
        <w:t>Gizzonio</w:t>
      </w:r>
      <w:proofErr w:type="spellEnd"/>
      <w:r>
        <w:rPr>
          <w:rFonts w:ascii="Times New Roman" w:eastAsia="Calibri" w:hAnsi="Times New Roman" w:cs="Times New Roman"/>
          <w:sz w:val="24"/>
          <w:lang w:val="en-US"/>
        </w:rPr>
        <w:t xml:space="preserve">, V., </w:t>
      </w:r>
      <w:proofErr w:type="spellStart"/>
      <w:r>
        <w:rPr>
          <w:rFonts w:ascii="Times New Roman" w:eastAsia="Calibri" w:hAnsi="Times New Roman" w:cs="Times New Roman"/>
          <w:sz w:val="24"/>
          <w:lang w:val="en-US"/>
        </w:rPr>
        <w:t>Bazzini</w:t>
      </w:r>
      <w:proofErr w:type="spellEnd"/>
      <w:r>
        <w:rPr>
          <w:rFonts w:ascii="Times New Roman" w:eastAsia="Calibri" w:hAnsi="Times New Roman" w:cs="Times New Roman"/>
          <w:sz w:val="24"/>
          <w:lang w:val="en-US"/>
        </w:rPr>
        <w:t xml:space="preserve">, M. C., </w:t>
      </w:r>
      <w:proofErr w:type="spellStart"/>
      <w:r>
        <w:rPr>
          <w:rFonts w:ascii="Times New Roman" w:eastAsia="Calibri" w:hAnsi="Times New Roman" w:cs="Times New Roman"/>
          <w:sz w:val="24"/>
          <w:lang w:val="en-US"/>
        </w:rPr>
        <w:t>Marsella</w:t>
      </w:r>
      <w:proofErr w:type="spellEnd"/>
      <w:r>
        <w:rPr>
          <w:rFonts w:ascii="Times New Roman" w:eastAsia="Calibri" w:hAnsi="Times New Roman" w:cs="Times New Roman"/>
          <w:sz w:val="24"/>
          <w:lang w:val="en-US"/>
        </w:rPr>
        <w:t xml:space="preserve">, C., </w:t>
      </w:r>
      <w:proofErr w:type="spellStart"/>
      <w:r>
        <w:rPr>
          <w:rFonts w:ascii="Times New Roman" w:eastAsia="Calibri" w:hAnsi="Times New Roman" w:cs="Times New Roman"/>
          <w:sz w:val="24"/>
          <w:lang w:val="en-US"/>
        </w:rPr>
        <w:t>Papangelo</w:t>
      </w:r>
      <w:proofErr w:type="spellEnd"/>
      <w:r>
        <w:rPr>
          <w:rFonts w:ascii="Times New Roman" w:eastAsia="Calibri" w:hAnsi="Times New Roman" w:cs="Times New Roman"/>
          <w:sz w:val="24"/>
          <w:lang w:val="en-US"/>
        </w:rPr>
        <w:t xml:space="preserve">, P., </w:t>
      </w:r>
      <w:proofErr w:type="spellStart"/>
      <w:r>
        <w:rPr>
          <w:rFonts w:ascii="Times New Roman" w:eastAsia="Calibri" w:hAnsi="Times New Roman" w:cs="Times New Roman"/>
          <w:sz w:val="24"/>
          <w:lang w:val="en-US"/>
        </w:rPr>
        <w:t>Rizzolatti</w:t>
      </w:r>
      <w:proofErr w:type="spellEnd"/>
      <w:r>
        <w:rPr>
          <w:rFonts w:ascii="Times New Roman" w:eastAsia="Calibri" w:hAnsi="Times New Roman" w:cs="Times New Roman"/>
          <w:sz w:val="24"/>
          <w:lang w:val="en-US"/>
        </w:rPr>
        <w:t xml:space="preserve">, G., &amp; </w:t>
      </w:r>
      <w:proofErr w:type="spellStart"/>
      <w:r>
        <w:rPr>
          <w:rFonts w:ascii="Times New Roman" w:eastAsia="Calibri" w:hAnsi="Times New Roman" w:cs="Times New Roman"/>
          <w:sz w:val="24"/>
          <w:lang w:val="en-US"/>
        </w:rPr>
        <w:t>Fabbri</w:t>
      </w:r>
      <w:r>
        <w:rPr>
          <w:rFonts w:ascii="Cambria Math" w:eastAsia="Calibri" w:hAnsi="Cambria Math" w:cs="Cambria Math"/>
          <w:sz w:val="24"/>
          <w:lang w:val="en-US"/>
        </w:rPr>
        <w:t>‐</w:t>
      </w:r>
      <w:r>
        <w:rPr>
          <w:rFonts w:ascii="Times New Roman" w:eastAsia="Calibri" w:hAnsi="Times New Roman" w:cs="Times New Roman"/>
          <w:sz w:val="24"/>
          <w:lang w:val="en-US"/>
        </w:rPr>
        <w:t>Destro</w:t>
      </w:r>
      <w:proofErr w:type="spellEnd"/>
      <w:r>
        <w:rPr>
          <w:rFonts w:ascii="Times New Roman" w:eastAsia="Calibri" w:hAnsi="Times New Roman" w:cs="Times New Roman"/>
          <w:sz w:val="24"/>
          <w:lang w:val="en-US"/>
        </w:rPr>
        <w:t>, M. (2021). Supporting preschoolers’ cognitive development: Short</w:t>
      </w:r>
      <w:r>
        <w:rPr>
          <w:rFonts w:ascii="Cambria Math" w:eastAsia="Calibri" w:hAnsi="Cambria Math" w:cs="Cambria Math"/>
          <w:sz w:val="24"/>
          <w:lang w:val="en-US"/>
        </w:rPr>
        <w:t>‐</w:t>
      </w:r>
      <w:r>
        <w:rPr>
          <w:rFonts w:ascii="Times New Roman" w:eastAsia="Calibri" w:hAnsi="Times New Roman" w:cs="Times New Roman"/>
          <w:sz w:val="24"/>
          <w:lang w:val="en-US"/>
        </w:rPr>
        <w:t>and mid</w:t>
      </w:r>
      <w:r>
        <w:rPr>
          <w:rFonts w:ascii="Cambria Math" w:eastAsia="Calibri" w:hAnsi="Cambria Math" w:cs="Cambria Math"/>
          <w:sz w:val="24"/>
          <w:lang w:val="en-US"/>
        </w:rPr>
        <w:t>‐</w:t>
      </w:r>
      <w:r>
        <w:rPr>
          <w:rFonts w:ascii="Times New Roman" w:eastAsia="Calibri" w:hAnsi="Times New Roman" w:cs="Times New Roman"/>
          <w:sz w:val="24"/>
          <w:lang w:val="en-US"/>
        </w:rPr>
        <w:t xml:space="preserve">term effects of fluid reasoning, visuospatial, and motor training. </w:t>
      </w:r>
      <w:r>
        <w:rPr>
          <w:rFonts w:ascii="Times New Roman" w:eastAsia="Calibri" w:hAnsi="Times New Roman" w:cs="Times New Roman"/>
          <w:i/>
          <w:sz w:val="24"/>
          <w:lang w:val="en-US"/>
        </w:rPr>
        <w:t>Child Development,</w:t>
      </w:r>
      <w:r>
        <w:rPr>
          <w:rFonts w:ascii="Times New Roman" w:hAnsi="Times New Roman" w:cs="Times New Roman"/>
          <w:i/>
          <w:color w:val="231F20"/>
          <w:sz w:val="24"/>
          <w:shd w:val="clear" w:color="auto" w:fill="FFFFFF"/>
          <w:lang w:val="en-US"/>
        </w:rPr>
        <w:t xml:space="preserve"> 2021</w:t>
      </w:r>
      <w:r w:rsidR="003428CF">
        <w:rPr>
          <w:rFonts w:ascii="Times New Roman" w:hAnsi="Times New Roman" w:cs="Times New Roman"/>
          <w:i/>
          <w:color w:val="231F20"/>
          <w:sz w:val="24"/>
          <w:shd w:val="clear" w:color="auto" w:fill="FFFFFF"/>
          <w:lang w:val="en-US"/>
        </w:rPr>
        <w:t xml:space="preserve">, </w:t>
      </w:r>
      <w:r>
        <w:rPr>
          <w:rFonts w:ascii="Times New Roman" w:hAnsi="Times New Roman" w:cs="Times New Roman"/>
          <w:color w:val="231F20"/>
          <w:sz w:val="24"/>
          <w:shd w:val="clear" w:color="auto" w:fill="FFFFFF"/>
          <w:lang w:val="en-US"/>
        </w:rPr>
        <w:t>1-16.</w:t>
      </w:r>
      <w:r>
        <w:rPr>
          <w:rFonts w:ascii="Times New Roman" w:eastAsia="Calibri" w:hAnsi="Times New Roman" w:cs="Times New Roman"/>
          <w:i/>
          <w:sz w:val="24"/>
          <w:lang w:val="en-US"/>
        </w:rPr>
        <w:t xml:space="preserve"> </w:t>
      </w:r>
      <w:r>
        <w:rPr>
          <w:rFonts w:ascii="Times New Roman" w:eastAsia="Calibri" w:hAnsi="Times New Roman" w:cs="Times New Roman"/>
          <w:sz w:val="24"/>
        </w:rPr>
        <w:t>﻿</w:t>
      </w:r>
      <w:r>
        <w:rPr>
          <w:rFonts w:ascii="Times New Roman" w:eastAsia="Calibri" w:hAnsi="Times New Roman" w:cs="Times New Roman"/>
          <w:sz w:val="24"/>
          <w:lang w:val="en-US"/>
        </w:rPr>
        <w:t xml:space="preserve"> </w:t>
      </w:r>
      <w:r w:rsidR="00D218E6">
        <w:fldChar w:fldCharType="begin"/>
      </w:r>
      <w:r w:rsidR="00D218E6" w:rsidRPr="00D218E6">
        <w:rPr>
          <w:lang w:val="en-US"/>
        </w:rPr>
        <w:instrText xml:space="preserve"> HYPERLINK "https://doi.org/10.1111/cdev.13642" </w:instrText>
      </w:r>
      <w:r w:rsidR="00D218E6">
        <w:fldChar w:fldCharType="separate"/>
      </w:r>
      <w:r>
        <w:rPr>
          <w:rFonts w:ascii="Times New Roman" w:hAnsi="Times New Roman" w:cs="Times New Roman"/>
          <w:sz w:val="24"/>
          <w:lang w:val="en-US" w:eastAsia="ar-SA"/>
        </w:rPr>
        <w:t>https://doi.org/10.1111/cdev.13642</w:t>
      </w:r>
      <w:r w:rsidR="00D218E6">
        <w:rPr>
          <w:rFonts w:ascii="Times New Roman" w:hAnsi="Times New Roman" w:cs="Times New Roman"/>
          <w:sz w:val="24"/>
          <w:lang w:val="en-US" w:eastAsia="ar-SA"/>
        </w:rPr>
        <w:fldChar w:fldCharType="end"/>
      </w:r>
    </w:p>
    <w:p w14:paraId="07E12A69" w14:textId="77777777" w:rsidR="00B14CF0" w:rsidRDefault="00937578" w:rsidP="001415FC">
      <w:pPr>
        <w:spacing w:after="0" w:line="360" w:lineRule="auto"/>
        <w:ind w:left="709" w:hanging="709"/>
        <w:contextualSpacing/>
        <w:jc w:val="both"/>
        <w:rPr>
          <w:rFonts w:ascii="Times New Roman" w:eastAsia="Calibri" w:hAnsi="Times New Roman" w:cs="Times New Roman"/>
          <w:sz w:val="24"/>
        </w:rPr>
      </w:pPr>
      <w:proofErr w:type="spellStart"/>
      <w:r>
        <w:rPr>
          <w:rFonts w:ascii="Times New Roman" w:eastAsia="Calibri" w:hAnsi="Times New Roman" w:cs="Times New Roman"/>
          <w:sz w:val="24"/>
          <w:lang w:val="en-US"/>
        </w:rPr>
        <w:t>Íñiguez</w:t>
      </w:r>
      <w:proofErr w:type="spellEnd"/>
      <w:r>
        <w:rPr>
          <w:rFonts w:ascii="Times New Roman" w:eastAsia="Calibri" w:hAnsi="Times New Roman" w:cs="Times New Roman"/>
          <w:sz w:val="24"/>
          <w:lang w:val="en-US"/>
        </w:rPr>
        <w:t xml:space="preserve">, L., Figueroa, E. &amp; Rojas, J. (2017). </w:t>
      </w:r>
      <w:r>
        <w:rPr>
          <w:rFonts w:ascii="Times New Roman" w:eastAsia="Calibri" w:hAnsi="Times New Roman" w:cs="Times New Roman"/>
          <w:i/>
          <w:sz w:val="24"/>
        </w:rPr>
        <w:t>Atlas de la infancia y la adolescencia en Cuba</w:t>
      </w:r>
      <w:r>
        <w:rPr>
          <w:rFonts w:ascii="Times New Roman" w:eastAsia="Calibri" w:hAnsi="Times New Roman" w:cs="Times New Roman"/>
          <w:sz w:val="24"/>
        </w:rPr>
        <w:t xml:space="preserve">. Análisis a partir del Censo de Población y Viviendas 2012. Editorial Universidad de la Habana. La Habana, Cuba. </w:t>
      </w:r>
    </w:p>
    <w:p w14:paraId="6424C4E0" w14:textId="3C3E585C" w:rsidR="00B14CF0" w:rsidRDefault="00937578" w:rsidP="001415FC">
      <w:pPr>
        <w:spacing w:after="0" w:line="360" w:lineRule="auto"/>
        <w:ind w:left="709" w:hanging="709"/>
        <w:contextualSpacing/>
        <w:jc w:val="both"/>
        <w:rPr>
          <w:rFonts w:ascii="Times New Roman" w:eastAsia="Times New Roman" w:hAnsi="Times New Roman" w:cs="Times New Roman"/>
          <w:sz w:val="24"/>
          <w:lang w:val="es-CL" w:eastAsia="ar-SA"/>
        </w:rPr>
      </w:pPr>
      <w:proofErr w:type="spellStart"/>
      <w:r>
        <w:rPr>
          <w:rFonts w:ascii="Times New Roman" w:eastAsia="Times New Roman" w:hAnsi="Times New Roman" w:cs="Times New Roman"/>
          <w:sz w:val="24"/>
          <w:lang w:val="es-CL" w:eastAsia="ar-SA"/>
        </w:rPr>
        <w:t>Lloret</w:t>
      </w:r>
      <w:proofErr w:type="spellEnd"/>
      <w:r>
        <w:rPr>
          <w:rFonts w:ascii="Times New Roman" w:eastAsia="Times New Roman" w:hAnsi="Times New Roman" w:cs="Times New Roman"/>
          <w:sz w:val="24"/>
          <w:lang w:val="es-CL" w:eastAsia="ar-SA"/>
        </w:rPr>
        <w:t xml:space="preserve">-Segura, S., </w:t>
      </w:r>
      <w:proofErr w:type="spellStart"/>
      <w:r>
        <w:rPr>
          <w:rFonts w:ascii="Times New Roman" w:eastAsia="Times New Roman" w:hAnsi="Times New Roman" w:cs="Times New Roman"/>
          <w:sz w:val="24"/>
          <w:lang w:val="es-CL" w:eastAsia="ar-SA"/>
        </w:rPr>
        <w:t>Ferreres-Traver</w:t>
      </w:r>
      <w:proofErr w:type="spellEnd"/>
      <w:r>
        <w:rPr>
          <w:rFonts w:ascii="Times New Roman" w:eastAsia="Times New Roman" w:hAnsi="Times New Roman" w:cs="Times New Roman"/>
          <w:sz w:val="24"/>
          <w:lang w:val="es-CL" w:eastAsia="ar-SA"/>
        </w:rPr>
        <w:t xml:space="preserve">, A., Hernández-Baeza, A. &amp; Tomás-Marco, I. (2014). El análisis factorial exploratorio de los ítems: una guía práctica, revisada y </w:t>
      </w:r>
      <w:r>
        <w:rPr>
          <w:rFonts w:ascii="Times New Roman" w:eastAsia="Times New Roman" w:hAnsi="Times New Roman" w:cs="Times New Roman"/>
          <w:sz w:val="24"/>
          <w:lang w:val="es-CL" w:eastAsia="ar-SA"/>
        </w:rPr>
        <w:lastRenderedPageBreak/>
        <w:t xml:space="preserve">actualizada. </w:t>
      </w:r>
      <w:r>
        <w:rPr>
          <w:rFonts w:ascii="Times New Roman" w:eastAsia="Times New Roman" w:hAnsi="Times New Roman" w:cs="Times New Roman"/>
          <w:i/>
          <w:sz w:val="24"/>
          <w:lang w:val="es-CL" w:eastAsia="ar-SA"/>
        </w:rPr>
        <w:t>Anales de psicología, 30</w:t>
      </w:r>
      <w:r w:rsidR="001F4AD8">
        <w:rPr>
          <w:rFonts w:ascii="Times New Roman" w:eastAsia="Times New Roman" w:hAnsi="Times New Roman" w:cs="Times New Roman"/>
          <w:i/>
          <w:sz w:val="24"/>
          <w:lang w:val="es-CL" w:eastAsia="ar-SA"/>
        </w:rPr>
        <w:t xml:space="preserve">, </w:t>
      </w:r>
      <w:r>
        <w:rPr>
          <w:rFonts w:ascii="Times New Roman" w:eastAsia="Times New Roman" w:hAnsi="Times New Roman" w:cs="Times New Roman"/>
          <w:sz w:val="24"/>
          <w:lang w:val="es-CL" w:eastAsia="ar-SA"/>
        </w:rPr>
        <w:t xml:space="preserve">3, 1151-1169. </w:t>
      </w:r>
      <w:r>
        <w:rPr>
          <w:rFonts w:ascii="Times New Roman" w:hAnsi="Times New Roman" w:cs="Times New Roman"/>
          <w:sz w:val="24"/>
          <w:lang w:eastAsia="ar-SA"/>
        </w:rPr>
        <w:t>https://dx.doi.org/10.6018/analesps.30.3.199361</w:t>
      </w:r>
      <w:r>
        <w:rPr>
          <w:rFonts w:ascii="Times New Roman" w:hAnsi="Times New Roman" w:cs="Times New Roman"/>
          <w:sz w:val="24"/>
          <w:u w:val="single"/>
          <w:lang w:eastAsia="ar-SA"/>
        </w:rPr>
        <w:t> </w:t>
      </w:r>
    </w:p>
    <w:p w14:paraId="71A1B132" w14:textId="77777777" w:rsidR="00B14CF0" w:rsidRDefault="00937578" w:rsidP="001415FC">
      <w:pPr>
        <w:spacing w:after="0" w:line="360" w:lineRule="auto"/>
        <w:ind w:left="709" w:hanging="709"/>
        <w:contextualSpacing/>
        <w:jc w:val="both"/>
        <w:rPr>
          <w:rFonts w:ascii="Times New Roman" w:eastAsia="Times New Roman" w:hAnsi="Times New Roman" w:cs="Times New Roman"/>
          <w:sz w:val="24"/>
          <w:lang w:val="es-CL" w:eastAsia="ar-SA"/>
        </w:rPr>
      </w:pPr>
      <w:r>
        <w:rPr>
          <w:rFonts w:ascii="Times New Roman" w:eastAsia="Times New Roman" w:hAnsi="Times New Roman" w:cs="Times New Roman"/>
          <w:sz w:val="24"/>
          <w:lang w:val="es-CL" w:eastAsia="ar-SA"/>
        </w:rPr>
        <w:t xml:space="preserve">Manga, D., &amp; Ramos, F. (2006). </w:t>
      </w:r>
      <w:r>
        <w:rPr>
          <w:rFonts w:ascii="Times New Roman" w:eastAsia="Times New Roman" w:hAnsi="Times New Roman" w:cs="Times New Roman"/>
          <w:i/>
          <w:sz w:val="24"/>
          <w:lang w:val="es-CL" w:eastAsia="ar-SA"/>
        </w:rPr>
        <w:t>Luria Inicial: Evaluación neuropsicológica en la edad preescolar</w:t>
      </w:r>
      <w:r>
        <w:rPr>
          <w:rFonts w:ascii="Times New Roman" w:eastAsia="Times New Roman" w:hAnsi="Times New Roman" w:cs="Times New Roman"/>
          <w:sz w:val="24"/>
          <w:lang w:val="es-CL" w:eastAsia="ar-SA"/>
        </w:rPr>
        <w:t xml:space="preserve">. Manual. TEA Ediciones.  </w:t>
      </w:r>
    </w:p>
    <w:p w14:paraId="6317B39D" w14:textId="77777777" w:rsidR="00B14CF0" w:rsidRDefault="00937578" w:rsidP="001415FC">
      <w:pPr>
        <w:spacing w:after="0" w:line="360" w:lineRule="auto"/>
        <w:ind w:left="709" w:hanging="709"/>
        <w:contextualSpacing/>
        <w:jc w:val="both"/>
        <w:rPr>
          <w:rFonts w:ascii="Times New Roman" w:eastAsia="Times New Roman" w:hAnsi="Times New Roman" w:cs="Times New Roman"/>
          <w:sz w:val="24"/>
          <w:lang w:val="es-CL" w:eastAsia="ar-SA"/>
        </w:rPr>
      </w:pPr>
      <w:proofErr w:type="spellStart"/>
      <w:r>
        <w:rPr>
          <w:rFonts w:ascii="Times New Roman" w:hAnsi="Times New Roman" w:cs="Times New Roman"/>
          <w:color w:val="222222"/>
          <w:sz w:val="24"/>
          <w:shd w:val="clear" w:color="auto" w:fill="FFFFFF"/>
        </w:rPr>
        <w:t>Marreros-Tananta</w:t>
      </w:r>
      <w:proofErr w:type="spellEnd"/>
      <w:r>
        <w:rPr>
          <w:rFonts w:ascii="Times New Roman" w:hAnsi="Times New Roman" w:cs="Times New Roman"/>
          <w:color w:val="222222"/>
          <w:sz w:val="24"/>
          <w:shd w:val="clear" w:color="auto" w:fill="FFFFFF"/>
        </w:rPr>
        <w:t>, J., &amp; Guerrero-Alcedo, J. M. (2022). Propiedades psicométricas del test de evaluación neuropsicológica–</w:t>
      </w:r>
      <w:proofErr w:type="spellStart"/>
      <w:r>
        <w:rPr>
          <w:rFonts w:ascii="Times New Roman" w:hAnsi="Times New Roman" w:cs="Times New Roman"/>
          <w:color w:val="222222"/>
          <w:sz w:val="24"/>
          <w:shd w:val="clear" w:color="auto" w:fill="FFFFFF"/>
        </w:rPr>
        <w:t>Neuropsi</w:t>
      </w:r>
      <w:proofErr w:type="spellEnd"/>
      <w:r>
        <w:rPr>
          <w:rFonts w:ascii="Times New Roman" w:hAnsi="Times New Roman" w:cs="Times New Roman"/>
          <w:color w:val="222222"/>
          <w:sz w:val="24"/>
          <w:shd w:val="clear" w:color="auto" w:fill="FFFFFF"/>
        </w:rPr>
        <w:t xml:space="preserve"> en población peruana </w:t>
      </w:r>
      <w:proofErr w:type="spellStart"/>
      <w:r>
        <w:rPr>
          <w:rFonts w:ascii="Times New Roman" w:hAnsi="Times New Roman" w:cs="Times New Roman"/>
          <w:color w:val="222222"/>
          <w:sz w:val="24"/>
          <w:shd w:val="clear" w:color="auto" w:fill="FFFFFF"/>
        </w:rPr>
        <w:t>Psychometric</w:t>
      </w:r>
      <w:proofErr w:type="spellEnd"/>
      <w:r>
        <w:rPr>
          <w:rFonts w:ascii="Times New Roman" w:hAnsi="Times New Roman" w:cs="Times New Roman"/>
          <w:color w:val="222222"/>
          <w:sz w:val="24"/>
          <w:shd w:val="clear" w:color="auto" w:fill="FFFFFF"/>
        </w:rPr>
        <w:t xml:space="preserve"> </w:t>
      </w:r>
      <w:proofErr w:type="spellStart"/>
      <w:r>
        <w:rPr>
          <w:rFonts w:ascii="Times New Roman" w:hAnsi="Times New Roman" w:cs="Times New Roman"/>
          <w:color w:val="222222"/>
          <w:sz w:val="24"/>
          <w:shd w:val="clear" w:color="auto" w:fill="FFFFFF"/>
        </w:rPr>
        <w:t>properties</w:t>
      </w:r>
      <w:proofErr w:type="spellEnd"/>
      <w:r>
        <w:rPr>
          <w:rFonts w:ascii="Times New Roman" w:hAnsi="Times New Roman" w:cs="Times New Roman"/>
          <w:color w:val="222222"/>
          <w:sz w:val="24"/>
          <w:shd w:val="clear" w:color="auto" w:fill="FFFFFF"/>
        </w:rPr>
        <w:t xml:space="preserve"> of </w:t>
      </w:r>
      <w:proofErr w:type="spellStart"/>
      <w:r>
        <w:rPr>
          <w:rFonts w:ascii="Times New Roman" w:hAnsi="Times New Roman" w:cs="Times New Roman"/>
          <w:color w:val="222222"/>
          <w:sz w:val="24"/>
          <w:shd w:val="clear" w:color="auto" w:fill="FFFFFF"/>
        </w:rPr>
        <w:t>the</w:t>
      </w:r>
      <w:proofErr w:type="spellEnd"/>
      <w:r>
        <w:rPr>
          <w:rFonts w:ascii="Times New Roman" w:hAnsi="Times New Roman" w:cs="Times New Roman"/>
          <w:color w:val="222222"/>
          <w:sz w:val="24"/>
          <w:shd w:val="clear" w:color="auto" w:fill="FFFFFF"/>
        </w:rPr>
        <w:t xml:space="preserve"> </w:t>
      </w:r>
      <w:proofErr w:type="spellStart"/>
      <w:r>
        <w:rPr>
          <w:rFonts w:ascii="Times New Roman" w:hAnsi="Times New Roman" w:cs="Times New Roman"/>
          <w:color w:val="222222"/>
          <w:sz w:val="24"/>
          <w:shd w:val="clear" w:color="auto" w:fill="FFFFFF"/>
        </w:rPr>
        <w:t>neuropsychological</w:t>
      </w:r>
      <w:proofErr w:type="spellEnd"/>
      <w:r>
        <w:rPr>
          <w:rFonts w:ascii="Times New Roman" w:hAnsi="Times New Roman" w:cs="Times New Roman"/>
          <w:color w:val="222222"/>
          <w:sz w:val="24"/>
          <w:shd w:val="clear" w:color="auto" w:fill="FFFFFF"/>
        </w:rPr>
        <w:t xml:space="preserve"> </w:t>
      </w:r>
      <w:proofErr w:type="spellStart"/>
      <w:r>
        <w:rPr>
          <w:rFonts w:ascii="Times New Roman" w:hAnsi="Times New Roman" w:cs="Times New Roman"/>
          <w:color w:val="222222"/>
          <w:sz w:val="24"/>
          <w:shd w:val="clear" w:color="auto" w:fill="FFFFFF"/>
        </w:rPr>
        <w:t>evaluation</w:t>
      </w:r>
      <w:proofErr w:type="spellEnd"/>
      <w:r>
        <w:rPr>
          <w:rFonts w:ascii="Times New Roman" w:hAnsi="Times New Roman" w:cs="Times New Roman"/>
          <w:color w:val="222222"/>
          <w:sz w:val="24"/>
          <w:shd w:val="clear" w:color="auto" w:fill="FFFFFF"/>
        </w:rPr>
        <w:t xml:space="preserve"> test–</w:t>
      </w:r>
      <w:proofErr w:type="spellStart"/>
      <w:r>
        <w:rPr>
          <w:rFonts w:ascii="Times New Roman" w:hAnsi="Times New Roman" w:cs="Times New Roman"/>
          <w:color w:val="222222"/>
          <w:sz w:val="24"/>
          <w:shd w:val="clear" w:color="auto" w:fill="FFFFFF"/>
        </w:rPr>
        <w:t>Neuropsi</w:t>
      </w:r>
      <w:proofErr w:type="spellEnd"/>
      <w:r>
        <w:rPr>
          <w:rFonts w:ascii="Times New Roman" w:hAnsi="Times New Roman" w:cs="Times New Roman"/>
          <w:color w:val="222222"/>
          <w:sz w:val="24"/>
          <w:shd w:val="clear" w:color="auto" w:fill="FFFFFF"/>
        </w:rPr>
        <w:t xml:space="preserve"> in </w:t>
      </w:r>
      <w:proofErr w:type="spellStart"/>
      <w:r>
        <w:rPr>
          <w:rFonts w:ascii="Times New Roman" w:hAnsi="Times New Roman" w:cs="Times New Roman"/>
          <w:color w:val="222222"/>
          <w:sz w:val="24"/>
          <w:shd w:val="clear" w:color="auto" w:fill="FFFFFF"/>
        </w:rPr>
        <w:t>peruvian</w:t>
      </w:r>
      <w:proofErr w:type="spellEnd"/>
      <w:r>
        <w:rPr>
          <w:rFonts w:ascii="Times New Roman" w:hAnsi="Times New Roman" w:cs="Times New Roman"/>
          <w:color w:val="222222"/>
          <w:sz w:val="24"/>
          <w:shd w:val="clear" w:color="auto" w:fill="FFFFFF"/>
        </w:rPr>
        <w:t xml:space="preserve"> </w:t>
      </w:r>
      <w:proofErr w:type="spellStart"/>
      <w:r>
        <w:rPr>
          <w:rFonts w:ascii="Times New Roman" w:hAnsi="Times New Roman" w:cs="Times New Roman"/>
          <w:color w:val="222222"/>
          <w:sz w:val="24"/>
          <w:shd w:val="clear" w:color="auto" w:fill="FFFFFF"/>
        </w:rPr>
        <w:t>population</w:t>
      </w:r>
      <w:proofErr w:type="spellEnd"/>
      <w:r>
        <w:rPr>
          <w:rFonts w:ascii="Times New Roman" w:hAnsi="Times New Roman" w:cs="Times New Roman"/>
          <w:color w:val="222222"/>
          <w:sz w:val="24"/>
          <w:shd w:val="clear" w:color="auto" w:fill="FFFFFF"/>
        </w:rPr>
        <w:t>. </w:t>
      </w:r>
      <w:r>
        <w:rPr>
          <w:rFonts w:ascii="Times New Roman" w:hAnsi="Times New Roman" w:cs="Times New Roman"/>
          <w:i/>
          <w:color w:val="222222"/>
          <w:sz w:val="24"/>
          <w:shd w:val="clear" w:color="auto" w:fill="FFFFFF"/>
        </w:rPr>
        <w:t>Revista Ecuatoriana de Neurología</w:t>
      </w:r>
      <w:r>
        <w:rPr>
          <w:rFonts w:ascii="Times New Roman" w:hAnsi="Times New Roman" w:cs="Times New Roman"/>
          <w:color w:val="222222"/>
          <w:sz w:val="24"/>
          <w:shd w:val="clear" w:color="auto" w:fill="FFFFFF"/>
        </w:rPr>
        <w:t>, </w:t>
      </w:r>
      <w:r>
        <w:rPr>
          <w:rFonts w:ascii="Times New Roman" w:hAnsi="Times New Roman" w:cs="Times New Roman"/>
          <w:i/>
          <w:color w:val="222222"/>
          <w:sz w:val="24"/>
          <w:shd w:val="clear" w:color="auto" w:fill="FFFFFF"/>
        </w:rPr>
        <w:t xml:space="preserve">31, </w:t>
      </w:r>
      <w:r>
        <w:rPr>
          <w:rFonts w:ascii="Times New Roman" w:hAnsi="Times New Roman" w:cs="Times New Roman"/>
          <w:color w:val="222222"/>
          <w:sz w:val="24"/>
          <w:shd w:val="clear" w:color="auto" w:fill="FFFFFF"/>
        </w:rPr>
        <w:t>1, 40 - 48.</w:t>
      </w:r>
    </w:p>
    <w:p w14:paraId="1F526FF8" w14:textId="77777777" w:rsidR="00B14CF0" w:rsidRDefault="00937578" w:rsidP="001415FC">
      <w:pPr>
        <w:spacing w:after="0" w:line="360" w:lineRule="auto"/>
        <w:ind w:left="709" w:hanging="709"/>
        <w:jc w:val="both"/>
        <w:rPr>
          <w:rFonts w:ascii="Times New Roman" w:eastAsia="Times New Roman" w:hAnsi="Times New Roman" w:cs="Times New Roman"/>
          <w:sz w:val="24"/>
          <w:lang w:val="es-CL" w:eastAsia="ar-SA"/>
        </w:rPr>
      </w:pPr>
      <w:r>
        <w:rPr>
          <w:rFonts w:ascii="Times New Roman" w:eastAsia="Times New Roman" w:hAnsi="Times New Roman" w:cs="Times New Roman"/>
          <w:sz w:val="24"/>
          <w:lang w:val="es-CL" w:eastAsia="ar-SA"/>
        </w:rPr>
        <w:t xml:space="preserve">Matute, E., </w:t>
      </w:r>
      <w:proofErr w:type="spellStart"/>
      <w:r>
        <w:rPr>
          <w:rFonts w:ascii="Times New Roman" w:eastAsia="Times New Roman" w:hAnsi="Times New Roman" w:cs="Times New Roman"/>
          <w:sz w:val="24"/>
          <w:lang w:val="es-CL" w:eastAsia="ar-SA"/>
        </w:rPr>
        <w:t>Rosselli</w:t>
      </w:r>
      <w:proofErr w:type="spellEnd"/>
      <w:r>
        <w:rPr>
          <w:rFonts w:ascii="Times New Roman" w:eastAsia="Times New Roman" w:hAnsi="Times New Roman" w:cs="Times New Roman"/>
          <w:sz w:val="24"/>
          <w:lang w:val="es-CL" w:eastAsia="ar-SA"/>
        </w:rPr>
        <w:t xml:space="preserve">, M., Ardila, A., &amp; </w:t>
      </w:r>
      <w:proofErr w:type="spellStart"/>
      <w:r>
        <w:rPr>
          <w:rFonts w:ascii="Times New Roman" w:eastAsia="Times New Roman" w:hAnsi="Times New Roman" w:cs="Times New Roman"/>
          <w:sz w:val="24"/>
          <w:lang w:val="es-CL" w:eastAsia="ar-SA"/>
        </w:rPr>
        <w:t>Ostrosky</w:t>
      </w:r>
      <w:proofErr w:type="spellEnd"/>
      <w:r>
        <w:rPr>
          <w:rFonts w:ascii="Times New Roman" w:eastAsia="Times New Roman" w:hAnsi="Times New Roman" w:cs="Times New Roman"/>
          <w:sz w:val="24"/>
          <w:lang w:val="es-CL" w:eastAsia="ar-SA"/>
        </w:rPr>
        <w:t xml:space="preserve"> – Solís, F. (2007). </w:t>
      </w:r>
      <w:r>
        <w:rPr>
          <w:rFonts w:ascii="Times New Roman" w:eastAsia="Times New Roman" w:hAnsi="Times New Roman" w:cs="Times New Roman"/>
          <w:i/>
          <w:sz w:val="24"/>
          <w:lang w:val="es-CL" w:eastAsia="ar-SA"/>
        </w:rPr>
        <w:t>Evaluación neuropsicológica infantil – ENI.</w:t>
      </w:r>
      <w:r>
        <w:rPr>
          <w:rFonts w:ascii="Times New Roman" w:eastAsia="Times New Roman" w:hAnsi="Times New Roman" w:cs="Times New Roman"/>
          <w:sz w:val="24"/>
          <w:lang w:val="es-CL" w:eastAsia="ar-SA"/>
        </w:rPr>
        <w:t xml:space="preserve"> El Manual Moderno.</w:t>
      </w:r>
    </w:p>
    <w:p w14:paraId="389E4015" w14:textId="77777777" w:rsidR="00B14CF0" w:rsidRDefault="00937578" w:rsidP="001415FC">
      <w:pPr>
        <w:spacing w:line="360" w:lineRule="auto"/>
        <w:ind w:left="426" w:hanging="426"/>
        <w:rPr>
          <w:rFonts w:ascii="Times New Roman" w:eastAsia="Times New Roman" w:hAnsi="Times New Roman" w:cs="Times New Roman"/>
          <w:sz w:val="24"/>
          <w:highlight w:val="white"/>
          <w:lang w:val="en-US"/>
        </w:rPr>
      </w:pPr>
      <w:proofErr w:type="spellStart"/>
      <w:r w:rsidRPr="00C20912">
        <w:rPr>
          <w:rFonts w:ascii="Times New Roman" w:eastAsia="Times New Roman" w:hAnsi="Times New Roman" w:cs="Times New Roman"/>
          <w:sz w:val="24"/>
          <w:highlight w:val="white"/>
        </w:rPr>
        <w:t>Miyake</w:t>
      </w:r>
      <w:proofErr w:type="spellEnd"/>
      <w:r w:rsidRPr="00C20912">
        <w:rPr>
          <w:rFonts w:ascii="Times New Roman" w:eastAsia="Times New Roman" w:hAnsi="Times New Roman" w:cs="Times New Roman"/>
          <w:sz w:val="24"/>
          <w:highlight w:val="white"/>
        </w:rPr>
        <w:t xml:space="preserve">, A., Friedman, N., Emerson, M. J., </w:t>
      </w:r>
      <w:proofErr w:type="spellStart"/>
      <w:r w:rsidRPr="00C20912">
        <w:rPr>
          <w:rFonts w:ascii="Times New Roman" w:eastAsia="Times New Roman" w:hAnsi="Times New Roman" w:cs="Times New Roman"/>
          <w:sz w:val="24"/>
          <w:highlight w:val="white"/>
        </w:rPr>
        <w:t>Witzki</w:t>
      </w:r>
      <w:proofErr w:type="spellEnd"/>
      <w:r w:rsidRPr="00C20912">
        <w:rPr>
          <w:rFonts w:ascii="Times New Roman" w:eastAsia="Times New Roman" w:hAnsi="Times New Roman" w:cs="Times New Roman"/>
          <w:sz w:val="24"/>
          <w:highlight w:val="white"/>
        </w:rPr>
        <w:t xml:space="preserve">, A. H., </w:t>
      </w:r>
      <w:proofErr w:type="spellStart"/>
      <w:r w:rsidRPr="00C20912">
        <w:rPr>
          <w:rFonts w:ascii="Times New Roman" w:eastAsia="Times New Roman" w:hAnsi="Times New Roman" w:cs="Times New Roman"/>
          <w:sz w:val="24"/>
          <w:highlight w:val="white"/>
        </w:rPr>
        <w:t>Howerter</w:t>
      </w:r>
      <w:proofErr w:type="spellEnd"/>
      <w:r w:rsidRPr="00C20912">
        <w:rPr>
          <w:rFonts w:ascii="Times New Roman" w:eastAsia="Times New Roman" w:hAnsi="Times New Roman" w:cs="Times New Roman"/>
          <w:sz w:val="24"/>
          <w:highlight w:val="white"/>
        </w:rPr>
        <w:t xml:space="preserve">, A. </w:t>
      </w:r>
      <w:r w:rsidRPr="00C20912">
        <w:rPr>
          <w:rFonts w:ascii="Times New Roman" w:eastAsia="Times New Roman" w:hAnsi="Times New Roman" w:cs="Times New Roman"/>
          <w:sz w:val="24"/>
        </w:rPr>
        <w:t>&amp;</w:t>
      </w:r>
      <w:r w:rsidRPr="00C20912">
        <w:rPr>
          <w:rFonts w:ascii="Times New Roman" w:eastAsia="Times New Roman" w:hAnsi="Times New Roman" w:cs="Times New Roman"/>
          <w:sz w:val="24"/>
          <w:highlight w:val="white"/>
        </w:rPr>
        <w:t xml:space="preserve"> </w:t>
      </w:r>
      <w:proofErr w:type="spellStart"/>
      <w:r w:rsidRPr="00C20912">
        <w:rPr>
          <w:rFonts w:ascii="Times New Roman" w:eastAsia="Times New Roman" w:hAnsi="Times New Roman" w:cs="Times New Roman"/>
          <w:sz w:val="24"/>
          <w:highlight w:val="white"/>
        </w:rPr>
        <w:t>Wager</w:t>
      </w:r>
      <w:proofErr w:type="spellEnd"/>
      <w:r w:rsidRPr="00C20912">
        <w:rPr>
          <w:rFonts w:ascii="Times New Roman" w:eastAsia="Times New Roman" w:hAnsi="Times New Roman" w:cs="Times New Roman"/>
          <w:sz w:val="24"/>
          <w:highlight w:val="white"/>
        </w:rPr>
        <w:t xml:space="preserve">, T. D. (2000). </w:t>
      </w:r>
      <w:r>
        <w:rPr>
          <w:rFonts w:ascii="Times New Roman" w:eastAsia="Times New Roman" w:hAnsi="Times New Roman" w:cs="Times New Roman"/>
          <w:sz w:val="24"/>
          <w:highlight w:val="white"/>
          <w:lang w:val="en-US"/>
        </w:rPr>
        <w:t xml:space="preserve">The Unity and Diversity of Executive Functions and Their Contributions to Complex “Frontal Lobe” Tasks: A Latent Variable Analysis. </w:t>
      </w:r>
      <w:r>
        <w:rPr>
          <w:rFonts w:ascii="Times New Roman" w:eastAsia="Times New Roman" w:hAnsi="Times New Roman" w:cs="Times New Roman"/>
          <w:i/>
          <w:sz w:val="24"/>
          <w:highlight w:val="white"/>
          <w:lang w:val="en-US"/>
        </w:rPr>
        <w:t>Cognitive Psychology, 41</w:t>
      </w:r>
      <w:r>
        <w:rPr>
          <w:rFonts w:ascii="Times New Roman" w:eastAsia="Times New Roman" w:hAnsi="Times New Roman" w:cs="Times New Roman"/>
          <w:sz w:val="24"/>
          <w:highlight w:val="white"/>
          <w:lang w:val="en-US"/>
        </w:rPr>
        <w:t xml:space="preserve">(1), 49-100. </w:t>
      </w:r>
      <w:r w:rsidR="00D218E6">
        <w:fldChar w:fldCharType="begin"/>
      </w:r>
      <w:r w:rsidR="00D218E6" w:rsidRPr="00D218E6">
        <w:rPr>
          <w:lang w:val="en-US"/>
        </w:rPr>
        <w:instrText xml:space="preserve"> HYPERLINK "about:blank" </w:instrText>
      </w:r>
      <w:r w:rsidR="00D218E6">
        <w:fldChar w:fldCharType="separate"/>
      </w:r>
      <w:r>
        <w:rPr>
          <w:rFonts w:ascii="Times New Roman" w:eastAsia="Times New Roman" w:hAnsi="Times New Roman" w:cs="Times New Roman"/>
          <w:sz w:val="24"/>
          <w:highlight w:val="white"/>
          <w:lang w:val="en-US"/>
        </w:rPr>
        <w:t>https://doi.org/10.1006/cogp.1999.0734</w:t>
      </w:r>
      <w:r w:rsidR="00D218E6">
        <w:rPr>
          <w:rFonts w:ascii="Times New Roman" w:eastAsia="Times New Roman" w:hAnsi="Times New Roman" w:cs="Times New Roman"/>
          <w:sz w:val="24"/>
          <w:highlight w:val="white"/>
          <w:lang w:val="en-US"/>
        </w:rPr>
        <w:fldChar w:fldCharType="end"/>
      </w:r>
      <w:r>
        <w:rPr>
          <w:rFonts w:ascii="Times New Roman" w:eastAsia="Times New Roman" w:hAnsi="Times New Roman" w:cs="Times New Roman"/>
          <w:sz w:val="24"/>
          <w:highlight w:val="white"/>
          <w:lang w:val="en-US"/>
        </w:rPr>
        <w:t>.</w:t>
      </w:r>
    </w:p>
    <w:p w14:paraId="2A0D27F1" w14:textId="77777777" w:rsidR="00B14CF0" w:rsidRDefault="00937578" w:rsidP="001415FC">
      <w:pPr>
        <w:spacing w:after="0" w:line="360" w:lineRule="auto"/>
        <w:ind w:left="709" w:hanging="709"/>
        <w:jc w:val="both"/>
      </w:pPr>
      <w:r>
        <w:rPr>
          <w:rFonts w:ascii="Times New Roman" w:eastAsia="Times New Roman" w:hAnsi="Times New Roman" w:cs="Times New Roman"/>
          <w:sz w:val="24"/>
          <w:lang w:val="en-US" w:eastAsia="ar-SA"/>
        </w:rPr>
        <w:t xml:space="preserve">Muñoz-Sandoval, A. F., Woodcock, R. W., McGrew, K. S. &amp; Mather, N. (2005). </w:t>
      </w:r>
      <w:r>
        <w:rPr>
          <w:rFonts w:ascii="Times New Roman" w:eastAsia="Times New Roman" w:hAnsi="Times New Roman" w:cs="Times New Roman"/>
          <w:sz w:val="24"/>
          <w:lang w:val="es-CL" w:eastAsia="ar-SA"/>
        </w:rPr>
        <w:t xml:space="preserve">Batería III </w:t>
      </w:r>
      <w:proofErr w:type="spellStart"/>
      <w:r>
        <w:rPr>
          <w:rFonts w:ascii="Times New Roman" w:eastAsia="Times New Roman" w:hAnsi="Times New Roman" w:cs="Times New Roman"/>
          <w:sz w:val="24"/>
          <w:lang w:val="es-CL" w:eastAsia="ar-SA"/>
        </w:rPr>
        <w:t>Woodcock</w:t>
      </w:r>
      <w:proofErr w:type="spellEnd"/>
      <w:r>
        <w:rPr>
          <w:rFonts w:ascii="Times New Roman" w:eastAsia="Times New Roman" w:hAnsi="Times New Roman" w:cs="Times New Roman"/>
          <w:sz w:val="24"/>
          <w:lang w:val="es-CL" w:eastAsia="ar-SA"/>
        </w:rPr>
        <w:t xml:space="preserve">-Muñoz: Pruebas de aprovechamiento. </w:t>
      </w:r>
      <w:proofErr w:type="spellStart"/>
      <w:r>
        <w:rPr>
          <w:rFonts w:ascii="Times New Roman" w:eastAsia="Times New Roman" w:hAnsi="Times New Roman" w:cs="Times New Roman"/>
          <w:sz w:val="24"/>
          <w:lang w:val="es-CL" w:eastAsia="ar-SA"/>
        </w:rPr>
        <w:t>Itasca</w:t>
      </w:r>
      <w:proofErr w:type="spellEnd"/>
      <w:r>
        <w:rPr>
          <w:rFonts w:ascii="Times New Roman" w:eastAsia="Times New Roman" w:hAnsi="Times New Roman" w:cs="Times New Roman"/>
          <w:sz w:val="24"/>
          <w:lang w:val="es-CL" w:eastAsia="ar-SA"/>
        </w:rPr>
        <w:t>, IL: Riverside Publishing.</w:t>
      </w:r>
      <w:r>
        <w:t xml:space="preserve"> </w:t>
      </w:r>
    </w:p>
    <w:p w14:paraId="55C218DF" w14:textId="7928FC6E" w:rsidR="00B14CF0" w:rsidRDefault="00937578" w:rsidP="001415FC">
      <w:pPr>
        <w:spacing w:after="0" w:line="360" w:lineRule="auto"/>
        <w:ind w:left="709" w:hanging="709"/>
        <w:jc w:val="both"/>
        <w:rPr>
          <w:rFonts w:ascii="Times New Roman" w:eastAsia="Times New Roman" w:hAnsi="Times New Roman" w:cs="Times New Roman"/>
          <w:sz w:val="24"/>
          <w:lang w:val="es-CL" w:eastAsia="ar-SA"/>
        </w:rPr>
      </w:pPr>
      <w:r>
        <w:rPr>
          <w:rFonts w:ascii="Times New Roman" w:eastAsia="Times New Roman" w:hAnsi="Times New Roman" w:cs="Times New Roman"/>
          <w:sz w:val="24"/>
          <w:lang w:val="es-CL" w:eastAsia="ar-SA"/>
        </w:rPr>
        <w:t xml:space="preserve">Parra, J.H., Rodríguez, L.C., &amp; </w:t>
      </w:r>
      <w:proofErr w:type="spellStart"/>
      <w:r>
        <w:rPr>
          <w:rFonts w:ascii="Times New Roman" w:eastAsia="Times New Roman" w:hAnsi="Times New Roman" w:cs="Times New Roman"/>
          <w:sz w:val="24"/>
          <w:lang w:val="es-CL" w:eastAsia="ar-SA"/>
        </w:rPr>
        <w:t>Chinome</w:t>
      </w:r>
      <w:proofErr w:type="spellEnd"/>
      <w:r>
        <w:rPr>
          <w:rFonts w:ascii="Times New Roman" w:eastAsia="Times New Roman" w:hAnsi="Times New Roman" w:cs="Times New Roman"/>
          <w:sz w:val="24"/>
          <w:lang w:val="es-CL" w:eastAsia="ar-SA"/>
        </w:rPr>
        <w:t xml:space="preserve">, J.D. (2016). </w:t>
      </w:r>
      <w:bookmarkStart w:id="1" w:name="_Hlk82589921"/>
      <w:r>
        <w:rPr>
          <w:rFonts w:ascii="Times New Roman" w:eastAsia="Times New Roman" w:hAnsi="Times New Roman" w:cs="Times New Roman"/>
          <w:sz w:val="24"/>
          <w:lang w:val="es-CL" w:eastAsia="ar-SA"/>
        </w:rPr>
        <w:t>Evaluación de la madurez neuropsicológica infantil en preescolares</w:t>
      </w:r>
      <w:bookmarkEnd w:id="1"/>
      <w:r>
        <w:rPr>
          <w:rFonts w:ascii="Times New Roman" w:eastAsia="Times New Roman" w:hAnsi="Times New Roman" w:cs="Times New Roman"/>
          <w:sz w:val="24"/>
          <w:lang w:val="es-CL" w:eastAsia="ar-SA"/>
        </w:rPr>
        <w:t xml:space="preserve">. </w:t>
      </w:r>
      <w:r>
        <w:rPr>
          <w:rFonts w:ascii="Times New Roman" w:eastAsia="Times New Roman" w:hAnsi="Times New Roman" w:cs="Times New Roman"/>
          <w:i/>
          <w:sz w:val="24"/>
          <w:lang w:val="es-CL" w:eastAsia="ar-SA"/>
        </w:rPr>
        <w:t>Revista Universidad y Salud, 18</w:t>
      </w:r>
      <w:r w:rsidR="00626D13">
        <w:rPr>
          <w:rFonts w:ascii="Times New Roman" w:eastAsia="Times New Roman" w:hAnsi="Times New Roman" w:cs="Times New Roman"/>
          <w:i/>
          <w:sz w:val="24"/>
          <w:lang w:val="es-CL" w:eastAsia="ar-SA"/>
        </w:rPr>
        <w:t xml:space="preserve">, </w:t>
      </w:r>
      <w:r>
        <w:rPr>
          <w:rFonts w:ascii="Times New Roman" w:eastAsia="Times New Roman" w:hAnsi="Times New Roman" w:cs="Times New Roman"/>
          <w:sz w:val="24"/>
          <w:lang w:val="es-CL" w:eastAsia="ar-SA"/>
        </w:rPr>
        <w:t>1, 126 - 137.</w:t>
      </w:r>
    </w:p>
    <w:p w14:paraId="1241186D" w14:textId="77777777" w:rsidR="00B14CF0" w:rsidRDefault="00937578" w:rsidP="001415FC">
      <w:pPr>
        <w:spacing w:after="0" w:line="360" w:lineRule="auto"/>
        <w:ind w:left="709" w:hanging="709"/>
        <w:jc w:val="both"/>
        <w:rPr>
          <w:rFonts w:ascii="Times New Roman" w:eastAsia="Times New Roman" w:hAnsi="Times New Roman" w:cs="Times New Roman"/>
          <w:sz w:val="24"/>
          <w:lang w:val="es-CL" w:eastAsia="ar-SA"/>
        </w:rPr>
      </w:pPr>
      <w:proofErr w:type="spellStart"/>
      <w:r>
        <w:rPr>
          <w:rFonts w:ascii="Times New Roman" w:eastAsia="Times New Roman" w:hAnsi="Times New Roman" w:cs="Times New Roman"/>
          <w:sz w:val="24"/>
          <w:lang w:val="es-CL" w:eastAsia="ar-SA"/>
        </w:rPr>
        <w:t>Portellano</w:t>
      </w:r>
      <w:proofErr w:type="spellEnd"/>
      <w:r>
        <w:rPr>
          <w:rFonts w:ascii="Times New Roman" w:eastAsia="Times New Roman" w:hAnsi="Times New Roman" w:cs="Times New Roman"/>
          <w:sz w:val="24"/>
          <w:lang w:val="es-CL" w:eastAsia="ar-SA"/>
        </w:rPr>
        <w:t xml:space="preserve">, J.A., Mateos, M.R., Martínez, A.R., Tapia, P.A., &amp; Granados, G.T. (2000). </w:t>
      </w:r>
      <w:r>
        <w:rPr>
          <w:rFonts w:ascii="Times New Roman" w:eastAsia="Times New Roman" w:hAnsi="Times New Roman" w:cs="Times New Roman"/>
          <w:i/>
          <w:sz w:val="24"/>
          <w:lang w:val="es-CL" w:eastAsia="ar-SA"/>
        </w:rPr>
        <w:t>Cuestionario de Madurez Neuropsicológica Infantil</w:t>
      </w:r>
      <w:r>
        <w:rPr>
          <w:rFonts w:ascii="Times New Roman" w:eastAsia="Times New Roman" w:hAnsi="Times New Roman" w:cs="Times New Roman"/>
          <w:sz w:val="24"/>
          <w:lang w:val="es-CL" w:eastAsia="ar-SA"/>
        </w:rPr>
        <w:t>. TEA Ediciones.</w:t>
      </w:r>
    </w:p>
    <w:p w14:paraId="362CF78C" w14:textId="77777777" w:rsidR="00555354" w:rsidRDefault="00937578" w:rsidP="001415FC">
      <w:pPr>
        <w:spacing w:after="0" w:line="360" w:lineRule="auto"/>
        <w:ind w:left="709" w:hanging="709"/>
        <w:jc w:val="both"/>
        <w:rPr>
          <w:rFonts w:ascii="Times New Roman" w:eastAsia="Times New Roman" w:hAnsi="Times New Roman" w:cs="Times New Roman"/>
          <w:sz w:val="24"/>
          <w:lang w:eastAsia="ar-SA"/>
        </w:rPr>
      </w:pPr>
      <w:r>
        <w:rPr>
          <w:rFonts w:ascii="Times New Roman" w:eastAsia="Times New Roman" w:hAnsi="Times New Roman" w:cs="Times New Roman"/>
          <w:sz w:val="24"/>
          <w:lang w:val="es-CL" w:eastAsia="ar-SA"/>
        </w:rPr>
        <w:t xml:space="preserve">Piedra, E., </w:t>
      </w:r>
      <w:proofErr w:type="spellStart"/>
      <w:r>
        <w:rPr>
          <w:rFonts w:ascii="Times New Roman" w:eastAsia="Times New Roman" w:hAnsi="Times New Roman" w:cs="Times New Roman"/>
          <w:sz w:val="24"/>
          <w:lang w:val="es-CL" w:eastAsia="ar-SA"/>
        </w:rPr>
        <w:t>Pacurucu</w:t>
      </w:r>
      <w:proofErr w:type="spellEnd"/>
      <w:r>
        <w:rPr>
          <w:rFonts w:ascii="Times New Roman" w:eastAsia="Times New Roman" w:hAnsi="Times New Roman" w:cs="Times New Roman"/>
          <w:sz w:val="24"/>
          <w:lang w:val="es-CL" w:eastAsia="ar-SA"/>
        </w:rPr>
        <w:t xml:space="preserve">., A.L &amp; López, C. (2021). </w:t>
      </w:r>
      <w:r>
        <w:rPr>
          <w:rFonts w:ascii="Times New Roman" w:eastAsia="Times New Roman" w:hAnsi="Times New Roman" w:cs="Times New Roman"/>
          <w:i/>
          <w:sz w:val="24"/>
          <w:lang w:val="es-CL" w:eastAsia="ar-SA"/>
        </w:rPr>
        <w:t>Investigaciones en Neuropsicología y Salud Mental</w:t>
      </w:r>
      <w:r>
        <w:rPr>
          <w:rFonts w:ascii="Times New Roman" w:eastAsia="Times New Roman" w:hAnsi="Times New Roman" w:cs="Times New Roman"/>
          <w:sz w:val="24"/>
          <w:lang w:val="es-CL" w:eastAsia="ar-SA"/>
        </w:rPr>
        <w:t xml:space="preserve"> (Ed.). </w:t>
      </w:r>
      <w:r>
        <w:rPr>
          <w:rFonts w:ascii="Times New Roman" w:eastAsia="Times New Roman" w:hAnsi="Times New Roman" w:cs="Times New Roman"/>
          <w:sz w:val="24"/>
          <w:lang w:eastAsia="ar-SA"/>
        </w:rPr>
        <w:t xml:space="preserve">Casa Editorial. Universidad del Azuay. </w:t>
      </w:r>
    </w:p>
    <w:p w14:paraId="11751097" w14:textId="321BBE2F" w:rsidR="00555354" w:rsidRDefault="00555354" w:rsidP="001415FC">
      <w:pPr>
        <w:spacing w:after="0" w:line="360" w:lineRule="auto"/>
        <w:ind w:left="709" w:hanging="709"/>
        <w:jc w:val="both"/>
        <w:rPr>
          <w:rFonts w:ascii="Times New Roman" w:eastAsia="Times New Roman" w:hAnsi="Times New Roman" w:cs="Times New Roman"/>
          <w:sz w:val="24"/>
          <w:lang w:val="es-CL" w:eastAsia="ar-SA"/>
        </w:rPr>
      </w:pPr>
      <w:r>
        <w:rPr>
          <w:rFonts w:ascii="Times New Roman" w:eastAsia="Times New Roman" w:hAnsi="Times New Roman" w:cs="Times New Roman"/>
          <w:sz w:val="24"/>
          <w:lang w:val="es-CL" w:eastAsia="ar-SA"/>
        </w:rPr>
        <w:t>Ramírez., Díaz, M., &amp; Álvarez, E.F. (2013). Efecto del bajo peso al nacer sobre el desarrollo cognitivo.</w:t>
      </w:r>
      <w:r>
        <w:rPr>
          <w:rFonts w:ascii="Times New Roman" w:eastAsia="Times New Roman" w:hAnsi="Times New Roman" w:cs="Times New Roman"/>
          <w:i/>
          <w:sz w:val="24"/>
          <w:lang w:val="es-CL" w:eastAsia="ar-SA"/>
        </w:rPr>
        <w:t xml:space="preserve"> Boletín de Pediatría, 53</w:t>
      </w:r>
      <w:r w:rsidR="00626D13">
        <w:rPr>
          <w:rFonts w:ascii="Times New Roman" w:eastAsia="Times New Roman" w:hAnsi="Times New Roman" w:cs="Times New Roman"/>
          <w:i/>
          <w:sz w:val="24"/>
          <w:lang w:val="es-CL" w:eastAsia="ar-SA"/>
        </w:rPr>
        <w:t>,</w:t>
      </w:r>
      <w:r>
        <w:rPr>
          <w:rFonts w:ascii="Times New Roman" w:eastAsia="Times New Roman" w:hAnsi="Times New Roman" w:cs="Times New Roman"/>
          <w:sz w:val="24"/>
          <w:lang w:val="es-CL" w:eastAsia="ar-SA"/>
        </w:rPr>
        <w:t xml:space="preserve">223, 13-20.   </w:t>
      </w:r>
    </w:p>
    <w:p w14:paraId="530A1EC9" w14:textId="41E5CB44" w:rsidR="00555354" w:rsidRDefault="00555354" w:rsidP="001415FC">
      <w:pPr>
        <w:spacing w:after="0" w:line="360" w:lineRule="auto"/>
        <w:ind w:left="709" w:hanging="709"/>
        <w:jc w:val="both"/>
      </w:pPr>
      <w:r>
        <w:rPr>
          <w:rFonts w:ascii="Times New Roman" w:eastAsia="Times New Roman" w:hAnsi="Times New Roman" w:cs="Times New Roman"/>
          <w:sz w:val="24"/>
          <w:lang w:eastAsia="ar-SA"/>
        </w:rPr>
        <w:t xml:space="preserve">Ramírez., Steinberg, L.B., &amp; Bermúdez-Monteagudo, B. (2018). </w:t>
      </w:r>
      <w:r>
        <w:rPr>
          <w:rFonts w:ascii="Times New Roman" w:eastAsia="Times New Roman" w:hAnsi="Times New Roman" w:cs="Times New Roman"/>
          <w:sz w:val="24"/>
          <w:lang w:val="es-CL" w:eastAsia="ar-SA"/>
        </w:rPr>
        <w:t xml:space="preserve">Pre-Académica: Batería Neurocognitiva Preescolar. </w:t>
      </w:r>
      <w:r>
        <w:rPr>
          <w:rFonts w:ascii="Times New Roman" w:eastAsia="Times New Roman" w:hAnsi="Times New Roman" w:cs="Times New Roman"/>
          <w:i/>
          <w:sz w:val="24"/>
          <w:lang w:eastAsia="ar-SA"/>
        </w:rPr>
        <w:t>Revista Chilena de Neuropsicología, 13</w:t>
      </w:r>
      <w:r w:rsidR="00626D13">
        <w:rPr>
          <w:rFonts w:ascii="Times New Roman" w:eastAsia="Times New Roman" w:hAnsi="Times New Roman" w:cs="Times New Roman"/>
          <w:i/>
          <w:sz w:val="24"/>
          <w:lang w:eastAsia="ar-SA"/>
        </w:rPr>
        <w:t xml:space="preserve">, </w:t>
      </w:r>
      <w:r>
        <w:rPr>
          <w:rFonts w:ascii="Times New Roman" w:eastAsia="Times New Roman" w:hAnsi="Times New Roman" w:cs="Times New Roman"/>
          <w:sz w:val="24"/>
          <w:lang w:eastAsia="ar-SA"/>
        </w:rPr>
        <w:t>2</w:t>
      </w:r>
      <w:r w:rsidR="00626D13">
        <w:rPr>
          <w:rFonts w:ascii="Times New Roman" w:eastAsia="Times New Roman" w:hAnsi="Times New Roman" w:cs="Times New Roman"/>
          <w:sz w:val="24"/>
          <w:lang w:eastAsia="ar-SA"/>
        </w:rPr>
        <w:t>,</w:t>
      </w:r>
      <w:r>
        <w:rPr>
          <w:rFonts w:ascii="Times New Roman" w:eastAsia="Times New Roman" w:hAnsi="Times New Roman" w:cs="Times New Roman"/>
          <w:sz w:val="24"/>
          <w:lang w:eastAsia="ar-SA"/>
        </w:rPr>
        <w:t xml:space="preserve"> 15-21.</w:t>
      </w:r>
      <w:r>
        <w:t xml:space="preserve"> </w:t>
      </w:r>
    </w:p>
    <w:p w14:paraId="464BEC1F" w14:textId="1A26883D" w:rsidR="00555354" w:rsidRDefault="00555354" w:rsidP="001415FC">
      <w:pPr>
        <w:spacing w:after="0" w:line="360" w:lineRule="auto"/>
        <w:ind w:left="709" w:hanging="709"/>
        <w:jc w:val="both"/>
        <w:rPr>
          <w:rFonts w:ascii="Times New Roman" w:eastAsia="Times New Roman" w:hAnsi="Times New Roman" w:cs="Times New Roman"/>
          <w:sz w:val="24"/>
          <w:lang w:eastAsia="ar-SA"/>
        </w:rPr>
      </w:pPr>
      <w:r>
        <w:rPr>
          <w:rFonts w:ascii="Times New Roman" w:eastAsia="Times New Roman" w:hAnsi="Times New Roman" w:cs="Times New Roman"/>
          <w:sz w:val="24"/>
          <w:lang w:val="es-CL" w:eastAsia="ar-SA"/>
        </w:rPr>
        <w:t xml:space="preserve">Ramírez &amp; Bernal, F. (2020). Prevalencia de niños preescolares con alteraciones cognitivas en la provincia de Cienfuegos. </w:t>
      </w:r>
      <w:r>
        <w:rPr>
          <w:rFonts w:ascii="Times New Roman" w:eastAsia="Times New Roman" w:hAnsi="Times New Roman" w:cs="Times New Roman"/>
          <w:i/>
          <w:sz w:val="24"/>
          <w:lang w:eastAsia="ar-SA"/>
        </w:rPr>
        <w:t>Revista Cubana de Pediatría, 92</w:t>
      </w:r>
      <w:r w:rsidR="00626D13">
        <w:rPr>
          <w:rFonts w:ascii="Times New Roman" w:eastAsia="Times New Roman" w:hAnsi="Times New Roman" w:cs="Times New Roman"/>
          <w:i/>
          <w:sz w:val="24"/>
          <w:lang w:eastAsia="ar-SA"/>
        </w:rPr>
        <w:t xml:space="preserve">, </w:t>
      </w:r>
      <w:r>
        <w:rPr>
          <w:rFonts w:ascii="Times New Roman" w:eastAsia="Times New Roman" w:hAnsi="Times New Roman" w:cs="Times New Roman"/>
          <w:sz w:val="24"/>
          <w:lang w:eastAsia="ar-SA"/>
        </w:rPr>
        <w:t>3, 1-18.</w:t>
      </w:r>
    </w:p>
    <w:p w14:paraId="13663DCE" w14:textId="77777777" w:rsidR="00B14CF0" w:rsidRDefault="00937578" w:rsidP="001415FC">
      <w:pPr>
        <w:spacing w:after="0" w:line="360" w:lineRule="auto"/>
        <w:ind w:left="709" w:hanging="709"/>
        <w:jc w:val="both"/>
        <w:rPr>
          <w:rFonts w:ascii="Times New Roman" w:eastAsia="Times New Roman" w:hAnsi="Times New Roman" w:cs="Times New Roman"/>
          <w:sz w:val="24"/>
          <w:lang w:val="en-US" w:eastAsia="ar-SA"/>
        </w:rPr>
      </w:pPr>
      <w:r>
        <w:rPr>
          <w:rFonts w:ascii="Times New Roman" w:hAnsi="Times New Roman" w:cs="Times New Roman"/>
          <w:color w:val="222222"/>
          <w:sz w:val="24"/>
          <w:shd w:val="clear" w:color="auto" w:fill="FFFFFF"/>
        </w:rPr>
        <w:lastRenderedPageBreak/>
        <w:t xml:space="preserve">Rosas, R., Pizarro, M., </w:t>
      </w:r>
      <w:proofErr w:type="spellStart"/>
      <w:r>
        <w:rPr>
          <w:rFonts w:ascii="Times New Roman" w:hAnsi="Times New Roman" w:cs="Times New Roman"/>
          <w:color w:val="222222"/>
          <w:sz w:val="24"/>
          <w:shd w:val="clear" w:color="auto" w:fill="FFFFFF"/>
        </w:rPr>
        <w:t>Grez</w:t>
      </w:r>
      <w:proofErr w:type="spellEnd"/>
      <w:r>
        <w:rPr>
          <w:rFonts w:ascii="Times New Roman" w:hAnsi="Times New Roman" w:cs="Times New Roman"/>
          <w:color w:val="222222"/>
          <w:sz w:val="24"/>
          <w:shd w:val="clear" w:color="auto" w:fill="FFFFFF"/>
        </w:rPr>
        <w:t>, O., Navarro, V., Tapia, D., Arancibia, S.</w:t>
      </w:r>
      <w:proofErr w:type="gramStart"/>
      <w:r>
        <w:rPr>
          <w:rFonts w:ascii="Times New Roman" w:hAnsi="Times New Roman" w:cs="Times New Roman"/>
          <w:color w:val="222222"/>
          <w:sz w:val="24"/>
          <w:shd w:val="clear" w:color="auto" w:fill="FFFFFF"/>
        </w:rPr>
        <w:t>, ...</w:t>
      </w:r>
      <w:proofErr w:type="gramEnd"/>
      <w:r>
        <w:rPr>
          <w:rFonts w:ascii="Times New Roman" w:hAnsi="Times New Roman" w:cs="Times New Roman"/>
          <w:color w:val="222222"/>
          <w:sz w:val="24"/>
          <w:shd w:val="clear" w:color="auto" w:fill="FFFFFF"/>
        </w:rPr>
        <w:t xml:space="preserve"> &amp; von </w:t>
      </w:r>
      <w:proofErr w:type="spellStart"/>
      <w:r>
        <w:rPr>
          <w:rFonts w:ascii="Times New Roman" w:hAnsi="Times New Roman" w:cs="Times New Roman"/>
          <w:color w:val="222222"/>
          <w:sz w:val="24"/>
          <w:shd w:val="clear" w:color="auto" w:fill="FFFFFF"/>
        </w:rPr>
        <w:t>Freeden</w:t>
      </w:r>
      <w:proofErr w:type="spellEnd"/>
      <w:r>
        <w:rPr>
          <w:rFonts w:ascii="Times New Roman" w:hAnsi="Times New Roman" w:cs="Times New Roman"/>
          <w:color w:val="222222"/>
          <w:sz w:val="24"/>
          <w:shd w:val="clear" w:color="auto" w:fill="FFFFFF"/>
        </w:rPr>
        <w:t xml:space="preserve">, P. (2022). Estandarización Chilena de la Escala </w:t>
      </w:r>
      <w:proofErr w:type="spellStart"/>
      <w:r>
        <w:rPr>
          <w:rFonts w:ascii="Times New Roman" w:hAnsi="Times New Roman" w:cs="Times New Roman"/>
          <w:color w:val="222222"/>
          <w:sz w:val="24"/>
          <w:shd w:val="clear" w:color="auto" w:fill="FFFFFF"/>
        </w:rPr>
        <w:t>Wechsler</w:t>
      </w:r>
      <w:proofErr w:type="spellEnd"/>
      <w:r>
        <w:rPr>
          <w:rFonts w:ascii="Times New Roman" w:hAnsi="Times New Roman" w:cs="Times New Roman"/>
          <w:color w:val="222222"/>
          <w:sz w:val="24"/>
          <w:shd w:val="clear" w:color="auto" w:fill="FFFFFF"/>
        </w:rPr>
        <w:t xml:space="preserve"> de Inteligencia para Niños-Quinta Edición. </w:t>
      </w:r>
      <w:proofErr w:type="spellStart"/>
      <w:r>
        <w:rPr>
          <w:rFonts w:ascii="Times New Roman" w:hAnsi="Times New Roman" w:cs="Times New Roman"/>
          <w:i/>
          <w:color w:val="222222"/>
          <w:sz w:val="24"/>
          <w:shd w:val="clear" w:color="auto" w:fill="FFFFFF"/>
          <w:lang w:val="en-US"/>
        </w:rPr>
        <w:t>Psykhe</w:t>
      </w:r>
      <w:proofErr w:type="spellEnd"/>
      <w:r>
        <w:rPr>
          <w:rFonts w:ascii="Times New Roman" w:hAnsi="Times New Roman" w:cs="Times New Roman"/>
          <w:i/>
          <w:color w:val="222222"/>
          <w:sz w:val="24"/>
          <w:shd w:val="clear" w:color="auto" w:fill="FFFFFF"/>
          <w:lang w:val="en-US"/>
        </w:rPr>
        <w:t xml:space="preserve">, 31, </w:t>
      </w:r>
      <w:r>
        <w:rPr>
          <w:rFonts w:ascii="Times New Roman" w:hAnsi="Times New Roman" w:cs="Times New Roman"/>
          <w:color w:val="222222"/>
          <w:sz w:val="24"/>
          <w:shd w:val="clear" w:color="auto" w:fill="FFFFFF"/>
          <w:lang w:val="en-US"/>
        </w:rPr>
        <w:t>1, 1-23.</w:t>
      </w:r>
    </w:p>
    <w:p w14:paraId="545DC67A" w14:textId="77777777" w:rsidR="00B14CF0" w:rsidRDefault="00937578" w:rsidP="001415FC">
      <w:pPr>
        <w:spacing w:after="0" w:line="360" w:lineRule="auto"/>
        <w:ind w:left="709" w:hanging="709"/>
        <w:jc w:val="both"/>
        <w:rPr>
          <w:rFonts w:ascii="Times New Roman" w:eastAsia="Times New Roman" w:hAnsi="Times New Roman" w:cs="Times New Roman"/>
          <w:sz w:val="24"/>
          <w:lang w:val="en-US" w:eastAsia="ar-SA"/>
        </w:rPr>
      </w:pPr>
      <w:proofErr w:type="spellStart"/>
      <w:r>
        <w:rPr>
          <w:rFonts w:ascii="Times New Roman" w:eastAsia="Times New Roman" w:hAnsi="Times New Roman" w:cs="Times New Roman"/>
          <w:sz w:val="24"/>
          <w:lang w:val="en-US" w:eastAsia="ar-SA"/>
        </w:rPr>
        <w:t>Satorra</w:t>
      </w:r>
      <w:proofErr w:type="spellEnd"/>
      <w:r>
        <w:rPr>
          <w:rFonts w:ascii="Times New Roman" w:eastAsia="Times New Roman" w:hAnsi="Times New Roman" w:cs="Times New Roman"/>
          <w:sz w:val="24"/>
          <w:lang w:val="en-US" w:eastAsia="ar-SA"/>
        </w:rPr>
        <w:t>, A.,</w:t>
      </w:r>
      <w:r>
        <w:rPr>
          <w:rFonts w:ascii="Times New Roman" w:hAnsi="Times New Roman" w:cs="Times New Roman"/>
          <w:sz w:val="24"/>
          <w:lang w:val="en-US"/>
        </w:rPr>
        <w:t xml:space="preserve"> </w:t>
      </w:r>
      <w:r>
        <w:rPr>
          <w:rFonts w:ascii="Times New Roman" w:eastAsia="Times New Roman" w:hAnsi="Times New Roman" w:cs="Times New Roman"/>
          <w:sz w:val="24"/>
          <w:lang w:val="en-US" w:eastAsia="ar-SA"/>
        </w:rPr>
        <w:t xml:space="preserve">&amp; </w:t>
      </w:r>
      <w:proofErr w:type="spellStart"/>
      <w:r>
        <w:rPr>
          <w:rFonts w:ascii="Times New Roman" w:eastAsia="Times New Roman" w:hAnsi="Times New Roman" w:cs="Times New Roman"/>
          <w:sz w:val="24"/>
          <w:lang w:val="en-US" w:eastAsia="ar-SA"/>
        </w:rPr>
        <w:t>Bentler</w:t>
      </w:r>
      <w:proofErr w:type="spellEnd"/>
      <w:r>
        <w:rPr>
          <w:rFonts w:ascii="Times New Roman" w:eastAsia="Times New Roman" w:hAnsi="Times New Roman" w:cs="Times New Roman"/>
          <w:sz w:val="24"/>
          <w:lang w:val="en-US" w:eastAsia="ar-SA"/>
        </w:rPr>
        <w:t xml:space="preserve">, PM. (2010). Ensuring </w:t>
      </w:r>
      <w:proofErr w:type="spellStart"/>
      <w:r>
        <w:rPr>
          <w:rFonts w:ascii="Times New Roman" w:eastAsia="Times New Roman" w:hAnsi="Times New Roman" w:cs="Times New Roman"/>
          <w:sz w:val="24"/>
          <w:lang w:val="en-US" w:eastAsia="ar-SA"/>
        </w:rPr>
        <w:t>positiveness</w:t>
      </w:r>
      <w:proofErr w:type="spellEnd"/>
      <w:r>
        <w:rPr>
          <w:rFonts w:ascii="Times New Roman" w:eastAsia="Times New Roman" w:hAnsi="Times New Roman" w:cs="Times New Roman"/>
          <w:sz w:val="24"/>
          <w:lang w:val="en-US" w:eastAsia="ar-SA"/>
        </w:rPr>
        <w:t xml:space="preserve"> of the scaled difference chi-square test statistic. </w:t>
      </w:r>
      <w:proofErr w:type="spellStart"/>
      <w:r>
        <w:rPr>
          <w:rFonts w:ascii="Times New Roman" w:eastAsia="Times New Roman" w:hAnsi="Times New Roman" w:cs="Times New Roman"/>
          <w:sz w:val="24"/>
          <w:lang w:val="en-US" w:eastAsia="ar-SA"/>
        </w:rPr>
        <w:t>Psychometrika</w:t>
      </w:r>
      <w:proofErr w:type="spellEnd"/>
      <w:r>
        <w:rPr>
          <w:rFonts w:ascii="Times New Roman" w:eastAsia="Times New Roman" w:hAnsi="Times New Roman" w:cs="Times New Roman"/>
          <w:sz w:val="24"/>
          <w:lang w:val="en-US" w:eastAsia="ar-SA"/>
        </w:rPr>
        <w:t>, 75, 2, 243–248.</w:t>
      </w:r>
      <w:r>
        <w:rPr>
          <w:lang w:val="en-US"/>
        </w:rPr>
        <w:t xml:space="preserve"> </w:t>
      </w:r>
      <w:r>
        <w:rPr>
          <w:rFonts w:ascii="Times New Roman" w:eastAsia="Times New Roman" w:hAnsi="Times New Roman" w:cs="Times New Roman"/>
          <w:sz w:val="24"/>
          <w:lang w:val="en-US" w:eastAsia="ar-SA"/>
        </w:rPr>
        <w:t>https://doi</w:t>
      </w:r>
      <w:r>
        <w:rPr>
          <w:lang w:val="en-US"/>
        </w:rPr>
        <w:t xml:space="preserve"> </w:t>
      </w:r>
      <w:r>
        <w:rPr>
          <w:rFonts w:ascii="Times New Roman" w:eastAsia="Times New Roman" w:hAnsi="Times New Roman" w:cs="Times New Roman"/>
          <w:sz w:val="24"/>
          <w:lang w:val="en-US" w:eastAsia="ar-SA"/>
        </w:rPr>
        <w:t>org/10.1007/S11336-009-9135-Y</w:t>
      </w:r>
    </w:p>
    <w:p w14:paraId="2C940A77" w14:textId="109E8CE7" w:rsidR="00B14CF0" w:rsidRDefault="00937578" w:rsidP="001415FC">
      <w:pPr>
        <w:spacing w:after="0" w:line="360" w:lineRule="auto"/>
        <w:ind w:left="709" w:hanging="709"/>
        <w:jc w:val="both"/>
        <w:rPr>
          <w:rFonts w:ascii="Times New Roman" w:eastAsia="Times New Roman" w:hAnsi="Times New Roman" w:cs="Times New Roman"/>
          <w:sz w:val="24"/>
          <w:lang w:eastAsia="ar-SA"/>
        </w:rPr>
      </w:pPr>
      <w:r>
        <w:rPr>
          <w:rFonts w:ascii="Times New Roman" w:eastAsia="Times New Roman" w:hAnsi="Times New Roman" w:cs="Times New Roman"/>
          <w:sz w:val="24"/>
          <w:lang w:val="en-US" w:eastAsia="ar-SA"/>
        </w:rPr>
        <w:t xml:space="preserve">Spiegel, J.A., Goodrich, J.M., Morris, B.M., Osborne, C.M., &amp; </w:t>
      </w:r>
      <w:proofErr w:type="spellStart"/>
      <w:r>
        <w:rPr>
          <w:rFonts w:ascii="Times New Roman" w:eastAsia="Times New Roman" w:hAnsi="Times New Roman" w:cs="Times New Roman"/>
          <w:sz w:val="24"/>
          <w:lang w:val="en-US" w:eastAsia="ar-SA"/>
        </w:rPr>
        <w:t>Lonigan</w:t>
      </w:r>
      <w:proofErr w:type="spellEnd"/>
      <w:r>
        <w:rPr>
          <w:rFonts w:ascii="Times New Roman" w:eastAsia="Times New Roman" w:hAnsi="Times New Roman" w:cs="Times New Roman"/>
          <w:sz w:val="24"/>
          <w:lang w:val="en-US" w:eastAsia="ar-SA"/>
        </w:rPr>
        <w:t xml:space="preserve">, C.J. (2021). Relations between executive functions and academic outcomes in elementary school children: A meta-analysis. </w:t>
      </w:r>
      <w:proofErr w:type="spellStart"/>
      <w:r>
        <w:rPr>
          <w:rFonts w:ascii="Times New Roman" w:eastAsia="Times New Roman" w:hAnsi="Times New Roman" w:cs="Times New Roman"/>
          <w:i/>
          <w:sz w:val="24"/>
          <w:lang w:eastAsia="ar-SA"/>
        </w:rPr>
        <w:t>Psychological</w:t>
      </w:r>
      <w:proofErr w:type="spellEnd"/>
      <w:r>
        <w:rPr>
          <w:rFonts w:ascii="Times New Roman" w:eastAsia="Times New Roman" w:hAnsi="Times New Roman" w:cs="Times New Roman"/>
          <w:i/>
          <w:sz w:val="24"/>
          <w:lang w:eastAsia="ar-SA"/>
        </w:rPr>
        <w:t xml:space="preserve"> </w:t>
      </w:r>
      <w:proofErr w:type="spellStart"/>
      <w:r>
        <w:rPr>
          <w:rFonts w:ascii="Times New Roman" w:eastAsia="Times New Roman" w:hAnsi="Times New Roman" w:cs="Times New Roman"/>
          <w:i/>
          <w:sz w:val="24"/>
          <w:lang w:eastAsia="ar-SA"/>
        </w:rPr>
        <w:t>Bulletin</w:t>
      </w:r>
      <w:proofErr w:type="spellEnd"/>
      <w:r>
        <w:rPr>
          <w:rFonts w:ascii="Times New Roman" w:eastAsia="Times New Roman" w:hAnsi="Times New Roman" w:cs="Times New Roman"/>
          <w:i/>
          <w:sz w:val="24"/>
          <w:lang w:eastAsia="ar-SA"/>
        </w:rPr>
        <w:t>, 147</w:t>
      </w:r>
      <w:r w:rsidR="00626D13">
        <w:rPr>
          <w:rFonts w:ascii="Times New Roman" w:eastAsia="Times New Roman" w:hAnsi="Times New Roman" w:cs="Times New Roman"/>
          <w:i/>
          <w:sz w:val="24"/>
          <w:lang w:eastAsia="ar-SA"/>
        </w:rPr>
        <w:t xml:space="preserve">, </w:t>
      </w:r>
      <w:r>
        <w:rPr>
          <w:rFonts w:ascii="Times New Roman" w:eastAsia="Times New Roman" w:hAnsi="Times New Roman" w:cs="Times New Roman"/>
          <w:sz w:val="24"/>
          <w:lang w:eastAsia="ar-SA"/>
        </w:rPr>
        <w:t xml:space="preserve">4, 329- 351. </w:t>
      </w:r>
      <w:hyperlink r:id="rId6" w:history="1">
        <w:r>
          <w:rPr>
            <w:rFonts w:ascii="Times New Roman" w:eastAsia="Times New Roman" w:hAnsi="Times New Roman" w:cs="Times New Roman"/>
            <w:sz w:val="24"/>
            <w:highlight w:val="white"/>
          </w:rPr>
          <w:t>https://doi.org/10.1037/bul0000322</w:t>
        </w:r>
      </w:hyperlink>
    </w:p>
    <w:p w14:paraId="46625065" w14:textId="77777777" w:rsidR="00B14CF0" w:rsidRDefault="00937578" w:rsidP="001415FC">
      <w:pPr>
        <w:spacing w:after="0" w:line="360" w:lineRule="auto"/>
        <w:ind w:left="709" w:hanging="709"/>
        <w:jc w:val="both"/>
        <w:rPr>
          <w:rFonts w:ascii="Times New Roman" w:eastAsia="Times New Roman" w:hAnsi="Times New Roman" w:cs="Times New Roman"/>
          <w:sz w:val="24"/>
          <w:lang w:val="es-CL" w:eastAsia="ar-SA"/>
        </w:rPr>
      </w:pPr>
      <w:r>
        <w:rPr>
          <w:rFonts w:ascii="Times New Roman" w:eastAsia="Times New Roman" w:hAnsi="Times New Roman" w:cs="Times New Roman"/>
          <w:sz w:val="24"/>
          <w:lang w:eastAsia="ar-SA"/>
        </w:rPr>
        <w:t>Solovieva, Y., &amp; Quintanar, L. (2021).</w:t>
      </w:r>
      <w:r>
        <w:rPr>
          <w:rFonts w:ascii="Calibri" w:eastAsia="Calibri" w:hAnsi="Calibri" w:cs="Times New Roman"/>
        </w:rPr>
        <w:t xml:space="preserve"> </w:t>
      </w:r>
      <w:r>
        <w:rPr>
          <w:rFonts w:ascii="Times New Roman" w:eastAsia="Times New Roman" w:hAnsi="Times New Roman" w:cs="Times New Roman"/>
          <w:sz w:val="24"/>
          <w:lang w:val="es-CL" w:eastAsia="ar-SA"/>
        </w:rPr>
        <w:t xml:space="preserve">Evaluación neuropsicológica cualitativa del desarrollo en la edad preescolar. En Piedra, E., </w:t>
      </w:r>
      <w:proofErr w:type="spellStart"/>
      <w:r>
        <w:rPr>
          <w:rFonts w:ascii="Times New Roman" w:eastAsia="Times New Roman" w:hAnsi="Times New Roman" w:cs="Times New Roman"/>
          <w:sz w:val="24"/>
          <w:lang w:val="es-CL" w:eastAsia="ar-SA"/>
        </w:rPr>
        <w:t>Pacurucu</w:t>
      </w:r>
      <w:proofErr w:type="spellEnd"/>
      <w:r>
        <w:rPr>
          <w:rFonts w:ascii="Times New Roman" w:eastAsia="Times New Roman" w:hAnsi="Times New Roman" w:cs="Times New Roman"/>
          <w:sz w:val="24"/>
          <w:lang w:val="es-CL" w:eastAsia="ar-SA"/>
        </w:rPr>
        <w:t xml:space="preserve">, A.L., &amp; López, C. (8-23) </w:t>
      </w:r>
      <w:r>
        <w:rPr>
          <w:rFonts w:ascii="Times New Roman" w:eastAsia="Times New Roman" w:hAnsi="Times New Roman" w:cs="Times New Roman"/>
          <w:i/>
          <w:sz w:val="24"/>
          <w:lang w:val="es-CL" w:eastAsia="ar-SA"/>
        </w:rPr>
        <w:t>Investigaciones en Neuropsicología y Salud Mental</w:t>
      </w:r>
      <w:r>
        <w:rPr>
          <w:rFonts w:ascii="Times New Roman" w:eastAsia="Times New Roman" w:hAnsi="Times New Roman" w:cs="Times New Roman"/>
          <w:sz w:val="24"/>
          <w:lang w:val="es-CL" w:eastAsia="ar-SA"/>
        </w:rPr>
        <w:t xml:space="preserve"> (Ed.). Casa Editorial. Universidad del Azuay.   </w:t>
      </w:r>
    </w:p>
    <w:p w14:paraId="44B31260" w14:textId="7C35E75E" w:rsidR="00B14CF0" w:rsidRDefault="00937578" w:rsidP="001415FC">
      <w:pPr>
        <w:spacing w:after="0" w:line="360" w:lineRule="auto"/>
        <w:ind w:left="709" w:hanging="709"/>
        <w:jc w:val="both"/>
        <w:rPr>
          <w:rFonts w:ascii="Times New Roman" w:eastAsia="Times New Roman" w:hAnsi="Times New Roman" w:cs="Times New Roman"/>
          <w:sz w:val="24"/>
          <w:lang w:val="es-CL" w:eastAsia="ar-SA"/>
        </w:rPr>
      </w:pPr>
      <w:r>
        <w:rPr>
          <w:rFonts w:ascii="Times New Roman" w:eastAsia="Times New Roman" w:hAnsi="Times New Roman" w:cs="Times New Roman"/>
          <w:sz w:val="24"/>
          <w:lang w:val="es-CL" w:eastAsia="ar-SA"/>
        </w:rPr>
        <w:t xml:space="preserve">Solovieva, Y., Quintanar, L., </w:t>
      </w:r>
      <w:proofErr w:type="spellStart"/>
      <w:r>
        <w:rPr>
          <w:rFonts w:ascii="Times New Roman" w:eastAsia="Times New Roman" w:hAnsi="Times New Roman" w:cs="Times New Roman"/>
          <w:sz w:val="24"/>
          <w:lang w:val="es-CL" w:eastAsia="ar-SA"/>
        </w:rPr>
        <w:t>Akhutina</w:t>
      </w:r>
      <w:proofErr w:type="spellEnd"/>
      <w:r>
        <w:rPr>
          <w:rFonts w:ascii="Times New Roman" w:eastAsia="Times New Roman" w:hAnsi="Times New Roman" w:cs="Times New Roman"/>
          <w:sz w:val="24"/>
          <w:lang w:val="es-CL" w:eastAsia="ar-SA"/>
        </w:rPr>
        <w:t xml:space="preserve">, T. &amp; </w:t>
      </w:r>
      <w:proofErr w:type="spellStart"/>
      <w:r>
        <w:rPr>
          <w:rFonts w:ascii="Times New Roman" w:eastAsia="Times New Roman" w:hAnsi="Times New Roman" w:cs="Times New Roman"/>
          <w:sz w:val="24"/>
          <w:lang w:val="es-CL" w:eastAsia="ar-SA"/>
        </w:rPr>
        <w:t>Hazin</w:t>
      </w:r>
      <w:proofErr w:type="spellEnd"/>
      <w:r>
        <w:rPr>
          <w:rFonts w:ascii="Times New Roman" w:eastAsia="Times New Roman" w:hAnsi="Times New Roman" w:cs="Times New Roman"/>
          <w:sz w:val="24"/>
          <w:lang w:val="es-CL" w:eastAsia="ar-SA"/>
        </w:rPr>
        <w:t xml:space="preserve">, I. (2019). </w:t>
      </w:r>
      <w:r>
        <w:rPr>
          <w:rFonts w:ascii="Times New Roman" w:eastAsia="Times New Roman" w:hAnsi="Times New Roman" w:cs="Times New Roman"/>
          <w:sz w:val="24"/>
          <w:lang w:val="en-US" w:eastAsia="ar-SA"/>
        </w:rPr>
        <w:t xml:space="preserve">Historical-Cultural Neuropsychology: a systemic and integral approach of psychological functions and their cerebral bases. </w:t>
      </w:r>
      <w:r>
        <w:rPr>
          <w:rFonts w:ascii="Times New Roman" w:eastAsia="Times New Roman" w:hAnsi="Times New Roman" w:cs="Times New Roman"/>
          <w:i/>
          <w:sz w:val="24"/>
          <w:lang w:val="es-CL" w:eastAsia="ar-SA"/>
        </w:rPr>
        <w:t>Estudios de Psicología, 24</w:t>
      </w:r>
      <w:r w:rsidR="00626D13">
        <w:rPr>
          <w:rFonts w:ascii="Times New Roman" w:eastAsia="Times New Roman" w:hAnsi="Times New Roman" w:cs="Times New Roman"/>
          <w:i/>
          <w:sz w:val="24"/>
          <w:lang w:val="es-CL" w:eastAsia="ar-SA"/>
        </w:rPr>
        <w:t xml:space="preserve">, </w:t>
      </w:r>
      <w:r>
        <w:rPr>
          <w:rFonts w:ascii="Times New Roman" w:eastAsia="Times New Roman" w:hAnsi="Times New Roman" w:cs="Times New Roman"/>
          <w:sz w:val="24"/>
          <w:lang w:val="es-CL" w:eastAsia="ar-SA"/>
        </w:rPr>
        <w:t xml:space="preserve">1, 65-75. </w:t>
      </w:r>
      <w:r>
        <w:rPr>
          <w:rFonts w:ascii="Times New Roman" w:hAnsi="Times New Roman"/>
          <w:sz w:val="24"/>
          <w:highlight w:val="white"/>
        </w:rPr>
        <w:t>http://dx.doi.org/10.22491/1678-4669.20190008 </w:t>
      </w:r>
    </w:p>
    <w:p w14:paraId="24D4C4FE" w14:textId="77777777" w:rsidR="00B14CF0" w:rsidRDefault="00937578" w:rsidP="001415FC">
      <w:pPr>
        <w:spacing w:after="0" w:line="360" w:lineRule="auto"/>
        <w:ind w:left="709" w:hanging="709"/>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Solovieva, Y., &amp; Quintanar, L. (2013). </w:t>
      </w:r>
      <w:r>
        <w:rPr>
          <w:rFonts w:ascii="Times New Roman" w:eastAsia="Times New Roman" w:hAnsi="Times New Roman" w:cs="Times New Roman"/>
          <w:i/>
          <w:sz w:val="24"/>
          <w:lang w:eastAsia="ar-SA"/>
        </w:rPr>
        <w:t>Evaluación Neuropsicológica Infantil Breve.</w:t>
      </w:r>
      <w:r>
        <w:rPr>
          <w:rFonts w:ascii="Times New Roman" w:eastAsia="Times New Roman" w:hAnsi="Times New Roman" w:cs="Times New Roman"/>
          <w:sz w:val="24"/>
          <w:lang w:eastAsia="ar-SA"/>
        </w:rPr>
        <w:t xml:space="preserve"> Benemérita Universidad Autónoma de Puebla. </w:t>
      </w:r>
    </w:p>
    <w:p w14:paraId="11960F21" w14:textId="77777777" w:rsidR="00B14CF0" w:rsidRDefault="00937578" w:rsidP="001415FC">
      <w:pPr>
        <w:spacing w:after="0" w:line="360" w:lineRule="auto"/>
        <w:ind w:left="709" w:hanging="709"/>
        <w:jc w:val="both"/>
        <w:rPr>
          <w:rFonts w:ascii="Times New Roman" w:eastAsia="Times New Roman" w:hAnsi="Times New Roman" w:cs="Times New Roman"/>
          <w:sz w:val="24"/>
          <w:lang w:eastAsia="ar-SA"/>
        </w:rPr>
      </w:pPr>
      <w:proofErr w:type="spellStart"/>
      <w:r>
        <w:rPr>
          <w:rFonts w:ascii="Times New Roman" w:eastAsia="Times New Roman" w:hAnsi="Times New Roman" w:cs="Times New Roman"/>
          <w:sz w:val="24"/>
          <w:lang w:eastAsia="ar-SA"/>
        </w:rPr>
        <w:t>Talizina</w:t>
      </w:r>
      <w:proofErr w:type="spellEnd"/>
      <w:r>
        <w:rPr>
          <w:rFonts w:ascii="Times New Roman" w:eastAsia="Times New Roman" w:hAnsi="Times New Roman" w:cs="Times New Roman"/>
          <w:sz w:val="24"/>
          <w:lang w:eastAsia="ar-SA"/>
        </w:rPr>
        <w:t xml:space="preserve">, N.F. (2018). </w:t>
      </w:r>
      <w:r>
        <w:rPr>
          <w:rFonts w:ascii="Times New Roman" w:eastAsia="Times New Roman" w:hAnsi="Times New Roman" w:cs="Times New Roman"/>
          <w:i/>
          <w:sz w:val="24"/>
          <w:lang w:eastAsia="ar-SA"/>
        </w:rPr>
        <w:t>La teoría de la enseñanza desde la teoría de la actividad.</w:t>
      </w:r>
      <w:r>
        <w:rPr>
          <w:rFonts w:ascii="Times New Roman" w:eastAsia="Times New Roman" w:hAnsi="Times New Roman" w:cs="Times New Roman"/>
          <w:sz w:val="24"/>
          <w:lang w:eastAsia="ar-SA"/>
        </w:rPr>
        <w:t xml:space="preserve"> Universidad Estatal de Moscú.</w:t>
      </w:r>
    </w:p>
    <w:p w14:paraId="44CF2A12" w14:textId="11871B6B" w:rsidR="00B14CF0" w:rsidRDefault="00937578" w:rsidP="001415FC">
      <w:pPr>
        <w:spacing w:after="0" w:line="360" w:lineRule="auto"/>
        <w:ind w:left="709" w:hanging="709"/>
        <w:jc w:val="both"/>
        <w:rPr>
          <w:rFonts w:ascii="Times New Roman" w:eastAsia="Times New Roman" w:hAnsi="Times New Roman" w:cs="Times New Roman"/>
          <w:sz w:val="24"/>
          <w:lang w:val="en-US" w:eastAsia="ar-SA"/>
        </w:rPr>
      </w:pPr>
      <w:r>
        <w:rPr>
          <w:rFonts w:ascii="Times New Roman" w:eastAsia="Times New Roman" w:hAnsi="Times New Roman" w:cs="Times New Roman"/>
          <w:sz w:val="24"/>
          <w:lang w:eastAsia="ar-SA"/>
        </w:rPr>
        <w:t xml:space="preserve">Tenorio, M., Arango, P., Aparicio, A., Benavente, C., </w:t>
      </w:r>
      <w:proofErr w:type="spellStart"/>
      <w:r>
        <w:rPr>
          <w:rFonts w:ascii="Times New Roman" w:eastAsia="Times New Roman" w:hAnsi="Times New Roman" w:cs="Times New Roman"/>
          <w:sz w:val="24"/>
          <w:lang w:eastAsia="ar-SA"/>
        </w:rPr>
        <w:t>Thibaut</w:t>
      </w:r>
      <w:proofErr w:type="spellEnd"/>
      <w:r>
        <w:rPr>
          <w:rFonts w:ascii="Times New Roman" w:eastAsia="Times New Roman" w:hAnsi="Times New Roman" w:cs="Times New Roman"/>
          <w:sz w:val="24"/>
          <w:lang w:eastAsia="ar-SA"/>
        </w:rPr>
        <w:t xml:space="preserve">, C., &amp; Rosas, R. (2014). </w:t>
      </w:r>
      <w:r>
        <w:rPr>
          <w:rFonts w:ascii="Times New Roman" w:eastAsia="Times New Roman" w:hAnsi="Times New Roman" w:cs="Times New Roman"/>
          <w:sz w:val="24"/>
          <w:lang w:val="en-US" w:eastAsia="ar-SA"/>
        </w:rPr>
        <w:t xml:space="preserve">TENI: A comprehensive battery for cognitive assessment based on games and technology. </w:t>
      </w:r>
      <w:r>
        <w:rPr>
          <w:rFonts w:ascii="Times New Roman" w:eastAsia="Times New Roman" w:hAnsi="Times New Roman" w:cs="Times New Roman"/>
          <w:i/>
          <w:sz w:val="24"/>
          <w:lang w:val="en-US" w:eastAsia="ar-SA"/>
        </w:rPr>
        <w:t>Child Neuropsychology, 22</w:t>
      </w:r>
      <w:r w:rsidR="00626D13">
        <w:rPr>
          <w:rFonts w:ascii="Times New Roman" w:eastAsia="Times New Roman" w:hAnsi="Times New Roman" w:cs="Times New Roman"/>
          <w:i/>
          <w:sz w:val="24"/>
          <w:lang w:val="en-US" w:eastAsia="ar-SA"/>
        </w:rPr>
        <w:t xml:space="preserve">, </w:t>
      </w:r>
      <w:r>
        <w:rPr>
          <w:rFonts w:ascii="Times New Roman" w:eastAsia="Times New Roman" w:hAnsi="Times New Roman" w:cs="Times New Roman"/>
          <w:sz w:val="24"/>
          <w:lang w:val="en-US" w:eastAsia="ar-SA"/>
        </w:rPr>
        <w:t xml:space="preserve">3, 276-29. </w:t>
      </w:r>
      <w:r w:rsidR="00D218E6">
        <w:fldChar w:fldCharType="begin"/>
      </w:r>
      <w:r w:rsidR="00D218E6" w:rsidRPr="00D218E6">
        <w:rPr>
          <w:lang w:val="en-US"/>
        </w:rPr>
        <w:instrText xml:space="preserve"> HYPERLINK "https://doi.org/10.1080/09297049.2014.977241" </w:instrText>
      </w:r>
      <w:r w:rsidR="00D218E6">
        <w:fldChar w:fldCharType="separate"/>
      </w:r>
      <w:r>
        <w:rPr>
          <w:rFonts w:ascii="Times New Roman" w:hAnsi="Times New Roman"/>
          <w:sz w:val="24"/>
          <w:highlight w:val="white"/>
          <w:lang w:val="en-US"/>
        </w:rPr>
        <w:t>https://doi.org/10.1080/09297049.2014.977241</w:t>
      </w:r>
      <w:r w:rsidR="00D218E6">
        <w:rPr>
          <w:rFonts w:ascii="Times New Roman" w:hAnsi="Times New Roman"/>
          <w:sz w:val="24"/>
          <w:highlight w:val="white"/>
          <w:lang w:val="en-US"/>
        </w:rPr>
        <w:fldChar w:fldCharType="end"/>
      </w:r>
    </w:p>
    <w:p w14:paraId="5A8DE082" w14:textId="1D8BEE2C" w:rsidR="00B14CF0" w:rsidRPr="00C20912" w:rsidRDefault="00937578" w:rsidP="001415FC">
      <w:pPr>
        <w:spacing w:after="0" w:line="360" w:lineRule="auto"/>
        <w:ind w:left="709" w:hanging="709"/>
        <w:jc w:val="both"/>
        <w:rPr>
          <w:rFonts w:ascii="Times New Roman" w:hAnsi="Times New Roman"/>
          <w:sz w:val="24"/>
          <w:lang w:val="en-US"/>
        </w:rPr>
      </w:pPr>
      <w:proofErr w:type="spellStart"/>
      <w:r>
        <w:rPr>
          <w:rFonts w:ascii="Times New Roman" w:eastAsia="Times New Roman" w:hAnsi="Times New Roman" w:cs="Times New Roman"/>
          <w:sz w:val="24"/>
          <w:lang w:val="en-US" w:eastAsia="ar-SA"/>
        </w:rPr>
        <w:t>Vollman</w:t>
      </w:r>
      <w:proofErr w:type="spellEnd"/>
      <w:r>
        <w:rPr>
          <w:rFonts w:ascii="Times New Roman" w:eastAsia="Times New Roman" w:hAnsi="Times New Roman" w:cs="Times New Roman"/>
          <w:sz w:val="24"/>
          <w:lang w:val="en-US" w:eastAsia="ar-SA"/>
        </w:rPr>
        <w:t xml:space="preserve">, E., &amp; Richland, L. (2020). Beyond Wealth and Health: The Social Environment as a Protective Factor for Cognitive Development of Children in Nicaragua. </w:t>
      </w:r>
      <w:r>
        <w:rPr>
          <w:rFonts w:ascii="Times New Roman" w:eastAsia="Times New Roman" w:hAnsi="Times New Roman" w:cs="Times New Roman"/>
          <w:i/>
          <w:sz w:val="24"/>
          <w:lang w:val="en-US" w:eastAsia="ar-SA"/>
        </w:rPr>
        <w:t>Journal of Cognition and Development, 21</w:t>
      </w:r>
      <w:r w:rsidR="00626D13">
        <w:rPr>
          <w:rFonts w:ascii="Times New Roman" w:eastAsia="Times New Roman" w:hAnsi="Times New Roman" w:cs="Times New Roman"/>
          <w:i/>
          <w:sz w:val="24"/>
          <w:lang w:val="en-US" w:eastAsia="ar-SA"/>
        </w:rPr>
        <w:t xml:space="preserve">, </w:t>
      </w:r>
      <w:r>
        <w:rPr>
          <w:rFonts w:ascii="Times New Roman" w:eastAsia="Times New Roman" w:hAnsi="Times New Roman" w:cs="Times New Roman"/>
          <w:sz w:val="24"/>
          <w:lang w:val="en-US" w:eastAsia="ar-SA"/>
        </w:rPr>
        <w:t>2, 149-165.</w:t>
      </w:r>
      <w:r>
        <w:rPr>
          <w:lang w:val="en-US"/>
        </w:rPr>
        <w:t xml:space="preserve"> </w:t>
      </w:r>
      <w:r w:rsidR="00D218E6">
        <w:fldChar w:fldCharType="begin"/>
      </w:r>
      <w:r w:rsidR="00D218E6" w:rsidRPr="00D218E6">
        <w:rPr>
          <w:lang w:val="en-US"/>
        </w:rPr>
        <w:instrText xml:space="preserve"> HYPERLINK "https://doi.org/10.1080/1524</w:instrText>
      </w:r>
      <w:r w:rsidR="00D218E6" w:rsidRPr="00D218E6">
        <w:rPr>
          <w:lang w:val="en-US"/>
        </w:rPr>
        <w:instrText xml:space="preserve">8372.2020.1717493" </w:instrText>
      </w:r>
      <w:r w:rsidR="00D218E6">
        <w:fldChar w:fldCharType="separate"/>
      </w:r>
      <w:r w:rsidRPr="00C20912">
        <w:rPr>
          <w:rFonts w:ascii="Times New Roman" w:hAnsi="Times New Roman"/>
          <w:sz w:val="24"/>
          <w:highlight w:val="white"/>
          <w:lang w:val="en-US"/>
        </w:rPr>
        <w:t>https://doi.org/10.1080/15248372.2020.1717493</w:t>
      </w:r>
      <w:r w:rsidR="00D218E6">
        <w:rPr>
          <w:rFonts w:ascii="Times New Roman" w:hAnsi="Times New Roman"/>
          <w:sz w:val="24"/>
          <w:highlight w:val="white"/>
          <w:lang w:val="en-US"/>
        </w:rPr>
        <w:fldChar w:fldCharType="end"/>
      </w:r>
    </w:p>
    <w:p w14:paraId="0FEAD19E" w14:textId="77777777" w:rsidR="00B14CF0" w:rsidRDefault="00937578" w:rsidP="001415FC">
      <w:pPr>
        <w:spacing w:after="0" w:line="360" w:lineRule="auto"/>
        <w:ind w:left="709" w:hanging="709"/>
        <w:jc w:val="both"/>
        <w:rPr>
          <w:rFonts w:ascii="Times New Roman" w:hAnsi="Times New Roman" w:cs="Times New Roman"/>
          <w:sz w:val="24"/>
          <w:lang w:val="en-US"/>
        </w:rPr>
      </w:pPr>
      <w:r w:rsidRPr="00C20912">
        <w:rPr>
          <w:rFonts w:ascii="Times New Roman" w:hAnsi="Times New Roman" w:cs="Times New Roman"/>
          <w:sz w:val="24"/>
          <w:lang w:val="en-US"/>
        </w:rPr>
        <w:t xml:space="preserve"> Zapata, M., Cárdenas, L &amp; </w:t>
      </w:r>
      <w:proofErr w:type="spellStart"/>
      <w:r w:rsidRPr="00C20912">
        <w:rPr>
          <w:rFonts w:ascii="Times New Roman" w:hAnsi="Times New Roman" w:cs="Times New Roman"/>
          <w:sz w:val="24"/>
          <w:lang w:val="en-US"/>
        </w:rPr>
        <w:t>Cuartas</w:t>
      </w:r>
      <w:proofErr w:type="spellEnd"/>
      <w:r w:rsidRPr="00C20912">
        <w:rPr>
          <w:rFonts w:ascii="Times New Roman" w:hAnsi="Times New Roman" w:cs="Times New Roman"/>
          <w:sz w:val="24"/>
          <w:lang w:val="en-US"/>
        </w:rPr>
        <w:t xml:space="preserve"> JM. </w:t>
      </w:r>
      <w:r>
        <w:rPr>
          <w:rFonts w:ascii="Times New Roman" w:hAnsi="Times New Roman" w:cs="Times New Roman"/>
          <w:sz w:val="24"/>
        </w:rPr>
        <w:t xml:space="preserve">(2019). INECO Frontal </w:t>
      </w:r>
      <w:proofErr w:type="spellStart"/>
      <w:r>
        <w:rPr>
          <w:rFonts w:ascii="Times New Roman" w:hAnsi="Times New Roman" w:cs="Times New Roman"/>
          <w:sz w:val="24"/>
        </w:rPr>
        <w:t>Screening</w:t>
      </w:r>
      <w:proofErr w:type="spellEnd"/>
      <w:r>
        <w:rPr>
          <w:rFonts w:ascii="Times New Roman" w:hAnsi="Times New Roman" w:cs="Times New Roman"/>
          <w:sz w:val="24"/>
        </w:rPr>
        <w:t xml:space="preserve"> (IFS): una herramienta psicométrica para evaluar la disfunción ejecutiva en </w:t>
      </w:r>
      <w:proofErr w:type="spellStart"/>
      <w:r>
        <w:rPr>
          <w:rFonts w:ascii="Times New Roman" w:hAnsi="Times New Roman" w:cs="Times New Roman"/>
          <w:sz w:val="24"/>
        </w:rPr>
        <w:t>policonsumidores</w:t>
      </w:r>
      <w:proofErr w:type="spellEnd"/>
      <w:r>
        <w:rPr>
          <w:rFonts w:ascii="Times New Roman" w:hAnsi="Times New Roman" w:cs="Times New Roman"/>
          <w:sz w:val="24"/>
        </w:rPr>
        <w:t xml:space="preserve">. </w:t>
      </w:r>
      <w:r>
        <w:rPr>
          <w:rFonts w:ascii="Times New Roman" w:hAnsi="Times New Roman" w:cs="Times New Roman"/>
          <w:i/>
          <w:sz w:val="24"/>
          <w:lang w:val="en-US"/>
        </w:rPr>
        <w:t xml:space="preserve">Suma </w:t>
      </w:r>
      <w:proofErr w:type="spellStart"/>
      <w:r>
        <w:rPr>
          <w:rFonts w:ascii="Times New Roman" w:hAnsi="Times New Roman" w:cs="Times New Roman"/>
          <w:i/>
          <w:sz w:val="24"/>
          <w:lang w:val="en-US"/>
        </w:rPr>
        <w:t>Psicológica</w:t>
      </w:r>
      <w:proofErr w:type="spellEnd"/>
      <w:r>
        <w:rPr>
          <w:rFonts w:ascii="Times New Roman" w:hAnsi="Times New Roman" w:cs="Times New Roman"/>
          <w:i/>
          <w:sz w:val="24"/>
          <w:lang w:val="en-US"/>
        </w:rPr>
        <w:t>, 26</w:t>
      </w:r>
      <w:r>
        <w:rPr>
          <w:rFonts w:ascii="Times New Roman" w:hAnsi="Times New Roman" w:cs="Times New Roman"/>
          <w:sz w:val="24"/>
          <w:lang w:val="en-US"/>
        </w:rPr>
        <w:t>, 2, 119-126.</w:t>
      </w:r>
    </w:p>
    <w:p w14:paraId="3E784D93" w14:textId="4D2D3AE7" w:rsidR="00B14CF0" w:rsidRDefault="00937578" w:rsidP="001415FC">
      <w:pPr>
        <w:spacing w:after="0" w:line="360" w:lineRule="auto"/>
        <w:ind w:left="709" w:hanging="709"/>
        <w:rPr>
          <w:rFonts w:ascii="Times New Roman" w:eastAsia="Times New Roman" w:hAnsi="Times New Roman" w:cs="Times New Roman"/>
          <w:sz w:val="24"/>
          <w:lang w:val="en-US" w:eastAsia="ar-SA"/>
        </w:rPr>
      </w:pPr>
      <w:proofErr w:type="spellStart"/>
      <w:r>
        <w:rPr>
          <w:rFonts w:ascii="Times New Roman" w:eastAsia="Times New Roman" w:hAnsi="Times New Roman" w:cs="Times New Roman"/>
          <w:sz w:val="24"/>
          <w:lang w:val="en-US" w:eastAsia="ar-SA"/>
        </w:rPr>
        <w:lastRenderedPageBreak/>
        <w:t>Zelazo</w:t>
      </w:r>
      <w:proofErr w:type="spellEnd"/>
      <w:r>
        <w:rPr>
          <w:rFonts w:ascii="Times New Roman" w:eastAsia="Times New Roman" w:hAnsi="Times New Roman" w:cs="Times New Roman"/>
          <w:sz w:val="24"/>
          <w:lang w:val="en-US" w:eastAsia="ar-SA"/>
        </w:rPr>
        <w:t xml:space="preserve">, P.D. (2020). Executive function and psychopathology: A neurodevelopmental perspective. </w:t>
      </w:r>
      <w:r>
        <w:rPr>
          <w:rFonts w:ascii="Times New Roman" w:eastAsia="Times New Roman" w:hAnsi="Times New Roman" w:cs="Times New Roman"/>
          <w:i/>
          <w:sz w:val="24"/>
          <w:lang w:val="en-US" w:eastAsia="ar-SA"/>
        </w:rPr>
        <w:t>Annual review of clinical psychology, 16</w:t>
      </w:r>
      <w:r>
        <w:rPr>
          <w:rFonts w:ascii="Times New Roman" w:eastAsia="Times New Roman" w:hAnsi="Times New Roman" w:cs="Times New Roman"/>
          <w:sz w:val="24"/>
          <w:lang w:val="en-US" w:eastAsia="ar-SA"/>
        </w:rPr>
        <w:t xml:space="preserve">, 431-45. </w:t>
      </w:r>
      <w:hyperlink r:id="rId7" w:history="1">
        <w:r>
          <w:rPr>
            <w:rFonts w:ascii="Times New Roman" w:hAnsi="Times New Roman"/>
            <w:sz w:val="24"/>
            <w:highlight w:val="white"/>
            <w:lang w:val="en-US"/>
          </w:rPr>
          <w:t>https://doi.org/10.1146/annurev-clinpsy-072319-024242</w:t>
        </w:r>
      </w:hyperlink>
      <w:r w:rsidR="00C20912">
        <w:rPr>
          <w:rFonts w:ascii="Times New Roman" w:hAnsi="Times New Roman"/>
          <w:sz w:val="24"/>
          <w:lang w:val="en-US"/>
        </w:rPr>
        <w:t>.</w:t>
      </w:r>
    </w:p>
    <w:p w14:paraId="74CE6A2F" w14:textId="77777777" w:rsidR="00B14CF0" w:rsidRDefault="00B14CF0" w:rsidP="001415FC">
      <w:pPr>
        <w:spacing w:after="0" w:line="360" w:lineRule="auto"/>
        <w:ind w:left="709" w:hanging="709"/>
        <w:jc w:val="both"/>
        <w:rPr>
          <w:rFonts w:ascii="Times New Roman" w:eastAsia="Times New Roman" w:hAnsi="Times New Roman" w:cs="Times New Roman"/>
          <w:sz w:val="24"/>
          <w:lang w:val="en-US" w:eastAsia="ar-SA"/>
        </w:rPr>
      </w:pPr>
    </w:p>
    <w:p w14:paraId="2DCC802A" w14:textId="77777777" w:rsidR="00B14CF0" w:rsidRDefault="00B14CF0" w:rsidP="001415FC">
      <w:pPr>
        <w:spacing w:line="360" w:lineRule="auto"/>
        <w:rPr>
          <w:lang w:val="en-US"/>
        </w:rPr>
      </w:pPr>
    </w:p>
    <w:p w14:paraId="195DA519" w14:textId="77777777" w:rsidR="00B14CF0" w:rsidRDefault="00B14CF0" w:rsidP="001415FC">
      <w:pPr>
        <w:spacing w:line="360" w:lineRule="auto"/>
        <w:rPr>
          <w:lang w:val="en-US"/>
        </w:rPr>
      </w:pPr>
    </w:p>
    <w:sectPr w:rsidR="00B14CF0">
      <w:pgSz w:w="11906" w:h="16838"/>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2E"/>
    <w:rsid w:val="00013212"/>
    <w:rsid w:val="000478F7"/>
    <w:rsid w:val="00052AF3"/>
    <w:rsid w:val="000921BD"/>
    <w:rsid w:val="00097B8B"/>
    <w:rsid w:val="000D1408"/>
    <w:rsid w:val="000E2AD8"/>
    <w:rsid w:val="000E5C27"/>
    <w:rsid w:val="00102662"/>
    <w:rsid w:val="00107817"/>
    <w:rsid w:val="00107988"/>
    <w:rsid w:val="00113378"/>
    <w:rsid w:val="00125372"/>
    <w:rsid w:val="00131696"/>
    <w:rsid w:val="0014158B"/>
    <w:rsid w:val="001415FC"/>
    <w:rsid w:val="0014641E"/>
    <w:rsid w:val="00162345"/>
    <w:rsid w:val="00162A74"/>
    <w:rsid w:val="001644D9"/>
    <w:rsid w:val="00197646"/>
    <w:rsid w:val="001977B8"/>
    <w:rsid w:val="001C264B"/>
    <w:rsid w:val="001D09EA"/>
    <w:rsid w:val="001E084B"/>
    <w:rsid w:val="001F29CE"/>
    <w:rsid w:val="001F3253"/>
    <w:rsid w:val="001F4AD8"/>
    <w:rsid w:val="00201DD5"/>
    <w:rsid w:val="002113C1"/>
    <w:rsid w:val="00224276"/>
    <w:rsid w:val="00226BBE"/>
    <w:rsid w:val="00251567"/>
    <w:rsid w:val="00254E88"/>
    <w:rsid w:val="00264A5F"/>
    <w:rsid w:val="00286C24"/>
    <w:rsid w:val="00287E69"/>
    <w:rsid w:val="0029027B"/>
    <w:rsid w:val="00293BEE"/>
    <w:rsid w:val="002A3522"/>
    <w:rsid w:val="002B0E7A"/>
    <w:rsid w:val="002C08AE"/>
    <w:rsid w:val="002C2223"/>
    <w:rsid w:val="002D0DE5"/>
    <w:rsid w:val="002F773A"/>
    <w:rsid w:val="00304EEA"/>
    <w:rsid w:val="00307159"/>
    <w:rsid w:val="00313446"/>
    <w:rsid w:val="00321105"/>
    <w:rsid w:val="003428CF"/>
    <w:rsid w:val="00356F2C"/>
    <w:rsid w:val="0036271C"/>
    <w:rsid w:val="00373471"/>
    <w:rsid w:val="00386A61"/>
    <w:rsid w:val="003A6637"/>
    <w:rsid w:val="003B4A8F"/>
    <w:rsid w:val="003B747E"/>
    <w:rsid w:val="003C22DC"/>
    <w:rsid w:val="003C5991"/>
    <w:rsid w:val="003D18A5"/>
    <w:rsid w:val="003E23EF"/>
    <w:rsid w:val="003E4B9B"/>
    <w:rsid w:val="003F7875"/>
    <w:rsid w:val="0040659C"/>
    <w:rsid w:val="0041068D"/>
    <w:rsid w:val="004207E1"/>
    <w:rsid w:val="00433A67"/>
    <w:rsid w:val="00451ACE"/>
    <w:rsid w:val="00455A85"/>
    <w:rsid w:val="0047397C"/>
    <w:rsid w:val="004842DB"/>
    <w:rsid w:val="004976AD"/>
    <w:rsid w:val="004A0FBD"/>
    <w:rsid w:val="004A2267"/>
    <w:rsid w:val="004B1F4F"/>
    <w:rsid w:val="004B64D2"/>
    <w:rsid w:val="004C158D"/>
    <w:rsid w:val="004E4BD6"/>
    <w:rsid w:val="004F1C3A"/>
    <w:rsid w:val="004F2E29"/>
    <w:rsid w:val="005337AD"/>
    <w:rsid w:val="00533F7D"/>
    <w:rsid w:val="00534704"/>
    <w:rsid w:val="00555354"/>
    <w:rsid w:val="005635D4"/>
    <w:rsid w:val="0057457E"/>
    <w:rsid w:val="0059582B"/>
    <w:rsid w:val="005A0CD7"/>
    <w:rsid w:val="005B0BB7"/>
    <w:rsid w:val="005C3949"/>
    <w:rsid w:val="005C5069"/>
    <w:rsid w:val="005D0245"/>
    <w:rsid w:val="005D35CF"/>
    <w:rsid w:val="005E21EF"/>
    <w:rsid w:val="0060217C"/>
    <w:rsid w:val="006136DA"/>
    <w:rsid w:val="0062032A"/>
    <w:rsid w:val="00624962"/>
    <w:rsid w:val="00626D13"/>
    <w:rsid w:val="006749D4"/>
    <w:rsid w:val="00697F23"/>
    <w:rsid w:val="006E374E"/>
    <w:rsid w:val="006F6F60"/>
    <w:rsid w:val="007030EB"/>
    <w:rsid w:val="00706004"/>
    <w:rsid w:val="00706E50"/>
    <w:rsid w:val="00716D8A"/>
    <w:rsid w:val="00716F10"/>
    <w:rsid w:val="007210C2"/>
    <w:rsid w:val="00725E47"/>
    <w:rsid w:val="007407EF"/>
    <w:rsid w:val="00743B0E"/>
    <w:rsid w:val="0075037F"/>
    <w:rsid w:val="00756664"/>
    <w:rsid w:val="00761729"/>
    <w:rsid w:val="007872CD"/>
    <w:rsid w:val="007A505F"/>
    <w:rsid w:val="007B0285"/>
    <w:rsid w:val="007B048D"/>
    <w:rsid w:val="007D4F9A"/>
    <w:rsid w:val="007D7E09"/>
    <w:rsid w:val="007F08D0"/>
    <w:rsid w:val="00815637"/>
    <w:rsid w:val="00823A81"/>
    <w:rsid w:val="00840D69"/>
    <w:rsid w:val="0084762C"/>
    <w:rsid w:val="008878E9"/>
    <w:rsid w:val="00892971"/>
    <w:rsid w:val="008A4499"/>
    <w:rsid w:val="008B0B86"/>
    <w:rsid w:val="008B3B0A"/>
    <w:rsid w:val="008C7D1D"/>
    <w:rsid w:val="008E0023"/>
    <w:rsid w:val="00904E60"/>
    <w:rsid w:val="0090648D"/>
    <w:rsid w:val="00921C7A"/>
    <w:rsid w:val="0092776F"/>
    <w:rsid w:val="00935B5F"/>
    <w:rsid w:val="00937578"/>
    <w:rsid w:val="00943CBB"/>
    <w:rsid w:val="00962465"/>
    <w:rsid w:val="00966E27"/>
    <w:rsid w:val="00970FA4"/>
    <w:rsid w:val="009B6236"/>
    <w:rsid w:val="009C19B2"/>
    <w:rsid w:val="009E7B0F"/>
    <w:rsid w:val="009F3D84"/>
    <w:rsid w:val="009F5044"/>
    <w:rsid w:val="009F7DA2"/>
    <w:rsid w:val="00A010A3"/>
    <w:rsid w:val="00A01B63"/>
    <w:rsid w:val="00A03819"/>
    <w:rsid w:val="00A15665"/>
    <w:rsid w:val="00A202C9"/>
    <w:rsid w:val="00A222A9"/>
    <w:rsid w:val="00A32EA9"/>
    <w:rsid w:val="00A35555"/>
    <w:rsid w:val="00A4342F"/>
    <w:rsid w:val="00A91906"/>
    <w:rsid w:val="00A91992"/>
    <w:rsid w:val="00AA14DF"/>
    <w:rsid w:val="00AE4BF8"/>
    <w:rsid w:val="00AE69EA"/>
    <w:rsid w:val="00AE6FE1"/>
    <w:rsid w:val="00AF4C63"/>
    <w:rsid w:val="00B14CF0"/>
    <w:rsid w:val="00B16D00"/>
    <w:rsid w:val="00B1762E"/>
    <w:rsid w:val="00B23CF1"/>
    <w:rsid w:val="00B65F0A"/>
    <w:rsid w:val="00B7443E"/>
    <w:rsid w:val="00B87E0B"/>
    <w:rsid w:val="00B918F3"/>
    <w:rsid w:val="00BD061E"/>
    <w:rsid w:val="00BE17A4"/>
    <w:rsid w:val="00BE3DEA"/>
    <w:rsid w:val="00BF3596"/>
    <w:rsid w:val="00C018DA"/>
    <w:rsid w:val="00C15D10"/>
    <w:rsid w:val="00C20912"/>
    <w:rsid w:val="00C25574"/>
    <w:rsid w:val="00C32532"/>
    <w:rsid w:val="00C416C6"/>
    <w:rsid w:val="00C716CA"/>
    <w:rsid w:val="00C71D6F"/>
    <w:rsid w:val="00C95D21"/>
    <w:rsid w:val="00CE4B7C"/>
    <w:rsid w:val="00CF05E8"/>
    <w:rsid w:val="00D0455D"/>
    <w:rsid w:val="00D12528"/>
    <w:rsid w:val="00D13541"/>
    <w:rsid w:val="00D218E6"/>
    <w:rsid w:val="00D40B9F"/>
    <w:rsid w:val="00D42214"/>
    <w:rsid w:val="00D44398"/>
    <w:rsid w:val="00D62951"/>
    <w:rsid w:val="00D63B2B"/>
    <w:rsid w:val="00DD0389"/>
    <w:rsid w:val="00DF51C2"/>
    <w:rsid w:val="00E14FF6"/>
    <w:rsid w:val="00E2276A"/>
    <w:rsid w:val="00E25CC9"/>
    <w:rsid w:val="00E32622"/>
    <w:rsid w:val="00E64C5C"/>
    <w:rsid w:val="00E72A5A"/>
    <w:rsid w:val="00E732C3"/>
    <w:rsid w:val="00E82982"/>
    <w:rsid w:val="00E86167"/>
    <w:rsid w:val="00E941D8"/>
    <w:rsid w:val="00ED56CF"/>
    <w:rsid w:val="00F00A16"/>
    <w:rsid w:val="00F32BE0"/>
    <w:rsid w:val="00F36B81"/>
    <w:rsid w:val="00F406A4"/>
    <w:rsid w:val="00F42A39"/>
    <w:rsid w:val="00F559FD"/>
    <w:rsid w:val="00F674DD"/>
    <w:rsid w:val="00F74995"/>
    <w:rsid w:val="00FA05EF"/>
    <w:rsid w:val="00FA1A5A"/>
    <w:rsid w:val="00FB7CF6"/>
    <w:rsid w:val="00FD482D"/>
    <w:rsid w:val="00FF3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3531"/>
  <w15:chartTrackingRefBased/>
  <w15:docId w15:val="{D144554F-FBBE-4314-ACFA-8795008E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color w:val="2E74B5" w:themeColor="accent1" w:themeShade="BF"/>
      <w:sz w:val="28"/>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color w:val="5B9BD5" w:themeColor="accent1"/>
      <w:sz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Pr>
      <w:rFonts w:asciiTheme="majorHAnsi" w:eastAsiaTheme="majorEastAsia" w:hAnsiTheme="majorHAnsi" w:cstheme="majorBidi"/>
      <w:b/>
      <w:i/>
      <w:color w:val="5B9BD5" w:themeColor="accent1"/>
    </w:rPr>
  </w:style>
  <w:style w:type="character" w:customStyle="1" w:styleId="Ttulo7Car">
    <w:name w:val="Título 7 Car"/>
    <w:basedOn w:val="Fuentedeprrafopredeter"/>
    <w:link w:val="Ttulo7"/>
    <w:uiPriority w:val="9"/>
    <w:rPr>
      <w:rFonts w:asciiTheme="majorHAnsi" w:eastAsiaTheme="majorEastAsia" w:hAnsiTheme="majorHAnsi" w:cstheme="majorBidi"/>
      <w:i/>
      <w:color w:val="404040" w:themeColor="text1" w:themeTint="BF"/>
    </w:rPr>
  </w:style>
  <w:style w:type="paragraph" w:styleId="Cita">
    <w:name w:val="Quote"/>
    <w:basedOn w:val="Normal"/>
    <w:next w:val="Normal"/>
    <w:link w:val="CitaCar"/>
    <w:uiPriority w:val="29"/>
    <w:qFormat/>
    <w:rPr>
      <w:i/>
      <w:color w:val="000000" w:themeColor="text1"/>
    </w:rPr>
  </w:style>
  <w:style w:type="character" w:styleId="Refdenotaalpie">
    <w:name w:val="footnote reference"/>
    <w:basedOn w:val="Fuentedeprrafopredeter"/>
    <w:uiPriority w:val="99"/>
    <w:semiHidden/>
    <w:unhideWhenUsed/>
    <w:rPr>
      <w:vertAlign w:val="superscript"/>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color w:val="5B9BD5" w:themeColor="accent1"/>
      <w:spacing w:val="15"/>
      <w:sz w:val="24"/>
    </w:rPr>
  </w:style>
  <w:style w:type="paragraph" w:customStyle="1" w:styleId="Default">
    <w:name w:val="Default"/>
    <w:uiPriority w:val="99"/>
    <w:pPr>
      <w:spacing w:after="0" w:line="240" w:lineRule="auto"/>
    </w:pPr>
    <w:rPr>
      <w:rFonts w:ascii="Trebuchet MS" w:hAnsi="Trebuchet MS" w:cs="Trebuchet MS"/>
      <w:color w:val="000000"/>
      <w:sz w:val="24"/>
    </w:rPr>
  </w:style>
  <w:style w:type="character" w:customStyle="1" w:styleId="TextonotaalfinalCar">
    <w:name w:val="Texto nota al final Car"/>
    <w:basedOn w:val="Fuentedeprrafopredeter"/>
    <w:link w:val="Textonotaalfinal"/>
    <w:uiPriority w:val="99"/>
    <w:semiHidden/>
    <w:rPr>
      <w:sz w:val="20"/>
    </w:rPr>
  </w:style>
  <w:style w:type="character" w:customStyle="1" w:styleId="SubttuloCar">
    <w:name w:val="Subtítulo Car"/>
    <w:basedOn w:val="Fuentedeprrafopredeter"/>
    <w:link w:val="Subttulo"/>
    <w:uiPriority w:val="11"/>
    <w:rPr>
      <w:rFonts w:asciiTheme="majorHAnsi" w:eastAsiaTheme="majorEastAsia" w:hAnsiTheme="majorHAnsi" w:cstheme="majorBidi"/>
      <w:i/>
      <w:color w:val="5B9BD5" w:themeColor="accent1"/>
      <w:spacing w:val="15"/>
      <w:sz w:val="24"/>
    </w:rPr>
  </w:style>
  <w:style w:type="paragraph" w:styleId="Textonotaalfinal">
    <w:name w:val="endnote text"/>
    <w:basedOn w:val="Normal"/>
    <w:link w:val="TextonotaalfinalCar"/>
    <w:uiPriority w:val="99"/>
    <w:semiHidden/>
    <w:unhideWhenUsed/>
    <w:pPr>
      <w:spacing w:after="0" w:line="240" w:lineRule="auto"/>
    </w:pPr>
    <w:rPr>
      <w:sz w:val="20"/>
    </w:rPr>
  </w:style>
  <w:style w:type="table" w:customStyle="1" w:styleId="Tablanormal32">
    <w:name w:val="Tabla normal 32"/>
    <w:basedOn w:val="Tablanormal"/>
    <w:uiPriority w:val="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rPr>
      <w:tblPr/>
      <w:tcPr>
        <w:tcBorders>
          <w:bottom w:val="single" w:sz="4" w:space="0" w:color="7F7F7F" w:themeColor="text1" w:themeTint="80"/>
        </w:tcBorders>
      </w:tcPr>
    </w:tblStylePr>
    <w:tblStylePr w:type="lastRow">
      <w:rPr>
        <w:b/>
        <w:caps/>
      </w:rPr>
      <w:tblPr/>
      <w:tcPr>
        <w:tcBorders>
          <w:top w:val="nil"/>
        </w:tcBorders>
      </w:tcPr>
    </w:tblStylePr>
    <w:tblStylePr w:type="firstCol">
      <w:rPr>
        <w:b/>
        <w:caps/>
      </w:rPr>
      <w:tblPr/>
      <w:tcPr>
        <w:tcBorders>
          <w:right w:val="single" w:sz="4" w:space="0" w:color="7F7F7F" w:themeColor="text1" w:themeTint="80"/>
        </w:tcBorders>
      </w:tcPr>
    </w:tblStylePr>
    <w:tblStylePr w:type="lastCol">
      <w:rPr>
        <w:b/>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Referenciasutil">
    <w:name w:val="Subtle Reference"/>
    <w:basedOn w:val="Fuentedeprrafopredeter"/>
    <w:uiPriority w:val="31"/>
    <w:qFormat/>
    <w:rPr>
      <w:smallCaps/>
      <w:color w:val="ED7D31" w:themeColor="accent2"/>
      <w:u w:val="single"/>
    </w:rPr>
  </w:style>
  <w:style w:type="character" w:styleId="Hipervnculo">
    <w:name w:val="Hyperlink"/>
    <w:basedOn w:val="Fuentedeprrafopredeter"/>
    <w:uiPriority w:val="99"/>
    <w:unhideWhenUsed/>
    <w:rPr>
      <w:color w:val="0000FF"/>
      <w:u w:val="single"/>
    </w:rPr>
  </w:style>
  <w:style w:type="character" w:customStyle="1" w:styleId="TextodegloboCar">
    <w:name w:val="Texto de globo Car"/>
    <w:basedOn w:val="Fuentedeprrafopredeter"/>
    <w:link w:val="Textodeglobo"/>
    <w:uiPriority w:val="99"/>
    <w:semiHidden/>
    <w:rPr>
      <w:rFonts w:ascii="Segoe UI" w:hAnsi="Segoe UI" w:cs="Segoe UI"/>
      <w:sz w:val="18"/>
    </w:rPr>
  </w:style>
  <w:style w:type="character" w:customStyle="1" w:styleId="Ttulo2Car">
    <w:name w:val="Título 2 Car"/>
    <w:basedOn w:val="Fuentedeprrafopredeter"/>
    <w:link w:val="Ttulo2"/>
    <w:uiPriority w:val="9"/>
    <w:rPr>
      <w:rFonts w:asciiTheme="majorHAnsi" w:eastAsiaTheme="majorEastAsia" w:hAnsiTheme="majorHAnsi" w:cstheme="majorBidi"/>
      <w:b/>
      <w:color w:val="5B9BD5" w:themeColor="accent1"/>
      <w:sz w:val="26"/>
    </w:rPr>
  </w:style>
  <w:style w:type="character" w:customStyle="1" w:styleId="TextonotapieCar">
    <w:name w:val="Texto nota pie Car"/>
    <w:basedOn w:val="Fuentedeprrafopredeter"/>
    <w:link w:val="Textonotapie"/>
    <w:uiPriority w:val="99"/>
    <w:semiHidden/>
    <w:rPr>
      <w:sz w:val="20"/>
    </w:rPr>
  </w:style>
  <w:style w:type="character" w:customStyle="1" w:styleId="CitadestacadaCar">
    <w:name w:val="Cita destacada Car"/>
    <w:basedOn w:val="Fuentedeprrafopredeter"/>
    <w:link w:val="Citadestacada"/>
    <w:uiPriority w:val="30"/>
    <w:rPr>
      <w:b/>
      <w:i/>
      <w:color w:val="5B9BD5" w:themeColor="accent1"/>
    </w:rPr>
  </w:style>
  <w:style w:type="table" w:customStyle="1" w:styleId="Tablanormal31">
    <w:name w:val="Tabla normal 31"/>
    <w:basedOn w:val="Tablanormal"/>
    <w:uiPriority w:val="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rPr>
      <w:tblPr/>
      <w:tcPr>
        <w:tcBorders>
          <w:bottom w:val="single" w:sz="4" w:space="0" w:color="7F7F7F" w:themeColor="text1" w:themeTint="80"/>
        </w:tcBorders>
      </w:tcPr>
    </w:tblStylePr>
    <w:tblStylePr w:type="lastRow">
      <w:rPr>
        <w:b/>
        <w:caps/>
      </w:rPr>
      <w:tblPr/>
      <w:tcPr>
        <w:tcBorders>
          <w:top w:val="nil"/>
        </w:tcBorders>
      </w:tcPr>
    </w:tblStylePr>
    <w:tblStylePr w:type="firstCol">
      <w:rPr>
        <w:b/>
        <w:caps/>
      </w:rPr>
      <w:tblPr/>
      <w:tcPr>
        <w:tcBorders>
          <w:right w:val="single" w:sz="4" w:space="0" w:color="7F7F7F" w:themeColor="text1" w:themeTint="80"/>
        </w:tcBorders>
      </w:tcPr>
    </w:tblStylePr>
    <w:tblStylePr w:type="lastCol">
      <w:rPr>
        <w:b/>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5">
    <w:name w:val="A5"/>
    <w:uiPriority w:val="99"/>
    <w:rPr>
      <w:rFonts w:cs="Trebuchet MS"/>
      <w:b/>
      <w:color w:val="000000"/>
      <w:sz w:val="14"/>
    </w:rPr>
  </w:style>
  <w:style w:type="paragraph" w:styleId="Textocomentario">
    <w:name w:val="annotation text"/>
    <w:basedOn w:val="Normal"/>
    <w:link w:val="TextocomentarioCar"/>
    <w:uiPriority w:val="99"/>
    <w:semiHidden/>
    <w:unhideWhenUsed/>
    <w:pPr>
      <w:spacing w:line="240" w:lineRule="auto"/>
    </w:pPr>
    <w:rPr>
      <w:sz w:val="20"/>
    </w:rPr>
  </w:style>
  <w:style w:type="character" w:styleId="Referenciaintensa">
    <w:name w:val="Intense Reference"/>
    <w:basedOn w:val="Fuentedeprrafopredeter"/>
    <w:uiPriority w:val="32"/>
    <w:qFormat/>
    <w:rPr>
      <w:b/>
      <w:smallCaps/>
      <w:color w:val="ED7D31" w:themeColor="accent2"/>
      <w:spacing w:val="5"/>
      <w:u w:val="single"/>
    </w:rPr>
  </w:style>
  <w:style w:type="paragraph" w:styleId="Sinespaciado">
    <w:name w:val="No Spacing"/>
    <w:uiPriority w:val="1"/>
    <w:qFormat/>
    <w:pPr>
      <w:spacing w:after="0" w:line="240" w:lineRule="auto"/>
    </w:pPr>
  </w:style>
  <w:style w:type="character" w:styleId="Refdecomentario">
    <w:name w:val="annotation reference"/>
    <w:basedOn w:val="Fuentedeprrafopredeter"/>
    <w:uiPriority w:val="99"/>
    <w:semiHidden/>
    <w:unhideWhenUsed/>
    <w:rPr>
      <w:sz w:val="16"/>
    </w:rPr>
  </w:style>
  <w:style w:type="character" w:styleId="nfasis">
    <w:name w:val="Emphasis"/>
    <w:basedOn w:val="Fuentedeprrafopredeter"/>
    <w:uiPriority w:val="20"/>
    <w:qFormat/>
    <w:rPr>
      <w:i/>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rPr>
  </w:style>
  <w:style w:type="character" w:customStyle="1" w:styleId="Ttulo5Car">
    <w:name w:val="Título 5 Car"/>
    <w:basedOn w:val="Fuentedeprrafopredeter"/>
    <w:link w:val="Ttulo5"/>
    <w:uiPriority w:val="9"/>
    <w:rPr>
      <w:rFonts w:asciiTheme="majorHAnsi" w:eastAsiaTheme="majorEastAsia" w:hAnsiTheme="majorHAnsi" w:cstheme="majorBidi"/>
      <w:color w:val="1F4D78" w:themeColor="accent1" w:themeShade="7F"/>
    </w:rPr>
  </w:style>
  <w:style w:type="character" w:customStyle="1" w:styleId="TextosinformatoCar">
    <w:name w:val="Texto sin formato Car"/>
    <w:basedOn w:val="Fuentedeprrafopredeter"/>
    <w:link w:val="Textosinformato"/>
    <w:uiPriority w:val="99"/>
    <w:rPr>
      <w:rFonts w:ascii="Courier New" w:hAnsi="Courier New" w:cs="Courier New"/>
      <w:sz w:val="21"/>
    </w:rPr>
  </w:style>
  <w:style w:type="character" w:styleId="nfasissutil">
    <w:name w:val="Subtle Emphasis"/>
    <w:basedOn w:val="Fuentedeprrafopredeter"/>
    <w:uiPriority w:val="19"/>
    <w:qFormat/>
    <w:rPr>
      <w:i/>
      <w:color w:val="808080" w:themeColor="text1" w:themeTint="7F"/>
    </w:rPr>
  </w:style>
  <w:style w:type="paragraph" w:styleId="Asuntodelcomentario">
    <w:name w:val="annotation subject"/>
    <w:basedOn w:val="Textocomentario"/>
    <w:next w:val="Textocomentario"/>
    <w:link w:val="AsuntodelcomentarioCar"/>
    <w:uiPriority w:val="99"/>
    <w:semiHidden/>
    <w:unhideWhenUsed/>
    <w:rPr>
      <w:b/>
    </w:rPr>
  </w:style>
  <w:style w:type="character" w:customStyle="1" w:styleId="CitaCar">
    <w:name w:val="Cita Car"/>
    <w:basedOn w:val="Fuentedeprrafopredeter"/>
    <w:link w:val="Cita"/>
    <w:uiPriority w:val="29"/>
    <w:rPr>
      <w:i/>
      <w:color w:val="000000" w:themeColor="text1"/>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rPr>
  </w:style>
  <w:style w:type="paragraph" w:styleId="Textonotapie">
    <w:name w:val="footnote text"/>
    <w:basedOn w:val="Normal"/>
    <w:link w:val="TextonotapieCar"/>
    <w:uiPriority w:val="99"/>
    <w:semiHidden/>
    <w:unhideWhenUsed/>
    <w:pPr>
      <w:spacing w:after="0" w:line="240" w:lineRule="auto"/>
    </w:pPr>
    <w:rPr>
      <w:sz w:val="20"/>
    </w:rPr>
  </w:style>
  <w:style w:type="character" w:customStyle="1" w:styleId="Ttulo1Car">
    <w:name w:val="Título 1 Car"/>
    <w:basedOn w:val="Fuentedeprrafopredeter"/>
    <w:link w:val="Ttulo1"/>
    <w:uiPriority w:val="9"/>
    <w:rPr>
      <w:rFonts w:asciiTheme="majorHAnsi" w:eastAsiaTheme="majorEastAsia" w:hAnsiTheme="majorHAnsi" w:cstheme="majorBidi"/>
      <w:b/>
      <w:color w:val="2E74B5" w:themeColor="accent1" w:themeShade="BF"/>
      <w:sz w:val="28"/>
    </w:rPr>
  </w:style>
  <w:style w:type="table" w:styleId="Tablanormal3">
    <w:name w:val="Plain Table 3"/>
    <w:basedOn w:val="Tablanormal"/>
    <w:uiPriority w:val="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rPr>
      <w:tblPr/>
      <w:tcPr>
        <w:tcBorders>
          <w:bottom w:val="single" w:sz="4" w:space="0" w:color="7F7F7F" w:themeColor="text1" w:themeTint="80"/>
        </w:tcBorders>
      </w:tcPr>
    </w:tblStylePr>
    <w:tblStylePr w:type="lastRow">
      <w:rPr>
        <w:b/>
        <w:caps/>
      </w:rPr>
      <w:tblPr/>
      <w:tcPr>
        <w:tcBorders>
          <w:top w:val="nil"/>
        </w:tcBorders>
      </w:tcPr>
    </w:tblStylePr>
    <w:tblStylePr w:type="firstCol">
      <w:rPr>
        <w:b/>
        <w:caps/>
      </w:rPr>
      <w:tblPr/>
      <w:tcPr>
        <w:tcBorders>
          <w:right w:val="single" w:sz="4" w:space="0" w:color="7F7F7F" w:themeColor="text1" w:themeTint="80"/>
        </w:tcBorders>
      </w:tcPr>
    </w:tblStylePr>
    <w:tblStylePr w:type="lastCol">
      <w:rPr>
        <w:b/>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3Car">
    <w:name w:val="Título 3 Car"/>
    <w:basedOn w:val="Fuentedeprrafopredeter"/>
    <w:link w:val="Ttulo3"/>
    <w:uiPriority w:val="9"/>
    <w:rPr>
      <w:rFonts w:asciiTheme="majorHAnsi" w:eastAsiaTheme="majorEastAsia" w:hAnsiTheme="majorHAnsi" w:cstheme="majorBidi"/>
      <w:b/>
      <w:color w:val="5B9BD5" w:themeColor="accent1"/>
    </w:rPr>
  </w:style>
  <w:style w:type="character" w:customStyle="1" w:styleId="PuestoCar">
    <w:name w:val="Puesto Car"/>
    <w:basedOn w:val="Fuentedeprrafopredeter"/>
    <w:link w:val="Puesto"/>
    <w:uiPriority w:val="10"/>
    <w:rPr>
      <w:rFonts w:asciiTheme="majorHAnsi" w:eastAsiaTheme="majorEastAsia" w:hAnsiTheme="majorHAnsi" w:cstheme="majorBidi"/>
      <w:color w:val="323E4F" w:themeColor="text2" w:themeShade="BF"/>
      <w:spacing w:val="5"/>
      <w:sz w:val="52"/>
    </w:rPr>
  </w:style>
  <w:style w:type="paragraph" w:styleId="Direccinsobre">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Textoennegrita">
    <w:name w:val="Strong"/>
    <w:basedOn w:val="Fuentedeprrafopredeter"/>
    <w:uiPriority w:val="22"/>
    <w:qFormat/>
    <w:rPr>
      <w:b/>
    </w:rPr>
  </w:style>
  <w:style w:type="character" w:styleId="Refdenotaalfinal">
    <w:name w:val="endnote reference"/>
    <w:basedOn w:val="Fuentedeprrafopredeter"/>
    <w:uiPriority w:val="99"/>
    <w:semiHidden/>
    <w:unhideWhenUsed/>
    <w:rPr>
      <w:vertAlign w:val="superscript"/>
    </w:rPr>
  </w:style>
  <w:style w:type="paragraph" w:styleId="Remitedesobre">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TextocomentarioCar">
    <w:name w:val="Texto comentario Car"/>
    <w:basedOn w:val="Fuentedeprrafopredeter"/>
    <w:link w:val="Textocomentario"/>
    <w:uiPriority w:val="99"/>
    <w:semiHidden/>
    <w:rPr>
      <w:sz w:val="20"/>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rPr>
  </w:style>
  <w:style w:type="character" w:customStyle="1" w:styleId="AsuntodelcomentarioCar">
    <w:name w:val="Asunto del comentario Car"/>
    <w:basedOn w:val="TextocomentarioCar"/>
    <w:link w:val="Asuntodelcomentario"/>
    <w:uiPriority w:val="99"/>
    <w:semiHidden/>
    <w:rPr>
      <w:b/>
      <w:sz w:val="20"/>
    </w:rPr>
  </w:style>
  <w:style w:type="paragraph" w:styleId="Prrafodelista">
    <w:name w:val="List Paragraph"/>
    <w:basedOn w:val="Normal"/>
    <w:uiPriority w:val="34"/>
    <w:qFormat/>
    <w:pPr>
      <w:ind w:left="720"/>
      <w:contextualSpacing/>
    </w:pPr>
  </w:style>
  <w:style w:type="character" w:customStyle="1" w:styleId="Ttulo9Car">
    <w:name w:val="Título 9 Car"/>
    <w:basedOn w:val="Fuentedeprrafopredeter"/>
    <w:link w:val="Ttulo9"/>
    <w:uiPriority w:val="9"/>
    <w:rPr>
      <w:rFonts w:asciiTheme="majorHAnsi" w:eastAsiaTheme="majorEastAsia" w:hAnsiTheme="majorHAnsi" w:cstheme="majorBidi"/>
      <w:i/>
      <w:color w:val="404040" w:themeColor="text1" w:themeTint="BF"/>
      <w:sz w:val="20"/>
    </w:rPr>
  </w:style>
  <w:style w:type="character" w:styleId="nfasisintenso">
    <w:name w:val="Intense Emphasis"/>
    <w:basedOn w:val="Fuentedeprrafopredeter"/>
    <w:uiPriority w:val="21"/>
    <w:qFormat/>
    <w:rPr>
      <w:b/>
      <w:i/>
      <w:color w:val="5B9BD5" w:themeColor="accent1"/>
    </w:rPr>
  </w:style>
  <w:style w:type="table" w:customStyle="1" w:styleId="Tablanormal41">
    <w:name w:val="Tabla normal 41"/>
    <w:basedOn w:val="Tablanormal"/>
    <w:uiPriority w:val="44"/>
    <w:pPr>
      <w:spacing w:after="0" w:line="240" w:lineRule="auto"/>
    </w:pPr>
    <w:rPr>
      <w:rFonts w:ascii="Calibri" w:eastAsia="Calibri" w:hAnsi="Calibri" w:cs="Times New Roman"/>
      <w:sz w:val="20"/>
      <w:lang w:eastAsia="es-ES"/>
    </w:r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character" w:customStyle="1" w:styleId="Ttulo6Car">
    <w:name w:val="Título 6 Car"/>
    <w:basedOn w:val="Fuentedeprrafopredeter"/>
    <w:link w:val="Ttulo6"/>
    <w:uiPriority w:val="9"/>
    <w:rPr>
      <w:rFonts w:asciiTheme="majorHAnsi" w:eastAsiaTheme="majorEastAsia" w:hAnsiTheme="majorHAnsi" w:cstheme="majorBidi"/>
      <w:i/>
      <w:color w:val="1F4D78" w:themeColor="accent1" w:themeShade="7F"/>
    </w:rPr>
  </w:style>
  <w:style w:type="character" w:styleId="Ttulodellibro">
    <w:name w:val="Book Title"/>
    <w:basedOn w:val="Fuentedeprrafopredeter"/>
    <w:uiPriority w:val="33"/>
    <w:qFormat/>
    <w:rPr>
      <w:b/>
      <w:smallCaps/>
      <w:spacing w:val="5"/>
    </w:rPr>
  </w:style>
  <w:style w:type="paragraph" w:styleId="Puesto">
    <w:name w:val="Title"/>
    <w:basedOn w:val="Normal"/>
    <w:next w:val="Normal"/>
    <w:link w:val="PuestoC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destacada">
    <w:name w:val="Intense Quote"/>
    <w:basedOn w:val="Normal"/>
    <w:next w:val="Normal"/>
    <w:link w:val="CitadestacadaCar"/>
    <w:uiPriority w:val="30"/>
    <w:qFormat/>
    <w:pPr>
      <w:pBdr>
        <w:bottom w:val="single" w:sz="4" w:space="0" w:color="5B9BD5" w:themeColor="accent1"/>
      </w:pBdr>
      <w:spacing w:before="200" w:after="280"/>
      <w:ind w:left="936" w:right="936"/>
    </w:pPr>
    <w:rPr>
      <w:b/>
      <w:i/>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46/annurev-clinpsy-072319-0242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bul0000322" TargetMode="External"/><Relationship Id="rId5" Type="http://schemas.openxmlformats.org/officeDocument/2006/relationships/hyperlink" Target="https://doi.org/10.12804/revistas.urosario.edu.co/apl/a.6628" TargetMode="External"/><Relationship Id="rId4" Type="http://schemas.openxmlformats.org/officeDocument/2006/relationships/hyperlink" Target="https://doi.org/10.33881/2027-1786.rip.5109"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1</Pages>
  <Words>6833</Words>
  <Characters>37585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Yaser</dc:creator>
  <cp:keywords/>
  <dc:description/>
  <cp:lastModifiedBy>Yaser</cp:lastModifiedBy>
  <cp:revision>207</cp:revision>
  <dcterms:created xsi:type="dcterms:W3CDTF">2021-09-24T13:39:00Z</dcterms:created>
  <dcterms:modified xsi:type="dcterms:W3CDTF">2022-07-13T22:23:00Z</dcterms:modified>
</cp:coreProperties>
</file>