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i w:val="1"/>
          <w:sz w:val="24"/>
          <w:szCs w:val="24"/>
          <w:rtl w:val="0"/>
        </w:rPr>
        <w:t xml:space="preserve">juda humanitária em campos precários: reflexos nas relações interpessoais de refugiados</w:t>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4">
      <w:pPr>
        <w:widowControl w:val="0"/>
        <w:spacing w:line="360" w:lineRule="auto"/>
        <w:ind w:left="44.604339599609375" w:right="-10.9814453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Atualmente</w:t>
      </w:r>
      <w:r w:rsidDel="00000000" w:rsidR="00000000" w:rsidRPr="00000000">
        <w:rPr>
          <w:rFonts w:ascii="Times New Roman" w:cs="Times New Roman" w:eastAsia="Times New Roman" w:hAnsi="Times New Roman"/>
          <w:sz w:val="24"/>
          <w:szCs w:val="24"/>
          <w:rtl w:val="0"/>
        </w:rPr>
        <w:t xml:space="preserve">, mais de 25 milhões de pessoas são reconhecidas como refugiadas por algum país, normalmente subdesenvolvido ou em desenvolvimento. Muitas dessas pessoas vivem em campos ou arranjos análogos, onde predominam ações ditas de “ajuda humanitária”. Nos últimos anos, atenção especial tem sido dada à “saúde mental e apoio psicossocial” (SMAPS) no âmbito desta ajuda. Este artigo deriva de uma tese que investigou a percepção de dez prestadores desta ajuda a respeito de seus reflexos nas relações interpessoais de refugiados nos campos. Para tanto, além de uma revisão de literatura sobre o tema, foram realizadas dez entrevistas episódicas à distância, respeitando os princípios éticos da Declaração de Helsinki (2013). As entrevistas foram posteriormente traduzidas livremente para a análise temática e posterior discussão à luz dos aportes teóricos de Robert Hinde, nos estudos das relações interpessoais em Psicologia, e de Axel Honneth em sua teoria do reconhecimento baseada no pensamento hegeliano — o qual dialoga com a dialética das relações interpessoais da teoria de Hinde. Espera-se aqui propiciar ferramentas para a análise dos modos pelos quais se presta a ajuda humanitária, bem como seus desafios nos campos precários onde por vezes ocorrem.</w:t>
      </w:r>
    </w:p>
    <w:p w:rsidR="00000000" w:rsidDel="00000000" w:rsidP="00000000" w:rsidRDefault="00000000" w:rsidRPr="00000000" w14:paraId="00000005">
      <w:pPr>
        <w:widowControl w:val="0"/>
        <w:spacing w:line="360" w:lineRule="auto"/>
        <w:ind w:left="0" w:right="-9.246826171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Ajuda humanitária, Campos de refugiados, Refúgio, Relações Interpessoais, Reconhecimento</w:t>
      </w:r>
    </w:p>
    <w:p w:rsidR="00000000" w:rsidDel="00000000" w:rsidP="00000000" w:rsidRDefault="00000000" w:rsidRPr="00000000" w14:paraId="00000006">
      <w:pPr>
        <w:widowControl w:val="0"/>
        <w:spacing w:line="360" w:lineRule="auto"/>
        <w:ind w:left="55.875091552734375" w:right="-9.2468261718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there are over 25 million people who are recognized as refugees by some country, usually underdeveloped or developing. Many people live in so-called camps or arrangements, where the “humanitarian aid” actions predominate. In recent years, special attention has been paid to “mental health and psychosocial support” (MHPSS) within the scope of this aid. This article derives from a thesis that investigated the perception of ten service providers of such an aid and its reflexes upon the interpersonal relations of refugees within the camps and similar arrangements. In addition to a literature review on the subject, ten episodic remote interviews were carried out, respecting the Helsinki Declaration’s ethical principles (2013). The interviews were later freely translated for a thematic analysis and further discussions in the light of Hinde's theoretical contributions for the studies of interpersonal relationships in Psychology, as well as of Honneth’s theory of recognition based on the Hegelian thought — which suits the interpersonal relations dialectic of Hinde's theory. It is hoped here to provide tools for the analysis of the ways in which humanitarian aid is provided, along with its main challenges in these precarious camps where they occur sometimes.</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Humanitarian Aid, Interpersonal Relationships, Recognition, Refugee camps, Refugeeness</w:t>
      </w:r>
    </w:p>
    <w:p w:rsidR="00000000" w:rsidDel="00000000" w:rsidP="00000000" w:rsidRDefault="00000000" w:rsidRPr="00000000" w14:paraId="0000000A">
      <w:pPr>
        <w:widowControl w:val="0"/>
        <w:spacing w:line="240" w:lineRule="auto"/>
        <w:ind w:left="0" w:right="-9.2468261718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 tardiamente iniciado no Brasil, o debate sobre refugiados não é novo no meio internacional. No século XIX, a preocupação com a proteção aos civis em conflitos levou à criação do Comitê Internacional da Cruz Vermelha (1863), do Conselho Internacional de Enfermeiros (1899) e de vários outros atores humanitários ainda atuantes nesta seara.</w:t>
      </w:r>
    </w:p>
    <w:p w:rsidR="00000000" w:rsidDel="00000000" w:rsidP="00000000" w:rsidRDefault="00000000" w:rsidRPr="00000000" w14:paraId="000000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 Segunda Guerra, essa proteção toma corpo na </w:t>
      </w:r>
      <w:r w:rsidDel="00000000" w:rsidR="00000000" w:rsidRPr="00000000">
        <w:rPr>
          <w:rFonts w:ascii="Times New Roman" w:cs="Times New Roman" w:eastAsia="Times New Roman" w:hAnsi="Times New Roman"/>
          <w:i w:val="1"/>
          <w:sz w:val="24"/>
          <w:szCs w:val="24"/>
          <w:rtl w:val="0"/>
        </w:rPr>
        <w:t xml:space="preserve">Convenção Relativa ao Estatuto dos Refugiados</w:t>
      </w:r>
      <w:r w:rsidDel="00000000" w:rsidR="00000000" w:rsidRPr="00000000">
        <w:rPr>
          <w:rFonts w:ascii="Times New Roman" w:cs="Times New Roman" w:eastAsia="Times New Roman" w:hAnsi="Times New Roman"/>
          <w:sz w:val="24"/>
          <w:szCs w:val="24"/>
          <w:rtl w:val="0"/>
        </w:rPr>
        <w:t xml:space="preserve"> (1951) da Organização das Nações Unidas (ONU), a qual confere esse </w:t>
      </w:r>
      <w:r w:rsidDel="00000000" w:rsidR="00000000" w:rsidRPr="00000000">
        <w:rPr>
          <w:rFonts w:ascii="Times New Roman" w:cs="Times New Roman" w:eastAsia="Times New Roman" w:hAnsi="Times New Roman"/>
          <w:i w:val="1"/>
          <w:sz w:val="24"/>
          <w:szCs w:val="24"/>
          <w:rtl w:val="0"/>
        </w:rPr>
        <w:t xml:space="preserve">status</w:t>
      </w:r>
      <w:r w:rsidDel="00000000" w:rsidR="00000000" w:rsidRPr="00000000">
        <w:rPr>
          <w:rFonts w:ascii="Times New Roman" w:cs="Times New Roman" w:eastAsia="Times New Roman" w:hAnsi="Times New Roman"/>
          <w:sz w:val="24"/>
          <w:szCs w:val="24"/>
          <w:rtl w:val="0"/>
        </w:rPr>
        <w:t xml:space="preserve"> a toda pessoa que:</w:t>
      </w:r>
    </w:p>
    <w:p w:rsidR="00000000" w:rsidDel="00000000" w:rsidP="00000000" w:rsidRDefault="00000000" w:rsidRPr="00000000" w14:paraId="0000000F">
      <w:pPr>
        <w:spacing w:after="0" w:before="240" w:line="240" w:lineRule="auto"/>
        <w:ind w:left="708" w:firstLine="0"/>
        <w:jc w:val="both"/>
        <w:rPr>
          <w:rFonts w:ascii="Times New Roman" w:cs="Times New Roman" w:eastAsia="Times New Roman" w:hAnsi="Times New Roman"/>
          <w:sz w:val="24"/>
          <w:szCs w:val="24"/>
        </w:rPr>
      </w:pPr>
      <w:bookmarkStart w:colFirst="0" w:colLast="0" w:name="_4d34og8" w:id="0"/>
      <w:bookmarkEnd w:id="0"/>
      <w:r w:rsidDel="00000000" w:rsidR="00000000" w:rsidRPr="00000000">
        <w:rPr>
          <w:rFonts w:ascii="Times New Roman" w:cs="Times New Roman" w:eastAsia="Times New Roman" w:hAnsi="Times New Roman"/>
          <w:sz w:val="24"/>
          <w:szCs w:val="24"/>
          <w:rtl w:val="0"/>
        </w:rPr>
        <w:t xml:space="preserve">. . . temendo ser perseguida por motivos de raça, religião, nacionalidade, grupo social ou opiniões políticas, se encontra fora do país de sua nacionalidade e que não pode ou, em virtude desse temor, não quer valer-se da proteção desse país, ou que, se não tem nacionalidade e se encontra fora do país no qual tinha sua residência habitual. . ., não pode ou, devido ao referido temor, não quer voltar a ele (ONU, 1951, Art. 1 §2).</w:t>
      </w:r>
    </w:p>
    <w:p w:rsidR="00000000" w:rsidDel="00000000" w:rsidP="00000000" w:rsidRDefault="00000000" w:rsidRPr="00000000" w14:paraId="00000010">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geral, tais pessoas são denominadas “solicitantes de refúgio” enquanto aguardam o desfecho das suas solicitações pelos Estados, ou “deslocadas à força”, antes de impetrarem tal solicitação, e “refugiados convencionais”, quando reconhecidas nos termos dessa Convenção por algum Estado. No presente texto, são consideradas “pessoas em situação de refúgio” todas aquelas que se enquadrem em ao menos uma destas situações.</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termos estatísticos, há mais de 80 milhões de deslocados à força no mundo (consideravelmente mais do que uma década atrás, quando havia cerca de 43 milhões), dos quais cerca de um terço consiste de refugiados convencionais e aproximadamente a metade possui até os dezoito anos de idade, residindo em países ditos “subdesenvolvidos” (ACNUR, 2020). No Brasil, onde a Convenção de 1951 foi incorporada pela lei 9.474/1997, já residem mais de  62,5 mil pessoas reconhecidas como refugiadas (Junger et al, 2022). </w:t>
      </w:r>
    </w:p>
    <w:p w:rsidR="00000000" w:rsidDel="00000000" w:rsidP="00000000" w:rsidRDefault="00000000" w:rsidRPr="00000000" w14:paraId="000000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proteger essas pessoas, o ACNUR (</w:t>
      </w:r>
      <w:r w:rsidDel="00000000" w:rsidR="00000000" w:rsidRPr="00000000">
        <w:rPr>
          <w:rFonts w:ascii="Times New Roman" w:cs="Times New Roman" w:eastAsia="Times New Roman" w:hAnsi="Times New Roman"/>
          <w:i w:val="1"/>
          <w:sz w:val="24"/>
          <w:szCs w:val="24"/>
          <w:rtl w:val="0"/>
        </w:rPr>
        <w:t xml:space="preserve">site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elenca três medidas, ditas “soluções duradouras”: a) a integração ao país no qual buscam acolhida; b) o reassentamento em outro país, ou; c) o retorno voluntário ao país de origem. As estruturas temporárias, embora fora dessas soluções, ainda são muito comuns: no mundo, são estimadas ao menos cinco milhões de pessoas em campos ou arranjos análogos (ACNUR, 2020).</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termos estatísticos, embora inexista uma definição oficial, os </w:t>
      </w:r>
      <w:r w:rsidDel="00000000" w:rsidR="00000000" w:rsidRPr="00000000">
        <w:rPr>
          <w:rFonts w:ascii="Times New Roman" w:cs="Times New Roman" w:eastAsia="Times New Roman" w:hAnsi="Times New Roman"/>
          <w:i w:val="1"/>
          <w:sz w:val="24"/>
          <w:szCs w:val="24"/>
          <w:rtl w:val="0"/>
        </w:rPr>
        <w:t xml:space="preserve">campos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seriam aqueles arranjos “temporários” com “ao menos seis meses de existência e 2.500 indivíduos” (ACNUR, 2006, p. 58).</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Estes espaços, em regra, são estruturas que não oferecem qualquer solução duradoura aos seus habitantes, muitos dos quais chegam a esperar durante décadas por alguma alternativa, configurando uma </w:t>
      </w:r>
      <w:r w:rsidDel="00000000" w:rsidR="00000000" w:rsidRPr="00000000">
        <w:rPr>
          <w:rFonts w:ascii="Times New Roman" w:cs="Times New Roman" w:eastAsia="Times New Roman" w:hAnsi="Times New Roman"/>
          <w:i w:val="1"/>
          <w:sz w:val="24"/>
          <w:szCs w:val="24"/>
          <w:rtl w:val="0"/>
        </w:rPr>
        <w:t xml:space="preserve">situação de refúgio prolongado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Oficialmente, tal situação abrange populações de 25 mil ou mais refugiados que vivam no exílio por um período igual ou superior a cinco anos (ACNUR, 2004).</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Atualmente, mais de 16 milhões de pessoas vivem nestas situações (ACNUR, 2020), estando no geral à mercê dos serviços e das intervenções fornecidas por um conjunto de atores de “ajuda humanitária”. Esta ajuda, conceitualmente, abrange:</w:t>
      </w:r>
    </w:p>
    <w:p w:rsidR="00000000" w:rsidDel="00000000" w:rsidP="00000000" w:rsidRDefault="00000000" w:rsidRPr="00000000" w14:paraId="00000016">
      <w:pPr>
        <w:spacing w:after="0" w:before="240" w:line="24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o apoio material, logístico e técnico imediato visando à reconstrução ou recuperação da infraestrutura coletiva afetada e ao atendimento às necessidades básicas da população em situação de vulnerabilidade até o restabelecimento das instituições e a reabilitação da população atingida (Ramos, Donda &amp; Silva, 2017, posição 548).</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a ajuda humanitária não se volte exclusivamente para pessoas deslocadas à força ou em situação de refúgio, é notável o montante de organizações que a prestam a este público. Entre as mais de setecentas listadas pelo ACNUR como suas “parceiras” (</w:t>
      </w:r>
      <w:r w:rsidDel="00000000" w:rsidR="00000000" w:rsidRPr="00000000">
        <w:rPr>
          <w:rFonts w:ascii="Times New Roman" w:cs="Times New Roman" w:eastAsia="Times New Roman" w:hAnsi="Times New Roman"/>
          <w:i w:val="1"/>
          <w:sz w:val="24"/>
          <w:szCs w:val="24"/>
          <w:rtl w:val="0"/>
        </w:rPr>
        <w:t xml:space="preserve">partners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setenta são listadas no “setor” de saúde e, neste setor, dez organizações atuariam na “área” de saúde mental e apoio psicossocial (SMAPS).</w:t>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Conceitualmente, “saúde mental e apoio psicossocial” (SMAPS) abrange a “. . . todo tipo de apoio local ou externo cujo objetivo seja proteger ou promover o bem-estar psicossocial e/ou prevenir ou tratar o transtorno mental” (Inter-Agency Standing Committee, 2007, p. 1). Nos últimos anos, essa definição recebeu diversas críticas por sua amplitude, a qual se deveria ao fato de ter se baseado em uma “metodologia de consenso entre especialistas do campo e não necessariamente em evidências” (Gagliato, 2018, p. 94).</w:t>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década seguinte a este consenso, especificamente nas situações de refúgio e quanto à ajuda humanitária, a literatura indica que ainda há muito a se aprimorar. No seu diagnóstico organizacional, Welton-Mitchell (2013, p. 48) desvela que o ACNUR cumpriria, à época: “apenas 2 dos 8 Princípios Antares e um terço dos indicadores associados” à saúde mental e ao bem-estar de seus funcionários.</w:t>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contexto de um crescente avaliativo das ações em SMAPS, então, está situada esta pesquisa. Com o foco nas situações humanitárias em campos e arranjos análogos para as pessoas em situação de refúgio, os métodos principais são detalhados na seção que segue.</w:t>
      </w:r>
    </w:p>
    <w:p w:rsidR="00000000" w:rsidDel="00000000" w:rsidP="00000000" w:rsidRDefault="00000000" w:rsidRPr="00000000" w14:paraId="0000001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Métodos</w:t>
      </w:r>
    </w:p>
    <w:p w:rsidR="00000000" w:rsidDel="00000000" w:rsidP="00000000" w:rsidRDefault="00000000" w:rsidRPr="00000000" w14:paraId="0000001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4"/>
          <w:szCs w:val="24"/>
        </w:rPr>
      </w:pPr>
      <w:bookmarkStart w:colFirst="0" w:colLast="0" w:name="_8ebe3nbun1no" w:id="1"/>
      <w:bookmarkEnd w:id="1"/>
      <w:r w:rsidDel="00000000" w:rsidR="00000000" w:rsidRPr="00000000">
        <w:rPr>
          <w:rFonts w:ascii="Times New Roman" w:cs="Times New Roman" w:eastAsia="Times New Roman" w:hAnsi="Times New Roman"/>
          <w:sz w:val="24"/>
          <w:szCs w:val="24"/>
          <w:rtl w:val="0"/>
        </w:rPr>
        <w:t xml:space="preserve">De modo a tentar suprir algumas lacunas da literatura, este trabalho buscou entrevistar atores experientes ns temas dos campos, da ajuda humanitária e dos refugiados, com foco nas relações interpessoais destes últimos. Para tanto, foram adotados os métodos descritos abaixo.</w:t>
      </w:r>
    </w:p>
    <w:p w:rsidR="00000000" w:rsidDel="00000000" w:rsidP="00000000" w:rsidRDefault="00000000" w:rsidRPr="00000000" w14:paraId="00000020">
      <w:pPr>
        <w:spacing w:line="360" w:lineRule="auto"/>
        <w:ind w:left="0" w:firstLine="0"/>
        <w:jc w:val="both"/>
        <w:rPr>
          <w:rFonts w:ascii="Times New Roman" w:cs="Times New Roman" w:eastAsia="Times New Roman" w:hAnsi="Times New Roman"/>
          <w:sz w:val="24"/>
          <w:szCs w:val="24"/>
        </w:rPr>
      </w:pPr>
      <w:bookmarkStart w:colFirst="0" w:colLast="0" w:name="_5equ3ud2v2mx" w:id="2"/>
      <w:bookmarkEnd w:id="2"/>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Tipo de estudo</w:t>
      </w:r>
      <w:r w:rsidDel="00000000" w:rsidR="00000000" w:rsidRPr="00000000">
        <w:rPr>
          <w:rtl w:val="0"/>
        </w:rPr>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Acerca do tipo de estudo denominado “estudo de caso”, Capitão e Villemor-Amaral (2014, p. 238) afirmam que, apesar de suas limitações, este: “. . . é um meio de se fazer ciência, principalmente quando a natureza do fenômeno observado é multideterminada e interessa conhecer de modo profundo e abrangente a singularidade de uma dada a situação”. </w:t>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Nesta pesquisa, o fenômeno observado é de natureza multideterminada, uma vez que os </w:t>
      </w:r>
      <w:r w:rsidDel="00000000" w:rsidR="00000000" w:rsidRPr="00000000">
        <w:rPr>
          <w:rFonts w:ascii="Times New Roman" w:cs="Times New Roman" w:eastAsia="Times New Roman" w:hAnsi="Times New Roman"/>
          <w:i w:val="1"/>
          <w:color w:val="111111"/>
          <w:sz w:val="24"/>
          <w:szCs w:val="24"/>
          <w:rtl w:val="0"/>
        </w:rPr>
        <w:t xml:space="preserve">participantes</w:t>
      </w:r>
      <w:r w:rsidDel="00000000" w:rsidR="00000000" w:rsidRPr="00000000">
        <w:rPr>
          <w:rFonts w:ascii="Times New Roman" w:cs="Times New Roman" w:eastAsia="Times New Roman" w:hAnsi="Times New Roman"/>
          <w:color w:val="111111"/>
          <w:sz w:val="24"/>
          <w:szCs w:val="24"/>
          <w:rtl w:val="0"/>
        </w:rPr>
        <w:t xml:space="preserve"> possuem históricos diversos, o que se reflete na sua atuação interdisciplinar e, por fim, nos reflexos desta atuação junto aos refugiados e em suas relações interpessoais. Os limites da pesquisa deste tipo se referem a um menor grau de generalização, sendo mais indicável apontar relações entre a literatura e os casos elencados.</w:t>
      </w:r>
    </w:p>
    <w:p w:rsidR="00000000" w:rsidDel="00000000" w:rsidP="00000000" w:rsidRDefault="00000000" w:rsidRPr="00000000" w14:paraId="00000024">
      <w:pPr>
        <w:spacing w:line="360" w:lineRule="auto"/>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i w:val="1"/>
          <w:color w:val="111111"/>
          <w:sz w:val="24"/>
          <w:szCs w:val="24"/>
          <w:rtl w:val="0"/>
        </w:rPr>
        <w:t xml:space="preserve">Instrumentos de Pesquisa</w:t>
      </w:r>
      <w:r w:rsidDel="00000000" w:rsidR="00000000" w:rsidRPr="00000000">
        <w:rPr>
          <w:rtl w:val="0"/>
        </w:rPr>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 princípio, dois instrumentos de pesquisa foram elaborados: o Roteiro de Perguntas e o Termo de Consentimento Livre e Esclarecido (TCLE). Ambos foram traduzidos para os dois idiomas mais comuns na literatura (Francês e Inglês) e enviados aos participantes do estudo.</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 elaboração do roteiro baseou-se no método de entrevista episódica de Flick (2008), que tem se mostrado relevante para pesquisas sobre relações interpessoais, uma vez que permite o relato de episódios, bem como a interpretação dos fatos, conceitos e relações abstratas narradas durante as entrevistas (Flick, 2013). Importa notar que foi observada ainda a duração recomendada das entrevistas: “entre 60 e 90 minutos” (Flick, 2008, p. 125).</w:t>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Já o Termo de Consentimento Livre e Esclarecido (TCLE) trouxe em linhas gerais os objetivos e métodos da pesquisa, bem como os riscos e benefícios da participação voluntária (sem nenhuma espécie de remuneração) nas entrevistas, sendo garantida a sua recusa em participar (a qualquer tempo), a dignidade, o sigilo e a privacidade (em todos os casos). Em caso de dúvida, foram disponibilizados ainda os contatos dos pesquisadores responsáveis.</w:t>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i w:val="1"/>
          <w:color w:val="111111"/>
          <w:sz w:val="24"/>
          <w:szCs w:val="24"/>
          <w:rtl w:val="0"/>
        </w:rPr>
        <w:t xml:space="preserve">Coleta de Dados I (Convites aos Participantes)</w:t>
      </w:r>
      <w:r w:rsidDel="00000000" w:rsidR="00000000" w:rsidRPr="00000000">
        <w:rPr>
          <w:rtl w:val="0"/>
        </w:rPr>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Durante a revisão de literatura, os contatos de pessoas autoras com atuação em campos foram tabulados e, posteriormente, convidados para participar desta pesquisa. As primeiras tentativas de convite, realizadas a fim de se testar a responsividade dessa forma de contato, retornaram duas respostas afirmativas, sendo ambas entrevistadas ainda em março de 2020. Em razão, no entanto, da pandemia, foi sentida a necessidade de mudar o foco para incluir os tempos pandêmicos, de modo que estas primeiras entrevistas serviram de teste para adequar o roteiro de perguntas, tal como recomendado por Flick (2008).</w:t>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Passado cerca de um ano e meio, ainda no período pandêmico, foram enfim retomados os contatos com os pesquisadores. Assim, entre outubro de 2021 e março de 2022, todos os convites foram enviados via correspondência eletrônica com os TCLEs anexos e redigidos no idioma que potenciais participantes publicaram seus estudos (normalmente, a língua inglesa). Destes convidados, dez foram de fato entrevistados, sendo os “participantes” desta pesquisa.</w:t>
      </w:r>
    </w:p>
    <w:p w:rsidR="00000000" w:rsidDel="00000000" w:rsidP="00000000" w:rsidRDefault="00000000" w:rsidRPr="00000000" w14:paraId="0000002D">
      <w:pPr>
        <w:spacing w:line="360" w:lineRule="auto"/>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i w:val="1"/>
          <w:color w:val="111111"/>
          <w:sz w:val="24"/>
          <w:szCs w:val="24"/>
          <w:rtl w:val="0"/>
        </w:rPr>
        <w:t xml:space="preserve">Participantes</w:t>
      </w:r>
      <w:r w:rsidDel="00000000" w:rsidR="00000000" w:rsidRPr="00000000">
        <w:rPr>
          <w:rtl w:val="0"/>
        </w:rPr>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Diante da responsividade insatisfatória na primeira tentativa de contato (dois anos antes), às duas primeiras pessoas entrevistadas foi solicitada ainda a indicação de nomes pela técnica de “bola de neve” para ampliar a amostra. Com isso, dos dez participantes, sete foram acessados diretamente pelos pesquisadores responsáveis, e três pelo intermédio de terceiros.</w:t>
      </w:r>
    </w:p>
    <w:p w:rsidR="00000000" w:rsidDel="00000000" w:rsidP="00000000" w:rsidRDefault="00000000" w:rsidRPr="00000000" w14:paraId="00000030">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Dessa forma, a amostra de participantes se configura “intencional” ou “teórica” (Flick, 2013, p. 235). Apesar do baixo grau de representatividade desse tipo amostral, sua diversidade tende a contribuir bastante com a teorização dos resultados. Note-se, ainda, que a fim de maximizar o seu anonimato e preservar o sigilo das fontes, os dez participantes do estudo foram identificados por números (de 1 a 10) nesta pesquisa.</w:t>
      </w:r>
    </w:p>
    <w:p w:rsidR="00000000" w:rsidDel="00000000" w:rsidP="00000000" w:rsidRDefault="00000000" w:rsidRPr="00000000" w14:paraId="00000031">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atuação nos campos e em arranjos análogos para refugiados, os participantes tiveram experiências diversas. Ao todo, cinco participantes atuaram em múltiplos campos na última década, geralmente prestando alguma consultoria para organizações humanitárias de grande porte. Destes, três não permaneceram “muito tempo” nestes espaços; uma participante esteve por mais de três anos em um deles; e outro passou cerca de seis meses em um só local.</w:t>
      </w:r>
    </w:p>
    <w:p w:rsidR="00000000" w:rsidDel="00000000" w:rsidP="00000000" w:rsidRDefault="00000000" w:rsidRPr="00000000" w14:paraId="00000032">
      <w:pPr>
        <w:widowControl w:val="0"/>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4"/>
          <w:szCs w:val="24"/>
          <w:rtl w:val="0"/>
        </w:rPr>
        <w:t xml:space="preserve">Dos cinco participantes que não estiveram em múltiplos campos, três estiveram uma única vez em campo, sendo: uma atuação </w:t>
      </w:r>
      <w:r w:rsidDel="00000000" w:rsidR="00000000" w:rsidRPr="00000000">
        <w:rPr>
          <w:rFonts w:ascii="Times New Roman" w:cs="Times New Roman" w:eastAsia="Times New Roman" w:hAnsi="Times New Roman"/>
          <w:i w:val="1"/>
          <w:sz w:val="24"/>
          <w:szCs w:val="24"/>
          <w:rtl w:val="0"/>
        </w:rPr>
        <w:t xml:space="preserve">in loco </w:t>
      </w:r>
      <w:r w:rsidDel="00000000" w:rsidR="00000000" w:rsidRPr="00000000">
        <w:rPr>
          <w:rFonts w:ascii="Times New Roman" w:cs="Times New Roman" w:eastAsia="Times New Roman" w:hAnsi="Times New Roman"/>
          <w:sz w:val="24"/>
          <w:szCs w:val="24"/>
          <w:rtl w:val="0"/>
        </w:rPr>
        <w:t xml:space="preserve">por cerca de um ano, voluntariamente e sem relação com organizações humanitárias; uma visita breve para pesquisa, sem atuação </w:t>
      </w:r>
      <w:r w:rsidDel="00000000" w:rsidR="00000000" w:rsidRPr="00000000">
        <w:rPr>
          <w:rFonts w:ascii="Times New Roman" w:cs="Times New Roman" w:eastAsia="Times New Roman" w:hAnsi="Times New Roman"/>
          <w:i w:val="1"/>
          <w:sz w:val="24"/>
          <w:szCs w:val="24"/>
          <w:rtl w:val="0"/>
        </w:rPr>
        <w:t xml:space="preserve">in loco</w:t>
      </w:r>
      <w:r w:rsidDel="00000000" w:rsidR="00000000" w:rsidRPr="00000000">
        <w:rPr>
          <w:rFonts w:ascii="Times New Roman" w:cs="Times New Roman" w:eastAsia="Times New Roman" w:hAnsi="Times New Roman"/>
          <w:sz w:val="24"/>
          <w:szCs w:val="24"/>
          <w:rtl w:val="0"/>
        </w:rPr>
        <w:t xml:space="preserve">; e um voluntariado em vários campos na mesma região, por pouco tempo, em uma ocasião; uma atuação com refugiados no meio urbano, advindos de campos; e uma experiência de coordenação à distância de uma equipe de voluntários atuantes em um abrigo provisório.</w:t>
      </w:r>
      <w:r w:rsidDel="00000000" w:rsidR="00000000" w:rsidRPr="00000000">
        <w:rPr>
          <w:rtl w:val="0"/>
        </w:rPr>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Quanto ao gênero, quatro se identificavam com o feminino e seis com o masculino. Quanto ao pertencimento étnico, sete eram caucasianas e três consideradas não-brancas, sendo seis de origem europeia, uma latino-americana, uma asiática e uma árabe. Todos eram adultos entre os trinta e sessenta anos de idade à época das entrevistas, descritas na próxima seção.</w:t>
      </w:r>
    </w:p>
    <w:p w:rsidR="00000000" w:rsidDel="00000000" w:rsidP="00000000" w:rsidRDefault="00000000" w:rsidRPr="00000000" w14:paraId="00000034">
      <w:pPr>
        <w:spacing w:line="360" w:lineRule="auto"/>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i w:val="1"/>
          <w:color w:val="111111"/>
          <w:sz w:val="24"/>
          <w:szCs w:val="24"/>
          <w:rtl w:val="0"/>
        </w:rPr>
        <w:t xml:space="preserve">Coleta de Dados II (Entrevistas)</w:t>
      </w:r>
      <w:r w:rsidDel="00000000" w:rsidR="00000000" w:rsidRPr="00000000">
        <w:rPr>
          <w:rtl w:val="0"/>
        </w:rPr>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Na vigência da pandemia (vide </w:t>
      </w:r>
      <w:r w:rsidDel="00000000" w:rsidR="00000000" w:rsidRPr="00000000">
        <w:rPr>
          <w:rFonts w:ascii="Times New Roman" w:cs="Times New Roman" w:eastAsia="Times New Roman" w:hAnsi="Times New Roman"/>
          <w:i w:val="1"/>
          <w:color w:val="111111"/>
          <w:sz w:val="24"/>
          <w:szCs w:val="24"/>
          <w:rtl w:val="0"/>
        </w:rPr>
        <w:t xml:space="preserve">Princípios Éticos</w:t>
      </w:r>
      <w:r w:rsidDel="00000000" w:rsidR="00000000" w:rsidRPr="00000000">
        <w:rPr>
          <w:rFonts w:ascii="Times New Roman" w:cs="Times New Roman" w:eastAsia="Times New Roman" w:hAnsi="Times New Roman"/>
          <w:color w:val="111111"/>
          <w:sz w:val="24"/>
          <w:szCs w:val="24"/>
          <w:rtl w:val="0"/>
        </w:rPr>
        <w:t xml:space="preserve">), as entrevistas foram realizadas </w:t>
      </w:r>
      <w:r w:rsidDel="00000000" w:rsidR="00000000" w:rsidRPr="00000000">
        <w:rPr>
          <w:rFonts w:ascii="Times New Roman" w:cs="Times New Roman" w:eastAsia="Times New Roman" w:hAnsi="Times New Roman"/>
          <w:i w:val="1"/>
          <w:color w:val="111111"/>
          <w:sz w:val="24"/>
          <w:szCs w:val="24"/>
          <w:rtl w:val="0"/>
        </w:rPr>
        <w:t xml:space="preserve">online</w:t>
      </w:r>
      <w:r w:rsidDel="00000000" w:rsidR="00000000" w:rsidRPr="00000000">
        <w:rPr>
          <w:rFonts w:ascii="Times New Roman" w:cs="Times New Roman" w:eastAsia="Times New Roman" w:hAnsi="Times New Roman"/>
          <w:color w:val="111111"/>
          <w:sz w:val="24"/>
          <w:szCs w:val="24"/>
          <w:rtl w:val="0"/>
        </w:rPr>
        <w:t xml:space="preserve">, através da plataforma Google Meet em sua versão paga (para permitir a gravação simultânea e garantir a transcrição posterior dos dados), e somente após a manifestação de concordância com o TCLE. O áudio foi transcrito no idioma original e livremente traduzido, quando necessário, pelos participantes, sem o auxílio de terceiros.</w:t>
      </w:r>
    </w:p>
    <w:p w:rsidR="00000000" w:rsidDel="00000000" w:rsidP="00000000" w:rsidRDefault="00000000" w:rsidRPr="00000000" w14:paraId="00000037">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Ao todo, nove entrevistas foram realizadas em Inglês e uma em Português. Todo o material, já transcrito e classificado, foi analisado sem remissões aos trechos no original, para melhor preservar o sigilo das fontes. Além disso, na transcrição, todos os nomes (inclusive de lugares e organizações) foram omitidos, sendo aos participantes atribuídos números de 1 a 10, como único traço “identificador” dos trechos entre aspas.</w:t>
      </w:r>
    </w:p>
    <w:p w:rsidR="00000000" w:rsidDel="00000000" w:rsidP="00000000" w:rsidRDefault="00000000" w:rsidRPr="00000000" w14:paraId="00000038">
      <w:pPr>
        <w:widowControl w:val="0"/>
        <w:spacing w:before="10" w:line="360" w:lineRule="auto"/>
        <w:ind w:right="118"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todas as entrevistas foram transcritas para a análise de modo anônimo, omitindo ainda o local de pertencimento das pessoas participantes, ao qual somente se refere em termos genéricos, à macrorregião respectiva (Europa, América do Norte, Oriente Médio, ou África), quando necessário, e sempre observando certos princípios éticos.</w:t>
      </w:r>
    </w:p>
    <w:p w:rsidR="00000000" w:rsidDel="00000000" w:rsidP="00000000" w:rsidRDefault="00000000" w:rsidRPr="00000000" w14:paraId="00000039">
      <w:pPr>
        <w:widowControl w:val="0"/>
        <w:spacing w:before="10" w:line="360" w:lineRule="auto"/>
        <w:ind w:right="118"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i w:val="1"/>
          <w:color w:val="111111"/>
          <w:sz w:val="24"/>
          <w:szCs w:val="24"/>
        </w:rPr>
      </w:pPr>
      <w:r w:rsidDel="00000000" w:rsidR="00000000" w:rsidRPr="00000000">
        <w:rPr>
          <w:rFonts w:ascii="Times New Roman" w:cs="Times New Roman" w:eastAsia="Times New Roman" w:hAnsi="Times New Roman"/>
          <w:i w:val="1"/>
          <w:color w:val="111111"/>
          <w:sz w:val="24"/>
          <w:szCs w:val="24"/>
          <w:rtl w:val="0"/>
        </w:rPr>
        <w:t xml:space="preserve">Princípios Éticos</w:t>
      </w:r>
    </w:p>
    <w:p w:rsidR="00000000" w:rsidDel="00000000" w:rsidP="00000000" w:rsidRDefault="00000000" w:rsidRPr="00000000" w14:paraId="0000003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pesquisa, foram observados o dever de se proteger a “. . . vida, saúde, dignidade, integridade, direito à autodeterminação, privacidade e confidencialidade das informações” dos participantes em todas as etapas, como estabelecido na Declaração de Helsinki (Associação Médica Mundial, 2013). Para tanto, algumas medidas foram tomadas.</w:t>
      </w:r>
    </w:p>
    <w:p w:rsidR="00000000" w:rsidDel="00000000" w:rsidP="00000000" w:rsidRDefault="00000000" w:rsidRPr="00000000" w14:paraId="0000003C">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4"/>
          <w:szCs w:val="24"/>
          <w:rtl w:val="0"/>
        </w:rPr>
        <w:t xml:space="preserve">Primordialmente, nas coletas de dados, foram priorizados o sigilo e a compreensão dos termos da pesquisa (contidos no TCLE). Para tanto</w:t>
      </w:r>
      <w:r w:rsidDel="00000000" w:rsidR="00000000" w:rsidRPr="00000000">
        <w:rPr>
          <w:rFonts w:ascii="Times New Roman" w:cs="Times New Roman" w:eastAsia="Times New Roman" w:hAnsi="Times New Roman"/>
          <w:color w:val="111111"/>
          <w:sz w:val="24"/>
          <w:szCs w:val="24"/>
          <w:rtl w:val="0"/>
        </w:rPr>
        <w:t xml:space="preserve">, sob a atual pandemia, foi priorizado o “melhor interesse do participante” (Comissão Nacional de Ética em Pesquisa, 2020). Assim, não apenas as coletas de dados foram virtuais, como as garantias do retorno aos participantes, explicitadas no TCLE, foram pensadas para este ambiente.</w:t>
      </w:r>
    </w:p>
    <w:p w:rsidR="00000000" w:rsidDel="00000000" w:rsidP="00000000" w:rsidRDefault="00000000" w:rsidRPr="00000000" w14:paraId="0000003D">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Na etapa da transcrição, o conteúdo das entrevistas foi generificado, omitindo ainda o local de pertencimento das pessoas participantes, ao qual se refere em termos genéricos à sua macrorregião (Europa, América do Norte, Oriente Médio, ou África), e apenas para descrever a amostra. Por fim, trechos desidentificados foram reproduzidos no texto final para fins de se proceder à análise temática, detalhada na seção que segue.</w:t>
      </w:r>
    </w:p>
    <w:p w:rsidR="00000000" w:rsidDel="00000000" w:rsidP="00000000" w:rsidRDefault="00000000" w:rsidRPr="00000000" w14:paraId="0000003E">
      <w:pPr>
        <w:spacing w:line="360" w:lineRule="auto"/>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i w:val="1"/>
          <w:color w:val="111111"/>
          <w:sz w:val="24"/>
          <w:szCs w:val="24"/>
        </w:rPr>
      </w:pPr>
      <w:r w:rsidDel="00000000" w:rsidR="00000000" w:rsidRPr="00000000">
        <w:rPr>
          <w:rFonts w:ascii="Times New Roman" w:cs="Times New Roman" w:eastAsia="Times New Roman" w:hAnsi="Times New Roman"/>
          <w:i w:val="1"/>
          <w:color w:val="111111"/>
          <w:sz w:val="24"/>
          <w:szCs w:val="24"/>
          <w:rtl w:val="0"/>
        </w:rPr>
        <w:t xml:space="preserve">Análise e Discussão dos Dados</w:t>
      </w:r>
    </w:p>
    <w:p w:rsidR="00000000" w:rsidDel="00000000" w:rsidP="00000000" w:rsidRDefault="00000000" w:rsidRPr="00000000" w14:paraId="00000040">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Finalizadas as entrevistas, os dados transcritos foram revistos para nortear a criação dos temas ("subtítulos") e, assim, proceder à classificação e posterior análise temática dos materiais coletados. Braun e Clarke (2006, p. 6) indicam este método analítico para se “. . . identificar, analisar e relatar padrões (temas) dentro dos dados” de diversas pesquisas.</w:t>
      </w:r>
      <w:r w:rsidDel="00000000" w:rsidR="00000000" w:rsidRPr="00000000">
        <w:rPr>
          <w:rFonts w:ascii="Times New Roman" w:cs="Times New Roman" w:eastAsia="Times New Roman" w:hAnsi="Times New Roman"/>
          <w:color w:val="111111"/>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41">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Para se identificar esses “padrões”, as transcrições, aleatoriamente numeradas de 1 a 10, foram editadas de modo a não só anonimizar, como ainda para identificar os trechos que melhor sintetizavam as respostas a cada questão. Reunidos todos os trechos, sob numeração sequencial, na mesma questão de roteiro, foi possível proceder à sua descrição nos capítulos. Para a parte da discussão, então, foram pensados os temas propriamente ditos.</w:t>
      </w:r>
    </w:p>
    <w:p w:rsidR="00000000" w:rsidDel="00000000" w:rsidP="00000000" w:rsidRDefault="00000000" w:rsidRPr="00000000" w14:paraId="00000042">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Propositalmente diferentes das questões do roteiro — com as quais não devem coincidir (Braun &amp; Clarke, 2006, p. 25) —, os temas do segundo e terceiro capítulos foram pensados para facilitar a discussão de aspectos insuficientemente trazidos pelos participantes, à luz do marco teórico. Entre estes, há os aspectos conceituais, como sobre comportamentos de “ajuda” e “altruísmo” e sobre o “estigma” a eles relacionado; e ainda aspectos hipotéticos, como sobre as causas e os efeitos dessas ações nas relações interpessoais dos refugiados.</w:t>
      </w:r>
    </w:p>
    <w:p w:rsidR="00000000" w:rsidDel="00000000" w:rsidP="00000000" w:rsidRDefault="00000000" w:rsidRPr="00000000" w14:paraId="00000043">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 análise priorizou, desta forma, os temas “latentes” ao invés dos “explícitos” trazidos pelos participantes (Braun &amp; Clarke, 2006, p. 13). Tendo em vista a variedade de experiências e olhares, porém os decorrentes limites à generalização dos dados não prejudicam com isso as potenciais contribuições às pesquisas sobre esses temas.</w:t>
      </w:r>
    </w:p>
    <w:p w:rsidR="00000000" w:rsidDel="00000000" w:rsidP="00000000" w:rsidRDefault="00000000" w:rsidRPr="00000000" w14:paraId="00000044">
      <w:pPr>
        <w:spacing w:line="360" w:lineRule="auto"/>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i w:val="1"/>
          <w:color w:val="111111"/>
          <w:sz w:val="24"/>
          <w:szCs w:val="24"/>
          <w:rtl w:val="0"/>
        </w:rPr>
        <w:t xml:space="preserve">Limites e Potencialidades</w:t>
      </w:r>
      <w:r w:rsidDel="00000000" w:rsidR="00000000" w:rsidRPr="00000000">
        <w:rPr>
          <w:rtl w:val="0"/>
        </w:rPr>
      </w:r>
    </w:p>
    <w:p w:rsidR="00000000" w:rsidDel="00000000" w:rsidP="00000000" w:rsidRDefault="00000000" w:rsidRPr="00000000" w14:paraId="00000046">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Em razão de limites circunstanciais e conjunturais, o desenho da pesquisa não foi linear, de modo que a generalização dos resultados encontra-se bastante limitada ao contexto específico no qual a presente pesquisa foi conduzida. Desse modo, cumpre detalhar alguns dos principais limites e de que modo foi buscada a sua ressignificação nesta pesquisa.</w:t>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Em primeiro lugar, houve a pandemia de Covid-19, durante a qual todos os modos de tradicionais produção de saberes foram, de uma vez, suspensos e revistos. “Contratempos” que impuseram a necessidade de revisitar a bibliografia enquanto se produzia a seu respeito, para buscar fazer sentido acerca do que acontecia com o tema da pesquisa.</w:t>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Em segundo, o advento desta emergência sanitária, declarada “pandêmica”, inseriu o tema da emergência humanitária na pesquisa de forma muito imprevista. Apesar de que não há situação humanitária, a princípio, previsível ou evitável, a sua experiência alterou o próprio objeto de pesquisa, no qual se incluíram, em última instância, os próprios pesquisadores.</w:t>
      </w:r>
    </w:p>
    <w:p w:rsidR="00000000" w:rsidDel="00000000" w:rsidP="00000000" w:rsidRDefault="00000000" w:rsidRPr="00000000" w14:paraId="00000049">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As potencialidades da pesquisa assim estruturada, em suma, consistem na riqueza das múltiplas perspectivas reunidas a fim de discorrer sobre os temas que comparecem nos relatos dos participantes à luz do marco teórico. Para melhor nortear sua discussão, foi escolhido um marco teórico na intersecção das áreas da Psicologia e da Filosofia do Direito.</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Style w:val="Heading1"/>
        <w:tabs>
          <w:tab w:val="right" w:pos="9072.511811023624"/>
        </w:tabs>
        <w:spacing w:after="0" w:before="60" w:line="360" w:lineRule="auto"/>
        <w:ind w:right="-96"/>
        <w:jc w:val="center"/>
        <w:rPr>
          <w:rFonts w:ascii="Times New Roman" w:cs="Times New Roman" w:eastAsia="Times New Roman" w:hAnsi="Times New Roman"/>
          <w:b w:val="1"/>
          <w:sz w:val="24"/>
          <w:szCs w:val="24"/>
        </w:rPr>
      </w:pPr>
      <w:bookmarkStart w:colFirst="0" w:colLast="0" w:name="_f4zn68ww8cjn" w:id="3"/>
      <w:bookmarkEnd w:id="3"/>
      <w:r w:rsidDel="00000000" w:rsidR="00000000" w:rsidRPr="00000000">
        <w:rPr>
          <w:rFonts w:ascii="Times New Roman" w:cs="Times New Roman" w:eastAsia="Times New Roman" w:hAnsi="Times New Roman"/>
          <w:b w:val="1"/>
          <w:sz w:val="24"/>
          <w:szCs w:val="24"/>
          <w:rtl w:val="0"/>
        </w:rPr>
        <w:t xml:space="preserve">Marco Teórico</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parte da premissa de que as ações humanitárias se refletem de vários modos nas relações interpessoais dos refugiados nos campos. Assim, o referencial para a análise destes reflexos é interdisciplinar: por um lado, traz Robert Hinde que, em Psicologia, contextualiza essas relações em um amplo sistema, propondo uma visão dialética das mesmas; pelo outro, aborda ideias de Axel Honneth, para quem, desde o Direito, há que se considerar as questões éticas centrais para as relações interpessoais na sua teoria do reconhecimento.</w:t>
      </w:r>
    </w:p>
    <w:p w:rsidR="00000000" w:rsidDel="00000000" w:rsidP="00000000" w:rsidRDefault="00000000" w:rsidRPr="00000000" w14:paraId="0000004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Hinde (1997) buscou organizar uma ciência dos relacionamentos a partir de princípios da Etologia, destacando a complexidade das relações interpessoais e a necessidade de integrar os diferentes saberes sobre o tema. Nesse sentido, Hinde (1987, 1997) diferencia as interações dos relacionamentos: estes reúnem uma série de interações ao longo do tempo entre sujeitos que afetam e são afetados por encontros anteriores e pela expectativa de encontros futuros, enquanto aquelas não se estendemriam no tempo, impactando menos as expectativas futuras.</w:t>
      </w:r>
    </w:p>
    <w:p w:rsidR="00000000" w:rsidDel="00000000" w:rsidP="00000000" w:rsidRDefault="00000000" w:rsidRPr="00000000" w14:paraId="0000004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Outra marca de sua abordagem é a importância da descrição dos relacionamentos como ponto de partida para sua compreensão, especialmente quanto ao conteúdo (o que os indivíduos fazem juntos) e a qualidade (como o fazem) desses relacionamentos. Enquanto o conteúdo do relacionamento se refere ao que os indivíduos fazem quando estão juntos, a sua diversidade diz respeito ao número de coisas que podem ser feitas por eles nessas.</w:t>
      </w:r>
    </w:p>
    <w:p w:rsidR="00000000" w:rsidDel="00000000" w:rsidP="00000000" w:rsidRDefault="00000000" w:rsidRPr="00000000" w14:paraId="0000005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Hinde (2007, p. 245) afirma que sua teoria se difere daquela de muitos “filósofos morais” cujo “foco” da análise seria “como as pessoas devem se comportar”, enquanto o epicentro da sua análise seria na comparação entre “como elas acham que devem se comportar e como realmente se comportam”.</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Para Hinde (1997), os relacionamentos estão em relação dialética constante com diferentes grupos ou redes, como no caso da família, do ambiente escolar, e outros, de forma sobreposta ou não. </w:t>
      </w:r>
    </w:p>
    <w:p w:rsidR="00000000" w:rsidDel="00000000" w:rsidP="00000000" w:rsidRDefault="00000000" w:rsidRPr="00000000" w14:paraId="00000051">
      <w:pPr>
        <w:spacing w:line="360" w:lineRule="auto"/>
        <w:ind w:firstLine="720"/>
        <w:jc w:val="both"/>
        <w:rPr>
          <w:rFonts w:ascii="Times New Roman" w:cs="Times New Roman" w:eastAsia="Times New Roman" w:hAnsi="Times New Roman"/>
          <w:sz w:val="24"/>
          <w:szCs w:val="24"/>
        </w:rPr>
      </w:pPr>
      <w:bookmarkStart w:colFirst="0" w:colLast="0" w:name="_2xcytpi" w:id="4"/>
      <w:bookmarkEnd w:id="4"/>
      <w:r w:rsidDel="00000000" w:rsidR="00000000" w:rsidRPr="00000000">
        <w:rPr>
          <w:rFonts w:ascii="Times New Roman" w:cs="Times New Roman" w:eastAsia="Times New Roman" w:hAnsi="Times New Roman"/>
          <w:sz w:val="24"/>
          <w:szCs w:val="24"/>
          <w:rtl w:val="0"/>
        </w:rPr>
        <w:t xml:space="preserve">Nesse sentido, será destacada a colaboração da teoria do reconhecimento, do teórico Axel Honneth (2003), que esquematiza a dialética hegeliana de etapas para o reconhecimento social (indivíduo, pessoa e sujeito de direitos) e, com base nesta, empreende uma “atualização sistemática” com o objetivo de desvelar a “estrutura das relações sociais de reconhecimento”. Esta estrutura possuiria três “modos” distintos (dedicação emotiva, respeito cognitivo e estima social), cada qual com formas de desrespeito ou reconhecimento específicas e embasadas, portanto, nos relacionamentos interpessoais, sobretudo em grupos e entre grupos.</w:t>
      </w:r>
    </w:p>
    <w:p w:rsidR="00000000" w:rsidDel="00000000" w:rsidP="00000000" w:rsidRDefault="00000000" w:rsidRPr="00000000" w14:paraId="00000052">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primeiro nível (da “integridade física”), por exemplo, o desrespeito prejudicaria a relação da pessoa com sua imagem corpórea do </w:t>
      </w:r>
      <w:r w:rsidDel="00000000" w:rsidR="00000000" w:rsidRPr="00000000">
        <w:rPr>
          <w:rFonts w:ascii="Times New Roman" w:cs="Times New Roman" w:eastAsia="Times New Roman" w:hAnsi="Times New Roman"/>
          <w:i w:val="1"/>
          <w:sz w:val="24"/>
          <w:szCs w:val="24"/>
          <w:rtl w:val="0"/>
        </w:rPr>
        <w:t xml:space="preserve">self</w:t>
      </w:r>
      <w:r w:rsidDel="00000000" w:rsidR="00000000" w:rsidRPr="00000000">
        <w:rPr>
          <w:rFonts w:ascii="Times New Roman" w:cs="Times New Roman" w:eastAsia="Times New Roman" w:hAnsi="Times New Roman"/>
          <w:sz w:val="24"/>
          <w:szCs w:val="24"/>
          <w:rtl w:val="0"/>
        </w:rPr>
        <w:t xml:space="preserve">, enquanto no segundo sua “morte social” seria causada pelo desrespeito no acesso desigual a direitos, afetando seu sentido normativo de </w:t>
      </w:r>
      <w:r w:rsidDel="00000000" w:rsidR="00000000" w:rsidRPr="00000000">
        <w:rPr>
          <w:rFonts w:ascii="Times New Roman" w:cs="Times New Roman" w:eastAsia="Times New Roman" w:hAnsi="Times New Roman"/>
          <w:i w:val="1"/>
          <w:sz w:val="24"/>
          <w:szCs w:val="24"/>
          <w:rtl w:val="0"/>
        </w:rPr>
        <w:t xml:space="preserve">self</w:t>
      </w:r>
      <w:r w:rsidDel="00000000" w:rsidR="00000000" w:rsidRPr="00000000">
        <w:rPr>
          <w:rFonts w:ascii="Times New Roman" w:cs="Times New Roman" w:eastAsia="Times New Roman" w:hAnsi="Times New Roman"/>
          <w:sz w:val="24"/>
          <w:szCs w:val="24"/>
          <w:rtl w:val="0"/>
        </w:rPr>
        <w:t xml:space="preserve">. No terceiro nível, em que indivíduos ou grupos são atacados no seu estilo de vida, o desrespeito, equivalente à injúria, poderia enfim ser transmutado em uma “motivação para atos de resistência política” (Honneth, 1992, p. 200).</w:t>
      </w:r>
    </w:p>
    <w:p w:rsidR="00000000" w:rsidDel="00000000" w:rsidP="00000000" w:rsidRDefault="00000000" w:rsidRPr="00000000" w14:paraId="00000053">
      <w:pPr>
        <w:spacing w:line="360" w:lineRule="auto"/>
        <w:ind w:firstLine="720"/>
        <w:jc w:val="both"/>
        <w:rPr>
          <w:rFonts w:ascii="Times New Roman" w:cs="Times New Roman" w:eastAsia="Times New Roman" w:hAnsi="Times New Roman"/>
          <w:sz w:val="24"/>
          <w:szCs w:val="24"/>
        </w:rPr>
      </w:pPr>
      <w:bookmarkStart w:colFirst="0" w:colLast="0" w:name="_luskmcdua77e" w:id="5"/>
      <w:bookmarkEnd w:id="5"/>
      <w:r w:rsidDel="00000000" w:rsidR="00000000" w:rsidRPr="00000000">
        <w:rPr>
          <w:rFonts w:ascii="Times New Roman" w:cs="Times New Roman" w:eastAsia="Times New Roman" w:hAnsi="Times New Roman"/>
          <w:sz w:val="24"/>
          <w:szCs w:val="24"/>
          <w:rtl w:val="0"/>
        </w:rPr>
        <w:t xml:space="preserve">Na elaboração de sua teoria, Honneth (2013) de fato identifica lacunas muito similares às elencadas por Hinde nos seus estudos, sobretudo nas teorias psicanalítica e sociológica. Julga, porém, “grave” o fato de que “as estilizações unilaterais parecem impedir radicalmente uma conexão conceitual básica entre as duas disciplinas” (Honneth, 2013, p. 61).</w:t>
      </w:r>
    </w:p>
    <w:p w:rsidR="00000000" w:rsidDel="00000000" w:rsidP="00000000" w:rsidRDefault="00000000" w:rsidRPr="00000000" w14:paraId="00000054">
      <w:pPr>
        <w:spacing w:line="360" w:lineRule="auto"/>
        <w:ind w:firstLine="720"/>
        <w:jc w:val="both"/>
        <w:rPr>
          <w:rFonts w:ascii="Times New Roman" w:cs="Times New Roman" w:eastAsia="Times New Roman" w:hAnsi="Times New Roman"/>
          <w:sz w:val="24"/>
          <w:szCs w:val="24"/>
        </w:rPr>
      </w:pPr>
      <w:bookmarkStart w:colFirst="0" w:colLast="0" w:name="_mnofhc2i6xc0" w:id="6"/>
      <w:bookmarkEnd w:id="6"/>
      <w:r w:rsidDel="00000000" w:rsidR="00000000" w:rsidRPr="00000000">
        <w:rPr>
          <w:rFonts w:ascii="Times New Roman" w:cs="Times New Roman" w:eastAsia="Times New Roman" w:hAnsi="Times New Roman"/>
          <w:sz w:val="24"/>
          <w:szCs w:val="24"/>
          <w:rtl w:val="0"/>
        </w:rPr>
        <w:t xml:space="preserve">De modo a tentar superar estas lacunas, a presente pesquisa apresenta e discute trechos selecionados das entrevistas realizadas no âmbito da tese que deu origem ao presente trabalho. O foco da seleção destes trechos está nos desafios desta ajuda em campos de refugiados.</w:t>
      </w:r>
    </w:p>
    <w:p w:rsidR="00000000" w:rsidDel="00000000" w:rsidP="00000000" w:rsidRDefault="00000000" w:rsidRPr="00000000" w14:paraId="00000055">
      <w:pPr>
        <w:spacing w:line="360" w:lineRule="auto"/>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56">
      <w:pPr>
        <w:pStyle w:val="Heading1"/>
        <w:tabs>
          <w:tab w:val="right" w:pos="9072.511811023624"/>
        </w:tabs>
        <w:spacing w:after="0" w:before="60" w:line="360" w:lineRule="auto"/>
        <w:ind w:right="-96"/>
        <w:jc w:val="center"/>
        <w:rPr>
          <w:rFonts w:ascii="Times New Roman" w:cs="Times New Roman" w:eastAsia="Times New Roman" w:hAnsi="Times New Roman"/>
          <w:b w:val="1"/>
          <w:sz w:val="24"/>
          <w:szCs w:val="24"/>
        </w:rPr>
      </w:pPr>
      <w:bookmarkStart w:colFirst="0" w:colLast="0" w:name="_862rjrxomr3r" w:id="7"/>
      <w:bookmarkEnd w:id="7"/>
      <w:r w:rsidDel="00000000" w:rsidR="00000000" w:rsidRPr="00000000">
        <w:rPr>
          <w:rFonts w:ascii="Times New Roman" w:cs="Times New Roman" w:eastAsia="Times New Roman" w:hAnsi="Times New Roman"/>
          <w:b w:val="1"/>
          <w:sz w:val="24"/>
          <w:szCs w:val="24"/>
          <w:rtl w:val="0"/>
        </w:rPr>
        <w:t xml:space="preserve">Resultados</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widowControl w:val="0"/>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4"/>
          <w:szCs w:val="24"/>
          <w:rtl w:val="0"/>
        </w:rPr>
        <w:t xml:space="preserve">Como anteriormente visto, foram entrevistadas dez pessoas experientes em situações humanitárias e/ou de refúgio</w:t>
      </w:r>
      <w:r w:rsidDel="00000000" w:rsidR="00000000" w:rsidRPr="00000000">
        <w:rPr>
          <w:rFonts w:ascii="Times New Roman" w:cs="Times New Roman" w:eastAsia="Times New Roman" w:hAnsi="Times New Roman"/>
          <w:color w:val="111111"/>
          <w:sz w:val="24"/>
          <w:szCs w:val="24"/>
          <w:rtl w:val="0"/>
        </w:rPr>
        <w:t xml:space="preserve">, seguindo certos princípios éticos. Nesta seção, são descritos os seus relatos sobre as suas vivências de ajuda humanitária em campos e arranjos análogos.</w:t>
      </w:r>
    </w:p>
    <w:p w:rsidR="00000000" w:rsidDel="00000000" w:rsidP="00000000" w:rsidRDefault="00000000" w:rsidRPr="00000000" w14:paraId="00000059">
      <w:pPr>
        <w:widowControl w:val="0"/>
        <w:spacing w:line="360" w:lineRule="auto"/>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5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Relatos sobre os Campos de Refugiados</w:t>
      </w:r>
      <w:r w:rsidDel="00000000" w:rsidR="00000000" w:rsidRPr="00000000">
        <w:rPr>
          <w:rtl w:val="0"/>
        </w:rPr>
      </w:r>
    </w:p>
    <w:p w:rsidR="00000000" w:rsidDel="00000000" w:rsidP="00000000" w:rsidRDefault="00000000" w:rsidRPr="00000000" w14:paraId="0000005B">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relatos, os campos mais citados estavam no continente africano (região do Chifre da África); asiático (subcontinente indiano); e no Oriente Médio (em particular, nas regiões de fronteira próximas à Síria). Outras comunidades de deslocados à força no meio urbano, como o norte do Oriente Médio e o sul da Europa, também comparecem nos seus relatos. Entre os atributos dos campos que mais lhes chamaram a atenção, citam: sua grandeza; sua gestão; sua infraestrutura; e sua localização.</w:t>
      </w:r>
    </w:p>
    <w:p w:rsidR="00000000" w:rsidDel="00000000" w:rsidP="00000000" w:rsidRDefault="00000000" w:rsidRPr="00000000" w14:paraId="0000005C">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relação à </w:t>
      </w:r>
      <w:r w:rsidDel="00000000" w:rsidR="00000000" w:rsidRPr="00000000">
        <w:rPr>
          <w:rFonts w:ascii="Times New Roman" w:cs="Times New Roman" w:eastAsia="Times New Roman" w:hAnsi="Times New Roman"/>
          <w:i w:val="1"/>
          <w:sz w:val="24"/>
          <w:szCs w:val="24"/>
          <w:rtl w:val="0"/>
        </w:rPr>
        <w:t xml:space="preserve">grandeza</w:t>
      </w:r>
      <w:r w:rsidDel="00000000" w:rsidR="00000000" w:rsidRPr="00000000">
        <w:rPr>
          <w:rFonts w:ascii="Times New Roman" w:cs="Times New Roman" w:eastAsia="Times New Roman" w:hAnsi="Times New Roman"/>
          <w:sz w:val="24"/>
          <w:szCs w:val="24"/>
          <w:rtl w:val="0"/>
        </w:rPr>
        <w:t xml:space="preserve">, uma pessoa que atuou em Dadaab (Quênia) no início do século, quando eles já existiam há cerca de quinze anos, disse que se espantou ao perceber o quanto estes espaços eram “enormes” e “massivos” (1). Em outro relato, há o reconhecimento da socialização como um fator que contribuiu para a concepção de uma ideia sobre os campos de refugiados africanos como sendo, antes de tudo, esses espaços “grandes” e “enormes” (6).</w:t>
      </w:r>
    </w:p>
    <w:p w:rsidR="00000000" w:rsidDel="00000000" w:rsidP="00000000" w:rsidRDefault="00000000" w:rsidRPr="00000000" w14:paraId="0000005D">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“Grandeza” inclusive foi um atributo que se referiu não só à dimensão espacial, como à temporal. Certo participante diz que os campos palestinos seriam bem impactantes, porque: “. . . quando pensamos em campos de refugiados, pensamos em [algo] temporário. Contudo, os campos de refugiados palestinos. . . Parece que existem para sempre” (9).</w:t>
      </w:r>
    </w:p>
    <w:p w:rsidR="00000000" w:rsidDel="00000000" w:rsidP="00000000" w:rsidRDefault="00000000" w:rsidRPr="00000000" w14:paraId="0000005E">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atributo dos campos bem impactante foi o seu modelo peculiar de </w:t>
      </w:r>
      <w:r w:rsidDel="00000000" w:rsidR="00000000" w:rsidRPr="00000000">
        <w:rPr>
          <w:rFonts w:ascii="Times New Roman" w:cs="Times New Roman" w:eastAsia="Times New Roman" w:hAnsi="Times New Roman"/>
          <w:i w:val="1"/>
          <w:sz w:val="24"/>
          <w:szCs w:val="24"/>
          <w:rtl w:val="0"/>
        </w:rPr>
        <w:t xml:space="preserve">gestão</w:t>
      </w:r>
      <w:r w:rsidDel="00000000" w:rsidR="00000000" w:rsidRPr="00000000">
        <w:rPr>
          <w:rFonts w:ascii="Times New Roman" w:cs="Times New Roman" w:eastAsia="Times New Roman" w:hAnsi="Times New Roman"/>
          <w:sz w:val="24"/>
          <w:szCs w:val="24"/>
          <w:rtl w:val="0"/>
        </w:rPr>
        <w:t xml:space="preserve">. Uma participante destacou as semelhanças e diferenças entre esses espaços e as cidades, dizendo que: “Assim como em uma cidade, eles têm seus próprios meios de comunicação... Entre funcionários e moradores do campo. Isso é diferente de apenas planejamento e gestão de uma vila, ou cidade, e acho que isso tampouco pode ser subestimado” (1). Ainda quanto à </w:t>
      </w:r>
      <w:r w:rsidDel="00000000" w:rsidR="00000000" w:rsidRPr="00000000">
        <w:rPr>
          <w:rFonts w:ascii="Times New Roman" w:cs="Times New Roman" w:eastAsia="Times New Roman" w:hAnsi="Times New Roman"/>
          <w:i w:val="1"/>
          <w:sz w:val="24"/>
          <w:szCs w:val="24"/>
          <w:rtl w:val="0"/>
        </w:rPr>
        <w:t xml:space="preserve">gestão</w:t>
      </w:r>
      <w:r w:rsidDel="00000000" w:rsidR="00000000" w:rsidRPr="00000000">
        <w:rPr>
          <w:rFonts w:ascii="Times New Roman" w:cs="Times New Roman" w:eastAsia="Times New Roman" w:hAnsi="Times New Roman"/>
          <w:sz w:val="24"/>
          <w:szCs w:val="24"/>
          <w:rtl w:val="0"/>
        </w:rPr>
        <w:t xml:space="preserve">, certo participante se surpreendeu ao ver os atores nos campos raras vezes somente na “sua” função, sobretudo “no momento de montagem desses campos” (10), quando relatou ter visto:</w:t>
      </w:r>
    </w:p>
    <w:p w:rsidR="00000000" w:rsidDel="00000000" w:rsidP="00000000" w:rsidRDefault="00000000" w:rsidRPr="00000000" w14:paraId="0000005F">
      <w:pPr>
        <w:widowControl w:val="0"/>
        <w:spacing w:after="240" w:before="240" w:line="240" w:lineRule="auto"/>
        <w:ind w:left="708.66141732283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desde médicos que atendem pessoas feridas também pegando uma escavadeira para fazer um buraco e fazer uma fossa. . . Ou engenheiros. . . pegando enxada na mão, e falando: “Olha, vou fazer uma linha, e nessa linha a água tem que descer, porque se não descer aqui, vai colapsar o campo...” (10).</w:t>
      </w:r>
    </w:p>
    <w:p w:rsidR="00000000" w:rsidDel="00000000" w:rsidP="00000000" w:rsidRDefault="00000000" w:rsidRPr="00000000" w14:paraId="00000060">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w:t>
      </w:r>
      <w:r w:rsidDel="00000000" w:rsidR="00000000" w:rsidRPr="00000000">
        <w:rPr>
          <w:rFonts w:ascii="Times New Roman" w:cs="Times New Roman" w:eastAsia="Times New Roman" w:hAnsi="Times New Roman"/>
          <w:i w:val="1"/>
          <w:sz w:val="24"/>
          <w:szCs w:val="24"/>
          <w:rtl w:val="0"/>
        </w:rPr>
        <w:t xml:space="preserve">infraestrutura</w:t>
      </w:r>
      <w:r w:rsidDel="00000000" w:rsidR="00000000" w:rsidRPr="00000000">
        <w:rPr>
          <w:rFonts w:ascii="Times New Roman" w:cs="Times New Roman" w:eastAsia="Times New Roman" w:hAnsi="Times New Roman"/>
          <w:sz w:val="24"/>
          <w:szCs w:val="24"/>
          <w:rtl w:val="0"/>
        </w:rPr>
        <w:t xml:space="preserve">, alguns notaram a presença de “estradas, escolas e clínicas” (1) como algo impensado, enquanto outros sentiram falta, por exemplo, de “eletricidade” e “água corrente” (6). Ademais, seria comum que “grandes organizações”, como a ONU, tenham uma habitação à parte, com melhor infraestrutura, para seus prestadores de serviços — tendo um participante (6), por exemplo, optado por residir nos campos na sua pesquisa.</w:t>
      </w:r>
    </w:p>
    <w:p w:rsidR="00000000" w:rsidDel="00000000" w:rsidP="00000000" w:rsidRDefault="00000000" w:rsidRPr="00000000" w14:paraId="0000006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Quanto à </w:t>
      </w:r>
      <w:r w:rsidDel="00000000" w:rsidR="00000000" w:rsidRPr="00000000">
        <w:rPr>
          <w:rFonts w:ascii="Times New Roman" w:cs="Times New Roman" w:eastAsia="Times New Roman" w:hAnsi="Times New Roman"/>
          <w:i w:val="1"/>
          <w:sz w:val="24"/>
          <w:szCs w:val="24"/>
          <w:rtl w:val="0"/>
        </w:rPr>
        <w:t xml:space="preserve">localização</w:t>
      </w:r>
      <w:r w:rsidDel="00000000" w:rsidR="00000000" w:rsidRPr="00000000">
        <w:rPr>
          <w:rFonts w:ascii="Times New Roman" w:cs="Times New Roman" w:eastAsia="Times New Roman" w:hAnsi="Times New Roman"/>
          <w:sz w:val="24"/>
          <w:szCs w:val="24"/>
          <w:rtl w:val="0"/>
        </w:rPr>
        <w:t xml:space="preserve">, os campos surpreenderam pela distância, estando áreas no geral remotas,“no meio do nada” (1), bem como pelo terreno impróprio (em certos casos, de “lama”), que configurava um “desafio para o transporte” de seus habitantes (5). Esse desafio também impactou ainda outro participante, que relatou como foi entrar no campo: “. . . vendo literalmente caminhões carregados de pessoas sul-sudanesas de pé, como gado, na traseira desses grandes caminhões da ONU, balançando nas estradas de terra empoeiradas” (6).</w:t>
      </w:r>
    </w:p>
    <w:p w:rsidR="00000000" w:rsidDel="00000000" w:rsidP="00000000" w:rsidRDefault="00000000" w:rsidRPr="00000000" w14:paraId="00000062">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geral, todos os participantes relataram alguma mudança na perspectiva sobre esses espaços, em especial após suas primeiras impresões serem confrontadas na prática. Segundo certa participante, por exemplo: “Há muito mais coisas positivas que acontecem nos campos que a princípio se supõe quando se chega lá.” (1).</w:t>
      </w:r>
    </w:p>
    <w:p w:rsidR="00000000" w:rsidDel="00000000" w:rsidP="00000000" w:rsidRDefault="00000000" w:rsidRPr="00000000" w14:paraId="00000063">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 </w:t>
      </w:r>
      <w:r w:rsidDel="00000000" w:rsidR="00000000" w:rsidRPr="00000000">
        <w:rPr>
          <w:rFonts w:ascii="Times New Roman" w:cs="Times New Roman" w:eastAsia="Times New Roman" w:hAnsi="Times New Roman"/>
          <w:i w:val="1"/>
          <w:sz w:val="24"/>
          <w:szCs w:val="24"/>
          <w:rtl w:val="0"/>
        </w:rPr>
        <w:t xml:space="preserve">grandeza </w:t>
      </w:r>
      <w:r w:rsidDel="00000000" w:rsidR="00000000" w:rsidRPr="00000000">
        <w:rPr>
          <w:rFonts w:ascii="Times New Roman" w:cs="Times New Roman" w:eastAsia="Times New Roman" w:hAnsi="Times New Roman"/>
          <w:sz w:val="24"/>
          <w:szCs w:val="24"/>
          <w:rtl w:val="0"/>
        </w:rPr>
        <w:t xml:space="preserve">por si só não basta pararia se ter uma ideia de sua complexidade. Na verdade, embora haja muitas fotografias panorâmicas desses lugares, atualmente: “Você só vê o quão grande é, mas não acho que você entenda como o organismo realmente funciona a menos que tenha dormido ou estado no campo por um período significativo de tempo” (1).</w:t>
      </w:r>
    </w:p>
    <w:p w:rsidR="00000000" w:rsidDel="00000000" w:rsidP="00000000" w:rsidRDefault="00000000" w:rsidRPr="00000000" w14:paraId="00000064">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w:t>
      </w:r>
      <w:r w:rsidDel="00000000" w:rsidR="00000000" w:rsidRPr="00000000">
        <w:rPr>
          <w:rFonts w:ascii="Times New Roman" w:cs="Times New Roman" w:eastAsia="Times New Roman" w:hAnsi="Times New Roman"/>
          <w:i w:val="1"/>
          <w:sz w:val="24"/>
          <w:szCs w:val="24"/>
          <w:rtl w:val="0"/>
        </w:rPr>
        <w:t xml:space="preserve">gestão </w:t>
      </w:r>
      <w:r w:rsidDel="00000000" w:rsidR="00000000" w:rsidRPr="00000000">
        <w:rPr>
          <w:rFonts w:ascii="Times New Roman" w:cs="Times New Roman" w:eastAsia="Times New Roman" w:hAnsi="Times New Roman"/>
          <w:sz w:val="24"/>
          <w:szCs w:val="24"/>
          <w:rtl w:val="0"/>
        </w:rPr>
        <w:t xml:space="preserve">desses espaços, um participante afirmou que mudou sua visão sobre a atuação por parte dos prestadores de ajuda, aos quais teria visto “agindo diferente para o bem e para o mal” (10). Algumas mudanças de atitude foram vistas como “necessárias”, já que:</w:t>
      </w:r>
    </w:p>
    <w:p w:rsidR="00000000" w:rsidDel="00000000" w:rsidP="00000000" w:rsidRDefault="00000000" w:rsidRPr="00000000" w14:paraId="00000065">
      <w:pPr>
        <w:widowControl w:val="0"/>
        <w:spacing w:after="240" w:before="240" w:line="240" w:lineRule="auto"/>
        <w:ind w:left="708.66141732283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Depois de muito tempo. . ., às vezes, você até separa o procedimento do humano que está do outro lado. Não sei se é bom ou é ruim; é o que acabam desenvolvendo. . . Ou seja: vira algo pragmático, procedimental, menos humanizado, que parece estranho, mas não: é normal, precisa ser assim; se não, ele não faz o que tem que fazer (10).</w:t>
      </w:r>
    </w:p>
    <w:p w:rsidR="00000000" w:rsidDel="00000000" w:rsidP="00000000" w:rsidRDefault="00000000" w:rsidRPr="00000000" w14:paraId="00000066">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Acerca da </w:t>
      </w:r>
      <w:r w:rsidDel="00000000" w:rsidR="00000000" w:rsidRPr="00000000">
        <w:rPr>
          <w:rFonts w:ascii="Times New Roman" w:cs="Times New Roman" w:eastAsia="Times New Roman" w:hAnsi="Times New Roman"/>
          <w:i w:val="1"/>
          <w:sz w:val="24"/>
          <w:szCs w:val="24"/>
          <w:rtl w:val="0"/>
        </w:rPr>
        <w:t xml:space="preserve">infraestrutura</w:t>
      </w:r>
      <w:r w:rsidDel="00000000" w:rsidR="00000000" w:rsidRPr="00000000">
        <w:rPr>
          <w:rFonts w:ascii="Times New Roman" w:cs="Times New Roman" w:eastAsia="Times New Roman" w:hAnsi="Times New Roman"/>
          <w:sz w:val="24"/>
          <w:szCs w:val="24"/>
          <w:rtl w:val="0"/>
        </w:rPr>
        <w:t xml:space="preserve">, um participante afirmou que, mesmo sabendo da escassez de recursos predominante, o nível da miserabilidade teria sido impactante na sua primeira visita a um campo, dado que: “. . . quando fui para esses campos. . . Eles não tinham nem o básico” (7). Por comparação, chegou a citar outros residentes do país, que viviam em “zonas rurais” bastante empobrecidas, e mesmo assim se surpreendendo com a pobreza local.</w:t>
      </w:r>
    </w:p>
    <w:p w:rsidR="00000000" w:rsidDel="00000000" w:rsidP="00000000" w:rsidRDefault="00000000" w:rsidRPr="00000000" w14:paraId="00000067">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condições de vida altamente precarizadas se refletem, segundo os participantes, tanto na provisão da ajuda humanitária (seja no planejamento, seja na sua realização), como ainda nas relações interpessoais das pessoas que neles habitam. As próximas duas seções, por sua vez, tratarão mais detidamente a respeito disso.</w:t>
      </w:r>
    </w:p>
    <w:p w:rsidR="00000000" w:rsidDel="00000000" w:rsidP="00000000" w:rsidRDefault="00000000" w:rsidRPr="00000000" w14:paraId="00000068">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widowControl w:val="0"/>
        <w:spacing w:line="36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i w:val="1"/>
          <w:sz w:val="24"/>
          <w:szCs w:val="24"/>
          <w:rtl w:val="0"/>
        </w:rPr>
        <w:t xml:space="preserve">Relatos sobre a Ajuda Humanitária</w:t>
      </w:r>
      <w:r w:rsidDel="00000000" w:rsidR="00000000" w:rsidRPr="00000000">
        <w:rPr>
          <w:rtl w:val="0"/>
        </w:rPr>
      </w:r>
    </w:p>
    <w:p w:rsidR="00000000" w:rsidDel="00000000" w:rsidP="00000000" w:rsidRDefault="00000000" w:rsidRPr="00000000" w14:paraId="0000006A">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respeito da ajuda humanitária, os participantes trouxeram relatos tanto sobre as suas motivações quanto sobre as trajetórias e históricos de formação prévios à sua atuação. Além disso, foi observado o quanto as precárias condições de vida nos campos e arranjos análogos impactam na provisão desta ajuda em tais contextos.</w:t>
      </w:r>
    </w:p>
    <w:p w:rsidR="00000000" w:rsidDel="00000000" w:rsidP="00000000" w:rsidRDefault="00000000" w:rsidRPr="00000000" w14:paraId="0000006B">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formação prévia à atuação em situações humanitárias, os participantes no geral reconheceram a importância para evitar danos às pessoas refugiadas. Certo participante disse que, no início da carreira, teria cometido “equívocos” em um levantamento que realizou dentro de um abrigo provisório (4) — os quais atribuiu ao fato de ser “jovem e inexperiente”.</w:t>
      </w:r>
    </w:p>
    <w:p w:rsidR="00000000" w:rsidDel="00000000" w:rsidP="00000000" w:rsidRDefault="00000000" w:rsidRPr="00000000" w14:paraId="0000006C">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os principiantes, outros participantes indicaram que certas organizações ofertam atividades formativas, como reuniões, palestras e dados sistematizados pelos mais experientes em tais contextos (10). Foi ainda ressaltada a importância dessas atividades para “mudar a atitude” das pessoas que “. . . trabalham com o campo de refugiados ou outro arranjo do tipo não porque queiram, mas sim por ser a única coisa que conseguem encontrar” (4).</w:t>
      </w:r>
    </w:p>
    <w:p w:rsidR="00000000" w:rsidDel="00000000" w:rsidP="00000000" w:rsidRDefault="00000000" w:rsidRPr="00000000" w14:paraId="0000006D">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Acerca destas formações em emergências, foi destacada ainda sua </w:t>
      </w:r>
      <w:r w:rsidDel="00000000" w:rsidR="00000000" w:rsidRPr="00000000">
        <w:rPr>
          <w:rFonts w:ascii="Times New Roman" w:cs="Times New Roman" w:eastAsia="Times New Roman" w:hAnsi="Times New Roman"/>
          <w:i w:val="1"/>
          <w:sz w:val="24"/>
          <w:szCs w:val="24"/>
          <w:rtl w:val="0"/>
        </w:rPr>
        <w:t xml:space="preserve">brevidade</w:t>
      </w:r>
      <w:r w:rsidDel="00000000" w:rsidR="00000000" w:rsidRPr="00000000">
        <w:rPr>
          <w:rFonts w:ascii="Times New Roman" w:cs="Times New Roman" w:eastAsia="Times New Roman" w:hAnsi="Times New Roman"/>
          <w:sz w:val="24"/>
          <w:szCs w:val="24"/>
          <w:rtl w:val="0"/>
        </w:rPr>
        <w:t xml:space="preserve">. Segundo um participante, no geral: “As formações são rápidas porque tendem a responder rapidamente a esses problemas” (10). Dessa forma: “Nem sempre as pessoas que estão melhor preparadas podem ir; isso é um dilema das organizações” (10).</w:t>
      </w:r>
    </w:p>
    <w:p w:rsidR="00000000" w:rsidDel="00000000" w:rsidP="00000000" w:rsidRDefault="00000000" w:rsidRPr="00000000" w14:paraId="0000006E">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predominância de pessoas menos experientes nesses cenários, ao menos nos momentos iniciais de resposta a emergências humanitárias, também foi destacada por outro participante. A seu ver: “. . . foram muitas pessoas que fizeram isso pela primeira vez e por causa do entusiasmo que havia. . . nas primeiras semanas” (8). Após o entusiasmo inicial, no entanto, teria sido “realmente um problema achar pessoas que pudessem ajudá-los” (8).</w:t>
      </w:r>
    </w:p>
    <w:p w:rsidR="00000000" w:rsidDel="00000000" w:rsidP="00000000" w:rsidRDefault="00000000" w:rsidRPr="00000000" w14:paraId="0000006F">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início destas trajetórias, os participantes relataram motivações para prestar a ajuda humanitária relacionados, no geral, a anseios e a interesses pessoais. Apenas a participante (2) propôs a ação em um campo próximo a seu local de residência no momento posterior ao em que conheceu alguns de seus habitantes, os quais confirmaram o interesse na sua proposta.</w:t>
      </w:r>
    </w:p>
    <w:p w:rsidR="00000000" w:rsidDel="00000000" w:rsidP="00000000" w:rsidRDefault="00000000" w:rsidRPr="00000000" w14:paraId="00000070">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 participantes que buscaram uma carreira na ajuda humanitária, (1) disse sempre ter desejado trabalhar internacionalmente, e não “necessariamente” com refugiados, pois atua com outros grupos que sofrem violações a direitos humanos, tais como deslocados internos ou vítimas de tortura. De modo similar, (3) e (4) não expressaram “nenhum interesse particular” inicial “em trabalhar com refugiados”, tendo buscado atuar em “situações humanitárias”.</w:t>
      </w:r>
    </w:p>
    <w:p w:rsidR="00000000" w:rsidDel="00000000" w:rsidP="00000000" w:rsidRDefault="00000000" w:rsidRPr="00000000" w14:paraId="0000007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Já os participantes (5), (6) e (7) partiram de certos interesses de pesquisa acadêmica e procuraram pôr em prática primeiro nos países de origem, e só depois internacionalmente. O participante (8) foi convocado para organizar à distância a “decisão espontânea” de criar um abrigo provisório para os deslocados à força que chegaram a uma comunidade na sua região.</w:t>
      </w:r>
    </w:p>
    <w:p w:rsidR="00000000" w:rsidDel="00000000" w:rsidP="00000000" w:rsidRDefault="00000000" w:rsidRPr="00000000" w14:paraId="00000072">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sua vez, a motivação de (9) teria sido a “maior onda ou crise de nosso tempo”, em referência ao influxo massivo de deslocados à força na sua região nesta última década, tendo se voluntariado então para atuar com essas pessoas. Na década anterior, (10) voluntariamente buscou compor uma equipe para apoiar as vítimas de um desastre, ocorrido fora de seu país e noticiado à época pela mídia a nível global.</w:t>
      </w:r>
    </w:p>
    <w:p w:rsidR="00000000" w:rsidDel="00000000" w:rsidP="00000000" w:rsidRDefault="00000000" w:rsidRPr="00000000" w14:paraId="00000073">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ajuda humanitária, portanto, frequentemente é impactada pelas condições nas quais deve ser implantada. Dessa forma, o preparo necessário para planejar tais ações foi considerado um desafio, dado que faltaria “tempo” no geral. De acordo com uma participante: “. . . muitas vezes, por causa do financiamento, temos pouco tempo para implantar o projeto, e temos que desenhar antes mesmo de conhecer as comunidades adequadamente” (3).</w:t>
      </w:r>
    </w:p>
    <w:p w:rsidR="00000000" w:rsidDel="00000000" w:rsidP="00000000" w:rsidRDefault="00000000" w:rsidRPr="00000000" w14:paraId="00000074">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outro participante, os campos seriam certos “casos especiais”, em que: “Pode não ser possível ter um plano completo antes que a população refugiada chegue” (7). Por isso, a responsabilidade maior de prepará-las seria dos países que tradicionalmente financiam a ajuda humanitária, sendo que: “. . . na maior parte, estão preparados. . . Mas não sobre saúde mental pois, salvo certas organizações e pessoas, não se atentam à cultura e a seus impactos ou efeitos na percepção da saúde ou doença mental, nem de como se expressa isso” (7).</w:t>
      </w:r>
    </w:p>
    <w:p w:rsidR="00000000" w:rsidDel="00000000" w:rsidP="00000000" w:rsidRDefault="00000000" w:rsidRPr="00000000" w14:paraId="00000075">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 situações emergenciais, ademais, foi relatado que os refugiados estariam em estado de “choque”, não podendo facilmente esboçar emoções positivas — como a alegria (10). Esta dificuldade seria um desafio, e inclusive teria frustrado certos voluntários, que esperavam dos refugiados expressões de gratidão ou proatividade diante da ajuda recebida (8).</w:t>
      </w:r>
    </w:p>
    <w:p w:rsidR="00000000" w:rsidDel="00000000" w:rsidP="00000000" w:rsidRDefault="00000000" w:rsidRPr="00000000" w14:paraId="0000007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Frustração semelhante teriam os próprios voluntários ou agentes humanitários, segundo um participante, ao se verem com frequência diante de problemas “externos”, para os quais não possuiriam “solução” (4). A seu ver, tais ações nos campos teriam outro desafio:</w:t>
      </w:r>
    </w:p>
    <w:p w:rsidR="00000000" w:rsidDel="00000000" w:rsidP="00000000" w:rsidRDefault="00000000" w:rsidRPr="00000000" w14:paraId="00000077">
      <w:pPr>
        <w:widowControl w:val="0"/>
        <w:spacing w:after="240" w:before="240" w:line="24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verdade, o principal problema é que as pessoas não podem se mover, e você faz da jornada delas um lembrete absoluto desse fato. E muitas vezes não falamos muito sobre isso. . ., mas apenas nos concentramos nos efeitos de algo que poderia ser realmente evitado se houvesse uma decisão política que mudasse o modo como as pessoas conseguem chegar à Europa (4).</w:t>
      </w:r>
    </w:p>
    <w:p w:rsidR="00000000" w:rsidDel="00000000" w:rsidP="00000000" w:rsidRDefault="00000000" w:rsidRPr="00000000" w14:paraId="0000007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Nesses cenários, com o passar do tempo, seria um desafio adicional para os refugiados terem suas demandas reconhecidas, dado que a mídia perpetuaria tais imagens mesmo na fase pós-emergencial. Certo participante nega que, por exemplo, os sírios sejam “tristes” e sofram de “trauma” no seu “dia-a-dia”, como diriam os jornais (9). Ao contrário: “Eles riem, brincam e lutam com várias coisas, mas não com o trauma; lutam contra a burocracia, a discriminação, as restrições ao trabalho e os serviços cotidianos, como educação, saúde, etc.” (9).</w:t>
      </w:r>
    </w:p>
    <w:p w:rsidR="00000000" w:rsidDel="00000000" w:rsidP="00000000" w:rsidRDefault="00000000" w:rsidRPr="00000000" w14:paraId="0000007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Compareceram nos relatos, dessa forma, aspectos de conflito e de solidariedade entre as pessoas nestas situações. Na próxima seção, serão trazidos alguns relatos acerca das suas relações interpessoais nos campos e em contextos análogos.</w:t>
      </w:r>
    </w:p>
    <w:p w:rsidR="00000000" w:rsidDel="00000000" w:rsidP="00000000" w:rsidRDefault="00000000" w:rsidRPr="00000000" w14:paraId="0000007A">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Relações Interpessoais dentro dos Grupos nos Campos</w:t>
      </w:r>
      <w:r w:rsidDel="00000000" w:rsidR="00000000" w:rsidRPr="00000000">
        <w:rPr>
          <w:rtl w:val="0"/>
        </w:rPr>
      </w:r>
    </w:p>
    <w:p w:rsidR="00000000" w:rsidDel="00000000" w:rsidP="00000000" w:rsidRDefault="00000000" w:rsidRPr="00000000" w14:paraId="0000007C">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Nas entrevistas, compareceram relatos de que as relações interpessoais dos refugiados nos campos são impactadas por diversos fatores. Para esta pesquisa, serão abordados aqueles fatores relacionados, por um lado, à solidariedade, e por outro, aos conflitos nestes espaços.</w:t>
      </w:r>
    </w:p>
    <w:p w:rsidR="00000000" w:rsidDel="00000000" w:rsidP="00000000" w:rsidRDefault="00000000" w:rsidRPr="00000000" w14:paraId="0000007D">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 visão dos participantes, as relações interpessoais tidas como mais solidárias foram relatadas com maior frequência — tanto nos grupos como entre diferentes grupos sociais de refugiados nesses contextos. Dentro dos grupos, de fato, foram vários os episódios relatados, bem como as hipóteses elencadas para explicá-los.</w:t>
      </w:r>
    </w:p>
    <w:p w:rsidR="00000000" w:rsidDel="00000000" w:rsidP="00000000" w:rsidRDefault="00000000" w:rsidRPr="00000000" w14:paraId="0000007E">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 grupos dentro dos quais se verificou mais relações de solidariedade, foram citadas as “mulheres e crianças” refugiadas “sob risco de violência e abdução”. Em um centro voltado para este grupo, uma participante notou que as mulheres cuidavam de si e das crianças “umas das outras” com frequência, acrescentando: “Há muito suporte dentro [dos grupos]” (3).</w:t>
      </w:r>
    </w:p>
    <w:p w:rsidR="00000000" w:rsidDel="00000000" w:rsidP="00000000" w:rsidRDefault="00000000" w:rsidRPr="00000000" w14:paraId="0000007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Entre membros da comunidade LGBT, em outro campo, foi relatada “solidariedade absoluta” (6), tanto no cotidiano, como para vigiar uns aos outros ao se compartilhar comida, como para grandes atos, como uma “parada do orgulho” LGBT (6). Segundo este relato, no entanto, a união entre essas pessoas seria “linda e também de partir o coração” (6), uma vez que seria provocada pelas condições extremas de insegurança em que viviam.</w:t>
      </w:r>
    </w:p>
    <w:p w:rsidR="00000000" w:rsidDel="00000000" w:rsidP="00000000" w:rsidRDefault="00000000" w:rsidRPr="00000000" w14:paraId="0000008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Houve ainda relatos de solidariedade entre pessoas da mesma etnia ou que partilhavam o mesmo histórico. Um participante indicou que a “solidariedade” percebida entre certos refugiados seria devida, assim, tanto à sua “cultura” de ajuda mútua, quanto a um histórico de luta “contra o governo” que os levaria, a seu ver, a “lutar uns pelos outros” nos campos (7).</w:t>
      </w:r>
    </w:p>
    <w:p w:rsidR="00000000" w:rsidDel="00000000" w:rsidP="00000000" w:rsidRDefault="00000000" w:rsidRPr="00000000" w14:paraId="00000081">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outros refugiados, originários de um país asiático, uma participante admitiu que não sabia a quais “tribos” pertenciam, mas percebeu que andavam “todos juntos” (2). Nesse caso, um refugiado mais jovem frequentemente serviria de intérprete para os demais do grupo, assim, por vezes, invertendo sua hierarquia social — que seria definida pela idade — sem que isso resultasse em conflito no grupo, pois, a seu ver, eles respeitariam “uns aos outros” (2).</w:t>
      </w:r>
    </w:p>
    <w:p w:rsidR="00000000" w:rsidDel="00000000" w:rsidP="00000000" w:rsidRDefault="00000000" w:rsidRPr="00000000" w14:paraId="00000082">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relações interpessoais dentro dos grupos nos campos inspirariam então confiança e solidariedade, por um lado, porém conflito e desconfiança pelo outro. Quanto às relações mais tensas e de conflito, no entanto, pouco foi relatado no nível intragrupal. Quando interpelados a seu respeito, no geral, os participantes diziam algo como: “Entre eles, não presenciei brigas... Não acho que entre eles houvesse várias disputas. Eu nunca notei algo assim” (2).</w:t>
      </w:r>
    </w:p>
    <w:p w:rsidR="00000000" w:rsidDel="00000000" w:rsidP="00000000" w:rsidRDefault="00000000" w:rsidRPr="00000000" w14:paraId="00000083">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relatados, os conflitos nos grupos eram relativos às disputas familiares (1) ou conjugais (7), e compareciam em forma de suposição. Certo participante supôs a “enorme” quantidade de abusos que haveria no âmbito doméstico dos refugiados, dado que: “Mesmo as pessoas com crianças ou as meninas não tinham estrutura para trancar as portas à noite” (7).</w:t>
      </w:r>
    </w:p>
    <w:p w:rsidR="00000000" w:rsidDel="00000000" w:rsidP="00000000" w:rsidRDefault="00000000" w:rsidRPr="00000000" w14:paraId="00000084">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os conflitos nesse âmbito (como violência doméstica ou abuso infantil), ademais, o superpovoamento dos campos seria um grande fator de seu agravamento. Tal ocorreria por duas razões centrais: primeiro, em vista da falta de privacidade, que normaliza, por vezes, tais situações; e segundo, em vista da dificuldades logísticas que impõe a seu confronto.</w:t>
      </w:r>
    </w:p>
    <w:p w:rsidR="00000000" w:rsidDel="00000000" w:rsidP="00000000" w:rsidRDefault="00000000" w:rsidRPr="00000000" w14:paraId="00000085">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 tange à “falta de privacidade” (3) ou à “privacidade compartilhada” (4) por toda parte nos campos, foi dito que esta seria uma “fonte de tensão constante” (4) entre os refugiados. No que tange à logística, foi dito que os campos raramente seriam “grandes o suficiente” para separar completamente as partes dos conflitos (1). Antes dessa separação, contudo, os “arranjos alternativos” — como familiares e amigos — deveriam ser buscados.</w:t>
      </w:r>
    </w:p>
    <w:p w:rsidR="00000000" w:rsidDel="00000000" w:rsidP="00000000" w:rsidRDefault="00000000" w:rsidRPr="00000000" w14:paraId="00000086">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falta de tais arranjos, seria necessário isolar uma das partes do conflito em uma área específica dos campos. Nos que possuam tal área, sua estrutura para tanto deveria ser, entre outros: “reforçada”, com “segurança adicional”, “acesso restrito” e “serviços completos naquela parte do campo” (1), de modo a minimizar as necessidades de deslocamento de seus residentes. Nos campos sem tal área, todavia, pessoas em situação mais vulnerável poderiam, em última instância, ter de abandonar o local (1).</w:t>
      </w:r>
    </w:p>
    <w:p w:rsidR="00000000" w:rsidDel="00000000" w:rsidP="00000000" w:rsidRDefault="00000000" w:rsidRPr="00000000" w14:paraId="00000087">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Áreas do tipo, porém, ilustram a contradição de que, para sua segurança, os refugiados são mantidos “sob os olhos da comunidade internacional” (4) em locais ainda mais restritos. Isto se evidencia ainda mais nos conflitos entre os grupos de refugiados, como se verá adiante.</w:t>
      </w:r>
    </w:p>
    <w:p w:rsidR="00000000" w:rsidDel="00000000" w:rsidP="00000000" w:rsidRDefault="00000000" w:rsidRPr="00000000" w14:paraId="00000088">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widowControl w:val="0"/>
        <w:spacing w:line="360" w:lineRule="auto"/>
        <w:jc w:val="both"/>
        <w:rPr>
          <w:i w:val="1"/>
        </w:rPr>
      </w:pPr>
      <w:r w:rsidDel="00000000" w:rsidR="00000000" w:rsidRPr="00000000">
        <w:rPr>
          <w:rFonts w:ascii="Times New Roman" w:cs="Times New Roman" w:eastAsia="Times New Roman" w:hAnsi="Times New Roman"/>
          <w:i w:val="1"/>
          <w:sz w:val="24"/>
          <w:szCs w:val="24"/>
          <w:rtl w:val="0"/>
        </w:rPr>
        <w:t xml:space="preserve">Relações Interpessoais entre os Grupos nos Campos</w:t>
      </w:r>
      <w:r w:rsidDel="00000000" w:rsidR="00000000" w:rsidRPr="00000000">
        <w:rPr>
          <w:rtl w:val="0"/>
        </w:rPr>
      </w:r>
    </w:p>
    <w:p w:rsidR="00000000" w:rsidDel="00000000" w:rsidP="00000000" w:rsidRDefault="00000000" w:rsidRPr="00000000" w14:paraId="0000008A">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relações entre os grupos também são de fato afetadas pelas condições dos campos de refugiados. Assim, as relações de vizinhança nesses cenários onde as famílias convivem “todas no mesmo espaço” (3) são, com frequência, tensas e conflituosas, por diversas razões.</w:t>
      </w:r>
    </w:p>
    <w:p w:rsidR="00000000" w:rsidDel="00000000" w:rsidP="00000000" w:rsidRDefault="00000000" w:rsidRPr="00000000" w14:paraId="0000008B">
      <w:pPr>
        <w:widowControl w:val="0"/>
        <w:spacing w:line="360" w:lineRule="auto"/>
        <w:ind w:firstLine="720"/>
        <w:jc w:val="both"/>
        <w:rPr>
          <w:rFonts w:ascii="Times New Roman" w:cs="Times New Roman" w:eastAsia="Times New Roman" w:hAnsi="Times New Roman"/>
          <w:color w:val="a64d79"/>
        </w:rPr>
      </w:pPr>
      <w:r w:rsidDel="00000000" w:rsidR="00000000" w:rsidRPr="00000000">
        <w:rPr>
          <w:rFonts w:ascii="Times New Roman" w:cs="Times New Roman" w:eastAsia="Times New Roman" w:hAnsi="Times New Roman"/>
          <w:sz w:val="24"/>
          <w:szCs w:val="24"/>
          <w:rtl w:val="0"/>
        </w:rPr>
        <w:t xml:space="preserve">No plano interpessoal, a falta de privacidade ainda causaria “um nível massivo de fofoca” (1) e de “desconfiança” (3) nas relações de vizinhança. Isto seria devido a que, no seu convívio altamente próximo, os refugiados: “. . . buscavam criar uma espécie de separação ou segurança emocional ao não se importarem mesmo com mais ninguém no campo, de modo que não havia nenhum tipo de espaço seguro onde pudessem se reunir e se conectar” (3).</w:t>
      </w:r>
      <w:r w:rsidDel="00000000" w:rsidR="00000000" w:rsidRPr="00000000">
        <w:rPr>
          <w:rtl w:val="0"/>
        </w:rPr>
      </w:r>
    </w:p>
    <w:p w:rsidR="00000000" w:rsidDel="00000000" w:rsidP="00000000" w:rsidRDefault="00000000" w:rsidRPr="00000000" w14:paraId="0000008C">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Compareceram também relatos de conflitos por recursos escassos, como os rebanhos e animais domésticos que os refugiados carregam para os campos, e que seriam objeto de disputas, como pequenos roubos e furtos (1), sobretudo entre pessoas de regiões ou vilarejos diferentes. Para mitigar tais disputas, as organizações considerariam esses traços na logística habitacional, buscando distribuir os grupos nos campos pelos seus lugares de origem (1).</w:t>
      </w:r>
    </w:p>
    <w:p w:rsidR="00000000" w:rsidDel="00000000" w:rsidP="00000000" w:rsidRDefault="00000000" w:rsidRPr="00000000" w14:paraId="0000008D">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ademais, os campos estão situados em meio a comunidades que são “extremamente empobrecidas”, o que gera uma “tensão” constante entre o entorno e interior dos campos, seja pelos recursos escassos (6), seja pelas diferenças culturais que, a partir de sua criação, começam a se destacar entre pessoas que residem “na mesma área” (5). </w:t>
      </w:r>
    </w:p>
    <w:p w:rsidR="00000000" w:rsidDel="00000000" w:rsidP="00000000" w:rsidRDefault="00000000" w:rsidRPr="00000000" w14:paraId="0000008E">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Diferenças identitárias também foram catalizariam os conflitos entre grupos sociais distintos. Em alguns países nos quais, por exemplo, a comunidade LGBT é discriminada e criminalizada em diversas instâncias, ocorre de seus membros ainda sofrerem perseguições de outros refugiados, mesmo na área “mais protegida” do campo (6). Em ocorrências graves, foi relatada a impotência das organizações humanitárias e policiais presentes nesses lugares (6).</w:t>
      </w:r>
    </w:p>
    <w:p w:rsidR="00000000" w:rsidDel="00000000" w:rsidP="00000000" w:rsidRDefault="00000000" w:rsidRPr="00000000" w14:paraId="0000008F">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diversas culturas, então, não apenas provocariam, como ampliariam divergências entre tais grupos. Em um campo no continente africano, por exemplo, foi notado que “alguma coisa pequena”, como um acidente entre indivíduos de grupos étnicos distintos, geralmente escalava para conflitos “reais” entre ambos, sobretudo se eram rivais “históricos” (3).</w:t>
      </w:r>
    </w:p>
    <w:p w:rsidR="00000000" w:rsidDel="00000000" w:rsidP="00000000" w:rsidRDefault="00000000" w:rsidRPr="00000000" w14:paraId="00000090">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assim, diante das multidões de milhares de estranhos convivendo juntos, houve enfim quem relatasse “surpresa que não haja mais conflitos” no cotidiano dos campos (1). As relações de solidariedade presentes entre os grupos foram, com ênfase, trazidas também pelos participantes deste estudo. Segundo um relato: “Mesmo grupos de origens diferentes, como cidades e tribos diferentes, também se apoiam de maneira impressionante” (9).</w:t>
      </w:r>
    </w:p>
    <w:p w:rsidR="00000000" w:rsidDel="00000000" w:rsidP="00000000" w:rsidRDefault="00000000" w:rsidRPr="00000000" w14:paraId="00000091">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Tais relatos, porém, divergiram ainda segundo as condições dos campos e arranjos análogos. Em um abrigo temporário, por exemplo: “. . . principalmente porque as pessoas esperavam ser removidas do local muito em breve, de modo que não gastaram energia ou recursos na criação de uma comunidade” (8). Onde a estadia dos refugiados seria, a princípio, mais prolongada, por outro lado, houve a percepção de que: “. . . eles se ajudam muito, e se ajudam não só dentro dos grupos. Porque eu vi isso: eles se comunicam” (2). </w:t>
      </w:r>
    </w:p>
    <w:p w:rsidR="00000000" w:rsidDel="00000000" w:rsidP="00000000" w:rsidRDefault="00000000" w:rsidRPr="00000000" w14:paraId="00000092">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das hipóteses explicativas para a solidariedade entre os refugiados, foi dito, por um lado, que a sua propensão a “contribuir” com a coletividade teria relação com um “instinto humano” de buscar “restabelecer a vida mesmo no ambiente mais difícil” (1). Desse modo, outro participante: “. . . arriscaria dizer que, no campo de refugiados, as situações e as necessidades extremas também geram comportamentos solidários extremos” (10).</w:t>
      </w:r>
    </w:p>
    <w:p w:rsidR="00000000" w:rsidDel="00000000" w:rsidP="00000000" w:rsidRDefault="00000000" w:rsidRPr="00000000" w14:paraId="00000093">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desse “instinto”, emergiu a hipótese de que esta solidariedade estaria relacionada a uma “identidade compartilhada” nos campos, perceptível de diversas formas — como quando refugiados se diziam pertencentes ao “bloco C”, ou afins (1) —  nos campos. Esta identidade também emergiria quando os refugiados participavam em ações voluntárias, cuja “meta comum” os faria “confiar uns nos outros se não sabiam o que fazer” (3).</w:t>
      </w:r>
    </w:p>
    <w:p w:rsidR="00000000" w:rsidDel="00000000" w:rsidP="00000000" w:rsidRDefault="00000000" w:rsidRPr="00000000" w14:paraId="00000094">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Estes desafios levariam a “unir as pessoas e fortalecer estas redes” (3), sobretudo quando “trabalhavam juntos para grupos distintos” (5). Em um episódio espontâneo, crianças refugiadas, em coordenação com os pais e os funcionários de uma escola, levantaram fundos para os professores, cujos salários não estavam sendo pagos — indicando, ainda segundo o relato da participante, a importância da educação formal nesses contextos (5).</w:t>
      </w:r>
    </w:p>
    <w:p w:rsidR="00000000" w:rsidDel="00000000" w:rsidP="00000000" w:rsidRDefault="00000000" w:rsidRPr="00000000" w14:paraId="00000095">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Mesmo fora dos campos, a identidade compartilhada incentivaria a solidariedade. No meio urbano, por exemplo, um participante disse que “a principal fonte de apoio psicossocial” entre refugiados sírios seria a sensação de que eles “são um grupo” que “passa pela mesma luta”, e que, portanto, esperam ser apoiados quando se apoiam mutuamente (9). </w:t>
      </w:r>
    </w:p>
    <w:p w:rsidR="00000000" w:rsidDel="00000000" w:rsidP="00000000" w:rsidRDefault="00000000" w:rsidRPr="00000000" w14:paraId="00000096">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onde foi notada a predominância de uma “falta de solidariedade” entre refugiados, no geral, a principal hipótese seria o fato “muito claro” de que as pessoas estavam “traumatizadas” pelo passado recente (8). Assim, o início das emergências, quando os campos possuem, no geral, menos estrutura, foi descrito como sendo “pesado”, sobretudo pela falta de perspectiva para além do curto prazo das tarefas do dia. No geral, nesses contextos: “. . . ou se estabelece muita solidariedade — às vezes é um abraço, às vezes é “senta aqui, vamos tomar uma água ou vamos andar” — ou se estabelece isso, ou a coisa desanda” (10).</w:t>
      </w:r>
    </w:p>
    <w:p w:rsidR="00000000" w:rsidDel="00000000" w:rsidP="00000000" w:rsidRDefault="00000000" w:rsidRPr="00000000" w14:paraId="00000097">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ações e relações de solidariedade, como as de confiança, dependeriam então de tempo para serem criadas. Como disse certo participante do estudo: “. . . não é de um dia para o outro, mas é possível” (10), sobretudo entre pessoas de origens ou culturas diversas. Outro participante considerou “encorajador”, por exemplo, que “. . . as comunidades ao redor dos campos também podem ser bastante solidárias”, se envolvidas positivamente para tal fim (4).</w:t>
      </w:r>
    </w:p>
    <w:p w:rsidR="00000000" w:rsidDel="00000000" w:rsidP="00000000" w:rsidRDefault="00000000" w:rsidRPr="00000000" w14:paraId="00000098">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foram diversas as perspectivas descritivas dos participantes tanto sobre a ajuda humanitária quanto sobre os campos, os refugiados e suas relações interpessoais nesses espaços. Cabem, portanto, discutir os temas centrais desses relatos, conforme se segue.</w:t>
      </w:r>
    </w:p>
    <w:p w:rsidR="00000000" w:rsidDel="00000000" w:rsidP="00000000" w:rsidRDefault="00000000" w:rsidRPr="00000000" w14:paraId="00000099">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Style w:val="Heading1"/>
        <w:tabs>
          <w:tab w:val="right" w:pos="9072.511811023624"/>
        </w:tabs>
        <w:spacing w:after="0" w:before="60" w:line="360" w:lineRule="auto"/>
        <w:ind w:right="-96"/>
        <w:jc w:val="center"/>
        <w:rPr>
          <w:rFonts w:ascii="Times New Roman" w:cs="Times New Roman" w:eastAsia="Times New Roman" w:hAnsi="Times New Roman"/>
          <w:b w:val="1"/>
          <w:sz w:val="24"/>
          <w:szCs w:val="24"/>
        </w:rPr>
      </w:pPr>
      <w:bookmarkStart w:colFirst="0" w:colLast="0" w:name="_79gigqfif096" w:id="8"/>
      <w:bookmarkEnd w:id="8"/>
      <w:r w:rsidDel="00000000" w:rsidR="00000000" w:rsidRPr="00000000">
        <w:rPr>
          <w:rFonts w:ascii="Times New Roman" w:cs="Times New Roman" w:eastAsia="Times New Roman" w:hAnsi="Times New Roman"/>
          <w:b w:val="1"/>
          <w:sz w:val="24"/>
          <w:szCs w:val="24"/>
          <w:rtl w:val="0"/>
        </w:rPr>
        <w:t xml:space="preserve">Discussão</w:t>
      </w:r>
    </w:p>
    <w:p w:rsidR="00000000" w:rsidDel="00000000" w:rsidP="00000000" w:rsidRDefault="00000000" w:rsidRPr="00000000" w14:paraId="0000009B">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seção pretende discutir temas latentes às entrevistas descritas na seção anterior, a respeito da provisão de ajuda humanitária nos campos de refugiados, à luz do marco teórico selecionado. Em primeiro lugar, serão discutidos aspectos conceituais sobre o comportamento dito “de ajuda” ou de “altruísmo”, bem como sobre o “estigma” que provocam, para então se debaterem aspectos teóricos e hipotéticos sobre as causas e os efeitos destes comportamentos nas relações interpessoais dos refugiados, com foco nos campos e em arranjos análogos.</w:t>
      </w:r>
    </w:p>
    <w:p w:rsidR="00000000" w:rsidDel="00000000" w:rsidP="00000000" w:rsidRDefault="00000000" w:rsidRPr="00000000" w14:paraId="0000009D">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Os Conceitos de “Comportamento de Ajuda” e de “Altruísmo”</w:t>
      </w:r>
      <w:r w:rsidDel="00000000" w:rsidR="00000000" w:rsidRPr="00000000">
        <w:rPr>
          <w:rtl w:val="0"/>
        </w:rPr>
      </w:r>
    </w:p>
    <w:p w:rsidR="00000000" w:rsidDel="00000000" w:rsidP="00000000" w:rsidRDefault="00000000" w:rsidRPr="00000000" w14:paraId="0000009F">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teoria, o “altruísmo” difere do “comportamento de ajuda” porque este possuiria “motivações autocentradas” para “aliviar o sofrimento” de outrem (Rodrigues et al, 2009, p. 228). Na prática: “Ajudar pode envolver custos para quem ajuda, como também pode trazer recompensas: na maioria dos casos. . . faz ambas as coisas” (Hinde &amp; Groebel, 1991, p. 4).</w:t>
      </w:r>
    </w:p>
    <w:p w:rsidR="00000000" w:rsidDel="00000000" w:rsidP="00000000" w:rsidRDefault="00000000" w:rsidRPr="00000000" w14:paraId="000000A0">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com alguma “recompensa”, seria razoável supor uma maior longevidade da ajuda. Nos relatos, esta “recompensa” esteve relacionada sobretudo à profissionalização dos participantes: da atuação via organizações humanitárias, no geral, resultou uma operação mais contínua, ainda que com inserções mais breves, nos campos, do que formas voluntárias de atuação — as quais implicaram, no geral, intervenções de menor duração.</w:t>
      </w:r>
    </w:p>
    <w:p w:rsidR="00000000" w:rsidDel="00000000" w:rsidP="00000000" w:rsidRDefault="00000000" w:rsidRPr="00000000" w14:paraId="000000A1">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às qualidades da ajuda, Fultz e Cialdini (1991, p. 135) citam três na visão de quem a presta sobre quem a recebe: “o outro como objeto, o outro como avaliador e o outro como indivíduo”.</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A qualidade de “indivíduo” — da qual resultaria uma ajuda “genuinamente altruísta” —, seria muito rara na visão dos autores, que a consideram mais uma “possibilidade teórica” do que “um fato empiricamente estabelecido” (Fultz &amp; Cialdini, 1991, p. 136).</w:t>
      </w:r>
    </w:p>
    <w:p w:rsidR="00000000" w:rsidDel="00000000" w:rsidP="00000000" w:rsidRDefault="00000000" w:rsidRPr="00000000" w14:paraId="000000A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Seria a visão do outro enquanto “indivíduo”, porém, que traria o seu reconhecimento enquanto sujeito de “direitos”, com suas “necessidades, desejos e objetivos próprios” (Fultz &amp; Cialdini, 1991, p. 136).</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Nesse sentido, lembra a teoria normativa do reconhecimento mútuo que Honneth (1992, p. 188) vislumbra no pensamento de Ernst Bloch, quando diz que: “. . . a integridade dos sujeitos humanos, vulneráveis como são a injúrias por insultos e desrespeito, depende de receberem aprovação e respeito dos outros”.</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0A3">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widowControl w:val="0"/>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Estigma quanto à Ajuda nos Campos de Refugiados</w:t>
      </w:r>
    </w:p>
    <w:p w:rsidR="00000000" w:rsidDel="00000000" w:rsidP="00000000" w:rsidRDefault="00000000" w:rsidRPr="00000000" w14:paraId="000000A5">
      <w:pPr>
        <w:widowControl w:val="0"/>
        <w:spacing w:line="36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Nos relatos anteriormente vistos, compareceu, por vezes, a preocupação com a barreira do estigma para a prestação das ações de SMAPS. Este estigma no geral seria uma concepção prévia, geralmente negativa, de parte dos refugiados acerca destas ações.</w:t>
      </w:r>
      <w:r w:rsidDel="00000000" w:rsidR="00000000" w:rsidRPr="00000000">
        <w:rPr>
          <w:rtl w:val="0"/>
        </w:rPr>
      </w:r>
    </w:p>
    <w:p w:rsidR="00000000" w:rsidDel="00000000" w:rsidP="00000000" w:rsidRDefault="00000000" w:rsidRPr="00000000" w14:paraId="000000A6">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Teoricamente, seria possível classificar este estigma no segundo nível (normativo) das formas de desrespeito da teoria do reconhecimento de Honneth (1992). Em todos os níveis, porém: “. . . as diversas formas de desrespeito à integridade psíquica assumem o mesmo papel negativo que as doenças orgânicas desempenham no contexto dos processos corporais” (Honneth, 1992, p. 192).</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Este reflexo no nível psíquico das relações interpessoais não pode ser menosprezado, sendo tão importante buscar formas de combater o estigma quanto de promover direitos, como o direito à saúde mental, nos campos.</w:t>
      </w:r>
    </w:p>
    <w:p w:rsidR="00000000" w:rsidDel="00000000" w:rsidP="00000000" w:rsidRDefault="00000000" w:rsidRPr="00000000" w14:paraId="000000A7">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as principais formas organizativas dos refugiados nos campos para combater os efeitos nocivos deste estigma, portanto, compareceram relatos de ações voluntárias que seriam por desempenhadas inclusive por refugiados junto às organizações nos campos. A seu respeito destas ações, não cabe pensar, entretanto, que são recebidas igualmente por todas as pessoas.</w:t>
      </w:r>
    </w:p>
    <w:p w:rsidR="00000000" w:rsidDel="00000000" w:rsidP="00000000" w:rsidRDefault="00000000" w:rsidRPr="00000000" w14:paraId="000000A8">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cabe citar uma premissa da teoria das relações interpessoais, pela qual os comportamentos “bons” e aqueles ditos “ruins” seriam, no geral, “dois lados da mesma moeda” (Hinde, 2007, p. 249).</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Como discutido na seção anterior, motivações autocentradas, apesar de socialmente tidas como “ruins”, são deveras comuns em comportamentos de ajuda.</w:t>
      </w:r>
    </w:p>
    <w:p w:rsidR="00000000" w:rsidDel="00000000" w:rsidP="00000000" w:rsidRDefault="00000000" w:rsidRPr="00000000" w14:paraId="000000A9">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vista de tal premissa, não cabe juízo de valor acerca das motivações das pessoas refugiadas nessas situações para se implicarem em ações desse tipo. Mais importantes seriam os reflexos de se comportarem dessa forma, visto que, para Hinde (1991, p. 134): “Diversos estudos clássicos sobre variáveis situacionais demonstraram que um número crescente de espectadores (passivos) reduz a probabilidade de que indivíduos venham a ajudar, enquanto a observação de espectadores ajudando ativamente aumenta a tendência pró-social”.</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Dessa forma, comportamentos de ajuda podem influenciar positivamente a convivência comunitária.</w:t>
      </w:r>
    </w:p>
    <w:p w:rsidR="00000000" w:rsidDel="00000000" w:rsidP="00000000" w:rsidRDefault="00000000" w:rsidRPr="00000000" w14:paraId="000000AA">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desses reflexos positivos, foi percebida uma “identidade comum” entre aqueles refugiados que atuam voluntariamente nos campos. Nestes casos, cabe refletir sobre o papel dos grupos para o primeiro nível (subjetivo ou psíquico) das relações interpessoais.</w:t>
      </w:r>
    </w:p>
    <w:p w:rsidR="00000000" w:rsidDel="00000000" w:rsidP="00000000" w:rsidRDefault="00000000" w:rsidRPr="00000000" w14:paraId="000000AB">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fato, a categoria de “grupo”, para Honneth (2013, p. 78): “. . . longe de representar uma ameaça para a identidade pessoal, é, nas palavras de Adorno, uma fonte da humanidade”. Para a sua teoria do reconhecimento, seria fundamental a “experiência de apoio que se faz através da prática de valores compartilhados no grupo” para que o indivíduo possa “manter o autorrespeito” e a “autoestima” ao longo de sua vida (Honneth, 2013, p. 77).</w:t>
      </w:r>
    </w:p>
    <w:p w:rsidR="00000000" w:rsidDel="00000000" w:rsidP="00000000" w:rsidRDefault="00000000" w:rsidRPr="00000000" w14:paraId="000000AC">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o grupo social, em última análise, seria toda a humanidade, o indivíduo pode até cruzar fronteiras em busca da experiência compartilhada de apoio. Neste sentido, o último tema para a discussão dos resultados anteriormente descritos se refere à ajuda internacional.</w:t>
      </w:r>
    </w:p>
    <w:p w:rsidR="00000000" w:rsidDel="00000000" w:rsidP="00000000" w:rsidRDefault="00000000" w:rsidRPr="00000000" w14:paraId="000000AD">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Ajuda sem Fronteiras: A Rede Humanitária Internacional</w:t>
      </w:r>
      <w:r w:rsidDel="00000000" w:rsidR="00000000" w:rsidRPr="00000000">
        <w:rPr>
          <w:rtl w:val="0"/>
        </w:rPr>
      </w:r>
    </w:p>
    <w:p w:rsidR="00000000" w:rsidDel="00000000" w:rsidP="00000000" w:rsidRDefault="00000000" w:rsidRPr="00000000" w14:paraId="000000AF">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várias limitações nos campos, anteriormente vistas, são fruto de uma desigualdade global ou internacional pela qual, enquanto alguns se deslocam pela insuficiência de recursos, outros buscam com isto redistribuir certos recursos excedentes em seu local de origem.</w:t>
      </w:r>
    </w:p>
    <w:p w:rsidR="00000000" w:rsidDel="00000000" w:rsidP="00000000" w:rsidRDefault="00000000" w:rsidRPr="00000000" w14:paraId="000000B0">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deslocamentos em prol da ajuda humanitária, os meios de comunicação seriam motivadores centrais, uma vez que propiciam “. . . uma rede que aprimora a comunicação mundial, permitindo que o destinatário se familiarize com e até participe de outros grupos e culturas, reduzindo assim sua estranheza” (Hinde, 1991, p. 267).</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Para isto, caberia rever os modos tanto como se estruturam quanto como se divulgam as ações humanitárias.</w:t>
      </w:r>
    </w:p>
    <w:p w:rsidR="00000000" w:rsidDel="00000000" w:rsidP="00000000" w:rsidRDefault="00000000" w:rsidRPr="00000000" w14:paraId="000000B1">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Acerca do conteúdo frequentemente divulgado nas mídias sobre as ações humanitárias — incômodo que comparece também em uma das entrevistas, importa notar o que também se esconde. De acordo com Hinde (2007, p. 9):</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“O que os jornais não relatam são os inúmeros atos de bondade e cooperação que a maioria de nós recebe todos os dias.” Mudar este conteúdo significaria, ainda, mudar também as representações tanto de quem presta a ajuda quanto de quem a recebe, reduzindo o estigma entre ambos. Conforme diz Hinde (1991, p. 6): “A confiança de que crenças e valores são compartilhados pode ser essencial para a confiança e o comprometimento”,</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que, como visto, levam tempo para serem construídos nos campos.</w:t>
      </w:r>
    </w:p>
    <w:p w:rsidR="00000000" w:rsidDel="00000000" w:rsidP="00000000" w:rsidRDefault="00000000" w:rsidRPr="00000000" w14:paraId="000000B2">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Acerca da estrutura da ajuda humanitária, a demanda de que os Estados tomem para si o papel de formar pessoas mais conscientes das situações de emergência já seria importante. Enquanto isto não ocorre, todavia, a qualificação desses debates em todos os níveis de formação e em todos os níveis das relações interpessoais já promoveria, em alguma medida, o reconhecimento dos direitos dos refugiados, inclusive, a saírem dos campos e desses arranjos análogos para se integrarem plenamente em outros países e outras sociedades de acolhida.</w:t>
      </w:r>
    </w:p>
    <w:p w:rsidR="00000000" w:rsidDel="00000000" w:rsidP="00000000" w:rsidRDefault="00000000" w:rsidRPr="00000000" w14:paraId="000000B3">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widowControl w:val="0"/>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B5">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prsente pesquisa trouxe relatos que debatem aspectos centrais da provisão de ajuda humanitária em campos de refugiados e arranjos igualmente precários, segundo a visão de dez prestadores de ajuda. Idealmente, estes debates deveriam incluir aspectos frequentemente relegados ao segundo plano, como aspectos políticos e geopolíticos da prestação desta ajuda. Na prática, porém, mais discussões e teorias acerca destas realidades, no geral, relegadas ao segundo plano por áreas como o Direito e a Psicologia já seriam, por si, um grande avanço.</w:t>
      </w:r>
    </w:p>
    <w:p w:rsidR="00000000" w:rsidDel="00000000" w:rsidP="00000000" w:rsidRDefault="00000000" w:rsidRPr="00000000" w14:paraId="000000B7">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Referências</w:t>
      </w:r>
      <w:r w:rsidDel="00000000" w:rsidR="00000000" w:rsidRPr="00000000">
        <w:rPr>
          <w:rtl w:val="0"/>
        </w:rPr>
      </w:r>
    </w:p>
    <w:p w:rsidR="00000000" w:rsidDel="00000000" w:rsidP="00000000" w:rsidRDefault="00000000" w:rsidRPr="00000000" w14:paraId="000000B9">
      <w:pPr>
        <w:widowControl w:val="0"/>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Alto Comissariado das Nações Unidas para Refugiados / ACNUR (2004). </w:t>
      </w:r>
      <w:r w:rsidDel="00000000" w:rsidR="00000000" w:rsidRPr="00000000">
        <w:rPr>
          <w:rFonts w:ascii="Times New Roman" w:cs="Times New Roman" w:eastAsia="Times New Roman" w:hAnsi="Times New Roman"/>
          <w:i w:val="1"/>
          <w:sz w:val="24"/>
          <w:szCs w:val="24"/>
          <w:rtl w:val="0"/>
        </w:rPr>
        <w:t xml:space="preserve">Protracted refugee situations</w:t>
      </w:r>
      <w:r w:rsidDel="00000000" w:rsidR="00000000" w:rsidRPr="00000000">
        <w:rPr>
          <w:rFonts w:ascii="Times New Roman" w:cs="Times New Roman" w:eastAsia="Times New Roman" w:hAnsi="Times New Roman"/>
          <w:sz w:val="24"/>
          <w:szCs w:val="24"/>
          <w:rtl w:val="0"/>
        </w:rPr>
        <w:t xml:space="preserve">. Nações Unidas.</w:t>
      </w:r>
    </w:p>
    <w:p w:rsidR="00000000" w:rsidDel="00000000" w:rsidP="00000000" w:rsidRDefault="00000000" w:rsidRPr="00000000" w14:paraId="000000BB">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Alto Comissariado das Nações Unidas para Refugiados / ACNUR (2006). </w:t>
      </w:r>
      <w:r w:rsidDel="00000000" w:rsidR="00000000" w:rsidRPr="00000000">
        <w:rPr>
          <w:rFonts w:ascii="Times New Roman" w:cs="Times New Roman" w:eastAsia="Times New Roman" w:hAnsi="Times New Roman"/>
          <w:i w:val="1"/>
          <w:sz w:val="24"/>
          <w:szCs w:val="24"/>
          <w:rtl w:val="0"/>
        </w:rPr>
        <w:t xml:space="preserve">Practical guide to the systematic use of standards and indicators in UNHCR operations</w:t>
      </w:r>
      <w:r w:rsidDel="00000000" w:rsidR="00000000" w:rsidRPr="00000000">
        <w:rPr>
          <w:rFonts w:ascii="Times New Roman" w:cs="Times New Roman" w:eastAsia="Times New Roman" w:hAnsi="Times New Roman"/>
          <w:sz w:val="24"/>
          <w:szCs w:val="24"/>
          <w:rtl w:val="0"/>
        </w:rPr>
        <w:t xml:space="preserve">. Nações Unidas.</w:t>
      </w:r>
    </w:p>
    <w:p w:rsidR="00000000" w:rsidDel="00000000" w:rsidP="00000000" w:rsidRDefault="00000000" w:rsidRPr="00000000" w14:paraId="000000BC">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Alto Comissariado das Nações Unidas para Refugiados / ACNUR (2020). </w:t>
      </w:r>
      <w:r w:rsidDel="00000000" w:rsidR="00000000" w:rsidRPr="00000000">
        <w:rPr>
          <w:rFonts w:ascii="Times New Roman" w:cs="Times New Roman" w:eastAsia="Times New Roman" w:hAnsi="Times New Roman"/>
          <w:i w:val="1"/>
          <w:sz w:val="24"/>
          <w:szCs w:val="24"/>
          <w:rtl w:val="0"/>
        </w:rPr>
        <w:t xml:space="preserve">Global trends: Forced displacement in 2019</w:t>
      </w:r>
      <w:r w:rsidDel="00000000" w:rsidR="00000000" w:rsidRPr="00000000">
        <w:rPr>
          <w:rFonts w:ascii="Times New Roman" w:cs="Times New Roman" w:eastAsia="Times New Roman" w:hAnsi="Times New Roman"/>
          <w:sz w:val="24"/>
          <w:szCs w:val="24"/>
          <w:rtl w:val="0"/>
        </w:rPr>
        <w:t xml:space="preserve">. Nações Unidas.</w:t>
      </w:r>
    </w:p>
    <w:p w:rsidR="00000000" w:rsidDel="00000000" w:rsidP="00000000" w:rsidRDefault="00000000" w:rsidRPr="00000000" w14:paraId="000000BD">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Braun, V., &amp; Clarke, V. (2006). Using thematic analysis in Psychology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Qualitative Research in Psychology</w:t>
      </w:r>
      <w:r w:rsidDel="00000000" w:rsidR="00000000" w:rsidRPr="00000000">
        <w:rPr>
          <w:rFonts w:ascii="Times New Roman" w:cs="Times New Roman" w:eastAsia="Times New Roman" w:hAnsi="Times New Roman"/>
          <w:sz w:val="24"/>
          <w:szCs w:val="24"/>
          <w:rtl w:val="0"/>
        </w:rPr>
        <w:t xml:space="preserve">, 3 (2). 77–101.</w:t>
      </w:r>
    </w:p>
    <w:p w:rsidR="00000000" w:rsidDel="00000000" w:rsidP="00000000" w:rsidRDefault="00000000" w:rsidRPr="00000000" w14:paraId="000000BE">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4"/>
          <w:szCs w:val="24"/>
          <w:rtl w:val="0"/>
        </w:rPr>
        <w:t xml:space="preserve">Capitão, C. G., &amp; Villemor-Amaral, A. E. (2014). A pesquisa com estudo de caso. M. N. Batista, &amp; D. C. Campos (Orgs.). </w:t>
      </w:r>
      <w:r w:rsidDel="00000000" w:rsidR="00000000" w:rsidRPr="00000000">
        <w:rPr>
          <w:rFonts w:ascii="Times New Roman" w:cs="Times New Roman" w:eastAsia="Times New Roman" w:hAnsi="Times New Roman"/>
          <w:i w:val="1"/>
          <w:sz w:val="24"/>
          <w:szCs w:val="24"/>
          <w:rtl w:val="0"/>
        </w:rPr>
        <w:t xml:space="preserve">Metodologias de pesquisa em ciências: Análises qualitativa e quantitativa</w:t>
      </w:r>
      <w:r w:rsidDel="00000000" w:rsidR="00000000" w:rsidRPr="00000000">
        <w:rPr>
          <w:rFonts w:ascii="Times New Roman" w:cs="Times New Roman" w:eastAsia="Times New Roman" w:hAnsi="Times New Roman"/>
          <w:sz w:val="24"/>
          <w:szCs w:val="24"/>
          <w:rtl w:val="0"/>
        </w:rPr>
        <w:t xml:space="preserve">. LTC. 238–253.</w:t>
      </w:r>
      <w:r w:rsidDel="00000000" w:rsidR="00000000" w:rsidRPr="00000000">
        <w:rPr>
          <w:rtl w:val="0"/>
        </w:rPr>
      </w:r>
    </w:p>
    <w:p w:rsidR="00000000" w:rsidDel="00000000" w:rsidP="00000000" w:rsidRDefault="00000000" w:rsidRPr="00000000" w14:paraId="000000BF">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Flick, U. (2008). “Entrevista episódica”. In: Bauer, Martin W.; Gaskell, G. (eds.). </w:t>
      </w:r>
      <w:r w:rsidDel="00000000" w:rsidR="00000000" w:rsidRPr="00000000">
        <w:rPr>
          <w:rFonts w:ascii="Times New Roman" w:cs="Times New Roman" w:eastAsia="Times New Roman" w:hAnsi="Times New Roman"/>
          <w:i w:val="1"/>
          <w:sz w:val="24"/>
          <w:szCs w:val="24"/>
          <w:rtl w:val="0"/>
        </w:rPr>
        <w:t xml:space="preserve">Pesquisa qualitativa com texto, imagem e som: Um manual prático.</w:t>
      </w:r>
      <w:r w:rsidDel="00000000" w:rsidR="00000000" w:rsidRPr="00000000">
        <w:rPr>
          <w:rFonts w:ascii="Times New Roman" w:cs="Times New Roman" w:eastAsia="Times New Roman" w:hAnsi="Times New Roman"/>
          <w:sz w:val="24"/>
          <w:szCs w:val="24"/>
          <w:rtl w:val="0"/>
        </w:rPr>
        <w:t xml:space="preserve"> Ed. Vozes (7a ed.), 114–136.</w:t>
      </w:r>
    </w:p>
    <w:p w:rsidR="00000000" w:rsidDel="00000000" w:rsidP="00000000" w:rsidRDefault="00000000" w:rsidRPr="00000000" w14:paraId="000000C0">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4"/>
          <w:szCs w:val="24"/>
          <w:rtl w:val="0"/>
        </w:rPr>
        <w:t xml:space="preserve">Flick, U. (2013). </w:t>
      </w:r>
      <w:r w:rsidDel="00000000" w:rsidR="00000000" w:rsidRPr="00000000">
        <w:rPr>
          <w:rFonts w:ascii="Times New Roman" w:cs="Times New Roman" w:eastAsia="Times New Roman" w:hAnsi="Times New Roman"/>
          <w:i w:val="1"/>
          <w:sz w:val="24"/>
          <w:szCs w:val="24"/>
          <w:rtl w:val="0"/>
        </w:rPr>
        <w:t xml:space="preserve">Introdução à metodologia de pesquisa: guia para iniciantes</w:t>
      </w:r>
      <w:r w:rsidDel="00000000" w:rsidR="00000000" w:rsidRPr="00000000">
        <w:rPr>
          <w:rFonts w:ascii="Times New Roman" w:cs="Times New Roman" w:eastAsia="Times New Roman" w:hAnsi="Times New Roman"/>
          <w:sz w:val="24"/>
          <w:szCs w:val="24"/>
          <w:rtl w:val="0"/>
        </w:rPr>
        <w:t xml:space="preserve">. Ed. Penso.</w:t>
      </w:r>
      <w:r w:rsidDel="00000000" w:rsidR="00000000" w:rsidRPr="00000000">
        <w:rPr>
          <w:rtl w:val="0"/>
        </w:rPr>
      </w:r>
    </w:p>
    <w:p w:rsidR="00000000" w:rsidDel="00000000" w:rsidP="00000000" w:rsidRDefault="00000000" w:rsidRPr="00000000" w14:paraId="000000C1">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4"/>
          <w:szCs w:val="24"/>
          <w:rtl w:val="0"/>
        </w:rPr>
        <w:t xml:space="preserve">Fultz, J. &amp; Cialdini, R. B. (1991). Situational and personality determinants of the quantity and quality of helping. Hinde, R. A., &amp; Groebel, J. (Orgs.). </w:t>
      </w:r>
      <w:r w:rsidDel="00000000" w:rsidR="00000000" w:rsidRPr="00000000">
        <w:rPr>
          <w:rFonts w:ascii="Times New Roman" w:cs="Times New Roman" w:eastAsia="Times New Roman" w:hAnsi="Times New Roman"/>
          <w:i w:val="1"/>
          <w:sz w:val="24"/>
          <w:szCs w:val="24"/>
          <w:rtl w:val="0"/>
        </w:rPr>
        <w:t xml:space="preserve">Cooperation and Prosocial </w:t>
      </w:r>
      <w:r w:rsidDel="00000000" w:rsidR="00000000" w:rsidRPr="00000000">
        <w:rPr>
          <w:rFonts w:ascii="Times New Roman" w:cs="Times New Roman" w:eastAsia="Times New Roman" w:hAnsi="Times New Roman"/>
          <w:i w:val="1"/>
          <w:sz w:val="24"/>
          <w:szCs w:val="24"/>
          <w:rtl w:val="0"/>
        </w:rPr>
        <w:t xml:space="preserve">Behaviour</w:t>
      </w:r>
      <w:r w:rsidDel="00000000" w:rsidR="00000000" w:rsidRPr="00000000">
        <w:rPr>
          <w:rFonts w:ascii="Times New Roman" w:cs="Times New Roman" w:eastAsia="Times New Roman" w:hAnsi="Times New Roman"/>
          <w:sz w:val="24"/>
          <w:szCs w:val="24"/>
          <w:rtl w:val="0"/>
        </w:rPr>
        <w:t xml:space="preserve">, 135–146.</w:t>
      </w:r>
      <w:r w:rsidDel="00000000" w:rsidR="00000000" w:rsidRPr="00000000">
        <w:rPr>
          <w:rtl w:val="0"/>
        </w:rPr>
      </w:r>
    </w:p>
    <w:p w:rsidR="00000000" w:rsidDel="00000000" w:rsidP="00000000" w:rsidRDefault="00000000" w:rsidRPr="00000000" w14:paraId="000000C2">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Gagliato, M. F. (2018). </w:t>
      </w:r>
      <w:r w:rsidDel="00000000" w:rsidR="00000000" w:rsidRPr="00000000">
        <w:rPr>
          <w:rFonts w:ascii="Times New Roman" w:cs="Times New Roman" w:eastAsia="Times New Roman" w:hAnsi="Times New Roman"/>
          <w:i w:val="1"/>
          <w:color w:val="111111"/>
          <w:sz w:val="24"/>
          <w:szCs w:val="24"/>
          <w:rtl w:val="0"/>
        </w:rPr>
        <w:t xml:space="preserve">Saúde Mental e Apoio Psicossocial em emergências humanitárias: uma análise crítica entre políticas e práticas atuais de assistência</w:t>
      </w:r>
      <w:r w:rsidDel="00000000" w:rsidR="00000000" w:rsidRPr="00000000">
        <w:rPr>
          <w:rFonts w:ascii="Times New Roman" w:cs="Times New Roman" w:eastAsia="Times New Roman" w:hAnsi="Times New Roman"/>
          <w:color w:val="111111"/>
          <w:sz w:val="24"/>
          <w:szCs w:val="24"/>
          <w:rtl w:val="0"/>
        </w:rPr>
        <w:t xml:space="preserve">. 163 p. Tese (Doutorado em Saúde Global e Sustentabilidade), Faculdade de Saúde Pública, Universidade de São Paulo (USP), São Paulo. </w:t>
      </w:r>
      <w:hyperlink r:id="rId7">
        <w:r w:rsidDel="00000000" w:rsidR="00000000" w:rsidRPr="00000000">
          <w:rPr>
            <w:rFonts w:ascii="Times New Roman" w:cs="Times New Roman" w:eastAsia="Times New Roman" w:hAnsi="Times New Roman"/>
            <w:color w:val="111111"/>
            <w:sz w:val="24"/>
            <w:szCs w:val="24"/>
            <w:u w:val="single"/>
            <w:rtl w:val="0"/>
          </w:rPr>
          <w:t xml:space="preserve">https://doi.org/10.11606/T.6.2019.tde-21032019-170435</w:t>
        </w:r>
      </w:hyperlink>
      <w:r w:rsidDel="00000000" w:rsidR="00000000" w:rsidRPr="00000000">
        <w:rPr>
          <w:rFonts w:ascii="Times New Roman" w:cs="Times New Roman" w:eastAsia="Times New Roman" w:hAnsi="Times New Roman"/>
          <w:color w:val="111111"/>
          <w:sz w:val="24"/>
          <w:szCs w:val="24"/>
          <w:rtl w:val="0"/>
        </w:rPr>
        <w:t xml:space="preserve">. </w:t>
      </w:r>
    </w:p>
    <w:p w:rsidR="00000000" w:rsidDel="00000000" w:rsidP="00000000" w:rsidRDefault="00000000" w:rsidRPr="00000000" w14:paraId="000000C3">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Hinde, R. A. (1987). </w:t>
      </w:r>
      <w:r w:rsidDel="00000000" w:rsidR="00000000" w:rsidRPr="00000000">
        <w:rPr>
          <w:rFonts w:ascii="Times New Roman" w:cs="Times New Roman" w:eastAsia="Times New Roman" w:hAnsi="Times New Roman"/>
          <w:i w:val="1"/>
          <w:color w:val="111111"/>
          <w:sz w:val="24"/>
          <w:szCs w:val="24"/>
          <w:rtl w:val="0"/>
        </w:rPr>
        <w:t xml:space="preserve">Individuals, relationsh</w:t>
      </w:r>
      <w:r w:rsidDel="00000000" w:rsidR="00000000" w:rsidRPr="00000000">
        <w:rPr>
          <w:rFonts w:ascii="Times New Roman" w:cs="Times New Roman" w:eastAsia="Times New Roman" w:hAnsi="Times New Roman"/>
          <w:i w:val="1"/>
          <w:sz w:val="24"/>
          <w:szCs w:val="24"/>
          <w:rtl w:val="0"/>
        </w:rPr>
        <w:t xml:space="preserve">ips and culture: Links between ethology and social sciences. </w:t>
      </w:r>
      <w:r w:rsidDel="00000000" w:rsidR="00000000" w:rsidRPr="00000000">
        <w:rPr>
          <w:rFonts w:ascii="Times New Roman" w:cs="Times New Roman" w:eastAsia="Times New Roman" w:hAnsi="Times New Roman"/>
          <w:sz w:val="24"/>
          <w:szCs w:val="24"/>
          <w:rtl w:val="0"/>
        </w:rPr>
        <w:t xml:space="preserve">Cambridge University Press.</w:t>
      </w:r>
    </w:p>
    <w:p w:rsidR="00000000" w:rsidDel="00000000" w:rsidP="00000000" w:rsidRDefault="00000000" w:rsidRPr="00000000" w14:paraId="000000C4">
      <w:pPr>
        <w:widowControl w:val="0"/>
        <w:spacing w:line="360" w:lineRule="auto"/>
        <w:ind w:left="560" w:hanging="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Hinde, R. A. (1997). </w:t>
      </w:r>
      <w:r w:rsidDel="00000000" w:rsidR="00000000" w:rsidRPr="00000000">
        <w:rPr>
          <w:rFonts w:ascii="Times New Roman" w:cs="Times New Roman" w:eastAsia="Times New Roman" w:hAnsi="Times New Roman"/>
          <w:i w:val="1"/>
          <w:sz w:val="24"/>
          <w:szCs w:val="24"/>
          <w:rtl w:val="0"/>
        </w:rPr>
        <w:t xml:space="preserve">Relationships: A dialectical perspective.</w:t>
      </w:r>
      <w:r w:rsidDel="00000000" w:rsidR="00000000" w:rsidRPr="00000000">
        <w:rPr>
          <w:rFonts w:ascii="Times New Roman" w:cs="Times New Roman" w:eastAsia="Times New Roman" w:hAnsi="Times New Roman"/>
          <w:sz w:val="24"/>
          <w:szCs w:val="24"/>
          <w:rtl w:val="0"/>
        </w:rPr>
        <w:t xml:space="preserve"> Psychology Press.</w:t>
      </w:r>
    </w:p>
    <w:p w:rsidR="00000000" w:rsidDel="00000000" w:rsidP="00000000" w:rsidRDefault="00000000" w:rsidRPr="00000000" w14:paraId="000000C5">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Hinde, R. A. (2007). </w:t>
      </w:r>
      <w:r w:rsidDel="00000000" w:rsidR="00000000" w:rsidRPr="00000000">
        <w:rPr>
          <w:rFonts w:ascii="Times New Roman" w:cs="Times New Roman" w:eastAsia="Times New Roman" w:hAnsi="Times New Roman"/>
          <w:i w:val="1"/>
          <w:sz w:val="24"/>
          <w:szCs w:val="24"/>
          <w:rtl w:val="0"/>
        </w:rPr>
        <w:t xml:space="preserve">Bending the Rules: Morality in the Modern World - From Relationships to Politics and War</w:t>
      </w:r>
      <w:r w:rsidDel="00000000" w:rsidR="00000000" w:rsidRPr="00000000">
        <w:rPr>
          <w:rFonts w:ascii="Times New Roman" w:cs="Times New Roman" w:eastAsia="Times New Roman" w:hAnsi="Times New Roman"/>
          <w:sz w:val="24"/>
          <w:szCs w:val="24"/>
          <w:rtl w:val="0"/>
        </w:rPr>
        <w:t xml:space="preserve">. N. York: Oxford University Press.</w:t>
      </w:r>
    </w:p>
    <w:p w:rsidR="00000000" w:rsidDel="00000000" w:rsidP="00000000" w:rsidRDefault="00000000" w:rsidRPr="00000000" w14:paraId="000000C6">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Hinde, R. A., &amp; Groebel, J. (1991). </w:t>
      </w:r>
      <w:r w:rsidDel="00000000" w:rsidR="00000000" w:rsidRPr="00000000">
        <w:rPr>
          <w:rFonts w:ascii="Times New Roman" w:cs="Times New Roman" w:eastAsia="Times New Roman" w:hAnsi="Times New Roman"/>
          <w:i w:val="1"/>
          <w:sz w:val="24"/>
          <w:szCs w:val="24"/>
          <w:rtl w:val="0"/>
        </w:rPr>
        <w:t xml:space="preserve">Cooperation and prosocial behaviour</w:t>
      </w:r>
      <w:r w:rsidDel="00000000" w:rsidR="00000000" w:rsidRPr="00000000">
        <w:rPr>
          <w:rFonts w:ascii="Times New Roman" w:cs="Times New Roman" w:eastAsia="Times New Roman" w:hAnsi="Times New Roman"/>
          <w:sz w:val="24"/>
          <w:szCs w:val="24"/>
          <w:rtl w:val="0"/>
        </w:rPr>
        <w:t xml:space="preserve">. N. York: Cambridge University Press.</w:t>
      </w:r>
    </w:p>
    <w:p w:rsidR="00000000" w:rsidDel="00000000" w:rsidP="00000000" w:rsidRDefault="00000000" w:rsidRPr="00000000" w14:paraId="000000C7">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Honneth, A. (1992). Integrity and disrespect: principles of a conception of morality based on the theory of recognition. </w:t>
      </w:r>
      <w:r w:rsidDel="00000000" w:rsidR="00000000" w:rsidRPr="00000000">
        <w:rPr>
          <w:rFonts w:ascii="Times New Roman" w:cs="Times New Roman" w:eastAsia="Times New Roman" w:hAnsi="Times New Roman"/>
          <w:i w:val="1"/>
          <w:sz w:val="24"/>
          <w:szCs w:val="24"/>
          <w:rtl w:val="0"/>
        </w:rPr>
        <w:t xml:space="preserve">Political Theory, 20</w:t>
      </w:r>
      <w:r w:rsidDel="00000000" w:rsidR="00000000" w:rsidRPr="00000000">
        <w:rPr>
          <w:rFonts w:ascii="Times New Roman" w:cs="Times New Roman" w:eastAsia="Times New Roman" w:hAnsi="Times New Roman"/>
          <w:sz w:val="24"/>
          <w:szCs w:val="24"/>
          <w:rtl w:val="0"/>
        </w:rPr>
        <w:t xml:space="preserve"> (2), 187–201.</w:t>
      </w:r>
    </w:p>
    <w:p w:rsidR="00000000" w:rsidDel="00000000" w:rsidP="00000000" w:rsidRDefault="00000000" w:rsidRPr="00000000" w14:paraId="000000C8">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Honneth, A. (2003). </w:t>
      </w:r>
      <w:r w:rsidDel="00000000" w:rsidR="00000000" w:rsidRPr="00000000">
        <w:rPr>
          <w:rFonts w:ascii="Times New Roman" w:cs="Times New Roman" w:eastAsia="Times New Roman" w:hAnsi="Times New Roman"/>
          <w:i w:val="1"/>
          <w:sz w:val="24"/>
          <w:szCs w:val="24"/>
          <w:rtl w:val="0"/>
        </w:rPr>
        <w:t xml:space="preserve">Luta por reconhecimento:</w:t>
      </w:r>
      <w:r w:rsidDel="00000000" w:rsidR="00000000" w:rsidRPr="00000000">
        <w:rPr>
          <w:rFonts w:ascii="Times New Roman" w:cs="Times New Roman" w:eastAsia="Times New Roman" w:hAnsi="Times New Roman"/>
          <w:sz w:val="24"/>
          <w:szCs w:val="24"/>
          <w:rtl w:val="0"/>
        </w:rPr>
        <w:t xml:space="preserve"> a gramática moral dos conflitos sociais. (Tradução: Luiz Repa). São Paulo: Editora 34.</w:t>
      </w:r>
    </w:p>
    <w:p w:rsidR="00000000" w:rsidDel="00000000" w:rsidP="00000000" w:rsidRDefault="00000000" w:rsidRPr="00000000" w14:paraId="000000C9">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Honneth, A. (2013). O eu no nós: reconhecimento como força motriz de grupos. </w:t>
      </w:r>
      <w:r w:rsidDel="00000000" w:rsidR="00000000" w:rsidRPr="00000000">
        <w:rPr>
          <w:rFonts w:ascii="Times New Roman" w:cs="Times New Roman" w:eastAsia="Times New Roman" w:hAnsi="Times New Roman"/>
          <w:i w:val="1"/>
          <w:color w:val="111111"/>
          <w:sz w:val="24"/>
          <w:szCs w:val="24"/>
          <w:rtl w:val="0"/>
        </w:rPr>
        <w:t xml:space="preserve">Sociologias</w:t>
      </w:r>
      <w:r w:rsidDel="00000000" w:rsidR="00000000" w:rsidRPr="00000000">
        <w:rPr>
          <w:rFonts w:ascii="Times New Roman" w:cs="Times New Roman" w:eastAsia="Times New Roman" w:hAnsi="Times New Roman"/>
          <w:color w:val="111111"/>
          <w:sz w:val="24"/>
          <w:szCs w:val="24"/>
          <w:rtl w:val="0"/>
        </w:rPr>
        <w:t xml:space="preserve">, </w:t>
      </w:r>
      <w:r w:rsidDel="00000000" w:rsidR="00000000" w:rsidRPr="00000000">
        <w:rPr>
          <w:rFonts w:ascii="Times New Roman" w:cs="Times New Roman" w:eastAsia="Times New Roman" w:hAnsi="Times New Roman"/>
          <w:i w:val="1"/>
          <w:color w:val="111111"/>
          <w:sz w:val="24"/>
          <w:szCs w:val="24"/>
          <w:rtl w:val="0"/>
        </w:rPr>
        <w:t xml:space="preserve">15</w:t>
      </w:r>
      <w:r w:rsidDel="00000000" w:rsidR="00000000" w:rsidRPr="00000000">
        <w:rPr>
          <w:rFonts w:ascii="Times New Roman" w:cs="Times New Roman" w:eastAsia="Times New Roman" w:hAnsi="Times New Roman"/>
          <w:color w:val="111111"/>
          <w:sz w:val="24"/>
          <w:szCs w:val="24"/>
          <w:rtl w:val="0"/>
        </w:rPr>
        <w:t xml:space="preserve">(33), 56–80. </w:t>
      </w:r>
      <w:hyperlink r:id="rId8">
        <w:r w:rsidDel="00000000" w:rsidR="00000000" w:rsidRPr="00000000">
          <w:rPr>
            <w:rFonts w:ascii="Times New Roman" w:cs="Times New Roman" w:eastAsia="Times New Roman" w:hAnsi="Times New Roman"/>
            <w:color w:val="111111"/>
            <w:sz w:val="24"/>
            <w:szCs w:val="24"/>
            <w:u w:val="single"/>
            <w:rtl w:val="0"/>
          </w:rPr>
          <w:t xml:space="preserve">https://doi.org/10.1590/S1517-45222013000200003</w:t>
        </w:r>
      </w:hyperlink>
      <w:r w:rsidDel="00000000" w:rsidR="00000000" w:rsidRPr="00000000">
        <w:rPr>
          <w:rFonts w:ascii="Times New Roman" w:cs="Times New Roman" w:eastAsia="Times New Roman" w:hAnsi="Times New Roman"/>
          <w:color w:val="111111"/>
          <w:sz w:val="24"/>
          <w:szCs w:val="24"/>
          <w:rtl w:val="0"/>
        </w:rPr>
        <w:t xml:space="preserve"> </w:t>
      </w:r>
    </w:p>
    <w:p w:rsidR="00000000" w:rsidDel="00000000" w:rsidP="00000000" w:rsidRDefault="00000000" w:rsidRPr="00000000" w14:paraId="000000CA">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Inter-Agency Standing Committee. (2007). </w:t>
      </w:r>
      <w:r w:rsidDel="00000000" w:rsidR="00000000" w:rsidRPr="00000000">
        <w:rPr>
          <w:rFonts w:ascii="Times New Roman" w:cs="Times New Roman" w:eastAsia="Times New Roman" w:hAnsi="Times New Roman"/>
          <w:i w:val="1"/>
          <w:sz w:val="24"/>
          <w:szCs w:val="24"/>
          <w:rtl w:val="0"/>
        </w:rPr>
        <w:t xml:space="preserve">Diretrizes do IASC sobre Saúde Mental e Apoio Psicossocial em emergências humanitárias</w:t>
      </w:r>
      <w:r w:rsidDel="00000000" w:rsidR="00000000" w:rsidRPr="00000000">
        <w:rPr>
          <w:rFonts w:ascii="Times New Roman" w:cs="Times New Roman" w:eastAsia="Times New Roman" w:hAnsi="Times New Roman"/>
          <w:sz w:val="24"/>
          <w:szCs w:val="24"/>
          <w:rtl w:val="0"/>
        </w:rPr>
        <w:t xml:space="preserve">. Trad.: Márcio Gagliato.</w:t>
      </w:r>
    </w:p>
    <w:p w:rsidR="00000000" w:rsidDel="00000000" w:rsidP="00000000" w:rsidRDefault="00000000" w:rsidRPr="00000000" w14:paraId="000000CB">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Junger, G., Cavalcanti, L., Oliveira, T., &amp; Silva, B. G. (2014). </w:t>
      </w:r>
      <w:r w:rsidDel="00000000" w:rsidR="00000000" w:rsidRPr="00000000">
        <w:rPr>
          <w:rFonts w:ascii="Times New Roman" w:cs="Times New Roman" w:eastAsia="Times New Roman" w:hAnsi="Times New Roman"/>
          <w:i w:val="1"/>
          <w:color w:val="111111"/>
          <w:sz w:val="24"/>
          <w:szCs w:val="24"/>
          <w:rtl w:val="0"/>
        </w:rPr>
        <w:t xml:space="preserve">Refúgio em números</w:t>
      </w:r>
      <w:r w:rsidDel="00000000" w:rsidR="00000000" w:rsidRPr="00000000">
        <w:rPr>
          <w:rFonts w:ascii="Times New Roman" w:cs="Times New Roman" w:eastAsia="Times New Roman" w:hAnsi="Times New Roman"/>
          <w:color w:val="111111"/>
          <w:sz w:val="24"/>
          <w:szCs w:val="24"/>
          <w:rtl w:val="0"/>
        </w:rPr>
        <w:t xml:space="preserve">. Brasília: OBMigra, 7ª Ed. </w:t>
      </w:r>
      <w:hyperlink r:id="rId9">
        <w:r w:rsidDel="00000000" w:rsidR="00000000" w:rsidRPr="00000000">
          <w:rPr>
            <w:rFonts w:ascii="Times New Roman" w:cs="Times New Roman" w:eastAsia="Times New Roman" w:hAnsi="Times New Roman"/>
            <w:color w:val="111111"/>
            <w:sz w:val="24"/>
            <w:szCs w:val="24"/>
            <w:u w:val="single"/>
            <w:rtl w:val="0"/>
          </w:rPr>
          <w:t xml:space="preserve">https://portaldeimigracao.mj.gov.br/pt/dados/refugio-em-numeros</w:t>
        </w:r>
      </w:hyperlink>
      <w:r w:rsidDel="00000000" w:rsidR="00000000" w:rsidRPr="00000000">
        <w:rPr>
          <w:rFonts w:ascii="Times New Roman" w:cs="Times New Roman" w:eastAsia="Times New Roman" w:hAnsi="Times New Roman"/>
          <w:color w:val="111111"/>
          <w:sz w:val="24"/>
          <w:szCs w:val="24"/>
          <w:rtl w:val="0"/>
        </w:rPr>
        <w:t xml:space="preserve">.</w:t>
      </w:r>
    </w:p>
    <w:p w:rsidR="00000000" w:rsidDel="00000000" w:rsidP="00000000" w:rsidRDefault="00000000" w:rsidRPr="00000000" w14:paraId="000000CC">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Organização das Nações Unidas (1951). </w:t>
      </w:r>
      <w:r w:rsidDel="00000000" w:rsidR="00000000" w:rsidRPr="00000000">
        <w:rPr>
          <w:rFonts w:ascii="Times New Roman" w:cs="Times New Roman" w:eastAsia="Times New Roman" w:hAnsi="Times New Roman"/>
          <w:i w:val="1"/>
          <w:color w:val="111111"/>
          <w:sz w:val="24"/>
          <w:szCs w:val="24"/>
          <w:rtl w:val="0"/>
        </w:rPr>
        <w:t xml:space="preserve">Convenção relativa ao estatuto dos refugiados</w:t>
      </w:r>
      <w:r w:rsidDel="00000000" w:rsidR="00000000" w:rsidRPr="00000000">
        <w:rPr>
          <w:rFonts w:ascii="Times New Roman" w:cs="Times New Roman" w:eastAsia="Times New Roman" w:hAnsi="Times New Roman"/>
          <w:color w:val="111111"/>
          <w:sz w:val="24"/>
          <w:szCs w:val="24"/>
          <w:rtl w:val="0"/>
        </w:rPr>
        <w:t xml:space="preserve">.</w:t>
      </w:r>
    </w:p>
    <w:p w:rsidR="00000000" w:rsidDel="00000000" w:rsidP="00000000" w:rsidRDefault="00000000" w:rsidRPr="00000000" w14:paraId="000000CD">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Ramos, E., Donda, E. O. C. S., &amp; Silva, R. C. (2017). Ação Humanitária. Cavalcanti, L., Botega, T., Tonhati, T., Araújo, D. (Orgs.). </w:t>
      </w:r>
      <w:r w:rsidDel="00000000" w:rsidR="00000000" w:rsidRPr="00000000">
        <w:rPr>
          <w:rFonts w:ascii="Times New Roman" w:cs="Times New Roman" w:eastAsia="Times New Roman" w:hAnsi="Times New Roman"/>
          <w:i w:val="1"/>
          <w:color w:val="111111"/>
          <w:sz w:val="24"/>
          <w:szCs w:val="24"/>
          <w:rtl w:val="0"/>
        </w:rPr>
        <w:t xml:space="preserve">Dicionário crítico de migrações internacionais</w:t>
      </w:r>
      <w:r w:rsidDel="00000000" w:rsidR="00000000" w:rsidRPr="00000000">
        <w:rPr>
          <w:rFonts w:ascii="Times New Roman" w:cs="Times New Roman" w:eastAsia="Times New Roman" w:hAnsi="Times New Roman"/>
          <w:color w:val="111111"/>
          <w:sz w:val="24"/>
          <w:szCs w:val="24"/>
          <w:rtl w:val="0"/>
        </w:rPr>
        <w:t xml:space="preserve">. Brasília: UnB. </w:t>
      </w:r>
      <w:hyperlink r:id="rId10">
        <w:r w:rsidDel="00000000" w:rsidR="00000000" w:rsidRPr="00000000">
          <w:rPr>
            <w:rFonts w:ascii="Times New Roman" w:cs="Times New Roman" w:eastAsia="Times New Roman" w:hAnsi="Times New Roman"/>
            <w:color w:val="111111"/>
            <w:sz w:val="24"/>
            <w:szCs w:val="24"/>
            <w:u w:val="single"/>
            <w:rtl w:val="0"/>
          </w:rPr>
          <w:t xml:space="preserve">https://doi.org/10.7476/9788523013400</w:t>
        </w:r>
      </w:hyperlink>
      <w:r w:rsidDel="00000000" w:rsidR="00000000" w:rsidRPr="00000000">
        <w:rPr>
          <w:rtl w:val="0"/>
        </w:rPr>
      </w:r>
    </w:p>
    <w:p w:rsidR="00000000" w:rsidDel="00000000" w:rsidP="00000000" w:rsidRDefault="00000000" w:rsidRPr="00000000" w14:paraId="000000CE">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Rodrigues, A., Assmar, E. M. L., &amp; Jablonski, B. (2009). </w:t>
      </w:r>
      <w:r w:rsidDel="00000000" w:rsidR="00000000" w:rsidRPr="00000000">
        <w:rPr>
          <w:rFonts w:ascii="Times New Roman" w:cs="Times New Roman" w:eastAsia="Times New Roman" w:hAnsi="Times New Roman"/>
          <w:i w:val="1"/>
          <w:color w:val="111111"/>
          <w:sz w:val="24"/>
          <w:szCs w:val="24"/>
          <w:rtl w:val="0"/>
        </w:rPr>
        <w:t xml:space="preserve">Psicologia social</w:t>
      </w:r>
      <w:r w:rsidDel="00000000" w:rsidR="00000000" w:rsidRPr="00000000">
        <w:rPr>
          <w:rFonts w:ascii="Times New Roman" w:cs="Times New Roman" w:eastAsia="Times New Roman" w:hAnsi="Times New Roman"/>
          <w:color w:val="111111"/>
          <w:sz w:val="24"/>
          <w:szCs w:val="24"/>
          <w:rtl w:val="0"/>
        </w:rPr>
        <w:t xml:space="preserve">. Ed. Vozes.</w:t>
      </w:r>
    </w:p>
    <w:p w:rsidR="00000000" w:rsidDel="00000000" w:rsidP="00000000" w:rsidRDefault="00000000" w:rsidRPr="00000000" w14:paraId="000000CF">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Welton-Mitchell, C. E. (2013). </w:t>
      </w:r>
      <w:r w:rsidDel="00000000" w:rsidR="00000000" w:rsidRPr="00000000">
        <w:rPr>
          <w:rFonts w:ascii="Times New Roman" w:cs="Times New Roman" w:eastAsia="Times New Roman" w:hAnsi="Times New Roman"/>
          <w:i w:val="1"/>
          <w:color w:val="111111"/>
          <w:sz w:val="24"/>
          <w:szCs w:val="24"/>
          <w:rtl w:val="0"/>
        </w:rPr>
        <w:t xml:space="preserve">UNHCR’s mental health and psychosocial support</w:t>
      </w:r>
      <w:r w:rsidDel="00000000" w:rsidR="00000000" w:rsidRPr="00000000">
        <w:rPr>
          <w:rFonts w:ascii="Times New Roman" w:cs="Times New Roman" w:eastAsia="Times New Roman" w:hAnsi="Times New Roman"/>
          <w:color w:val="111111"/>
          <w:sz w:val="24"/>
          <w:szCs w:val="24"/>
          <w:rtl w:val="0"/>
        </w:rPr>
        <w:t xml:space="preserve">: For staff</w:t>
      </w:r>
      <w:r w:rsidDel="00000000" w:rsidR="00000000" w:rsidRPr="00000000">
        <w:rPr>
          <w:rFonts w:ascii="Times New Roman" w:cs="Times New Roman" w:eastAsia="Times New Roman" w:hAnsi="Times New Roman"/>
          <w:i w:val="1"/>
          <w:color w:val="111111"/>
          <w:sz w:val="24"/>
          <w:szCs w:val="24"/>
          <w:rtl w:val="0"/>
        </w:rPr>
        <w:t xml:space="preserve">.</w:t>
      </w:r>
      <w:r w:rsidDel="00000000" w:rsidR="00000000" w:rsidRPr="00000000">
        <w:rPr>
          <w:rFonts w:ascii="Times New Roman" w:cs="Times New Roman" w:eastAsia="Times New Roman" w:hAnsi="Times New Roman"/>
          <w:color w:val="111111"/>
          <w:sz w:val="24"/>
          <w:szCs w:val="24"/>
          <w:rtl w:val="0"/>
        </w:rPr>
        <w:t xml:space="preserve"> Genebra: Nações Unidas. </w:t>
      </w:r>
      <w:hyperlink r:id="rId11">
        <w:r w:rsidDel="00000000" w:rsidR="00000000" w:rsidRPr="00000000">
          <w:rPr>
            <w:rFonts w:ascii="Times New Roman" w:cs="Times New Roman" w:eastAsia="Times New Roman" w:hAnsi="Times New Roman"/>
            <w:color w:val="111111"/>
            <w:sz w:val="24"/>
            <w:szCs w:val="24"/>
            <w:u w:val="single"/>
            <w:rtl w:val="0"/>
          </w:rPr>
          <w:t xml:space="preserve">https://www.unhcr.org/51f67bdc9.pdf</w:t>
        </w:r>
      </w:hyperlink>
      <w:r w:rsidDel="00000000" w:rsidR="00000000" w:rsidRPr="00000000">
        <w:rPr>
          <w:rFonts w:ascii="Times New Roman" w:cs="Times New Roman" w:eastAsia="Times New Roman" w:hAnsi="Times New Roman"/>
          <w:color w:val="111111"/>
          <w:sz w:val="24"/>
          <w:szCs w:val="24"/>
          <w:rtl w:val="0"/>
        </w:rPr>
        <w:t xml:space="preserve"> </w:t>
      </w:r>
      <w:r w:rsidDel="00000000" w:rsidR="00000000" w:rsidRPr="00000000">
        <w:rPr>
          <w:rtl w:val="0"/>
        </w:rPr>
      </w:r>
    </w:p>
    <w:sectPr>
      <w:footerReference r:id="rId12" w:type="default"/>
      <w:footerReference r:id="rId13" w:type="first"/>
      <w:pgSz w:h="16838" w:w="11906" w:orient="portrait"/>
      <w:pgMar w:bottom="1417.3228346456694" w:top="1417.3228346456694" w:left="1417.3228346456694" w:right="1417.3228346456694"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0">
      <w:pPr>
        <w:spacing w:line="240" w:lineRule="auto"/>
        <w:jc w:val="both"/>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UNHCR. </w:t>
      </w:r>
      <w:r w:rsidDel="00000000" w:rsidR="00000000" w:rsidRPr="00000000">
        <w:rPr>
          <w:rFonts w:ascii="Times New Roman" w:cs="Times New Roman" w:eastAsia="Times New Roman" w:hAnsi="Times New Roman"/>
          <w:i w:val="1"/>
          <w:sz w:val="20"/>
          <w:szCs w:val="20"/>
          <w:rtl w:val="0"/>
        </w:rPr>
        <w:t xml:space="preserve">Solutions</w:t>
      </w:r>
      <w:r w:rsidDel="00000000" w:rsidR="00000000" w:rsidRPr="00000000">
        <w:rPr>
          <w:rFonts w:ascii="Times New Roman" w:cs="Times New Roman" w:eastAsia="Times New Roman" w:hAnsi="Times New Roman"/>
          <w:sz w:val="20"/>
          <w:szCs w:val="20"/>
          <w:rtl w:val="0"/>
        </w:rPr>
        <w:t xml:space="preserve">. Disponível: &lt;</w:t>
      </w:r>
      <w:hyperlink r:id="rId1">
        <w:r w:rsidDel="00000000" w:rsidR="00000000" w:rsidRPr="00000000">
          <w:rPr>
            <w:rFonts w:ascii="Times New Roman" w:cs="Times New Roman" w:eastAsia="Times New Roman" w:hAnsi="Times New Roman"/>
            <w:color w:val="1155cc"/>
            <w:sz w:val="20"/>
            <w:szCs w:val="20"/>
            <w:u w:val="single"/>
            <w:rtl w:val="0"/>
          </w:rPr>
          <w:t xml:space="preserve">https://www.unhcr.org/solutions.html</w:t>
        </w:r>
      </w:hyperlink>
      <w:r w:rsidDel="00000000" w:rsidR="00000000" w:rsidRPr="00000000">
        <w:rPr>
          <w:rFonts w:ascii="Times New Roman" w:cs="Times New Roman" w:eastAsia="Times New Roman" w:hAnsi="Times New Roman"/>
          <w:sz w:val="20"/>
          <w:szCs w:val="20"/>
          <w:rtl w:val="0"/>
        </w:rPr>
        <w:t xml:space="preserve">&gt; [05 jul 19]</w:t>
      </w:r>
      <w:r w:rsidDel="00000000" w:rsidR="00000000" w:rsidRPr="00000000">
        <w:rPr>
          <w:rtl w:val="0"/>
        </w:rPr>
      </w:r>
    </w:p>
  </w:footnote>
  <w:footnote w:id="1">
    <w:p w:rsidR="00000000" w:rsidDel="00000000" w:rsidP="00000000" w:rsidRDefault="00000000" w:rsidRPr="00000000" w14:paraId="000000D1">
      <w:pPr>
        <w:spacing w:line="240" w:lineRule="auto"/>
        <w:jc w:val="both"/>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Inclui 5,3 milhões sob mandato da Agência das Nações Unidas de Assistência aos Refugiados Palestinos (sigla no original, em Inglês: UNRWA).</w:t>
      </w:r>
      <w:r w:rsidDel="00000000" w:rsidR="00000000" w:rsidRPr="00000000">
        <w:rPr>
          <w:rtl w:val="0"/>
        </w:rPr>
      </w:r>
    </w:p>
  </w:footnote>
  <w:footnote w:id="2">
    <w:p w:rsidR="00000000" w:rsidDel="00000000" w:rsidP="00000000" w:rsidRDefault="00000000" w:rsidRPr="00000000" w14:paraId="000000D2">
      <w:pPr>
        <w:spacing w:line="240" w:lineRule="auto"/>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em Inglês: “</w:t>
      </w:r>
      <w:r w:rsidDel="00000000" w:rsidR="00000000" w:rsidRPr="00000000">
        <w:rPr>
          <w:rFonts w:ascii="Times New Roman" w:cs="Times New Roman" w:eastAsia="Times New Roman" w:hAnsi="Times New Roman"/>
          <w:i w:val="1"/>
          <w:sz w:val="20"/>
          <w:szCs w:val="20"/>
          <w:rtl w:val="0"/>
        </w:rPr>
        <w:t xml:space="preserve">For the SIR purposes, refugee camps are settlements which have been established for more than 6 months and have at least 2.500 individuals.</w:t>
      </w:r>
      <w:r w:rsidDel="00000000" w:rsidR="00000000" w:rsidRPr="00000000">
        <w:rPr>
          <w:rFonts w:ascii="Times New Roman" w:cs="Times New Roman" w:eastAsia="Times New Roman" w:hAnsi="Times New Roman"/>
          <w:sz w:val="20"/>
          <w:szCs w:val="20"/>
          <w:rtl w:val="0"/>
        </w:rPr>
        <w:t xml:space="preserve">” Tradução livre.</w:t>
      </w:r>
      <w:r w:rsidDel="00000000" w:rsidR="00000000" w:rsidRPr="00000000">
        <w:rPr>
          <w:rtl w:val="0"/>
        </w:rPr>
      </w:r>
    </w:p>
  </w:footnote>
  <w:footnote w:id="3">
    <w:p w:rsidR="00000000" w:rsidDel="00000000" w:rsidP="00000000" w:rsidRDefault="00000000" w:rsidRPr="00000000" w14:paraId="000000D3">
      <w:pPr>
        <w:spacing w:line="240" w:lineRule="auto"/>
        <w:jc w:val="both"/>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w:t>
      </w:r>
      <w:r w:rsidDel="00000000" w:rsidR="00000000" w:rsidRPr="00000000">
        <w:rPr>
          <w:rFonts w:ascii="Times New Roman" w:cs="Times New Roman" w:eastAsia="Times New Roman" w:hAnsi="Times New Roman"/>
          <w:i w:val="1"/>
          <w:sz w:val="20"/>
          <w:szCs w:val="20"/>
          <w:rtl w:val="0"/>
        </w:rPr>
        <w:t xml:space="preserve">Using a crude measure of refugee populations of 25,000 persons or more who have been in exile for five or more years in developing countries, and excluding Palestinian refugees</w:t>
      </w:r>
      <w:r w:rsidDel="00000000" w:rsidR="00000000" w:rsidRPr="00000000">
        <w:rPr>
          <w:rFonts w:ascii="Times New Roman" w:cs="Times New Roman" w:eastAsia="Times New Roman" w:hAnsi="Times New Roman"/>
          <w:sz w:val="20"/>
          <w:szCs w:val="20"/>
          <w:rtl w:val="0"/>
        </w:rPr>
        <w:t xml:space="preserve">”. Tradução livre.</w:t>
      </w:r>
      <w:r w:rsidDel="00000000" w:rsidR="00000000" w:rsidRPr="00000000">
        <w:rPr>
          <w:rtl w:val="0"/>
        </w:rPr>
      </w:r>
    </w:p>
  </w:footnote>
  <w:footnote w:id="4">
    <w:p w:rsidR="00000000" w:rsidDel="00000000" w:rsidP="00000000" w:rsidRDefault="00000000" w:rsidRPr="00000000" w14:paraId="000000D4">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UNHCR Operational Data Portal: Refugee Situations. </w:t>
      </w:r>
      <w:r w:rsidDel="00000000" w:rsidR="00000000" w:rsidRPr="00000000">
        <w:rPr>
          <w:rFonts w:ascii="Times New Roman" w:cs="Times New Roman" w:eastAsia="Times New Roman" w:hAnsi="Times New Roman"/>
          <w:i w:val="1"/>
          <w:sz w:val="20"/>
          <w:szCs w:val="20"/>
          <w:rtl w:val="0"/>
        </w:rPr>
        <w:t xml:space="preserve">Partners List</w:t>
      </w:r>
      <w:r w:rsidDel="00000000" w:rsidR="00000000" w:rsidRPr="00000000">
        <w:rPr>
          <w:rFonts w:ascii="Times New Roman" w:cs="Times New Roman" w:eastAsia="Times New Roman" w:hAnsi="Times New Roman"/>
          <w:sz w:val="20"/>
          <w:szCs w:val="20"/>
          <w:rtl w:val="0"/>
        </w:rPr>
        <w:t xml:space="preserve">. &lt;</w:t>
      </w:r>
      <w:hyperlink r:id="rId2">
        <w:r w:rsidDel="00000000" w:rsidR="00000000" w:rsidRPr="00000000">
          <w:rPr>
            <w:rFonts w:ascii="Times New Roman" w:cs="Times New Roman" w:eastAsia="Times New Roman" w:hAnsi="Times New Roman"/>
            <w:color w:val="1155cc"/>
            <w:sz w:val="20"/>
            <w:szCs w:val="20"/>
            <w:u w:val="single"/>
            <w:rtl w:val="0"/>
          </w:rPr>
          <w:t xml:space="preserve">https://data.unhcr.org/en/partners</w:t>
        </w:r>
      </w:hyperlink>
      <w:r w:rsidDel="00000000" w:rsidR="00000000" w:rsidRPr="00000000">
        <w:rPr>
          <w:rFonts w:ascii="Times New Roman" w:cs="Times New Roman" w:eastAsia="Times New Roman" w:hAnsi="Times New Roman"/>
          <w:sz w:val="20"/>
          <w:szCs w:val="20"/>
          <w:rtl w:val="0"/>
        </w:rPr>
        <w:t xml:space="preserve">&gt; [18 ago 2022].</w:t>
      </w:r>
    </w:p>
  </w:footnote>
  <w:footnote w:id="5">
    <w:p w:rsidR="00000000" w:rsidDel="00000000" w:rsidP="00000000" w:rsidRDefault="00000000" w:rsidRPr="00000000" w14:paraId="000000D5">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em Inglês: “Thematic analysis is a method for identifying, analysing, and reporting patterns (themes) within data.”</w:t>
      </w:r>
    </w:p>
  </w:footnote>
  <w:footnote w:id="6">
    <w:p w:rsidR="00000000" w:rsidDel="00000000" w:rsidP="00000000" w:rsidRDefault="00000000" w:rsidRPr="00000000" w14:paraId="000000D6">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e na íntegra: “For many moral philosophers the central focus is on how people ought to behave; mine is on how they </w:t>
      </w:r>
      <w:r w:rsidDel="00000000" w:rsidR="00000000" w:rsidRPr="00000000">
        <w:rPr>
          <w:rFonts w:ascii="Times New Roman" w:cs="Times New Roman" w:eastAsia="Times New Roman" w:hAnsi="Times New Roman"/>
          <w:i w:val="1"/>
          <w:sz w:val="20"/>
          <w:szCs w:val="20"/>
          <w:rtl w:val="0"/>
        </w:rPr>
        <w:t xml:space="preserve">think </w:t>
      </w:r>
      <w:r w:rsidDel="00000000" w:rsidR="00000000" w:rsidRPr="00000000">
        <w:rPr>
          <w:rFonts w:ascii="Times New Roman" w:cs="Times New Roman" w:eastAsia="Times New Roman" w:hAnsi="Times New Roman"/>
          <w:sz w:val="20"/>
          <w:szCs w:val="20"/>
          <w:rtl w:val="0"/>
        </w:rPr>
        <w:t xml:space="preserve">they should behave and how they </w:t>
      </w:r>
      <w:r w:rsidDel="00000000" w:rsidR="00000000" w:rsidRPr="00000000">
        <w:rPr>
          <w:rFonts w:ascii="Times New Roman" w:cs="Times New Roman" w:eastAsia="Times New Roman" w:hAnsi="Times New Roman"/>
          <w:i w:val="1"/>
          <w:sz w:val="20"/>
          <w:szCs w:val="20"/>
          <w:rtl w:val="0"/>
        </w:rPr>
        <w:t xml:space="preserve">actually </w:t>
      </w:r>
      <w:r w:rsidDel="00000000" w:rsidR="00000000" w:rsidRPr="00000000">
        <w:rPr>
          <w:rFonts w:ascii="Times New Roman" w:cs="Times New Roman" w:eastAsia="Times New Roman" w:hAnsi="Times New Roman"/>
          <w:sz w:val="20"/>
          <w:szCs w:val="20"/>
          <w:rtl w:val="0"/>
        </w:rPr>
        <w:t xml:space="preserve">behave”. </w:t>
      </w:r>
      <w:r w:rsidDel="00000000" w:rsidR="00000000" w:rsidRPr="00000000">
        <w:rPr>
          <w:rFonts w:ascii="Times New Roman" w:cs="Times New Roman" w:eastAsia="Times New Roman" w:hAnsi="Times New Roman"/>
          <w:i w:val="1"/>
          <w:sz w:val="20"/>
          <w:szCs w:val="20"/>
          <w:rtl w:val="0"/>
        </w:rPr>
        <w:t xml:space="preserve">Grifos</w:t>
      </w:r>
      <w:r w:rsidDel="00000000" w:rsidR="00000000" w:rsidRPr="00000000">
        <w:rPr>
          <w:rFonts w:ascii="Times New Roman" w:cs="Times New Roman" w:eastAsia="Times New Roman" w:hAnsi="Times New Roman"/>
          <w:sz w:val="20"/>
          <w:szCs w:val="20"/>
          <w:rtl w:val="0"/>
        </w:rPr>
        <w:t xml:space="preserve"> no original.</w:t>
      </w:r>
    </w:p>
  </w:footnote>
  <w:footnote w:id="7">
    <w:p w:rsidR="00000000" w:rsidDel="00000000" w:rsidP="00000000" w:rsidRDefault="00000000" w:rsidRPr="00000000" w14:paraId="000000D9">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 . . the other as object, the other as evaluator, and the other as an individual.”</w:t>
      </w:r>
    </w:p>
  </w:footnote>
  <w:footnote w:id="8">
    <w:p w:rsidR="00000000" w:rsidDel="00000000" w:rsidP="00000000" w:rsidRDefault="00000000" w:rsidRPr="00000000" w14:paraId="000000D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“The orientation to the other as individual . . . involves recognizing the other as a person in her or his own right, a person with needs, desires, and goals of his or her own.”</w:t>
      </w:r>
    </w:p>
  </w:footnote>
  <w:footnote w:id="9">
    <w:p w:rsidR="00000000" w:rsidDel="00000000" w:rsidP="00000000" w:rsidRDefault="00000000" w:rsidRPr="00000000" w14:paraId="000000DB">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e na íntegra: “Without realizing it, Bloch avails himself of a normative theory of mutual recognition. According to this theory, the integrity of human subjects, vulnerable as they are to injury through insult and disrespect, depends on their receiving approval and respect from others.”</w:t>
      </w:r>
    </w:p>
  </w:footnote>
  <w:footnote w:id="10">
    <w:p w:rsidR="00000000" w:rsidDel="00000000" w:rsidP="00000000" w:rsidRDefault="00000000" w:rsidRPr="00000000" w14:paraId="000000D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 . . the various forms of disrespect for psychological integrity take on the same negative role that organic diseases play in the context of body processes.”</w:t>
      </w:r>
    </w:p>
  </w:footnote>
  <w:footnote w:id="11">
    <w:p w:rsidR="00000000" w:rsidDel="00000000" w:rsidP="00000000" w:rsidRDefault="00000000" w:rsidRPr="00000000" w14:paraId="000000DD">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e na íntegra: “Developmentally, 'good' and 'bad' behaviour are two sides of the same coin, which predominates depending largely on the vicissitudes of experience.”</w:t>
      </w:r>
    </w:p>
  </w:footnote>
  <w:footnote w:id="12">
    <w:p w:rsidR="00000000" w:rsidDel="00000000" w:rsidP="00000000" w:rsidRDefault="00000000" w:rsidRPr="00000000" w14:paraId="000000DE">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“Several classical studies on situational variables have demonstrated that with an increasing number of  (passive) bystanders the likelihood that individuals will help decreases, whereas observation of bystanders actively helping increases the prosocial tendency”.</w:t>
      </w:r>
    </w:p>
  </w:footnote>
  <w:footnote w:id="13">
    <w:p w:rsidR="00000000" w:rsidDel="00000000" w:rsidP="00000000" w:rsidRDefault="00000000" w:rsidRPr="00000000" w14:paraId="000000DF">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“Although often blamed for antisocial effects, the mass media nevertheless offer a global network which enhances woldwide communication, enabling the recipient to become acquainted with and even to participate in other groups and other cultures, thereby reducing their strangeness.”</w:t>
      </w:r>
    </w:p>
  </w:footnote>
  <w:footnote w:id="14">
    <w:p w:rsidR="00000000" w:rsidDel="00000000" w:rsidP="00000000" w:rsidRDefault="00000000" w:rsidRPr="00000000" w14:paraId="000000E0">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“What the papers do not report are the innumerable acts of kindness and cooperation that most of us receive every day.”</w:t>
      </w:r>
    </w:p>
  </w:footnote>
  <w:footnote w:id="15">
    <w:p w:rsidR="00000000" w:rsidDel="00000000" w:rsidP="00000000" w:rsidRDefault="00000000" w:rsidRPr="00000000" w14:paraId="000000E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“Confidence that beliefs and values are shared may be essential for trust and commitment”.</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unhcr.org/51f67bdc9.pdf" TargetMode="External"/><Relationship Id="rId10" Type="http://schemas.openxmlformats.org/officeDocument/2006/relationships/hyperlink" Target="https://doi.org/10.7476/9788523013400"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ortaldeimigracao.mj.gov.br/pt/dados/refugio-em-numero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i.org/10.11606/T.6.2019.tde-21032019-170435" TargetMode="External"/><Relationship Id="rId8" Type="http://schemas.openxmlformats.org/officeDocument/2006/relationships/hyperlink" Target="https://doi.org/10.1590/S1517-4522201300020000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hcr.org/solutions.html" TargetMode="External"/><Relationship Id="rId2" Type="http://schemas.openxmlformats.org/officeDocument/2006/relationships/hyperlink" Target="https://data.unhcr.org/en/part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