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A9261E" w:rsidRDefault="00000000">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Ajuda humanitária em campos precários: reflexos nas relações interpessoais de refugiados</w:t>
      </w:r>
    </w:p>
    <w:p w14:paraId="00000002" w14:textId="77777777" w:rsidR="00A9261E" w:rsidRDefault="00A9261E">
      <w:pPr>
        <w:spacing w:line="360" w:lineRule="auto"/>
        <w:rPr>
          <w:rFonts w:ascii="Times New Roman" w:eastAsia="Times New Roman" w:hAnsi="Times New Roman" w:cs="Times New Roman"/>
          <w:sz w:val="24"/>
          <w:szCs w:val="24"/>
        </w:rPr>
      </w:pPr>
    </w:p>
    <w:p w14:paraId="00000003" w14:textId="77777777" w:rsidR="00A9261E"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00000004" w14:textId="77777777" w:rsidR="00A9261E" w:rsidRDefault="00000000">
      <w:pPr>
        <w:widowControl w:val="0"/>
        <w:spacing w:line="360" w:lineRule="auto"/>
        <w:ind w:left="44" w:right="-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Atualmente, mais de 25 milhões de pessoas são reconhecidas como refugiadas por algum país, normalmente </w:t>
      </w:r>
      <w:r w:rsidRPr="00C8446F">
        <w:rPr>
          <w:rFonts w:ascii="Times New Roman" w:eastAsia="Times New Roman" w:hAnsi="Times New Roman" w:cs="Times New Roman"/>
          <w:b/>
          <w:bCs/>
          <w:sz w:val="24"/>
          <w:szCs w:val="24"/>
        </w:rPr>
        <w:t>subdesenvolvido</w:t>
      </w:r>
      <w:r>
        <w:rPr>
          <w:rFonts w:ascii="Times New Roman" w:eastAsia="Times New Roman" w:hAnsi="Times New Roman" w:cs="Times New Roman"/>
          <w:sz w:val="24"/>
          <w:szCs w:val="24"/>
        </w:rPr>
        <w:t xml:space="preserve"> ou em desenvolvimento. Muitas dessas pessoas vivem em campos ou arranjos análogos, onde predominam ações ditas de “ajuda humanitária”. Nos últimos anos, atenção especial tem sido dada à “saúde mental e apoio psicossocial” (SMAPS) no âmbito desta ajuda. Este artigo deriva de uma tese que investigou a percepção de dez prestadores desta ajuda a respeito de seus reflexos nas relações interpessoais de refugiados nos campos. Para tanto, além de uma revisão de literatura sobre o tema, foram realizadas dez entrevistas episódicas à distância, respeitando os princípios éticos da Declaração de Helsinki (2013). As entrevistas foram posteriormente traduzidas livremente para a análise temática e posterior discussão à luz dos aportes teóricos de Robert </w:t>
      </w:r>
      <w:proofErr w:type="spellStart"/>
      <w:r>
        <w:rPr>
          <w:rFonts w:ascii="Times New Roman" w:eastAsia="Times New Roman" w:hAnsi="Times New Roman" w:cs="Times New Roman"/>
          <w:sz w:val="24"/>
          <w:szCs w:val="24"/>
        </w:rPr>
        <w:t>Hinde</w:t>
      </w:r>
      <w:proofErr w:type="spellEnd"/>
      <w:r>
        <w:rPr>
          <w:rFonts w:ascii="Times New Roman" w:eastAsia="Times New Roman" w:hAnsi="Times New Roman" w:cs="Times New Roman"/>
          <w:sz w:val="24"/>
          <w:szCs w:val="24"/>
        </w:rPr>
        <w:t xml:space="preserve">, nos estudos das relações interpessoais em Psicologia, e de Axel </w:t>
      </w:r>
      <w:proofErr w:type="spellStart"/>
      <w:r>
        <w:rPr>
          <w:rFonts w:ascii="Times New Roman" w:eastAsia="Times New Roman" w:hAnsi="Times New Roman" w:cs="Times New Roman"/>
          <w:sz w:val="24"/>
          <w:szCs w:val="24"/>
        </w:rPr>
        <w:t>Honneth</w:t>
      </w:r>
      <w:proofErr w:type="spellEnd"/>
      <w:r>
        <w:rPr>
          <w:rFonts w:ascii="Times New Roman" w:eastAsia="Times New Roman" w:hAnsi="Times New Roman" w:cs="Times New Roman"/>
          <w:sz w:val="24"/>
          <w:szCs w:val="24"/>
        </w:rPr>
        <w:t xml:space="preserve"> em sua teoria do reconhecimento baseada no pensamento hegeliano — o qual dialoga com a dialética das relações interpessoais da teoria de </w:t>
      </w:r>
      <w:proofErr w:type="spellStart"/>
      <w:r>
        <w:rPr>
          <w:rFonts w:ascii="Times New Roman" w:eastAsia="Times New Roman" w:hAnsi="Times New Roman" w:cs="Times New Roman"/>
          <w:sz w:val="24"/>
          <w:szCs w:val="24"/>
        </w:rPr>
        <w:t>Hinde</w:t>
      </w:r>
      <w:proofErr w:type="spellEnd"/>
      <w:r>
        <w:rPr>
          <w:rFonts w:ascii="Times New Roman" w:eastAsia="Times New Roman" w:hAnsi="Times New Roman" w:cs="Times New Roman"/>
          <w:sz w:val="24"/>
          <w:szCs w:val="24"/>
        </w:rPr>
        <w:t>. Espera-se aqui propiciar ferramentas para a análise dos modos pelos quais se presta a ajuda humanitária, bem como seus desafios nos campos precários onde por vezes ocorrem.</w:t>
      </w:r>
    </w:p>
    <w:p w14:paraId="00000005" w14:textId="77777777" w:rsidR="00A9261E" w:rsidRDefault="00000000">
      <w:pPr>
        <w:widowControl w:val="0"/>
        <w:spacing w:line="360" w:lineRule="auto"/>
        <w:ind w:right="-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Palavras-chave: </w:t>
      </w:r>
      <w:r>
        <w:rPr>
          <w:rFonts w:ascii="Times New Roman" w:eastAsia="Times New Roman" w:hAnsi="Times New Roman" w:cs="Times New Roman"/>
          <w:sz w:val="24"/>
          <w:szCs w:val="24"/>
        </w:rPr>
        <w:t>Ajuda humanitária, Campos de refugiados, Refúgio, Relações Interpessoais, Reconhecimento</w:t>
      </w:r>
    </w:p>
    <w:p w14:paraId="00000006" w14:textId="77777777" w:rsidR="00A9261E" w:rsidRDefault="00A9261E">
      <w:pPr>
        <w:widowControl w:val="0"/>
        <w:spacing w:line="360" w:lineRule="auto"/>
        <w:ind w:left="55" w:right="-9"/>
        <w:jc w:val="both"/>
        <w:rPr>
          <w:rFonts w:ascii="Times New Roman" w:eastAsia="Times New Roman" w:hAnsi="Times New Roman" w:cs="Times New Roman"/>
          <w:sz w:val="24"/>
          <w:szCs w:val="24"/>
        </w:rPr>
      </w:pPr>
    </w:p>
    <w:p w14:paraId="00000007" w14:textId="77777777" w:rsidR="00A9261E" w:rsidRPr="00C8446F" w:rsidRDefault="00000000">
      <w:pPr>
        <w:spacing w:line="360" w:lineRule="auto"/>
        <w:jc w:val="center"/>
        <w:rPr>
          <w:rFonts w:ascii="Times New Roman" w:eastAsia="Times New Roman" w:hAnsi="Times New Roman" w:cs="Times New Roman"/>
          <w:sz w:val="24"/>
          <w:szCs w:val="24"/>
          <w:lang w:val="en-US"/>
        </w:rPr>
      </w:pPr>
      <w:r w:rsidRPr="00C8446F">
        <w:rPr>
          <w:rFonts w:ascii="Times New Roman" w:eastAsia="Times New Roman" w:hAnsi="Times New Roman" w:cs="Times New Roman"/>
          <w:b/>
          <w:sz w:val="24"/>
          <w:szCs w:val="24"/>
          <w:lang w:val="en-US"/>
        </w:rPr>
        <w:t>Abstract</w:t>
      </w:r>
    </w:p>
    <w:p w14:paraId="00000008" w14:textId="77777777" w:rsidR="00A9261E" w:rsidRPr="00C8446F" w:rsidRDefault="00000000">
      <w:pPr>
        <w:spacing w:line="360" w:lineRule="auto"/>
        <w:jc w:val="both"/>
        <w:rPr>
          <w:rFonts w:ascii="Times New Roman" w:eastAsia="Times New Roman" w:hAnsi="Times New Roman" w:cs="Times New Roman"/>
          <w:sz w:val="24"/>
          <w:szCs w:val="24"/>
          <w:lang w:val="en-US"/>
        </w:rPr>
      </w:pPr>
      <w:r w:rsidRPr="00C8446F">
        <w:rPr>
          <w:rFonts w:ascii="Times New Roman" w:eastAsia="Times New Roman" w:hAnsi="Times New Roman" w:cs="Times New Roman"/>
          <w:sz w:val="24"/>
          <w:szCs w:val="24"/>
          <w:lang w:val="en-US"/>
        </w:rPr>
        <w:t xml:space="preserve">Currently, there are over 25 million people who are recognized as refugees by some country, usually underdeveloped or developing. Many people live in so-called camps or arrangements, where the “humanitarian aid” actions predominate. In recent years, special attention has been paid to “mental health and psychosocial support” (MHPSS) within the scope of this aid. This article derives from a thesis that investigated the perception of ten service providers of such an aid and its reflexes upon the interpersonal relations of refugees within the camps and similar arrangements. In addition to a literature review on the subject, ten episodic remote interviews were carried out, respecting the Helsinki Declaration’s ethical principles (2013). The interviews were later freely translated for a thematic analysis and further discussions in the light of Hinde's theoretical contributions for the studies of interpersonal relationships in Psychology, as well as of </w:t>
      </w:r>
      <w:proofErr w:type="spellStart"/>
      <w:r w:rsidRPr="00C8446F">
        <w:rPr>
          <w:rFonts w:ascii="Times New Roman" w:eastAsia="Times New Roman" w:hAnsi="Times New Roman" w:cs="Times New Roman"/>
          <w:sz w:val="24"/>
          <w:szCs w:val="24"/>
          <w:lang w:val="en-US"/>
        </w:rPr>
        <w:t>Honneth’s</w:t>
      </w:r>
      <w:proofErr w:type="spellEnd"/>
      <w:r w:rsidRPr="00C8446F">
        <w:rPr>
          <w:rFonts w:ascii="Times New Roman" w:eastAsia="Times New Roman" w:hAnsi="Times New Roman" w:cs="Times New Roman"/>
          <w:sz w:val="24"/>
          <w:szCs w:val="24"/>
          <w:lang w:val="en-US"/>
        </w:rPr>
        <w:t xml:space="preserve"> theory of recognition based on the Hegelian thought — which suits the interpersonal relations dialectic of Hinde's theory. It is hoped here to provide tools for the </w:t>
      </w:r>
      <w:r w:rsidRPr="00C8446F">
        <w:rPr>
          <w:rFonts w:ascii="Times New Roman" w:eastAsia="Times New Roman" w:hAnsi="Times New Roman" w:cs="Times New Roman"/>
          <w:sz w:val="24"/>
          <w:szCs w:val="24"/>
          <w:lang w:val="en-US"/>
        </w:rPr>
        <w:lastRenderedPageBreak/>
        <w:t>analysis of the ways in which humanitarian aid is provided, along with its main challenges in these precarious camps where they occur sometimes.</w:t>
      </w:r>
    </w:p>
    <w:p w14:paraId="00000009" w14:textId="77777777" w:rsidR="00A9261E" w:rsidRPr="00C8446F" w:rsidRDefault="00000000">
      <w:pPr>
        <w:spacing w:line="360" w:lineRule="auto"/>
        <w:jc w:val="both"/>
        <w:rPr>
          <w:rFonts w:ascii="Times New Roman" w:eastAsia="Times New Roman" w:hAnsi="Times New Roman" w:cs="Times New Roman"/>
          <w:sz w:val="24"/>
          <w:szCs w:val="24"/>
          <w:lang w:val="en-US"/>
        </w:rPr>
      </w:pPr>
      <w:r w:rsidRPr="00C8446F">
        <w:rPr>
          <w:rFonts w:ascii="Times New Roman" w:eastAsia="Times New Roman" w:hAnsi="Times New Roman" w:cs="Times New Roman"/>
          <w:b/>
          <w:sz w:val="24"/>
          <w:szCs w:val="24"/>
          <w:lang w:val="en-US"/>
        </w:rPr>
        <w:t>Keywords</w:t>
      </w:r>
      <w:r w:rsidRPr="00C8446F">
        <w:rPr>
          <w:rFonts w:ascii="Times New Roman" w:eastAsia="Times New Roman" w:hAnsi="Times New Roman" w:cs="Times New Roman"/>
          <w:sz w:val="24"/>
          <w:szCs w:val="24"/>
          <w:lang w:val="en-US"/>
        </w:rPr>
        <w:t xml:space="preserve">: Humanitarian Aid, Interpersonal Relationships, Recognition, Refugee camps, </w:t>
      </w:r>
      <w:proofErr w:type="spellStart"/>
      <w:r w:rsidRPr="00C8446F">
        <w:rPr>
          <w:rFonts w:ascii="Times New Roman" w:eastAsia="Times New Roman" w:hAnsi="Times New Roman" w:cs="Times New Roman"/>
          <w:sz w:val="24"/>
          <w:szCs w:val="24"/>
          <w:lang w:val="en-US"/>
        </w:rPr>
        <w:t>Refugeeness</w:t>
      </w:r>
      <w:proofErr w:type="spellEnd"/>
    </w:p>
    <w:p w14:paraId="0000000A" w14:textId="77777777" w:rsidR="00A9261E" w:rsidRPr="00C8446F" w:rsidRDefault="00A9261E">
      <w:pPr>
        <w:widowControl w:val="0"/>
        <w:spacing w:line="240" w:lineRule="auto"/>
        <w:ind w:right="-9"/>
        <w:jc w:val="both"/>
        <w:rPr>
          <w:rFonts w:ascii="Times New Roman" w:eastAsia="Times New Roman" w:hAnsi="Times New Roman" w:cs="Times New Roman"/>
          <w:sz w:val="24"/>
          <w:szCs w:val="24"/>
          <w:lang w:val="en-US"/>
        </w:rPr>
      </w:pPr>
    </w:p>
    <w:p w14:paraId="0000000B" w14:textId="77777777" w:rsidR="00A9261E"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Introdução</w:t>
      </w:r>
    </w:p>
    <w:p w14:paraId="0000000C" w14:textId="77777777" w:rsidR="00A9261E" w:rsidRDefault="00A9261E">
      <w:pPr>
        <w:spacing w:line="360" w:lineRule="auto"/>
        <w:rPr>
          <w:rFonts w:ascii="Times New Roman" w:eastAsia="Times New Roman" w:hAnsi="Times New Roman" w:cs="Times New Roman"/>
          <w:sz w:val="24"/>
          <w:szCs w:val="24"/>
        </w:rPr>
      </w:pPr>
    </w:p>
    <w:p w14:paraId="0000000D" w14:textId="77777777" w:rsidR="00A9261E"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Apesar de tardiamente iniciado no Brasil, o debate sobre refugiados não é novo no meio internacional. No século XIX, a preocupação com a proteção aos civis em conflitos levou à criação do Comitê Internacional da Cruz Vermelha (1863), do Conselho Internacional de Enfermeiros (1899) e de vários outros atores humanitários ainda atuantes nesta seara.</w:t>
      </w:r>
    </w:p>
    <w:p w14:paraId="0000000E" w14:textId="77777777" w:rsidR="00A9261E"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Após a Segunda Guerra, essa proteção toma corpo na </w:t>
      </w:r>
      <w:r>
        <w:rPr>
          <w:rFonts w:ascii="Times New Roman" w:eastAsia="Times New Roman" w:hAnsi="Times New Roman" w:cs="Times New Roman"/>
          <w:i/>
          <w:sz w:val="24"/>
          <w:szCs w:val="24"/>
        </w:rPr>
        <w:t>Convenção Relativa ao Estatuto dos Refugiados</w:t>
      </w:r>
      <w:r>
        <w:rPr>
          <w:rFonts w:ascii="Times New Roman" w:eastAsia="Times New Roman" w:hAnsi="Times New Roman" w:cs="Times New Roman"/>
          <w:sz w:val="24"/>
          <w:szCs w:val="24"/>
        </w:rPr>
        <w:t xml:space="preserve"> (1951) da Organização das Nações Unidas (ONU), a qual confere esse </w:t>
      </w:r>
      <w:r>
        <w:rPr>
          <w:rFonts w:ascii="Times New Roman" w:eastAsia="Times New Roman" w:hAnsi="Times New Roman" w:cs="Times New Roman"/>
          <w:i/>
          <w:sz w:val="24"/>
          <w:szCs w:val="24"/>
        </w:rPr>
        <w:t>status</w:t>
      </w:r>
      <w:r>
        <w:rPr>
          <w:rFonts w:ascii="Times New Roman" w:eastAsia="Times New Roman" w:hAnsi="Times New Roman" w:cs="Times New Roman"/>
          <w:sz w:val="24"/>
          <w:szCs w:val="24"/>
        </w:rPr>
        <w:t xml:space="preserve"> a toda pessoa que:</w:t>
      </w:r>
    </w:p>
    <w:p w14:paraId="0000000F" w14:textId="77777777" w:rsidR="00A9261E" w:rsidRDefault="00000000">
      <w:pPr>
        <w:spacing w:before="240" w:line="240" w:lineRule="auto"/>
        <w:ind w:left="708"/>
        <w:jc w:val="both"/>
        <w:rPr>
          <w:rFonts w:ascii="Times New Roman" w:eastAsia="Times New Roman" w:hAnsi="Times New Roman" w:cs="Times New Roman"/>
          <w:sz w:val="24"/>
          <w:szCs w:val="24"/>
        </w:rPr>
      </w:pPr>
      <w:bookmarkStart w:id="0" w:name="_4d34og8" w:colFirst="0" w:colLast="0"/>
      <w:bookmarkEnd w:id="0"/>
      <w:r>
        <w:rPr>
          <w:rFonts w:ascii="Times New Roman" w:eastAsia="Times New Roman" w:hAnsi="Times New Roman" w:cs="Times New Roman"/>
          <w:sz w:val="24"/>
          <w:szCs w:val="24"/>
        </w:rPr>
        <w:t>. . . temendo ser perseguida por motivos de raça, religião, nacionalidade, grupo social ou opiniões políticas, se encontra fora do país de sua nacionalidade e que não pode ou, em virtude desse temor, não quer valer-se da proteção desse país, ou que, se não tem nacionalidade e se encontra fora do país no qual tinha sua residência habitual. . ., não pode ou, devido ao referido temor, não quer voltar a ele (ONU, 1951, Art. 1 §2).</w:t>
      </w:r>
    </w:p>
    <w:p w14:paraId="00000010" w14:textId="77777777" w:rsidR="00A9261E" w:rsidRDefault="00A9261E">
      <w:pPr>
        <w:widowControl w:val="0"/>
        <w:spacing w:line="360" w:lineRule="auto"/>
        <w:jc w:val="both"/>
        <w:rPr>
          <w:rFonts w:ascii="Times New Roman" w:eastAsia="Times New Roman" w:hAnsi="Times New Roman" w:cs="Times New Roman"/>
          <w:sz w:val="24"/>
          <w:szCs w:val="24"/>
        </w:rPr>
      </w:pPr>
    </w:p>
    <w:p w14:paraId="00000011"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geral, tais pessoas são denominadas “solicitantes de refúgio” enquanto aguardam o desfecho das suas solicitações pelos Estados, ou “deslocadas à força”, antes de impetrarem tal solicitação, e “refugiados convencionais”, quando reconhecidas nos termos dessa Convenção por algum Estado. No presente texto, são consideradas “pessoas em situação de refúgio” todas aquelas que se enquadrem em ao menos uma destas situações.</w:t>
      </w:r>
    </w:p>
    <w:p w14:paraId="00000012" w14:textId="77777777" w:rsidR="00A9261E"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termos estatísticos, há mais de 80 milhões de deslocados à força no mundo (consideravelmente mais do que uma década atrás, quando havia cerca de 43 milhões), dos quais cerca de um terço consiste </w:t>
      </w:r>
      <w:proofErr w:type="gramStart"/>
      <w:r>
        <w:rPr>
          <w:rFonts w:ascii="Times New Roman" w:eastAsia="Times New Roman" w:hAnsi="Times New Roman" w:cs="Times New Roman"/>
          <w:sz w:val="24"/>
          <w:szCs w:val="24"/>
        </w:rPr>
        <w:t>de</w:t>
      </w:r>
      <w:proofErr w:type="gramEnd"/>
      <w:r>
        <w:rPr>
          <w:rFonts w:ascii="Times New Roman" w:eastAsia="Times New Roman" w:hAnsi="Times New Roman" w:cs="Times New Roman"/>
          <w:sz w:val="24"/>
          <w:szCs w:val="24"/>
        </w:rPr>
        <w:t xml:space="preserve"> refugiados convencionais e aproximadamente a metade possui até os dezoito anos de idade, residindo em países ditos “subdesenvolvidos” (ACNUR, 2020). No Brasil, onde a Convenção de 1951 foi incorporada pela lei 9.474/1997, já residem mais </w:t>
      </w:r>
      <w:proofErr w:type="gramStart"/>
      <w:r>
        <w:rPr>
          <w:rFonts w:ascii="Times New Roman" w:eastAsia="Times New Roman" w:hAnsi="Times New Roman" w:cs="Times New Roman"/>
          <w:sz w:val="24"/>
          <w:szCs w:val="24"/>
        </w:rPr>
        <w:t>de  62</w:t>
      </w:r>
      <w:proofErr w:type="gramEnd"/>
      <w:r>
        <w:rPr>
          <w:rFonts w:ascii="Times New Roman" w:eastAsia="Times New Roman" w:hAnsi="Times New Roman" w:cs="Times New Roman"/>
          <w:sz w:val="24"/>
          <w:szCs w:val="24"/>
        </w:rPr>
        <w:t>,5 mil pessoas reconhecidas como refugiadas (</w:t>
      </w:r>
      <w:proofErr w:type="spellStart"/>
      <w:r>
        <w:rPr>
          <w:rFonts w:ascii="Times New Roman" w:eastAsia="Times New Roman" w:hAnsi="Times New Roman" w:cs="Times New Roman"/>
          <w:sz w:val="24"/>
          <w:szCs w:val="24"/>
        </w:rPr>
        <w:t>Junger</w:t>
      </w:r>
      <w:proofErr w:type="spellEnd"/>
      <w:r>
        <w:rPr>
          <w:rFonts w:ascii="Times New Roman" w:eastAsia="Times New Roman" w:hAnsi="Times New Roman" w:cs="Times New Roman"/>
          <w:sz w:val="24"/>
          <w:szCs w:val="24"/>
        </w:rPr>
        <w:t xml:space="preserve"> et al, 2022). </w:t>
      </w:r>
    </w:p>
    <w:p w14:paraId="00000013" w14:textId="77777777" w:rsidR="00A9261E"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proteger essas pessoas, o ACNUR (</w:t>
      </w:r>
      <w:r>
        <w:rPr>
          <w:rFonts w:ascii="Times New Roman" w:eastAsia="Times New Roman" w:hAnsi="Times New Roman" w:cs="Times New Roman"/>
          <w:i/>
          <w:sz w:val="24"/>
          <w:szCs w:val="24"/>
        </w:rPr>
        <w:t>site</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elenca três medidas, ditas “soluções duradouras”: a) a integração ao país no qual buscam acolhida; b) o reassentamento em outro país, ou; c) o retorno voluntário ao país de origem. As estruturas temporárias, embora fora </w:t>
      </w:r>
      <w:r>
        <w:rPr>
          <w:rFonts w:ascii="Times New Roman" w:eastAsia="Times New Roman" w:hAnsi="Times New Roman" w:cs="Times New Roman"/>
          <w:sz w:val="24"/>
          <w:szCs w:val="24"/>
        </w:rPr>
        <w:lastRenderedPageBreak/>
        <w:t>dessas soluções, ainda são muito comuns: no mundo, são estimadas ao menos cinco milhões de pessoas em campos ou arranjos análogos (ACNUR, 2020).</w:t>
      </w:r>
      <w:r>
        <w:rPr>
          <w:rFonts w:ascii="Times New Roman" w:eastAsia="Times New Roman" w:hAnsi="Times New Roman" w:cs="Times New Roman"/>
          <w:sz w:val="24"/>
          <w:szCs w:val="24"/>
          <w:vertAlign w:val="superscript"/>
        </w:rPr>
        <w:footnoteReference w:id="2"/>
      </w:r>
    </w:p>
    <w:p w14:paraId="00000014" w14:textId="77777777" w:rsidR="00A9261E"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termos estatísticos, embora inexista uma definição oficial, os </w:t>
      </w:r>
      <w:r>
        <w:rPr>
          <w:rFonts w:ascii="Times New Roman" w:eastAsia="Times New Roman" w:hAnsi="Times New Roman" w:cs="Times New Roman"/>
          <w:i/>
          <w:sz w:val="24"/>
          <w:szCs w:val="24"/>
        </w:rPr>
        <w:t>campos</w:t>
      </w:r>
      <w:r>
        <w:rPr>
          <w:rFonts w:ascii="Times New Roman" w:eastAsia="Times New Roman" w:hAnsi="Times New Roman" w:cs="Times New Roman"/>
          <w:sz w:val="24"/>
          <w:szCs w:val="24"/>
        </w:rPr>
        <w:t xml:space="preserve"> seriam aqueles arranjos “temporários” com “ao menos seis meses de existência e 2.500 indivíduos” (ACNUR, 2006, p. 58).</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Estes espaços, em regra, são estruturas que não oferecem qualquer solução duradoura aos seus habitantes, muitos dos quais chegam a esperar durante décadas por alguma alternativa, configurando uma </w:t>
      </w:r>
      <w:r>
        <w:rPr>
          <w:rFonts w:ascii="Times New Roman" w:eastAsia="Times New Roman" w:hAnsi="Times New Roman" w:cs="Times New Roman"/>
          <w:i/>
          <w:sz w:val="24"/>
          <w:szCs w:val="24"/>
        </w:rPr>
        <w:t>situação de refúgio prolongado</w:t>
      </w:r>
      <w:r>
        <w:rPr>
          <w:rFonts w:ascii="Times New Roman" w:eastAsia="Times New Roman" w:hAnsi="Times New Roman" w:cs="Times New Roman"/>
          <w:sz w:val="24"/>
          <w:szCs w:val="24"/>
        </w:rPr>
        <w:t>.</w:t>
      </w:r>
    </w:p>
    <w:p w14:paraId="00000015" w14:textId="77777777" w:rsidR="00A9261E"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Oficialmente, tal situação abrange populações de 25 mil ou mais refugiados que vivam no exílio por um período igual ou superior a cinco anos (ACNUR, 2004).</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Atualmente, mais de 16 milhões de pessoas vivem nestas situações (ACNUR, 2020), estando no geral à mercê dos serviços e das intervenções fornecidas por um conjunto de atores de “ajuda humanitária”. Esta ajuda, conceitualmente, abrange:</w:t>
      </w:r>
    </w:p>
    <w:p w14:paraId="00000016" w14:textId="77777777" w:rsidR="00A9261E" w:rsidRDefault="00000000">
      <w:pPr>
        <w:spacing w:before="240"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 o apoio material, logístico e técnico imediato visando à reconstrução ou recuperação da infraestrutura coletiva afetada e ao atendimento às necessidades básicas da população em situação de vulnerabilidade até o restabelecimento das instituições e a reabilitação da população atingida (Ramos, </w:t>
      </w:r>
      <w:proofErr w:type="spellStart"/>
      <w:r>
        <w:rPr>
          <w:rFonts w:ascii="Times New Roman" w:eastAsia="Times New Roman" w:hAnsi="Times New Roman" w:cs="Times New Roman"/>
          <w:sz w:val="24"/>
          <w:szCs w:val="24"/>
        </w:rPr>
        <w:t>Donda</w:t>
      </w:r>
      <w:proofErr w:type="spellEnd"/>
      <w:r>
        <w:rPr>
          <w:rFonts w:ascii="Times New Roman" w:eastAsia="Times New Roman" w:hAnsi="Times New Roman" w:cs="Times New Roman"/>
          <w:sz w:val="24"/>
          <w:szCs w:val="24"/>
        </w:rPr>
        <w:t xml:space="preserve"> &amp; Silva, 2017, posição 548).</w:t>
      </w:r>
    </w:p>
    <w:p w14:paraId="00000017" w14:textId="77777777" w:rsidR="00A9261E" w:rsidRDefault="00A9261E">
      <w:pPr>
        <w:spacing w:line="360" w:lineRule="auto"/>
        <w:ind w:firstLine="720"/>
        <w:jc w:val="both"/>
        <w:rPr>
          <w:rFonts w:ascii="Times New Roman" w:eastAsia="Times New Roman" w:hAnsi="Times New Roman" w:cs="Times New Roman"/>
          <w:sz w:val="24"/>
          <w:szCs w:val="24"/>
        </w:rPr>
      </w:pPr>
    </w:p>
    <w:p w14:paraId="00000018" w14:textId="77777777" w:rsidR="00A9261E"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Embora a ajuda humanitária não se volte exclusivamente para pessoas deslocadas à força ou em situação de refúgio, é notável o montante de organizações que a prestam a este público. Entre as mais de setecentas listadas pelo ACNUR como suas “parceiras” (</w:t>
      </w:r>
      <w:proofErr w:type="spellStart"/>
      <w:r>
        <w:rPr>
          <w:rFonts w:ascii="Times New Roman" w:eastAsia="Times New Roman" w:hAnsi="Times New Roman" w:cs="Times New Roman"/>
          <w:i/>
          <w:sz w:val="24"/>
          <w:szCs w:val="24"/>
        </w:rPr>
        <w:t>partners</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setenta são listadas no “setor” de saúde e, neste setor, dez organizações atuariam na “área” de saúde mental e apoio psicossocial (SMAPS).</w:t>
      </w:r>
    </w:p>
    <w:p w14:paraId="00000019" w14:textId="77777777" w:rsidR="00A9261E"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Conceitualmente, “saúde mental e apoio psicossocial” (SMAPS) abrange a “. . . todo tipo de apoio local ou externo cujo objetivo seja proteger ou promover o bem-estar psicossocial e/ou prevenir ou tratar o transtorno mental” (</w:t>
      </w:r>
      <w:proofErr w:type="spellStart"/>
      <w:r>
        <w:rPr>
          <w:rFonts w:ascii="Times New Roman" w:eastAsia="Times New Roman" w:hAnsi="Times New Roman" w:cs="Times New Roman"/>
          <w:sz w:val="24"/>
          <w:szCs w:val="24"/>
        </w:rPr>
        <w:t>Inter-Agency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Standing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Committee</w:t>
      </w:r>
      <w:proofErr w:type="spellEnd"/>
      <w:r>
        <w:rPr>
          <w:rFonts w:ascii="Times New Roman" w:eastAsia="Times New Roman" w:hAnsi="Times New Roman" w:cs="Times New Roman"/>
          <w:sz w:val="24"/>
          <w:szCs w:val="24"/>
        </w:rPr>
        <w:t>, 2007, p. 1). Nos últimos anos, essa definição recebeu diversas críticas por sua amplitude, a qual se deveria ao fato de ter se baseado em uma “metodologia de consenso entre especialistas do campo e não necessariamente em evidências” (</w:t>
      </w:r>
      <w:proofErr w:type="spellStart"/>
      <w:r>
        <w:rPr>
          <w:rFonts w:ascii="Times New Roman" w:eastAsia="Times New Roman" w:hAnsi="Times New Roman" w:cs="Times New Roman"/>
          <w:sz w:val="24"/>
          <w:szCs w:val="24"/>
        </w:rPr>
        <w:t>Gagliato</w:t>
      </w:r>
      <w:proofErr w:type="spellEnd"/>
      <w:r>
        <w:rPr>
          <w:rFonts w:ascii="Times New Roman" w:eastAsia="Times New Roman" w:hAnsi="Times New Roman" w:cs="Times New Roman"/>
          <w:sz w:val="24"/>
          <w:szCs w:val="24"/>
        </w:rPr>
        <w:t>, 2018, p. 94).</w:t>
      </w:r>
    </w:p>
    <w:p w14:paraId="0000001A" w14:textId="77777777" w:rsidR="00A9261E"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Na década seguinte a este consenso, especificamente nas situações de refúgio e quanto à ajuda humanitária, a literatura indica que ainda há muito a se aprimorar. No seu diagnóstico organizacional, </w:t>
      </w:r>
      <w:proofErr w:type="spellStart"/>
      <w:r>
        <w:rPr>
          <w:rFonts w:ascii="Times New Roman" w:eastAsia="Times New Roman" w:hAnsi="Times New Roman" w:cs="Times New Roman"/>
          <w:sz w:val="24"/>
          <w:szCs w:val="24"/>
        </w:rPr>
        <w:t>Welton</w:t>
      </w:r>
      <w:proofErr w:type="spellEnd"/>
      <w:r>
        <w:rPr>
          <w:rFonts w:ascii="Times New Roman" w:eastAsia="Times New Roman" w:hAnsi="Times New Roman" w:cs="Times New Roman"/>
          <w:sz w:val="24"/>
          <w:szCs w:val="24"/>
        </w:rPr>
        <w:t>-Mitchell (2013, p. 48) desvela que o ACNUR cumpriria, à época: “apenas 2 dos 8 Princípios Antares e um terço dos indicadores associados” à saúde mental e ao bem-estar de seus funcionários.</w:t>
      </w:r>
    </w:p>
    <w:p w14:paraId="0000001B" w14:textId="77777777" w:rsidR="00A9261E"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Neste contexto de um crescente avaliativo das ações em SMAPS, então, está situada esta pesquisa. Com o foco nas situações humanitárias em campos e arranjos análogos para as pessoas em situação de refúgio, os métodos principais são detalhados na seção que segue.</w:t>
      </w:r>
    </w:p>
    <w:p w14:paraId="0000001C" w14:textId="77777777" w:rsidR="00A9261E" w:rsidRDefault="00A9261E">
      <w:pPr>
        <w:spacing w:line="360" w:lineRule="auto"/>
        <w:jc w:val="both"/>
        <w:rPr>
          <w:rFonts w:ascii="Times New Roman" w:eastAsia="Times New Roman" w:hAnsi="Times New Roman" w:cs="Times New Roman"/>
          <w:sz w:val="24"/>
          <w:szCs w:val="24"/>
        </w:rPr>
      </w:pPr>
    </w:p>
    <w:p w14:paraId="0000001D" w14:textId="77777777" w:rsidR="00A9261E"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Métodos</w:t>
      </w:r>
    </w:p>
    <w:p w14:paraId="0000001E" w14:textId="77777777" w:rsidR="00A9261E" w:rsidRDefault="00A9261E">
      <w:pPr>
        <w:spacing w:line="360" w:lineRule="auto"/>
        <w:jc w:val="both"/>
        <w:rPr>
          <w:rFonts w:ascii="Times New Roman" w:eastAsia="Times New Roman" w:hAnsi="Times New Roman" w:cs="Times New Roman"/>
          <w:sz w:val="24"/>
          <w:szCs w:val="24"/>
        </w:rPr>
      </w:pPr>
    </w:p>
    <w:p w14:paraId="0000001F" w14:textId="77777777" w:rsidR="00A9261E" w:rsidRDefault="00000000">
      <w:pPr>
        <w:spacing w:line="360" w:lineRule="auto"/>
        <w:ind w:firstLine="720"/>
        <w:jc w:val="both"/>
        <w:rPr>
          <w:rFonts w:ascii="Times New Roman" w:eastAsia="Times New Roman" w:hAnsi="Times New Roman" w:cs="Times New Roman"/>
          <w:sz w:val="24"/>
          <w:szCs w:val="24"/>
        </w:rPr>
      </w:pPr>
      <w:bookmarkStart w:id="1" w:name="_8ebe3nbun1no" w:colFirst="0" w:colLast="0"/>
      <w:bookmarkEnd w:id="1"/>
      <w:r>
        <w:rPr>
          <w:rFonts w:ascii="Times New Roman" w:eastAsia="Times New Roman" w:hAnsi="Times New Roman" w:cs="Times New Roman"/>
          <w:sz w:val="24"/>
          <w:szCs w:val="24"/>
        </w:rPr>
        <w:t xml:space="preserve">De modo a tentar suprir algumas lacunas da literatura, este trabalho buscou entrevistar atores experientes </w:t>
      </w:r>
      <w:proofErr w:type="spellStart"/>
      <w:r>
        <w:rPr>
          <w:rFonts w:ascii="Times New Roman" w:eastAsia="Times New Roman" w:hAnsi="Times New Roman" w:cs="Times New Roman"/>
          <w:sz w:val="24"/>
          <w:szCs w:val="24"/>
        </w:rPr>
        <w:t>ns</w:t>
      </w:r>
      <w:proofErr w:type="spellEnd"/>
      <w:r>
        <w:rPr>
          <w:rFonts w:ascii="Times New Roman" w:eastAsia="Times New Roman" w:hAnsi="Times New Roman" w:cs="Times New Roman"/>
          <w:sz w:val="24"/>
          <w:szCs w:val="24"/>
        </w:rPr>
        <w:t xml:space="preserve"> temas dos campos, da ajuda humanitária e dos refugiados, com foco nas relações interpessoais destes últimos. Para tanto, foram adotados os métodos descritos abaixo.</w:t>
      </w:r>
    </w:p>
    <w:p w14:paraId="00000020" w14:textId="77777777" w:rsidR="00A9261E" w:rsidRDefault="00A9261E">
      <w:pPr>
        <w:spacing w:line="360" w:lineRule="auto"/>
        <w:jc w:val="both"/>
        <w:rPr>
          <w:rFonts w:ascii="Times New Roman" w:eastAsia="Times New Roman" w:hAnsi="Times New Roman" w:cs="Times New Roman"/>
          <w:sz w:val="24"/>
          <w:szCs w:val="24"/>
        </w:rPr>
      </w:pPr>
      <w:bookmarkStart w:id="2" w:name="_5equ3ud2v2mx" w:colFirst="0" w:colLast="0"/>
      <w:bookmarkEnd w:id="2"/>
    </w:p>
    <w:p w14:paraId="00000021" w14:textId="77777777" w:rsidR="00A9261E"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Tipo de estudo</w:t>
      </w:r>
    </w:p>
    <w:p w14:paraId="00000022" w14:textId="77777777" w:rsidR="00A9261E" w:rsidRDefault="00000000">
      <w:pPr>
        <w:spacing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Acerca do tipo de estudo denominado “estudo de caso”, Capitão e </w:t>
      </w:r>
      <w:proofErr w:type="spellStart"/>
      <w:r>
        <w:rPr>
          <w:rFonts w:ascii="Times New Roman" w:eastAsia="Times New Roman" w:hAnsi="Times New Roman" w:cs="Times New Roman"/>
          <w:color w:val="111111"/>
          <w:sz w:val="24"/>
          <w:szCs w:val="24"/>
        </w:rPr>
        <w:t>Villemor</w:t>
      </w:r>
      <w:proofErr w:type="spellEnd"/>
      <w:r>
        <w:rPr>
          <w:rFonts w:ascii="Times New Roman" w:eastAsia="Times New Roman" w:hAnsi="Times New Roman" w:cs="Times New Roman"/>
          <w:color w:val="111111"/>
          <w:sz w:val="24"/>
          <w:szCs w:val="24"/>
        </w:rPr>
        <w:t xml:space="preserve">-Amaral (2014, p. 238) afirmam que, apesar de suas limitações, este: “. . . é um meio de se fazer ciência, principalmente quando a natureza do fenômeno observado é multideterminada e interessa conhecer de modo profundo e abrangente a singularidade de uma dada a situação”. </w:t>
      </w:r>
    </w:p>
    <w:p w14:paraId="00000023" w14:textId="77777777" w:rsidR="00A9261E" w:rsidRDefault="00000000">
      <w:pPr>
        <w:spacing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Nesta pesquisa, o fenômeno observado é de natureza multideterminada, uma vez que os </w:t>
      </w:r>
      <w:r>
        <w:rPr>
          <w:rFonts w:ascii="Times New Roman" w:eastAsia="Times New Roman" w:hAnsi="Times New Roman" w:cs="Times New Roman"/>
          <w:i/>
          <w:color w:val="111111"/>
          <w:sz w:val="24"/>
          <w:szCs w:val="24"/>
        </w:rPr>
        <w:t>participantes</w:t>
      </w:r>
      <w:r>
        <w:rPr>
          <w:rFonts w:ascii="Times New Roman" w:eastAsia="Times New Roman" w:hAnsi="Times New Roman" w:cs="Times New Roman"/>
          <w:color w:val="111111"/>
          <w:sz w:val="24"/>
          <w:szCs w:val="24"/>
        </w:rPr>
        <w:t xml:space="preserve"> possuem históricos diversos, o que se reflete na sua atuação interdisciplinar e, por fim, nos reflexos desta atuação junto aos refugiados e em suas relações interpessoais. Os limites da pesquisa deste tipo se referem a um menor grau de generalização, sendo mais </w:t>
      </w:r>
      <w:proofErr w:type="spellStart"/>
      <w:r>
        <w:rPr>
          <w:rFonts w:ascii="Times New Roman" w:eastAsia="Times New Roman" w:hAnsi="Times New Roman" w:cs="Times New Roman"/>
          <w:color w:val="111111"/>
          <w:sz w:val="24"/>
          <w:szCs w:val="24"/>
        </w:rPr>
        <w:t>indicável</w:t>
      </w:r>
      <w:proofErr w:type="spellEnd"/>
      <w:r>
        <w:rPr>
          <w:rFonts w:ascii="Times New Roman" w:eastAsia="Times New Roman" w:hAnsi="Times New Roman" w:cs="Times New Roman"/>
          <w:color w:val="111111"/>
          <w:sz w:val="24"/>
          <w:szCs w:val="24"/>
        </w:rPr>
        <w:t xml:space="preserve"> apontar relações entre a literatura e os casos elencados.</w:t>
      </w:r>
    </w:p>
    <w:p w14:paraId="00000024" w14:textId="77777777" w:rsidR="00A9261E" w:rsidRDefault="00A9261E">
      <w:pPr>
        <w:spacing w:line="360" w:lineRule="auto"/>
        <w:jc w:val="both"/>
        <w:rPr>
          <w:rFonts w:ascii="Times New Roman" w:eastAsia="Times New Roman" w:hAnsi="Times New Roman" w:cs="Times New Roman"/>
          <w:color w:val="111111"/>
          <w:sz w:val="24"/>
          <w:szCs w:val="24"/>
        </w:rPr>
      </w:pPr>
    </w:p>
    <w:p w14:paraId="00000025" w14:textId="77777777" w:rsidR="00A9261E" w:rsidRDefault="00000000">
      <w:pPr>
        <w:spacing w:line="36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i/>
          <w:color w:val="111111"/>
          <w:sz w:val="24"/>
          <w:szCs w:val="24"/>
        </w:rPr>
        <w:t>Instrumentos de Pesquisa</w:t>
      </w:r>
    </w:p>
    <w:p w14:paraId="00000026" w14:textId="77777777" w:rsidR="00A9261E" w:rsidRDefault="00000000">
      <w:pPr>
        <w:spacing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A princípio, dois instrumentos de pesquisa foram elaborados: o Roteiro de Perguntas e o Termo de Consentimento Livre e Esclarecido (TCLE). Ambos foram traduzidos para os dois idiomas mais comuns na literatura (</w:t>
      </w:r>
      <w:proofErr w:type="gramStart"/>
      <w:r>
        <w:rPr>
          <w:rFonts w:ascii="Times New Roman" w:eastAsia="Times New Roman" w:hAnsi="Times New Roman" w:cs="Times New Roman"/>
          <w:color w:val="111111"/>
          <w:sz w:val="24"/>
          <w:szCs w:val="24"/>
        </w:rPr>
        <w:t>Francês</w:t>
      </w:r>
      <w:proofErr w:type="gramEnd"/>
      <w:r>
        <w:rPr>
          <w:rFonts w:ascii="Times New Roman" w:eastAsia="Times New Roman" w:hAnsi="Times New Roman" w:cs="Times New Roman"/>
          <w:color w:val="111111"/>
          <w:sz w:val="24"/>
          <w:szCs w:val="24"/>
        </w:rPr>
        <w:t xml:space="preserve"> e Inglês) e enviados aos participantes do estudo.</w:t>
      </w:r>
    </w:p>
    <w:p w14:paraId="00000027" w14:textId="77777777" w:rsidR="00A9261E" w:rsidRDefault="00000000">
      <w:pPr>
        <w:spacing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A elaboração do roteiro baseou-se no método de entrevista episódica de </w:t>
      </w:r>
      <w:proofErr w:type="spellStart"/>
      <w:r>
        <w:rPr>
          <w:rFonts w:ascii="Times New Roman" w:eastAsia="Times New Roman" w:hAnsi="Times New Roman" w:cs="Times New Roman"/>
          <w:color w:val="111111"/>
          <w:sz w:val="24"/>
          <w:szCs w:val="24"/>
        </w:rPr>
        <w:t>Flick</w:t>
      </w:r>
      <w:proofErr w:type="spellEnd"/>
      <w:r>
        <w:rPr>
          <w:rFonts w:ascii="Times New Roman" w:eastAsia="Times New Roman" w:hAnsi="Times New Roman" w:cs="Times New Roman"/>
          <w:color w:val="111111"/>
          <w:sz w:val="24"/>
          <w:szCs w:val="24"/>
        </w:rPr>
        <w:t xml:space="preserve"> (2008), que tem se mostrado relevante para pesquisas sobre relações interpessoais, uma vez que permite o relato de episódios, bem como a interpretação dos fatos, conceitos e relações abstratas </w:t>
      </w:r>
      <w:r>
        <w:rPr>
          <w:rFonts w:ascii="Times New Roman" w:eastAsia="Times New Roman" w:hAnsi="Times New Roman" w:cs="Times New Roman"/>
          <w:color w:val="111111"/>
          <w:sz w:val="24"/>
          <w:szCs w:val="24"/>
        </w:rPr>
        <w:lastRenderedPageBreak/>
        <w:t>narradas durante as entrevistas (</w:t>
      </w:r>
      <w:proofErr w:type="spellStart"/>
      <w:r>
        <w:rPr>
          <w:rFonts w:ascii="Times New Roman" w:eastAsia="Times New Roman" w:hAnsi="Times New Roman" w:cs="Times New Roman"/>
          <w:color w:val="111111"/>
          <w:sz w:val="24"/>
          <w:szCs w:val="24"/>
        </w:rPr>
        <w:t>Flick</w:t>
      </w:r>
      <w:proofErr w:type="spellEnd"/>
      <w:r>
        <w:rPr>
          <w:rFonts w:ascii="Times New Roman" w:eastAsia="Times New Roman" w:hAnsi="Times New Roman" w:cs="Times New Roman"/>
          <w:color w:val="111111"/>
          <w:sz w:val="24"/>
          <w:szCs w:val="24"/>
        </w:rPr>
        <w:t>, 2013). Importa notar que foi observada ainda a duração recomendada das entrevistas: “entre 60 e 90 minutos” (</w:t>
      </w:r>
      <w:proofErr w:type="spellStart"/>
      <w:r>
        <w:rPr>
          <w:rFonts w:ascii="Times New Roman" w:eastAsia="Times New Roman" w:hAnsi="Times New Roman" w:cs="Times New Roman"/>
          <w:color w:val="111111"/>
          <w:sz w:val="24"/>
          <w:szCs w:val="24"/>
        </w:rPr>
        <w:t>Flick</w:t>
      </w:r>
      <w:proofErr w:type="spellEnd"/>
      <w:r>
        <w:rPr>
          <w:rFonts w:ascii="Times New Roman" w:eastAsia="Times New Roman" w:hAnsi="Times New Roman" w:cs="Times New Roman"/>
          <w:color w:val="111111"/>
          <w:sz w:val="24"/>
          <w:szCs w:val="24"/>
        </w:rPr>
        <w:t>, 2008, p. 125).</w:t>
      </w:r>
    </w:p>
    <w:p w14:paraId="00000028" w14:textId="77777777" w:rsidR="00A9261E" w:rsidRDefault="00000000">
      <w:pPr>
        <w:spacing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Já o Termo de Consentimento Livre e Esclarecido (TCLE) trouxe em linhas gerais os objetivos e métodos da pesquisa, bem como os riscos e benefícios da participação voluntária (sem nenhuma espécie de remuneração) nas entrevistas, sendo garantida a sua recusa em participar (a qualquer tempo), a dignidade, o sigilo e a privacidade (em todos os casos). Em caso de dúvida, foram disponibilizados ainda os contatos dos pesquisadores responsáveis.</w:t>
      </w:r>
    </w:p>
    <w:p w14:paraId="00000029" w14:textId="77777777" w:rsidR="00A9261E" w:rsidRDefault="00A9261E">
      <w:pPr>
        <w:spacing w:line="360" w:lineRule="auto"/>
        <w:ind w:firstLine="720"/>
        <w:jc w:val="both"/>
        <w:rPr>
          <w:rFonts w:ascii="Times New Roman" w:eastAsia="Times New Roman" w:hAnsi="Times New Roman" w:cs="Times New Roman"/>
          <w:color w:val="111111"/>
          <w:sz w:val="24"/>
          <w:szCs w:val="24"/>
        </w:rPr>
      </w:pPr>
    </w:p>
    <w:p w14:paraId="0000002A" w14:textId="77777777" w:rsidR="00A9261E" w:rsidRDefault="00000000">
      <w:pPr>
        <w:spacing w:line="36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i/>
          <w:color w:val="111111"/>
          <w:sz w:val="24"/>
          <w:szCs w:val="24"/>
        </w:rPr>
        <w:t>Coleta de Dados I (Convites aos Participantes)</w:t>
      </w:r>
    </w:p>
    <w:p w14:paraId="0000002B" w14:textId="77777777" w:rsidR="00A9261E" w:rsidRDefault="00000000">
      <w:pPr>
        <w:spacing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Durante a revisão de literatura, os contatos de pessoas autoras com atuação em campos foram tabulados e, posteriormente, convidados para participar desta pesquisa. As primeiras tentativas de convite, realizadas a fim de se testar a responsividade dessa forma de contato, retornaram duas respostas afirmativas, sendo ambas entrevistadas ainda em março de 2020. Em razão, no entanto, da pandemia, foi sentida a necessidade de mudar o foco para incluir os tempos pandêmicos, de modo que estas primeiras entrevistas serviram de teste para adequar o roteiro de perguntas, tal como recomendado por </w:t>
      </w:r>
      <w:proofErr w:type="spellStart"/>
      <w:r>
        <w:rPr>
          <w:rFonts w:ascii="Times New Roman" w:eastAsia="Times New Roman" w:hAnsi="Times New Roman" w:cs="Times New Roman"/>
          <w:color w:val="111111"/>
          <w:sz w:val="24"/>
          <w:szCs w:val="24"/>
        </w:rPr>
        <w:t>Flick</w:t>
      </w:r>
      <w:proofErr w:type="spellEnd"/>
      <w:r>
        <w:rPr>
          <w:rFonts w:ascii="Times New Roman" w:eastAsia="Times New Roman" w:hAnsi="Times New Roman" w:cs="Times New Roman"/>
          <w:color w:val="111111"/>
          <w:sz w:val="24"/>
          <w:szCs w:val="24"/>
        </w:rPr>
        <w:t xml:space="preserve"> (2008).</w:t>
      </w:r>
    </w:p>
    <w:p w14:paraId="0000002C" w14:textId="77777777" w:rsidR="00A9261E" w:rsidRDefault="00000000">
      <w:pPr>
        <w:spacing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Passado cerca de um ano e meio, ainda no período pandêmico, foram enfim retomados os contatos com os pesquisadores. Assim, entre outubro de 2021 e março de 2022, todos os convites foram enviados via correspondência eletrônica com os </w:t>
      </w:r>
      <w:proofErr w:type="spellStart"/>
      <w:r>
        <w:rPr>
          <w:rFonts w:ascii="Times New Roman" w:eastAsia="Times New Roman" w:hAnsi="Times New Roman" w:cs="Times New Roman"/>
          <w:color w:val="111111"/>
          <w:sz w:val="24"/>
          <w:szCs w:val="24"/>
        </w:rPr>
        <w:t>TCLEs</w:t>
      </w:r>
      <w:proofErr w:type="spellEnd"/>
      <w:r>
        <w:rPr>
          <w:rFonts w:ascii="Times New Roman" w:eastAsia="Times New Roman" w:hAnsi="Times New Roman" w:cs="Times New Roman"/>
          <w:color w:val="111111"/>
          <w:sz w:val="24"/>
          <w:szCs w:val="24"/>
        </w:rPr>
        <w:t xml:space="preserve"> anexos e redigidos no idioma que potenciais participantes publicaram seus estudos (normalmente, a língua inglesa). Destes convidados, dez foram de fato entrevistados, sendo os “participantes” desta pesquisa.</w:t>
      </w:r>
    </w:p>
    <w:p w14:paraId="0000002D" w14:textId="77777777" w:rsidR="00A9261E" w:rsidRDefault="00A9261E">
      <w:pPr>
        <w:spacing w:line="360" w:lineRule="auto"/>
        <w:jc w:val="both"/>
        <w:rPr>
          <w:rFonts w:ascii="Times New Roman" w:eastAsia="Times New Roman" w:hAnsi="Times New Roman" w:cs="Times New Roman"/>
          <w:color w:val="111111"/>
          <w:sz w:val="24"/>
          <w:szCs w:val="24"/>
        </w:rPr>
      </w:pPr>
    </w:p>
    <w:p w14:paraId="0000002E" w14:textId="77777777" w:rsidR="00A9261E" w:rsidRDefault="00000000">
      <w:pPr>
        <w:spacing w:line="36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i/>
          <w:color w:val="111111"/>
          <w:sz w:val="24"/>
          <w:szCs w:val="24"/>
        </w:rPr>
        <w:t>Participantes</w:t>
      </w:r>
    </w:p>
    <w:p w14:paraId="0000002F" w14:textId="77777777" w:rsidR="00A9261E" w:rsidRDefault="00000000">
      <w:pPr>
        <w:spacing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Diante da responsividade insatisfatória na primeira tentativa de contato (dois anos antes), às duas primeiras pessoas entrevistadas foi solicitada ainda a indicação de nomes pela técnica de “bola de neve” para ampliar a amostra. Com isso, dos dez participantes, sete foram acessados diretamente pelos pesquisadores responsáveis, e três pelo intermédio de terceiros.</w:t>
      </w:r>
    </w:p>
    <w:p w14:paraId="00000030" w14:textId="77777777" w:rsidR="00A9261E" w:rsidRDefault="00000000">
      <w:pPr>
        <w:spacing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Dessa forma, a amostra de participantes se configura “intencional” ou “teórica” (</w:t>
      </w:r>
      <w:proofErr w:type="spellStart"/>
      <w:r>
        <w:rPr>
          <w:rFonts w:ascii="Times New Roman" w:eastAsia="Times New Roman" w:hAnsi="Times New Roman" w:cs="Times New Roman"/>
          <w:color w:val="111111"/>
          <w:sz w:val="24"/>
          <w:szCs w:val="24"/>
        </w:rPr>
        <w:t>Flick</w:t>
      </w:r>
      <w:proofErr w:type="spellEnd"/>
      <w:r>
        <w:rPr>
          <w:rFonts w:ascii="Times New Roman" w:eastAsia="Times New Roman" w:hAnsi="Times New Roman" w:cs="Times New Roman"/>
          <w:color w:val="111111"/>
          <w:sz w:val="24"/>
          <w:szCs w:val="24"/>
        </w:rPr>
        <w:t>, 2013, p. 235). Apesar do baixo grau de representatividade desse tipo amostral, sua diversidade tende a contribuir bastante com a teorização dos resultados. Note-se, ainda, que a fim de maximizar o seu anonimato e preservar o sigilo das fontes, os dez participantes do estudo foram identificados por números (de 1 a 10) nesta pesquisa.</w:t>
      </w:r>
    </w:p>
    <w:p w14:paraId="00000031"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Quanto à atuação nos campos e em arranjos análogos para refugiados, os participantes tiveram experiências diversas. Ao todo, cinco participantes atuaram em múltiplos campos na </w:t>
      </w:r>
      <w:r>
        <w:rPr>
          <w:rFonts w:ascii="Times New Roman" w:eastAsia="Times New Roman" w:hAnsi="Times New Roman" w:cs="Times New Roman"/>
          <w:sz w:val="24"/>
          <w:szCs w:val="24"/>
        </w:rPr>
        <w:lastRenderedPageBreak/>
        <w:t>última década, geralmente prestando alguma consultoria para organizações humanitárias de grande porte. Destes, três não permaneceram “muito tempo” nestes espaços; uma participante esteve por mais de três anos em um deles; e outro passou cerca de seis meses em um só local.</w:t>
      </w:r>
    </w:p>
    <w:p w14:paraId="00000032" w14:textId="77777777" w:rsidR="00A9261E" w:rsidRDefault="00000000">
      <w:pPr>
        <w:widowControl w:val="0"/>
        <w:spacing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sz w:val="24"/>
          <w:szCs w:val="24"/>
        </w:rPr>
        <w:t xml:space="preserve">Dos cinco participantes que não estiveram em múltiplos campos, três estiveram uma única vez em campo, sendo: uma atuação </w:t>
      </w:r>
      <w:r>
        <w:rPr>
          <w:rFonts w:ascii="Times New Roman" w:eastAsia="Times New Roman" w:hAnsi="Times New Roman" w:cs="Times New Roman"/>
          <w:i/>
          <w:sz w:val="24"/>
          <w:szCs w:val="24"/>
        </w:rPr>
        <w:t xml:space="preserve">in loco </w:t>
      </w:r>
      <w:r>
        <w:rPr>
          <w:rFonts w:ascii="Times New Roman" w:eastAsia="Times New Roman" w:hAnsi="Times New Roman" w:cs="Times New Roman"/>
          <w:sz w:val="24"/>
          <w:szCs w:val="24"/>
        </w:rPr>
        <w:t xml:space="preserve">por cerca de um ano, voluntariamente e sem relação com organizações humanitárias; uma visita breve para pesquisa, sem atuação </w:t>
      </w:r>
      <w:r>
        <w:rPr>
          <w:rFonts w:ascii="Times New Roman" w:eastAsia="Times New Roman" w:hAnsi="Times New Roman" w:cs="Times New Roman"/>
          <w:i/>
          <w:sz w:val="24"/>
          <w:szCs w:val="24"/>
        </w:rPr>
        <w:t>in loco</w:t>
      </w:r>
      <w:r>
        <w:rPr>
          <w:rFonts w:ascii="Times New Roman" w:eastAsia="Times New Roman" w:hAnsi="Times New Roman" w:cs="Times New Roman"/>
          <w:sz w:val="24"/>
          <w:szCs w:val="24"/>
        </w:rPr>
        <w:t>; e um voluntariado em vários campos na mesma região, por pouco tempo, em uma ocasião; uma atuação com refugiados no meio urbano, advindos de campos; e uma experiência de coordenação à distância de uma equipe de voluntários atuantes em um abrigo provisório.</w:t>
      </w:r>
    </w:p>
    <w:p w14:paraId="00000033" w14:textId="77777777" w:rsidR="00A9261E" w:rsidRDefault="00000000">
      <w:pPr>
        <w:spacing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Quanto ao gênero, quatro se identificavam com o feminino e seis com o masculino. Quanto ao pertencimento étnico, sete eram caucasianas e três consideradas não-brancas, sendo seis de origem europeia, uma latino-americana, uma asiática e uma árabe. Todos eram adultos entre os trinta e sessenta anos de idade à época das entrevistas, descritas na próxima seção.</w:t>
      </w:r>
    </w:p>
    <w:p w14:paraId="00000034" w14:textId="77777777" w:rsidR="00A9261E" w:rsidRDefault="00A9261E">
      <w:pPr>
        <w:spacing w:line="360" w:lineRule="auto"/>
        <w:jc w:val="both"/>
        <w:rPr>
          <w:rFonts w:ascii="Times New Roman" w:eastAsia="Times New Roman" w:hAnsi="Times New Roman" w:cs="Times New Roman"/>
          <w:color w:val="111111"/>
          <w:sz w:val="24"/>
          <w:szCs w:val="24"/>
        </w:rPr>
      </w:pPr>
    </w:p>
    <w:p w14:paraId="00000035" w14:textId="77777777" w:rsidR="00A9261E" w:rsidRDefault="00000000">
      <w:pPr>
        <w:spacing w:line="36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i/>
          <w:color w:val="111111"/>
          <w:sz w:val="24"/>
          <w:szCs w:val="24"/>
        </w:rPr>
        <w:t>Coleta de Dados II (Entrevistas)</w:t>
      </w:r>
    </w:p>
    <w:p w14:paraId="00000036" w14:textId="77777777" w:rsidR="00A9261E" w:rsidRDefault="00000000">
      <w:pPr>
        <w:spacing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Na vigência da pandemia (vide </w:t>
      </w:r>
      <w:r>
        <w:rPr>
          <w:rFonts w:ascii="Times New Roman" w:eastAsia="Times New Roman" w:hAnsi="Times New Roman" w:cs="Times New Roman"/>
          <w:i/>
          <w:color w:val="111111"/>
          <w:sz w:val="24"/>
          <w:szCs w:val="24"/>
        </w:rPr>
        <w:t>Princípios Éticos</w:t>
      </w:r>
      <w:r>
        <w:rPr>
          <w:rFonts w:ascii="Times New Roman" w:eastAsia="Times New Roman" w:hAnsi="Times New Roman" w:cs="Times New Roman"/>
          <w:color w:val="111111"/>
          <w:sz w:val="24"/>
          <w:szCs w:val="24"/>
        </w:rPr>
        <w:t xml:space="preserve">), as entrevistas foram realizadas </w:t>
      </w:r>
      <w:r>
        <w:rPr>
          <w:rFonts w:ascii="Times New Roman" w:eastAsia="Times New Roman" w:hAnsi="Times New Roman" w:cs="Times New Roman"/>
          <w:i/>
          <w:color w:val="111111"/>
          <w:sz w:val="24"/>
          <w:szCs w:val="24"/>
        </w:rPr>
        <w:t>online</w:t>
      </w:r>
      <w:r>
        <w:rPr>
          <w:rFonts w:ascii="Times New Roman" w:eastAsia="Times New Roman" w:hAnsi="Times New Roman" w:cs="Times New Roman"/>
          <w:color w:val="111111"/>
          <w:sz w:val="24"/>
          <w:szCs w:val="24"/>
        </w:rPr>
        <w:t>, através da plataforma Google Meet em sua versão paga (para permitir a gravação simultânea e garantir a transcrição posterior dos dados), e somente após a manifestação de concordância com o TCLE. O áudio foi transcrito no idioma original e livremente traduzido, quando necessário, pelos participantes, sem o auxílio de terceiros.</w:t>
      </w:r>
    </w:p>
    <w:p w14:paraId="00000037" w14:textId="77777777" w:rsidR="00A9261E" w:rsidRDefault="00000000">
      <w:pPr>
        <w:spacing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Ao todo, nove entrevistas foram realizadas em </w:t>
      </w:r>
      <w:proofErr w:type="gramStart"/>
      <w:r>
        <w:rPr>
          <w:rFonts w:ascii="Times New Roman" w:eastAsia="Times New Roman" w:hAnsi="Times New Roman" w:cs="Times New Roman"/>
          <w:color w:val="111111"/>
          <w:sz w:val="24"/>
          <w:szCs w:val="24"/>
        </w:rPr>
        <w:t>Inglês</w:t>
      </w:r>
      <w:proofErr w:type="gramEnd"/>
      <w:r>
        <w:rPr>
          <w:rFonts w:ascii="Times New Roman" w:eastAsia="Times New Roman" w:hAnsi="Times New Roman" w:cs="Times New Roman"/>
          <w:color w:val="111111"/>
          <w:sz w:val="24"/>
          <w:szCs w:val="24"/>
        </w:rPr>
        <w:t xml:space="preserve"> e uma em Português. Todo o material, já transcrito e classificado, foi analisado sem remissões aos trechos no original, para melhor preservar o sigilo das fontes. Além disso, na transcrição, todos os nomes (inclusive de lugares e organizações) foram omitidos, sendo aos participantes atribuídos números de 1 a 10, como único traço “identificador” dos trechos entre aspas.</w:t>
      </w:r>
    </w:p>
    <w:p w14:paraId="00000038" w14:textId="77777777" w:rsidR="00A9261E" w:rsidRDefault="00000000">
      <w:pPr>
        <w:widowControl w:val="0"/>
        <w:spacing w:before="10" w:line="360" w:lineRule="auto"/>
        <w:ind w:right="118"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sentido, todas as entrevistas foram transcritas para a análise de modo anônimo, omitindo ainda o local de pertencimento das pessoas participantes, ao qual somente se refere em termos genéricos, à macrorregião respectiva (Europa, América do Norte, Oriente Médio, ou África), quando necessário, e sempre observando certos princípios éticos.</w:t>
      </w:r>
    </w:p>
    <w:p w14:paraId="00000039" w14:textId="77777777" w:rsidR="00A9261E" w:rsidRDefault="00A9261E">
      <w:pPr>
        <w:widowControl w:val="0"/>
        <w:spacing w:before="10" w:line="360" w:lineRule="auto"/>
        <w:ind w:right="118" w:firstLine="720"/>
        <w:jc w:val="both"/>
        <w:rPr>
          <w:rFonts w:ascii="Times New Roman" w:eastAsia="Times New Roman" w:hAnsi="Times New Roman" w:cs="Times New Roman"/>
          <w:sz w:val="24"/>
          <w:szCs w:val="24"/>
        </w:rPr>
      </w:pPr>
    </w:p>
    <w:p w14:paraId="0000003A" w14:textId="77777777" w:rsidR="00A9261E" w:rsidRDefault="00000000">
      <w:pPr>
        <w:spacing w:line="360" w:lineRule="auto"/>
        <w:jc w:val="both"/>
        <w:rPr>
          <w:rFonts w:ascii="Times New Roman" w:eastAsia="Times New Roman" w:hAnsi="Times New Roman" w:cs="Times New Roman"/>
          <w:i/>
          <w:color w:val="111111"/>
          <w:sz w:val="24"/>
          <w:szCs w:val="24"/>
        </w:rPr>
      </w:pPr>
      <w:r>
        <w:rPr>
          <w:rFonts w:ascii="Times New Roman" w:eastAsia="Times New Roman" w:hAnsi="Times New Roman" w:cs="Times New Roman"/>
          <w:i/>
          <w:color w:val="111111"/>
          <w:sz w:val="24"/>
          <w:szCs w:val="24"/>
        </w:rPr>
        <w:t>Princípios Éticos</w:t>
      </w:r>
    </w:p>
    <w:p w14:paraId="0000003B" w14:textId="77777777" w:rsidR="00A9261E"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Nesta pesquisa, foram observados o dever de se proteger a “. . . vida, saúde, dignidade, integridade, direito à autodeterminação, privacidade e confidencialidade das informações” dos </w:t>
      </w:r>
      <w:r>
        <w:rPr>
          <w:rFonts w:ascii="Times New Roman" w:eastAsia="Times New Roman" w:hAnsi="Times New Roman" w:cs="Times New Roman"/>
          <w:sz w:val="24"/>
          <w:szCs w:val="24"/>
        </w:rPr>
        <w:lastRenderedPageBreak/>
        <w:t>participantes em todas as etapas, como estabelecido na Declaração de Helsinki (Associação Médica Mundial, 2013). Para tanto, algumas medidas foram tomadas.</w:t>
      </w:r>
    </w:p>
    <w:p w14:paraId="0000003C" w14:textId="77777777" w:rsidR="00A9261E" w:rsidRDefault="00000000">
      <w:pPr>
        <w:spacing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sz w:val="24"/>
          <w:szCs w:val="24"/>
        </w:rPr>
        <w:t>Primordialmente, nas coletas de dados, foram priorizados o sigilo e a compreensão dos termos da pesquisa (contidos no TCLE). Para tanto</w:t>
      </w:r>
      <w:r>
        <w:rPr>
          <w:rFonts w:ascii="Times New Roman" w:eastAsia="Times New Roman" w:hAnsi="Times New Roman" w:cs="Times New Roman"/>
          <w:color w:val="111111"/>
          <w:sz w:val="24"/>
          <w:szCs w:val="24"/>
        </w:rPr>
        <w:t>, sob a atual pandemia, foi priorizado o “melhor interesse do participante” (Comissão Nacional de Ética em Pesquisa, 2020). Assim, não apenas as coletas de dados foram virtuais, como as garantias do retorno aos participantes, explicitadas no TCLE, foram pensadas para este ambiente.</w:t>
      </w:r>
    </w:p>
    <w:p w14:paraId="0000003D" w14:textId="77777777" w:rsidR="00A9261E" w:rsidRDefault="00000000">
      <w:pPr>
        <w:spacing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Na etapa da transcrição, o conteúdo das entrevistas foi </w:t>
      </w:r>
      <w:proofErr w:type="spellStart"/>
      <w:r>
        <w:rPr>
          <w:rFonts w:ascii="Times New Roman" w:eastAsia="Times New Roman" w:hAnsi="Times New Roman" w:cs="Times New Roman"/>
          <w:color w:val="111111"/>
          <w:sz w:val="24"/>
          <w:szCs w:val="24"/>
        </w:rPr>
        <w:t>generificado</w:t>
      </w:r>
      <w:proofErr w:type="spellEnd"/>
      <w:r>
        <w:rPr>
          <w:rFonts w:ascii="Times New Roman" w:eastAsia="Times New Roman" w:hAnsi="Times New Roman" w:cs="Times New Roman"/>
          <w:color w:val="111111"/>
          <w:sz w:val="24"/>
          <w:szCs w:val="24"/>
        </w:rPr>
        <w:t>, omitindo ainda o local de pertencimento das pessoas participantes, ao qual se refere em termos genéricos à sua macrorregião (Europa, América do Norte, Oriente Médio, ou África), e apenas para descrever a amostra. Por fim, trechos desidentificados foram reproduzidos no texto final para fins de se proceder à análise temática, detalhada na seção que segue.</w:t>
      </w:r>
    </w:p>
    <w:p w14:paraId="0000003E" w14:textId="77777777" w:rsidR="00A9261E" w:rsidRDefault="00A9261E">
      <w:pPr>
        <w:spacing w:line="360" w:lineRule="auto"/>
        <w:jc w:val="both"/>
        <w:rPr>
          <w:rFonts w:ascii="Times New Roman" w:eastAsia="Times New Roman" w:hAnsi="Times New Roman" w:cs="Times New Roman"/>
          <w:color w:val="111111"/>
          <w:sz w:val="24"/>
          <w:szCs w:val="24"/>
        </w:rPr>
      </w:pPr>
    </w:p>
    <w:p w14:paraId="0000003F" w14:textId="77777777" w:rsidR="00A9261E" w:rsidRDefault="00000000">
      <w:pPr>
        <w:spacing w:line="360" w:lineRule="auto"/>
        <w:jc w:val="both"/>
        <w:rPr>
          <w:rFonts w:ascii="Times New Roman" w:eastAsia="Times New Roman" w:hAnsi="Times New Roman" w:cs="Times New Roman"/>
          <w:i/>
          <w:color w:val="111111"/>
          <w:sz w:val="24"/>
          <w:szCs w:val="24"/>
        </w:rPr>
      </w:pPr>
      <w:r>
        <w:rPr>
          <w:rFonts w:ascii="Times New Roman" w:eastAsia="Times New Roman" w:hAnsi="Times New Roman" w:cs="Times New Roman"/>
          <w:i/>
          <w:color w:val="111111"/>
          <w:sz w:val="24"/>
          <w:szCs w:val="24"/>
        </w:rPr>
        <w:t>Análise e Discussão dos Dados</w:t>
      </w:r>
    </w:p>
    <w:p w14:paraId="00000040" w14:textId="77777777" w:rsidR="00A9261E" w:rsidRDefault="00000000">
      <w:pPr>
        <w:spacing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Finalizadas as entrevistas, os dados transcritos foram revistos para nortear a criação dos temas ("subtítulos") e, assim, proceder à classificação e posterior análise temática dos materiais coletados. Braun e Clarke (2006, p. 6) indicam este método analítico para se “. . . identificar, analisar e relatar padrões (temas) dentro dos dados” de diversas pesquisas.</w:t>
      </w:r>
      <w:r>
        <w:rPr>
          <w:rFonts w:ascii="Times New Roman" w:eastAsia="Times New Roman" w:hAnsi="Times New Roman" w:cs="Times New Roman"/>
          <w:color w:val="111111"/>
          <w:sz w:val="24"/>
          <w:szCs w:val="24"/>
          <w:vertAlign w:val="superscript"/>
        </w:rPr>
        <w:footnoteReference w:id="6"/>
      </w:r>
    </w:p>
    <w:p w14:paraId="00000041" w14:textId="77777777" w:rsidR="00A9261E" w:rsidRDefault="00000000">
      <w:pPr>
        <w:spacing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Para se identificar esses “padrões”, as transcrições, aleatoriamente numeradas de 1 a 10, foram editadas de modo a não só anonimizar, como ainda para identificar os trechos que melhor sintetizavam as respostas a cada questão. Reunidos </w:t>
      </w:r>
      <w:proofErr w:type="gramStart"/>
      <w:r>
        <w:rPr>
          <w:rFonts w:ascii="Times New Roman" w:eastAsia="Times New Roman" w:hAnsi="Times New Roman" w:cs="Times New Roman"/>
          <w:color w:val="111111"/>
          <w:sz w:val="24"/>
          <w:szCs w:val="24"/>
        </w:rPr>
        <w:t>todos os trechos, sob numeração sequencial, na mesma questão de roteiro, foi</w:t>
      </w:r>
      <w:proofErr w:type="gramEnd"/>
      <w:r>
        <w:rPr>
          <w:rFonts w:ascii="Times New Roman" w:eastAsia="Times New Roman" w:hAnsi="Times New Roman" w:cs="Times New Roman"/>
          <w:color w:val="111111"/>
          <w:sz w:val="24"/>
          <w:szCs w:val="24"/>
        </w:rPr>
        <w:t xml:space="preserve"> possível proceder à sua descrição nos capítulos. Para a parte da discussão, então, foram pensados os temas propriamente ditos.</w:t>
      </w:r>
    </w:p>
    <w:p w14:paraId="00000042" w14:textId="77777777" w:rsidR="00A9261E" w:rsidRDefault="00000000">
      <w:pPr>
        <w:spacing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Propositalmente diferentes das questões do roteiro — com as quais não devem coincidir (Braun &amp; Clarke, 2006, p. 25) —, os temas do segundo e terceiro capítulos foram pensados para facilitar a discussão de aspectos insuficientemente trazidos pelos participantes, à luz do marco teórico. Entre estes, há os aspectos conceituais, como sobre comportamentos de “ajuda” e “altruísmo” e sobre o “estigma” a eles relacionado; e ainda aspectos hipotéticos, como sobre as causas e os efeitos dessas ações nas relações interpessoais dos refugiados.</w:t>
      </w:r>
    </w:p>
    <w:p w14:paraId="00000043" w14:textId="77777777" w:rsidR="00A9261E" w:rsidRDefault="00000000">
      <w:pPr>
        <w:spacing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A análise priorizou, desta forma, os temas “latentes” ao invés dos “explícitos” trazidos pelos participantes (Braun &amp; Clarke, 2006, p. 13). Tendo em vista a variedade de experiências </w:t>
      </w:r>
      <w:r>
        <w:rPr>
          <w:rFonts w:ascii="Times New Roman" w:eastAsia="Times New Roman" w:hAnsi="Times New Roman" w:cs="Times New Roman"/>
          <w:color w:val="111111"/>
          <w:sz w:val="24"/>
          <w:szCs w:val="24"/>
        </w:rPr>
        <w:lastRenderedPageBreak/>
        <w:t xml:space="preserve">e olhares, porém os decorrentes limites à generalização dos dados não prejudicam com isso </w:t>
      </w:r>
      <w:proofErr w:type="gramStart"/>
      <w:r>
        <w:rPr>
          <w:rFonts w:ascii="Times New Roman" w:eastAsia="Times New Roman" w:hAnsi="Times New Roman" w:cs="Times New Roman"/>
          <w:color w:val="111111"/>
          <w:sz w:val="24"/>
          <w:szCs w:val="24"/>
        </w:rPr>
        <w:t>as potenciais</w:t>
      </w:r>
      <w:proofErr w:type="gramEnd"/>
      <w:r>
        <w:rPr>
          <w:rFonts w:ascii="Times New Roman" w:eastAsia="Times New Roman" w:hAnsi="Times New Roman" w:cs="Times New Roman"/>
          <w:color w:val="111111"/>
          <w:sz w:val="24"/>
          <w:szCs w:val="24"/>
        </w:rPr>
        <w:t xml:space="preserve"> contribuições às pesquisas sobre esses temas.</w:t>
      </w:r>
    </w:p>
    <w:p w14:paraId="00000044" w14:textId="77777777" w:rsidR="00A9261E" w:rsidRDefault="00A9261E">
      <w:pPr>
        <w:spacing w:line="360" w:lineRule="auto"/>
        <w:jc w:val="both"/>
        <w:rPr>
          <w:rFonts w:ascii="Times New Roman" w:eastAsia="Times New Roman" w:hAnsi="Times New Roman" w:cs="Times New Roman"/>
          <w:color w:val="111111"/>
          <w:sz w:val="24"/>
          <w:szCs w:val="24"/>
        </w:rPr>
      </w:pPr>
    </w:p>
    <w:p w14:paraId="00000045" w14:textId="77777777" w:rsidR="00A9261E" w:rsidRDefault="00000000">
      <w:pPr>
        <w:spacing w:line="36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i/>
          <w:color w:val="111111"/>
          <w:sz w:val="24"/>
          <w:szCs w:val="24"/>
        </w:rPr>
        <w:t>Limites e Potencialidades</w:t>
      </w:r>
    </w:p>
    <w:p w14:paraId="00000046" w14:textId="77777777" w:rsidR="00A9261E" w:rsidRDefault="00000000">
      <w:pPr>
        <w:spacing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Em razão de limites circunstanciais e conjunturais, o desenho da pesquisa não foi linear, de modo que a generalização dos resultados </w:t>
      </w:r>
      <w:proofErr w:type="gramStart"/>
      <w:r>
        <w:rPr>
          <w:rFonts w:ascii="Times New Roman" w:eastAsia="Times New Roman" w:hAnsi="Times New Roman" w:cs="Times New Roman"/>
          <w:color w:val="111111"/>
          <w:sz w:val="24"/>
          <w:szCs w:val="24"/>
        </w:rPr>
        <w:t>encontra-se</w:t>
      </w:r>
      <w:proofErr w:type="gramEnd"/>
      <w:r>
        <w:rPr>
          <w:rFonts w:ascii="Times New Roman" w:eastAsia="Times New Roman" w:hAnsi="Times New Roman" w:cs="Times New Roman"/>
          <w:color w:val="111111"/>
          <w:sz w:val="24"/>
          <w:szCs w:val="24"/>
        </w:rPr>
        <w:t xml:space="preserve"> bastante limitada ao contexto específico no qual a presente pesquisa foi conduzida. Desse modo, cumpre detalhar alguns dos principais limites e de que modo foi buscada a sua ressignificação nesta pesquisa.</w:t>
      </w:r>
    </w:p>
    <w:p w14:paraId="00000047" w14:textId="77777777" w:rsidR="00A9261E" w:rsidRDefault="00000000">
      <w:pPr>
        <w:spacing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Em primeiro lugar, houve a pandemia de Covid-19, durante a qual todos os modos de </w:t>
      </w:r>
      <w:proofErr w:type="gramStart"/>
      <w:r>
        <w:rPr>
          <w:rFonts w:ascii="Times New Roman" w:eastAsia="Times New Roman" w:hAnsi="Times New Roman" w:cs="Times New Roman"/>
          <w:color w:val="111111"/>
          <w:sz w:val="24"/>
          <w:szCs w:val="24"/>
        </w:rPr>
        <w:t>tradicionais produção</w:t>
      </w:r>
      <w:proofErr w:type="gramEnd"/>
      <w:r>
        <w:rPr>
          <w:rFonts w:ascii="Times New Roman" w:eastAsia="Times New Roman" w:hAnsi="Times New Roman" w:cs="Times New Roman"/>
          <w:color w:val="111111"/>
          <w:sz w:val="24"/>
          <w:szCs w:val="24"/>
        </w:rPr>
        <w:t xml:space="preserve"> de saberes foram, de uma vez, suspensos e revistos. “Contratempos” que impuseram a necessidade de revisitar a bibliografia enquanto se produzia a seu respeito, para buscar fazer sentido acerca do que acontecia com o tema da pesquisa.</w:t>
      </w:r>
    </w:p>
    <w:p w14:paraId="00000048" w14:textId="77777777" w:rsidR="00A9261E" w:rsidRDefault="00000000">
      <w:pPr>
        <w:spacing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Em segundo, o advento desta emergência sanitária, declarada “pandêmica”, inseriu o tema da emergência humanitária na pesquisa de forma muito imprevista. Apesar de que não há situação humanitária, a princípio, previsível ou evitável, a sua experiência alterou o próprio objeto de pesquisa, no qual se incluíram, em última instância, os próprios pesquisadores.</w:t>
      </w:r>
    </w:p>
    <w:p w14:paraId="00000049" w14:textId="77777777" w:rsidR="00A9261E" w:rsidRDefault="00000000">
      <w:pPr>
        <w:spacing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As potencialidades da pesquisa assim estruturada, em suma, consistem na riqueza das múltiplas perspectivas reunidas a fim de discorrer sobre os temas que comparecem nos relatos dos participantes à luz do marco teórico. Para melhor nortear sua discussão, foi escolhido um marco teórico na intersecção das áreas da Psicologia e da Filosofia do Direito.</w:t>
      </w:r>
    </w:p>
    <w:p w14:paraId="0000004A" w14:textId="77777777" w:rsidR="00A9261E" w:rsidRDefault="00A9261E">
      <w:pPr>
        <w:spacing w:line="360" w:lineRule="auto"/>
        <w:jc w:val="both"/>
        <w:rPr>
          <w:rFonts w:ascii="Times New Roman" w:eastAsia="Times New Roman" w:hAnsi="Times New Roman" w:cs="Times New Roman"/>
          <w:sz w:val="24"/>
          <w:szCs w:val="24"/>
        </w:rPr>
      </w:pPr>
    </w:p>
    <w:p w14:paraId="0000004B" w14:textId="77777777" w:rsidR="00A9261E" w:rsidRDefault="00000000">
      <w:pPr>
        <w:pStyle w:val="Ttulo1"/>
        <w:tabs>
          <w:tab w:val="right" w:pos="9072"/>
        </w:tabs>
        <w:spacing w:before="60" w:after="0" w:line="360" w:lineRule="auto"/>
        <w:ind w:right="-96"/>
        <w:jc w:val="center"/>
        <w:rPr>
          <w:rFonts w:ascii="Times New Roman" w:eastAsia="Times New Roman" w:hAnsi="Times New Roman" w:cs="Times New Roman"/>
          <w:b/>
          <w:sz w:val="24"/>
          <w:szCs w:val="24"/>
        </w:rPr>
      </w:pPr>
      <w:bookmarkStart w:id="3" w:name="_f4zn68ww8cjn" w:colFirst="0" w:colLast="0"/>
      <w:bookmarkEnd w:id="3"/>
      <w:r>
        <w:rPr>
          <w:rFonts w:ascii="Times New Roman" w:eastAsia="Times New Roman" w:hAnsi="Times New Roman" w:cs="Times New Roman"/>
          <w:b/>
          <w:sz w:val="24"/>
          <w:szCs w:val="24"/>
        </w:rPr>
        <w:t>Marco Teórico</w:t>
      </w:r>
    </w:p>
    <w:p w14:paraId="0000004C" w14:textId="77777777" w:rsidR="00A9261E" w:rsidRDefault="00A9261E">
      <w:pPr>
        <w:spacing w:line="360" w:lineRule="auto"/>
        <w:jc w:val="both"/>
        <w:rPr>
          <w:rFonts w:ascii="Times New Roman" w:eastAsia="Times New Roman" w:hAnsi="Times New Roman" w:cs="Times New Roman"/>
          <w:sz w:val="24"/>
          <w:szCs w:val="24"/>
        </w:rPr>
      </w:pPr>
    </w:p>
    <w:p w14:paraId="0000004D" w14:textId="77777777" w:rsidR="00A9261E"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trabalho parte da premissa de que as ações humanitárias se refletem de vários modos nas relações interpessoais dos refugiados nos campos. Assim, o referencial para a análise destes reflexos é interdisciplinar: por um lado, traz Robert </w:t>
      </w:r>
      <w:proofErr w:type="spellStart"/>
      <w:r>
        <w:rPr>
          <w:rFonts w:ascii="Times New Roman" w:eastAsia="Times New Roman" w:hAnsi="Times New Roman" w:cs="Times New Roman"/>
          <w:sz w:val="24"/>
          <w:szCs w:val="24"/>
        </w:rPr>
        <w:t>Hinde</w:t>
      </w:r>
      <w:proofErr w:type="spellEnd"/>
      <w:r>
        <w:rPr>
          <w:rFonts w:ascii="Times New Roman" w:eastAsia="Times New Roman" w:hAnsi="Times New Roman" w:cs="Times New Roman"/>
          <w:sz w:val="24"/>
          <w:szCs w:val="24"/>
        </w:rPr>
        <w:t xml:space="preserve"> que, em Psicologia, contextualiza essas relações em um amplo sistema, propondo uma visão dialética </w:t>
      </w:r>
      <w:proofErr w:type="gramStart"/>
      <w:r>
        <w:rPr>
          <w:rFonts w:ascii="Times New Roman" w:eastAsia="Times New Roman" w:hAnsi="Times New Roman" w:cs="Times New Roman"/>
          <w:sz w:val="24"/>
          <w:szCs w:val="24"/>
        </w:rPr>
        <w:t>das mesmas</w:t>
      </w:r>
      <w:proofErr w:type="gramEnd"/>
      <w:r>
        <w:rPr>
          <w:rFonts w:ascii="Times New Roman" w:eastAsia="Times New Roman" w:hAnsi="Times New Roman" w:cs="Times New Roman"/>
          <w:sz w:val="24"/>
          <w:szCs w:val="24"/>
        </w:rPr>
        <w:t xml:space="preserve">; pelo outro, aborda ideias de Axel </w:t>
      </w:r>
      <w:proofErr w:type="spellStart"/>
      <w:r>
        <w:rPr>
          <w:rFonts w:ascii="Times New Roman" w:eastAsia="Times New Roman" w:hAnsi="Times New Roman" w:cs="Times New Roman"/>
          <w:sz w:val="24"/>
          <w:szCs w:val="24"/>
        </w:rPr>
        <w:t>Honneth</w:t>
      </w:r>
      <w:proofErr w:type="spellEnd"/>
      <w:r>
        <w:rPr>
          <w:rFonts w:ascii="Times New Roman" w:eastAsia="Times New Roman" w:hAnsi="Times New Roman" w:cs="Times New Roman"/>
          <w:sz w:val="24"/>
          <w:szCs w:val="24"/>
        </w:rPr>
        <w:t>, para quem, desde o Direito, há que se considerar as questões éticas centrais para as relações interpessoais na sua teoria do reconhecimento.</w:t>
      </w:r>
    </w:p>
    <w:p w14:paraId="0000004E" w14:textId="77777777" w:rsidR="00A9261E" w:rsidRDefault="00000000">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Hinde</w:t>
      </w:r>
      <w:proofErr w:type="spellEnd"/>
      <w:r>
        <w:rPr>
          <w:rFonts w:ascii="Times New Roman" w:eastAsia="Times New Roman" w:hAnsi="Times New Roman" w:cs="Times New Roman"/>
          <w:sz w:val="24"/>
          <w:szCs w:val="24"/>
        </w:rPr>
        <w:t xml:space="preserve"> (1997) buscou organizar uma ciência dos relacionamentos a partir de princípios da Etologia, destacando a complexidade das relações interpessoais e a necessidade de integrar os diferentes saberes sobre o tema. Nesse sentido, </w:t>
      </w:r>
      <w:proofErr w:type="spellStart"/>
      <w:r>
        <w:rPr>
          <w:rFonts w:ascii="Times New Roman" w:eastAsia="Times New Roman" w:hAnsi="Times New Roman" w:cs="Times New Roman"/>
          <w:sz w:val="24"/>
          <w:szCs w:val="24"/>
        </w:rPr>
        <w:t>Hinde</w:t>
      </w:r>
      <w:proofErr w:type="spellEnd"/>
      <w:r>
        <w:rPr>
          <w:rFonts w:ascii="Times New Roman" w:eastAsia="Times New Roman" w:hAnsi="Times New Roman" w:cs="Times New Roman"/>
          <w:sz w:val="24"/>
          <w:szCs w:val="24"/>
        </w:rPr>
        <w:t xml:space="preserve"> (1987, 1997) diferencia as interações dos relacionamentos: estes reúnem uma série de interações ao longo do tempo entre sujeitos </w:t>
      </w:r>
      <w:r>
        <w:rPr>
          <w:rFonts w:ascii="Times New Roman" w:eastAsia="Times New Roman" w:hAnsi="Times New Roman" w:cs="Times New Roman"/>
          <w:sz w:val="24"/>
          <w:szCs w:val="24"/>
        </w:rPr>
        <w:lastRenderedPageBreak/>
        <w:t xml:space="preserve">que afetam e são afetados por encontros anteriores e pela expectativa de encontros futuros, enquanto aquelas não se </w:t>
      </w:r>
      <w:proofErr w:type="spellStart"/>
      <w:r>
        <w:rPr>
          <w:rFonts w:ascii="Times New Roman" w:eastAsia="Times New Roman" w:hAnsi="Times New Roman" w:cs="Times New Roman"/>
          <w:sz w:val="24"/>
          <w:szCs w:val="24"/>
        </w:rPr>
        <w:t>estendemriam</w:t>
      </w:r>
      <w:proofErr w:type="spellEnd"/>
      <w:r>
        <w:rPr>
          <w:rFonts w:ascii="Times New Roman" w:eastAsia="Times New Roman" w:hAnsi="Times New Roman" w:cs="Times New Roman"/>
          <w:sz w:val="24"/>
          <w:szCs w:val="24"/>
        </w:rPr>
        <w:t xml:space="preserve"> no tempo, impactando menos as expectativas futuras.</w:t>
      </w:r>
    </w:p>
    <w:p w14:paraId="0000004F" w14:textId="77777777" w:rsidR="00A9261E"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Outra marca de sua abordagem é a importância da descrição dos relacionamentos como ponto de partida para sua compreensão, especialmente quanto ao conteúdo (o que os indivíduos fazem juntos) e a qualidade (como o fazem) desses relacionamentos. Enquanto o conteúdo do relacionamento se refere ao que os indivíduos fazem quando estão juntos, a sua diversidade diz respeito ao número de coisas que podem ser feitas por eles nessas.</w:t>
      </w:r>
    </w:p>
    <w:p w14:paraId="00000050" w14:textId="77777777" w:rsidR="00A9261E"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fim, </w:t>
      </w:r>
      <w:proofErr w:type="spellStart"/>
      <w:r>
        <w:rPr>
          <w:rFonts w:ascii="Times New Roman" w:eastAsia="Times New Roman" w:hAnsi="Times New Roman" w:cs="Times New Roman"/>
          <w:sz w:val="24"/>
          <w:szCs w:val="24"/>
        </w:rPr>
        <w:t>Hinde</w:t>
      </w:r>
      <w:proofErr w:type="spellEnd"/>
      <w:r>
        <w:rPr>
          <w:rFonts w:ascii="Times New Roman" w:eastAsia="Times New Roman" w:hAnsi="Times New Roman" w:cs="Times New Roman"/>
          <w:sz w:val="24"/>
          <w:szCs w:val="24"/>
        </w:rPr>
        <w:t xml:space="preserve"> (2007, p. 245) afirma que sua teoria se difere daquela de muitos “filósofos morais” cujo “foco” da análise seria “como as pessoas devem se comportar”, enquanto o epicentro da sua análise seria na comparação entre “como elas acham que devem se comportar e como realmente se comportam”.</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Para </w:t>
      </w:r>
      <w:proofErr w:type="spellStart"/>
      <w:r>
        <w:rPr>
          <w:rFonts w:ascii="Times New Roman" w:eastAsia="Times New Roman" w:hAnsi="Times New Roman" w:cs="Times New Roman"/>
          <w:sz w:val="24"/>
          <w:szCs w:val="24"/>
        </w:rPr>
        <w:t>Hinde</w:t>
      </w:r>
      <w:proofErr w:type="spellEnd"/>
      <w:r>
        <w:rPr>
          <w:rFonts w:ascii="Times New Roman" w:eastAsia="Times New Roman" w:hAnsi="Times New Roman" w:cs="Times New Roman"/>
          <w:sz w:val="24"/>
          <w:szCs w:val="24"/>
        </w:rPr>
        <w:t xml:space="preserve"> (1997), os relacionamentos estão em relação dialética constante com diferentes grupos ou redes, como no caso da família, do ambiente escolar, e outros, de forma sobreposta ou não. </w:t>
      </w:r>
    </w:p>
    <w:p w14:paraId="00000051" w14:textId="77777777" w:rsidR="00A9261E" w:rsidRDefault="00000000">
      <w:pPr>
        <w:spacing w:line="360" w:lineRule="auto"/>
        <w:ind w:firstLine="720"/>
        <w:jc w:val="both"/>
        <w:rPr>
          <w:rFonts w:ascii="Times New Roman" w:eastAsia="Times New Roman" w:hAnsi="Times New Roman" w:cs="Times New Roman"/>
          <w:sz w:val="24"/>
          <w:szCs w:val="24"/>
        </w:rPr>
      </w:pPr>
      <w:bookmarkStart w:id="4" w:name="_2xcytpi" w:colFirst="0" w:colLast="0"/>
      <w:bookmarkEnd w:id="4"/>
      <w:r>
        <w:rPr>
          <w:rFonts w:ascii="Times New Roman" w:eastAsia="Times New Roman" w:hAnsi="Times New Roman" w:cs="Times New Roman"/>
          <w:sz w:val="24"/>
          <w:szCs w:val="24"/>
        </w:rPr>
        <w:t xml:space="preserve">Nesse sentido, será destacada a colaboração da teoria do reconhecimento, do teórico Axel </w:t>
      </w:r>
      <w:proofErr w:type="spellStart"/>
      <w:r>
        <w:rPr>
          <w:rFonts w:ascii="Times New Roman" w:eastAsia="Times New Roman" w:hAnsi="Times New Roman" w:cs="Times New Roman"/>
          <w:sz w:val="24"/>
          <w:szCs w:val="24"/>
        </w:rPr>
        <w:t>Honneth</w:t>
      </w:r>
      <w:proofErr w:type="spellEnd"/>
      <w:r>
        <w:rPr>
          <w:rFonts w:ascii="Times New Roman" w:eastAsia="Times New Roman" w:hAnsi="Times New Roman" w:cs="Times New Roman"/>
          <w:sz w:val="24"/>
          <w:szCs w:val="24"/>
        </w:rPr>
        <w:t xml:space="preserve"> (2003), que esquematiza a dialética hegeliana de etapas para o reconhecimento social (indivíduo, pessoa e sujeito de direitos) e, com base nesta, empreende uma “atualização sistemática” com o objetivo de desvelar a “estrutura das relações sociais de reconhecimento”. Esta estrutura possuiria três “modos” distintos (dedicação emotiva, respeito cognitivo e estima social), cada qual com formas de desrespeito ou reconhecimento específicas e embasadas, portanto, nos relacionamentos interpessoais, sobretudo em grupos e entre grupos.</w:t>
      </w:r>
    </w:p>
    <w:p w14:paraId="00000052"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primeiro nível (da “integridade física”), por exemplo, o desrespeito prejudicaria a relação da pessoa com sua imagem corpórea do </w:t>
      </w:r>
      <w:r>
        <w:rPr>
          <w:rFonts w:ascii="Times New Roman" w:eastAsia="Times New Roman" w:hAnsi="Times New Roman" w:cs="Times New Roman"/>
          <w:i/>
          <w:sz w:val="24"/>
          <w:szCs w:val="24"/>
        </w:rPr>
        <w:t>self</w:t>
      </w:r>
      <w:r>
        <w:rPr>
          <w:rFonts w:ascii="Times New Roman" w:eastAsia="Times New Roman" w:hAnsi="Times New Roman" w:cs="Times New Roman"/>
          <w:sz w:val="24"/>
          <w:szCs w:val="24"/>
        </w:rPr>
        <w:t xml:space="preserve">, enquanto no segundo sua “morte social” seria causada pelo desrespeito no acesso desigual a direitos, afetando seu sentido normativo de </w:t>
      </w:r>
      <w:r>
        <w:rPr>
          <w:rFonts w:ascii="Times New Roman" w:eastAsia="Times New Roman" w:hAnsi="Times New Roman" w:cs="Times New Roman"/>
          <w:i/>
          <w:sz w:val="24"/>
          <w:szCs w:val="24"/>
        </w:rPr>
        <w:t>self</w:t>
      </w:r>
      <w:r>
        <w:rPr>
          <w:rFonts w:ascii="Times New Roman" w:eastAsia="Times New Roman" w:hAnsi="Times New Roman" w:cs="Times New Roman"/>
          <w:sz w:val="24"/>
          <w:szCs w:val="24"/>
        </w:rPr>
        <w:t>. No terceiro nível, em que indivíduos ou grupos são atacados no seu estilo de vida, o desrespeito, equivalente à injúria, poderia enfim ser transmutado em uma “motivação para atos de resistência política” (</w:t>
      </w:r>
      <w:proofErr w:type="spellStart"/>
      <w:r>
        <w:rPr>
          <w:rFonts w:ascii="Times New Roman" w:eastAsia="Times New Roman" w:hAnsi="Times New Roman" w:cs="Times New Roman"/>
          <w:sz w:val="24"/>
          <w:szCs w:val="24"/>
        </w:rPr>
        <w:t>Honneth</w:t>
      </w:r>
      <w:proofErr w:type="spellEnd"/>
      <w:r>
        <w:rPr>
          <w:rFonts w:ascii="Times New Roman" w:eastAsia="Times New Roman" w:hAnsi="Times New Roman" w:cs="Times New Roman"/>
          <w:sz w:val="24"/>
          <w:szCs w:val="24"/>
        </w:rPr>
        <w:t>, 1992, p. 200).</w:t>
      </w:r>
    </w:p>
    <w:p w14:paraId="00000053" w14:textId="77777777" w:rsidR="00A9261E" w:rsidRDefault="00000000">
      <w:pPr>
        <w:spacing w:line="360" w:lineRule="auto"/>
        <w:ind w:firstLine="720"/>
        <w:jc w:val="both"/>
        <w:rPr>
          <w:rFonts w:ascii="Times New Roman" w:eastAsia="Times New Roman" w:hAnsi="Times New Roman" w:cs="Times New Roman"/>
          <w:sz w:val="24"/>
          <w:szCs w:val="24"/>
        </w:rPr>
      </w:pPr>
      <w:bookmarkStart w:id="5" w:name="_luskmcdua77e" w:colFirst="0" w:colLast="0"/>
      <w:bookmarkEnd w:id="5"/>
      <w:r>
        <w:rPr>
          <w:rFonts w:ascii="Times New Roman" w:eastAsia="Times New Roman" w:hAnsi="Times New Roman" w:cs="Times New Roman"/>
          <w:sz w:val="24"/>
          <w:szCs w:val="24"/>
        </w:rPr>
        <w:t xml:space="preserve">Na elaboração de sua teoria, </w:t>
      </w:r>
      <w:proofErr w:type="spellStart"/>
      <w:r>
        <w:rPr>
          <w:rFonts w:ascii="Times New Roman" w:eastAsia="Times New Roman" w:hAnsi="Times New Roman" w:cs="Times New Roman"/>
          <w:sz w:val="24"/>
          <w:szCs w:val="24"/>
        </w:rPr>
        <w:t>Honneth</w:t>
      </w:r>
      <w:proofErr w:type="spellEnd"/>
      <w:r>
        <w:rPr>
          <w:rFonts w:ascii="Times New Roman" w:eastAsia="Times New Roman" w:hAnsi="Times New Roman" w:cs="Times New Roman"/>
          <w:sz w:val="24"/>
          <w:szCs w:val="24"/>
        </w:rPr>
        <w:t xml:space="preserve"> (2013) de fato identifica lacunas muito similares às elencadas por </w:t>
      </w:r>
      <w:proofErr w:type="spellStart"/>
      <w:r>
        <w:rPr>
          <w:rFonts w:ascii="Times New Roman" w:eastAsia="Times New Roman" w:hAnsi="Times New Roman" w:cs="Times New Roman"/>
          <w:sz w:val="24"/>
          <w:szCs w:val="24"/>
        </w:rPr>
        <w:t>Hinde</w:t>
      </w:r>
      <w:proofErr w:type="spellEnd"/>
      <w:r>
        <w:rPr>
          <w:rFonts w:ascii="Times New Roman" w:eastAsia="Times New Roman" w:hAnsi="Times New Roman" w:cs="Times New Roman"/>
          <w:sz w:val="24"/>
          <w:szCs w:val="24"/>
        </w:rPr>
        <w:t xml:space="preserve"> nos seus estudos, sobretudo nas teorias psicanalítica e sociológica. Julga, porém, “grave” o fato de que “as estilizações unilaterais parecem impedir radicalmente uma conexão conceitual básica entre as duas disciplinas” (</w:t>
      </w:r>
      <w:proofErr w:type="spellStart"/>
      <w:r>
        <w:rPr>
          <w:rFonts w:ascii="Times New Roman" w:eastAsia="Times New Roman" w:hAnsi="Times New Roman" w:cs="Times New Roman"/>
          <w:sz w:val="24"/>
          <w:szCs w:val="24"/>
        </w:rPr>
        <w:t>Honneth</w:t>
      </w:r>
      <w:proofErr w:type="spellEnd"/>
      <w:r>
        <w:rPr>
          <w:rFonts w:ascii="Times New Roman" w:eastAsia="Times New Roman" w:hAnsi="Times New Roman" w:cs="Times New Roman"/>
          <w:sz w:val="24"/>
          <w:szCs w:val="24"/>
        </w:rPr>
        <w:t>, 2013, p. 61).</w:t>
      </w:r>
    </w:p>
    <w:p w14:paraId="00000054" w14:textId="77777777" w:rsidR="00A9261E" w:rsidRDefault="00000000">
      <w:pPr>
        <w:spacing w:line="360" w:lineRule="auto"/>
        <w:ind w:firstLine="720"/>
        <w:jc w:val="both"/>
        <w:rPr>
          <w:rFonts w:ascii="Times New Roman" w:eastAsia="Times New Roman" w:hAnsi="Times New Roman" w:cs="Times New Roman"/>
          <w:sz w:val="24"/>
          <w:szCs w:val="24"/>
        </w:rPr>
      </w:pPr>
      <w:bookmarkStart w:id="6" w:name="_mnofhc2i6xc0" w:colFirst="0" w:colLast="0"/>
      <w:bookmarkEnd w:id="6"/>
      <w:r>
        <w:rPr>
          <w:rFonts w:ascii="Times New Roman" w:eastAsia="Times New Roman" w:hAnsi="Times New Roman" w:cs="Times New Roman"/>
          <w:sz w:val="24"/>
          <w:szCs w:val="24"/>
        </w:rPr>
        <w:lastRenderedPageBreak/>
        <w:t>De modo a tentar superar estas lacunas, a presente pesquisa apresenta e discute trechos selecionados das entrevistas realizadas no âmbito da tese que deu origem ao presente trabalho. O foco da seleção destes trechos está nos desafios desta ajuda em campos de refugiados.</w:t>
      </w:r>
    </w:p>
    <w:p w14:paraId="00000055" w14:textId="77777777" w:rsidR="00A9261E" w:rsidRDefault="00A9261E">
      <w:pPr>
        <w:spacing w:line="360" w:lineRule="auto"/>
        <w:jc w:val="both"/>
        <w:rPr>
          <w:rFonts w:ascii="Times New Roman" w:eastAsia="Times New Roman" w:hAnsi="Times New Roman" w:cs="Times New Roman"/>
          <w:color w:val="111111"/>
          <w:sz w:val="24"/>
          <w:szCs w:val="24"/>
        </w:rPr>
      </w:pPr>
    </w:p>
    <w:p w14:paraId="00000056" w14:textId="77777777" w:rsidR="00A9261E" w:rsidRDefault="00000000">
      <w:pPr>
        <w:pStyle w:val="Ttulo1"/>
        <w:tabs>
          <w:tab w:val="right" w:pos="9072"/>
        </w:tabs>
        <w:spacing w:before="60" w:after="0" w:line="360" w:lineRule="auto"/>
        <w:ind w:right="-96"/>
        <w:jc w:val="center"/>
        <w:rPr>
          <w:rFonts w:ascii="Times New Roman" w:eastAsia="Times New Roman" w:hAnsi="Times New Roman" w:cs="Times New Roman"/>
          <w:b/>
          <w:sz w:val="24"/>
          <w:szCs w:val="24"/>
        </w:rPr>
      </w:pPr>
      <w:bookmarkStart w:id="7" w:name="_862rjrxomr3r" w:colFirst="0" w:colLast="0"/>
      <w:bookmarkEnd w:id="7"/>
      <w:r>
        <w:rPr>
          <w:rFonts w:ascii="Times New Roman" w:eastAsia="Times New Roman" w:hAnsi="Times New Roman" w:cs="Times New Roman"/>
          <w:b/>
          <w:sz w:val="24"/>
          <w:szCs w:val="24"/>
        </w:rPr>
        <w:t>Resultados</w:t>
      </w:r>
    </w:p>
    <w:p w14:paraId="00000057" w14:textId="77777777" w:rsidR="00A9261E" w:rsidRDefault="00A9261E">
      <w:pPr>
        <w:spacing w:line="360" w:lineRule="auto"/>
        <w:jc w:val="both"/>
        <w:rPr>
          <w:rFonts w:ascii="Times New Roman" w:eastAsia="Times New Roman" w:hAnsi="Times New Roman" w:cs="Times New Roman"/>
          <w:sz w:val="24"/>
          <w:szCs w:val="24"/>
        </w:rPr>
      </w:pPr>
    </w:p>
    <w:p w14:paraId="00000058" w14:textId="77777777" w:rsidR="00A9261E" w:rsidRDefault="00000000">
      <w:pPr>
        <w:widowControl w:val="0"/>
        <w:spacing w:line="360" w:lineRule="auto"/>
        <w:ind w:firstLine="720"/>
        <w:jc w:val="both"/>
        <w:rPr>
          <w:rFonts w:ascii="Times New Roman" w:eastAsia="Times New Roman" w:hAnsi="Times New Roman" w:cs="Times New Roman"/>
          <w:color w:val="111111"/>
          <w:sz w:val="24"/>
          <w:szCs w:val="24"/>
        </w:rPr>
      </w:pPr>
      <w:r>
        <w:rPr>
          <w:rFonts w:ascii="Times New Roman" w:eastAsia="Times New Roman" w:hAnsi="Times New Roman" w:cs="Times New Roman"/>
          <w:sz w:val="24"/>
          <w:szCs w:val="24"/>
        </w:rPr>
        <w:t>Como anteriormente visto, foram entrevistadas dez pessoas experientes em situações humanitárias e/ou de refúgio</w:t>
      </w:r>
      <w:r>
        <w:rPr>
          <w:rFonts w:ascii="Times New Roman" w:eastAsia="Times New Roman" w:hAnsi="Times New Roman" w:cs="Times New Roman"/>
          <w:color w:val="111111"/>
          <w:sz w:val="24"/>
          <w:szCs w:val="24"/>
        </w:rPr>
        <w:t>, seguindo certos princípios éticos. Nesta seção, são descritos os seus relatos sobre as suas vivências de ajuda humanitária em campos e arranjos análogos.</w:t>
      </w:r>
    </w:p>
    <w:p w14:paraId="00000059" w14:textId="77777777" w:rsidR="00A9261E" w:rsidRDefault="00A9261E">
      <w:pPr>
        <w:widowControl w:val="0"/>
        <w:spacing w:line="360" w:lineRule="auto"/>
        <w:jc w:val="both"/>
        <w:rPr>
          <w:rFonts w:ascii="Times New Roman" w:eastAsia="Times New Roman" w:hAnsi="Times New Roman" w:cs="Times New Roman"/>
          <w:color w:val="111111"/>
          <w:sz w:val="24"/>
          <w:szCs w:val="24"/>
        </w:rPr>
      </w:pPr>
    </w:p>
    <w:p w14:paraId="0000005A" w14:textId="77777777" w:rsidR="00A9261E" w:rsidRDefault="00000000">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Relatos sobre os Campos de Refugiados</w:t>
      </w:r>
    </w:p>
    <w:p w14:paraId="0000005B"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 relatos, os campos mais citados estavam no continente africano (região do Chifre da África); asiático (subcontinente indiano); e no Oriente Médio (em particular, nas regiões de fronteira próximas à Síria). Outras comunidades de deslocados à força no meio urbano, como o norte do Oriente Médio e o sul da Europa, também comparecem nos seus relatos. Entre os atributos dos campos que mais lhes chamaram a atenção, citam: sua grandeza; sua gestão; sua infraestrutura; e sua localização.</w:t>
      </w:r>
    </w:p>
    <w:p w14:paraId="0000005C"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relação à </w:t>
      </w:r>
      <w:r>
        <w:rPr>
          <w:rFonts w:ascii="Times New Roman" w:eastAsia="Times New Roman" w:hAnsi="Times New Roman" w:cs="Times New Roman"/>
          <w:i/>
          <w:sz w:val="24"/>
          <w:szCs w:val="24"/>
        </w:rPr>
        <w:t>grandeza</w:t>
      </w:r>
      <w:r>
        <w:rPr>
          <w:rFonts w:ascii="Times New Roman" w:eastAsia="Times New Roman" w:hAnsi="Times New Roman" w:cs="Times New Roman"/>
          <w:sz w:val="24"/>
          <w:szCs w:val="24"/>
        </w:rPr>
        <w:t xml:space="preserve">, uma pessoa que atuou em </w:t>
      </w:r>
      <w:proofErr w:type="spellStart"/>
      <w:r>
        <w:rPr>
          <w:rFonts w:ascii="Times New Roman" w:eastAsia="Times New Roman" w:hAnsi="Times New Roman" w:cs="Times New Roman"/>
          <w:sz w:val="24"/>
          <w:szCs w:val="24"/>
        </w:rPr>
        <w:t>Dadaab</w:t>
      </w:r>
      <w:proofErr w:type="spellEnd"/>
      <w:r>
        <w:rPr>
          <w:rFonts w:ascii="Times New Roman" w:eastAsia="Times New Roman" w:hAnsi="Times New Roman" w:cs="Times New Roman"/>
          <w:sz w:val="24"/>
          <w:szCs w:val="24"/>
        </w:rPr>
        <w:t xml:space="preserve"> (Quênia) no início do século, quando eles já existiam há cerca de quinze anos, disse que se espantou ao perceber o quanto estes espaços eram “enormes” e “massivos” (1). Em outro relato, há o reconhecimento da socialização como um fator que contribuiu para a concepção de uma ideia sobre os campos de refugiados africanos como sendo, antes de tudo, esses espaços “grandes” e “enormes” (6).</w:t>
      </w:r>
    </w:p>
    <w:p w14:paraId="0000005D"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“Grandeza” inclusive foi um atributo que se referiu não só à dimensão espacial, como à temporal. Certo participante diz que os campos palestinos seriam bem impactantes, porque: “. . . quando pensamos em campos de refugiados, pensamos em [algo] temporário. Contudo, os campos de refugiados palestinos. . . Parece que existem para sempre” (9).</w:t>
      </w:r>
    </w:p>
    <w:p w14:paraId="0000005E"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Outro atributo dos campos bem impactante foi o seu modelo peculiar de </w:t>
      </w:r>
      <w:r>
        <w:rPr>
          <w:rFonts w:ascii="Times New Roman" w:eastAsia="Times New Roman" w:hAnsi="Times New Roman" w:cs="Times New Roman"/>
          <w:i/>
          <w:sz w:val="24"/>
          <w:szCs w:val="24"/>
        </w:rPr>
        <w:t>gestão</w:t>
      </w:r>
      <w:r>
        <w:rPr>
          <w:rFonts w:ascii="Times New Roman" w:eastAsia="Times New Roman" w:hAnsi="Times New Roman" w:cs="Times New Roman"/>
          <w:sz w:val="24"/>
          <w:szCs w:val="24"/>
        </w:rPr>
        <w:t xml:space="preserve">. Uma participante destacou as semelhanças e diferenças entre esses espaços e as cidades, dizendo que: “Assim como em uma cidade, eles têm seus próprios meios de comunicação... Entre funcionários e moradores do campo. Isso é diferente de apenas planejamento e gestão de uma vila, ou cidade, e acho que isso tampouco pode ser subestimado” (1). Ainda quanto à </w:t>
      </w:r>
      <w:r>
        <w:rPr>
          <w:rFonts w:ascii="Times New Roman" w:eastAsia="Times New Roman" w:hAnsi="Times New Roman" w:cs="Times New Roman"/>
          <w:i/>
          <w:sz w:val="24"/>
          <w:szCs w:val="24"/>
        </w:rPr>
        <w:t>gestão</w:t>
      </w:r>
      <w:r>
        <w:rPr>
          <w:rFonts w:ascii="Times New Roman" w:eastAsia="Times New Roman" w:hAnsi="Times New Roman" w:cs="Times New Roman"/>
          <w:sz w:val="24"/>
          <w:szCs w:val="24"/>
        </w:rPr>
        <w:t>, certo participante se surpreendeu ao ver os atores nos campos raras vezes somente na “sua” função, sobretudo “no momento de montagem desses campos” (10), quando relatou ter visto:</w:t>
      </w:r>
    </w:p>
    <w:p w14:paraId="0000005F" w14:textId="77777777" w:rsidR="00A9261E" w:rsidRDefault="00000000">
      <w:pPr>
        <w:widowControl w:val="0"/>
        <w:spacing w:before="240" w:after="240"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 . desde médicos que atendem pessoas feridas também pegando uma escavadeira para fazer um buraco e fazer uma fossa</w:t>
      </w:r>
      <w:proofErr w:type="gramStart"/>
      <w:r>
        <w:rPr>
          <w:rFonts w:ascii="Times New Roman" w:eastAsia="Times New Roman" w:hAnsi="Times New Roman" w:cs="Times New Roman"/>
          <w:sz w:val="24"/>
          <w:szCs w:val="24"/>
        </w:rPr>
        <w:t>. . . Ou</w:t>
      </w:r>
      <w:proofErr w:type="gramEnd"/>
      <w:r>
        <w:rPr>
          <w:rFonts w:ascii="Times New Roman" w:eastAsia="Times New Roman" w:hAnsi="Times New Roman" w:cs="Times New Roman"/>
          <w:sz w:val="24"/>
          <w:szCs w:val="24"/>
        </w:rPr>
        <w:t xml:space="preserve"> engenheiros. . . pegando enxada na mão, e falando: “Olha, vou fazer uma linha, e nessa linha a água tem que descer, porque se não descer aqui, vai colapsar o campo...” (10).</w:t>
      </w:r>
    </w:p>
    <w:p w14:paraId="00000060"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Quanto à </w:t>
      </w:r>
      <w:r>
        <w:rPr>
          <w:rFonts w:ascii="Times New Roman" w:eastAsia="Times New Roman" w:hAnsi="Times New Roman" w:cs="Times New Roman"/>
          <w:i/>
          <w:sz w:val="24"/>
          <w:szCs w:val="24"/>
        </w:rPr>
        <w:t>infraestrutura</w:t>
      </w:r>
      <w:r>
        <w:rPr>
          <w:rFonts w:ascii="Times New Roman" w:eastAsia="Times New Roman" w:hAnsi="Times New Roman" w:cs="Times New Roman"/>
          <w:sz w:val="24"/>
          <w:szCs w:val="24"/>
        </w:rPr>
        <w:t>, alguns notaram a presença de “estradas, escolas e clínicas” (1) como algo impensado, enquanto outros sentiram falta, por exemplo, de “eletricidade” e “água corrente” (6). Ademais, seria comum que “grandes organizações”, como a ONU, tenham uma habitação à parte, com melhor infraestrutura, para seus prestadores de serviços — tendo um participante (6), por exemplo, optado por residir nos campos na sua pesquisa.</w:t>
      </w:r>
    </w:p>
    <w:p w14:paraId="00000061" w14:textId="77777777" w:rsidR="00A9261E" w:rsidRDefault="00000000">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Quanto à </w:t>
      </w:r>
      <w:r>
        <w:rPr>
          <w:rFonts w:ascii="Times New Roman" w:eastAsia="Times New Roman" w:hAnsi="Times New Roman" w:cs="Times New Roman"/>
          <w:i/>
          <w:sz w:val="24"/>
          <w:szCs w:val="24"/>
        </w:rPr>
        <w:t>localização</w:t>
      </w:r>
      <w:r>
        <w:rPr>
          <w:rFonts w:ascii="Times New Roman" w:eastAsia="Times New Roman" w:hAnsi="Times New Roman" w:cs="Times New Roman"/>
          <w:sz w:val="24"/>
          <w:szCs w:val="24"/>
        </w:rPr>
        <w:t xml:space="preserve">, os campos surpreenderam pela distância, estando áreas no geral </w:t>
      </w:r>
      <w:proofErr w:type="spellStart"/>
      <w:proofErr w:type="gramStart"/>
      <w:r>
        <w:rPr>
          <w:rFonts w:ascii="Times New Roman" w:eastAsia="Times New Roman" w:hAnsi="Times New Roman" w:cs="Times New Roman"/>
          <w:sz w:val="24"/>
          <w:szCs w:val="24"/>
        </w:rPr>
        <w:t>remotas,“</w:t>
      </w:r>
      <w:proofErr w:type="gramEnd"/>
      <w:r>
        <w:rPr>
          <w:rFonts w:ascii="Times New Roman" w:eastAsia="Times New Roman" w:hAnsi="Times New Roman" w:cs="Times New Roman"/>
          <w:sz w:val="24"/>
          <w:szCs w:val="24"/>
        </w:rPr>
        <w:t>no</w:t>
      </w:r>
      <w:proofErr w:type="spellEnd"/>
      <w:r>
        <w:rPr>
          <w:rFonts w:ascii="Times New Roman" w:eastAsia="Times New Roman" w:hAnsi="Times New Roman" w:cs="Times New Roman"/>
          <w:sz w:val="24"/>
          <w:szCs w:val="24"/>
        </w:rPr>
        <w:t xml:space="preserve"> meio do nada” (1), bem como pelo terreno impróprio (em certos casos, de “lama”), que configurava um “desafio para o transporte” de seus habitantes (5). Esse desafio também impactou ainda outro participante, que relatou como foi entrar no campo: “. . . vendo literalmente caminhões carregados de pessoas sul-sudanesas de pé, como gado, na traseira desses grandes caminhões da ONU, balançando nas estradas de terra empoeiradas” (6).</w:t>
      </w:r>
    </w:p>
    <w:p w14:paraId="00000062"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geral, todos os participantes relataram alguma mudança na perspectiva sobre esses espaços, em especial após suas primeiras </w:t>
      </w:r>
      <w:proofErr w:type="spellStart"/>
      <w:r>
        <w:rPr>
          <w:rFonts w:ascii="Times New Roman" w:eastAsia="Times New Roman" w:hAnsi="Times New Roman" w:cs="Times New Roman"/>
          <w:sz w:val="24"/>
          <w:szCs w:val="24"/>
        </w:rPr>
        <w:t>impresões</w:t>
      </w:r>
      <w:proofErr w:type="spellEnd"/>
      <w:r>
        <w:rPr>
          <w:rFonts w:ascii="Times New Roman" w:eastAsia="Times New Roman" w:hAnsi="Times New Roman" w:cs="Times New Roman"/>
          <w:sz w:val="24"/>
          <w:szCs w:val="24"/>
        </w:rPr>
        <w:t xml:space="preserve"> serem confrontadas na prática. Segundo certa participante, por exemplo: “Há muito mais coisas positivas que acontecem nos campos que a princípio se supõe quando se chega lá.” (1).</w:t>
      </w:r>
    </w:p>
    <w:p w14:paraId="00000063"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a </w:t>
      </w:r>
      <w:r>
        <w:rPr>
          <w:rFonts w:ascii="Times New Roman" w:eastAsia="Times New Roman" w:hAnsi="Times New Roman" w:cs="Times New Roman"/>
          <w:i/>
          <w:sz w:val="24"/>
          <w:szCs w:val="24"/>
        </w:rPr>
        <w:t xml:space="preserve">grandeza </w:t>
      </w:r>
      <w:r>
        <w:rPr>
          <w:rFonts w:ascii="Times New Roman" w:eastAsia="Times New Roman" w:hAnsi="Times New Roman" w:cs="Times New Roman"/>
          <w:sz w:val="24"/>
          <w:szCs w:val="24"/>
        </w:rPr>
        <w:t>por si só não basta pararia se ter uma ideia de sua complexidade. Na verdade, embora haja muitas fotografias panorâmicas desses lugares, atualmente: “Você só vê o quão grande é, mas não acho que você entenda como o organismo realmente funciona a menos que tenha dormido ou estado no campo por um período significativo de tempo” (1).</w:t>
      </w:r>
    </w:p>
    <w:p w14:paraId="00000064"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Quanto à </w:t>
      </w:r>
      <w:r>
        <w:rPr>
          <w:rFonts w:ascii="Times New Roman" w:eastAsia="Times New Roman" w:hAnsi="Times New Roman" w:cs="Times New Roman"/>
          <w:i/>
          <w:sz w:val="24"/>
          <w:szCs w:val="24"/>
        </w:rPr>
        <w:t xml:space="preserve">gestão </w:t>
      </w:r>
      <w:r>
        <w:rPr>
          <w:rFonts w:ascii="Times New Roman" w:eastAsia="Times New Roman" w:hAnsi="Times New Roman" w:cs="Times New Roman"/>
          <w:sz w:val="24"/>
          <w:szCs w:val="24"/>
        </w:rPr>
        <w:t>desses espaços, um participante afirmou que mudou sua visão sobre a atuação por parte dos prestadores de ajuda, aos quais teria visto “agindo diferente para o bem e para o mal” (10). Algumas mudanças de atitude foram vistas como “necessárias”, já que:</w:t>
      </w:r>
    </w:p>
    <w:p w14:paraId="00000065" w14:textId="77777777" w:rsidR="00A9261E" w:rsidRDefault="00000000">
      <w:pPr>
        <w:widowControl w:val="0"/>
        <w:spacing w:before="240" w:after="240"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Depois de muito tempo. . ., às vezes, você até separa o procedimento do humano que está do outro lado. Não sei se é bom ou é ruim; é o que acabam desenvolvendo</w:t>
      </w:r>
      <w:proofErr w:type="gramStart"/>
      <w:r>
        <w:rPr>
          <w:rFonts w:ascii="Times New Roman" w:eastAsia="Times New Roman" w:hAnsi="Times New Roman" w:cs="Times New Roman"/>
          <w:sz w:val="24"/>
          <w:szCs w:val="24"/>
        </w:rPr>
        <w:t>. . . Ou</w:t>
      </w:r>
      <w:proofErr w:type="gramEnd"/>
      <w:r>
        <w:rPr>
          <w:rFonts w:ascii="Times New Roman" w:eastAsia="Times New Roman" w:hAnsi="Times New Roman" w:cs="Times New Roman"/>
          <w:sz w:val="24"/>
          <w:szCs w:val="24"/>
        </w:rPr>
        <w:t xml:space="preserve"> seja: vira algo pragmático, procedimental, menos humanizado, que parece estranho, mas não: é normal, precisa ser assim; se não, ele não faz o que tem que fazer (10).</w:t>
      </w:r>
    </w:p>
    <w:p w14:paraId="00000066"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Acerca da </w:t>
      </w:r>
      <w:r>
        <w:rPr>
          <w:rFonts w:ascii="Times New Roman" w:eastAsia="Times New Roman" w:hAnsi="Times New Roman" w:cs="Times New Roman"/>
          <w:i/>
          <w:sz w:val="24"/>
          <w:szCs w:val="24"/>
        </w:rPr>
        <w:t>infraestrutura</w:t>
      </w:r>
      <w:r>
        <w:rPr>
          <w:rFonts w:ascii="Times New Roman" w:eastAsia="Times New Roman" w:hAnsi="Times New Roman" w:cs="Times New Roman"/>
          <w:sz w:val="24"/>
          <w:szCs w:val="24"/>
        </w:rPr>
        <w:t>, um participante afirmou que, mesmo sabendo da escassez de recursos predominante, o nível da miserabilidade teria sido impactante na sua primeira visita a um campo, dado que: “. . . quando fui para esses campos. . . Eles não tinham nem o básico” (7). Por comparação, chegou a citar outros residentes do país, que viviam em “zonas rurais” bastante empobrecidas, e mesmo assim se surpreendendo com a pobreza local.</w:t>
      </w:r>
    </w:p>
    <w:p w14:paraId="00000067"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Estas condições de vida altamente precarizadas se refletem, segundo os participantes, tanto na provisão da ajuda humanitária (seja no planejamento, seja na sua realização), como ainda nas relações interpessoais das pessoas que neles habitam. As próximas duas seções, por sua vez, tratarão mais detidamente a respeito disso.</w:t>
      </w:r>
    </w:p>
    <w:p w14:paraId="00000068" w14:textId="77777777" w:rsidR="00A9261E" w:rsidRDefault="00A9261E">
      <w:pPr>
        <w:widowControl w:val="0"/>
        <w:spacing w:line="360" w:lineRule="auto"/>
        <w:jc w:val="both"/>
        <w:rPr>
          <w:rFonts w:ascii="Times New Roman" w:eastAsia="Times New Roman" w:hAnsi="Times New Roman" w:cs="Times New Roman"/>
          <w:sz w:val="24"/>
          <w:szCs w:val="24"/>
        </w:rPr>
      </w:pPr>
    </w:p>
    <w:p w14:paraId="00000069" w14:textId="77777777" w:rsidR="00A9261E" w:rsidRDefault="00000000">
      <w:pPr>
        <w:widowControl w:val="0"/>
        <w:spacing w:line="36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i/>
          <w:sz w:val="24"/>
          <w:szCs w:val="24"/>
        </w:rPr>
        <w:t>Relatos sobre a Ajuda Humanitária</w:t>
      </w:r>
    </w:p>
    <w:p w14:paraId="0000006A"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respeito da ajuda humanitária, os participantes trouxeram relatos tanto sobre as suas motivações quanto sobre as trajetórias e históricos de formação prévios à sua atuação. Além disso, foi observado o quanto as precárias condições de vida nos campos e arranjos análogos impactam na provisão desta ajuda em tais contextos.</w:t>
      </w:r>
    </w:p>
    <w:p w14:paraId="0000006B"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Quanto à formação prévia à atuação em situações humanitárias, os participantes no geral reconheceram a importância para evitar danos às pessoas refugiadas. Certo participante disse que, no início da carreira, teria cometido “equívocos” em um levantamento que realizou dentro de um abrigo provisório (4) — os quais atribuiu ao fato de ser “jovem e inexperiente”.</w:t>
      </w:r>
    </w:p>
    <w:p w14:paraId="0000006C"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os principiantes, outros participantes indicaram que certas organizações ofertam atividades formativas, como reuniões, palestras e dados sistematizados pelos mais experientes em tais contextos (10). Foi ainda ressaltada a importância dessas atividades para “mudar a atitude” das pessoas que “. . . trabalham com o campo de refugiados ou outro arranjo do tipo não porque queiram, mas sim por ser a única coisa que conseguem encontrar” (4).</w:t>
      </w:r>
    </w:p>
    <w:p w14:paraId="0000006D"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Acerca destas formações em emergências, foi destacada ainda sua </w:t>
      </w:r>
      <w:r>
        <w:rPr>
          <w:rFonts w:ascii="Times New Roman" w:eastAsia="Times New Roman" w:hAnsi="Times New Roman" w:cs="Times New Roman"/>
          <w:i/>
          <w:sz w:val="24"/>
          <w:szCs w:val="24"/>
        </w:rPr>
        <w:t>brevidade</w:t>
      </w:r>
      <w:r>
        <w:rPr>
          <w:rFonts w:ascii="Times New Roman" w:eastAsia="Times New Roman" w:hAnsi="Times New Roman" w:cs="Times New Roman"/>
          <w:sz w:val="24"/>
          <w:szCs w:val="24"/>
        </w:rPr>
        <w:t>. Segundo um participante, no geral: “As formações são rápidas porque tendem a responder rapidamente a esses problemas” (10). Dessa forma: “Nem sempre as pessoas que estão melhor preparadas podem ir; isso é um dilema das organizações” (10).</w:t>
      </w:r>
    </w:p>
    <w:p w14:paraId="0000006E"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predominância de pessoas menos experientes nesses cenários, ao menos nos momentos iniciais de resposta a emergências humanitárias, também foi destacada por outro participante. A seu ver: “. . . foram muitas pessoas que fizeram isso pela primeira vez e por causa do entusiasmo que havia. . . nas primeiras semanas” (8). Após o entusiasmo inicial, no entanto, teria sido “realmente um problema achar pessoas que pudessem ajudá-los” (8).</w:t>
      </w:r>
    </w:p>
    <w:p w14:paraId="0000006F"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início destas trajetórias, os participantes relataram motivações para prestar a ajuda humanitária relacionados, no geral, a anseios e a interesses pessoais. Apenas a participante (2) propôs a ação em um campo próximo a seu local de residência no momento posterior ao em que conheceu alguns de seus habitantes, os quais confirmaram o interesse na sua proposta.</w:t>
      </w:r>
    </w:p>
    <w:p w14:paraId="00000070"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Dos participantes que buscaram uma carreira na ajuda humanitária, (1) disse sempre ter desejado trabalhar internacionalmente, e não “necessariamente” com refugiados, pois atua com </w:t>
      </w:r>
      <w:r>
        <w:rPr>
          <w:rFonts w:ascii="Times New Roman" w:eastAsia="Times New Roman" w:hAnsi="Times New Roman" w:cs="Times New Roman"/>
          <w:sz w:val="24"/>
          <w:szCs w:val="24"/>
        </w:rPr>
        <w:lastRenderedPageBreak/>
        <w:t>outros grupos que sofrem violações a direitos humanos, tais como deslocados internos ou vítimas de tortura. De modo similar, (3) e (4) não expressaram “nenhum interesse particular” inicial “em trabalhar com refugiados”, tendo buscado atuar em “situações humanitárias”.</w:t>
      </w:r>
    </w:p>
    <w:p w14:paraId="00000071" w14:textId="77777777" w:rsidR="00A9261E" w:rsidRDefault="00000000">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Já os participantes (5), (6) e (7) partiram de certos interesses de pesquisa acadêmica e procuraram pôr em prática primeiro nos países de origem, e só depois internacionalmente. O participante (8) foi convocado para organizar à distância a “decisão espontânea” de criar um abrigo provisório para os deslocados à força que chegaram a uma comunidade na sua região.</w:t>
      </w:r>
    </w:p>
    <w:p w14:paraId="00000072"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sua vez, a motivação de (9) teria sido a “maior onda ou crise de nosso tempo”, em referência ao influxo massivo de deslocados à força na sua região nesta última década, tendo se voluntariado então para atuar com essas pessoas. Na década anterior, (10) voluntariamente buscou compor uma equipe para apoiar as vítimas de um desastre, ocorrido fora de seu país e noticiado à época pela mídia a nível global.</w:t>
      </w:r>
    </w:p>
    <w:p w14:paraId="00000073"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ajuda humanitária, portanto, frequentemente é impactada pelas condições nas quais deve ser implantada. Dessa forma, o preparo necessário para planejar tais ações foi considerado um desafio, dado que faltaria “tempo” no geral. De acordo com uma participante: “. . . muitas vezes, por causa do financiamento, temos pouco tempo para implantar o projeto, e temos que desenhar antes mesmo de conhecer as comunidades adequadamente” (3).</w:t>
      </w:r>
    </w:p>
    <w:p w14:paraId="00000074"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outro participante, os campos seriam certos “casos especiais”, em que: “Pode não ser possível ter um plano completo antes que a população refugiada chegue” (7). Por isso, a responsabilidade maior de prepará-las seria dos países que tradicionalmente financiam a ajuda humanitária, sendo que: “. . . na maior parte, estão preparados</w:t>
      </w:r>
      <w:proofErr w:type="gramStart"/>
      <w:r>
        <w:rPr>
          <w:rFonts w:ascii="Times New Roman" w:eastAsia="Times New Roman" w:hAnsi="Times New Roman" w:cs="Times New Roman"/>
          <w:sz w:val="24"/>
          <w:szCs w:val="24"/>
        </w:rPr>
        <w:t>. . .</w:t>
      </w:r>
      <w:proofErr w:type="gramEnd"/>
      <w:r>
        <w:rPr>
          <w:rFonts w:ascii="Times New Roman" w:eastAsia="Times New Roman" w:hAnsi="Times New Roman" w:cs="Times New Roman"/>
          <w:sz w:val="24"/>
          <w:szCs w:val="24"/>
        </w:rPr>
        <w:t xml:space="preserve"> Mas não sobre saúde mental pois, salvo certas organizações e pessoas, não se atentam à cultura e a seus impactos ou efeitos na percepção da saúde ou doença mental, nem de como se expressa isso” (7).</w:t>
      </w:r>
    </w:p>
    <w:p w14:paraId="00000075"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Nas situações emergenciais, ademais, foi relatado que os refugiados estariam em estado de “choque”, não podendo facilmente esboçar emoções positivas — como a alegria (10). Esta dificuldade seria um desafio, e inclusive teria frustrado certos voluntários, que esperavam dos refugiados expressões de gratidão ou proatividade diante da ajuda recebida (8).</w:t>
      </w:r>
    </w:p>
    <w:p w14:paraId="00000076" w14:textId="77777777" w:rsidR="00A9261E" w:rsidRDefault="00000000">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Frustração semelhante teriam os próprios voluntários ou agentes humanitários, segundo um participante, ao se verem com frequência diante de problemas “externos”, para os quais não possuiriam “solução” (4). A seu ver, tais ações nos campos teriam outro desafio:</w:t>
      </w:r>
    </w:p>
    <w:p w14:paraId="00000077" w14:textId="77777777" w:rsidR="00A9261E" w:rsidRDefault="00000000">
      <w:pPr>
        <w:widowControl w:val="0"/>
        <w:spacing w:before="240" w:after="240"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verdade, o principal problema é que as pessoas não podem se mover, e você faz da jornada delas um lembrete absoluto desse fato. E muitas vezes não falamos muito sobre isso. . ., mas apenas nos concentramos nos efeitos de algo que poderia ser realmente evitado se houvesse uma decisão política que mudasse o modo como as pessoas </w:t>
      </w:r>
      <w:r>
        <w:rPr>
          <w:rFonts w:ascii="Times New Roman" w:eastAsia="Times New Roman" w:hAnsi="Times New Roman" w:cs="Times New Roman"/>
          <w:sz w:val="24"/>
          <w:szCs w:val="24"/>
        </w:rPr>
        <w:lastRenderedPageBreak/>
        <w:t>conseguem chegar à Europa (4).</w:t>
      </w:r>
    </w:p>
    <w:p w14:paraId="00000078" w14:textId="77777777" w:rsidR="00A9261E" w:rsidRDefault="00000000">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Nesses cenários, com o passar do tempo, seria um desafio adicional para os refugiados terem suas demandas reconhecidas, dado que a mídia perpetuaria tais imagens mesmo na fase pós-emergencial. Certo participante nega que, por exemplo, os sírios sejam “tristes” e sofram de “trauma” no seu “</w:t>
      </w:r>
      <w:proofErr w:type="gramStart"/>
      <w:r>
        <w:rPr>
          <w:rFonts w:ascii="Times New Roman" w:eastAsia="Times New Roman" w:hAnsi="Times New Roman" w:cs="Times New Roman"/>
          <w:sz w:val="24"/>
          <w:szCs w:val="24"/>
        </w:rPr>
        <w:t>dia-a-dia</w:t>
      </w:r>
      <w:proofErr w:type="gramEnd"/>
      <w:r>
        <w:rPr>
          <w:rFonts w:ascii="Times New Roman" w:eastAsia="Times New Roman" w:hAnsi="Times New Roman" w:cs="Times New Roman"/>
          <w:sz w:val="24"/>
          <w:szCs w:val="24"/>
        </w:rPr>
        <w:t>”, como diriam os jornais (9). Ao contrário: “Eles riem, brincam e lutam com várias coisas, mas não com o trauma; lutam contra a burocracia, a discriminação, as restrições ao trabalho e os serviços cotidianos, como educação, saúde, etc.” (9).</w:t>
      </w:r>
    </w:p>
    <w:p w14:paraId="00000079" w14:textId="77777777" w:rsidR="00A9261E" w:rsidRDefault="00000000">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Compareceram nos relatos, dessa forma, aspectos de conflito e de solidariedade entre as pessoas nestas situações. Na próxima seção, serão trazidos alguns relatos acerca das suas relações interpessoais nos campos e em contextos análogos.</w:t>
      </w:r>
    </w:p>
    <w:p w14:paraId="0000007A" w14:textId="77777777" w:rsidR="00A9261E" w:rsidRDefault="00A9261E">
      <w:pPr>
        <w:widowControl w:val="0"/>
        <w:spacing w:line="360" w:lineRule="auto"/>
        <w:jc w:val="both"/>
        <w:rPr>
          <w:rFonts w:ascii="Times New Roman" w:eastAsia="Times New Roman" w:hAnsi="Times New Roman" w:cs="Times New Roman"/>
          <w:sz w:val="24"/>
          <w:szCs w:val="24"/>
        </w:rPr>
      </w:pPr>
    </w:p>
    <w:p w14:paraId="0000007B" w14:textId="77777777" w:rsidR="00A9261E" w:rsidRDefault="00000000">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Relações Interpessoais dentro dos Grupos nos Campos</w:t>
      </w:r>
    </w:p>
    <w:p w14:paraId="0000007C" w14:textId="77777777" w:rsidR="00A9261E" w:rsidRDefault="00000000">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Nas entrevistas, compareceram relatos de que as relações interpessoais dos refugiados nos campos são impactadas por diversos fatores. Para esta pesquisa, serão abordados aqueles fatores relacionados, por um lado, à solidariedade, e por outro, aos conflitos nestes espaços.</w:t>
      </w:r>
    </w:p>
    <w:p w14:paraId="0000007D" w14:textId="77777777" w:rsidR="00A9261E" w:rsidRDefault="00000000">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Na visão dos participantes, as relações interpessoais tidas como mais solidárias foram relatadas com maior frequência — tanto nos grupos como entre diferentes grupos sociais de refugiados nesses contextos. Dentro dos grupos, de fato, foram vários os episódios relatados, bem como as hipóteses elencadas para explicá-los.</w:t>
      </w:r>
    </w:p>
    <w:p w14:paraId="0000007E"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Dos grupos dentro dos quais se verificou mais relações de solidariedade, foram citadas as “mulheres e crianças” refugiadas “sob risco de violência e abdução”. Em um centro voltado para este grupo, uma participante notou que as mulheres cuidavam de si e das crianças “umas das outras” com frequência, acrescentando: “Há muito suporte dentro [dos grupos]” (3).</w:t>
      </w:r>
    </w:p>
    <w:p w14:paraId="0000007F" w14:textId="77777777" w:rsidR="00A9261E" w:rsidRDefault="00000000">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Entre membros da comunidade LGBT, em outro campo, foi relatada “solidariedade absoluta” (6), tanto no cotidiano, como para vigiar uns aos outros ao se compartilhar comida, como para grandes atos, como uma “parada do orgulho” LGBT (6). Segundo este relato, no entanto, a união entre essas pessoas seria “linda </w:t>
      </w:r>
      <w:proofErr w:type="gramStart"/>
      <w:r>
        <w:rPr>
          <w:rFonts w:ascii="Times New Roman" w:eastAsia="Times New Roman" w:hAnsi="Times New Roman" w:cs="Times New Roman"/>
          <w:sz w:val="24"/>
          <w:szCs w:val="24"/>
        </w:rPr>
        <w:t>e também</w:t>
      </w:r>
      <w:proofErr w:type="gramEnd"/>
      <w:r>
        <w:rPr>
          <w:rFonts w:ascii="Times New Roman" w:eastAsia="Times New Roman" w:hAnsi="Times New Roman" w:cs="Times New Roman"/>
          <w:sz w:val="24"/>
          <w:szCs w:val="24"/>
        </w:rPr>
        <w:t xml:space="preserve"> de partir o coração” (6), uma vez que seria provocada pelas condições extremas de insegurança em que viviam.</w:t>
      </w:r>
    </w:p>
    <w:p w14:paraId="00000080" w14:textId="77777777" w:rsidR="00A9261E" w:rsidRDefault="00000000">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Houve ainda relatos de solidariedade entre pessoas da mesma etnia ou que partilhavam o mesmo histórico. Um participante indicou que a “solidariedade” percebida entre certos refugiados seria devida, assim, tanto à sua “cultura” de ajuda mútua, quanto a um histórico de luta “contra o governo” que os levaria, a seu ver, a “lutar uns pelos outros” nos campos (7).</w:t>
      </w:r>
    </w:p>
    <w:p w14:paraId="00000081"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 outros refugiados, originários de um país asiático, uma participante admitiu que </w:t>
      </w:r>
      <w:r>
        <w:rPr>
          <w:rFonts w:ascii="Times New Roman" w:eastAsia="Times New Roman" w:hAnsi="Times New Roman" w:cs="Times New Roman"/>
          <w:sz w:val="24"/>
          <w:szCs w:val="24"/>
        </w:rPr>
        <w:lastRenderedPageBreak/>
        <w:t>não sabia a quais “tribos” pertenciam, mas percebeu que andavam “todos juntos” (2). Nesse caso, um refugiado mais jovem frequentemente serviria de intérprete para os demais do grupo, assim, por vezes, invertendo sua hierarquia social — que seria definida pela idade — sem que isso resultasse em conflito no grupo, pois, a seu ver, eles respeitariam “uns aos outros” (2).</w:t>
      </w:r>
    </w:p>
    <w:p w14:paraId="00000082"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relações interpessoais dentro dos grupos nos campos inspirariam então confiança e solidariedade, por um lado, porém conflito e desconfiança pelo outro. Quanto às relações mais tensas e de conflito, no entanto, pouco foi relatado no nível </w:t>
      </w:r>
      <w:proofErr w:type="spellStart"/>
      <w:r>
        <w:rPr>
          <w:rFonts w:ascii="Times New Roman" w:eastAsia="Times New Roman" w:hAnsi="Times New Roman" w:cs="Times New Roman"/>
          <w:sz w:val="24"/>
          <w:szCs w:val="24"/>
        </w:rPr>
        <w:t>intragrupal</w:t>
      </w:r>
      <w:proofErr w:type="spellEnd"/>
      <w:r>
        <w:rPr>
          <w:rFonts w:ascii="Times New Roman" w:eastAsia="Times New Roman" w:hAnsi="Times New Roman" w:cs="Times New Roman"/>
          <w:sz w:val="24"/>
          <w:szCs w:val="24"/>
        </w:rPr>
        <w:t>. Quando interpelados a seu respeito, no geral, os participantes diziam algo como: “Entre eles, não presenciei brigas... Não acho que entre eles houvesse várias disputas. Eu nunca notei algo assim” (2).</w:t>
      </w:r>
    </w:p>
    <w:p w14:paraId="00000083"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Quando relatados, os conflitos nos grupos eram relativos às disputas familiares (1) ou conjugais (7), e compareciam em forma de suposição. Certo participante supôs a “enorme” quantidade de abusos que haveria no âmbito doméstico dos refugiados, dado que: “Mesmo as pessoas com crianças ou as meninas não tinham estrutura para trancar as portas à noite” (7).</w:t>
      </w:r>
    </w:p>
    <w:p w14:paraId="00000084"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os conflitos nesse âmbito (como violência doméstica ou abuso infantil), ademais, o superpovoamento dos campos seria um grande fator de seu agravamento. Tal ocorreria por duas razões centrais: primeiro, em vista da falta de privacidade, que normaliza, por vezes, tais situações; e segundo, em vista </w:t>
      </w:r>
      <w:proofErr w:type="gramStart"/>
      <w:r>
        <w:rPr>
          <w:rFonts w:ascii="Times New Roman" w:eastAsia="Times New Roman" w:hAnsi="Times New Roman" w:cs="Times New Roman"/>
          <w:sz w:val="24"/>
          <w:szCs w:val="24"/>
        </w:rPr>
        <w:t>da dificuldades logísticas</w:t>
      </w:r>
      <w:proofErr w:type="gramEnd"/>
      <w:r>
        <w:rPr>
          <w:rFonts w:ascii="Times New Roman" w:eastAsia="Times New Roman" w:hAnsi="Times New Roman" w:cs="Times New Roman"/>
          <w:sz w:val="24"/>
          <w:szCs w:val="24"/>
        </w:rPr>
        <w:t xml:space="preserve"> que impõe a seu confronto.</w:t>
      </w:r>
    </w:p>
    <w:p w14:paraId="00000085"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que tange à “falta de privacidade” (3) ou à “privacidade compartilhada” (4) por toda parte nos campos, foi dito que esta seria uma “fonte de tensão constante” (4) entre os refugiados. No que tange à logística, foi dito que os campos raramente seriam “grandes o suficiente” para separar completamente as partes dos conflitos (1). Antes dessa separação, contudo, os “arranjos alternativos” — como familiares e amigos — deveriam ser buscados.</w:t>
      </w:r>
    </w:p>
    <w:p w14:paraId="00000086"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falta de tais arranjos, seria necessário isolar uma das partes do conflito em uma área específica dos campos. Nos que possuam tal área, sua estrutura para tanto deveria ser, entre outros: “reforçada”, com “segurança adicional”, “acesso restrito” e “serviços completos naquela parte do campo” (1), de modo a minimizar as necessidades de deslocamento de seus residentes. Nos campos sem tal área, todavia, pessoas em situação mais vulnerável poderiam, em última instância, ter de abandonar o local (1).</w:t>
      </w:r>
    </w:p>
    <w:p w14:paraId="00000087"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Áreas do tipo, porém, ilustram a contradição de que, para sua segurança, os refugiados são mantidos “sob os olhos da comunidade internacional” (4) em locais ainda mais restritos. Isto se evidencia ainda mais nos conflitos entre os grupos de refugiados, como se verá adiante.</w:t>
      </w:r>
    </w:p>
    <w:p w14:paraId="00000088" w14:textId="77777777" w:rsidR="00A9261E" w:rsidRDefault="00A9261E">
      <w:pPr>
        <w:widowControl w:val="0"/>
        <w:spacing w:line="360" w:lineRule="auto"/>
        <w:jc w:val="both"/>
        <w:rPr>
          <w:rFonts w:ascii="Times New Roman" w:eastAsia="Times New Roman" w:hAnsi="Times New Roman" w:cs="Times New Roman"/>
          <w:sz w:val="24"/>
          <w:szCs w:val="24"/>
        </w:rPr>
      </w:pPr>
    </w:p>
    <w:p w14:paraId="00000089" w14:textId="77777777" w:rsidR="00A9261E" w:rsidRDefault="00000000">
      <w:pPr>
        <w:widowControl w:val="0"/>
        <w:spacing w:line="360" w:lineRule="auto"/>
        <w:jc w:val="both"/>
        <w:rPr>
          <w:i/>
        </w:rPr>
      </w:pPr>
      <w:r>
        <w:rPr>
          <w:rFonts w:ascii="Times New Roman" w:eastAsia="Times New Roman" w:hAnsi="Times New Roman" w:cs="Times New Roman"/>
          <w:i/>
          <w:sz w:val="24"/>
          <w:szCs w:val="24"/>
        </w:rPr>
        <w:t>Relações Interpessoais entre os Grupos nos Campos</w:t>
      </w:r>
    </w:p>
    <w:p w14:paraId="0000008A"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relações entre os grupos também são de fato afetadas pelas condições dos campos </w:t>
      </w:r>
      <w:r>
        <w:rPr>
          <w:rFonts w:ascii="Times New Roman" w:eastAsia="Times New Roman" w:hAnsi="Times New Roman" w:cs="Times New Roman"/>
          <w:sz w:val="24"/>
          <w:szCs w:val="24"/>
        </w:rPr>
        <w:lastRenderedPageBreak/>
        <w:t>de refugiados. Assim, as relações de vizinhança nesses cenários onde as famílias convivem “todas no mesmo espaço” (3) são, com frequência, tensas e conflituosas, por diversas razões.</w:t>
      </w:r>
    </w:p>
    <w:p w14:paraId="0000008B" w14:textId="77777777" w:rsidR="00A9261E" w:rsidRDefault="00000000">
      <w:pPr>
        <w:widowControl w:val="0"/>
        <w:spacing w:line="360" w:lineRule="auto"/>
        <w:ind w:firstLine="720"/>
        <w:jc w:val="both"/>
        <w:rPr>
          <w:rFonts w:ascii="Times New Roman" w:eastAsia="Times New Roman" w:hAnsi="Times New Roman" w:cs="Times New Roman"/>
          <w:color w:val="A64D79"/>
        </w:rPr>
      </w:pPr>
      <w:r>
        <w:rPr>
          <w:rFonts w:ascii="Times New Roman" w:eastAsia="Times New Roman" w:hAnsi="Times New Roman" w:cs="Times New Roman"/>
          <w:sz w:val="24"/>
          <w:szCs w:val="24"/>
        </w:rPr>
        <w:t>No plano interpessoal, a falta de privacidade ainda causaria “um nível massivo de fofoca” (1) e de “desconfiança” (3) nas relações de vizinhança. Isto seria devido a que, no seu convívio altamente próximo, os refugiados: “. . . buscavam criar uma espécie de separação ou segurança emocional ao não se importarem mesmo com mais ninguém no campo, de modo que não havia nenhum tipo de espaço seguro onde pudessem se reunir e se conectar” (3).</w:t>
      </w:r>
    </w:p>
    <w:p w14:paraId="0000008C"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Compareceram também relatos de conflitos por recursos escassos, como os rebanhos e animais domésticos que os refugiados carregam para os campos, e que seriam objeto de disputas, como pequenos roubos e furtos (1), sobretudo entre pessoas de regiões ou vilarejos diferentes. Para mitigar tais disputas, as organizações considerariam esses traços na logística habitacional, buscando distribuir os grupos nos campos pelos seus lugares de origem (1).</w:t>
      </w:r>
    </w:p>
    <w:p w14:paraId="0000008D"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frequência, ademais, os campos estão situados em meio a comunidades que são “extremamente empobrecidas”, o que gera uma “tensão” constante entre o entorno e interior dos campos, seja pelos recursos escassos (6), seja pelas diferenças culturais que, a partir de sua criação, começam a se destacar entre pessoas que residem “na mesma área” (5). </w:t>
      </w:r>
    </w:p>
    <w:p w14:paraId="0000008E"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Diferenças identitárias também foram </w:t>
      </w:r>
      <w:proofErr w:type="spellStart"/>
      <w:r>
        <w:rPr>
          <w:rFonts w:ascii="Times New Roman" w:eastAsia="Times New Roman" w:hAnsi="Times New Roman" w:cs="Times New Roman"/>
          <w:sz w:val="24"/>
          <w:szCs w:val="24"/>
        </w:rPr>
        <w:t>catalizariam</w:t>
      </w:r>
      <w:proofErr w:type="spellEnd"/>
      <w:r>
        <w:rPr>
          <w:rFonts w:ascii="Times New Roman" w:eastAsia="Times New Roman" w:hAnsi="Times New Roman" w:cs="Times New Roman"/>
          <w:sz w:val="24"/>
          <w:szCs w:val="24"/>
        </w:rPr>
        <w:t xml:space="preserve"> os conflitos entre grupos sociais distintos. Em alguns países nos quais, por exemplo, a comunidade LGBT é discriminada e criminalizada em diversas instâncias, ocorre de seus membros ainda sofrerem perseguições de outros refugiados, mesmo na área “mais protegida” do campo (6). Em ocorrências graves, foi relatada a impotência das organizações humanitárias e policiais presentes nesses lugares (6).</w:t>
      </w:r>
    </w:p>
    <w:p w14:paraId="0000008F"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diversas culturas, então, não apenas provocariam, como ampliariam divergências entre tais grupos. Em um campo no continente africano, por exemplo, foi notado que “alguma coisa pequena”, como um acidente entre indivíduos de grupos étnicos distintos, geralmente escalava para conflitos “reais” entre ambos, sobretudo se eram rivais “históricos” (3).</w:t>
      </w:r>
    </w:p>
    <w:p w14:paraId="00000090"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Ainda assim, diante das multidões de milhares de estranhos </w:t>
      </w:r>
      <w:proofErr w:type="gramStart"/>
      <w:r>
        <w:rPr>
          <w:rFonts w:ascii="Times New Roman" w:eastAsia="Times New Roman" w:hAnsi="Times New Roman" w:cs="Times New Roman"/>
          <w:sz w:val="24"/>
          <w:szCs w:val="24"/>
        </w:rPr>
        <w:t>convivendo juntos</w:t>
      </w:r>
      <w:proofErr w:type="gramEnd"/>
      <w:r>
        <w:rPr>
          <w:rFonts w:ascii="Times New Roman" w:eastAsia="Times New Roman" w:hAnsi="Times New Roman" w:cs="Times New Roman"/>
          <w:sz w:val="24"/>
          <w:szCs w:val="24"/>
        </w:rPr>
        <w:t>, houve enfim quem relatasse “surpresa que não haja mais conflitos” no cotidiano dos campos (1). As relações de solidariedade presentes entre os grupos foram, com ênfase, trazidas também pelos participantes deste estudo. Segundo um relato: “Mesmo grupos de origens diferentes, como cidades e tribos diferentes, também se apoiam de maneira impressionante” (9).</w:t>
      </w:r>
    </w:p>
    <w:p w14:paraId="00000091"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Tais relatos, porém, divergiram ainda segundo as condições dos campos e arranjos análogos. Em um abrigo temporário, por exemplo: “. . . principalmente porque as pessoas esperavam ser removidas do local muito em breve, de modo que não gastaram energia ou recursos na criação de uma comunidade” (8). Onde a estadia dos refugiados seria, a princípio, </w:t>
      </w:r>
      <w:r>
        <w:rPr>
          <w:rFonts w:ascii="Times New Roman" w:eastAsia="Times New Roman" w:hAnsi="Times New Roman" w:cs="Times New Roman"/>
          <w:sz w:val="24"/>
          <w:szCs w:val="24"/>
        </w:rPr>
        <w:lastRenderedPageBreak/>
        <w:t xml:space="preserve">mais prolongada, por outro lado, houve a percepção de que: “. . . eles se ajudam muito, e se ajudam não só dentro dos grupos. Porque eu vi isso: eles se comunicam” (2). </w:t>
      </w:r>
    </w:p>
    <w:p w14:paraId="00000092"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caso das hipóteses explicativas para a solidariedade entre os refugiados, foi dito, por um lado, que a sua propensão a “contribuir” com a coletividade teria relação com um “instinto humano” de buscar “restabelecer a vida mesmo no ambiente mais difícil” (1). Desse modo, outro participante: “. . . arriscaria dizer que, no campo de refugiados, as situações e as necessidades extremas também geram comportamentos solidários extremos” (10).</w:t>
      </w:r>
    </w:p>
    <w:p w14:paraId="00000093"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desse “instinto”, emergiu a hipótese de que esta solidariedade estaria relacionada a uma “identidade compartilhada” nos campos, perceptível de diversas formas — como quando refugiados se diziam pertencentes ao “bloco C”, ou afins (1) </w:t>
      </w:r>
      <w:proofErr w:type="gramStart"/>
      <w:r>
        <w:rPr>
          <w:rFonts w:ascii="Times New Roman" w:eastAsia="Times New Roman" w:hAnsi="Times New Roman" w:cs="Times New Roman"/>
          <w:sz w:val="24"/>
          <w:szCs w:val="24"/>
        </w:rPr>
        <w:t>—  nos</w:t>
      </w:r>
      <w:proofErr w:type="gramEnd"/>
      <w:r>
        <w:rPr>
          <w:rFonts w:ascii="Times New Roman" w:eastAsia="Times New Roman" w:hAnsi="Times New Roman" w:cs="Times New Roman"/>
          <w:sz w:val="24"/>
          <w:szCs w:val="24"/>
        </w:rPr>
        <w:t xml:space="preserve"> campos. Esta identidade também emergiria quando os refugiados participavam em ações voluntárias, cuja “meta comum” os faria “confiar uns nos outros se não sabiam o que fazer” (3).</w:t>
      </w:r>
    </w:p>
    <w:p w14:paraId="00000094"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Estes desafios levariam a “unir as pessoas e fortalecer estas redes” (3), sobretudo quando “trabalhavam juntos para grupos distintos” (5). Em um episódio espontâneo, crianças refugiadas, em coordenação com os pais e os funcionários de uma escola, levantaram fundos para os professores, cujos salários não estavam sendo pagos — indicando, ainda segundo o relato da participante, a importância da educação formal nesses contextos (5).</w:t>
      </w:r>
    </w:p>
    <w:p w14:paraId="00000095"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Mesmo fora dos campos, a identidade compartilhada incentivaria a solidariedade. No meio urbano, por exemplo, um participante disse que “a principal fonte de apoio psicossocial” entre refugiados sírios seria a sensação de que eles “são um grupo” que “passa pela mesma luta”, e que, portanto, esperam ser apoiados quando se apoiam mutuamente (9). </w:t>
      </w:r>
    </w:p>
    <w:p w14:paraId="00000096"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outro lado, onde foi notada a predominância de uma “falta de solidariedade” entre refugiados, no geral, a principal hipótese seria o fato “muito claro” de que as pessoas estavam “traumatizadas” pelo passado recente (8). Assim, o início das emergências, quando os campos possuem, no geral, menos estrutura, foi descrito como sendo “pesado”, sobretudo pela falta de perspectiva para além do curto prazo das tarefas do dia. No geral, nesses contextos: “. . . ou se estabelece muita solidariedade — às vezes é um abraço, às vezes é “senta aqui, vamos tomar uma água ou vamos andar” — ou se estabelece isso, ou a coisa desanda” (10).</w:t>
      </w:r>
    </w:p>
    <w:p w14:paraId="00000097"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ações e relações de solidariedade, como as de confiança, dependeriam então de tempo para serem criadas. Como disse certo participante do estudo: “. . . não é de um dia para o outro, mas é possível” (10), sobretudo entre pessoas de origens ou culturas diversas. Outro participante considerou “encorajador”, por exemplo, que “. . . as comunidades ao redor dos campos também podem ser bastante solidárias”, se envolvidas positivamente para tal fim (4).</w:t>
      </w:r>
    </w:p>
    <w:p w14:paraId="00000098"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forma, foram diversas as perspectivas descritivas dos participantes tanto sobre a </w:t>
      </w:r>
      <w:r>
        <w:rPr>
          <w:rFonts w:ascii="Times New Roman" w:eastAsia="Times New Roman" w:hAnsi="Times New Roman" w:cs="Times New Roman"/>
          <w:sz w:val="24"/>
          <w:szCs w:val="24"/>
        </w:rPr>
        <w:lastRenderedPageBreak/>
        <w:t>ajuda humanitária quanto sobre os campos, os refugiados e suas relações interpessoais nesses espaços. Cabem, portanto, discutir os temas centrais desses relatos, conforme se segue.</w:t>
      </w:r>
    </w:p>
    <w:p w14:paraId="00000099" w14:textId="77777777" w:rsidR="00A9261E" w:rsidRDefault="00A9261E">
      <w:pPr>
        <w:widowControl w:val="0"/>
        <w:spacing w:line="360" w:lineRule="auto"/>
        <w:ind w:firstLine="720"/>
        <w:jc w:val="both"/>
        <w:rPr>
          <w:rFonts w:ascii="Times New Roman" w:eastAsia="Times New Roman" w:hAnsi="Times New Roman" w:cs="Times New Roman"/>
          <w:sz w:val="24"/>
          <w:szCs w:val="24"/>
        </w:rPr>
      </w:pPr>
    </w:p>
    <w:p w14:paraId="0000009A" w14:textId="77777777" w:rsidR="00A9261E" w:rsidRDefault="00000000">
      <w:pPr>
        <w:pStyle w:val="Ttulo1"/>
        <w:tabs>
          <w:tab w:val="right" w:pos="9072"/>
        </w:tabs>
        <w:spacing w:before="60" w:after="0" w:line="360" w:lineRule="auto"/>
        <w:ind w:right="-96"/>
        <w:jc w:val="center"/>
        <w:rPr>
          <w:rFonts w:ascii="Times New Roman" w:eastAsia="Times New Roman" w:hAnsi="Times New Roman" w:cs="Times New Roman"/>
          <w:b/>
          <w:sz w:val="24"/>
          <w:szCs w:val="24"/>
        </w:rPr>
      </w:pPr>
      <w:bookmarkStart w:id="8" w:name="_79gigqfif096" w:colFirst="0" w:colLast="0"/>
      <w:bookmarkEnd w:id="8"/>
      <w:r>
        <w:rPr>
          <w:rFonts w:ascii="Times New Roman" w:eastAsia="Times New Roman" w:hAnsi="Times New Roman" w:cs="Times New Roman"/>
          <w:b/>
          <w:sz w:val="24"/>
          <w:szCs w:val="24"/>
        </w:rPr>
        <w:t>Discussão</w:t>
      </w:r>
    </w:p>
    <w:p w14:paraId="0000009B" w14:textId="77777777" w:rsidR="00A9261E" w:rsidRDefault="00A9261E">
      <w:pPr>
        <w:widowControl w:val="0"/>
        <w:spacing w:line="360" w:lineRule="auto"/>
        <w:jc w:val="both"/>
        <w:rPr>
          <w:rFonts w:ascii="Times New Roman" w:eastAsia="Times New Roman" w:hAnsi="Times New Roman" w:cs="Times New Roman"/>
          <w:sz w:val="24"/>
          <w:szCs w:val="24"/>
        </w:rPr>
      </w:pPr>
    </w:p>
    <w:p w14:paraId="0000009C"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seção pretende discutir temas latentes às entrevistas descritas na seção anterior, a respeito da provisão de ajuda humanitária nos campos de refugiados, à luz do marco teórico selecionado. Em primeiro lugar, serão discutidos aspectos conceituais sobre o comportamento dito “de ajuda” ou de “altruísmo”, bem como sobre o “estigma” que provocam, para então se debaterem aspectos teóricos e hipotéticos sobre as causas e os efeitos destes comportamentos nas relações interpessoais dos refugiados, com foco nos campos e em arranjos análogos.</w:t>
      </w:r>
    </w:p>
    <w:p w14:paraId="0000009D" w14:textId="77777777" w:rsidR="00A9261E" w:rsidRDefault="00A9261E">
      <w:pPr>
        <w:widowControl w:val="0"/>
        <w:spacing w:line="360" w:lineRule="auto"/>
        <w:ind w:firstLine="720"/>
        <w:jc w:val="both"/>
        <w:rPr>
          <w:rFonts w:ascii="Times New Roman" w:eastAsia="Times New Roman" w:hAnsi="Times New Roman" w:cs="Times New Roman"/>
          <w:sz w:val="24"/>
          <w:szCs w:val="24"/>
        </w:rPr>
      </w:pPr>
    </w:p>
    <w:p w14:paraId="0000009E" w14:textId="77777777" w:rsidR="00A9261E" w:rsidRDefault="00000000">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Os Conceitos de “Comportamento de Ajuda” e de “Altruísmo”</w:t>
      </w:r>
    </w:p>
    <w:p w14:paraId="0000009F"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teoria, o “altruísmo” difere do “comportamento de ajuda” porque este possuiria “motivações autocentradas” para “aliviar o sofrimento” de outrem (Rodrigues et al, 2009, p. 228). Na prática: “Ajudar pode envolver custos para quem ajuda, como também pode trazer recompensas: na maioria dos casos. . . faz ambas as coisas” (</w:t>
      </w:r>
      <w:proofErr w:type="spellStart"/>
      <w:r>
        <w:rPr>
          <w:rFonts w:ascii="Times New Roman" w:eastAsia="Times New Roman" w:hAnsi="Times New Roman" w:cs="Times New Roman"/>
          <w:sz w:val="24"/>
          <w:szCs w:val="24"/>
        </w:rPr>
        <w:t>Hinde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Groebel</w:t>
      </w:r>
      <w:proofErr w:type="spellEnd"/>
      <w:r>
        <w:rPr>
          <w:rFonts w:ascii="Times New Roman" w:eastAsia="Times New Roman" w:hAnsi="Times New Roman" w:cs="Times New Roman"/>
          <w:sz w:val="24"/>
          <w:szCs w:val="24"/>
        </w:rPr>
        <w:t>, 1991, p. 4).</w:t>
      </w:r>
    </w:p>
    <w:p w14:paraId="000000A0"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Dessa forma, com alguma “recompensa”, seria razoável supor uma maior longevidade da ajuda. Nos relatos, esta “recompensa” esteve relacionada sobretudo à profissionalização dos participantes: da atuação via organizações humanitárias, no geral, resultou uma operação mais contínua, ainda que com inserções mais breves, nos campos, do que formas voluntárias de atuação — as quais implicaram, no geral, intervenções de menor duração.</w:t>
      </w:r>
    </w:p>
    <w:p w14:paraId="000000A1"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Quanto às qualidades da ajuda, </w:t>
      </w:r>
      <w:proofErr w:type="spellStart"/>
      <w:r>
        <w:rPr>
          <w:rFonts w:ascii="Times New Roman" w:eastAsia="Times New Roman" w:hAnsi="Times New Roman" w:cs="Times New Roman"/>
          <w:sz w:val="24"/>
          <w:szCs w:val="24"/>
        </w:rPr>
        <w:t>Fultz</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Cialdini</w:t>
      </w:r>
      <w:proofErr w:type="spellEnd"/>
      <w:r>
        <w:rPr>
          <w:rFonts w:ascii="Times New Roman" w:eastAsia="Times New Roman" w:hAnsi="Times New Roman" w:cs="Times New Roman"/>
          <w:sz w:val="24"/>
          <w:szCs w:val="24"/>
        </w:rPr>
        <w:t xml:space="preserve"> (1991, p. 135) citam três na visão de quem a presta sobre quem a recebe: “o outro como objeto, o outro como avaliador e o outro como indivíduo”.</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A qualidade de “indivíduo” — da qual resultaria uma ajuda “genuinamente altruísta” —, seria muito rara na visão dos autores, que a consideram mais uma “possibilidade teórica” do que “um fato empiricamente estabelecido” (</w:t>
      </w:r>
      <w:proofErr w:type="spellStart"/>
      <w:r>
        <w:rPr>
          <w:rFonts w:ascii="Times New Roman" w:eastAsia="Times New Roman" w:hAnsi="Times New Roman" w:cs="Times New Roman"/>
          <w:sz w:val="24"/>
          <w:szCs w:val="24"/>
        </w:rPr>
        <w:t>Fultz</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Cialdini</w:t>
      </w:r>
      <w:proofErr w:type="spellEnd"/>
      <w:r>
        <w:rPr>
          <w:rFonts w:ascii="Times New Roman" w:eastAsia="Times New Roman" w:hAnsi="Times New Roman" w:cs="Times New Roman"/>
          <w:sz w:val="24"/>
          <w:szCs w:val="24"/>
        </w:rPr>
        <w:t>, 1991, p. 136).</w:t>
      </w:r>
    </w:p>
    <w:p w14:paraId="000000A2" w14:textId="77777777" w:rsidR="00A9261E" w:rsidRDefault="00000000">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Seria a visão do outro enquanto “indivíduo”, porém, que traria o seu reconhecimento enquanto sujeito de “direitos”, com suas “necessidades, desejos e objetivos próprios” (</w:t>
      </w:r>
      <w:proofErr w:type="spellStart"/>
      <w:r>
        <w:rPr>
          <w:rFonts w:ascii="Times New Roman" w:eastAsia="Times New Roman" w:hAnsi="Times New Roman" w:cs="Times New Roman"/>
          <w:sz w:val="24"/>
          <w:szCs w:val="24"/>
        </w:rPr>
        <w:t>Fultz</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Cialdini</w:t>
      </w:r>
      <w:proofErr w:type="spellEnd"/>
      <w:r>
        <w:rPr>
          <w:rFonts w:ascii="Times New Roman" w:eastAsia="Times New Roman" w:hAnsi="Times New Roman" w:cs="Times New Roman"/>
          <w:sz w:val="24"/>
          <w:szCs w:val="24"/>
        </w:rPr>
        <w:t>, 1991, p. 136).</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Nesse sentido, lembra a teoria normativa do reconhecimento mútuo que </w:t>
      </w:r>
      <w:proofErr w:type="spellStart"/>
      <w:r>
        <w:rPr>
          <w:rFonts w:ascii="Times New Roman" w:eastAsia="Times New Roman" w:hAnsi="Times New Roman" w:cs="Times New Roman"/>
          <w:sz w:val="24"/>
          <w:szCs w:val="24"/>
        </w:rPr>
        <w:t>Honneth</w:t>
      </w:r>
      <w:proofErr w:type="spellEnd"/>
      <w:r>
        <w:rPr>
          <w:rFonts w:ascii="Times New Roman" w:eastAsia="Times New Roman" w:hAnsi="Times New Roman" w:cs="Times New Roman"/>
          <w:sz w:val="24"/>
          <w:szCs w:val="24"/>
        </w:rPr>
        <w:t xml:space="preserve"> (1992, p. 188) vislumbra no pensamento de Ernst Bloch, quando diz que: “. . . a </w:t>
      </w:r>
      <w:r>
        <w:rPr>
          <w:rFonts w:ascii="Times New Roman" w:eastAsia="Times New Roman" w:hAnsi="Times New Roman" w:cs="Times New Roman"/>
          <w:sz w:val="24"/>
          <w:szCs w:val="24"/>
        </w:rPr>
        <w:lastRenderedPageBreak/>
        <w:t>integridade dos sujeitos humanos, vulneráveis como são a injúrias por insultos e desrespeito, depende de receberem aprovação e respeito dos outros”.</w:t>
      </w:r>
      <w:r>
        <w:rPr>
          <w:rFonts w:ascii="Times New Roman" w:eastAsia="Times New Roman" w:hAnsi="Times New Roman" w:cs="Times New Roman"/>
          <w:sz w:val="24"/>
          <w:szCs w:val="24"/>
          <w:vertAlign w:val="superscript"/>
        </w:rPr>
        <w:footnoteReference w:id="10"/>
      </w:r>
    </w:p>
    <w:p w14:paraId="000000A3" w14:textId="77777777" w:rsidR="00A9261E" w:rsidRDefault="00A9261E">
      <w:pPr>
        <w:widowControl w:val="0"/>
        <w:spacing w:line="360" w:lineRule="auto"/>
        <w:jc w:val="both"/>
        <w:rPr>
          <w:rFonts w:ascii="Times New Roman" w:eastAsia="Times New Roman" w:hAnsi="Times New Roman" w:cs="Times New Roman"/>
          <w:sz w:val="24"/>
          <w:szCs w:val="24"/>
        </w:rPr>
      </w:pPr>
    </w:p>
    <w:p w14:paraId="000000A4" w14:textId="77777777" w:rsidR="00A9261E" w:rsidRDefault="00000000">
      <w:pPr>
        <w:widowControl w:val="0"/>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 Estigma quanto à Ajuda nos Campos de Refugiados</w:t>
      </w:r>
    </w:p>
    <w:p w14:paraId="000000A5" w14:textId="77777777" w:rsidR="00A9261E" w:rsidRDefault="00000000">
      <w:pPr>
        <w:widowControl w:val="0"/>
        <w:spacing w:line="360" w:lineRule="auto"/>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Nos relatos anteriormente vistos, compareceu, por vezes, a preocupação com a barreira do estigma para a prestação das ações de SMAPS. Este estigma no geral seria uma concepção prévia, geralmente negativa, de parte dos refugiados acerca destas ações.</w:t>
      </w:r>
    </w:p>
    <w:p w14:paraId="000000A6"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Teoricamente, seria possível classificar este estigma no segundo nível (normativo) das formas de desrespeito da teoria do reconhecimento de </w:t>
      </w:r>
      <w:proofErr w:type="spellStart"/>
      <w:r>
        <w:rPr>
          <w:rFonts w:ascii="Times New Roman" w:eastAsia="Times New Roman" w:hAnsi="Times New Roman" w:cs="Times New Roman"/>
          <w:sz w:val="24"/>
          <w:szCs w:val="24"/>
        </w:rPr>
        <w:t>Honneth</w:t>
      </w:r>
      <w:proofErr w:type="spellEnd"/>
      <w:r>
        <w:rPr>
          <w:rFonts w:ascii="Times New Roman" w:eastAsia="Times New Roman" w:hAnsi="Times New Roman" w:cs="Times New Roman"/>
          <w:sz w:val="24"/>
          <w:szCs w:val="24"/>
        </w:rPr>
        <w:t xml:space="preserve"> (1992). Em todos os níveis, porém: “. . . as diversas formas de desrespeito à integridade psíquica assumem o mesmo papel negativo que as doenças orgânicas desempenham no contexto dos processos corporais” (</w:t>
      </w:r>
      <w:proofErr w:type="spellStart"/>
      <w:r>
        <w:rPr>
          <w:rFonts w:ascii="Times New Roman" w:eastAsia="Times New Roman" w:hAnsi="Times New Roman" w:cs="Times New Roman"/>
          <w:sz w:val="24"/>
          <w:szCs w:val="24"/>
        </w:rPr>
        <w:t>Honneth</w:t>
      </w:r>
      <w:proofErr w:type="spellEnd"/>
      <w:r>
        <w:rPr>
          <w:rFonts w:ascii="Times New Roman" w:eastAsia="Times New Roman" w:hAnsi="Times New Roman" w:cs="Times New Roman"/>
          <w:sz w:val="24"/>
          <w:szCs w:val="24"/>
        </w:rPr>
        <w:t>, 1992, p. 192).</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Este reflexo no nível psíquico das relações interpessoais não pode ser menosprezado, sendo tão importante buscar formas de combater o estigma quanto de promover direitos, como o direito à saúde mental, nos campos.</w:t>
      </w:r>
    </w:p>
    <w:p w14:paraId="000000A7"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 as principais formas organizativas dos refugiados nos campos para combater os efeitos nocivos deste estigma, portanto, compareceram relatos de ações voluntárias que seriam por desempenhadas inclusive por refugiados junto às organizações nos campos. A seu respeito destas ações, não cabe pensar, entretanto, que são recebidas igualmente por todas as pessoas.</w:t>
      </w:r>
    </w:p>
    <w:p w14:paraId="000000A8"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sentido, cabe citar uma premissa da teoria das relações interpessoais, pela qual os comportamentos “bons” e aqueles ditos “ruins” seriam, no geral, “dois lados da mesma moeda” (</w:t>
      </w:r>
      <w:proofErr w:type="spellStart"/>
      <w:r>
        <w:rPr>
          <w:rFonts w:ascii="Times New Roman" w:eastAsia="Times New Roman" w:hAnsi="Times New Roman" w:cs="Times New Roman"/>
          <w:sz w:val="24"/>
          <w:szCs w:val="24"/>
        </w:rPr>
        <w:t>Hinde</w:t>
      </w:r>
      <w:proofErr w:type="spellEnd"/>
      <w:r>
        <w:rPr>
          <w:rFonts w:ascii="Times New Roman" w:eastAsia="Times New Roman" w:hAnsi="Times New Roman" w:cs="Times New Roman"/>
          <w:sz w:val="24"/>
          <w:szCs w:val="24"/>
        </w:rPr>
        <w:t>, 2007, p. 249).</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Como discutido na seção anterior, motivações autocentradas, apesar de socialmente tidas como “ruins”, são deveras comuns em comportamentos de ajuda.</w:t>
      </w:r>
    </w:p>
    <w:p w14:paraId="000000A9"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vista de tal premissa, não cabe juízo de valor acerca das motivações das pessoas refugiadas nessas situações para se implicarem em ações desse tipo. Mais importantes seriam os reflexos de se comportarem dessa forma, visto que, para </w:t>
      </w:r>
      <w:proofErr w:type="spellStart"/>
      <w:r>
        <w:rPr>
          <w:rFonts w:ascii="Times New Roman" w:eastAsia="Times New Roman" w:hAnsi="Times New Roman" w:cs="Times New Roman"/>
          <w:sz w:val="24"/>
          <w:szCs w:val="24"/>
        </w:rPr>
        <w:t>Hinde</w:t>
      </w:r>
      <w:proofErr w:type="spellEnd"/>
      <w:r>
        <w:rPr>
          <w:rFonts w:ascii="Times New Roman" w:eastAsia="Times New Roman" w:hAnsi="Times New Roman" w:cs="Times New Roman"/>
          <w:sz w:val="24"/>
          <w:szCs w:val="24"/>
        </w:rPr>
        <w:t xml:space="preserve"> (1991, p. 134): “Diversos estudos clássicos sobre variáveis situacionais demonstraram que um número crescente de espectadores (passivos) reduz a probabilidade de que indivíduos venham a ajudar, enquanto a </w:t>
      </w:r>
      <w:r>
        <w:rPr>
          <w:rFonts w:ascii="Times New Roman" w:eastAsia="Times New Roman" w:hAnsi="Times New Roman" w:cs="Times New Roman"/>
          <w:sz w:val="24"/>
          <w:szCs w:val="24"/>
        </w:rPr>
        <w:lastRenderedPageBreak/>
        <w:t>observação de espectadores ajudando ativamente aumenta a tendência pró-social”.</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Dessa forma, comportamentos de ajuda podem influenciar positivamente a convivência comunitária.</w:t>
      </w:r>
    </w:p>
    <w:p w14:paraId="000000AA"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desses reflexos positivos, foi percebida uma “identidade comum” entre aqueles refugiados que atuam voluntariamente nos campos. Nestes casos, cabe refletir sobre o papel dos grupos para o primeiro nível (subjetivo ou psíquico) das relações interpessoais.</w:t>
      </w:r>
    </w:p>
    <w:p w14:paraId="000000AB"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fato, a categoria de “grupo”, para </w:t>
      </w:r>
      <w:proofErr w:type="spellStart"/>
      <w:r>
        <w:rPr>
          <w:rFonts w:ascii="Times New Roman" w:eastAsia="Times New Roman" w:hAnsi="Times New Roman" w:cs="Times New Roman"/>
          <w:sz w:val="24"/>
          <w:szCs w:val="24"/>
        </w:rPr>
        <w:t>Honneth</w:t>
      </w:r>
      <w:proofErr w:type="spellEnd"/>
      <w:r>
        <w:rPr>
          <w:rFonts w:ascii="Times New Roman" w:eastAsia="Times New Roman" w:hAnsi="Times New Roman" w:cs="Times New Roman"/>
          <w:sz w:val="24"/>
          <w:szCs w:val="24"/>
        </w:rPr>
        <w:t xml:space="preserve"> (2013, p. 78): “. . . longe de representar uma ameaça para a identidade pessoal, é, nas palavras de Adorno, uma fonte da humanidade”. Para a sua teoria do reconhecimento, seria fundamental a “experiência de apoio que se faz através da prática de valores compartilhados no grupo” para que o indivíduo possa “manter o autorrespeito” e a “autoestima” ao longo de sua vida (</w:t>
      </w:r>
      <w:proofErr w:type="spellStart"/>
      <w:r>
        <w:rPr>
          <w:rFonts w:ascii="Times New Roman" w:eastAsia="Times New Roman" w:hAnsi="Times New Roman" w:cs="Times New Roman"/>
          <w:sz w:val="24"/>
          <w:szCs w:val="24"/>
        </w:rPr>
        <w:t>Honneth</w:t>
      </w:r>
      <w:proofErr w:type="spellEnd"/>
      <w:r>
        <w:rPr>
          <w:rFonts w:ascii="Times New Roman" w:eastAsia="Times New Roman" w:hAnsi="Times New Roman" w:cs="Times New Roman"/>
          <w:sz w:val="24"/>
          <w:szCs w:val="24"/>
        </w:rPr>
        <w:t>, 2013, p. 77).</w:t>
      </w:r>
    </w:p>
    <w:p w14:paraId="000000AC"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Quando o grupo social, em última análise, seria toda a humanidade, o indivíduo pode até cruzar fronteiras em busca da experiência compartilhada de apoio. Neste sentido, o último tema para a discussão dos resultados anteriormente descritos se refere à ajuda internacional.</w:t>
      </w:r>
    </w:p>
    <w:p w14:paraId="000000AD" w14:textId="77777777" w:rsidR="00A9261E" w:rsidRDefault="00A9261E">
      <w:pPr>
        <w:widowControl w:val="0"/>
        <w:spacing w:line="360" w:lineRule="auto"/>
        <w:jc w:val="both"/>
        <w:rPr>
          <w:rFonts w:ascii="Times New Roman" w:eastAsia="Times New Roman" w:hAnsi="Times New Roman" w:cs="Times New Roman"/>
          <w:sz w:val="24"/>
          <w:szCs w:val="24"/>
        </w:rPr>
      </w:pPr>
    </w:p>
    <w:p w14:paraId="000000AE" w14:textId="77777777" w:rsidR="00A9261E" w:rsidRDefault="00000000">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Ajuda sem Fronteiras: A Rede Humanitária Internacional</w:t>
      </w:r>
    </w:p>
    <w:p w14:paraId="000000AF"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várias limitações nos campos, anteriormente vistas, são fruto de uma desigualdade global ou internacional pela qual, enquanto alguns se deslocam pela insuficiência de recursos, outros buscam com isto redistribuir certos recursos excedentes em seu local de origem.</w:t>
      </w:r>
    </w:p>
    <w:p w14:paraId="000000B0"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 deslocamentos em prol da ajuda humanitária, os meios de comunicação seriam motivadores centrais, uma vez que propiciam “. . . uma rede que aprimora a comunicação mundial, permitindo que o destinatário se familiarize com e até participe de outros grupos e culturas, reduzindo assim sua estranheza” (</w:t>
      </w:r>
      <w:proofErr w:type="spellStart"/>
      <w:r>
        <w:rPr>
          <w:rFonts w:ascii="Times New Roman" w:eastAsia="Times New Roman" w:hAnsi="Times New Roman" w:cs="Times New Roman"/>
          <w:sz w:val="24"/>
          <w:szCs w:val="24"/>
        </w:rPr>
        <w:t>Hinde</w:t>
      </w:r>
      <w:proofErr w:type="spellEnd"/>
      <w:r>
        <w:rPr>
          <w:rFonts w:ascii="Times New Roman" w:eastAsia="Times New Roman" w:hAnsi="Times New Roman" w:cs="Times New Roman"/>
          <w:sz w:val="24"/>
          <w:szCs w:val="24"/>
        </w:rPr>
        <w:t>, 1991, p. 267).</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Para isto, caberia rever os modos tanto como se estruturam quanto como se divulgam as ações humanitárias.</w:t>
      </w:r>
    </w:p>
    <w:p w14:paraId="000000B1"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Acerca do conteúdo frequentemente divulgado nas mídias sobre as ações humanitárias — incômodo que comparece também em uma das entrevistas, importa notar o que também se esconde. De acordo com </w:t>
      </w:r>
      <w:proofErr w:type="spellStart"/>
      <w:r>
        <w:rPr>
          <w:rFonts w:ascii="Times New Roman" w:eastAsia="Times New Roman" w:hAnsi="Times New Roman" w:cs="Times New Roman"/>
          <w:sz w:val="24"/>
          <w:szCs w:val="24"/>
        </w:rPr>
        <w:t>Hinde</w:t>
      </w:r>
      <w:proofErr w:type="spellEnd"/>
      <w:r>
        <w:rPr>
          <w:rFonts w:ascii="Times New Roman" w:eastAsia="Times New Roman" w:hAnsi="Times New Roman" w:cs="Times New Roman"/>
          <w:sz w:val="24"/>
          <w:szCs w:val="24"/>
        </w:rPr>
        <w:t xml:space="preserve"> (2007, p. 9):</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“O que os jornais não relatam são os inúmeros atos de bondade e cooperação que a maioria de nós recebe todos os dias.” Mudar este conteúdo significaria, ainda, mudar também as representações tanto de quem presta a ajuda quanto de </w:t>
      </w:r>
      <w:r>
        <w:rPr>
          <w:rFonts w:ascii="Times New Roman" w:eastAsia="Times New Roman" w:hAnsi="Times New Roman" w:cs="Times New Roman"/>
          <w:sz w:val="24"/>
          <w:szCs w:val="24"/>
        </w:rPr>
        <w:lastRenderedPageBreak/>
        <w:t xml:space="preserve">quem a recebe, reduzindo o estigma entre ambos. Conforme diz </w:t>
      </w:r>
      <w:proofErr w:type="spellStart"/>
      <w:r>
        <w:rPr>
          <w:rFonts w:ascii="Times New Roman" w:eastAsia="Times New Roman" w:hAnsi="Times New Roman" w:cs="Times New Roman"/>
          <w:sz w:val="24"/>
          <w:szCs w:val="24"/>
        </w:rPr>
        <w:t>Hinde</w:t>
      </w:r>
      <w:proofErr w:type="spellEnd"/>
      <w:r>
        <w:rPr>
          <w:rFonts w:ascii="Times New Roman" w:eastAsia="Times New Roman" w:hAnsi="Times New Roman" w:cs="Times New Roman"/>
          <w:sz w:val="24"/>
          <w:szCs w:val="24"/>
        </w:rPr>
        <w:t xml:space="preserve"> (1991, p. 6): “A confiança de que crenças e valores são compartilhados pode ser essencial para a confiança e o comprometimento”,</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xml:space="preserve"> que, como visto, levam tempo para serem construídos nos campos.</w:t>
      </w:r>
    </w:p>
    <w:p w14:paraId="000000B2"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Acerca da estrutura da ajuda humanitária, a demanda de que os Estados tomem para si o papel de formar pessoas mais conscientes das </w:t>
      </w:r>
      <w:proofErr w:type="gramStart"/>
      <w:r>
        <w:rPr>
          <w:rFonts w:ascii="Times New Roman" w:eastAsia="Times New Roman" w:hAnsi="Times New Roman" w:cs="Times New Roman"/>
          <w:sz w:val="24"/>
          <w:szCs w:val="24"/>
        </w:rPr>
        <w:t>situações de emergência</w:t>
      </w:r>
      <w:proofErr w:type="gramEnd"/>
      <w:r>
        <w:rPr>
          <w:rFonts w:ascii="Times New Roman" w:eastAsia="Times New Roman" w:hAnsi="Times New Roman" w:cs="Times New Roman"/>
          <w:sz w:val="24"/>
          <w:szCs w:val="24"/>
        </w:rPr>
        <w:t xml:space="preserve"> já seria importante. Enquanto isto não ocorre, todavia, a qualificação desses debates em todos os níveis de formação e em todos os níveis das relações interpessoais já promoveria, em alguma medida, o reconhecimento dos direitos dos refugiados, inclusive, a saírem dos campos e desses arranjos análogos para se integrarem plenamente em outros países e outras sociedades de acolhida.</w:t>
      </w:r>
    </w:p>
    <w:p w14:paraId="000000B3" w14:textId="77777777" w:rsidR="00A9261E" w:rsidRDefault="00A9261E">
      <w:pPr>
        <w:widowControl w:val="0"/>
        <w:spacing w:line="360" w:lineRule="auto"/>
        <w:jc w:val="both"/>
        <w:rPr>
          <w:rFonts w:ascii="Times New Roman" w:eastAsia="Times New Roman" w:hAnsi="Times New Roman" w:cs="Times New Roman"/>
          <w:sz w:val="24"/>
          <w:szCs w:val="24"/>
        </w:rPr>
      </w:pPr>
    </w:p>
    <w:p w14:paraId="000000B4" w14:textId="77777777" w:rsidR="00A9261E" w:rsidRDefault="00000000">
      <w:pPr>
        <w:widowControl w:v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Considerações Finais</w:t>
      </w:r>
    </w:p>
    <w:p w14:paraId="000000B5" w14:textId="77777777" w:rsidR="00A9261E" w:rsidRDefault="00A9261E">
      <w:pPr>
        <w:widowControl w:val="0"/>
        <w:spacing w:line="360" w:lineRule="auto"/>
        <w:ind w:firstLine="720"/>
        <w:jc w:val="both"/>
        <w:rPr>
          <w:rFonts w:ascii="Times New Roman" w:eastAsia="Times New Roman" w:hAnsi="Times New Roman" w:cs="Times New Roman"/>
          <w:sz w:val="24"/>
          <w:szCs w:val="24"/>
        </w:rPr>
      </w:pPr>
    </w:p>
    <w:p w14:paraId="000000B6" w14:textId="77777777" w:rsidR="00A9261E" w:rsidRDefault="00000000">
      <w:pPr>
        <w:widowControl w:v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spellStart"/>
      <w:r w:rsidRPr="00C8446F">
        <w:rPr>
          <w:rFonts w:ascii="Times New Roman" w:eastAsia="Times New Roman" w:hAnsi="Times New Roman" w:cs="Times New Roman"/>
          <w:color w:val="FF0000"/>
          <w:sz w:val="24"/>
          <w:szCs w:val="24"/>
        </w:rPr>
        <w:t>prsente</w:t>
      </w:r>
      <w:proofErr w:type="spellEnd"/>
      <w:r w:rsidRPr="00C8446F">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pesquisa trouxe relatos que debatem aspectos centrais da provisão de ajuda humanitária em campos de refugiados e arranjos igualmente precários, segundo a visão de dez prestadores de ajuda. Idealmente, estes debates deveriam incluir aspectos frequentemente relegados ao segundo plano, como aspectos políticos e geopolíticos da prestação desta ajuda. Na prática, porém, mais discussões e teorias acerca destas realidades, no geral, relegadas ao segundo plano por áreas como o Direito e a Psicologia já seriam, por si, um grande avanço.</w:t>
      </w:r>
    </w:p>
    <w:p w14:paraId="000000B7" w14:textId="77777777" w:rsidR="00A9261E" w:rsidRDefault="00A9261E">
      <w:pPr>
        <w:widowControl w:val="0"/>
        <w:spacing w:line="360" w:lineRule="auto"/>
        <w:jc w:val="both"/>
        <w:rPr>
          <w:rFonts w:ascii="Times New Roman" w:eastAsia="Times New Roman" w:hAnsi="Times New Roman" w:cs="Times New Roman"/>
          <w:sz w:val="24"/>
          <w:szCs w:val="24"/>
        </w:rPr>
      </w:pPr>
    </w:p>
    <w:p w14:paraId="000000B8" w14:textId="77777777" w:rsidR="00A9261E" w:rsidRDefault="00000000">
      <w:pPr>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Referências</w:t>
      </w:r>
    </w:p>
    <w:p w14:paraId="000000B9" w14:textId="77777777" w:rsidR="00A9261E" w:rsidRDefault="00A9261E">
      <w:pPr>
        <w:widowControl w:val="0"/>
        <w:spacing w:line="360" w:lineRule="auto"/>
        <w:jc w:val="both"/>
        <w:rPr>
          <w:rFonts w:ascii="Times New Roman" w:eastAsia="Times New Roman" w:hAnsi="Times New Roman" w:cs="Times New Roman"/>
          <w:sz w:val="24"/>
          <w:szCs w:val="24"/>
        </w:rPr>
      </w:pPr>
    </w:p>
    <w:p w14:paraId="000000BA" w14:textId="77777777" w:rsidR="00A9261E" w:rsidRDefault="00000000">
      <w:pPr>
        <w:widowControl w:val="0"/>
        <w:spacing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Alto Comissariado das Nações Unidas para Refugiados / ACNUR (2004). </w:t>
      </w:r>
      <w:proofErr w:type="spellStart"/>
      <w:r>
        <w:rPr>
          <w:rFonts w:ascii="Times New Roman" w:eastAsia="Times New Roman" w:hAnsi="Times New Roman" w:cs="Times New Roman"/>
          <w:i/>
          <w:sz w:val="24"/>
          <w:szCs w:val="24"/>
        </w:rPr>
        <w:t>Protracted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refugee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situations</w:t>
      </w:r>
      <w:proofErr w:type="spellEnd"/>
      <w:r>
        <w:rPr>
          <w:rFonts w:ascii="Times New Roman" w:eastAsia="Times New Roman" w:hAnsi="Times New Roman" w:cs="Times New Roman"/>
          <w:sz w:val="24"/>
          <w:szCs w:val="24"/>
        </w:rPr>
        <w:t>. Nações Unidas.</w:t>
      </w:r>
    </w:p>
    <w:p w14:paraId="000000BB" w14:textId="77777777" w:rsidR="00A9261E" w:rsidRDefault="00000000">
      <w:pPr>
        <w:widowControl w:val="0"/>
        <w:spacing w:line="36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Alto Comissariado das Nações Unidas para Refugiados / ACNUR (2006). </w:t>
      </w:r>
      <w:r w:rsidRPr="00C8446F">
        <w:rPr>
          <w:rFonts w:ascii="Times New Roman" w:eastAsia="Times New Roman" w:hAnsi="Times New Roman" w:cs="Times New Roman"/>
          <w:i/>
          <w:sz w:val="24"/>
          <w:szCs w:val="24"/>
          <w:lang w:val="en-US"/>
        </w:rPr>
        <w:t>Practical guide to the systematic use of standards and indicators in UNHCR operations</w:t>
      </w:r>
      <w:r w:rsidRPr="00C8446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Nações Unidas.</w:t>
      </w:r>
    </w:p>
    <w:p w14:paraId="000000BC" w14:textId="77777777" w:rsidR="00A9261E" w:rsidRPr="00C8446F" w:rsidRDefault="00000000">
      <w:pPr>
        <w:widowControl w:val="0"/>
        <w:spacing w:line="360" w:lineRule="auto"/>
        <w:ind w:firstLine="283"/>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Alto Comissariado das Nações Unidas para Refugiados / ACNUR (2020). </w:t>
      </w:r>
      <w:r w:rsidRPr="00C8446F">
        <w:rPr>
          <w:rFonts w:ascii="Times New Roman" w:eastAsia="Times New Roman" w:hAnsi="Times New Roman" w:cs="Times New Roman"/>
          <w:i/>
          <w:sz w:val="24"/>
          <w:szCs w:val="24"/>
          <w:lang w:val="en-US"/>
        </w:rPr>
        <w:t>Global trends: Forced displacement in 2019</w:t>
      </w:r>
      <w:r w:rsidRPr="00C8446F">
        <w:rPr>
          <w:rFonts w:ascii="Times New Roman" w:eastAsia="Times New Roman" w:hAnsi="Times New Roman" w:cs="Times New Roman"/>
          <w:sz w:val="24"/>
          <w:szCs w:val="24"/>
          <w:lang w:val="en-US"/>
        </w:rPr>
        <w:t xml:space="preserve">. </w:t>
      </w:r>
      <w:proofErr w:type="spellStart"/>
      <w:r w:rsidRPr="00C8446F">
        <w:rPr>
          <w:rFonts w:ascii="Times New Roman" w:eastAsia="Times New Roman" w:hAnsi="Times New Roman" w:cs="Times New Roman"/>
          <w:sz w:val="24"/>
          <w:szCs w:val="24"/>
          <w:lang w:val="en-US"/>
        </w:rPr>
        <w:t>Nações</w:t>
      </w:r>
      <w:proofErr w:type="spellEnd"/>
      <w:r w:rsidRPr="00C8446F">
        <w:rPr>
          <w:rFonts w:ascii="Times New Roman" w:eastAsia="Times New Roman" w:hAnsi="Times New Roman" w:cs="Times New Roman"/>
          <w:sz w:val="24"/>
          <w:szCs w:val="24"/>
          <w:lang w:val="en-US"/>
        </w:rPr>
        <w:t xml:space="preserve"> </w:t>
      </w:r>
      <w:proofErr w:type="spellStart"/>
      <w:r w:rsidRPr="00C8446F">
        <w:rPr>
          <w:rFonts w:ascii="Times New Roman" w:eastAsia="Times New Roman" w:hAnsi="Times New Roman" w:cs="Times New Roman"/>
          <w:sz w:val="24"/>
          <w:szCs w:val="24"/>
          <w:lang w:val="en-US"/>
        </w:rPr>
        <w:t>Unidas</w:t>
      </w:r>
      <w:proofErr w:type="spellEnd"/>
      <w:r w:rsidRPr="00C8446F">
        <w:rPr>
          <w:rFonts w:ascii="Times New Roman" w:eastAsia="Times New Roman" w:hAnsi="Times New Roman" w:cs="Times New Roman"/>
          <w:sz w:val="24"/>
          <w:szCs w:val="24"/>
          <w:lang w:val="en-US"/>
        </w:rPr>
        <w:t>.</w:t>
      </w:r>
    </w:p>
    <w:p w14:paraId="000000BD" w14:textId="77777777" w:rsidR="00A9261E" w:rsidRPr="00C8446F" w:rsidRDefault="00000000">
      <w:pPr>
        <w:widowControl w:val="0"/>
        <w:spacing w:line="360" w:lineRule="auto"/>
        <w:ind w:firstLine="283"/>
        <w:jc w:val="both"/>
        <w:rPr>
          <w:rFonts w:ascii="Times New Roman" w:eastAsia="Times New Roman" w:hAnsi="Times New Roman" w:cs="Times New Roman"/>
          <w:sz w:val="24"/>
          <w:szCs w:val="24"/>
          <w:lang w:val="en-US"/>
        </w:rPr>
      </w:pPr>
      <w:r w:rsidRPr="00C8446F">
        <w:rPr>
          <w:rFonts w:ascii="Times New Roman" w:eastAsia="Times New Roman" w:hAnsi="Times New Roman" w:cs="Times New Roman"/>
          <w:sz w:val="24"/>
          <w:szCs w:val="24"/>
          <w:lang w:val="en-US"/>
        </w:rPr>
        <w:t>Braun, V., &amp; Clarke, V. (2006). Using thematic analysis in Psychology</w:t>
      </w:r>
      <w:r w:rsidRPr="00C8446F">
        <w:rPr>
          <w:rFonts w:ascii="Times New Roman" w:eastAsia="Times New Roman" w:hAnsi="Times New Roman" w:cs="Times New Roman"/>
          <w:i/>
          <w:sz w:val="24"/>
          <w:szCs w:val="24"/>
          <w:lang w:val="en-US"/>
        </w:rPr>
        <w:t>.</w:t>
      </w:r>
      <w:r w:rsidRPr="00C8446F">
        <w:rPr>
          <w:rFonts w:ascii="Times New Roman" w:eastAsia="Times New Roman" w:hAnsi="Times New Roman" w:cs="Times New Roman"/>
          <w:sz w:val="24"/>
          <w:szCs w:val="24"/>
          <w:lang w:val="en-US"/>
        </w:rPr>
        <w:t xml:space="preserve"> </w:t>
      </w:r>
      <w:r w:rsidRPr="00C8446F">
        <w:rPr>
          <w:rFonts w:ascii="Times New Roman" w:eastAsia="Times New Roman" w:hAnsi="Times New Roman" w:cs="Times New Roman"/>
          <w:i/>
          <w:sz w:val="24"/>
          <w:szCs w:val="24"/>
          <w:lang w:val="en-US"/>
        </w:rPr>
        <w:t>Qualitative Research in Psychology</w:t>
      </w:r>
      <w:r w:rsidRPr="00C8446F">
        <w:rPr>
          <w:rFonts w:ascii="Times New Roman" w:eastAsia="Times New Roman" w:hAnsi="Times New Roman" w:cs="Times New Roman"/>
          <w:sz w:val="24"/>
          <w:szCs w:val="24"/>
          <w:lang w:val="en-US"/>
        </w:rPr>
        <w:t>, 3 (2). 77–101.</w:t>
      </w:r>
    </w:p>
    <w:p w14:paraId="000000BE" w14:textId="77777777" w:rsidR="00A9261E" w:rsidRDefault="00000000">
      <w:pPr>
        <w:widowControl w:val="0"/>
        <w:spacing w:line="360" w:lineRule="auto"/>
        <w:ind w:firstLine="283"/>
        <w:jc w:val="both"/>
        <w:rPr>
          <w:rFonts w:ascii="Times New Roman" w:eastAsia="Times New Roman" w:hAnsi="Times New Roman" w:cs="Times New Roman"/>
          <w:color w:val="111111"/>
          <w:sz w:val="24"/>
          <w:szCs w:val="24"/>
        </w:rPr>
      </w:pPr>
      <w:proofErr w:type="spellStart"/>
      <w:r w:rsidRPr="00C8446F">
        <w:rPr>
          <w:rFonts w:ascii="Times New Roman" w:eastAsia="Times New Roman" w:hAnsi="Times New Roman" w:cs="Times New Roman"/>
          <w:sz w:val="24"/>
          <w:szCs w:val="24"/>
          <w:lang w:val="en-US"/>
        </w:rPr>
        <w:t>Capitão</w:t>
      </w:r>
      <w:proofErr w:type="spellEnd"/>
      <w:r w:rsidRPr="00C8446F">
        <w:rPr>
          <w:rFonts w:ascii="Times New Roman" w:eastAsia="Times New Roman" w:hAnsi="Times New Roman" w:cs="Times New Roman"/>
          <w:sz w:val="24"/>
          <w:szCs w:val="24"/>
          <w:lang w:val="en-US"/>
        </w:rPr>
        <w:t xml:space="preserve">, C. G., &amp; </w:t>
      </w:r>
      <w:proofErr w:type="spellStart"/>
      <w:r w:rsidRPr="00C8446F">
        <w:rPr>
          <w:rFonts w:ascii="Times New Roman" w:eastAsia="Times New Roman" w:hAnsi="Times New Roman" w:cs="Times New Roman"/>
          <w:sz w:val="24"/>
          <w:szCs w:val="24"/>
          <w:lang w:val="en-US"/>
        </w:rPr>
        <w:t>Villemor</w:t>
      </w:r>
      <w:proofErr w:type="spellEnd"/>
      <w:r w:rsidRPr="00C8446F">
        <w:rPr>
          <w:rFonts w:ascii="Times New Roman" w:eastAsia="Times New Roman" w:hAnsi="Times New Roman" w:cs="Times New Roman"/>
          <w:sz w:val="24"/>
          <w:szCs w:val="24"/>
          <w:lang w:val="en-US"/>
        </w:rPr>
        <w:t xml:space="preserve">-Amaral, A. E. (2014). </w:t>
      </w:r>
      <w:r>
        <w:rPr>
          <w:rFonts w:ascii="Times New Roman" w:eastAsia="Times New Roman" w:hAnsi="Times New Roman" w:cs="Times New Roman"/>
          <w:sz w:val="24"/>
          <w:szCs w:val="24"/>
        </w:rPr>
        <w:t>A pesquisa com estudo de caso. M. N. Batista, &amp; D. C. Campos (</w:t>
      </w:r>
      <w:proofErr w:type="spellStart"/>
      <w:r>
        <w:rPr>
          <w:rFonts w:ascii="Times New Roman" w:eastAsia="Times New Roman" w:hAnsi="Times New Roman" w:cs="Times New Roman"/>
          <w:sz w:val="24"/>
          <w:szCs w:val="24"/>
        </w:rPr>
        <w:t>Orgs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Metodologias de pesquisa em ciências: Análises qualitativa e quantitativa</w:t>
      </w:r>
      <w:r>
        <w:rPr>
          <w:rFonts w:ascii="Times New Roman" w:eastAsia="Times New Roman" w:hAnsi="Times New Roman" w:cs="Times New Roman"/>
          <w:sz w:val="24"/>
          <w:szCs w:val="24"/>
        </w:rPr>
        <w:t>. LTC. 238–253.</w:t>
      </w:r>
    </w:p>
    <w:p w14:paraId="000000BF" w14:textId="77777777" w:rsidR="00A9261E" w:rsidRDefault="00000000">
      <w:pPr>
        <w:widowControl w:val="0"/>
        <w:spacing w:line="360" w:lineRule="auto"/>
        <w:ind w:firstLine="28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Flick</w:t>
      </w:r>
      <w:proofErr w:type="spellEnd"/>
      <w:r>
        <w:rPr>
          <w:rFonts w:ascii="Times New Roman" w:eastAsia="Times New Roman" w:hAnsi="Times New Roman" w:cs="Times New Roman"/>
          <w:sz w:val="24"/>
          <w:szCs w:val="24"/>
        </w:rPr>
        <w:t xml:space="preserve">, U. (2008). “Entrevista episódica”. In: Bauer, Martin W.; </w:t>
      </w:r>
      <w:proofErr w:type="spellStart"/>
      <w:r>
        <w:rPr>
          <w:rFonts w:ascii="Times New Roman" w:eastAsia="Times New Roman" w:hAnsi="Times New Roman" w:cs="Times New Roman"/>
          <w:sz w:val="24"/>
          <w:szCs w:val="24"/>
        </w:rPr>
        <w:t>Gaskell</w:t>
      </w:r>
      <w:proofErr w:type="spellEnd"/>
      <w:r>
        <w:rPr>
          <w:rFonts w:ascii="Times New Roman" w:eastAsia="Times New Roman" w:hAnsi="Times New Roman" w:cs="Times New Roman"/>
          <w:sz w:val="24"/>
          <w:szCs w:val="24"/>
        </w:rPr>
        <w:t xml:space="preserve">, G. (eds.). </w:t>
      </w:r>
      <w:r>
        <w:rPr>
          <w:rFonts w:ascii="Times New Roman" w:eastAsia="Times New Roman" w:hAnsi="Times New Roman" w:cs="Times New Roman"/>
          <w:i/>
          <w:sz w:val="24"/>
          <w:szCs w:val="24"/>
        </w:rPr>
        <w:t>Pesquisa qualitativa com texto, imagem e som: Um manual prático.</w:t>
      </w:r>
      <w:r>
        <w:rPr>
          <w:rFonts w:ascii="Times New Roman" w:eastAsia="Times New Roman" w:hAnsi="Times New Roman" w:cs="Times New Roman"/>
          <w:sz w:val="24"/>
          <w:szCs w:val="24"/>
        </w:rPr>
        <w:t xml:space="preserve"> Ed. Vozes (7a ed.), 114–136.</w:t>
      </w:r>
    </w:p>
    <w:p w14:paraId="000000C0" w14:textId="77777777" w:rsidR="00A9261E" w:rsidRPr="00C8446F" w:rsidRDefault="00000000">
      <w:pPr>
        <w:widowControl w:val="0"/>
        <w:spacing w:line="360" w:lineRule="auto"/>
        <w:ind w:firstLine="283"/>
        <w:jc w:val="both"/>
        <w:rPr>
          <w:rFonts w:ascii="Times New Roman" w:eastAsia="Times New Roman" w:hAnsi="Times New Roman" w:cs="Times New Roman"/>
          <w:color w:val="111111"/>
          <w:sz w:val="24"/>
          <w:szCs w:val="24"/>
          <w:lang w:val="en-US"/>
        </w:rPr>
      </w:pPr>
      <w:proofErr w:type="spellStart"/>
      <w:r>
        <w:rPr>
          <w:rFonts w:ascii="Times New Roman" w:eastAsia="Times New Roman" w:hAnsi="Times New Roman" w:cs="Times New Roman"/>
          <w:sz w:val="24"/>
          <w:szCs w:val="24"/>
        </w:rPr>
        <w:t>Flick</w:t>
      </w:r>
      <w:proofErr w:type="spellEnd"/>
      <w:r>
        <w:rPr>
          <w:rFonts w:ascii="Times New Roman" w:eastAsia="Times New Roman" w:hAnsi="Times New Roman" w:cs="Times New Roman"/>
          <w:sz w:val="24"/>
          <w:szCs w:val="24"/>
        </w:rPr>
        <w:t xml:space="preserve">, U. (2013). </w:t>
      </w:r>
      <w:r>
        <w:rPr>
          <w:rFonts w:ascii="Times New Roman" w:eastAsia="Times New Roman" w:hAnsi="Times New Roman" w:cs="Times New Roman"/>
          <w:i/>
          <w:sz w:val="24"/>
          <w:szCs w:val="24"/>
        </w:rPr>
        <w:t>Introdução à metodologia de pesquisa: guia para iniciantes</w:t>
      </w:r>
      <w:r>
        <w:rPr>
          <w:rFonts w:ascii="Times New Roman" w:eastAsia="Times New Roman" w:hAnsi="Times New Roman" w:cs="Times New Roman"/>
          <w:sz w:val="24"/>
          <w:szCs w:val="24"/>
        </w:rPr>
        <w:t xml:space="preserve">. </w:t>
      </w:r>
      <w:r w:rsidRPr="00C8446F">
        <w:rPr>
          <w:rFonts w:ascii="Times New Roman" w:eastAsia="Times New Roman" w:hAnsi="Times New Roman" w:cs="Times New Roman"/>
          <w:sz w:val="24"/>
          <w:szCs w:val="24"/>
          <w:lang w:val="en-US"/>
        </w:rPr>
        <w:t xml:space="preserve">Ed. </w:t>
      </w:r>
      <w:proofErr w:type="spellStart"/>
      <w:r w:rsidRPr="00C8446F">
        <w:rPr>
          <w:rFonts w:ascii="Times New Roman" w:eastAsia="Times New Roman" w:hAnsi="Times New Roman" w:cs="Times New Roman"/>
          <w:sz w:val="24"/>
          <w:szCs w:val="24"/>
          <w:lang w:val="en-US"/>
        </w:rPr>
        <w:t>Penso</w:t>
      </w:r>
      <w:proofErr w:type="spellEnd"/>
      <w:r w:rsidRPr="00C8446F">
        <w:rPr>
          <w:rFonts w:ascii="Times New Roman" w:eastAsia="Times New Roman" w:hAnsi="Times New Roman" w:cs="Times New Roman"/>
          <w:sz w:val="24"/>
          <w:szCs w:val="24"/>
          <w:lang w:val="en-US"/>
        </w:rPr>
        <w:t>.</w:t>
      </w:r>
    </w:p>
    <w:p w14:paraId="000000C1" w14:textId="77777777" w:rsidR="00A9261E" w:rsidRPr="00C8446F" w:rsidRDefault="00000000">
      <w:pPr>
        <w:widowControl w:val="0"/>
        <w:spacing w:line="360" w:lineRule="auto"/>
        <w:ind w:firstLine="283"/>
        <w:jc w:val="both"/>
        <w:rPr>
          <w:rFonts w:ascii="Times New Roman" w:eastAsia="Times New Roman" w:hAnsi="Times New Roman" w:cs="Times New Roman"/>
          <w:color w:val="111111"/>
          <w:sz w:val="24"/>
          <w:szCs w:val="24"/>
          <w:lang w:val="en-US"/>
        </w:rPr>
      </w:pPr>
      <w:r w:rsidRPr="00C8446F">
        <w:rPr>
          <w:rFonts w:ascii="Times New Roman" w:eastAsia="Times New Roman" w:hAnsi="Times New Roman" w:cs="Times New Roman"/>
          <w:sz w:val="24"/>
          <w:szCs w:val="24"/>
          <w:lang w:val="en-US"/>
        </w:rPr>
        <w:t xml:space="preserve">Fultz, J. &amp; Cialdini, R. B. (1991). Situational and personality determinants of the quantity and quality of helping. Hinde, R. A., &amp; </w:t>
      </w:r>
      <w:proofErr w:type="spellStart"/>
      <w:r w:rsidRPr="00C8446F">
        <w:rPr>
          <w:rFonts w:ascii="Times New Roman" w:eastAsia="Times New Roman" w:hAnsi="Times New Roman" w:cs="Times New Roman"/>
          <w:sz w:val="24"/>
          <w:szCs w:val="24"/>
          <w:lang w:val="en-US"/>
        </w:rPr>
        <w:t>Groebel</w:t>
      </w:r>
      <w:proofErr w:type="spellEnd"/>
      <w:r w:rsidRPr="00C8446F">
        <w:rPr>
          <w:rFonts w:ascii="Times New Roman" w:eastAsia="Times New Roman" w:hAnsi="Times New Roman" w:cs="Times New Roman"/>
          <w:sz w:val="24"/>
          <w:szCs w:val="24"/>
          <w:lang w:val="en-US"/>
        </w:rPr>
        <w:t xml:space="preserve">, J. (Orgs.). </w:t>
      </w:r>
      <w:r w:rsidRPr="00C8446F">
        <w:rPr>
          <w:rFonts w:ascii="Times New Roman" w:eastAsia="Times New Roman" w:hAnsi="Times New Roman" w:cs="Times New Roman"/>
          <w:i/>
          <w:sz w:val="24"/>
          <w:szCs w:val="24"/>
          <w:lang w:val="en-US"/>
        </w:rPr>
        <w:t xml:space="preserve">Cooperation and Prosocial </w:t>
      </w:r>
      <w:proofErr w:type="spellStart"/>
      <w:r w:rsidRPr="00C8446F">
        <w:rPr>
          <w:rFonts w:ascii="Times New Roman" w:eastAsia="Times New Roman" w:hAnsi="Times New Roman" w:cs="Times New Roman"/>
          <w:i/>
          <w:sz w:val="24"/>
          <w:szCs w:val="24"/>
          <w:lang w:val="en-US"/>
        </w:rPr>
        <w:t>Behaviour</w:t>
      </w:r>
      <w:proofErr w:type="spellEnd"/>
      <w:r w:rsidRPr="00C8446F">
        <w:rPr>
          <w:rFonts w:ascii="Times New Roman" w:eastAsia="Times New Roman" w:hAnsi="Times New Roman" w:cs="Times New Roman"/>
          <w:sz w:val="24"/>
          <w:szCs w:val="24"/>
          <w:lang w:val="en-US"/>
        </w:rPr>
        <w:t>, 135–146.</w:t>
      </w:r>
    </w:p>
    <w:p w14:paraId="000000C2" w14:textId="77777777" w:rsidR="00A9261E" w:rsidRPr="00C8446F" w:rsidRDefault="00000000">
      <w:pPr>
        <w:widowControl w:val="0"/>
        <w:spacing w:line="360" w:lineRule="auto"/>
        <w:ind w:firstLine="283"/>
        <w:jc w:val="both"/>
        <w:rPr>
          <w:rFonts w:ascii="Times New Roman" w:eastAsia="Times New Roman" w:hAnsi="Times New Roman" w:cs="Times New Roman"/>
          <w:color w:val="111111"/>
          <w:sz w:val="24"/>
          <w:szCs w:val="24"/>
          <w:lang w:val="en-US"/>
        </w:rPr>
      </w:pPr>
      <w:proofErr w:type="spellStart"/>
      <w:r>
        <w:rPr>
          <w:rFonts w:ascii="Times New Roman" w:eastAsia="Times New Roman" w:hAnsi="Times New Roman" w:cs="Times New Roman"/>
          <w:color w:val="111111"/>
          <w:sz w:val="24"/>
          <w:szCs w:val="24"/>
        </w:rPr>
        <w:t>Gagliato</w:t>
      </w:r>
      <w:proofErr w:type="spellEnd"/>
      <w:r>
        <w:rPr>
          <w:rFonts w:ascii="Times New Roman" w:eastAsia="Times New Roman" w:hAnsi="Times New Roman" w:cs="Times New Roman"/>
          <w:color w:val="111111"/>
          <w:sz w:val="24"/>
          <w:szCs w:val="24"/>
        </w:rPr>
        <w:t xml:space="preserve">, M. F. (2018). </w:t>
      </w:r>
      <w:r>
        <w:rPr>
          <w:rFonts w:ascii="Times New Roman" w:eastAsia="Times New Roman" w:hAnsi="Times New Roman" w:cs="Times New Roman"/>
          <w:i/>
          <w:color w:val="111111"/>
          <w:sz w:val="24"/>
          <w:szCs w:val="24"/>
        </w:rPr>
        <w:t>Saúde Mental e Apoio Psicossocial em emergências humanitárias: uma análise crítica entre políticas e práticas atuais de assistência</w:t>
      </w:r>
      <w:r>
        <w:rPr>
          <w:rFonts w:ascii="Times New Roman" w:eastAsia="Times New Roman" w:hAnsi="Times New Roman" w:cs="Times New Roman"/>
          <w:color w:val="111111"/>
          <w:sz w:val="24"/>
          <w:szCs w:val="24"/>
        </w:rPr>
        <w:t xml:space="preserve">. 163 p. Tese (Doutorado em Saúde Global e Sustentabilidade), Faculdade de Saúde Pública, Universidade de São Paulo (USP), São Paulo. </w:t>
      </w:r>
      <w:hyperlink r:id="rId6">
        <w:r w:rsidRPr="00C8446F">
          <w:rPr>
            <w:rFonts w:ascii="Times New Roman" w:eastAsia="Times New Roman" w:hAnsi="Times New Roman" w:cs="Times New Roman"/>
            <w:color w:val="111111"/>
            <w:sz w:val="24"/>
            <w:szCs w:val="24"/>
            <w:u w:val="single"/>
            <w:lang w:val="en-US"/>
          </w:rPr>
          <w:t>https://doi.org/10.11606/T.6.2019.tde-21032019-170435</w:t>
        </w:r>
      </w:hyperlink>
      <w:r w:rsidRPr="00C8446F">
        <w:rPr>
          <w:rFonts w:ascii="Times New Roman" w:eastAsia="Times New Roman" w:hAnsi="Times New Roman" w:cs="Times New Roman"/>
          <w:color w:val="111111"/>
          <w:sz w:val="24"/>
          <w:szCs w:val="24"/>
          <w:lang w:val="en-US"/>
        </w:rPr>
        <w:t xml:space="preserve">. </w:t>
      </w:r>
    </w:p>
    <w:p w14:paraId="000000C3" w14:textId="77777777" w:rsidR="00A9261E" w:rsidRPr="00C8446F" w:rsidRDefault="00000000">
      <w:pPr>
        <w:widowControl w:val="0"/>
        <w:spacing w:line="360" w:lineRule="auto"/>
        <w:ind w:firstLine="283"/>
        <w:jc w:val="both"/>
        <w:rPr>
          <w:rFonts w:ascii="Times New Roman" w:eastAsia="Times New Roman" w:hAnsi="Times New Roman" w:cs="Times New Roman"/>
          <w:sz w:val="24"/>
          <w:szCs w:val="24"/>
          <w:lang w:val="en-US"/>
        </w:rPr>
      </w:pPr>
      <w:r w:rsidRPr="00C8446F">
        <w:rPr>
          <w:rFonts w:ascii="Times New Roman" w:eastAsia="Times New Roman" w:hAnsi="Times New Roman" w:cs="Times New Roman"/>
          <w:color w:val="111111"/>
          <w:sz w:val="24"/>
          <w:szCs w:val="24"/>
          <w:lang w:val="en-US"/>
        </w:rPr>
        <w:t xml:space="preserve">Hinde, R. A. (1987). </w:t>
      </w:r>
      <w:r w:rsidRPr="00C8446F">
        <w:rPr>
          <w:rFonts w:ascii="Times New Roman" w:eastAsia="Times New Roman" w:hAnsi="Times New Roman" w:cs="Times New Roman"/>
          <w:i/>
          <w:color w:val="111111"/>
          <w:sz w:val="24"/>
          <w:szCs w:val="24"/>
          <w:lang w:val="en-US"/>
        </w:rPr>
        <w:t xml:space="preserve">Individuals, </w:t>
      </w:r>
      <w:proofErr w:type="gramStart"/>
      <w:r w:rsidRPr="00C8446F">
        <w:rPr>
          <w:rFonts w:ascii="Times New Roman" w:eastAsia="Times New Roman" w:hAnsi="Times New Roman" w:cs="Times New Roman"/>
          <w:i/>
          <w:color w:val="111111"/>
          <w:sz w:val="24"/>
          <w:szCs w:val="24"/>
          <w:lang w:val="en-US"/>
        </w:rPr>
        <w:t>relationsh</w:t>
      </w:r>
      <w:r w:rsidRPr="00C8446F">
        <w:rPr>
          <w:rFonts w:ascii="Times New Roman" w:eastAsia="Times New Roman" w:hAnsi="Times New Roman" w:cs="Times New Roman"/>
          <w:i/>
          <w:sz w:val="24"/>
          <w:szCs w:val="24"/>
          <w:lang w:val="en-US"/>
        </w:rPr>
        <w:t>ips</w:t>
      </w:r>
      <w:proofErr w:type="gramEnd"/>
      <w:r w:rsidRPr="00C8446F">
        <w:rPr>
          <w:rFonts w:ascii="Times New Roman" w:eastAsia="Times New Roman" w:hAnsi="Times New Roman" w:cs="Times New Roman"/>
          <w:i/>
          <w:sz w:val="24"/>
          <w:szCs w:val="24"/>
          <w:lang w:val="en-US"/>
        </w:rPr>
        <w:t xml:space="preserve"> and culture: Links between ethology and social sciences. </w:t>
      </w:r>
      <w:r w:rsidRPr="00C8446F">
        <w:rPr>
          <w:rFonts w:ascii="Times New Roman" w:eastAsia="Times New Roman" w:hAnsi="Times New Roman" w:cs="Times New Roman"/>
          <w:sz w:val="24"/>
          <w:szCs w:val="24"/>
          <w:lang w:val="en-US"/>
        </w:rPr>
        <w:t>Cambridge University Press.</w:t>
      </w:r>
    </w:p>
    <w:p w14:paraId="000000C4" w14:textId="77777777" w:rsidR="00A9261E" w:rsidRPr="00C8446F" w:rsidRDefault="00000000">
      <w:pPr>
        <w:widowControl w:val="0"/>
        <w:spacing w:line="360" w:lineRule="auto"/>
        <w:ind w:left="560" w:hanging="280"/>
        <w:jc w:val="both"/>
        <w:rPr>
          <w:rFonts w:ascii="Times New Roman" w:eastAsia="Times New Roman" w:hAnsi="Times New Roman" w:cs="Times New Roman"/>
          <w:sz w:val="24"/>
          <w:szCs w:val="24"/>
          <w:lang w:val="en-US"/>
        </w:rPr>
      </w:pPr>
      <w:r w:rsidRPr="00C8446F">
        <w:rPr>
          <w:rFonts w:ascii="Times New Roman" w:eastAsia="Times New Roman" w:hAnsi="Times New Roman" w:cs="Times New Roman"/>
          <w:sz w:val="24"/>
          <w:szCs w:val="24"/>
          <w:lang w:val="en-US"/>
        </w:rPr>
        <w:t xml:space="preserve">Hinde, R. A. (1997). </w:t>
      </w:r>
      <w:r w:rsidRPr="00C8446F">
        <w:rPr>
          <w:rFonts w:ascii="Times New Roman" w:eastAsia="Times New Roman" w:hAnsi="Times New Roman" w:cs="Times New Roman"/>
          <w:i/>
          <w:sz w:val="24"/>
          <w:szCs w:val="24"/>
          <w:lang w:val="en-US"/>
        </w:rPr>
        <w:t>Relationships: A dialectical perspective.</w:t>
      </w:r>
      <w:r w:rsidRPr="00C8446F">
        <w:rPr>
          <w:rFonts w:ascii="Times New Roman" w:eastAsia="Times New Roman" w:hAnsi="Times New Roman" w:cs="Times New Roman"/>
          <w:sz w:val="24"/>
          <w:szCs w:val="24"/>
          <w:lang w:val="en-US"/>
        </w:rPr>
        <w:t xml:space="preserve"> Psychology Press.</w:t>
      </w:r>
    </w:p>
    <w:p w14:paraId="000000C5" w14:textId="77777777" w:rsidR="00A9261E" w:rsidRPr="00C8446F" w:rsidRDefault="00000000">
      <w:pPr>
        <w:widowControl w:val="0"/>
        <w:spacing w:line="360" w:lineRule="auto"/>
        <w:ind w:firstLine="283"/>
        <w:jc w:val="both"/>
        <w:rPr>
          <w:rFonts w:ascii="Times New Roman" w:eastAsia="Times New Roman" w:hAnsi="Times New Roman" w:cs="Times New Roman"/>
          <w:sz w:val="24"/>
          <w:szCs w:val="24"/>
          <w:lang w:val="en-US"/>
        </w:rPr>
      </w:pPr>
      <w:r w:rsidRPr="00C8446F">
        <w:rPr>
          <w:rFonts w:ascii="Times New Roman" w:eastAsia="Times New Roman" w:hAnsi="Times New Roman" w:cs="Times New Roman"/>
          <w:sz w:val="24"/>
          <w:szCs w:val="24"/>
          <w:lang w:val="en-US"/>
        </w:rPr>
        <w:t xml:space="preserve">Hinde, R. A. (2007). </w:t>
      </w:r>
      <w:r w:rsidRPr="00C8446F">
        <w:rPr>
          <w:rFonts w:ascii="Times New Roman" w:eastAsia="Times New Roman" w:hAnsi="Times New Roman" w:cs="Times New Roman"/>
          <w:i/>
          <w:sz w:val="24"/>
          <w:szCs w:val="24"/>
          <w:lang w:val="en-US"/>
        </w:rPr>
        <w:t>Bending the Rules: Morality in the Modern World - From Relationships to Politics and War</w:t>
      </w:r>
      <w:r w:rsidRPr="00C8446F">
        <w:rPr>
          <w:rFonts w:ascii="Times New Roman" w:eastAsia="Times New Roman" w:hAnsi="Times New Roman" w:cs="Times New Roman"/>
          <w:sz w:val="24"/>
          <w:szCs w:val="24"/>
          <w:lang w:val="en-US"/>
        </w:rPr>
        <w:t>. N. York: Oxford University Press.</w:t>
      </w:r>
    </w:p>
    <w:p w14:paraId="000000C6" w14:textId="77777777" w:rsidR="00A9261E" w:rsidRPr="00C8446F" w:rsidRDefault="00000000">
      <w:pPr>
        <w:widowControl w:val="0"/>
        <w:spacing w:line="360" w:lineRule="auto"/>
        <w:ind w:firstLine="283"/>
        <w:jc w:val="both"/>
        <w:rPr>
          <w:rFonts w:ascii="Times New Roman" w:eastAsia="Times New Roman" w:hAnsi="Times New Roman" w:cs="Times New Roman"/>
          <w:sz w:val="24"/>
          <w:szCs w:val="24"/>
          <w:lang w:val="en-US"/>
        </w:rPr>
      </w:pPr>
      <w:r w:rsidRPr="00C8446F">
        <w:rPr>
          <w:rFonts w:ascii="Times New Roman" w:eastAsia="Times New Roman" w:hAnsi="Times New Roman" w:cs="Times New Roman"/>
          <w:sz w:val="24"/>
          <w:szCs w:val="24"/>
          <w:lang w:val="en-US"/>
        </w:rPr>
        <w:t xml:space="preserve">Hinde, R. A., &amp; </w:t>
      </w:r>
      <w:proofErr w:type="spellStart"/>
      <w:r w:rsidRPr="00C8446F">
        <w:rPr>
          <w:rFonts w:ascii="Times New Roman" w:eastAsia="Times New Roman" w:hAnsi="Times New Roman" w:cs="Times New Roman"/>
          <w:sz w:val="24"/>
          <w:szCs w:val="24"/>
          <w:lang w:val="en-US"/>
        </w:rPr>
        <w:t>Groebel</w:t>
      </w:r>
      <w:proofErr w:type="spellEnd"/>
      <w:r w:rsidRPr="00C8446F">
        <w:rPr>
          <w:rFonts w:ascii="Times New Roman" w:eastAsia="Times New Roman" w:hAnsi="Times New Roman" w:cs="Times New Roman"/>
          <w:sz w:val="24"/>
          <w:szCs w:val="24"/>
          <w:lang w:val="en-US"/>
        </w:rPr>
        <w:t xml:space="preserve">, J. (1991). </w:t>
      </w:r>
      <w:r w:rsidRPr="00C8446F">
        <w:rPr>
          <w:rFonts w:ascii="Times New Roman" w:eastAsia="Times New Roman" w:hAnsi="Times New Roman" w:cs="Times New Roman"/>
          <w:i/>
          <w:sz w:val="24"/>
          <w:szCs w:val="24"/>
          <w:lang w:val="en-US"/>
        </w:rPr>
        <w:t xml:space="preserve">Cooperation and prosocial </w:t>
      </w:r>
      <w:proofErr w:type="spellStart"/>
      <w:r w:rsidRPr="00C8446F">
        <w:rPr>
          <w:rFonts w:ascii="Times New Roman" w:eastAsia="Times New Roman" w:hAnsi="Times New Roman" w:cs="Times New Roman"/>
          <w:i/>
          <w:sz w:val="24"/>
          <w:szCs w:val="24"/>
          <w:lang w:val="en-US"/>
        </w:rPr>
        <w:t>behaviour</w:t>
      </w:r>
      <w:proofErr w:type="spellEnd"/>
      <w:r w:rsidRPr="00C8446F">
        <w:rPr>
          <w:rFonts w:ascii="Times New Roman" w:eastAsia="Times New Roman" w:hAnsi="Times New Roman" w:cs="Times New Roman"/>
          <w:sz w:val="24"/>
          <w:szCs w:val="24"/>
          <w:lang w:val="en-US"/>
        </w:rPr>
        <w:t>. N. York: Cambridge University Press.</w:t>
      </w:r>
    </w:p>
    <w:p w14:paraId="000000C7" w14:textId="77777777" w:rsidR="00A9261E" w:rsidRDefault="00000000">
      <w:pPr>
        <w:widowControl w:val="0"/>
        <w:spacing w:line="360" w:lineRule="auto"/>
        <w:ind w:firstLine="283"/>
        <w:jc w:val="both"/>
        <w:rPr>
          <w:rFonts w:ascii="Times New Roman" w:eastAsia="Times New Roman" w:hAnsi="Times New Roman" w:cs="Times New Roman"/>
          <w:sz w:val="24"/>
          <w:szCs w:val="24"/>
        </w:rPr>
      </w:pPr>
      <w:proofErr w:type="spellStart"/>
      <w:r w:rsidRPr="00C8446F">
        <w:rPr>
          <w:rFonts w:ascii="Times New Roman" w:eastAsia="Times New Roman" w:hAnsi="Times New Roman" w:cs="Times New Roman"/>
          <w:sz w:val="24"/>
          <w:szCs w:val="24"/>
          <w:lang w:val="en-US"/>
        </w:rPr>
        <w:t>Honneth</w:t>
      </w:r>
      <w:proofErr w:type="spellEnd"/>
      <w:r w:rsidRPr="00C8446F">
        <w:rPr>
          <w:rFonts w:ascii="Times New Roman" w:eastAsia="Times New Roman" w:hAnsi="Times New Roman" w:cs="Times New Roman"/>
          <w:sz w:val="24"/>
          <w:szCs w:val="24"/>
          <w:lang w:val="en-US"/>
        </w:rPr>
        <w:t xml:space="preserve">, A. (1992). Integrity and disrespect: principles of a conception of morality based on the theory of recognition. </w:t>
      </w:r>
      <w:proofErr w:type="spellStart"/>
      <w:r>
        <w:rPr>
          <w:rFonts w:ascii="Times New Roman" w:eastAsia="Times New Roman" w:hAnsi="Times New Roman" w:cs="Times New Roman"/>
          <w:i/>
          <w:sz w:val="24"/>
          <w:szCs w:val="24"/>
        </w:rPr>
        <w:t>Political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Theory</w:t>
      </w:r>
      <w:proofErr w:type="spellEnd"/>
      <w:r>
        <w:rPr>
          <w:rFonts w:ascii="Times New Roman" w:eastAsia="Times New Roman" w:hAnsi="Times New Roman" w:cs="Times New Roman"/>
          <w:i/>
          <w:sz w:val="24"/>
          <w:szCs w:val="24"/>
        </w:rPr>
        <w:t>, 20</w:t>
      </w:r>
      <w:r>
        <w:rPr>
          <w:rFonts w:ascii="Times New Roman" w:eastAsia="Times New Roman" w:hAnsi="Times New Roman" w:cs="Times New Roman"/>
          <w:sz w:val="24"/>
          <w:szCs w:val="24"/>
        </w:rPr>
        <w:t xml:space="preserve"> (2), 187–201.</w:t>
      </w:r>
    </w:p>
    <w:p w14:paraId="000000C8" w14:textId="77777777" w:rsidR="00A9261E" w:rsidRDefault="00000000">
      <w:pPr>
        <w:widowControl w:val="0"/>
        <w:spacing w:line="360" w:lineRule="auto"/>
        <w:ind w:firstLine="28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Honneth</w:t>
      </w:r>
      <w:proofErr w:type="spellEnd"/>
      <w:r>
        <w:rPr>
          <w:rFonts w:ascii="Times New Roman" w:eastAsia="Times New Roman" w:hAnsi="Times New Roman" w:cs="Times New Roman"/>
          <w:sz w:val="24"/>
          <w:szCs w:val="24"/>
        </w:rPr>
        <w:t xml:space="preserve">, A. (2003). </w:t>
      </w:r>
      <w:r>
        <w:rPr>
          <w:rFonts w:ascii="Times New Roman" w:eastAsia="Times New Roman" w:hAnsi="Times New Roman" w:cs="Times New Roman"/>
          <w:i/>
          <w:sz w:val="24"/>
          <w:szCs w:val="24"/>
        </w:rPr>
        <w:t>Luta por reconhecimento:</w:t>
      </w:r>
      <w:r>
        <w:rPr>
          <w:rFonts w:ascii="Times New Roman" w:eastAsia="Times New Roman" w:hAnsi="Times New Roman" w:cs="Times New Roman"/>
          <w:sz w:val="24"/>
          <w:szCs w:val="24"/>
        </w:rPr>
        <w:t xml:space="preserve"> a gramática moral dos conflitos sociais. (Tradução: Luiz </w:t>
      </w:r>
      <w:proofErr w:type="spellStart"/>
      <w:r>
        <w:rPr>
          <w:rFonts w:ascii="Times New Roman" w:eastAsia="Times New Roman" w:hAnsi="Times New Roman" w:cs="Times New Roman"/>
          <w:sz w:val="24"/>
          <w:szCs w:val="24"/>
        </w:rPr>
        <w:t>Repa</w:t>
      </w:r>
      <w:proofErr w:type="spellEnd"/>
      <w:r>
        <w:rPr>
          <w:rFonts w:ascii="Times New Roman" w:eastAsia="Times New Roman" w:hAnsi="Times New Roman" w:cs="Times New Roman"/>
          <w:sz w:val="24"/>
          <w:szCs w:val="24"/>
        </w:rPr>
        <w:t>). São Paulo: Editora 34.</w:t>
      </w:r>
    </w:p>
    <w:p w14:paraId="000000C9" w14:textId="77777777" w:rsidR="00A9261E" w:rsidRDefault="00000000">
      <w:pPr>
        <w:widowControl w:val="0"/>
        <w:spacing w:line="360" w:lineRule="auto"/>
        <w:ind w:firstLine="283"/>
        <w:jc w:val="both"/>
        <w:rPr>
          <w:rFonts w:ascii="Times New Roman" w:eastAsia="Times New Roman" w:hAnsi="Times New Roman" w:cs="Times New Roman"/>
          <w:color w:val="111111"/>
          <w:sz w:val="24"/>
          <w:szCs w:val="24"/>
        </w:rPr>
      </w:pPr>
      <w:proofErr w:type="spellStart"/>
      <w:r>
        <w:rPr>
          <w:rFonts w:ascii="Times New Roman" w:eastAsia="Times New Roman" w:hAnsi="Times New Roman" w:cs="Times New Roman"/>
          <w:color w:val="111111"/>
          <w:sz w:val="24"/>
          <w:szCs w:val="24"/>
        </w:rPr>
        <w:t>Honneth</w:t>
      </w:r>
      <w:proofErr w:type="spellEnd"/>
      <w:r>
        <w:rPr>
          <w:rFonts w:ascii="Times New Roman" w:eastAsia="Times New Roman" w:hAnsi="Times New Roman" w:cs="Times New Roman"/>
          <w:color w:val="111111"/>
          <w:sz w:val="24"/>
          <w:szCs w:val="24"/>
        </w:rPr>
        <w:t xml:space="preserve">, A. (2013). O eu no nós: reconhecimento como força motriz de grupos. </w:t>
      </w:r>
      <w:r>
        <w:rPr>
          <w:rFonts w:ascii="Times New Roman" w:eastAsia="Times New Roman" w:hAnsi="Times New Roman" w:cs="Times New Roman"/>
          <w:i/>
          <w:color w:val="111111"/>
          <w:sz w:val="24"/>
          <w:szCs w:val="24"/>
        </w:rPr>
        <w:t>Sociologias</w:t>
      </w:r>
      <w:r>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i/>
          <w:color w:val="111111"/>
          <w:sz w:val="24"/>
          <w:szCs w:val="24"/>
        </w:rPr>
        <w:t>15</w:t>
      </w:r>
      <w:r>
        <w:rPr>
          <w:rFonts w:ascii="Times New Roman" w:eastAsia="Times New Roman" w:hAnsi="Times New Roman" w:cs="Times New Roman"/>
          <w:color w:val="111111"/>
          <w:sz w:val="24"/>
          <w:szCs w:val="24"/>
        </w:rPr>
        <w:t xml:space="preserve">(33), 56–80. </w:t>
      </w:r>
      <w:hyperlink r:id="rId7">
        <w:r>
          <w:rPr>
            <w:rFonts w:ascii="Times New Roman" w:eastAsia="Times New Roman" w:hAnsi="Times New Roman" w:cs="Times New Roman"/>
            <w:color w:val="111111"/>
            <w:sz w:val="24"/>
            <w:szCs w:val="24"/>
            <w:u w:val="single"/>
          </w:rPr>
          <w:t>https://doi.org/10.1590/S1517-45222013000200003</w:t>
        </w:r>
      </w:hyperlink>
      <w:r>
        <w:rPr>
          <w:rFonts w:ascii="Times New Roman" w:eastAsia="Times New Roman" w:hAnsi="Times New Roman" w:cs="Times New Roman"/>
          <w:color w:val="111111"/>
          <w:sz w:val="24"/>
          <w:szCs w:val="24"/>
        </w:rPr>
        <w:t xml:space="preserve"> </w:t>
      </w:r>
    </w:p>
    <w:p w14:paraId="000000CA" w14:textId="77777777" w:rsidR="00A9261E" w:rsidRDefault="00000000">
      <w:pPr>
        <w:widowControl w:val="0"/>
        <w:spacing w:line="360" w:lineRule="auto"/>
        <w:ind w:firstLine="28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Inter-Agency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Standing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Committee</w:t>
      </w:r>
      <w:proofErr w:type="spellEnd"/>
      <w:r>
        <w:rPr>
          <w:rFonts w:ascii="Times New Roman" w:eastAsia="Times New Roman" w:hAnsi="Times New Roman" w:cs="Times New Roman"/>
          <w:sz w:val="24"/>
          <w:szCs w:val="24"/>
        </w:rPr>
        <w:t xml:space="preserve">. (2007). </w:t>
      </w:r>
      <w:r>
        <w:rPr>
          <w:rFonts w:ascii="Times New Roman" w:eastAsia="Times New Roman" w:hAnsi="Times New Roman" w:cs="Times New Roman"/>
          <w:i/>
          <w:sz w:val="24"/>
          <w:szCs w:val="24"/>
        </w:rPr>
        <w:t>Diretrizes do IASC sobre Saúde Mental e Apoio Psicossocial em emergências humanitárias</w:t>
      </w:r>
      <w:r>
        <w:rPr>
          <w:rFonts w:ascii="Times New Roman" w:eastAsia="Times New Roman" w:hAnsi="Times New Roman" w:cs="Times New Roman"/>
          <w:sz w:val="24"/>
          <w:szCs w:val="24"/>
        </w:rPr>
        <w:t xml:space="preserve">. Trad.: Márcio </w:t>
      </w:r>
      <w:proofErr w:type="spellStart"/>
      <w:r>
        <w:rPr>
          <w:rFonts w:ascii="Times New Roman" w:eastAsia="Times New Roman" w:hAnsi="Times New Roman" w:cs="Times New Roman"/>
          <w:sz w:val="24"/>
          <w:szCs w:val="24"/>
        </w:rPr>
        <w:t>Gagliato</w:t>
      </w:r>
      <w:proofErr w:type="spellEnd"/>
      <w:r>
        <w:rPr>
          <w:rFonts w:ascii="Times New Roman" w:eastAsia="Times New Roman" w:hAnsi="Times New Roman" w:cs="Times New Roman"/>
          <w:sz w:val="24"/>
          <w:szCs w:val="24"/>
        </w:rPr>
        <w:t>.</w:t>
      </w:r>
    </w:p>
    <w:p w14:paraId="000000CB" w14:textId="77777777" w:rsidR="00A9261E" w:rsidRDefault="00000000">
      <w:pPr>
        <w:widowControl w:val="0"/>
        <w:spacing w:line="360" w:lineRule="auto"/>
        <w:ind w:firstLine="283"/>
        <w:jc w:val="both"/>
        <w:rPr>
          <w:rFonts w:ascii="Times New Roman" w:eastAsia="Times New Roman" w:hAnsi="Times New Roman" w:cs="Times New Roman"/>
          <w:color w:val="111111"/>
          <w:sz w:val="24"/>
          <w:szCs w:val="24"/>
        </w:rPr>
      </w:pPr>
      <w:proofErr w:type="spellStart"/>
      <w:r>
        <w:rPr>
          <w:rFonts w:ascii="Times New Roman" w:eastAsia="Times New Roman" w:hAnsi="Times New Roman" w:cs="Times New Roman"/>
          <w:color w:val="111111"/>
          <w:sz w:val="24"/>
          <w:szCs w:val="24"/>
        </w:rPr>
        <w:t>Junger</w:t>
      </w:r>
      <w:proofErr w:type="spellEnd"/>
      <w:r>
        <w:rPr>
          <w:rFonts w:ascii="Times New Roman" w:eastAsia="Times New Roman" w:hAnsi="Times New Roman" w:cs="Times New Roman"/>
          <w:color w:val="111111"/>
          <w:sz w:val="24"/>
          <w:szCs w:val="24"/>
        </w:rPr>
        <w:t xml:space="preserve">, G., Cavalcanti, L., Oliveira, T., &amp; Silva, B. G. (2014). </w:t>
      </w:r>
      <w:r>
        <w:rPr>
          <w:rFonts w:ascii="Times New Roman" w:eastAsia="Times New Roman" w:hAnsi="Times New Roman" w:cs="Times New Roman"/>
          <w:i/>
          <w:color w:val="111111"/>
          <w:sz w:val="24"/>
          <w:szCs w:val="24"/>
        </w:rPr>
        <w:t>Refúgio em números</w:t>
      </w:r>
      <w:r>
        <w:rPr>
          <w:rFonts w:ascii="Times New Roman" w:eastAsia="Times New Roman" w:hAnsi="Times New Roman" w:cs="Times New Roman"/>
          <w:color w:val="111111"/>
          <w:sz w:val="24"/>
          <w:szCs w:val="24"/>
        </w:rPr>
        <w:t xml:space="preserve">. Brasília: </w:t>
      </w:r>
      <w:proofErr w:type="spellStart"/>
      <w:r>
        <w:rPr>
          <w:rFonts w:ascii="Times New Roman" w:eastAsia="Times New Roman" w:hAnsi="Times New Roman" w:cs="Times New Roman"/>
          <w:color w:val="111111"/>
          <w:sz w:val="24"/>
          <w:szCs w:val="24"/>
        </w:rPr>
        <w:t>OBMigra</w:t>
      </w:r>
      <w:proofErr w:type="spellEnd"/>
      <w:r>
        <w:rPr>
          <w:rFonts w:ascii="Times New Roman" w:eastAsia="Times New Roman" w:hAnsi="Times New Roman" w:cs="Times New Roman"/>
          <w:color w:val="111111"/>
          <w:sz w:val="24"/>
          <w:szCs w:val="24"/>
        </w:rPr>
        <w:t xml:space="preserve">, 7ª Ed. </w:t>
      </w:r>
      <w:hyperlink r:id="rId8">
        <w:r>
          <w:rPr>
            <w:rFonts w:ascii="Times New Roman" w:eastAsia="Times New Roman" w:hAnsi="Times New Roman" w:cs="Times New Roman"/>
            <w:color w:val="111111"/>
            <w:sz w:val="24"/>
            <w:szCs w:val="24"/>
            <w:u w:val="single"/>
          </w:rPr>
          <w:t>https://portaldeimigracao.mj.gov.br/pt/dados/refugio-em-numeros</w:t>
        </w:r>
      </w:hyperlink>
      <w:r>
        <w:rPr>
          <w:rFonts w:ascii="Times New Roman" w:eastAsia="Times New Roman" w:hAnsi="Times New Roman" w:cs="Times New Roman"/>
          <w:color w:val="111111"/>
          <w:sz w:val="24"/>
          <w:szCs w:val="24"/>
        </w:rPr>
        <w:t>.</w:t>
      </w:r>
    </w:p>
    <w:p w14:paraId="000000CC" w14:textId="77777777" w:rsidR="00A9261E" w:rsidRDefault="00000000">
      <w:pPr>
        <w:widowControl w:val="0"/>
        <w:spacing w:line="360" w:lineRule="auto"/>
        <w:ind w:firstLine="283"/>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Organização das Nações Unidas (1951). </w:t>
      </w:r>
      <w:r>
        <w:rPr>
          <w:rFonts w:ascii="Times New Roman" w:eastAsia="Times New Roman" w:hAnsi="Times New Roman" w:cs="Times New Roman"/>
          <w:i/>
          <w:color w:val="111111"/>
          <w:sz w:val="24"/>
          <w:szCs w:val="24"/>
        </w:rPr>
        <w:t>Convenção relativa ao estatuto dos refugiados</w:t>
      </w:r>
      <w:r>
        <w:rPr>
          <w:rFonts w:ascii="Times New Roman" w:eastAsia="Times New Roman" w:hAnsi="Times New Roman" w:cs="Times New Roman"/>
          <w:color w:val="111111"/>
          <w:sz w:val="24"/>
          <w:szCs w:val="24"/>
        </w:rPr>
        <w:t>.</w:t>
      </w:r>
    </w:p>
    <w:p w14:paraId="000000CD" w14:textId="77777777" w:rsidR="00A9261E" w:rsidRDefault="00000000">
      <w:pPr>
        <w:widowControl w:val="0"/>
        <w:spacing w:line="360" w:lineRule="auto"/>
        <w:ind w:firstLine="283"/>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Ramos, E., </w:t>
      </w:r>
      <w:proofErr w:type="spellStart"/>
      <w:r>
        <w:rPr>
          <w:rFonts w:ascii="Times New Roman" w:eastAsia="Times New Roman" w:hAnsi="Times New Roman" w:cs="Times New Roman"/>
          <w:color w:val="111111"/>
          <w:sz w:val="24"/>
          <w:szCs w:val="24"/>
        </w:rPr>
        <w:t>Donda</w:t>
      </w:r>
      <w:proofErr w:type="spellEnd"/>
      <w:r>
        <w:rPr>
          <w:rFonts w:ascii="Times New Roman" w:eastAsia="Times New Roman" w:hAnsi="Times New Roman" w:cs="Times New Roman"/>
          <w:color w:val="111111"/>
          <w:sz w:val="24"/>
          <w:szCs w:val="24"/>
        </w:rPr>
        <w:t xml:space="preserve">, E. O. C. S., &amp; Silva, R. C. (2017). Ação Humanitária. Cavalcanti, L., Botega, T., </w:t>
      </w:r>
      <w:proofErr w:type="spellStart"/>
      <w:r>
        <w:rPr>
          <w:rFonts w:ascii="Times New Roman" w:eastAsia="Times New Roman" w:hAnsi="Times New Roman" w:cs="Times New Roman"/>
          <w:color w:val="111111"/>
          <w:sz w:val="24"/>
          <w:szCs w:val="24"/>
        </w:rPr>
        <w:t>Tonhati</w:t>
      </w:r>
      <w:proofErr w:type="spellEnd"/>
      <w:r>
        <w:rPr>
          <w:rFonts w:ascii="Times New Roman" w:eastAsia="Times New Roman" w:hAnsi="Times New Roman" w:cs="Times New Roman"/>
          <w:color w:val="111111"/>
          <w:sz w:val="24"/>
          <w:szCs w:val="24"/>
        </w:rPr>
        <w:t>, T., Araújo, D. (</w:t>
      </w:r>
      <w:proofErr w:type="spellStart"/>
      <w:r>
        <w:rPr>
          <w:rFonts w:ascii="Times New Roman" w:eastAsia="Times New Roman" w:hAnsi="Times New Roman" w:cs="Times New Roman"/>
          <w:color w:val="111111"/>
          <w:sz w:val="24"/>
          <w:szCs w:val="24"/>
        </w:rPr>
        <w:t>Orgs</w:t>
      </w:r>
      <w:proofErr w:type="spellEnd"/>
      <w:r>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i/>
          <w:color w:val="111111"/>
          <w:sz w:val="24"/>
          <w:szCs w:val="24"/>
        </w:rPr>
        <w:t>Dicionário crítico de migrações internacionais</w:t>
      </w:r>
      <w:r>
        <w:rPr>
          <w:rFonts w:ascii="Times New Roman" w:eastAsia="Times New Roman" w:hAnsi="Times New Roman" w:cs="Times New Roman"/>
          <w:color w:val="111111"/>
          <w:sz w:val="24"/>
          <w:szCs w:val="24"/>
        </w:rPr>
        <w:t xml:space="preserve">. Brasília: UnB. </w:t>
      </w:r>
      <w:hyperlink r:id="rId9">
        <w:r>
          <w:rPr>
            <w:rFonts w:ascii="Times New Roman" w:eastAsia="Times New Roman" w:hAnsi="Times New Roman" w:cs="Times New Roman"/>
            <w:color w:val="111111"/>
            <w:sz w:val="24"/>
            <w:szCs w:val="24"/>
            <w:u w:val="single"/>
          </w:rPr>
          <w:t>https://doi.org/10.7476/9788523013400</w:t>
        </w:r>
      </w:hyperlink>
    </w:p>
    <w:p w14:paraId="000000CE" w14:textId="77777777" w:rsidR="00A9261E" w:rsidRDefault="00000000">
      <w:pPr>
        <w:widowControl w:val="0"/>
        <w:spacing w:line="360" w:lineRule="auto"/>
        <w:ind w:firstLine="283"/>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Rodrigues, A., </w:t>
      </w:r>
      <w:proofErr w:type="spellStart"/>
      <w:r>
        <w:rPr>
          <w:rFonts w:ascii="Times New Roman" w:eastAsia="Times New Roman" w:hAnsi="Times New Roman" w:cs="Times New Roman"/>
          <w:color w:val="111111"/>
          <w:sz w:val="24"/>
          <w:szCs w:val="24"/>
        </w:rPr>
        <w:t>Assmar</w:t>
      </w:r>
      <w:proofErr w:type="spellEnd"/>
      <w:r>
        <w:rPr>
          <w:rFonts w:ascii="Times New Roman" w:eastAsia="Times New Roman" w:hAnsi="Times New Roman" w:cs="Times New Roman"/>
          <w:color w:val="111111"/>
          <w:sz w:val="24"/>
          <w:szCs w:val="24"/>
        </w:rPr>
        <w:t xml:space="preserve">, E. M. L., &amp; </w:t>
      </w:r>
      <w:proofErr w:type="spellStart"/>
      <w:r>
        <w:rPr>
          <w:rFonts w:ascii="Times New Roman" w:eastAsia="Times New Roman" w:hAnsi="Times New Roman" w:cs="Times New Roman"/>
          <w:color w:val="111111"/>
          <w:sz w:val="24"/>
          <w:szCs w:val="24"/>
        </w:rPr>
        <w:t>Jablonski</w:t>
      </w:r>
      <w:proofErr w:type="spellEnd"/>
      <w:r>
        <w:rPr>
          <w:rFonts w:ascii="Times New Roman" w:eastAsia="Times New Roman" w:hAnsi="Times New Roman" w:cs="Times New Roman"/>
          <w:color w:val="111111"/>
          <w:sz w:val="24"/>
          <w:szCs w:val="24"/>
        </w:rPr>
        <w:t xml:space="preserve">, B. (2009). </w:t>
      </w:r>
      <w:r>
        <w:rPr>
          <w:rFonts w:ascii="Times New Roman" w:eastAsia="Times New Roman" w:hAnsi="Times New Roman" w:cs="Times New Roman"/>
          <w:i/>
          <w:color w:val="111111"/>
          <w:sz w:val="24"/>
          <w:szCs w:val="24"/>
        </w:rPr>
        <w:t>Psicologia social</w:t>
      </w:r>
      <w:r>
        <w:rPr>
          <w:rFonts w:ascii="Times New Roman" w:eastAsia="Times New Roman" w:hAnsi="Times New Roman" w:cs="Times New Roman"/>
          <w:color w:val="111111"/>
          <w:sz w:val="24"/>
          <w:szCs w:val="24"/>
        </w:rPr>
        <w:t>. Ed. Vozes.</w:t>
      </w:r>
    </w:p>
    <w:p w14:paraId="000000CF" w14:textId="77777777" w:rsidR="00A9261E" w:rsidRDefault="00000000">
      <w:pPr>
        <w:widowControl w:val="0"/>
        <w:spacing w:line="360" w:lineRule="auto"/>
        <w:ind w:firstLine="283"/>
        <w:jc w:val="both"/>
        <w:rPr>
          <w:rFonts w:ascii="Times New Roman" w:eastAsia="Times New Roman" w:hAnsi="Times New Roman" w:cs="Times New Roman"/>
          <w:color w:val="111111"/>
          <w:sz w:val="24"/>
          <w:szCs w:val="24"/>
        </w:rPr>
      </w:pPr>
      <w:r w:rsidRPr="00C8446F">
        <w:rPr>
          <w:rFonts w:ascii="Times New Roman" w:eastAsia="Times New Roman" w:hAnsi="Times New Roman" w:cs="Times New Roman"/>
          <w:color w:val="111111"/>
          <w:sz w:val="24"/>
          <w:szCs w:val="24"/>
          <w:lang w:val="en-US"/>
        </w:rPr>
        <w:t xml:space="preserve">Welton-Mitchell, C. E. (2013). </w:t>
      </w:r>
      <w:r w:rsidRPr="00C8446F">
        <w:rPr>
          <w:rFonts w:ascii="Times New Roman" w:eastAsia="Times New Roman" w:hAnsi="Times New Roman" w:cs="Times New Roman"/>
          <w:i/>
          <w:color w:val="111111"/>
          <w:sz w:val="24"/>
          <w:szCs w:val="24"/>
          <w:lang w:val="en-US"/>
        </w:rPr>
        <w:t>UNHCR’s mental health and psychosocial support</w:t>
      </w:r>
      <w:r w:rsidRPr="00C8446F">
        <w:rPr>
          <w:rFonts w:ascii="Times New Roman" w:eastAsia="Times New Roman" w:hAnsi="Times New Roman" w:cs="Times New Roman"/>
          <w:color w:val="111111"/>
          <w:sz w:val="24"/>
          <w:szCs w:val="24"/>
          <w:lang w:val="en-US"/>
        </w:rPr>
        <w:t>: For staff</w:t>
      </w:r>
      <w:r w:rsidRPr="00C8446F">
        <w:rPr>
          <w:rFonts w:ascii="Times New Roman" w:eastAsia="Times New Roman" w:hAnsi="Times New Roman" w:cs="Times New Roman"/>
          <w:i/>
          <w:color w:val="111111"/>
          <w:sz w:val="24"/>
          <w:szCs w:val="24"/>
          <w:lang w:val="en-US"/>
        </w:rPr>
        <w:t>.</w:t>
      </w:r>
      <w:r w:rsidRPr="00C8446F">
        <w:rPr>
          <w:rFonts w:ascii="Times New Roman" w:eastAsia="Times New Roman" w:hAnsi="Times New Roman" w:cs="Times New Roman"/>
          <w:color w:val="111111"/>
          <w:sz w:val="24"/>
          <w:szCs w:val="24"/>
          <w:lang w:val="en-US"/>
        </w:rPr>
        <w:t xml:space="preserve"> </w:t>
      </w:r>
      <w:r>
        <w:rPr>
          <w:rFonts w:ascii="Times New Roman" w:eastAsia="Times New Roman" w:hAnsi="Times New Roman" w:cs="Times New Roman"/>
          <w:color w:val="111111"/>
          <w:sz w:val="24"/>
          <w:szCs w:val="24"/>
        </w:rPr>
        <w:t xml:space="preserve">Genebra: Nações Unidas. </w:t>
      </w:r>
      <w:hyperlink r:id="rId10">
        <w:r>
          <w:rPr>
            <w:rFonts w:ascii="Times New Roman" w:eastAsia="Times New Roman" w:hAnsi="Times New Roman" w:cs="Times New Roman"/>
            <w:color w:val="111111"/>
            <w:sz w:val="24"/>
            <w:szCs w:val="24"/>
            <w:u w:val="single"/>
          </w:rPr>
          <w:t>https://www.unhcr.org/51f67bdc9.pdf</w:t>
        </w:r>
      </w:hyperlink>
      <w:r>
        <w:rPr>
          <w:rFonts w:ascii="Times New Roman" w:eastAsia="Times New Roman" w:hAnsi="Times New Roman" w:cs="Times New Roman"/>
          <w:color w:val="111111"/>
          <w:sz w:val="24"/>
          <w:szCs w:val="24"/>
        </w:rPr>
        <w:t xml:space="preserve"> </w:t>
      </w:r>
    </w:p>
    <w:sectPr w:rsidR="00A9261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8B272" w14:textId="77777777" w:rsidR="009D1A07" w:rsidRDefault="009D1A07">
      <w:pPr>
        <w:spacing w:line="240" w:lineRule="auto"/>
      </w:pPr>
      <w:r>
        <w:separator/>
      </w:r>
    </w:p>
  </w:endnote>
  <w:endnote w:type="continuationSeparator" w:id="0">
    <w:p w14:paraId="683EBB9E" w14:textId="77777777" w:rsidR="009D1A07" w:rsidRDefault="009D1A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CE11" w14:textId="77777777" w:rsidR="00C8446F" w:rsidRDefault="00C8446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8" w14:textId="68824F30" w:rsidR="00A9261E" w:rsidRDefault="0000000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C8446F">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7" w14:textId="77777777" w:rsidR="00A9261E" w:rsidRDefault="00A926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32885" w14:textId="77777777" w:rsidR="009D1A07" w:rsidRDefault="009D1A07">
      <w:pPr>
        <w:spacing w:line="240" w:lineRule="auto"/>
      </w:pPr>
      <w:r>
        <w:separator/>
      </w:r>
    </w:p>
  </w:footnote>
  <w:footnote w:type="continuationSeparator" w:id="0">
    <w:p w14:paraId="3241068B" w14:textId="77777777" w:rsidR="009D1A07" w:rsidRDefault="009D1A07">
      <w:pPr>
        <w:spacing w:line="240" w:lineRule="auto"/>
      </w:pPr>
      <w:r>
        <w:continuationSeparator/>
      </w:r>
    </w:p>
  </w:footnote>
  <w:footnote w:id="1">
    <w:p w14:paraId="000000D0" w14:textId="77777777" w:rsidR="00A9261E" w:rsidRDefault="00000000">
      <w:pPr>
        <w:spacing w:line="240" w:lineRule="auto"/>
        <w:jc w:val="both"/>
      </w:pPr>
      <w:r>
        <w:rPr>
          <w:vertAlign w:val="superscript"/>
        </w:rPr>
        <w:footnoteRef/>
      </w:r>
      <w:r>
        <w:rPr>
          <w:rFonts w:ascii="Times New Roman" w:eastAsia="Times New Roman" w:hAnsi="Times New Roman" w:cs="Times New Roman"/>
          <w:sz w:val="20"/>
          <w:szCs w:val="20"/>
        </w:rPr>
        <w:t xml:space="preserve"> UNHCR. </w:t>
      </w:r>
      <w:proofErr w:type="spellStart"/>
      <w:r>
        <w:rPr>
          <w:rFonts w:ascii="Times New Roman" w:eastAsia="Times New Roman" w:hAnsi="Times New Roman" w:cs="Times New Roman"/>
          <w:i/>
          <w:sz w:val="20"/>
          <w:szCs w:val="20"/>
        </w:rPr>
        <w:t>Solutions</w:t>
      </w:r>
      <w:proofErr w:type="spellEnd"/>
      <w:r>
        <w:rPr>
          <w:rFonts w:ascii="Times New Roman" w:eastAsia="Times New Roman" w:hAnsi="Times New Roman" w:cs="Times New Roman"/>
          <w:sz w:val="20"/>
          <w:szCs w:val="20"/>
        </w:rPr>
        <w:t>. Disponível: &lt;</w:t>
      </w:r>
      <w:hyperlink r:id="rId1">
        <w:r>
          <w:rPr>
            <w:rFonts w:ascii="Times New Roman" w:eastAsia="Times New Roman" w:hAnsi="Times New Roman" w:cs="Times New Roman"/>
            <w:color w:val="1155CC"/>
            <w:sz w:val="20"/>
            <w:szCs w:val="20"/>
            <w:u w:val="single"/>
          </w:rPr>
          <w:t>https://www.unhcr.org/solutions.html</w:t>
        </w:r>
      </w:hyperlink>
      <w:r>
        <w:rPr>
          <w:rFonts w:ascii="Times New Roman" w:eastAsia="Times New Roman" w:hAnsi="Times New Roman" w:cs="Times New Roman"/>
          <w:sz w:val="20"/>
          <w:szCs w:val="20"/>
        </w:rPr>
        <w:t xml:space="preserve">&gt; [05 </w:t>
      </w:r>
      <w:proofErr w:type="spellStart"/>
      <w:r>
        <w:rPr>
          <w:rFonts w:ascii="Times New Roman" w:eastAsia="Times New Roman" w:hAnsi="Times New Roman" w:cs="Times New Roman"/>
          <w:sz w:val="20"/>
          <w:szCs w:val="20"/>
        </w:rPr>
        <w:t>jul</w:t>
      </w:r>
      <w:proofErr w:type="spellEnd"/>
      <w:r>
        <w:rPr>
          <w:rFonts w:ascii="Times New Roman" w:eastAsia="Times New Roman" w:hAnsi="Times New Roman" w:cs="Times New Roman"/>
          <w:sz w:val="20"/>
          <w:szCs w:val="20"/>
        </w:rPr>
        <w:t xml:space="preserve"> 19]</w:t>
      </w:r>
    </w:p>
  </w:footnote>
  <w:footnote w:id="2">
    <w:p w14:paraId="000000D1" w14:textId="77777777" w:rsidR="00A9261E" w:rsidRDefault="00000000">
      <w:pPr>
        <w:spacing w:line="240" w:lineRule="auto"/>
        <w:jc w:val="both"/>
      </w:pPr>
      <w:r>
        <w:rPr>
          <w:vertAlign w:val="superscript"/>
        </w:rPr>
        <w:footnoteRef/>
      </w:r>
      <w:r>
        <w:rPr>
          <w:rFonts w:ascii="Times New Roman" w:eastAsia="Times New Roman" w:hAnsi="Times New Roman" w:cs="Times New Roman"/>
          <w:sz w:val="20"/>
          <w:szCs w:val="20"/>
        </w:rPr>
        <w:t xml:space="preserve"> Inclui 5,3 milhões sob mandato da Agência das Nações Unidas de Assistência aos Refugiados Palestinos (sigla no original, em </w:t>
      </w:r>
      <w:proofErr w:type="gramStart"/>
      <w:r>
        <w:rPr>
          <w:rFonts w:ascii="Times New Roman" w:eastAsia="Times New Roman" w:hAnsi="Times New Roman" w:cs="Times New Roman"/>
          <w:sz w:val="20"/>
          <w:szCs w:val="20"/>
        </w:rPr>
        <w:t>Inglês</w:t>
      </w:r>
      <w:proofErr w:type="gramEnd"/>
      <w:r>
        <w:rPr>
          <w:rFonts w:ascii="Times New Roman" w:eastAsia="Times New Roman" w:hAnsi="Times New Roman" w:cs="Times New Roman"/>
          <w:sz w:val="20"/>
          <w:szCs w:val="20"/>
        </w:rPr>
        <w:t>: UNRWA).</w:t>
      </w:r>
    </w:p>
  </w:footnote>
  <w:footnote w:id="3">
    <w:p w14:paraId="000000D2" w14:textId="77777777" w:rsidR="00A9261E" w:rsidRPr="00C8446F" w:rsidRDefault="00000000">
      <w:pPr>
        <w:spacing w:line="240" w:lineRule="auto"/>
        <w:rPr>
          <w:lang w:val="en-US"/>
        </w:rPr>
      </w:pPr>
      <w:r>
        <w:rPr>
          <w:vertAlign w:val="superscript"/>
        </w:rPr>
        <w:footnoteRef/>
      </w:r>
      <w:r w:rsidRPr="00C8446F">
        <w:rPr>
          <w:rFonts w:ascii="Times New Roman" w:eastAsia="Times New Roman" w:hAnsi="Times New Roman" w:cs="Times New Roman"/>
          <w:sz w:val="20"/>
          <w:szCs w:val="20"/>
          <w:lang w:val="en-US"/>
        </w:rPr>
        <w:t xml:space="preserve"> </w:t>
      </w:r>
      <w:r w:rsidRPr="00C8446F">
        <w:rPr>
          <w:rFonts w:ascii="Times New Roman" w:eastAsia="Times New Roman" w:hAnsi="Times New Roman" w:cs="Times New Roman"/>
          <w:sz w:val="20"/>
          <w:szCs w:val="20"/>
          <w:lang w:val="en-US"/>
        </w:rPr>
        <w:t>No original, em Inglês: “</w:t>
      </w:r>
      <w:r w:rsidRPr="00C8446F">
        <w:rPr>
          <w:rFonts w:ascii="Times New Roman" w:eastAsia="Times New Roman" w:hAnsi="Times New Roman" w:cs="Times New Roman"/>
          <w:i/>
          <w:sz w:val="20"/>
          <w:szCs w:val="20"/>
          <w:lang w:val="en-US"/>
        </w:rPr>
        <w:t>For the SIR purposes, refugee camps are settlements which have been established for more than 6 months and have at least 2.500 individuals.</w:t>
      </w:r>
      <w:r w:rsidRPr="00C8446F">
        <w:rPr>
          <w:rFonts w:ascii="Times New Roman" w:eastAsia="Times New Roman" w:hAnsi="Times New Roman" w:cs="Times New Roman"/>
          <w:sz w:val="20"/>
          <w:szCs w:val="20"/>
          <w:lang w:val="en-US"/>
        </w:rPr>
        <w:t>” Tradução livre.</w:t>
      </w:r>
    </w:p>
  </w:footnote>
  <w:footnote w:id="4">
    <w:p w14:paraId="000000D3" w14:textId="77777777" w:rsidR="00A9261E" w:rsidRPr="00C8446F" w:rsidRDefault="00000000">
      <w:pPr>
        <w:spacing w:line="240" w:lineRule="auto"/>
        <w:jc w:val="both"/>
        <w:rPr>
          <w:lang w:val="en-US"/>
        </w:rPr>
      </w:pPr>
      <w:r>
        <w:rPr>
          <w:vertAlign w:val="superscript"/>
        </w:rPr>
        <w:footnoteRef/>
      </w:r>
      <w:r w:rsidRPr="00C8446F">
        <w:rPr>
          <w:rFonts w:ascii="Times New Roman" w:eastAsia="Times New Roman" w:hAnsi="Times New Roman" w:cs="Times New Roman"/>
          <w:sz w:val="20"/>
          <w:szCs w:val="20"/>
          <w:lang w:val="en-US"/>
        </w:rPr>
        <w:t xml:space="preserve"> No original: “</w:t>
      </w:r>
      <w:r w:rsidRPr="00C8446F">
        <w:rPr>
          <w:rFonts w:ascii="Times New Roman" w:eastAsia="Times New Roman" w:hAnsi="Times New Roman" w:cs="Times New Roman"/>
          <w:i/>
          <w:sz w:val="20"/>
          <w:szCs w:val="20"/>
          <w:lang w:val="en-US"/>
        </w:rPr>
        <w:t>Using a crude measure of refugee populations of 25,000 persons or more who have been in exile for five or more years in developing countries, and excluding Palestinian refugees</w:t>
      </w:r>
      <w:r w:rsidRPr="00C8446F">
        <w:rPr>
          <w:rFonts w:ascii="Times New Roman" w:eastAsia="Times New Roman" w:hAnsi="Times New Roman" w:cs="Times New Roman"/>
          <w:sz w:val="20"/>
          <w:szCs w:val="20"/>
          <w:lang w:val="en-US"/>
        </w:rPr>
        <w:t>”. Tradução livre.</w:t>
      </w:r>
    </w:p>
  </w:footnote>
  <w:footnote w:id="5">
    <w:p w14:paraId="000000D4" w14:textId="77777777" w:rsidR="00A9261E" w:rsidRPr="00C8446F" w:rsidRDefault="00000000">
      <w:pPr>
        <w:spacing w:line="240" w:lineRule="auto"/>
        <w:jc w:val="both"/>
        <w:rPr>
          <w:rFonts w:ascii="Times New Roman" w:eastAsia="Times New Roman" w:hAnsi="Times New Roman" w:cs="Times New Roman"/>
          <w:sz w:val="20"/>
          <w:szCs w:val="20"/>
          <w:lang w:val="en-US"/>
        </w:rPr>
      </w:pPr>
      <w:r>
        <w:rPr>
          <w:vertAlign w:val="superscript"/>
        </w:rPr>
        <w:footnoteRef/>
      </w:r>
      <w:r w:rsidRPr="00C8446F">
        <w:rPr>
          <w:rFonts w:ascii="Times New Roman" w:eastAsia="Times New Roman" w:hAnsi="Times New Roman" w:cs="Times New Roman"/>
          <w:sz w:val="20"/>
          <w:szCs w:val="20"/>
          <w:lang w:val="en-US"/>
        </w:rPr>
        <w:t xml:space="preserve"> UNHCR Operational Data Portal: Refugee Situations. </w:t>
      </w:r>
      <w:r w:rsidRPr="00C8446F">
        <w:rPr>
          <w:rFonts w:ascii="Times New Roman" w:eastAsia="Times New Roman" w:hAnsi="Times New Roman" w:cs="Times New Roman"/>
          <w:i/>
          <w:sz w:val="20"/>
          <w:szCs w:val="20"/>
          <w:lang w:val="en-US"/>
        </w:rPr>
        <w:t>Partners List</w:t>
      </w:r>
      <w:r w:rsidRPr="00C8446F">
        <w:rPr>
          <w:rFonts w:ascii="Times New Roman" w:eastAsia="Times New Roman" w:hAnsi="Times New Roman" w:cs="Times New Roman"/>
          <w:sz w:val="20"/>
          <w:szCs w:val="20"/>
          <w:lang w:val="en-US"/>
        </w:rPr>
        <w:t>. &lt;</w:t>
      </w:r>
      <w:hyperlink r:id="rId2">
        <w:r w:rsidRPr="00C8446F">
          <w:rPr>
            <w:rFonts w:ascii="Times New Roman" w:eastAsia="Times New Roman" w:hAnsi="Times New Roman" w:cs="Times New Roman"/>
            <w:color w:val="1155CC"/>
            <w:sz w:val="20"/>
            <w:szCs w:val="20"/>
            <w:u w:val="single"/>
            <w:lang w:val="en-US"/>
          </w:rPr>
          <w:t>https://data.unhcr.org/en/partners</w:t>
        </w:r>
      </w:hyperlink>
      <w:r w:rsidRPr="00C8446F">
        <w:rPr>
          <w:rFonts w:ascii="Times New Roman" w:eastAsia="Times New Roman" w:hAnsi="Times New Roman" w:cs="Times New Roman"/>
          <w:sz w:val="20"/>
          <w:szCs w:val="20"/>
          <w:lang w:val="en-US"/>
        </w:rPr>
        <w:t>&gt; [18 ago 2022].</w:t>
      </w:r>
    </w:p>
  </w:footnote>
  <w:footnote w:id="6">
    <w:p w14:paraId="000000D5" w14:textId="77777777" w:rsidR="00A9261E" w:rsidRPr="00C8446F" w:rsidRDefault="00000000">
      <w:pPr>
        <w:spacing w:line="240" w:lineRule="auto"/>
        <w:jc w:val="both"/>
        <w:rPr>
          <w:rFonts w:ascii="Times New Roman" w:eastAsia="Times New Roman" w:hAnsi="Times New Roman" w:cs="Times New Roman"/>
          <w:sz w:val="20"/>
          <w:szCs w:val="20"/>
          <w:lang w:val="en-US"/>
        </w:rPr>
      </w:pPr>
      <w:r>
        <w:rPr>
          <w:vertAlign w:val="superscript"/>
        </w:rPr>
        <w:footnoteRef/>
      </w:r>
      <w:r w:rsidRPr="00C8446F">
        <w:rPr>
          <w:rFonts w:ascii="Times New Roman" w:eastAsia="Times New Roman" w:hAnsi="Times New Roman" w:cs="Times New Roman"/>
          <w:sz w:val="20"/>
          <w:szCs w:val="20"/>
          <w:lang w:val="en-US"/>
        </w:rPr>
        <w:t xml:space="preserve"> No original, em Inglês: “Thematic analysis is a method for identifying, analysing, and reporting patterns (themes) within data.”</w:t>
      </w:r>
    </w:p>
  </w:footnote>
  <w:footnote w:id="7">
    <w:p w14:paraId="000000D6" w14:textId="77777777" w:rsidR="00A9261E" w:rsidRPr="00C8446F" w:rsidRDefault="00000000">
      <w:pPr>
        <w:spacing w:line="240" w:lineRule="auto"/>
        <w:jc w:val="both"/>
        <w:rPr>
          <w:rFonts w:ascii="Times New Roman" w:eastAsia="Times New Roman" w:hAnsi="Times New Roman" w:cs="Times New Roman"/>
          <w:sz w:val="20"/>
          <w:szCs w:val="20"/>
          <w:lang w:val="en-US"/>
        </w:rPr>
      </w:pPr>
      <w:r>
        <w:rPr>
          <w:vertAlign w:val="superscript"/>
        </w:rPr>
        <w:footnoteRef/>
      </w:r>
      <w:r w:rsidRPr="00C8446F">
        <w:rPr>
          <w:rFonts w:ascii="Times New Roman" w:eastAsia="Times New Roman" w:hAnsi="Times New Roman" w:cs="Times New Roman"/>
          <w:sz w:val="20"/>
          <w:szCs w:val="20"/>
          <w:lang w:val="en-US"/>
        </w:rPr>
        <w:t xml:space="preserve"> No original e na íntegra: “For many moral philosophers the central focus is on how people ought to behave; mine is on how they </w:t>
      </w:r>
      <w:r w:rsidRPr="00C8446F">
        <w:rPr>
          <w:rFonts w:ascii="Times New Roman" w:eastAsia="Times New Roman" w:hAnsi="Times New Roman" w:cs="Times New Roman"/>
          <w:i/>
          <w:sz w:val="20"/>
          <w:szCs w:val="20"/>
          <w:lang w:val="en-US"/>
        </w:rPr>
        <w:t xml:space="preserve">think </w:t>
      </w:r>
      <w:r w:rsidRPr="00C8446F">
        <w:rPr>
          <w:rFonts w:ascii="Times New Roman" w:eastAsia="Times New Roman" w:hAnsi="Times New Roman" w:cs="Times New Roman"/>
          <w:sz w:val="20"/>
          <w:szCs w:val="20"/>
          <w:lang w:val="en-US"/>
        </w:rPr>
        <w:t xml:space="preserve">they should behave and how they </w:t>
      </w:r>
      <w:r w:rsidRPr="00C8446F">
        <w:rPr>
          <w:rFonts w:ascii="Times New Roman" w:eastAsia="Times New Roman" w:hAnsi="Times New Roman" w:cs="Times New Roman"/>
          <w:i/>
          <w:sz w:val="20"/>
          <w:szCs w:val="20"/>
          <w:lang w:val="en-US"/>
        </w:rPr>
        <w:t xml:space="preserve">actually </w:t>
      </w:r>
      <w:r w:rsidRPr="00C8446F">
        <w:rPr>
          <w:rFonts w:ascii="Times New Roman" w:eastAsia="Times New Roman" w:hAnsi="Times New Roman" w:cs="Times New Roman"/>
          <w:sz w:val="20"/>
          <w:szCs w:val="20"/>
          <w:lang w:val="en-US"/>
        </w:rPr>
        <w:t xml:space="preserve">behave”. </w:t>
      </w:r>
      <w:r w:rsidRPr="00C8446F">
        <w:rPr>
          <w:rFonts w:ascii="Times New Roman" w:eastAsia="Times New Roman" w:hAnsi="Times New Roman" w:cs="Times New Roman"/>
          <w:i/>
          <w:sz w:val="20"/>
          <w:szCs w:val="20"/>
          <w:lang w:val="en-US"/>
        </w:rPr>
        <w:t>Grifos</w:t>
      </w:r>
      <w:r w:rsidRPr="00C8446F">
        <w:rPr>
          <w:rFonts w:ascii="Times New Roman" w:eastAsia="Times New Roman" w:hAnsi="Times New Roman" w:cs="Times New Roman"/>
          <w:sz w:val="20"/>
          <w:szCs w:val="20"/>
          <w:lang w:val="en-US"/>
        </w:rPr>
        <w:t xml:space="preserve"> no original.</w:t>
      </w:r>
    </w:p>
  </w:footnote>
  <w:footnote w:id="8">
    <w:p w14:paraId="000000D9" w14:textId="77777777" w:rsidR="00A9261E" w:rsidRPr="00C8446F" w:rsidRDefault="00000000">
      <w:pPr>
        <w:spacing w:line="240" w:lineRule="auto"/>
        <w:jc w:val="both"/>
        <w:rPr>
          <w:rFonts w:ascii="Times New Roman" w:eastAsia="Times New Roman" w:hAnsi="Times New Roman" w:cs="Times New Roman"/>
          <w:sz w:val="20"/>
          <w:szCs w:val="20"/>
          <w:lang w:val="en-US"/>
        </w:rPr>
      </w:pPr>
      <w:r>
        <w:rPr>
          <w:vertAlign w:val="superscript"/>
        </w:rPr>
        <w:footnoteRef/>
      </w:r>
      <w:r w:rsidRPr="00C8446F">
        <w:rPr>
          <w:rFonts w:ascii="Times New Roman" w:eastAsia="Times New Roman" w:hAnsi="Times New Roman" w:cs="Times New Roman"/>
          <w:sz w:val="20"/>
          <w:szCs w:val="20"/>
          <w:lang w:val="en-US"/>
        </w:rPr>
        <w:t xml:space="preserve"> No original: “. . . the other as object, the other as evaluator, and the other as an individual.”</w:t>
      </w:r>
    </w:p>
  </w:footnote>
  <w:footnote w:id="9">
    <w:p w14:paraId="000000DA" w14:textId="77777777" w:rsidR="00A9261E" w:rsidRPr="00C8446F" w:rsidRDefault="00000000">
      <w:pPr>
        <w:spacing w:line="240" w:lineRule="auto"/>
        <w:rPr>
          <w:rFonts w:ascii="Times New Roman" w:eastAsia="Times New Roman" w:hAnsi="Times New Roman" w:cs="Times New Roman"/>
          <w:sz w:val="20"/>
          <w:szCs w:val="20"/>
          <w:lang w:val="en-US"/>
        </w:rPr>
      </w:pPr>
      <w:r>
        <w:rPr>
          <w:vertAlign w:val="superscript"/>
        </w:rPr>
        <w:footnoteRef/>
      </w:r>
      <w:r w:rsidRPr="00C8446F">
        <w:rPr>
          <w:rFonts w:ascii="Times New Roman" w:eastAsia="Times New Roman" w:hAnsi="Times New Roman" w:cs="Times New Roman"/>
          <w:sz w:val="20"/>
          <w:szCs w:val="20"/>
          <w:lang w:val="en-US"/>
        </w:rPr>
        <w:t xml:space="preserve"> No original: “The orientation to the other as individual . . . involves recognizing the other as a person in her or his own right, a person with needs, desires, and goals of his or her own.”</w:t>
      </w:r>
    </w:p>
  </w:footnote>
  <w:footnote w:id="10">
    <w:p w14:paraId="000000DB" w14:textId="77777777" w:rsidR="00A9261E" w:rsidRPr="00C8446F" w:rsidRDefault="00000000">
      <w:pPr>
        <w:spacing w:line="240" w:lineRule="auto"/>
        <w:jc w:val="both"/>
        <w:rPr>
          <w:rFonts w:ascii="Times New Roman" w:eastAsia="Times New Roman" w:hAnsi="Times New Roman" w:cs="Times New Roman"/>
          <w:sz w:val="20"/>
          <w:szCs w:val="20"/>
          <w:lang w:val="en-US"/>
        </w:rPr>
      </w:pPr>
      <w:r>
        <w:rPr>
          <w:vertAlign w:val="superscript"/>
        </w:rPr>
        <w:footnoteRef/>
      </w:r>
      <w:r w:rsidRPr="00C8446F">
        <w:rPr>
          <w:rFonts w:ascii="Times New Roman" w:eastAsia="Times New Roman" w:hAnsi="Times New Roman" w:cs="Times New Roman"/>
          <w:sz w:val="20"/>
          <w:szCs w:val="20"/>
          <w:lang w:val="en-US"/>
        </w:rPr>
        <w:t xml:space="preserve"> No original e na íntegra: “Without realizing it, Bloch avails himself of a normative theory of mutual recognition. According to this theory, the integrity of human subjects, vulnerable as they are to injury through insult and disrespect, depends on their receiving approval and respect from others.”</w:t>
      </w:r>
    </w:p>
  </w:footnote>
  <w:footnote w:id="11">
    <w:p w14:paraId="000000DC" w14:textId="77777777" w:rsidR="00A9261E" w:rsidRPr="00C8446F" w:rsidRDefault="00000000">
      <w:pPr>
        <w:spacing w:line="240" w:lineRule="auto"/>
        <w:jc w:val="both"/>
        <w:rPr>
          <w:rFonts w:ascii="Times New Roman" w:eastAsia="Times New Roman" w:hAnsi="Times New Roman" w:cs="Times New Roman"/>
          <w:sz w:val="20"/>
          <w:szCs w:val="20"/>
          <w:lang w:val="en-US"/>
        </w:rPr>
      </w:pPr>
      <w:r>
        <w:rPr>
          <w:vertAlign w:val="superscript"/>
        </w:rPr>
        <w:footnoteRef/>
      </w:r>
      <w:r w:rsidRPr="00C8446F">
        <w:rPr>
          <w:rFonts w:ascii="Times New Roman" w:eastAsia="Times New Roman" w:hAnsi="Times New Roman" w:cs="Times New Roman"/>
          <w:sz w:val="20"/>
          <w:szCs w:val="20"/>
          <w:lang w:val="en-US"/>
        </w:rPr>
        <w:t xml:space="preserve"> No original: “. . . the various forms of disrespect for psychological integrity take on the same negative role that organic diseases play in the context of body processes.”</w:t>
      </w:r>
    </w:p>
  </w:footnote>
  <w:footnote w:id="12">
    <w:p w14:paraId="000000DD" w14:textId="77777777" w:rsidR="00A9261E" w:rsidRPr="00C8446F" w:rsidRDefault="00000000">
      <w:pPr>
        <w:spacing w:line="240" w:lineRule="auto"/>
        <w:jc w:val="both"/>
        <w:rPr>
          <w:rFonts w:ascii="Times New Roman" w:eastAsia="Times New Roman" w:hAnsi="Times New Roman" w:cs="Times New Roman"/>
          <w:sz w:val="20"/>
          <w:szCs w:val="20"/>
          <w:lang w:val="en-US"/>
        </w:rPr>
      </w:pPr>
      <w:r>
        <w:rPr>
          <w:vertAlign w:val="superscript"/>
        </w:rPr>
        <w:footnoteRef/>
      </w:r>
      <w:r w:rsidRPr="00C8446F">
        <w:rPr>
          <w:rFonts w:ascii="Times New Roman" w:eastAsia="Times New Roman" w:hAnsi="Times New Roman" w:cs="Times New Roman"/>
          <w:sz w:val="20"/>
          <w:szCs w:val="20"/>
          <w:lang w:val="en-US"/>
        </w:rPr>
        <w:t xml:space="preserve"> No original e na íntegra: “Developmentally, 'good' and 'bad' behaviour are two sides of the same coin, which predominates depending largely on the vicissitudes of experience.”</w:t>
      </w:r>
    </w:p>
  </w:footnote>
  <w:footnote w:id="13">
    <w:p w14:paraId="000000DE" w14:textId="77777777" w:rsidR="00A9261E" w:rsidRPr="00C8446F" w:rsidRDefault="00000000">
      <w:pPr>
        <w:spacing w:line="240" w:lineRule="auto"/>
        <w:jc w:val="both"/>
        <w:rPr>
          <w:rFonts w:ascii="Times New Roman" w:eastAsia="Times New Roman" w:hAnsi="Times New Roman" w:cs="Times New Roman"/>
          <w:sz w:val="20"/>
          <w:szCs w:val="20"/>
          <w:lang w:val="en-US"/>
        </w:rPr>
      </w:pPr>
      <w:r>
        <w:rPr>
          <w:vertAlign w:val="superscript"/>
        </w:rPr>
        <w:footnoteRef/>
      </w:r>
      <w:r w:rsidRPr="00C8446F">
        <w:rPr>
          <w:rFonts w:ascii="Times New Roman" w:eastAsia="Times New Roman" w:hAnsi="Times New Roman" w:cs="Times New Roman"/>
          <w:sz w:val="20"/>
          <w:szCs w:val="20"/>
          <w:lang w:val="en-US"/>
        </w:rPr>
        <w:t xml:space="preserve"> No original: “Several classical studies on situational variables have demonstrated that with an increasing number of  (passive) bystanders the likelihood that individuals will help decreases, whereas observation of bystanders actively helping increases the prosocial tendency”.</w:t>
      </w:r>
    </w:p>
  </w:footnote>
  <w:footnote w:id="14">
    <w:p w14:paraId="000000DF" w14:textId="77777777" w:rsidR="00A9261E" w:rsidRPr="00C8446F" w:rsidRDefault="00000000">
      <w:pPr>
        <w:spacing w:line="240" w:lineRule="auto"/>
        <w:jc w:val="both"/>
        <w:rPr>
          <w:rFonts w:ascii="Times New Roman" w:eastAsia="Times New Roman" w:hAnsi="Times New Roman" w:cs="Times New Roman"/>
          <w:sz w:val="20"/>
          <w:szCs w:val="20"/>
          <w:lang w:val="en-US"/>
        </w:rPr>
      </w:pPr>
      <w:r>
        <w:rPr>
          <w:vertAlign w:val="superscript"/>
        </w:rPr>
        <w:footnoteRef/>
      </w:r>
      <w:r w:rsidRPr="00C8446F">
        <w:rPr>
          <w:rFonts w:ascii="Times New Roman" w:eastAsia="Times New Roman" w:hAnsi="Times New Roman" w:cs="Times New Roman"/>
          <w:sz w:val="20"/>
          <w:szCs w:val="20"/>
          <w:lang w:val="en-US"/>
        </w:rPr>
        <w:t xml:space="preserve"> No original: “Although often blamed for antisocial effects, the mass media nevertheless offer a global network which enhances woldwide communication, enabling the recipient to become acquainted with and even to participate in other groups and other cultures, thereby reducing their strangeness.”</w:t>
      </w:r>
    </w:p>
  </w:footnote>
  <w:footnote w:id="15">
    <w:p w14:paraId="000000E0" w14:textId="77777777" w:rsidR="00A9261E" w:rsidRPr="00C8446F" w:rsidRDefault="00000000">
      <w:pPr>
        <w:spacing w:line="240" w:lineRule="auto"/>
        <w:jc w:val="both"/>
        <w:rPr>
          <w:rFonts w:ascii="Times New Roman" w:eastAsia="Times New Roman" w:hAnsi="Times New Roman" w:cs="Times New Roman"/>
          <w:sz w:val="20"/>
          <w:szCs w:val="20"/>
          <w:lang w:val="en-US"/>
        </w:rPr>
      </w:pPr>
      <w:r>
        <w:rPr>
          <w:vertAlign w:val="superscript"/>
        </w:rPr>
        <w:footnoteRef/>
      </w:r>
      <w:r w:rsidRPr="00C8446F">
        <w:rPr>
          <w:rFonts w:ascii="Times New Roman" w:eastAsia="Times New Roman" w:hAnsi="Times New Roman" w:cs="Times New Roman"/>
          <w:sz w:val="20"/>
          <w:szCs w:val="20"/>
          <w:lang w:val="en-US"/>
        </w:rPr>
        <w:t xml:space="preserve"> No original: “What the papers do not report are the innumerable acts of kindness and cooperation that most of us receive every day.”</w:t>
      </w:r>
    </w:p>
  </w:footnote>
  <w:footnote w:id="16">
    <w:p w14:paraId="000000E1" w14:textId="77777777" w:rsidR="00A9261E" w:rsidRPr="00C8446F" w:rsidRDefault="00000000">
      <w:pPr>
        <w:spacing w:line="240" w:lineRule="auto"/>
        <w:rPr>
          <w:rFonts w:ascii="Times New Roman" w:eastAsia="Times New Roman" w:hAnsi="Times New Roman" w:cs="Times New Roman"/>
          <w:sz w:val="20"/>
          <w:szCs w:val="20"/>
          <w:lang w:val="en-US"/>
        </w:rPr>
      </w:pPr>
      <w:r>
        <w:rPr>
          <w:vertAlign w:val="superscript"/>
        </w:rPr>
        <w:footnoteRef/>
      </w:r>
      <w:r w:rsidRPr="00C8446F">
        <w:rPr>
          <w:rFonts w:ascii="Times New Roman" w:eastAsia="Times New Roman" w:hAnsi="Times New Roman" w:cs="Times New Roman"/>
          <w:sz w:val="20"/>
          <w:szCs w:val="20"/>
          <w:lang w:val="en-US"/>
        </w:rPr>
        <w:t xml:space="preserve"> No original: “Confidence that beliefs and values are shared may be essential for trust and commitment”.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38E54" w14:textId="77777777" w:rsidR="00C8446F" w:rsidRDefault="00C8446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BA87" w14:textId="77777777" w:rsidR="00C8446F" w:rsidRDefault="00C8446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9477" w14:textId="77777777" w:rsidR="00C8446F" w:rsidRDefault="00C8446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1E"/>
    <w:rsid w:val="009D1A07"/>
    <w:rsid w:val="00A9261E"/>
    <w:rsid w:val="00C844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BAF3860-DA22-4B40-9924-BE557386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C8446F"/>
    <w:pPr>
      <w:tabs>
        <w:tab w:val="center" w:pos="4252"/>
        <w:tab w:val="right" w:pos="8504"/>
      </w:tabs>
      <w:spacing w:line="240" w:lineRule="auto"/>
    </w:pPr>
  </w:style>
  <w:style w:type="character" w:customStyle="1" w:styleId="CabealhoChar">
    <w:name w:val="Cabeçalho Char"/>
    <w:basedOn w:val="Fontepargpadro"/>
    <w:link w:val="Cabealho"/>
    <w:uiPriority w:val="99"/>
    <w:rsid w:val="00C8446F"/>
  </w:style>
  <w:style w:type="paragraph" w:styleId="Rodap">
    <w:name w:val="footer"/>
    <w:basedOn w:val="Normal"/>
    <w:link w:val="RodapChar"/>
    <w:uiPriority w:val="99"/>
    <w:unhideWhenUsed/>
    <w:rsid w:val="00C8446F"/>
    <w:pPr>
      <w:tabs>
        <w:tab w:val="center" w:pos="4252"/>
        <w:tab w:val="right" w:pos="8504"/>
      </w:tabs>
      <w:spacing w:line="240" w:lineRule="auto"/>
    </w:pPr>
  </w:style>
  <w:style w:type="character" w:customStyle="1" w:styleId="RodapChar">
    <w:name w:val="Rodapé Char"/>
    <w:basedOn w:val="Fontepargpadro"/>
    <w:link w:val="Rodap"/>
    <w:uiPriority w:val="99"/>
    <w:rsid w:val="00C84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ortaldeimigracao.mj.gov.br/pt/dados/refugio-em-numero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590/S1517-45222013000200003"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doi.org/10.11606/T.6.2019.tde-21032019-170435"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unhcr.org/51f67bdc9.pdf" TargetMode="External"/><Relationship Id="rId4" Type="http://schemas.openxmlformats.org/officeDocument/2006/relationships/footnotes" Target="footnotes.xml"/><Relationship Id="rId9" Type="http://schemas.openxmlformats.org/officeDocument/2006/relationships/hyperlink" Target="https://doi.org/10.7476/9788523013400"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data.unhcr.org/en/partners" TargetMode="External"/><Relationship Id="rId1" Type="http://schemas.openxmlformats.org/officeDocument/2006/relationships/hyperlink" Target="https://www.unhcr.org/solu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8944</Words>
  <Characters>48301</Characters>
  <Application>Microsoft Office Word</Application>
  <DocSecurity>0</DocSecurity>
  <Lines>402</Lines>
  <Paragraphs>114</Paragraphs>
  <ScaleCrop>false</ScaleCrop>
  <Company/>
  <LinksUpToDate>false</LinksUpToDate>
  <CharactersWithSpaces>57131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aldenorbsjpsi@gmail.com</cp:lastModifiedBy>
  <cp:revision>2</cp:revision>
  <dcterms:created xsi:type="dcterms:W3CDTF">2023-09-10T20:23:00Z</dcterms:created>
  <dcterms:modified xsi:type="dcterms:W3CDTF">2023-09-10T20:30:00Z</dcterms:modified>
</cp:coreProperties>
</file>