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1149B" w14:textId="2A2FB2B8" w:rsidR="008E17AF" w:rsidRPr="00A6767D" w:rsidRDefault="00A6767D" w:rsidP="00C94766">
      <w:pPr>
        <w:pStyle w:val="Titulodeartculo"/>
        <w:rPr>
          <w:b w:val="0"/>
          <w:lang w:val="pt-BR"/>
        </w:rPr>
      </w:pPr>
      <w:r w:rsidRPr="00333677">
        <w:rPr>
          <w:lang w:val="en-US" w:eastAsia="en-US"/>
        </w:rPr>
        <w:drawing>
          <wp:anchor distT="0" distB="0" distL="114300" distR="114300" simplePos="0" relativeHeight="251658241" behindDoc="0" locked="0" layoutInCell="1" allowOverlap="1" wp14:anchorId="4437BD97" wp14:editId="513F44DC">
            <wp:simplePos x="0" y="0"/>
            <wp:positionH relativeFrom="column">
              <wp:posOffset>4451985</wp:posOffset>
            </wp:positionH>
            <wp:positionV relativeFrom="paragraph">
              <wp:posOffset>327025</wp:posOffset>
            </wp:positionV>
            <wp:extent cx="168910" cy="168910"/>
            <wp:effectExtent l="0" t="0" r="2540" b="2540"/>
            <wp:wrapNone/>
            <wp:docPr id="2" name="Imagen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Pr="00A6767D">
        <w:rPr>
          <w:lang w:val="pt-BR"/>
        </w:rPr>
        <w:t xml:space="preserve"> </w:t>
      </w:r>
      <w:r w:rsidRPr="00A6767D">
        <w:rPr>
          <w:lang w:val="pt-BR" w:eastAsia="en-US"/>
        </w:rPr>
        <w:t>Ajuda humanitária em campos precários: reflexos nas relações interpessoais de refugiados</w:t>
      </w:r>
    </w:p>
    <w:p w14:paraId="10A2C4AD" w14:textId="48A983BD" w:rsidR="002F36B1" w:rsidRPr="00A6767D" w:rsidRDefault="002F36B1" w:rsidP="00AC52AE">
      <w:pPr>
        <w:rPr>
          <w:b/>
          <w:lang w:val="pt-BR"/>
        </w:rPr>
      </w:pPr>
    </w:p>
    <w:p w14:paraId="5CFF87D7" w14:textId="3D595448" w:rsidR="00E83B8C" w:rsidRDefault="00B81E29" w:rsidP="00B81E29">
      <w:pPr>
        <w:pStyle w:val="Body"/>
        <w:tabs>
          <w:tab w:val="left" w:pos="950"/>
        </w:tabs>
        <w:jc w:val="both"/>
        <w:rPr>
          <w:b/>
          <w:bCs/>
          <w:color w:val="222222"/>
          <w:sz w:val="26"/>
          <w:szCs w:val="26"/>
          <w:u w:color="222222"/>
          <w:lang w:val="pt-BR"/>
        </w:rPr>
      </w:pPr>
      <w:bookmarkStart w:id="0" w:name="_Hlk90834151"/>
      <w:bookmarkStart w:id="1" w:name="_Hlk90835901"/>
      <w:bookmarkEnd w:id="0"/>
      <w:r>
        <w:rPr>
          <w:b/>
          <w:bCs/>
          <w:color w:val="222222"/>
          <w:sz w:val="26"/>
          <w:szCs w:val="26"/>
          <w:u w:color="222222"/>
          <w:lang w:val="pt-BR"/>
        </w:rPr>
        <w:tab/>
      </w:r>
    </w:p>
    <w:p w14:paraId="110A42C5" w14:textId="1F334A74" w:rsidR="00CC7D22" w:rsidRPr="00A6767D" w:rsidRDefault="00A6767D" w:rsidP="00AC52AE">
      <w:pPr>
        <w:pStyle w:val="Body"/>
        <w:jc w:val="both"/>
        <w:rPr>
          <w:b/>
          <w:bCs/>
          <w:color w:val="4472C4" w:themeColor="accent1"/>
          <w:sz w:val="26"/>
          <w:szCs w:val="26"/>
          <w:u w:color="222222"/>
          <w:vertAlign w:val="superscript"/>
          <w:lang w:val="pt-BR"/>
        </w:rPr>
      </w:pPr>
      <w:r w:rsidRPr="00920139">
        <w:rPr>
          <w:b/>
          <w:lang w:val="pt-BR"/>
        </w:rPr>
        <w:t xml:space="preserve">Beatriz </w:t>
      </w:r>
      <w:r w:rsidR="00942230" w:rsidRPr="00942230">
        <w:rPr>
          <w:b/>
          <w:lang w:val="pt-BR"/>
        </w:rPr>
        <w:t>de Barros Souza</w:t>
      </w:r>
      <w:r w:rsidR="00920139">
        <w:rPr>
          <w:b/>
          <w:lang w:val="pt-BR"/>
        </w:rPr>
        <w:t xml:space="preserve"> </w:t>
      </w:r>
      <w:r w:rsidR="00E83B8C" w:rsidRPr="00592A53">
        <w:rPr>
          <w:rStyle w:val="Refdenotaalpie"/>
          <w:b/>
          <w:bCs/>
          <w:color w:val="222222"/>
          <w:u w:color="222222"/>
        </w:rPr>
        <w:footnoteReference w:id="2"/>
      </w:r>
      <w:r w:rsidR="00E83B8C">
        <w:rPr>
          <w:b/>
          <w:bCs/>
          <w:color w:val="4472C4" w:themeColor="accent1"/>
          <w:u w:color="222222"/>
          <w:vertAlign w:val="superscript"/>
          <w:lang w:val="pt-BR"/>
        </w:rPr>
        <w:t xml:space="preserve"> </w:t>
      </w:r>
      <w:r w:rsidR="00E83B8C" w:rsidRPr="00592A53">
        <w:rPr>
          <w:b/>
          <w:bCs/>
          <w:noProof/>
          <w:color w:val="222222"/>
          <w:u w:color="222222"/>
          <w:lang w:val="en-US" w:eastAsia="en-US"/>
        </w:rPr>
        <w:drawing>
          <wp:inline distT="0" distB="0" distL="0" distR="0" wp14:anchorId="3471BED5" wp14:editId="725B0F77">
            <wp:extent cx="133200" cy="133200"/>
            <wp:effectExtent l="0" t="0" r="0" b="0"/>
            <wp:docPr id="1" name="officeArt object" descr="Imagen 1">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1" name="officeArt object" descr="Imagen 1">
                      <a:hlinkClick r:id="rId1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Pr="00A6767D">
        <w:rPr>
          <w:b/>
          <w:bCs/>
          <w:color w:val="222222"/>
          <w:sz w:val="26"/>
          <w:szCs w:val="26"/>
          <w:u w:color="222222"/>
          <w:lang w:val="pt-BR"/>
        </w:rPr>
        <w:t>, &amp;</w:t>
      </w:r>
      <w:r>
        <w:rPr>
          <w:b/>
          <w:bCs/>
          <w:color w:val="222222"/>
          <w:sz w:val="26"/>
          <w:szCs w:val="26"/>
          <w:u w:color="222222"/>
          <w:lang w:val="pt-BR"/>
        </w:rPr>
        <w:t xml:space="preserve"> </w:t>
      </w:r>
      <w:r w:rsidR="00E83B8C" w:rsidRPr="00E83B8C">
        <w:rPr>
          <w:b/>
          <w:bCs/>
          <w:color w:val="222222"/>
          <w:sz w:val="26"/>
          <w:szCs w:val="26"/>
          <w:u w:color="222222"/>
          <w:lang w:val="pt-BR"/>
        </w:rPr>
        <w:t xml:space="preserve">Agnaldo Garcia </w:t>
      </w:r>
      <w:r w:rsidR="005E205D" w:rsidRPr="00886B3C">
        <w:rPr>
          <w:b/>
          <w:bCs/>
          <w:noProof/>
          <w:color w:val="222222"/>
          <w:sz w:val="26"/>
          <w:szCs w:val="26"/>
          <w:u w:color="222222"/>
          <w:lang w:val="en-US" w:eastAsia="en-US"/>
        </w:rPr>
        <w:drawing>
          <wp:inline distT="0" distB="0" distL="0" distR="0" wp14:anchorId="16FCC1C7" wp14:editId="39F60D94">
            <wp:extent cx="133200" cy="133200"/>
            <wp:effectExtent l="0" t="0" r="0" b="0"/>
            <wp:docPr id="11" name="Imagen 11" descr="Imagen 1">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11" name="Imagen 11" descr="Imagen 1">
                      <a:hlinkClick r:id="rId14"/>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bookmarkEnd w:id="1"/>
      <w:r w:rsidR="007D7E6B" w:rsidRPr="00A6767D">
        <w:rPr>
          <w:b/>
          <w:bCs/>
          <w:color w:val="4472C4" w:themeColor="accent1"/>
          <w:sz w:val="26"/>
          <w:szCs w:val="26"/>
          <w:u w:color="222222"/>
          <w:vertAlign w:val="superscript"/>
          <w:lang w:val="pt-BR"/>
        </w:rPr>
        <w:t xml:space="preserve"> </w:t>
      </w:r>
      <w:r w:rsidR="00CC7D22" w:rsidRPr="00886B3C">
        <w:rPr>
          <w:rStyle w:val="Refdenotaalpie"/>
          <w:b/>
          <w:bCs/>
          <w:color w:val="auto"/>
          <w:sz w:val="26"/>
          <w:szCs w:val="26"/>
          <w:u w:color="222222"/>
          <w:lang w:val="en-GB"/>
        </w:rPr>
        <w:footnoteReference w:id="3"/>
      </w:r>
    </w:p>
    <w:p w14:paraId="3EAF0397" w14:textId="77777777" w:rsidR="00DF19F5" w:rsidRDefault="00DF19F5" w:rsidP="00AC52AE">
      <w:pPr>
        <w:tabs>
          <w:tab w:val="left" w:pos="7005"/>
        </w:tabs>
        <w:jc w:val="both"/>
        <w:rPr>
          <w:rFonts w:eastAsia="Arial Unicode MS" w:cs="Arial Unicode MS"/>
          <w:bCs/>
          <w:i/>
          <w:iCs/>
          <w:sz w:val="28"/>
          <w:szCs w:val="28"/>
          <w:lang w:val="pt-BR"/>
        </w:rPr>
      </w:pPr>
    </w:p>
    <w:p w14:paraId="52BD8014" w14:textId="5551956E" w:rsidR="00CC7D22" w:rsidRDefault="00E83B8C" w:rsidP="00AC52AE">
      <w:pPr>
        <w:tabs>
          <w:tab w:val="left" w:pos="7005"/>
        </w:tabs>
        <w:jc w:val="both"/>
        <w:rPr>
          <w:rFonts w:eastAsia="Arial Unicode MS" w:cs="Arial Unicode MS"/>
          <w:bCs/>
          <w:i/>
          <w:iCs/>
          <w:sz w:val="28"/>
          <w:szCs w:val="28"/>
          <w:lang w:val="pt-BR"/>
        </w:rPr>
      </w:pPr>
      <w:r w:rsidRPr="00E83B8C">
        <w:rPr>
          <w:rFonts w:eastAsia="Arial Unicode MS" w:cs="Arial Unicode MS"/>
          <w:bCs/>
          <w:i/>
          <w:iCs/>
          <w:sz w:val="28"/>
          <w:szCs w:val="28"/>
          <w:lang w:val="pt-BR"/>
        </w:rPr>
        <w:t>Universida</w:t>
      </w:r>
      <w:r>
        <w:rPr>
          <w:rFonts w:eastAsia="Arial Unicode MS" w:cs="Arial Unicode MS"/>
          <w:bCs/>
          <w:i/>
          <w:iCs/>
          <w:sz w:val="28"/>
          <w:szCs w:val="28"/>
          <w:lang w:val="pt-BR"/>
        </w:rPr>
        <w:t>de Federal de Espírito Santo</w:t>
      </w:r>
      <w:r w:rsidRPr="00E83B8C">
        <w:rPr>
          <w:rFonts w:eastAsia="Arial Unicode MS" w:cs="Arial Unicode MS"/>
          <w:bCs/>
          <w:i/>
          <w:iCs/>
          <w:sz w:val="28"/>
          <w:szCs w:val="28"/>
          <w:lang w:val="pt-BR"/>
        </w:rPr>
        <w:t>,</w:t>
      </w:r>
      <w:r w:rsidR="00FC7E05" w:rsidRPr="00FC7E05">
        <w:rPr>
          <w:rFonts w:eastAsia="Arial Unicode MS" w:cs="Arial Unicode MS"/>
          <w:bCs/>
          <w:i/>
          <w:iCs/>
          <w:sz w:val="28"/>
          <w:szCs w:val="28"/>
          <w:lang w:val="pt-BR"/>
        </w:rPr>
        <w:t xml:space="preserve"> </w:t>
      </w:r>
      <w:r w:rsidR="006A6C92">
        <w:rPr>
          <w:rFonts w:eastAsia="Arial Unicode MS" w:cs="Arial Unicode MS"/>
          <w:bCs/>
          <w:i/>
          <w:iCs/>
          <w:sz w:val="28"/>
          <w:szCs w:val="28"/>
          <w:lang w:val="pt-BR"/>
        </w:rPr>
        <w:t>Vitória</w:t>
      </w:r>
      <w:r w:rsidR="00FC7E05">
        <w:rPr>
          <w:rFonts w:eastAsia="Arial Unicode MS" w:cs="Arial Unicode MS"/>
          <w:bCs/>
          <w:i/>
          <w:iCs/>
          <w:sz w:val="28"/>
          <w:szCs w:val="28"/>
          <w:lang w:val="pt-BR"/>
        </w:rPr>
        <w:t>,</w:t>
      </w:r>
      <w:r w:rsidRPr="00E83B8C">
        <w:rPr>
          <w:rFonts w:eastAsia="Arial Unicode MS" w:cs="Arial Unicode MS"/>
          <w:bCs/>
          <w:i/>
          <w:iCs/>
          <w:sz w:val="28"/>
          <w:szCs w:val="28"/>
          <w:lang w:val="pt-BR"/>
        </w:rPr>
        <w:t xml:space="preserve"> Brasil.</w:t>
      </w:r>
    </w:p>
    <w:p w14:paraId="40570CC7" w14:textId="77777777" w:rsidR="00DF19F5" w:rsidRPr="00E83B8C" w:rsidRDefault="00DF19F5" w:rsidP="00AC52AE">
      <w:pPr>
        <w:tabs>
          <w:tab w:val="left" w:pos="7005"/>
        </w:tabs>
        <w:jc w:val="both"/>
        <w:rPr>
          <w:rFonts w:eastAsia="Arial Unicode MS" w:cs="Arial Unicode MS"/>
          <w:i/>
          <w:iCs/>
          <w:sz w:val="28"/>
          <w:szCs w:val="28"/>
          <w:lang w:val="pt-BR"/>
        </w:rPr>
      </w:pPr>
    </w:p>
    <w:p w14:paraId="0F81A079" w14:textId="68E6A4D4" w:rsidR="000928CA" w:rsidRPr="00E83B8C" w:rsidRDefault="001C4E1C" w:rsidP="00E83B8C">
      <w:pPr>
        <w:rPr>
          <w:lang w:val="pt-BR"/>
        </w:rPr>
      </w:pPr>
      <w:r w:rsidRPr="00333677">
        <w:rPr>
          <w:noProof/>
          <w:lang w:val="en-US" w:eastAsia="en-US"/>
        </w:rPr>
        <mc:AlternateContent>
          <mc:Choice Requires="wps">
            <w:drawing>
              <wp:anchor distT="4294967295" distB="4294967295" distL="114300" distR="114300" simplePos="0" relativeHeight="251658240"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390A0C7" id="Conector recto 8"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" strokecolor="windowText" strokeweight="2pt">
                <o:lock v:ext="edit" shapetype="f"/>
              </v:line>
            </w:pict>
          </mc:Fallback>
        </mc:AlternateContent>
      </w:r>
    </w:p>
    <w:p w14:paraId="3B249A79" w14:textId="1DC05313" w:rsidR="002F36B1" w:rsidRDefault="002F36B1" w:rsidP="00E83B8C">
      <w:pPr>
        <w:rPr>
          <w:bCs/>
          <w:iCs/>
          <w:sz w:val="20"/>
          <w:szCs w:val="20"/>
          <w:lang w:val="pt-BR"/>
        </w:rPr>
      </w:pPr>
    </w:p>
    <w:p w14:paraId="58B737BB" w14:textId="77777777" w:rsidR="006B6D8D" w:rsidRPr="00E83B8C" w:rsidRDefault="006B6D8D" w:rsidP="00E83B8C">
      <w:pPr>
        <w:rPr>
          <w:bCs/>
          <w:iCs/>
          <w:sz w:val="20"/>
          <w:szCs w:val="20"/>
          <w:lang w:val="pt-BR"/>
        </w:rPr>
      </w:pPr>
    </w:p>
    <w:p w14:paraId="00001575" w14:textId="77777777" w:rsidR="00E83B8C" w:rsidRPr="00FB0D74" w:rsidRDefault="00E83B8C" w:rsidP="00E83B8C">
      <w:pPr>
        <w:rPr>
          <w:lang w:val="pt-BR"/>
        </w:rPr>
      </w:pPr>
    </w:p>
    <w:p w14:paraId="60C74093" w14:textId="54F2C1C2" w:rsidR="00C413D4" w:rsidRPr="00A6767D" w:rsidRDefault="00E272F5" w:rsidP="00AC52AE">
      <w:pPr>
        <w:pStyle w:val="TtuloResumen"/>
      </w:pPr>
      <w:r w:rsidRPr="00A6767D">
        <w:t>Resum</w:t>
      </w:r>
      <w:r w:rsidR="00A6767D" w:rsidRPr="00A6767D">
        <w:t>o</w:t>
      </w:r>
    </w:p>
    <w:p w14:paraId="570537B8" w14:textId="657DAB2B" w:rsidR="00C413D4" w:rsidRPr="00A6767D" w:rsidRDefault="00A6767D" w:rsidP="00AC52AE">
      <w:pPr>
        <w:pStyle w:val="Resumen"/>
        <w:rPr>
          <w:bCs/>
          <w:iCs/>
          <w:lang w:val="pt-BR"/>
        </w:rPr>
      </w:pPr>
      <w:r w:rsidRPr="00A6767D">
        <w:rPr>
          <w:bCs/>
          <w:iCs/>
          <w:lang w:val="pt-BR"/>
        </w:rPr>
        <w:t xml:space="preserve">Atualmente, boa parte das mais de 35 milhões de pessoas reconhecidas como refugiadas — no geral, por países subdesenvolvidos ou em desenvolvimento — vivem em campos precários, onde predominam ações variadas de ajuda humanitária, como aquelas em prol de “saúde mental e apoio psicossocial” (SMAPS). Esta revisão narrativa de literatura pondera sobre os reflexos de SMAPS nas relações interpessoais de refugiados nos campos, discutida à luz dos aportes teóricos de Robert </w:t>
      </w:r>
      <w:proofErr w:type="spellStart"/>
      <w:r w:rsidRPr="00A6767D">
        <w:rPr>
          <w:bCs/>
          <w:iCs/>
          <w:lang w:val="pt-BR"/>
        </w:rPr>
        <w:t>Hinde</w:t>
      </w:r>
      <w:proofErr w:type="spellEnd"/>
      <w:r w:rsidRPr="00A6767D">
        <w:rPr>
          <w:bCs/>
          <w:iCs/>
          <w:lang w:val="pt-BR"/>
        </w:rPr>
        <w:t xml:space="preserve"> e Axel </w:t>
      </w:r>
      <w:proofErr w:type="spellStart"/>
      <w:r w:rsidRPr="00A6767D">
        <w:rPr>
          <w:bCs/>
          <w:iCs/>
          <w:lang w:val="pt-BR"/>
        </w:rPr>
        <w:t>Honneth</w:t>
      </w:r>
      <w:proofErr w:type="spellEnd"/>
      <w:r w:rsidRPr="00A6767D">
        <w:rPr>
          <w:bCs/>
          <w:iCs/>
          <w:lang w:val="pt-BR"/>
        </w:rPr>
        <w:t xml:space="preserve"> para as Ciências Sociais. Espera-se que as ferramentas conceituais aqui propostas possam guiar a análise temática de como opera a ajuda humanitária, bem como seus desafios, nos campos precários para refugiados.</w:t>
      </w:r>
      <w:r w:rsidR="00411586" w:rsidRPr="00A6767D">
        <w:rPr>
          <w:bCs/>
          <w:iCs/>
          <w:lang w:val="pt-BR"/>
        </w:rPr>
        <w:t xml:space="preserve"> </w:t>
      </w:r>
    </w:p>
    <w:p w14:paraId="3D52E5CF" w14:textId="77777777" w:rsidR="00B5244C" w:rsidRPr="00A6767D" w:rsidRDefault="00B5244C" w:rsidP="00AC52AE">
      <w:pPr>
        <w:pStyle w:val="Ttulodepalabrasclave"/>
        <w:rPr>
          <w:lang w:val="pt-BR"/>
        </w:rPr>
      </w:pPr>
    </w:p>
    <w:p w14:paraId="7E377265" w14:textId="589BB90E" w:rsidR="001006DE" w:rsidRPr="00B81E29" w:rsidRDefault="00A6767D" w:rsidP="00AC52AE">
      <w:pPr>
        <w:pStyle w:val="Ttulodepalabrasclave"/>
        <w:rPr>
          <w:lang w:val="pt-BR"/>
        </w:rPr>
      </w:pPr>
      <w:r w:rsidRPr="00B81E29">
        <w:rPr>
          <w:lang w:val="pt-BR"/>
        </w:rPr>
        <w:t>Palavras chave</w:t>
      </w:r>
    </w:p>
    <w:p w14:paraId="5883BB39" w14:textId="219D7060" w:rsidR="008547C7" w:rsidRPr="00A6767D" w:rsidRDefault="00A6767D" w:rsidP="00AC52AE">
      <w:pPr>
        <w:rPr>
          <w:bCs/>
          <w:iCs/>
          <w:sz w:val="20"/>
          <w:szCs w:val="20"/>
          <w:lang w:val="pt-BR"/>
        </w:rPr>
      </w:pPr>
      <w:r>
        <w:rPr>
          <w:bCs/>
          <w:iCs/>
          <w:sz w:val="20"/>
          <w:szCs w:val="20"/>
          <w:lang w:val="pt-BR"/>
        </w:rPr>
        <w:t>a</w:t>
      </w:r>
      <w:r w:rsidRPr="00A6767D">
        <w:rPr>
          <w:bCs/>
          <w:iCs/>
          <w:sz w:val="20"/>
          <w:szCs w:val="20"/>
          <w:lang w:val="pt-BR"/>
        </w:rPr>
        <w:t>juda huma</w:t>
      </w:r>
      <w:r>
        <w:rPr>
          <w:bCs/>
          <w:iCs/>
          <w:sz w:val="20"/>
          <w:szCs w:val="20"/>
          <w:lang w:val="pt-BR"/>
        </w:rPr>
        <w:t>nitária, campos de refugiados, r</w:t>
      </w:r>
      <w:r w:rsidRPr="00A6767D">
        <w:rPr>
          <w:bCs/>
          <w:iCs/>
          <w:sz w:val="20"/>
          <w:szCs w:val="20"/>
          <w:lang w:val="pt-BR"/>
        </w:rPr>
        <w:t>elações interpessoais</w:t>
      </w:r>
    </w:p>
    <w:p w14:paraId="0A129154" w14:textId="6273F818" w:rsidR="00E83B8C" w:rsidRPr="00FB0D74" w:rsidRDefault="00E83B8C" w:rsidP="00E83B8C">
      <w:pPr>
        <w:rPr>
          <w:lang w:val="pt-BR"/>
        </w:rPr>
      </w:pPr>
    </w:p>
    <w:p w14:paraId="3D1E8995" w14:textId="77777777" w:rsidR="00E83B8C" w:rsidRPr="00FB0D74" w:rsidRDefault="00E83B8C" w:rsidP="00E83B8C">
      <w:pPr>
        <w:rPr>
          <w:lang w:val="pt-BR"/>
        </w:rPr>
      </w:pPr>
    </w:p>
    <w:p w14:paraId="1BF37552" w14:textId="712BEC8B" w:rsidR="002D6B30" w:rsidRPr="00E272F5" w:rsidRDefault="00DF29D2" w:rsidP="00AC52AE">
      <w:pPr>
        <w:pStyle w:val="TtuloResumen"/>
        <w:rPr>
          <w:bCs/>
          <w:lang w:val="en-US"/>
        </w:rPr>
      </w:pPr>
      <w:r w:rsidRPr="00333677">
        <w:rPr>
          <w:noProof/>
          <w:lang w:val="en-US" w:eastAsia="en-US"/>
        </w:rPr>
        <w:drawing>
          <wp:anchor distT="0" distB="0" distL="114300" distR="114300" simplePos="0" relativeHeight="251658242" behindDoc="0" locked="0" layoutInCell="1" allowOverlap="1" wp14:anchorId="69C1ECE1" wp14:editId="3C424CA7">
            <wp:simplePos x="0" y="0"/>
            <wp:positionH relativeFrom="page">
              <wp:posOffset>6055522</wp:posOffset>
            </wp:positionH>
            <wp:positionV relativeFrom="page">
              <wp:posOffset>9798832</wp:posOffset>
            </wp:positionV>
            <wp:extent cx="406400" cy="266065"/>
            <wp:effectExtent l="0" t="0" r="0" b="635"/>
            <wp:wrapNone/>
            <wp:docPr id="10" name="Gráfico 1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5"/>
                    </pic:cNvPr>
                    <pic:cNvPicPr/>
                  </pic:nvPicPr>
                  <pic:blipFill>
                    <a:blip r:embed="rId16">
                      <a:extLst>
                        <a:ext uri="{96DAC541-7B7A-43D3-8B79-37D633B846F1}">
                          <asvg:svgBlip xmlns:asvg="http://schemas.microsoft.com/office/drawing/2016/SVG/main" r:embed="rId17"/>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r w:rsidR="00E272F5" w:rsidRPr="00E272F5">
        <w:rPr>
          <w:lang w:val="en-US"/>
        </w:rPr>
        <w:t>Abstract</w:t>
      </w:r>
    </w:p>
    <w:p w14:paraId="65E89737" w14:textId="0E2A0887" w:rsidR="002D6B30" w:rsidRPr="00D02897" w:rsidRDefault="00A6767D" w:rsidP="00AC52AE">
      <w:pPr>
        <w:pStyle w:val="Resumen"/>
        <w:rPr>
          <w:bCs/>
          <w:iCs/>
        </w:rPr>
      </w:pPr>
      <w:r w:rsidRPr="00A6767D">
        <w:rPr>
          <w:bCs/>
          <w:iCs/>
        </w:rPr>
        <w:t xml:space="preserve">Currently, many of the over 35 million people who are recognized as refugees by some — usually underdeveloped or developing — countries live in precarious camps, where diverse humanitarian aid actions predominate, such as those for “mental health and psychosocial support” (MHPSS). This narrative literature review considers the effects of MHPSS on the refugees’ interpersonal relationships within the camps, discussed in light of the theoretical contributions of both Robert Hinde and Axel </w:t>
      </w:r>
      <w:proofErr w:type="spellStart"/>
      <w:r w:rsidRPr="00A6767D">
        <w:rPr>
          <w:bCs/>
          <w:iCs/>
        </w:rPr>
        <w:t>Honneth</w:t>
      </w:r>
      <w:proofErr w:type="spellEnd"/>
      <w:r w:rsidRPr="00A6767D">
        <w:rPr>
          <w:bCs/>
          <w:iCs/>
        </w:rPr>
        <w:t xml:space="preserve"> to the Social Sciences. It is hoped that the conceptual tools herein provided can guide a thematic analysis of how humanitarian aid operates, as well as its main challenges, within precarious refugee camps.</w:t>
      </w:r>
    </w:p>
    <w:p w14:paraId="26FDFD50" w14:textId="77777777" w:rsidR="002D6B30" w:rsidRPr="00E272F5" w:rsidRDefault="002D6B30" w:rsidP="00AC52AE">
      <w:pPr>
        <w:pStyle w:val="Ttulodepalabrasclave"/>
      </w:pPr>
    </w:p>
    <w:p w14:paraId="79031265" w14:textId="10BE2C2F" w:rsidR="00B5244C" w:rsidRPr="00F07D24" w:rsidRDefault="00971421" w:rsidP="00AC52AE">
      <w:pPr>
        <w:pStyle w:val="Ttulodepalabrasclave"/>
        <w:rPr>
          <w:lang w:val="en-GB"/>
        </w:rPr>
      </w:pPr>
      <w:r w:rsidRPr="00F07D24">
        <w:rPr>
          <w:lang w:val="en-GB"/>
        </w:rPr>
        <w:t>Keywords</w:t>
      </w:r>
    </w:p>
    <w:p w14:paraId="3792DCB8" w14:textId="315A31B1" w:rsidR="002D6B30" w:rsidRPr="00E976E9" w:rsidRDefault="00A6767D" w:rsidP="00AC52AE">
      <w:pPr>
        <w:rPr>
          <w:bCs/>
          <w:iCs/>
          <w:sz w:val="20"/>
          <w:szCs w:val="20"/>
          <w:lang w:val="en-US"/>
        </w:rPr>
      </w:pPr>
      <w:r>
        <w:rPr>
          <w:bCs/>
          <w:iCs/>
          <w:sz w:val="20"/>
          <w:szCs w:val="20"/>
          <w:lang w:val="en-US"/>
        </w:rPr>
        <w:t>h</w:t>
      </w:r>
      <w:r w:rsidRPr="00A6767D">
        <w:rPr>
          <w:bCs/>
          <w:iCs/>
          <w:sz w:val="20"/>
          <w:szCs w:val="20"/>
          <w:lang w:val="en-US"/>
        </w:rPr>
        <w:t>u</w:t>
      </w:r>
      <w:r>
        <w:rPr>
          <w:bCs/>
          <w:iCs/>
          <w:sz w:val="20"/>
          <w:szCs w:val="20"/>
          <w:lang w:val="en-US"/>
        </w:rPr>
        <w:t>manitarian aid, refugee camps, i</w:t>
      </w:r>
      <w:r w:rsidRPr="00A6767D">
        <w:rPr>
          <w:bCs/>
          <w:iCs/>
          <w:sz w:val="20"/>
          <w:szCs w:val="20"/>
          <w:lang w:val="en-US"/>
        </w:rPr>
        <w:t>nte</w:t>
      </w:r>
      <w:r>
        <w:rPr>
          <w:bCs/>
          <w:iCs/>
          <w:sz w:val="20"/>
          <w:szCs w:val="20"/>
          <w:lang w:val="en-US"/>
        </w:rPr>
        <w:t>rpersonal r</w:t>
      </w:r>
      <w:r w:rsidRPr="00A6767D">
        <w:rPr>
          <w:bCs/>
          <w:iCs/>
          <w:sz w:val="20"/>
          <w:szCs w:val="20"/>
          <w:lang w:val="en-US"/>
        </w:rPr>
        <w:t xml:space="preserve">elations </w:t>
      </w:r>
      <w:r w:rsidR="002D6B30" w:rsidRPr="00E976E9">
        <w:rPr>
          <w:bCs/>
          <w:iCs/>
          <w:sz w:val="20"/>
          <w:szCs w:val="20"/>
          <w:lang w:val="en-US"/>
        </w:rPr>
        <w:br w:type="page"/>
      </w:r>
    </w:p>
    <w:p w14:paraId="45D157E5" w14:textId="502C5C1A" w:rsidR="00333677" w:rsidRPr="00920139" w:rsidRDefault="00920139" w:rsidP="00AC52AE">
      <w:pPr>
        <w:pStyle w:val="Prrafocomn"/>
        <w:spacing w:line="240" w:lineRule="auto"/>
        <w:ind w:firstLine="0"/>
        <w:jc w:val="center"/>
      </w:pPr>
      <w:r w:rsidRPr="00920139">
        <w:lastRenderedPageBreak/>
        <w:t>Humanitarian aid in precarious camps reflexes on the interpersonal relationships of refugees</w:t>
      </w:r>
    </w:p>
    <w:p w14:paraId="6CC9D961" w14:textId="77777777" w:rsidR="00920139" w:rsidRPr="00C640C9" w:rsidRDefault="00920139" w:rsidP="00920139">
      <w:pPr>
        <w:pStyle w:val="Ttulosinternos"/>
        <w:rPr>
          <w:bCs w:val="0"/>
        </w:rPr>
      </w:pPr>
      <w:r w:rsidRPr="00C640C9">
        <w:t>Introdução</w:t>
      </w:r>
    </w:p>
    <w:p w14:paraId="2BCB0618" w14:textId="77777777" w:rsidR="006B6D8D" w:rsidRDefault="006B6D8D" w:rsidP="006B6D8D">
      <w:pPr>
        <w:spacing w:line="360" w:lineRule="auto"/>
        <w:ind w:firstLine="720"/>
        <w:jc w:val="both"/>
        <w:rPr>
          <w:lang w:val="pt-BR" w:eastAsia="en-US"/>
        </w:rPr>
      </w:pPr>
      <w:r w:rsidRPr="006B6D8D">
        <w:rPr>
          <w:lang w:val="pt-BR" w:eastAsia="en-US"/>
        </w:rPr>
        <w:t xml:space="preserve">Apesar de tardiamente iniciado no Brasil, cuja lei federal sobre a matéria data dos anos 1990, o debate sobre refugiados não é novo no meio internacional. No século XIX, a preocupação com a proteção aos civis em conflitos levou à criação do Comitê Internacional da Cruz Vermelha (1863), do Conselho Internacional de Enfermeiros (1899) e de vários outros atores humanitários ainda atuantes nesta seara. Após a Segunda Guerra, essa proteção toma corpo na </w:t>
      </w:r>
      <w:r w:rsidRPr="006B6D8D">
        <w:rPr>
          <w:i/>
          <w:lang w:val="pt-BR" w:eastAsia="en-US"/>
        </w:rPr>
        <w:t>Convenção Relativa ao Estatuto dos Refugiados</w:t>
      </w:r>
      <w:r w:rsidRPr="006B6D8D">
        <w:rPr>
          <w:lang w:val="pt-BR" w:eastAsia="en-US"/>
        </w:rPr>
        <w:t xml:space="preserve"> (1951) da Organização das Nações Unidas (ONU), a qual confere esse </w:t>
      </w:r>
      <w:r w:rsidRPr="006B6D8D">
        <w:rPr>
          <w:i/>
          <w:lang w:val="pt-BR" w:eastAsia="en-US"/>
        </w:rPr>
        <w:t>status</w:t>
      </w:r>
      <w:r w:rsidRPr="006B6D8D">
        <w:rPr>
          <w:lang w:val="pt-BR" w:eastAsia="en-US"/>
        </w:rPr>
        <w:t xml:space="preserve"> a toda pessoa que:</w:t>
      </w:r>
      <w:bookmarkStart w:id="2" w:name="_heading=h.gjdgxs" w:colFirst="0" w:colLast="0"/>
      <w:bookmarkEnd w:id="2"/>
    </w:p>
    <w:p w14:paraId="1A99CA3E" w14:textId="09D127D1" w:rsidR="006B6D8D" w:rsidRPr="006B6D8D" w:rsidRDefault="006B6D8D" w:rsidP="006B6D8D">
      <w:pPr>
        <w:spacing w:line="360" w:lineRule="auto"/>
        <w:ind w:left="1440"/>
        <w:jc w:val="both"/>
        <w:rPr>
          <w:lang w:val="pt-BR" w:eastAsia="en-US"/>
        </w:rPr>
      </w:pPr>
      <w:r>
        <w:rPr>
          <w:lang w:val="pt-BR" w:eastAsia="en-US"/>
        </w:rPr>
        <w:t>[...]</w:t>
      </w:r>
      <w:r w:rsidRPr="006B6D8D">
        <w:rPr>
          <w:lang w:val="pt-BR" w:eastAsia="en-US"/>
        </w:rPr>
        <w:t xml:space="preserve"> temendo ser perseguida por motivos de raça, religião, nacionalidade, grupo social ou opiniões políticas, se encontra fora do país de sua nacionalidade e que não pode ou, em virtude desse temor, não quer valer-se da proteção desse país, ou que, se não tem nacionalidade e se encontra fora do país no qual tinha sua residência habitual</w:t>
      </w:r>
      <w:r>
        <w:rPr>
          <w:lang w:val="pt-BR" w:eastAsia="en-US"/>
        </w:rPr>
        <w:t xml:space="preserve"> [...]</w:t>
      </w:r>
      <w:r w:rsidRPr="006B6D8D">
        <w:rPr>
          <w:lang w:val="pt-BR" w:eastAsia="en-US"/>
        </w:rPr>
        <w:t>, não pode ou, devido ao referido temor, não quer volt</w:t>
      </w:r>
      <w:r>
        <w:rPr>
          <w:lang w:val="pt-BR" w:eastAsia="en-US"/>
        </w:rPr>
        <w:t>ar a ele. (ONU, 1951, Art. 1 §2)</w:t>
      </w:r>
    </w:p>
    <w:p w14:paraId="5BF28B64" w14:textId="77777777" w:rsidR="006B6D8D" w:rsidRPr="006B6D8D" w:rsidRDefault="006B6D8D" w:rsidP="006B6D8D">
      <w:pPr>
        <w:widowControl w:val="0"/>
        <w:spacing w:line="360" w:lineRule="auto"/>
        <w:ind w:firstLine="720"/>
        <w:jc w:val="both"/>
        <w:rPr>
          <w:lang w:val="pt-BR" w:eastAsia="en-US"/>
        </w:rPr>
      </w:pPr>
      <w:r w:rsidRPr="006B6D8D">
        <w:rPr>
          <w:lang w:val="pt-BR" w:eastAsia="en-US"/>
        </w:rPr>
        <w:t>No geral, tais pessoas são denominadas “solicitantes de refúgio” enquanto aguardam o desfecho das suas solicitações pelos Estados onde buscam residir, ou “deslocadas à força”, antes de impetrarem tal solicitação, e “refugiadas convencionais”, quando reconhecidas nos termos desta Convenção. Neste texto, serão consideradas “pessoas em situação de refúgio” todas aquelas que se enquadrem em ao menos uma destas situações.</w:t>
      </w:r>
    </w:p>
    <w:p w14:paraId="02DA5C84" w14:textId="35112CD3" w:rsidR="006B6D8D" w:rsidRPr="006B6D8D" w:rsidRDefault="006B6D8D" w:rsidP="006B6D8D">
      <w:pPr>
        <w:spacing w:line="360" w:lineRule="auto"/>
        <w:ind w:firstLine="720"/>
        <w:jc w:val="both"/>
        <w:rPr>
          <w:lang w:val="pt-BR" w:eastAsia="en-US"/>
        </w:rPr>
      </w:pPr>
      <w:r w:rsidRPr="006B6D8D">
        <w:rPr>
          <w:lang w:val="pt-BR" w:eastAsia="en-US"/>
        </w:rPr>
        <w:t xml:space="preserve">Em termos estatísticos, há mais de 108 milhões de deslocados à força no mundo (mais que o dobro da década passada), dos quais cerca de um terço consiste de refugiados convencionais, e aproximadamente a metade possui até os dezoito anos de idade, residindo em países ditos “subdesenvolvidos” (ACNUR, 2023). No Brasil, onde a Convenção de 1951 foi incorporada pela lei </w:t>
      </w:r>
      <w:r>
        <w:rPr>
          <w:lang w:val="pt-BR" w:eastAsia="en-US"/>
        </w:rPr>
        <w:t xml:space="preserve">9.474/1997, já residem mais de </w:t>
      </w:r>
      <w:r w:rsidRPr="006B6D8D">
        <w:rPr>
          <w:lang w:val="pt-BR" w:eastAsia="en-US"/>
        </w:rPr>
        <w:t>65 mil pessoas reconhecidas como refug</w:t>
      </w:r>
      <w:r>
        <w:rPr>
          <w:lang w:val="pt-BR" w:eastAsia="en-US"/>
        </w:rPr>
        <w:t>iadas (</w:t>
      </w:r>
      <w:proofErr w:type="spellStart"/>
      <w:r>
        <w:rPr>
          <w:lang w:val="pt-BR" w:eastAsia="en-US"/>
        </w:rPr>
        <w:t>Junger</w:t>
      </w:r>
      <w:proofErr w:type="spellEnd"/>
      <w:r>
        <w:rPr>
          <w:lang w:val="pt-BR" w:eastAsia="en-US"/>
        </w:rPr>
        <w:t xml:space="preserve"> et al, 2023</w:t>
      </w:r>
      <w:r w:rsidRPr="006B6D8D">
        <w:rPr>
          <w:lang w:val="pt-BR" w:eastAsia="en-US"/>
        </w:rPr>
        <w:t>).</w:t>
      </w:r>
    </w:p>
    <w:p w14:paraId="0E1BD79F" w14:textId="3BA49D70" w:rsidR="006B6D8D" w:rsidRPr="006B6D8D" w:rsidRDefault="006B6D8D" w:rsidP="006B6D8D">
      <w:pPr>
        <w:spacing w:line="360" w:lineRule="auto"/>
        <w:ind w:firstLine="720"/>
        <w:jc w:val="both"/>
        <w:rPr>
          <w:lang w:val="pt-BR" w:eastAsia="en-US"/>
        </w:rPr>
      </w:pPr>
      <w:r w:rsidRPr="006B6D8D">
        <w:rPr>
          <w:lang w:val="pt-BR" w:eastAsia="en-US"/>
        </w:rPr>
        <w:t>Para sua maio</w:t>
      </w:r>
      <w:r>
        <w:rPr>
          <w:lang w:val="pt-BR" w:eastAsia="en-US"/>
        </w:rPr>
        <w:t>r proteção, o ACNUR (2023</w:t>
      </w:r>
      <w:r w:rsidRPr="006B6D8D">
        <w:rPr>
          <w:lang w:val="pt-BR" w:eastAsia="en-US"/>
        </w:rPr>
        <w:t>)</w:t>
      </w:r>
      <w:r w:rsidRPr="006B6D8D">
        <w:rPr>
          <w:vertAlign w:val="superscript"/>
          <w:lang w:val="pt-BR" w:eastAsia="en-US"/>
        </w:rPr>
        <w:t xml:space="preserve"> </w:t>
      </w:r>
      <w:r w:rsidRPr="006B6D8D">
        <w:rPr>
          <w:lang w:val="pt-BR" w:eastAsia="en-US"/>
        </w:rPr>
        <w:t xml:space="preserve">elenca três medidas como “soluções duradouras”: a) a integração ao país no qual buscam acolhida; b) o reassentamento em outro país, ou; c) o retorno voluntário ao país de origem. As estruturas precárias, embora </w:t>
      </w:r>
      <w:r w:rsidRPr="006B6D8D">
        <w:rPr>
          <w:lang w:val="pt-BR" w:eastAsia="en-US"/>
        </w:rPr>
        <w:lastRenderedPageBreak/>
        <w:t>fora dessas soluções, são</w:t>
      </w:r>
      <w:r w:rsidRPr="006B6D8D">
        <w:rPr>
          <w:color w:val="6FA8DC"/>
          <w:lang w:val="pt-BR" w:eastAsia="en-US"/>
        </w:rPr>
        <w:t xml:space="preserve"> </w:t>
      </w:r>
      <w:r w:rsidRPr="006B6D8D">
        <w:rPr>
          <w:lang w:val="pt-BR" w:eastAsia="en-US"/>
        </w:rPr>
        <w:t>comuns: estima-se que cerca de quarenta por cento das pessoas reconhecidas como refugiadas vivem em campos (ACNUR, 2014).</w:t>
      </w:r>
    </w:p>
    <w:p w14:paraId="5D2BB3EC" w14:textId="3181F9CB" w:rsidR="006B6D8D" w:rsidRDefault="006B6D8D" w:rsidP="006B6D8D">
      <w:pPr>
        <w:spacing w:line="360" w:lineRule="auto"/>
        <w:ind w:firstLine="720"/>
        <w:jc w:val="both"/>
        <w:rPr>
          <w:lang w:val="pt-BR" w:eastAsia="en-US"/>
        </w:rPr>
      </w:pPr>
      <w:r w:rsidRPr="006B6D8D">
        <w:rPr>
          <w:lang w:val="pt-BR" w:eastAsia="en-US"/>
        </w:rPr>
        <w:t xml:space="preserve">Embora sem uma definição oficial, os </w:t>
      </w:r>
      <w:r w:rsidRPr="006B6D8D">
        <w:rPr>
          <w:i/>
          <w:lang w:val="pt-BR" w:eastAsia="en-US"/>
        </w:rPr>
        <w:t>campos</w:t>
      </w:r>
      <w:r w:rsidRPr="006B6D8D">
        <w:rPr>
          <w:lang w:val="pt-BR" w:eastAsia="en-US"/>
        </w:rPr>
        <w:t xml:space="preserve"> seriam arranjos “temporários” com “ao menos seis meses de existência e 2.500 i</w:t>
      </w:r>
      <w:r>
        <w:rPr>
          <w:lang w:val="pt-BR" w:eastAsia="en-US"/>
        </w:rPr>
        <w:t>ndivíduos” (ACNUR, 2006, p. 58).</w:t>
      </w:r>
      <w:r>
        <w:rPr>
          <w:rStyle w:val="Refdenotaalpie"/>
          <w:lang w:val="pt-BR" w:eastAsia="en-US"/>
        </w:rPr>
        <w:footnoteReference w:id="4"/>
      </w:r>
      <w:r w:rsidRPr="006B6D8D">
        <w:rPr>
          <w:lang w:val="pt-BR" w:eastAsia="en-US"/>
        </w:rPr>
        <w:t xml:space="preserve"> Em regra, não oferecem solução duradoura a seus habitantes, o que configura algumas </w:t>
      </w:r>
      <w:r w:rsidRPr="006B6D8D">
        <w:rPr>
          <w:i/>
          <w:lang w:val="pt-BR" w:eastAsia="en-US"/>
        </w:rPr>
        <w:t>situações de refúgio prolongado</w:t>
      </w:r>
      <w:r w:rsidRPr="006B6D8D">
        <w:rPr>
          <w:lang w:val="pt-BR" w:eastAsia="en-US"/>
        </w:rPr>
        <w:t>. Estão nesta situação as populações de 25 mil refugiados ou mais que residam no exílio por um período igual ou superior a cinco anos (ACNUR, 2004).</w:t>
      </w:r>
      <w:r>
        <w:rPr>
          <w:rStyle w:val="Refdenotaalpie"/>
          <w:lang w:val="pt-BR" w:eastAsia="en-US"/>
        </w:rPr>
        <w:footnoteReference w:id="5"/>
      </w:r>
    </w:p>
    <w:p w14:paraId="1F643E57" w14:textId="77777777" w:rsidR="006B6D8D" w:rsidRDefault="006B6D8D" w:rsidP="006B6D8D">
      <w:pPr>
        <w:spacing w:line="360" w:lineRule="auto"/>
        <w:ind w:firstLine="720"/>
        <w:jc w:val="both"/>
        <w:rPr>
          <w:lang w:val="pt-BR" w:eastAsia="en-US"/>
        </w:rPr>
      </w:pPr>
      <w:r w:rsidRPr="006B6D8D">
        <w:rPr>
          <w:lang w:val="pt-BR" w:eastAsia="en-US"/>
        </w:rPr>
        <w:t>Atualmente, mais de 23 milhões de pessoas vivem nestas situações (ACNUR, 2023, p. 22), no geral, à mercê dos serviços e das intervenções fornecidas por um conjunto de “atores humanitários”. Conceitualmente, são assim denominadas as pessoas e organizações que atuam na “ajuda humanitária”. Esta última, por sua vez, pode ser compreendida enquanto:</w:t>
      </w:r>
    </w:p>
    <w:p w14:paraId="7D02B971" w14:textId="7FB6F2D9" w:rsidR="006B6D8D" w:rsidRPr="006B6D8D" w:rsidRDefault="006B6D8D" w:rsidP="006B6D8D">
      <w:pPr>
        <w:spacing w:line="360" w:lineRule="auto"/>
        <w:ind w:left="1440"/>
        <w:jc w:val="both"/>
        <w:rPr>
          <w:lang w:val="pt-BR" w:eastAsia="en-US"/>
        </w:rPr>
      </w:pPr>
      <w:r>
        <w:rPr>
          <w:lang w:val="pt-BR" w:eastAsia="en-US"/>
        </w:rPr>
        <w:t xml:space="preserve">[...] </w:t>
      </w:r>
      <w:r w:rsidRPr="006B6D8D">
        <w:rPr>
          <w:lang w:val="pt-BR" w:eastAsia="en-US"/>
        </w:rPr>
        <w:t xml:space="preserve">o apoio material, logístico e técnico imediato visando à reconstrução ou recuperação da infraestrutura coletiva afetada e ao atendimento às necessidades básicas da população em situação de vulnerabilidade até o restabelecimento das instituições e a reabilitação da </w:t>
      </w:r>
      <w:r>
        <w:rPr>
          <w:lang w:val="pt-BR" w:eastAsia="en-US"/>
        </w:rPr>
        <w:t xml:space="preserve">população atingida. </w:t>
      </w:r>
      <w:r w:rsidRPr="006B6D8D">
        <w:rPr>
          <w:lang w:val="pt-BR" w:eastAsia="en-US"/>
        </w:rPr>
        <w:t xml:space="preserve">(Ramos, </w:t>
      </w:r>
      <w:proofErr w:type="spellStart"/>
      <w:r w:rsidRPr="006B6D8D">
        <w:rPr>
          <w:lang w:val="pt-BR" w:eastAsia="en-US"/>
        </w:rPr>
        <w:t>Do</w:t>
      </w:r>
      <w:r>
        <w:rPr>
          <w:lang w:val="pt-BR" w:eastAsia="en-US"/>
        </w:rPr>
        <w:t>nda</w:t>
      </w:r>
      <w:proofErr w:type="spellEnd"/>
      <w:r>
        <w:rPr>
          <w:lang w:val="pt-BR" w:eastAsia="en-US"/>
        </w:rPr>
        <w:t xml:space="preserve"> &amp; Silva, 2017, posição 548)</w:t>
      </w:r>
    </w:p>
    <w:p w14:paraId="1861F531" w14:textId="77777777" w:rsidR="006B6D8D" w:rsidRPr="006B6D8D" w:rsidRDefault="006B6D8D" w:rsidP="006B6D8D">
      <w:pPr>
        <w:spacing w:line="360" w:lineRule="auto"/>
        <w:ind w:firstLine="720"/>
        <w:jc w:val="both"/>
        <w:rPr>
          <w:lang w:val="pt-BR" w:eastAsia="en-US"/>
        </w:rPr>
      </w:pPr>
      <w:r w:rsidRPr="006B6D8D">
        <w:rPr>
          <w:lang w:val="pt-BR" w:eastAsia="en-US"/>
        </w:rPr>
        <w:t>Embora a ajuda humanitária não se volte exclusivamente para pessoas em situação de refúgio, é notável o montante de atores que se voltam para este público. Entre as mais de oitocentas organizações humanitárias citadas pelo ACNUR como suas “parceiras” (</w:t>
      </w:r>
      <w:proofErr w:type="spellStart"/>
      <w:r w:rsidRPr="006B6D8D">
        <w:rPr>
          <w:i/>
          <w:lang w:val="pt-BR" w:eastAsia="en-US"/>
        </w:rPr>
        <w:t>partners</w:t>
      </w:r>
      <w:proofErr w:type="spellEnd"/>
      <w:r w:rsidRPr="006B6D8D">
        <w:rPr>
          <w:lang w:val="pt-BR" w:eastAsia="en-US"/>
        </w:rPr>
        <w:t>), setenta e sete estão no setor da “saúde”, no qual dez atuariam na “área” de “saúde mental e apoio psicossocial” (SMAPS).</w:t>
      </w:r>
      <w:r w:rsidRPr="006B6D8D">
        <w:rPr>
          <w:vertAlign w:val="superscript"/>
          <w:lang w:val="en-US" w:eastAsia="en-US"/>
        </w:rPr>
        <w:footnoteReference w:id="6"/>
      </w:r>
    </w:p>
    <w:p w14:paraId="01081712" w14:textId="780420C2" w:rsidR="006B6D8D" w:rsidRPr="006B6D8D" w:rsidRDefault="006B6D8D" w:rsidP="006B6D8D">
      <w:pPr>
        <w:spacing w:line="360" w:lineRule="auto"/>
        <w:ind w:firstLine="720"/>
        <w:jc w:val="both"/>
        <w:rPr>
          <w:lang w:val="pt-BR" w:eastAsia="en-US"/>
        </w:rPr>
      </w:pPr>
      <w:r w:rsidRPr="006B6D8D">
        <w:rPr>
          <w:lang w:val="pt-BR" w:eastAsia="en-US"/>
        </w:rPr>
        <w:t xml:space="preserve">Conceitualmente, “saúde mental e apoio psicossocial” </w:t>
      </w:r>
      <w:r w:rsidR="00942230">
        <w:rPr>
          <w:lang w:val="pt-BR" w:eastAsia="en-US"/>
        </w:rPr>
        <w:t>(SMAPS) abrange</w:t>
      </w:r>
      <w:r w:rsidRPr="006B6D8D">
        <w:rPr>
          <w:lang w:val="pt-BR" w:eastAsia="en-US"/>
        </w:rPr>
        <w:t xml:space="preserve"> “</w:t>
      </w:r>
      <w:r>
        <w:rPr>
          <w:lang w:val="pt-BR" w:eastAsia="en-US"/>
        </w:rPr>
        <w:t xml:space="preserve">[...] </w:t>
      </w:r>
      <w:r w:rsidRPr="006B6D8D">
        <w:rPr>
          <w:lang w:val="pt-BR" w:eastAsia="en-US"/>
        </w:rPr>
        <w:t>todo tipo de apoio local ou externo cujo objetivo seja proteger ou promover o bem-estar psicossocial e/ou prevenir ou tratar o transtorno mental” (</w:t>
      </w:r>
      <w:proofErr w:type="spellStart"/>
      <w:r w:rsidRPr="006B6D8D">
        <w:rPr>
          <w:lang w:val="pt-BR" w:eastAsia="en-US"/>
        </w:rPr>
        <w:t>Inter-Agency</w:t>
      </w:r>
      <w:proofErr w:type="spellEnd"/>
      <w:r w:rsidRPr="006B6D8D">
        <w:rPr>
          <w:lang w:val="pt-BR" w:eastAsia="en-US"/>
        </w:rPr>
        <w:t xml:space="preserve"> </w:t>
      </w:r>
      <w:proofErr w:type="spellStart"/>
      <w:r w:rsidRPr="006B6D8D">
        <w:rPr>
          <w:lang w:val="pt-BR" w:eastAsia="en-US"/>
        </w:rPr>
        <w:t>Standing</w:t>
      </w:r>
      <w:proofErr w:type="spellEnd"/>
      <w:r w:rsidRPr="006B6D8D">
        <w:rPr>
          <w:lang w:val="pt-BR" w:eastAsia="en-US"/>
        </w:rPr>
        <w:t xml:space="preserve"> </w:t>
      </w:r>
      <w:proofErr w:type="spellStart"/>
      <w:r w:rsidRPr="006B6D8D">
        <w:rPr>
          <w:lang w:val="pt-BR" w:eastAsia="en-US"/>
        </w:rPr>
        <w:t>Committee</w:t>
      </w:r>
      <w:proofErr w:type="spellEnd"/>
      <w:r w:rsidRPr="006B6D8D">
        <w:rPr>
          <w:lang w:val="pt-BR" w:eastAsia="en-US"/>
        </w:rPr>
        <w:t xml:space="preserve">, 2007, p. 1). Nos últimos anos, essa definição recebeu críticas por sua </w:t>
      </w:r>
      <w:r w:rsidRPr="006B6D8D">
        <w:rPr>
          <w:lang w:val="pt-BR" w:eastAsia="en-US"/>
        </w:rPr>
        <w:lastRenderedPageBreak/>
        <w:t>amplitude, devida ao fato de ter se baseado em uma “</w:t>
      </w:r>
      <w:r w:rsidR="00CF443B">
        <w:rPr>
          <w:lang w:val="pt-BR" w:eastAsia="en-US"/>
        </w:rPr>
        <w:t>[...]</w:t>
      </w:r>
      <w:r w:rsidRPr="006B6D8D">
        <w:rPr>
          <w:lang w:val="pt-BR" w:eastAsia="en-US"/>
        </w:rPr>
        <w:t xml:space="preserve"> metodologia de consenso entre especialistas do campo e não necessariamente em evidências” (</w:t>
      </w:r>
      <w:proofErr w:type="spellStart"/>
      <w:r w:rsidRPr="006B6D8D">
        <w:rPr>
          <w:lang w:val="pt-BR" w:eastAsia="en-US"/>
        </w:rPr>
        <w:t>Gagliato</w:t>
      </w:r>
      <w:proofErr w:type="spellEnd"/>
      <w:r w:rsidRPr="006B6D8D">
        <w:rPr>
          <w:lang w:val="pt-BR" w:eastAsia="en-US"/>
        </w:rPr>
        <w:t>, 2018, p. 94).</w:t>
      </w:r>
    </w:p>
    <w:p w14:paraId="2E69BED8" w14:textId="0AE233BE" w:rsidR="006B6D8D" w:rsidRPr="006B6D8D" w:rsidRDefault="006B6D8D" w:rsidP="006B6D8D">
      <w:pPr>
        <w:spacing w:line="360" w:lineRule="auto"/>
        <w:ind w:firstLine="720"/>
        <w:jc w:val="both"/>
        <w:rPr>
          <w:lang w:val="pt-BR" w:eastAsia="en-US"/>
        </w:rPr>
      </w:pPr>
      <w:r w:rsidRPr="006B6D8D">
        <w:rPr>
          <w:lang w:val="pt-BR" w:eastAsia="en-US"/>
        </w:rPr>
        <w:t>Em atenção a tais críticas, o IASC elaborou um “quadro comum” para monitorar e avaliar ações em SMAPS</w:t>
      </w:r>
      <w:r>
        <w:rPr>
          <w:lang w:val="pt-BR" w:eastAsia="en-US"/>
        </w:rPr>
        <w:t xml:space="preserve"> </w:t>
      </w:r>
      <w:r w:rsidRPr="006B6D8D">
        <w:rPr>
          <w:lang w:val="pt-BR" w:eastAsia="en-US"/>
        </w:rPr>
        <w:t>(IASC, 2017), recentemente atualizado (IASC, 2021). Em outros âmbitos, diferentes organizações humanitárias também já se reuniram para publicar índices que sejam mais avaliativos destas ações (</w:t>
      </w:r>
      <w:proofErr w:type="spellStart"/>
      <w:r w:rsidRPr="006B6D8D">
        <w:rPr>
          <w:lang w:val="pt-BR" w:eastAsia="en-US"/>
        </w:rPr>
        <w:t>Sphere</w:t>
      </w:r>
      <w:proofErr w:type="spellEnd"/>
      <w:r w:rsidRPr="006B6D8D">
        <w:rPr>
          <w:lang w:val="pt-BR" w:eastAsia="en-US"/>
        </w:rPr>
        <w:t xml:space="preserve"> Project, 2011; Antares Foundation, 2012).</w:t>
      </w:r>
    </w:p>
    <w:p w14:paraId="6258BD95" w14:textId="5524B2C1" w:rsidR="006B6D8D" w:rsidRDefault="006B6D8D" w:rsidP="006B6D8D">
      <w:pPr>
        <w:spacing w:line="360" w:lineRule="auto"/>
        <w:ind w:firstLine="720"/>
        <w:jc w:val="both"/>
        <w:rPr>
          <w:lang w:val="pt-BR" w:eastAsia="en-US"/>
        </w:rPr>
      </w:pPr>
      <w:r w:rsidRPr="006B6D8D">
        <w:rPr>
          <w:lang w:val="pt-BR" w:eastAsia="en-US"/>
        </w:rPr>
        <w:t xml:space="preserve">Na década seguinte a este consenso, especificamente nas situações de refúgio e quanto à ajuda humanitária, no entanto, a literatura indica que ainda há muito a se aprimorar. No seu diagnóstico organizacional, </w:t>
      </w:r>
      <w:proofErr w:type="spellStart"/>
      <w:r w:rsidRPr="006B6D8D">
        <w:rPr>
          <w:lang w:val="pt-BR" w:eastAsia="en-US"/>
        </w:rPr>
        <w:t>Welton</w:t>
      </w:r>
      <w:proofErr w:type="spellEnd"/>
      <w:r w:rsidRPr="006B6D8D">
        <w:rPr>
          <w:lang w:val="pt-BR" w:eastAsia="en-US"/>
        </w:rPr>
        <w:t>-Mitchell (2013, p. 48) desvela que o ACNUR cumpriria, à época: “apenas 2 dos 8 Princípios Antares e um terço dos indicadores associados” à saúde mental e ao bem-estar de seus funcionários.</w:t>
      </w:r>
    </w:p>
    <w:p w14:paraId="3E942B5F" w14:textId="77777777" w:rsidR="006B6D8D" w:rsidRPr="00CB26EC" w:rsidRDefault="006B6D8D" w:rsidP="006B6D8D">
      <w:pPr>
        <w:spacing w:line="360" w:lineRule="auto"/>
        <w:ind w:firstLine="720"/>
        <w:jc w:val="both"/>
        <w:rPr>
          <w:lang w:val="pt-BR"/>
        </w:rPr>
      </w:pPr>
      <w:r w:rsidRPr="00CB26EC">
        <w:rPr>
          <w:lang w:val="pt-BR"/>
        </w:rPr>
        <w:t>Neste contexto de um crescente avaliativo das ações humanitárias, esta pesquisa traz o foco nas situações dos campos e de arranjos análogos para as pessoas em situação de refúgio, a fim de contribuir para o debate e arcabouço teórico das suas relações interpessoais. Para este fim, os métodos principais são detalhados na seção que segue.</w:t>
      </w:r>
    </w:p>
    <w:p w14:paraId="1700A940" w14:textId="79C32BE5" w:rsidR="00920139" w:rsidRPr="008630BE" w:rsidRDefault="00920139" w:rsidP="008630BE">
      <w:pPr>
        <w:pStyle w:val="Ttulosinternos"/>
        <w:rPr>
          <w:bCs w:val="0"/>
        </w:rPr>
      </w:pPr>
      <w:r w:rsidRPr="008A3E6A">
        <w:t>Método</w:t>
      </w:r>
    </w:p>
    <w:p w14:paraId="216B96DC" w14:textId="77777777" w:rsidR="008A72AF" w:rsidRPr="008A72AF" w:rsidRDefault="008A72AF" w:rsidP="008A72AF">
      <w:pPr>
        <w:spacing w:line="360" w:lineRule="auto"/>
        <w:ind w:firstLine="720"/>
        <w:jc w:val="both"/>
        <w:rPr>
          <w:color w:val="111111"/>
          <w:lang w:val="pt-BR" w:eastAsia="en-US"/>
        </w:rPr>
      </w:pPr>
      <w:r w:rsidRPr="008A72AF">
        <w:rPr>
          <w:lang w:val="pt-BR" w:eastAsia="en-US"/>
        </w:rPr>
        <w:t xml:space="preserve">Consistindo de uma revisão narrativa de literatura, este artigo reúne pesquisas sobre o tema da ajuda humanitária nos campos de refugiados, com foco nas relações interpessoais destes últimos. </w:t>
      </w:r>
      <w:r w:rsidRPr="008A72AF">
        <w:rPr>
          <w:color w:val="111111"/>
          <w:lang w:val="pt-BR" w:eastAsia="en-US"/>
        </w:rPr>
        <w:t xml:space="preserve">Em razão de limites circunstanciais e conjunturais impostos pela pandemia, o desenho da pesquisa não foi linear, de modo que a generalização dos resultados </w:t>
      </w:r>
      <w:proofErr w:type="gramStart"/>
      <w:r w:rsidRPr="008A72AF">
        <w:rPr>
          <w:color w:val="111111"/>
          <w:lang w:val="pt-BR" w:eastAsia="en-US"/>
        </w:rPr>
        <w:t>encontra-se</w:t>
      </w:r>
      <w:proofErr w:type="gramEnd"/>
      <w:r w:rsidRPr="008A72AF">
        <w:rPr>
          <w:color w:val="111111"/>
          <w:lang w:val="pt-BR" w:eastAsia="en-US"/>
        </w:rPr>
        <w:t xml:space="preserve"> bastante limitada ao contexto específico da presente pesquisa.</w:t>
      </w:r>
    </w:p>
    <w:p w14:paraId="37874259" w14:textId="77777777" w:rsidR="008A72AF" w:rsidRPr="008A72AF" w:rsidRDefault="008A72AF" w:rsidP="008A72AF">
      <w:pPr>
        <w:spacing w:line="360" w:lineRule="auto"/>
        <w:ind w:firstLine="720"/>
        <w:jc w:val="both"/>
        <w:rPr>
          <w:color w:val="111111"/>
          <w:lang w:val="pt-BR" w:eastAsia="en-US"/>
        </w:rPr>
      </w:pPr>
      <w:bookmarkStart w:id="3" w:name="_heading=h.3gvs2tfuu2wv" w:colFirst="0" w:colLast="0"/>
      <w:bookmarkEnd w:id="3"/>
      <w:r w:rsidRPr="008A72AF">
        <w:rPr>
          <w:color w:val="111111"/>
          <w:lang w:val="pt-BR" w:eastAsia="en-US"/>
        </w:rPr>
        <w:t>Note-se que o advento desta emergência sanitária, declarada “pandêmica”, inseriu o tema da emergência humanitária no próprio modo de fazer pesquisa. Apesar de que não há situação humanitária, a princípio, previsível ou evitável, a sua experiência alterou o próprio objeto de pesquisa, no qual se incluíram, em última instância, os próprios pesquisadores.</w:t>
      </w:r>
    </w:p>
    <w:p w14:paraId="5B0934A9" w14:textId="4FC762A4" w:rsidR="008A72AF" w:rsidRDefault="008A72AF" w:rsidP="008A72AF">
      <w:pPr>
        <w:spacing w:line="360" w:lineRule="auto"/>
        <w:ind w:firstLine="720"/>
        <w:jc w:val="both"/>
        <w:rPr>
          <w:color w:val="111111"/>
          <w:lang w:val="pt-BR" w:eastAsia="en-US"/>
        </w:rPr>
      </w:pPr>
      <w:r w:rsidRPr="008A72AF">
        <w:rPr>
          <w:color w:val="111111"/>
          <w:lang w:val="pt-BR" w:eastAsia="en-US"/>
        </w:rPr>
        <w:t xml:space="preserve">As potencialidades da pesquisa anteriormente estruturada com base em entrevistas a serem feitas </w:t>
      </w:r>
      <w:r w:rsidRPr="008A72AF">
        <w:rPr>
          <w:i/>
          <w:color w:val="111111"/>
          <w:lang w:val="pt-BR" w:eastAsia="en-US"/>
        </w:rPr>
        <w:t>in loco</w:t>
      </w:r>
      <w:r w:rsidRPr="008A72AF">
        <w:rPr>
          <w:color w:val="111111"/>
          <w:lang w:val="pt-BR" w:eastAsia="en-US"/>
        </w:rPr>
        <w:t>, fora do país de origem dos pesquisadores, não foram exploradas a fundo. A pesquisa teve de ser reestruturada de modo a refletir sobre a bibliografia à luz do marco teórico selecionado. Para melhor nortear sua discussão, foi escolhido um marco teórico na intersecção das áreas da Psicologia das Relações Interpessoais e da Filosofia do Direito.</w:t>
      </w:r>
    </w:p>
    <w:p w14:paraId="72C70C74" w14:textId="79F5F837" w:rsidR="00920139" w:rsidRPr="00C640C9" w:rsidRDefault="008A72AF" w:rsidP="008A72AF">
      <w:pPr>
        <w:pStyle w:val="Ttulosinternos"/>
      </w:pPr>
      <w:r>
        <w:lastRenderedPageBreak/>
        <w:t>Marco Teórico</w:t>
      </w:r>
    </w:p>
    <w:p w14:paraId="407AB586" w14:textId="77777777" w:rsidR="008A72AF" w:rsidRPr="008A72AF" w:rsidRDefault="008A72AF" w:rsidP="008A72AF">
      <w:pPr>
        <w:pStyle w:val="Prrafocomn"/>
        <w:rPr>
          <w:lang w:val="pt-BR"/>
        </w:rPr>
      </w:pPr>
      <w:r w:rsidRPr="008A72AF">
        <w:rPr>
          <w:lang w:val="pt-BR"/>
        </w:rPr>
        <w:t xml:space="preserve">Este trabalho parte da premissa de que as ações humanitárias se refletem de vários modos nas relações interpessoais dos refugiados nos campos. Assim, o referencial para a análise destes reflexos é interdisciplinar: por um lado, traz Robert </w:t>
      </w:r>
      <w:proofErr w:type="spellStart"/>
      <w:r w:rsidRPr="008A72AF">
        <w:rPr>
          <w:lang w:val="pt-BR"/>
        </w:rPr>
        <w:t>Hinde</w:t>
      </w:r>
      <w:proofErr w:type="spellEnd"/>
      <w:r w:rsidRPr="008A72AF">
        <w:rPr>
          <w:lang w:val="pt-BR"/>
        </w:rPr>
        <w:t xml:space="preserve"> que, em Psicologia, contextualiza essas relações em um amplo sistema, propondo uma visão dialética das mesmas; pelo outro, aborda ideias de Axel </w:t>
      </w:r>
      <w:proofErr w:type="spellStart"/>
      <w:r w:rsidRPr="008A72AF">
        <w:rPr>
          <w:lang w:val="pt-BR"/>
        </w:rPr>
        <w:t>Honneth</w:t>
      </w:r>
      <w:proofErr w:type="spellEnd"/>
      <w:r w:rsidRPr="008A72AF">
        <w:rPr>
          <w:lang w:val="pt-BR"/>
        </w:rPr>
        <w:t>, para quem, desde o Direito, há que se considerar as questões éticas centrais para as relações interpessoais na sua teoria do reconhecimento.</w:t>
      </w:r>
    </w:p>
    <w:p w14:paraId="3E92A64E" w14:textId="392DFD58" w:rsidR="008A72AF" w:rsidRDefault="008A72AF" w:rsidP="008A72AF">
      <w:pPr>
        <w:pStyle w:val="Prrafocomn"/>
        <w:rPr>
          <w:lang w:val="pt-BR"/>
        </w:rPr>
      </w:pPr>
      <w:proofErr w:type="spellStart"/>
      <w:r w:rsidRPr="008A72AF">
        <w:rPr>
          <w:lang w:val="pt-BR"/>
        </w:rPr>
        <w:t>Hinde</w:t>
      </w:r>
      <w:proofErr w:type="spellEnd"/>
      <w:r w:rsidRPr="008A72AF">
        <w:rPr>
          <w:lang w:val="pt-BR"/>
        </w:rPr>
        <w:t xml:space="preserve"> (1997) buscou organizar uma ciência dos relacionamentos a partir de princípios da Etologia, destacando a complexidade das relações interpessoais e a necessidade de integrar os diferentes saberes sobre o tema. Nesse sentido, </w:t>
      </w:r>
      <w:proofErr w:type="spellStart"/>
      <w:r w:rsidRPr="008A72AF">
        <w:rPr>
          <w:lang w:val="pt-BR"/>
        </w:rPr>
        <w:t>Hinde</w:t>
      </w:r>
      <w:proofErr w:type="spellEnd"/>
      <w:r w:rsidRPr="008A72AF">
        <w:rPr>
          <w:lang w:val="pt-BR"/>
        </w:rPr>
        <w:t xml:space="preserve"> (1987, 1997) diferencia as interações dos relacionamentos: estes reúnem uma série de interações ao longo do tempo entre sujeitos que afetam e são afetados por encontros anteriores e pela expectativa de encontros futuros, enquanto aquelas não se estenderiam no tempo, impactando menos as expectativas futuras.</w:t>
      </w:r>
    </w:p>
    <w:p w14:paraId="6F33FCB8" w14:textId="14A959CD" w:rsidR="008A72AF" w:rsidRPr="008A72AF" w:rsidRDefault="008A72AF" w:rsidP="008A72AF">
      <w:pPr>
        <w:pStyle w:val="Prrafocomn"/>
        <w:rPr>
          <w:lang w:val="pt-BR"/>
        </w:rPr>
      </w:pPr>
      <w:r w:rsidRPr="008A72AF">
        <w:rPr>
          <w:lang w:val="pt-BR"/>
        </w:rPr>
        <w:t xml:space="preserve">Outra marca de sua abordagem é a importância da descrição dos relacionamentos como ponto de partida para sua compreensão, especialmente quanto ao conteúdo (o que os indivíduos fazem juntos) e a qualidade (como o fazem). Enquanto o conteúdo do relacionamento se refere ao que os indivíduos fazem quando estão juntos, a sua diversidade diz respeito ao número de coisas que </w:t>
      </w:r>
      <w:r w:rsidR="0085144E">
        <w:rPr>
          <w:lang w:val="pt-BR"/>
        </w:rPr>
        <w:t>podem ser feitas por eles</w:t>
      </w:r>
      <w:r w:rsidRPr="008A72AF">
        <w:rPr>
          <w:lang w:val="pt-BR"/>
        </w:rPr>
        <w:t>.</w:t>
      </w:r>
    </w:p>
    <w:p w14:paraId="3872FFA7" w14:textId="2EC9AC10" w:rsidR="008A72AF" w:rsidRPr="008A72AF" w:rsidRDefault="008A72AF" w:rsidP="008A72AF">
      <w:pPr>
        <w:pStyle w:val="Prrafocomn"/>
        <w:rPr>
          <w:lang w:val="pt-BR"/>
        </w:rPr>
      </w:pPr>
      <w:r w:rsidRPr="008A72AF">
        <w:rPr>
          <w:lang w:val="pt-BR"/>
        </w:rPr>
        <w:t xml:space="preserve">Por fim, </w:t>
      </w:r>
      <w:proofErr w:type="spellStart"/>
      <w:r w:rsidRPr="008A72AF">
        <w:rPr>
          <w:lang w:val="pt-BR"/>
        </w:rPr>
        <w:t>Hinde</w:t>
      </w:r>
      <w:proofErr w:type="spellEnd"/>
      <w:r w:rsidRPr="008A72AF">
        <w:rPr>
          <w:lang w:val="pt-BR"/>
        </w:rPr>
        <w:t xml:space="preserve"> (2007, p. 245) afirma que sua teoria se difere daquela de muitos “filósofo</w:t>
      </w:r>
      <w:r w:rsidR="0085144E">
        <w:rPr>
          <w:lang w:val="pt-BR"/>
        </w:rPr>
        <w:t>s morais” cujo “foco”</w:t>
      </w:r>
      <w:r w:rsidRPr="008A72AF">
        <w:rPr>
          <w:lang w:val="pt-BR"/>
        </w:rPr>
        <w:t xml:space="preserve"> seria “como as pessoas devem se comp</w:t>
      </w:r>
      <w:r w:rsidR="0085144E">
        <w:rPr>
          <w:lang w:val="pt-BR"/>
        </w:rPr>
        <w:t xml:space="preserve">ortar”, enquanto sua análise seria sobre a </w:t>
      </w:r>
      <w:r w:rsidRPr="008A72AF">
        <w:rPr>
          <w:lang w:val="pt-BR"/>
        </w:rPr>
        <w:t>comparação entre “como elas acham que devem se comportar e como realmente se comportam”.</w:t>
      </w:r>
      <w:r w:rsidRPr="008A72AF">
        <w:rPr>
          <w:vertAlign w:val="superscript"/>
        </w:rPr>
        <w:footnoteReference w:id="7"/>
      </w:r>
      <w:r w:rsidRPr="008A72AF">
        <w:rPr>
          <w:lang w:val="pt-BR"/>
        </w:rPr>
        <w:t xml:space="preserve"> Para </w:t>
      </w:r>
      <w:proofErr w:type="spellStart"/>
      <w:r w:rsidRPr="008A72AF">
        <w:rPr>
          <w:lang w:val="pt-BR"/>
        </w:rPr>
        <w:t>Hinde</w:t>
      </w:r>
      <w:proofErr w:type="spellEnd"/>
      <w:r w:rsidRPr="008A72AF">
        <w:rPr>
          <w:lang w:val="pt-BR"/>
        </w:rPr>
        <w:t xml:space="preserve"> (1997), os relacionamentos estão em relação dialética constante com diferentes grupos ou redes, como no caso da família, do ambiente escolar, e outros, de forma sobreposta ou não. </w:t>
      </w:r>
    </w:p>
    <w:p w14:paraId="5C487FE1" w14:textId="66AE0ACB" w:rsidR="008A72AF" w:rsidRPr="008A72AF" w:rsidRDefault="0085144E" w:rsidP="008A72AF">
      <w:pPr>
        <w:pStyle w:val="Prrafocomn"/>
        <w:rPr>
          <w:lang w:val="pt-BR"/>
        </w:rPr>
      </w:pPr>
      <w:r>
        <w:rPr>
          <w:lang w:val="pt-BR"/>
        </w:rPr>
        <w:t>Nesse sentido, é</w:t>
      </w:r>
      <w:r w:rsidR="008A72AF" w:rsidRPr="008A72AF">
        <w:rPr>
          <w:lang w:val="pt-BR"/>
        </w:rPr>
        <w:t xml:space="preserve"> destacada a colaboração, do teórico Axel </w:t>
      </w:r>
      <w:proofErr w:type="spellStart"/>
      <w:r w:rsidR="008A72AF" w:rsidRPr="008A72AF">
        <w:rPr>
          <w:lang w:val="pt-BR"/>
        </w:rPr>
        <w:t>Honneth</w:t>
      </w:r>
      <w:proofErr w:type="spellEnd"/>
      <w:r w:rsidR="008A72AF" w:rsidRPr="008A72AF">
        <w:rPr>
          <w:lang w:val="pt-BR"/>
        </w:rPr>
        <w:t xml:space="preserve"> (2003), que esquematiza a dialética hegeliana de etapas para o reconhecimento social (indivíduo, pessoa e sujeito de direitos) e, com base nesta, empreende uma “atualização sistemática” com o objetivo de desvelar a “estrutura das relações sociais de reconhecimento”. Esta estrutura possuiria três “modos” distintos (dedicação emotiva, respeito cognitivo e estima </w:t>
      </w:r>
      <w:r w:rsidR="008A72AF" w:rsidRPr="008A72AF">
        <w:rPr>
          <w:lang w:val="pt-BR"/>
        </w:rPr>
        <w:lastRenderedPageBreak/>
        <w:t>social), cada qual com formas de desrespeito ou reconhecimento específicas e embasadas, portanto, nos relacionamentos interpessoais, sobretudo em grupos e entre grupos.</w:t>
      </w:r>
    </w:p>
    <w:p w14:paraId="645ECBCE" w14:textId="380F3B93" w:rsidR="008A72AF" w:rsidRPr="008A72AF" w:rsidRDefault="008A72AF" w:rsidP="008A72AF">
      <w:pPr>
        <w:pStyle w:val="Prrafocomn"/>
        <w:rPr>
          <w:lang w:val="pt-BR"/>
        </w:rPr>
      </w:pPr>
      <w:r w:rsidRPr="008A72AF">
        <w:rPr>
          <w:lang w:val="pt-BR"/>
        </w:rPr>
        <w:t xml:space="preserve">No primeiro nível (da “integridade física”), por exemplo, o desrespeito prejudicaria a relação da pessoa com sua imagem corpórea do </w:t>
      </w:r>
      <w:r w:rsidRPr="008A72AF">
        <w:rPr>
          <w:i/>
          <w:lang w:val="pt-BR"/>
        </w:rPr>
        <w:t>self</w:t>
      </w:r>
      <w:r w:rsidRPr="008A72AF">
        <w:rPr>
          <w:lang w:val="pt-BR"/>
        </w:rPr>
        <w:t xml:space="preserve">, enquanto no segundo sua “morte social” seria causada pelo desrespeito no </w:t>
      </w:r>
      <w:r w:rsidR="0085144E">
        <w:rPr>
          <w:lang w:val="pt-BR"/>
        </w:rPr>
        <w:t>acesso</w:t>
      </w:r>
      <w:r w:rsidRPr="008A72AF">
        <w:rPr>
          <w:lang w:val="pt-BR"/>
        </w:rPr>
        <w:t xml:space="preserve"> a direitos, afetando seu sentido normativo de </w:t>
      </w:r>
      <w:r w:rsidRPr="008A72AF">
        <w:rPr>
          <w:i/>
          <w:lang w:val="pt-BR"/>
        </w:rPr>
        <w:t>self</w:t>
      </w:r>
      <w:r w:rsidRPr="008A72AF">
        <w:rPr>
          <w:lang w:val="pt-BR"/>
        </w:rPr>
        <w:t>. No terceiro nível, em que indivíduos ou grupos são atacados no seu estilo de vida, o desrespeito, equi</w:t>
      </w:r>
      <w:r w:rsidR="0085144E">
        <w:rPr>
          <w:lang w:val="pt-BR"/>
        </w:rPr>
        <w:t>valente à injúria, poderia</w:t>
      </w:r>
      <w:r w:rsidRPr="008A72AF">
        <w:rPr>
          <w:lang w:val="pt-BR"/>
        </w:rPr>
        <w:t xml:space="preserve"> ser transmutado em uma “motivação para atos de resistência política” (</w:t>
      </w:r>
      <w:proofErr w:type="spellStart"/>
      <w:r w:rsidRPr="008A72AF">
        <w:rPr>
          <w:lang w:val="pt-BR"/>
        </w:rPr>
        <w:t>Honneth</w:t>
      </w:r>
      <w:proofErr w:type="spellEnd"/>
      <w:r w:rsidRPr="008A72AF">
        <w:rPr>
          <w:lang w:val="pt-BR"/>
        </w:rPr>
        <w:t>, 1992, p. 200).</w:t>
      </w:r>
    </w:p>
    <w:p w14:paraId="23BD7B59" w14:textId="18C135B7" w:rsidR="008A72AF" w:rsidRPr="008A72AF" w:rsidRDefault="008A72AF" w:rsidP="008A72AF">
      <w:pPr>
        <w:pStyle w:val="Prrafocomn"/>
        <w:rPr>
          <w:lang w:val="pt-BR"/>
        </w:rPr>
      </w:pPr>
      <w:bookmarkStart w:id="4" w:name="_heading=h.tyjcwt" w:colFirst="0" w:colLast="0"/>
      <w:bookmarkEnd w:id="4"/>
      <w:r w:rsidRPr="008A72AF">
        <w:rPr>
          <w:lang w:val="pt-BR"/>
        </w:rPr>
        <w:t xml:space="preserve">Na elaboração de sua teoria, </w:t>
      </w:r>
      <w:proofErr w:type="spellStart"/>
      <w:r w:rsidRPr="008A72AF">
        <w:rPr>
          <w:lang w:val="pt-BR"/>
        </w:rPr>
        <w:t>Honneth</w:t>
      </w:r>
      <w:proofErr w:type="spellEnd"/>
      <w:r w:rsidRPr="008A72AF">
        <w:rPr>
          <w:lang w:val="pt-BR"/>
        </w:rPr>
        <w:t xml:space="preserve"> (2013) de fato identifica lacunas muito similares às elencadas por </w:t>
      </w:r>
      <w:proofErr w:type="spellStart"/>
      <w:r w:rsidRPr="008A72AF">
        <w:rPr>
          <w:lang w:val="pt-BR"/>
        </w:rPr>
        <w:t>Hinde</w:t>
      </w:r>
      <w:proofErr w:type="spellEnd"/>
      <w:r w:rsidRPr="008A72AF">
        <w:rPr>
          <w:lang w:val="pt-BR"/>
        </w:rPr>
        <w:t xml:space="preserve"> nos seus estudos, sobretudo nas teorias psicanalítica e sociológica. </w:t>
      </w:r>
      <w:r w:rsidR="0085144E">
        <w:rPr>
          <w:lang w:val="pt-BR"/>
        </w:rPr>
        <w:t xml:space="preserve">Julga, porém, “grave” </w:t>
      </w:r>
      <w:r w:rsidRPr="008A72AF">
        <w:rPr>
          <w:lang w:val="pt-BR"/>
        </w:rPr>
        <w:t>que “as estilizações unilaterais parecem impedir radicalmente uma conexão conceitual básica entre as duas disciplinas” (</w:t>
      </w:r>
      <w:proofErr w:type="spellStart"/>
      <w:r w:rsidRPr="008A72AF">
        <w:rPr>
          <w:lang w:val="pt-BR"/>
        </w:rPr>
        <w:t>Honneth</w:t>
      </w:r>
      <w:proofErr w:type="spellEnd"/>
      <w:r w:rsidRPr="008A72AF">
        <w:rPr>
          <w:lang w:val="pt-BR"/>
        </w:rPr>
        <w:t>, 2013, p. 61).</w:t>
      </w:r>
    </w:p>
    <w:p w14:paraId="3731D32F" w14:textId="243573E3" w:rsidR="008A72AF" w:rsidRPr="008A72AF" w:rsidRDefault="008A72AF" w:rsidP="008A72AF">
      <w:pPr>
        <w:pStyle w:val="Prrafocomn"/>
        <w:rPr>
          <w:lang w:val="pt-BR"/>
        </w:rPr>
      </w:pPr>
      <w:bookmarkStart w:id="5" w:name="_heading=h.3dy6vkm" w:colFirst="0" w:colLast="0"/>
      <w:bookmarkEnd w:id="5"/>
      <w:r w:rsidRPr="008A72AF">
        <w:rPr>
          <w:lang w:val="pt-BR"/>
        </w:rPr>
        <w:t xml:space="preserve">De modo a tentar superar estas lacunas, a presente pesquisa apresenta e discute trechos da bibliografia indexada na base </w:t>
      </w:r>
      <w:proofErr w:type="spellStart"/>
      <w:r w:rsidRPr="008A72AF">
        <w:rPr>
          <w:lang w:val="pt-BR"/>
        </w:rPr>
        <w:t>PsycInfo</w:t>
      </w:r>
      <w:proofErr w:type="spellEnd"/>
      <w:r w:rsidRPr="008A72AF">
        <w:rPr>
          <w:lang w:val="pt-BR"/>
        </w:rPr>
        <w:t>. A busca retornou cerca de 300 resultados para os descritores ‘campos de refugiados’ (‘</w:t>
      </w:r>
      <w:proofErr w:type="spellStart"/>
      <w:r w:rsidRPr="008A72AF">
        <w:rPr>
          <w:i/>
          <w:lang w:val="pt-BR"/>
        </w:rPr>
        <w:t>refugee</w:t>
      </w:r>
      <w:proofErr w:type="spellEnd"/>
      <w:r w:rsidRPr="008A72AF">
        <w:rPr>
          <w:i/>
          <w:lang w:val="pt-BR"/>
        </w:rPr>
        <w:t xml:space="preserve"> </w:t>
      </w:r>
      <w:proofErr w:type="spellStart"/>
      <w:r w:rsidRPr="008A72AF">
        <w:rPr>
          <w:i/>
          <w:lang w:val="pt-BR"/>
        </w:rPr>
        <w:t>camps</w:t>
      </w:r>
      <w:proofErr w:type="spellEnd"/>
      <w:r w:rsidRPr="008A72AF">
        <w:rPr>
          <w:lang w:val="pt-BR"/>
        </w:rPr>
        <w:t xml:space="preserve">’), e a seleção de cerca de 60 dentre elas se deveu à afinidade ao tema central da </w:t>
      </w:r>
      <w:r w:rsidR="0085144E">
        <w:rPr>
          <w:lang w:val="pt-BR"/>
        </w:rPr>
        <w:t>pesquisa</w:t>
      </w:r>
      <w:r w:rsidRPr="008A72AF">
        <w:rPr>
          <w:lang w:val="pt-BR"/>
        </w:rPr>
        <w:t>.</w:t>
      </w:r>
    </w:p>
    <w:p w14:paraId="4DC60F72" w14:textId="4B7D0D42" w:rsidR="00920139" w:rsidRPr="00C640C9" w:rsidRDefault="008A72AF" w:rsidP="00920139">
      <w:pPr>
        <w:pStyle w:val="Ttulosinternos"/>
      </w:pPr>
      <w:r w:rsidRPr="008A72AF">
        <w:t>Resultados</w:t>
      </w:r>
    </w:p>
    <w:p w14:paraId="0A623DBF" w14:textId="77777777" w:rsidR="008A72AF" w:rsidRDefault="008A72AF" w:rsidP="008A72AF">
      <w:pPr>
        <w:pStyle w:val="Prrafocomn"/>
        <w:rPr>
          <w:lang w:val="pt-BR"/>
        </w:rPr>
      </w:pPr>
      <w:r w:rsidRPr="008A72AF">
        <w:rPr>
          <w:lang w:val="pt-BR"/>
        </w:rPr>
        <w:t>Dentre os resultados, foram selecionados textos relacionados à prestação de ajuda humanitária em campos de refugiados e arranjos análogos. A organização pautou a afinidade dos textos entre si e ao tema geral para a sua catalogação em subtemas, conforme segue, para a posterior análise temática (Braun &amp; Clarke, 2006).</w:t>
      </w:r>
    </w:p>
    <w:p w14:paraId="02993F75" w14:textId="3BF3F3CB" w:rsidR="008A72AF" w:rsidRPr="00CB26EC" w:rsidRDefault="008A72AF" w:rsidP="008A72AF">
      <w:pPr>
        <w:pStyle w:val="SubtituloInterno"/>
        <w:rPr>
          <w:lang w:val="pt-BR"/>
        </w:rPr>
      </w:pPr>
      <w:r w:rsidRPr="00CB26EC">
        <w:rPr>
          <w:lang w:val="pt-BR"/>
        </w:rPr>
        <w:t>Relatos sobre os Campos: Características Gerais</w:t>
      </w:r>
    </w:p>
    <w:p w14:paraId="08BBA07F" w14:textId="29992DCD" w:rsidR="008A72AF" w:rsidRDefault="008A72AF" w:rsidP="008A72AF">
      <w:pPr>
        <w:pStyle w:val="Prrafocomn"/>
        <w:rPr>
          <w:lang w:val="pt-BR"/>
        </w:rPr>
      </w:pPr>
      <w:r w:rsidRPr="008502BB">
        <w:rPr>
          <w:b/>
          <w:i/>
          <w:lang w:val="pt-BR" w:eastAsia="en-US"/>
        </w:rPr>
        <w:t xml:space="preserve"> </w:t>
      </w:r>
      <w:r w:rsidRPr="008A72AF">
        <w:rPr>
          <w:lang w:val="pt-BR"/>
        </w:rPr>
        <w:t xml:space="preserve">Na literatura, </w:t>
      </w:r>
      <w:r w:rsidR="001E450D" w:rsidRPr="008A72AF">
        <w:rPr>
          <w:lang w:val="pt-BR"/>
        </w:rPr>
        <w:t>os atributos dos campos que mais chamam a atenção no geral têm</w:t>
      </w:r>
      <w:r w:rsidRPr="008A72AF">
        <w:rPr>
          <w:lang w:val="pt-BR"/>
        </w:rPr>
        <w:t xml:space="preserve"> relação com sua: grandeza; gestão; e infraestrutura. Com relação à </w:t>
      </w:r>
      <w:r w:rsidRPr="008A72AF">
        <w:rPr>
          <w:i/>
          <w:lang w:val="pt-BR"/>
        </w:rPr>
        <w:t>grandeza</w:t>
      </w:r>
      <w:r w:rsidRPr="008A72AF">
        <w:rPr>
          <w:lang w:val="pt-BR"/>
        </w:rPr>
        <w:t xml:space="preserve"> (tanto espacial, como temporal), s</w:t>
      </w:r>
      <w:r w:rsidR="0085144E">
        <w:rPr>
          <w:lang w:val="pt-BR"/>
        </w:rPr>
        <w:t>ão destacadas as situações</w:t>
      </w:r>
      <w:r w:rsidRPr="008A72AF">
        <w:rPr>
          <w:lang w:val="pt-BR"/>
        </w:rPr>
        <w:t xml:space="preserve"> de ‘refúgio prolongado’. Como a lista dessas situações não foi atualizada praticamente desde sua definição (ACNUR, 2004), são estimados em ao menos trinta (30) campos, totalizando mais de um milhão de indivíduos, em onze países distintos, com pessoas nessa situação (Tabela 1).</w:t>
      </w:r>
    </w:p>
    <w:p w14:paraId="747EDA3A" w14:textId="0379B487" w:rsidR="0085144E" w:rsidRDefault="0085144E" w:rsidP="008A72AF">
      <w:pPr>
        <w:pStyle w:val="Prrafocomn"/>
        <w:rPr>
          <w:lang w:val="pt-BR"/>
        </w:rPr>
      </w:pPr>
    </w:p>
    <w:p w14:paraId="6F0F60C1" w14:textId="77777777" w:rsidR="0085144E" w:rsidRDefault="0085144E" w:rsidP="008A72AF">
      <w:pPr>
        <w:pStyle w:val="Prrafocomn"/>
        <w:rPr>
          <w:lang w:val="pt-BR"/>
        </w:rPr>
      </w:pPr>
    </w:p>
    <w:p w14:paraId="429C4153" w14:textId="33C64D61" w:rsidR="008A72AF" w:rsidRDefault="008A72AF" w:rsidP="008A72AF">
      <w:pPr>
        <w:widowControl w:val="0"/>
        <w:spacing w:line="360" w:lineRule="auto"/>
        <w:ind w:left="58"/>
        <w:rPr>
          <w:b/>
          <w:lang w:val="pt-BR"/>
        </w:rPr>
      </w:pPr>
      <w:r w:rsidRPr="00CB26EC">
        <w:rPr>
          <w:b/>
          <w:lang w:val="pt-BR"/>
        </w:rPr>
        <w:lastRenderedPageBreak/>
        <w:t>Tabela 1</w:t>
      </w:r>
    </w:p>
    <w:p w14:paraId="62BB02AE" w14:textId="2D7D7FCA" w:rsidR="008A72AF" w:rsidRPr="00CB26EC" w:rsidRDefault="008A72AF" w:rsidP="008A72AF">
      <w:pPr>
        <w:widowControl w:val="0"/>
        <w:spacing w:line="360" w:lineRule="auto"/>
        <w:ind w:left="58"/>
        <w:rPr>
          <w:lang w:val="pt-BR"/>
        </w:rPr>
      </w:pPr>
      <w:r w:rsidRPr="00CB26EC">
        <w:rPr>
          <w:i/>
          <w:lang w:val="pt-BR"/>
        </w:rPr>
        <w:t xml:space="preserve">Campos com populações em situação de refúgio prolongado </w:t>
      </w:r>
      <w:r w:rsidRPr="00CB26EC">
        <w:rPr>
          <w:lang w:val="pt-BR"/>
        </w:rPr>
        <w:t xml:space="preserve">(ACNUR, 2017) </w:t>
      </w:r>
    </w:p>
    <w:tbl>
      <w:tblPr>
        <w:tblW w:w="5000" w:type="pct"/>
        <w:tblLook w:val="0600" w:firstRow="0" w:lastRow="0" w:firstColumn="0" w:lastColumn="0" w:noHBand="1" w:noVBand="1"/>
      </w:tblPr>
      <w:tblGrid>
        <w:gridCol w:w="2017"/>
        <w:gridCol w:w="1869"/>
        <w:gridCol w:w="2211"/>
        <w:gridCol w:w="2407"/>
      </w:tblGrid>
      <w:tr w:rsidR="008A72AF" w14:paraId="27D20578" w14:textId="77777777" w:rsidTr="008A72AF">
        <w:trPr>
          <w:trHeight w:val="56"/>
        </w:trPr>
        <w:tc>
          <w:tcPr>
            <w:tcW w:w="1186" w:type="pct"/>
            <w:tcBorders>
              <w:top w:val="single" w:sz="4" w:space="0" w:color="000000"/>
              <w:bottom w:val="single" w:sz="4" w:space="0" w:color="000000"/>
            </w:tcBorders>
            <w:shd w:val="clear" w:color="auto" w:fill="auto"/>
            <w:tcMar>
              <w:top w:w="56" w:type="dxa"/>
              <w:left w:w="56" w:type="dxa"/>
              <w:bottom w:w="56" w:type="dxa"/>
              <w:right w:w="56" w:type="dxa"/>
            </w:tcMar>
          </w:tcPr>
          <w:p w14:paraId="3B62C8FE" w14:textId="77777777" w:rsidR="008A72AF" w:rsidRDefault="008A72AF" w:rsidP="00DF19F5">
            <w:pPr>
              <w:widowControl w:val="0"/>
              <w:ind w:left="25"/>
              <w:rPr>
                <w:b/>
                <w:sz w:val="20"/>
                <w:szCs w:val="20"/>
              </w:rPr>
            </w:pPr>
            <w:r>
              <w:rPr>
                <w:b/>
                <w:sz w:val="20"/>
                <w:szCs w:val="20"/>
              </w:rPr>
              <w:t xml:space="preserve">País </w:t>
            </w:r>
          </w:p>
        </w:tc>
        <w:tc>
          <w:tcPr>
            <w:tcW w:w="1099" w:type="pct"/>
            <w:tcBorders>
              <w:top w:val="single" w:sz="4" w:space="0" w:color="000000"/>
              <w:bottom w:val="single" w:sz="4" w:space="0" w:color="000000"/>
            </w:tcBorders>
            <w:shd w:val="clear" w:color="auto" w:fill="auto"/>
            <w:tcMar>
              <w:top w:w="56" w:type="dxa"/>
              <w:left w:w="56" w:type="dxa"/>
              <w:bottom w:w="56" w:type="dxa"/>
              <w:right w:w="56" w:type="dxa"/>
            </w:tcMar>
          </w:tcPr>
          <w:p w14:paraId="57C594CF" w14:textId="77777777" w:rsidR="008A72AF" w:rsidRDefault="008A72AF" w:rsidP="00DF19F5">
            <w:pPr>
              <w:widowControl w:val="0"/>
              <w:ind w:left="29"/>
              <w:rPr>
                <w:b/>
                <w:sz w:val="20"/>
                <w:szCs w:val="20"/>
              </w:rPr>
            </w:pPr>
            <w:r>
              <w:rPr>
                <w:b/>
                <w:sz w:val="20"/>
                <w:szCs w:val="20"/>
              </w:rPr>
              <w:t xml:space="preserve">Campo </w:t>
            </w:r>
          </w:p>
        </w:tc>
        <w:tc>
          <w:tcPr>
            <w:tcW w:w="1300" w:type="pct"/>
            <w:tcBorders>
              <w:top w:val="single" w:sz="4" w:space="0" w:color="000000"/>
              <w:bottom w:val="single" w:sz="4" w:space="0" w:color="000000"/>
            </w:tcBorders>
            <w:shd w:val="clear" w:color="auto" w:fill="auto"/>
            <w:tcMar>
              <w:top w:w="56" w:type="dxa"/>
              <w:left w:w="56" w:type="dxa"/>
              <w:bottom w:w="56" w:type="dxa"/>
              <w:right w:w="56" w:type="dxa"/>
            </w:tcMar>
          </w:tcPr>
          <w:p w14:paraId="51EAAF8D" w14:textId="77777777" w:rsidR="008A72AF" w:rsidRDefault="008A72AF" w:rsidP="00DF19F5">
            <w:pPr>
              <w:widowControl w:val="0"/>
              <w:ind w:left="25"/>
              <w:rPr>
                <w:sz w:val="20"/>
                <w:szCs w:val="20"/>
                <w:vertAlign w:val="superscript"/>
              </w:rPr>
            </w:pPr>
            <w:r>
              <w:rPr>
                <w:b/>
                <w:sz w:val="20"/>
                <w:szCs w:val="20"/>
              </w:rPr>
              <w:t>Fundado em</w:t>
            </w:r>
            <w:r>
              <w:rPr>
                <w:sz w:val="20"/>
                <w:szCs w:val="20"/>
                <w:vertAlign w:val="superscript"/>
              </w:rPr>
              <w:t xml:space="preserve"> </w:t>
            </w:r>
          </w:p>
        </w:tc>
        <w:tc>
          <w:tcPr>
            <w:tcW w:w="1416" w:type="pct"/>
            <w:tcBorders>
              <w:top w:val="single" w:sz="4" w:space="0" w:color="000000"/>
              <w:bottom w:val="single" w:sz="4" w:space="0" w:color="000000"/>
            </w:tcBorders>
            <w:shd w:val="clear" w:color="auto" w:fill="auto"/>
            <w:tcMar>
              <w:top w:w="56" w:type="dxa"/>
              <w:left w:w="56" w:type="dxa"/>
              <w:bottom w:w="56" w:type="dxa"/>
              <w:right w:w="56" w:type="dxa"/>
            </w:tcMar>
          </w:tcPr>
          <w:p w14:paraId="335D92B5" w14:textId="77777777" w:rsidR="008A72AF" w:rsidRDefault="008A72AF" w:rsidP="00DF19F5">
            <w:pPr>
              <w:widowControl w:val="0"/>
              <w:ind w:left="29" w:right="-70" w:hanging="2"/>
              <w:rPr>
                <w:sz w:val="20"/>
                <w:szCs w:val="20"/>
              </w:rPr>
            </w:pPr>
            <w:proofErr w:type="spellStart"/>
            <w:r>
              <w:rPr>
                <w:b/>
                <w:sz w:val="20"/>
                <w:szCs w:val="20"/>
              </w:rPr>
              <w:t>População</w:t>
            </w:r>
            <w:proofErr w:type="spellEnd"/>
            <w:r>
              <w:rPr>
                <w:b/>
                <w:sz w:val="20"/>
                <w:szCs w:val="20"/>
              </w:rPr>
              <w:t xml:space="preserve"> (ACNUR, 2016)</w:t>
            </w:r>
          </w:p>
        </w:tc>
      </w:tr>
      <w:tr w:rsidR="008A72AF" w14:paraId="10B97163" w14:textId="77777777" w:rsidTr="008A72AF">
        <w:trPr>
          <w:trHeight w:val="56"/>
        </w:trPr>
        <w:tc>
          <w:tcPr>
            <w:tcW w:w="1186" w:type="pct"/>
            <w:tcBorders>
              <w:top w:val="single" w:sz="4" w:space="0" w:color="000000"/>
              <w:bottom w:val="single" w:sz="4" w:space="0" w:color="000000"/>
            </w:tcBorders>
            <w:shd w:val="clear" w:color="auto" w:fill="auto"/>
            <w:tcMar>
              <w:top w:w="28" w:type="dxa"/>
              <w:left w:w="28" w:type="dxa"/>
              <w:bottom w:w="28" w:type="dxa"/>
              <w:right w:w="28" w:type="dxa"/>
            </w:tcMar>
          </w:tcPr>
          <w:p w14:paraId="3F288CA8" w14:textId="77777777" w:rsidR="008A72AF" w:rsidRDefault="008A72AF" w:rsidP="00DF19F5">
            <w:pPr>
              <w:widowControl w:val="0"/>
              <w:ind w:left="29"/>
              <w:rPr>
                <w:b/>
                <w:sz w:val="20"/>
                <w:szCs w:val="20"/>
              </w:rPr>
            </w:pPr>
            <w:proofErr w:type="spellStart"/>
            <w:r>
              <w:rPr>
                <w:b/>
                <w:sz w:val="20"/>
                <w:szCs w:val="20"/>
              </w:rPr>
              <w:t>Camarões</w:t>
            </w:r>
            <w:proofErr w:type="spellEnd"/>
            <w:r>
              <w:rPr>
                <w:b/>
                <w:sz w:val="20"/>
                <w:szCs w:val="20"/>
              </w:rPr>
              <w:t xml:space="preserve"> </w:t>
            </w:r>
          </w:p>
        </w:tc>
        <w:tc>
          <w:tcPr>
            <w:tcW w:w="1099" w:type="pct"/>
            <w:tcBorders>
              <w:top w:val="single" w:sz="4" w:space="0" w:color="000000"/>
              <w:bottom w:val="single" w:sz="4" w:space="0" w:color="000000"/>
            </w:tcBorders>
            <w:shd w:val="clear" w:color="auto" w:fill="auto"/>
            <w:tcMar>
              <w:top w:w="28" w:type="dxa"/>
              <w:left w:w="28" w:type="dxa"/>
              <w:bottom w:w="28" w:type="dxa"/>
              <w:right w:w="28" w:type="dxa"/>
            </w:tcMar>
          </w:tcPr>
          <w:p w14:paraId="11A8EE7D" w14:textId="77777777" w:rsidR="008A72AF" w:rsidRDefault="008A72AF" w:rsidP="00DF19F5">
            <w:pPr>
              <w:widowControl w:val="0"/>
              <w:ind w:left="23"/>
              <w:rPr>
                <w:sz w:val="20"/>
                <w:szCs w:val="20"/>
              </w:rPr>
            </w:pPr>
            <w:proofErr w:type="spellStart"/>
            <w:r>
              <w:rPr>
                <w:sz w:val="20"/>
                <w:szCs w:val="20"/>
              </w:rPr>
              <w:t>Minawao</w:t>
            </w:r>
            <w:proofErr w:type="spellEnd"/>
            <w:r>
              <w:rPr>
                <w:sz w:val="20"/>
                <w:szCs w:val="20"/>
              </w:rPr>
              <w:t xml:space="preserve"> </w:t>
            </w:r>
          </w:p>
        </w:tc>
        <w:tc>
          <w:tcPr>
            <w:tcW w:w="1300" w:type="pct"/>
            <w:tcBorders>
              <w:top w:val="single" w:sz="4" w:space="0" w:color="000000"/>
              <w:bottom w:val="single" w:sz="4" w:space="0" w:color="000000"/>
            </w:tcBorders>
            <w:shd w:val="clear" w:color="auto" w:fill="auto"/>
            <w:tcMar>
              <w:top w:w="28" w:type="dxa"/>
              <w:left w:w="28" w:type="dxa"/>
              <w:bottom w:w="28" w:type="dxa"/>
              <w:right w:w="28" w:type="dxa"/>
            </w:tcMar>
          </w:tcPr>
          <w:p w14:paraId="18D1E2A4" w14:textId="77777777" w:rsidR="008A72AF" w:rsidRDefault="008A72AF" w:rsidP="00DF19F5">
            <w:pPr>
              <w:widowControl w:val="0"/>
              <w:ind w:right="819"/>
              <w:jc w:val="right"/>
              <w:rPr>
                <w:sz w:val="20"/>
                <w:szCs w:val="20"/>
              </w:rPr>
            </w:pPr>
            <w:r>
              <w:rPr>
                <w:sz w:val="20"/>
                <w:szCs w:val="20"/>
              </w:rPr>
              <w:t xml:space="preserve">2013 </w:t>
            </w:r>
          </w:p>
        </w:tc>
        <w:tc>
          <w:tcPr>
            <w:tcW w:w="1416" w:type="pct"/>
            <w:tcBorders>
              <w:top w:val="single" w:sz="4" w:space="0" w:color="000000"/>
              <w:bottom w:val="single" w:sz="4" w:space="0" w:color="000000"/>
            </w:tcBorders>
            <w:shd w:val="clear" w:color="auto" w:fill="auto"/>
            <w:tcMar>
              <w:top w:w="28" w:type="dxa"/>
              <w:left w:w="28" w:type="dxa"/>
              <w:bottom w:w="28" w:type="dxa"/>
              <w:right w:w="28" w:type="dxa"/>
            </w:tcMar>
          </w:tcPr>
          <w:p w14:paraId="46F06E04" w14:textId="77777777" w:rsidR="008A72AF" w:rsidRDefault="008A72AF" w:rsidP="00DF19F5">
            <w:pPr>
              <w:widowControl w:val="0"/>
              <w:ind w:right="729"/>
              <w:jc w:val="right"/>
              <w:rPr>
                <w:sz w:val="20"/>
                <w:szCs w:val="20"/>
              </w:rPr>
            </w:pPr>
            <w:r>
              <w:rPr>
                <w:sz w:val="20"/>
                <w:szCs w:val="20"/>
              </w:rPr>
              <w:t xml:space="preserve">60.075 </w:t>
            </w:r>
          </w:p>
        </w:tc>
      </w:tr>
      <w:tr w:rsidR="008A72AF" w14:paraId="2973BD56" w14:textId="77777777" w:rsidTr="008A72AF">
        <w:trPr>
          <w:trHeight w:val="56"/>
        </w:trPr>
        <w:tc>
          <w:tcPr>
            <w:tcW w:w="1186" w:type="pct"/>
            <w:vMerge w:val="restart"/>
            <w:tcBorders>
              <w:top w:val="single" w:sz="4" w:space="0" w:color="000000"/>
            </w:tcBorders>
            <w:shd w:val="clear" w:color="auto" w:fill="auto"/>
            <w:tcMar>
              <w:top w:w="28" w:type="dxa"/>
              <w:left w:w="28" w:type="dxa"/>
              <w:bottom w:w="28" w:type="dxa"/>
              <w:right w:w="28" w:type="dxa"/>
            </w:tcMar>
            <w:vAlign w:val="center"/>
          </w:tcPr>
          <w:p w14:paraId="353FA5F4" w14:textId="77777777" w:rsidR="008A72AF" w:rsidRDefault="008A72AF" w:rsidP="00DF19F5">
            <w:pPr>
              <w:widowControl w:val="0"/>
              <w:ind w:left="29"/>
              <w:rPr>
                <w:b/>
                <w:sz w:val="20"/>
                <w:szCs w:val="20"/>
              </w:rPr>
            </w:pPr>
            <w:proofErr w:type="spellStart"/>
            <w:r>
              <w:rPr>
                <w:b/>
                <w:sz w:val="20"/>
                <w:szCs w:val="20"/>
              </w:rPr>
              <w:t>Chade</w:t>
            </w:r>
            <w:proofErr w:type="spellEnd"/>
            <w:r>
              <w:rPr>
                <w:b/>
                <w:sz w:val="20"/>
                <w:szCs w:val="20"/>
              </w:rPr>
              <w:t xml:space="preserve"> </w:t>
            </w:r>
          </w:p>
        </w:tc>
        <w:tc>
          <w:tcPr>
            <w:tcW w:w="1099" w:type="pct"/>
            <w:tcBorders>
              <w:top w:val="single" w:sz="4" w:space="0" w:color="000000"/>
            </w:tcBorders>
            <w:shd w:val="clear" w:color="auto" w:fill="auto"/>
            <w:tcMar>
              <w:top w:w="28" w:type="dxa"/>
              <w:left w:w="28" w:type="dxa"/>
              <w:bottom w:w="28" w:type="dxa"/>
              <w:right w:w="28" w:type="dxa"/>
            </w:tcMar>
          </w:tcPr>
          <w:p w14:paraId="65CE43F3" w14:textId="77777777" w:rsidR="008A72AF" w:rsidRDefault="008A72AF" w:rsidP="00DF19F5">
            <w:pPr>
              <w:widowControl w:val="0"/>
              <w:ind w:left="23"/>
              <w:rPr>
                <w:sz w:val="20"/>
                <w:szCs w:val="20"/>
              </w:rPr>
            </w:pPr>
            <w:proofErr w:type="spellStart"/>
            <w:r>
              <w:rPr>
                <w:sz w:val="20"/>
                <w:szCs w:val="20"/>
              </w:rPr>
              <w:t>Bredjing</w:t>
            </w:r>
            <w:proofErr w:type="spellEnd"/>
            <w:r>
              <w:rPr>
                <w:sz w:val="20"/>
                <w:szCs w:val="20"/>
              </w:rPr>
              <w:t xml:space="preserve"> </w:t>
            </w:r>
          </w:p>
        </w:tc>
        <w:tc>
          <w:tcPr>
            <w:tcW w:w="1300" w:type="pct"/>
            <w:tcBorders>
              <w:top w:val="single" w:sz="4" w:space="0" w:color="000000"/>
            </w:tcBorders>
            <w:shd w:val="clear" w:color="auto" w:fill="auto"/>
            <w:tcMar>
              <w:top w:w="28" w:type="dxa"/>
              <w:left w:w="28" w:type="dxa"/>
              <w:bottom w:w="28" w:type="dxa"/>
              <w:right w:w="28" w:type="dxa"/>
            </w:tcMar>
          </w:tcPr>
          <w:p w14:paraId="3511B7F7" w14:textId="77777777" w:rsidR="008A72AF" w:rsidRDefault="008A72AF" w:rsidP="00DF19F5">
            <w:pPr>
              <w:widowControl w:val="0"/>
              <w:ind w:right="819"/>
              <w:jc w:val="right"/>
              <w:rPr>
                <w:sz w:val="20"/>
                <w:szCs w:val="20"/>
              </w:rPr>
            </w:pPr>
            <w:r>
              <w:rPr>
                <w:sz w:val="20"/>
                <w:szCs w:val="20"/>
              </w:rPr>
              <w:t xml:space="preserve">2004 </w:t>
            </w:r>
          </w:p>
        </w:tc>
        <w:tc>
          <w:tcPr>
            <w:tcW w:w="1416" w:type="pct"/>
            <w:tcBorders>
              <w:top w:val="single" w:sz="4" w:space="0" w:color="000000"/>
            </w:tcBorders>
            <w:shd w:val="clear" w:color="auto" w:fill="auto"/>
            <w:tcMar>
              <w:top w:w="28" w:type="dxa"/>
              <w:left w:w="28" w:type="dxa"/>
              <w:bottom w:w="28" w:type="dxa"/>
              <w:right w:w="28" w:type="dxa"/>
            </w:tcMar>
          </w:tcPr>
          <w:p w14:paraId="03CB4DC9" w14:textId="77777777" w:rsidR="008A72AF" w:rsidRDefault="008A72AF" w:rsidP="00DF19F5">
            <w:pPr>
              <w:widowControl w:val="0"/>
              <w:ind w:right="729"/>
              <w:jc w:val="right"/>
              <w:rPr>
                <w:sz w:val="20"/>
                <w:szCs w:val="20"/>
              </w:rPr>
            </w:pPr>
            <w:r>
              <w:rPr>
                <w:sz w:val="20"/>
                <w:szCs w:val="20"/>
              </w:rPr>
              <w:t xml:space="preserve">42.970 </w:t>
            </w:r>
          </w:p>
        </w:tc>
      </w:tr>
      <w:tr w:rsidR="008A72AF" w14:paraId="62D33842" w14:textId="77777777" w:rsidTr="008A72AF">
        <w:trPr>
          <w:trHeight w:val="56"/>
        </w:trPr>
        <w:tc>
          <w:tcPr>
            <w:tcW w:w="1186" w:type="pct"/>
            <w:vMerge/>
            <w:tcBorders>
              <w:top w:val="single" w:sz="4" w:space="0" w:color="000000"/>
            </w:tcBorders>
            <w:shd w:val="clear" w:color="auto" w:fill="auto"/>
            <w:tcMar>
              <w:top w:w="28" w:type="dxa"/>
              <w:left w:w="28" w:type="dxa"/>
              <w:bottom w:w="28" w:type="dxa"/>
              <w:right w:w="28" w:type="dxa"/>
            </w:tcMar>
            <w:vAlign w:val="center"/>
          </w:tcPr>
          <w:p w14:paraId="58335140" w14:textId="77777777" w:rsidR="008A72AF" w:rsidRDefault="008A72AF" w:rsidP="00DF19F5">
            <w:pPr>
              <w:widowControl w:val="0"/>
              <w:rPr>
                <w:sz w:val="20"/>
                <w:szCs w:val="20"/>
              </w:rPr>
            </w:pPr>
          </w:p>
        </w:tc>
        <w:tc>
          <w:tcPr>
            <w:tcW w:w="1099" w:type="pct"/>
            <w:shd w:val="clear" w:color="auto" w:fill="auto"/>
            <w:tcMar>
              <w:top w:w="28" w:type="dxa"/>
              <w:left w:w="28" w:type="dxa"/>
              <w:bottom w:w="28" w:type="dxa"/>
              <w:right w:w="28" w:type="dxa"/>
            </w:tcMar>
          </w:tcPr>
          <w:p w14:paraId="43C0E941" w14:textId="77777777" w:rsidR="008A72AF" w:rsidRDefault="008A72AF" w:rsidP="00DF19F5">
            <w:pPr>
              <w:widowControl w:val="0"/>
              <w:ind w:left="23"/>
              <w:rPr>
                <w:sz w:val="20"/>
                <w:szCs w:val="20"/>
              </w:rPr>
            </w:pPr>
            <w:proofErr w:type="spellStart"/>
            <w:r>
              <w:rPr>
                <w:sz w:val="20"/>
                <w:szCs w:val="20"/>
              </w:rPr>
              <w:t>Farchana</w:t>
            </w:r>
            <w:proofErr w:type="spellEnd"/>
            <w:r>
              <w:rPr>
                <w:sz w:val="20"/>
                <w:szCs w:val="20"/>
              </w:rPr>
              <w:t xml:space="preserve"> </w:t>
            </w:r>
          </w:p>
        </w:tc>
        <w:tc>
          <w:tcPr>
            <w:tcW w:w="1300" w:type="pct"/>
            <w:shd w:val="clear" w:color="auto" w:fill="auto"/>
            <w:tcMar>
              <w:top w:w="28" w:type="dxa"/>
              <w:left w:w="28" w:type="dxa"/>
              <w:bottom w:w="28" w:type="dxa"/>
              <w:right w:w="28" w:type="dxa"/>
            </w:tcMar>
          </w:tcPr>
          <w:p w14:paraId="5AC136C2" w14:textId="77777777" w:rsidR="008A72AF" w:rsidRDefault="008A72AF" w:rsidP="00DF19F5">
            <w:pPr>
              <w:widowControl w:val="0"/>
              <w:ind w:right="819"/>
              <w:jc w:val="right"/>
              <w:rPr>
                <w:sz w:val="20"/>
                <w:szCs w:val="20"/>
              </w:rPr>
            </w:pPr>
            <w:r>
              <w:rPr>
                <w:sz w:val="20"/>
                <w:szCs w:val="20"/>
              </w:rPr>
              <w:t xml:space="preserve">2004 </w:t>
            </w:r>
          </w:p>
        </w:tc>
        <w:tc>
          <w:tcPr>
            <w:tcW w:w="1416" w:type="pct"/>
            <w:shd w:val="clear" w:color="auto" w:fill="auto"/>
            <w:tcMar>
              <w:top w:w="28" w:type="dxa"/>
              <w:left w:w="28" w:type="dxa"/>
              <w:bottom w:w="28" w:type="dxa"/>
              <w:right w:w="28" w:type="dxa"/>
            </w:tcMar>
          </w:tcPr>
          <w:p w14:paraId="415E89A4" w14:textId="77777777" w:rsidR="008A72AF" w:rsidRDefault="008A72AF" w:rsidP="00DF19F5">
            <w:pPr>
              <w:widowControl w:val="0"/>
              <w:ind w:right="729"/>
              <w:jc w:val="right"/>
              <w:rPr>
                <w:sz w:val="20"/>
                <w:szCs w:val="20"/>
              </w:rPr>
            </w:pPr>
            <w:r>
              <w:rPr>
                <w:sz w:val="20"/>
                <w:szCs w:val="20"/>
              </w:rPr>
              <w:t xml:space="preserve">27.671 </w:t>
            </w:r>
          </w:p>
        </w:tc>
      </w:tr>
      <w:tr w:rsidR="008A72AF" w14:paraId="72CA98C3" w14:textId="77777777" w:rsidTr="008A72AF">
        <w:trPr>
          <w:trHeight w:val="56"/>
        </w:trPr>
        <w:tc>
          <w:tcPr>
            <w:tcW w:w="1186" w:type="pct"/>
            <w:vMerge/>
            <w:tcBorders>
              <w:top w:val="single" w:sz="4" w:space="0" w:color="000000"/>
            </w:tcBorders>
            <w:shd w:val="clear" w:color="auto" w:fill="auto"/>
            <w:tcMar>
              <w:top w:w="28" w:type="dxa"/>
              <w:left w:w="28" w:type="dxa"/>
              <w:bottom w:w="28" w:type="dxa"/>
              <w:right w:w="28" w:type="dxa"/>
            </w:tcMar>
            <w:vAlign w:val="center"/>
          </w:tcPr>
          <w:p w14:paraId="5C223A74" w14:textId="77777777" w:rsidR="008A72AF" w:rsidRDefault="008A72AF" w:rsidP="00DF19F5">
            <w:pPr>
              <w:widowControl w:val="0"/>
              <w:rPr>
                <w:sz w:val="20"/>
                <w:szCs w:val="20"/>
              </w:rPr>
            </w:pPr>
          </w:p>
        </w:tc>
        <w:tc>
          <w:tcPr>
            <w:tcW w:w="1099" w:type="pct"/>
            <w:shd w:val="clear" w:color="auto" w:fill="auto"/>
            <w:tcMar>
              <w:top w:w="28" w:type="dxa"/>
              <w:left w:w="28" w:type="dxa"/>
              <w:bottom w:w="28" w:type="dxa"/>
              <w:right w:w="28" w:type="dxa"/>
            </w:tcMar>
          </w:tcPr>
          <w:p w14:paraId="2829655C" w14:textId="77777777" w:rsidR="008A72AF" w:rsidRDefault="008A72AF" w:rsidP="00DF19F5">
            <w:pPr>
              <w:widowControl w:val="0"/>
              <w:ind w:left="28"/>
              <w:rPr>
                <w:sz w:val="20"/>
                <w:szCs w:val="20"/>
              </w:rPr>
            </w:pPr>
            <w:proofErr w:type="spellStart"/>
            <w:r>
              <w:rPr>
                <w:sz w:val="20"/>
                <w:szCs w:val="20"/>
              </w:rPr>
              <w:t>Goz</w:t>
            </w:r>
            <w:proofErr w:type="spellEnd"/>
            <w:r>
              <w:rPr>
                <w:sz w:val="20"/>
                <w:szCs w:val="20"/>
              </w:rPr>
              <w:t xml:space="preserve"> </w:t>
            </w:r>
            <w:proofErr w:type="spellStart"/>
            <w:r>
              <w:rPr>
                <w:sz w:val="20"/>
                <w:szCs w:val="20"/>
              </w:rPr>
              <w:t>Amer</w:t>
            </w:r>
            <w:proofErr w:type="spellEnd"/>
            <w:r>
              <w:rPr>
                <w:sz w:val="20"/>
                <w:szCs w:val="20"/>
              </w:rPr>
              <w:t xml:space="preserve"> </w:t>
            </w:r>
          </w:p>
        </w:tc>
        <w:tc>
          <w:tcPr>
            <w:tcW w:w="1300" w:type="pct"/>
            <w:shd w:val="clear" w:color="auto" w:fill="auto"/>
            <w:tcMar>
              <w:top w:w="28" w:type="dxa"/>
              <w:left w:w="28" w:type="dxa"/>
              <w:bottom w:w="28" w:type="dxa"/>
              <w:right w:w="28" w:type="dxa"/>
            </w:tcMar>
          </w:tcPr>
          <w:p w14:paraId="57223F81" w14:textId="77777777" w:rsidR="008A72AF" w:rsidRDefault="008A72AF" w:rsidP="00DF19F5">
            <w:pPr>
              <w:widowControl w:val="0"/>
              <w:ind w:right="819"/>
              <w:jc w:val="right"/>
              <w:rPr>
                <w:sz w:val="20"/>
                <w:szCs w:val="20"/>
              </w:rPr>
            </w:pPr>
            <w:r>
              <w:rPr>
                <w:sz w:val="20"/>
                <w:szCs w:val="20"/>
              </w:rPr>
              <w:t xml:space="preserve">2004 </w:t>
            </w:r>
          </w:p>
        </w:tc>
        <w:tc>
          <w:tcPr>
            <w:tcW w:w="1416" w:type="pct"/>
            <w:shd w:val="clear" w:color="auto" w:fill="auto"/>
            <w:tcMar>
              <w:top w:w="28" w:type="dxa"/>
              <w:left w:w="28" w:type="dxa"/>
              <w:bottom w:w="28" w:type="dxa"/>
              <w:right w:w="28" w:type="dxa"/>
            </w:tcMar>
          </w:tcPr>
          <w:p w14:paraId="57EB23D5" w14:textId="77777777" w:rsidR="008A72AF" w:rsidRDefault="008A72AF" w:rsidP="00DF19F5">
            <w:pPr>
              <w:widowControl w:val="0"/>
              <w:ind w:right="729"/>
              <w:jc w:val="right"/>
              <w:rPr>
                <w:sz w:val="20"/>
                <w:szCs w:val="20"/>
              </w:rPr>
            </w:pPr>
            <w:r>
              <w:rPr>
                <w:sz w:val="20"/>
                <w:szCs w:val="20"/>
              </w:rPr>
              <w:t xml:space="preserve">32.475 </w:t>
            </w:r>
          </w:p>
        </w:tc>
      </w:tr>
      <w:tr w:rsidR="008A72AF" w14:paraId="3F97F868" w14:textId="77777777" w:rsidTr="008A72AF">
        <w:trPr>
          <w:trHeight w:val="56"/>
        </w:trPr>
        <w:tc>
          <w:tcPr>
            <w:tcW w:w="1186" w:type="pct"/>
            <w:vMerge/>
            <w:tcBorders>
              <w:top w:val="single" w:sz="4" w:space="0" w:color="000000"/>
            </w:tcBorders>
            <w:shd w:val="clear" w:color="auto" w:fill="auto"/>
            <w:tcMar>
              <w:top w:w="28" w:type="dxa"/>
              <w:left w:w="28" w:type="dxa"/>
              <w:bottom w:w="28" w:type="dxa"/>
              <w:right w:w="28" w:type="dxa"/>
            </w:tcMar>
            <w:vAlign w:val="center"/>
          </w:tcPr>
          <w:p w14:paraId="615370BE" w14:textId="77777777" w:rsidR="008A72AF" w:rsidRDefault="008A72AF" w:rsidP="00DF19F5">
            <w:pPr>
              <w:widowControl w:val="0"/>
              <w:rPr>
                <w:sz w:val="20"/>
                <w:szCs w:val="20"/>
              </w:rPr>
            </w:pPr>
          </w:p>
        </w:tc>
        <w:tc>
          <w:tcPr>
            <w:tcW w:w="1099" w:type="pct"/>
            <w:tcBorders>
              <w:bottom w:val="single" w:sz="4" w:space="0" w:color="000000"/>
            </w:tcBorders>
            <w:shd w:val="clear" w:color="auto" w:fill="auto"/>
            <w:tcMar>
              <w:top w:w="28" w:type="dxa"/>
              <w:left w:w="28" w:type="dxa"/>
              <w:bottom w:w="28" w:type="dxa"/>
              <w:right w:w="28" w:type="dxa"/>
            </w:tcMar>
          </w:tcPr>
          <w:p w14:paraId="59190542" w14:textId="77777777" w:rsidR="008A72AF" w:rsidRDefault="008A72AF" w:rsidP="00DF19F5">
            <w:pPr>
              <w:widowControl w:val="0"/>
              <w:ind w:left="28"/>
              <w:rPr>
                <w:sz w:val="20"/>
                <w:szCs w:val="20"/>
              </w:rPr>
            </w:pPr>
            <w:proofErr w:type="spellStart"/>
            <w:r>
              <w:rPr>
                <w:sz w:val="20"/>
                <w:szCs w:val="20"/>
              </w:rPr>
              <w:t>Oure</w:t>
            </w:r>
            <w:proofErr w:type="spellEnd"/>
            <w:r>
              <w:rPr>
                <w:sz w:val="20"/>
                <w:szCs w:val="20"/>
              </w:rPr>
              <w:t xml:space="preserve"> </w:t>
            </w:r>
            <w:proofErr w:type="spellStart"/>
            <w:r>
              <w:rPr>
                <w:sz w:val="20"/>
                <w:szCs w:val="20"/>
              </w:rPr>
              <w:t>Cassoni</w:t>
            </w:r>
            <w:proofErr w:type="spellEnd"/>
            <w:r>
              <w:rPr>
                <w:sz w:val="20"/>
                <w:szCs w:val="20"/>
              </w:rPr>
              <w:t xml:space="preserve"> </w:t>
            </w:r>
          </w:p>
        </w:tc>
        <w:tc>
          <w:tcPr>
            <w:tcW w:w="1300" w:type="pct"/>
            <w:tcBorders>
              <w:bottom w:val="single" w:sz="4" w:space="0" w:color="000000"/>
            </w:tcBorders>
            <w:shd w:val="clear" w:color="auto" w:fill="auto"/>
            <w:tcMar>
              <w:top w:w="28" w:type="dxa"/>
              <w:left w:w="28" w:type="dxa"/>
              <w:bottom w:w="28" w:type="dxa"/>
              <w:right w:w="28" w:type="dxa"/>
            </w:tcMar>
          </w:tcPr>
          <w:p w14:paraId="2FEBA5D2" w14:textId="77777777" w:rsidR="008A72AF" w:rsidRDefault="008A72AF" w:rsidP="00DF19F5">
            <w:pPr>
              <w:widowControl w:val="0"/>
              <w:ind w:right="819"/>
              <w:jc w:val="right"/>
              <w:rPr>
                <w:sz w:val="20"/>
                <w:szCs w:val="20"/>
              </w:rPr>
            </w:pPr>
            <w:r>
              <w:rPr>
                <w:sz w:val="20"/>
                <w:szCs w:val="20"/>
              </w:rPr>
              <w:t xml:space="preserve">2004 </w:t>
            </w:r>
          </w:p>
        </w:tc>
        <w:tc>
          <w:tcPr>
            <w:tcW w:w="1416" w:type="pct"/>
            <w:tcBorders>
              <w:bottom w:val="single" w:sz="4" w:space="0" w:color="000000"/>
            </w:tcBorders>
            <w:shd w:val="clear" w:color="auto" w:fill="auto"/>
            <w:tcMar>
              <w:top w:w="28" w:type="dxa"/>
              <w:left w:w="28" w:type="dxa"/>
              <w:bottom w:w="28" w:type="dxa"/>
              <w:right w:w="28" w:type="dxa"/>
            </w:tcMar>
          </w:tcPr>
          <w:p w14:paraId="7E4531E4" w14:textId="77777777" w:rsidR="008A72AF" w:rsidRDefault="008A72AF" w:rsidP="00DF19F5">
            <w:pPr>
              <w:widowControl w:val="0"/>
              <w:ind w:right="729"/>
              <w:jc w:val="right"/>
              <w:rPr>
                <w:sz w:val="20"/>
                <w:szCs w:val="20"/>
              </w:rPr>
            </w:pPr>
            <w:r>
              <w:rPr>
                <w:sz w:val="20"/>
                <w:szCs w:val="20"/>
              </w:rPr>
              <w:t xml:space="preserve">27.839 </w:t>
            </w:r>
          </w:p>
        </w:tc>
      </w:tr>
      <w:tr w:rsidR="008A72AF" w14:paraId="5EA1C2F1" w14:textId="77777777" w:rsidTr="008A72AF">
        <w:trPr>
          <w:trHeight w:val="56"/>
        </w:trPr>
        <w:tc>
          <w:tcPr>
            <w:tcW w:w="1186" w:type="pct"/>
            <w:vMerge w:val="restart"/>
            <w:tcBorders>
              <w:top w:val="single" w:sz="4" w:space="0" w:color="000000"/>
            </w:tcBorders>
            <w:shd w:val="clear" w:color="auto" w:fill="auto"/>
            <w:tcMar>
              <w:top w:w="28" w:type="dxa"/>
              <w:left w:w="28" w:type="dxa"/>
              <w:bottom w:w="28" w:type="dxa"/>
              <w:right w:w="28" w:type="dxa"/>
            </w:tcMar>
            <w:vAlign w:val="center"/>
          </w:tcPr>
          <w:p w14:paraId="44217BEE" w14:textId="77777777" w:rsidR="008A72AF" w:rsidRDefault="008A72AF" w:rsidP="00DF19F5">
            <w:pPr>
              <w:widowControl w:val="0"/>
              <w:ind w:left="24"/>
              <w:rPr>
                <w:b/>
                <w:sz w:val="20"/>
                <w:szCs w:val="20"/>
              </w:rPr>
            </w:pPr>
            <w:proofErr w:type="spellStart"/>
            <w:r>
              <w:rPr>
                <w:b/>
                <w:sz w:val="20"/>
                <w:szCs w:val="20"/>
              </w:rPr>
              <w:t>Etiópia</w:t>
            </w:r>
            <w:proofErr w:type="spellEnd"/>
            <w:r>
              <w:rPr>
                <w:b/>
                <w:sz w:val="20"/>
                <w:szCs w:val="20"/>
              </w:rPr>
              <w:t xml:space="preserve"> </w:t>
            </w:r>
          </w:p>
        </w:tc>
        <w:tc>
          <w:tcPr>
            <w:tcW w:w="1099" w:type="pct"/>
            <w:tcBorders>
              <w:top w:val="single" w:sz="4" w:space="0" w:color="000000"/>
            </w:tcBorders>
            <w:shd w:val="clear" w:color="auto" w:fill="auto"/>
            <w:tcMar>
              <w:top w:w="28" w:type="dxa"/>
              <w:left w:w="28" w:type="dxa"/>
              <w:bottom w:w="28" w:type="dxa"/>
              <w:right w:w="28" w:type="dxa"/>
            </w:tcMar>
          </w:tcPr>
          <w:p w14:paraId="539C449C" w14:textId="77777777" w:rsidR="008A72AF" w:rsidRDefault="008A72AF" w:rsidP="00DF19F5">
            <w:pPr>
              <w:widowControl w:val="0"/>
              <w:ind w:left="23"/>
              <w:rPr>
                <w:sz w:val="20"/>
                <w:szCs w:val="20"/>
              </w:rPr>
            </w:pPr>
            <w:proofErr w:type="spellStart"/>
            <w:r>
              <w:rPr>
                <w:sz w:val="20"/>
                <w:szCs w:val="20"/>
              </w:rPr>
              <w:t>Pugnido</w:t>
            </w:r>
            <w:proofErr w:type="spellEnd"/>
            <w:r>
              <w:rPr>
                <w:sz w:val="20"/>
                <w:szCs w:val="20"/>
              </w:rPr>
              <w:t xml:space="preserve"> </w:t>
            </w:r>
          </w:p>
        </w:tc>
        <w:tc>
          <w:tcPr>
            <w:tcW w:w="1300" w:type="pct"/>
            <w:tcBorders>
              <w:top w:val="single" w:sz="4" w:space="0" w:color="000000"/>
            </w:tcBorders>
            <w:shd w:val="clear" w:color="auto" w:fill="auto"/>
            <w:tcMar>
              <w:top w:w="28" w:type="dxa"/>
              <w:left w:w="28" w:type="dxa"/>
              <w:bottom w:w="28" w:type="dxa"/>
              <w:right w:w="28" w:type="dxa"/>
            </w:tcMar>
          </w:tcPr>
          <w:p w14:paraId="2D00E4C6" w14:textId="77777777" w:rsidR="008A72AF" w:rsidRDefault="008A72AF" w:rsidP="00DF19F5">
            <w:pPr>
              <w:widowControl w:val="0"/>
              <w:ind w:right="819"/>
              <w:jc w:val="right"/>
              <w:rPr>
                <w:sz w:val="20"/>
                <w:szCs w:val="20"/>
              </w:rPr>
            </w:pPr>
            <w:r>
              <w:rPr>
                <w:sz w:val="20"/>
                <w:szCs w:val="20"/>
              </w:rPr>
              <w:t xml:space="preserve">1996 </w:t>
            </w:r>
          </w:p>
        </w:tc>
        <w:tc>
          <w:tcPr>
            <w:tcW w:w="1416" w:type="pct"/>
            <w:tcBorders>
              <w:top w:val="single" w:sz="4" w:space="0" w:color="000000"/>
            </w:tcBorders>
            <w:shd w:val="clear" w:color="auto" w:fill="auto"/>
            <w:tcMar>
              <w:top w:w="28" w:type="dxa"/>
              <w:left w:w="28" w:type="dxa"/>
              <w:bottom w:w="28" w:type="dxa"/>
              <w:right w:w="28" w:type="dxa"/>
            </w:tcMar>
          </w:tcPr>
          <w:p w14:paraId="16553A14" w14:textId="77777777" w:rsidR="008A72AF" w:rsidRDefault="008A72AF" w:rsidP="00DF19F5">
            <w:pPr>
              <w:widowControl w:val="0"/>
              <w:ind w:right="729"/>
              <w:jc w:val="right"/>
              <w:rPr>
                <w:sz w:val="20"/>
                <w:szCs w:val="20"/>
              </w:rPr>
            </w:pPr>
            <w:r>
              <w:rPr>
                <w:sz w:val="20"/>
                <w:szCs w:val="20"/>
              </w:rPr>
              <w:t xml:space="preserve">63.875 </w:t>
            </w:r>
          </w:p>
        </w:tc>
      </w:tr>
      <w:tr w:rsidR="008A72AF" w14:paraId="616EC50A" w14:textId="77777777" w:rsidTr="008A72AF">
        <w:trPr>
          <w:trHeight w:val="56"/>
        </w:trPr>
        <w:tc>
          <w:tcPr>
            <w:tcW w:w="1186" w:type="pct"/>
            <w:vMerge/>
            <w:tcBorders>
              <w:top w:val="single" w:sz="4" w:space="0" w:color="000000"/>
            </w:tcBorders>
            <w:shd w:val="clear" w:color="auto" w:fill="auto"/>
            <w:tcMar>
              <w:top w:w="28" w:type="dxa"/>
              <w:left w:w="28" w:type="dxa"/>
              <w:bottom w:w="28" w:type="dxa"/>
              <w:right w:w="28" w:type="dxa"/>
            </w:tcMar>
            <w:vAlign w:val="center"/>
          </w:tcPr>
          <w:p w14:paraId="7EC081CC" w14:textId="77777777" w:rsidR="008A72AF" w:rsidRDefault="008A72AF" w:rsidP="00DF19F5">
            <w:pPr>
              <w:widowControl w:val="0"/>
              <w:rPr>
                <w:sz w:val="20"/>
                <w:szCs w:val="20"/>
              </w:rPr>
            </w:pPr>
          </w:p>
        </w:tc>
        <w:tc>
          <w:tcPr>
            <w:tcW w:w="1099" w:type="pct"/>
            <w:shd w:val="clear" w:color="auto" w:fill="auto"/>
            <w:tcMar>
              <w:top w:w="28" w:type="dxa"/>
              <w:left w:w="28" w:type="dxa"/>
              <w:bottom w:w="28" w:type="dxa"/>
              <w:right w:w="28" w:type="dxa"/>
            </w:tcMar>
          </w:tcPr>
          <w:p w14:paraId="3A405EAE" w14:textId="77777777" w:rsidR="008A72AF" w:rsidRDefault="008A72AF" w:rsidP="00DF19F5">
            <w:pPr>
              <w:widowControl w:val="0"/>
              <w:ind w:left="23"/>
              <w:rPr>
                <w:sz w:val="20"/>
                <w:szCs w:val="20"/>
              </w:rPr>
            </w:pPr>
            <w:proofErr w:type="spellStart"/>
            <w:r>
              <w:rPr>
                <w:sz w:val="20"/>
                <w:szCs w:val="20"/>
              </w:rPr>
              <w:t>Bokolmanyo</w:t>
            </w:r>
            <w:proofErr w:type="spellEnd"/>
            <w:r>
              <w:rPr>
                <w:sz w:val="20"/>
                <w:szCs w:val="20"/>
              </w:rPr>
              <w:t xml:space="preserve"> </w:t>
            </w:r>
          </w:p>
        </w:tc>
        <w:tc>
          <w:tcPr>
            <w:tcW w:w="1300" w:type="pct"/>
            <w:shd w:val="clear" w:color="auto" w:fill="auto"/>
            <w:tcMar>
              <w:top w:w="28" w:type="dxa"/>
              <w:left w:w="28" w:type="dxa"/>
              <w:bottom w:w="28" w:type="dxa"/>
              <w:right w:w="28" w:type="dxa"/>
            </w:tcMar>
          </w:tcPr>
          <w:p w14:paraId="527CFE85" w14:textId="77777777" w:rsidR="008A72AF" w:rsidRDefault="008A72AF" w:rsidP="00DF19F5">
            <w:pPr>
              <w:widowControl w:val="0"/>
              <w:ind w:right="819"/>
              <w:jc w:val="right"/>
              <w:rPr>
                <w:sz w:val="20"/>
                <w:szCs w:val="20"/>
              </w:rPr>
            </w:pPr>
            <w:r>
              <w:rPr>
                <w:sz w:val="20"/>
                <w:szCs w:val="20"/>
              </w:rPr>
              <w:t xml:space="preserve">2009 </w:t>
            </w:r>
          </w:p>
        </w:tc>
        <w:tc>
          <w:tcPr>
            <w:tcW w:w="1416" w:type="pct"/>
            <w:shd w:val="clear" w:color="auto" w:fill="auto"/>
            <w:tcMar>
              <w:top w:w="28" w:type="dxa"/>
              <w:left w:w="28" w:type="dxa"/>
              <w:bottom w:w="28" w:type="dxa"/>
              <w:right w:w="28" w:type="dxa"/>
            </w:tcMar>
          </w:tcPr>
          <w:p w14:paraId="203D0ED5" w14:textId="77777777" w:rsidR="008A72AF" w:rsidRDefault="008A72AF" w:rsidP="00DF19F5">
            <w:pPr>
              <w:widowControl w:val="0"/>
              <w:ind w:right="729"/>
              <w:jc w:val="right"/>
              <w:rPr>
                <w:sz w:val="20"/>
                <w:szCs w:val="20"/>
              </w:rPr>
            </w:pPr>
            <w:r>
              <w:rPr>
                <w:sz w:val="20"/>
                <w:szCs w:val="20"/>
              </w:rPr>
              <w:t xml:space="preserve">42.605 </w:t>
            </w:r>
          </w:p>
        </w:tc>
      </w:tr>
      <w:tr w:rsidR="008A72AF" w14:paraId="6A13156E" w14:textId="77777777" w:rsidTr="008A72AF">
        <w:trPr>
          <w:trHeight w:val="56"/>
        </w:trPr>
        <w:tc>
          <w:tcPr>
            <w:tcW w:w="1186" w:type="pct"/>
            <w:vMerge/>
            <w:tcBorders>
              <w:top w:val="single" w:sz="4" w:space="0" w:color="000000"/>
            </w:tcBorders>
            <w:shd w:val="clear" w:color="auto" w:fill="auto"/>
            <w:tcMar>
              <w:top w:w="28" w:type="dxa"/>
              <w:left w:w="28" w:type="dxa"/>
              <w:bottom w:w="28" w:type="dxa"/>
              <w:right w:w="28" w:type="dxa"/>
            </w:tcMar>
            <w:vAlign w:val="center"/>
          </w:tcPr>
          <w:p w14:paraId="7189EB4B" w14:textId="77777777" w:rsidR="008A72AF" w:rsidRDefault="008A72AF" w:rsidP="00DF19F5">
            <w:pPr>
              <w:widowControl w:val="0"/>
              <w:rPr>
                <w:sz w:val="20"/>
                <w:szCs w:val="20"/>
              </w:rPr>
            </w:pPr>
          </w:p>
        </w:tc>
        <w:tc>
          <w:tcPr>
            <w:tcW w:w="1099" w:type="pct"/>
            <w:shd w:val="clear" w:color="auto" w:fill="auto"/>
            <w:tcMar>
              <w:top w:w="28" w:type="dxa"/>
              <w:left w:w="28" w:type="dxa"/>
              <w:bottom w:w="28" w:type="dxa"/>
              <w:right w:w="28" w:type="dxa"/>
            </w:tcMar>
          </w:tcPr>
          <w:p w14:paraId="53149435" w14:textId="77777777" w:rsidR="008A72AF" w:rsidRDefault="008A72AF" w:rsidP="00DF19F5">
            <w:pPr>
              <w:widowControl w:val="0"/>
              <w:ind w:left="23"/>
              <w:rPr>
                <w:sz w:val="20"/>
                <w:szCs w:val="20"/>
              </w:rPr>
            </w:pPr>
            <w:proofErr w:type="spellStart"/>
            <w:r>
              <w:rPr>
                <w:sz w:val="20"/>
                <w:szCs w:val="20"/>
              </w:rPr>
              <w:t>Melkadida</w:t>
            </w:r>
            <w:proofErr w:type="spellEnd"/>
            <w:r>
              <w:rPr>
                <w:sz w:val="20"/>
                <w:szCs w:val="20"/>
              </w:rPr>
              <w:t xml:space="preserve"> </w:t>
            </w:r>
          </w:p>
        </w:tc>
        <w:tc>
          <w:tcPr>
            <w:tcW w:w="1300" w:type="pct"/>
            <w:shd w:val="clear" w:color="auto" w:fill="auto"/>
            <w:tcMar>
              <w:top w:w="28" w:type="dxa"/>
              <w:left w:w="28" w:type="dxa"/>
              <w:bottom w:w="28" w:type="dxa"/>
              <w:right w:w="28" w:type="dxa"/>
            </w:tcMar>
          </w:tcPr>
          <w:p w14:paraId="578687C0" w14:textId="77777777" w:rsidR="008A72AF" w:rsidRDefault="008A72AF" w:rsidP="00DF19F5">
            <w:pPr>
              <w:widowControl w:val="0"/>
              <w:ind w:right="819"/>
              <w:jc w:val="right"/>
              <w:rPr>
                <w:sz w:val="20"/>
                <w:szCs w:val="20"/>
              </w:rPr>
            </w:pPr>
            <w:r>
              <w:rPr>
                <w:sz w:val="20"/>
                <w:szCs w:val="20"/>
              </w:rPr>
              <w:t xml:space="preserve">2010 </w:t>
            </w:r>
          </w:p>
        </w:tc>
        <w:tc>
          <w:tcPr>
            <w:tcW w:w="1416" w:type="pct"/>
            <w:shd w:val="clear" w:color="auto" w:fill="auto"/>
            <w:tcMar>
              <w:top w:w="28" w:type="dxa"/>
              <w:left w:w="28" w:type="dxa"/>
              <w:bottom w:w="28" w:type="dxa"/>
              <w:right w:w="28" w:type="dxa"/>
            </w:tcMar>
          </w:tcPr>
          <w:p w14:paraId="5F12AA10" w14:textId="77777777" w:rsidR="008A72AF" w:rsidRDefault="008A72AF" w:rsidP="00DF19F5">
            <w:pPr>
              <w:widowControl w:val="0"/>
              <w:ind w:right="729"/>
              <w:jc w:val="right"/>
              <w:rPr>
                <w:sz w:val="20"/>
                <w:szCs w:val="20"/>
              </w:rPr>
            </w:pPr>
            <w:r>
              <w:rPr>
                <w:sz w:val="20"/>
                <w:szCs w:val="20"/>
              </w:rPr>
              <w:t xml:space="preserve">31.616 </w:t>
            </w:r>
          </w:p>
        </w:tc>
      </w:tr>
      <w:tr w:rsidR="008A72AF" w14:paraId="246889CE" w14:textId="77777777" w:rsidTr="008A72AF">
        <w:trPr>
          <w:trHeight w:val="56"/>
        </w:trPr>
        <w:tc>
          <w:tcPr>
            <w:tcW w:w="1186" w:type="pct"/>
            <w:vMerge/>
            <w:tcBorders>
              <w:top w:val="single" w:sz="4" w:space="0" w:color="000000"/>
            </w:tcBorders>
            <w:shd w:val="clear" w:color="auto" w:fill="auto"/>
            <w:tcMar>
              <w:top w:w="28" w:type="dxa"/>
              <w:left w:w="28" w:type="dxa"/>
              <w:bottom w:w="28" w:type="dxa"/>
              <w:right w:w="28" w:type="dxa"/>
            </w:tcMar>
            <w:vAlign w:val="center"/>
          </w:tcPr>
          <w:p w14:paraId="792A1332" w14:textId="77777777" w:rsidR="008A72AF" w:rsidRDefault="008A72AF" w:rsidP="00DF19F5">
            <w:pPr>
              <w:widowControl w:val="0"/>
              <w:rPr>
                <w:sz w:val="20"/>
                <w:szCs w:val="20"/>
              </w:rPr>
            </w:pPr>
          </w:p>
        </w:tc>
        <w:tc>
          <w:tcPr>
            <w:tcW w:w="1099" w:type="pct"/>
            <w:shd w:val="clear" w:color="auto" w:fill="auto"/>
            <w:tcMar>
              <w:top w:w="28" w:type="dxa"/>
              <w:left w:w="28" w:type="dxa"/>
              <w:bottom w:w="28" w:type="dxa"/>
              <w:right w:w="28" w:type="dxa"/>
            </w:tcMar>
          </w:tcPr>
          <w:p w14:paraId="5E2F5721" w14:textId="77777777" w:rsidR="008A72AF" w:rsidRDefault="008A72AF" w:rsidP="00DF19F5">
            <w:pPr>
              <w:widowControl w:val="0"/>
              <w:ind w:left="23"/>
              <w:rPr>
                <w:sz w:val="20"/>
                <w:szCs w:val="20"/>
              </w:rPr>
            </w:pPr>
            <w:proofErr w:type="spellStart"/>
            <w:r>
              <w:rPr>
                <w:sz w:val="20"/>
                <w:szCs w:val="20"/>
              </w:rPr>
              <w:t>Buramino</w:t>
            </w:r>
            <w:proofErr w:type="spellEnd"/>
            <w:r>
              <w:rPr>
                <w:sz w:val="20"/>
                <w:szCs w:val="20"/>
              </w:rPr>
              <w:t xml:space="preserve"> </w:t>
            </w:r>
          </w:p>
        </w:tc>
        <w:tc>
          <w:tcPr>
            <w:tcW w:w="1300" w:type="pct"/>
            <w:shd w:val="clear" w:color="auto" w:fill="auto"/>
            <w:tcMar>
              <w:top w:w="28" w:type="dxa"/>
              <w:left w:w="28" w:type="dxa"/>
              <w:bottom w:w="28" w:type="dxa"/>
              <w:right w:w="28" w:type="dxa"/>
            </w:tcMar>
          </w:tcPr>
          <w:p w14:paraId="592E7177" w14:textId="77777777" w:rsidR="008A72AF" w:rsidRDefault="008A72AF" w:rsidP="00DF19F5">
            <w:pPr>
              <w:widowControl w:val="0"/>
              <w:ind w:right="828"/>
              <w:jc w:val="right"/>
              <w:rPr>
                <w:sz w:val="20"/>
                <w:szCs w:val="20"/>
              </w:rPr>
            </w:pPr>
            <w:r>
              <w:rPr>
                <w:sz w:val="20"/>
                <w:szCs w:val="20"/>
              </w:rPr>
              <w:t xml:space="preserve">2011 </w:t>
            </w:r>
          </w:p>
        </w:tc>
        <w:tc>
          <w:tcPr>
            <w:tcW w:w="1416" w:type="pct"/>
            <w:shd w:val="clear" w:color="auto" w:fill="auto"/>
            <w:tcMar>
              <w:top w:w="28" w:type="dxa"/>
              <w:left w:w="28" w:type="dxa"/>
              <w:bottom w:w="28" w:type="dxa"/>
              <w:right w:w="28" w:type="dxa"/>
            </w:tcMar>
          </w:tcPr>
          <w:p w14:paraId="65C3D252" w14:textId="77777777" w:rsidR="008A72AF" w:rsidRDefault="008A72AF" w:rsidP="00DF19F5">
            <w:pPr>
              <w:widowControl w:val="0"/>
              <w:ind w:right="729"/>
              <w:jc w:val="right"/>
              <w:rPr>
                <w:sz w:val="20"/>
                <w:szCs w:val="20"/>
              </w:rPr>
            </w:pPr>
            <w:r>
              <w:rPr>
                <w:sz w:val="20"/>
                <w:szCs w:val="20"/>
              </w:rPr>
              <w:t xml:space="preserve">39.605 </w:t>
            </w:r>
          </w:p>
        </w:tc>
      </w:tr>
      <w:tr w:rsidR="008A72AF" w14:paraId="7D2BF3E0" w14:textId="77777777" w:rsidTr="008A72AF">
        <w:trPr>
          <w:trHeight w:val="56"/>
        </w:trPr>
        <w:tc>
          <w:tcPr>
            <w:tcW w:w="1186" w:type="pct"/>
            <w:vMerge/>
            <w:tcBorders>
              <w:top w:val="single" w:sz="4" w:space="0" w:color="000000"/>
            </w:tcBorders>
            <w:shd w:val="clear" w:color="auto" w:fill="auto"/>
            <w:tcMar>
              <w:top w:w="28" w:type="dxa"/>
              <w:left w:w="28" w:type="dxa"/>
              <w:bottom w:w="28" w:type="dxa"/>
              <w:right w:w="28" w:type="dxa"/>
            </w:tcMar>
            <w:vAlign w:val="center"/>
          </w:tcPr>
          <w:p w14:paraId="597B5A88" w14:textId="77777777" w:rsidR="008A72AF" w:rsidRDefault="008A72AF" w:rsidP="00DF19F5">
            <w:pPr>
              <w:widowControl w:val="0"/>
              <w:rPr>
                <w:sz w:val="20"/>
                <w:szCs w:val="20"/>
              </w:rPr>
            </w:pPr>
          </w:p>
        </w:tc>
        <w:tc>
          <w:tcPr>
            <w:tcW w:w="1099" w:type="pct"/>
            <w:shd w:val="clear" w:color="auto" w:fill="auto"/>
            <w:tcMar>
              <w:top w:w="28" w:type="dxa"/>
              <w:left w:w="28" w:type="dxa"/>
              <w:bottom w:w="28" w:type="dxa"/>
              <w:right w:w="28" w:type="dxa"/>
            </w:tcMar>
          </w:tcPr>
          <w:p w14:paraId="6C4D042C" w14:textId="77777777" w:rsidR="008A72AF" w:rsidRDefault="008A72AF" w:rsidP="00DF19F5">
            <w:pPr>
              <w:widowControl w:val="0"/>
              <w:ind w:left="23"/>
              <w:rPr>
                <w:sz w:val="20"/>
                <w:szCs w:val="20"/>
              </w:rPr>
            </w:pPr>
            <w:proofErr w:type="spellStart"/>
            <w:r>
              <w:rPr>
                <w:sz w:val="20"/>
                <w:szCs w:val="20"/>
              </w:rPr>
              <w:t>Hilaweyn</w:t>
            </w:r>
            <w:proofErr w:type="spellEnd"/>
            <w:r>
              <w:rPr>
                <w:sz w:val="20"/>
                <w:szCs w:val="20"/>
              </w:rPr>
              <w:t xml:space="preserve"> </w:t>
            </w:r>
          </w:p>
        </w:tc>
        <w:tc>
          <w:tcPr>
            <w:tcW w:w="1300" w:type="pct"/>
            <w:shd w:val="clear" w:color="auto" w:fill="auto"/>
            <w:tcMar>
              <w:top w:w="28" w:type="dxa"/>
              <w:left w:w="28" w:type="dxa"/>
              <w:bottom w:w="28" w:type="dxa"/>
              <w:right w:w="28" w:type="dxa"/>
            </w:tcMar>
          </w:tcPr>
          <w:p w14:paraId="61A5F3FC" w14:textId="77777777" w:rsidR="008A72AF" w:rsidRDefault="008A72AF" w:rsidP="00DF19F5">
            <w:pPr>
              <w:widowControl w:val="0"/>
              <w:ind w:right="828"/>
              <w:jc w:val="right"/>
              <w:rPr>
                <w:sz w:val="20"/>
                <w:szCs w:val="20"/>
              </w:rPr>
            </w:pPr>
            <w:r>
              <w:rPr>
                <w:sz w:val="20"/>
                <w:szCs w:val="20"/>
              </w:rPr>
              <w:t xml:space="preserve">2011 </w:t>
            </w:r>
          </w:p>
        </w:tc>
        <w:tc>
          <w:tcPr>
            <w:tcW w:w="1416" w:type="pct"/>
            <w:shd w:val="clear" w:color="auto" w:fill="auto"/>
            <w:tcMar>
              <w:top w:w="28" w:type="dxa"/>
              <w:left w:w="28" w:type="dxa"/>
              <w:bottom w:w="28" w:type="dxa"/>
              <w:right w:w="28" w:type="dxa"/>
            </w:tcMar>
          </w:tcPr>
          <w:p w14:paraId="368DE8E2" w14:textId="77777777" w:rsidR="008A72AF" w:rsidRDefault="008A72AF" w:rsidP="00DF19F5">
            <w:pPr>
              <w:widowControl w:val="0"/>
              <w:ind w:right="729"/>
              <w:jc w:val="right"/>
              <w:rPr>
                <w:sz w:val="20"/>
                <w:szCs w:val="20"/>
              </w:rPr>
            </w:pPr>
            <w:r>
              <w:rPr>
                <w:sz w:val="20"/>
                <w:szCs w:val="20"/>
              </w:rPr>
              <w:t xml:space="preserve">45.522 </w:t>
            </w:r>
          </w:p>
        </w:tc>
      </w:tr>
      <w:tr w:rsidR="008A72AF" w14:paraId="30D71F63" w14:textId="77777777" w:rsidTr="008A72AF">
        <w:trPr>
          <w:trHeight w:val="56"/>
        </w:trPr>
        <w:tc>
          <w:tcPr>
            <w:tcW w:w="1186" w:type="pct"/>
            <w:vMerge/>
            <w:tcBorders>
              <w:top w:val="single" w:sz="4" w:space="0" w:color="000000"/>
            </w:tcBorders>
            <w:shd w:val="clear" w:color="auto" w:fill="auto"/>
            <w:tcMar>
              <w:top w:w="28" w:type="dxa"/>
              <w:left w:w="28" w:type="dxa"/>
              <w:bottom w:w="28" w:type="dxa"/>
              <w:right w:w="28" w:type="dxa"/>
            </w:tcMar>
            <w:vAlign w:val="center"/>
          </w:tcPr>
          <w:p w14:paraId="1A37C70C" w14:textId="77777777" w:rsidR="008A72AF" w:rsidRDefault="008A72AF" w:rsidP="00DF19F5">
            <w:pPr>
              <w:widowControl w:val="0"/>
              <w:rPr>
                <w:sz w:val="20"/>
                <w:szCs w:val="20"/>
              </w:rPr>
            </w:pPr>
          </w:p>
        </w:tc>
        <w:tc>
          <w:tcPr>
            <w:tcW w:w="1099" w:type="pct"/>
            <w:tcBorders>
              <w:bottom w:val="single" w:sz="4" w:space="0" w:color="000000"/>
            </w:tcBorders>
            <w:shd w:val="clear" w:color="auto" w:fill="auto"/>
            <w:tcMar>
              <w:top w:w="28" w:type="dxa"/>
              <w:left w:w="28" w:type="dxa"/>
              <w:bottom w:w="28" w:type="dxa"/>
              <w:right w:w="28" w:type="dxa"/>
            </w:tcMar>
          </w:tcPr>
          <w:p w14:paraId="68DBD5C6" w14:textId="77777777" w:rsidR="008A72AF" w:rsidRDefault="008A72AF" w:rsidP="00DF19F5">
            <w:pPr>
              <w:widowControl w:val="0"/>
              <w:ind w:left="23"/>
              <w:rPr>
                <w:sz w:val="20"/>
                <w:szCs w:val="20"/>
              </w:rPr>
            </w:pPr>
            <w:r>
              <w:rPr>
                <w:sz w:val="20"/>
                <w:szCs w:val="20"/>
              </w:rPr>
              <w:t xml:space="preserve">Kobe </w:t>
            </w:r>
          </w:p>
        </w:tc>
        <w:tc>
          <w:tcPr>
            <w:tcW w:w="1300" w:type="pct"/>
            <w:tcBorders>
              <w:bottom w:val="single" w:sz="4" w:space="0" w:color="000000"/>
            </w:tcBorders>
            <w:shd w:val="clear" w:color="auto" w:fill="auto"/>
            <w:tcMar>
              <w:top w:w="28" w:type="dxa"/>
              <w:left w:w="28" w:type="dxa"/>
              <w:bottom w:w="28" w:type="dxa"/>
              <w:right w:w="28" w:type="dxa"/>
            </w:tcMar>
          </w:tcPr>
          <w:p w14:paraId="54A4F288" w14:textId="77777777" w:rsidR="008A72AF" w:rsidRDefault="008A72AF" w:rsidP="00DF19F5">
            <w:pPr>
              <w:widowControl w:val="0"/>
              <w:ind w:right="828"/>
              <w:jc w:val="right"/>
              <w:rPr>
                <w:sz w:val="20"/>
                <w:szCs w:val="20"/>
              </w:rPr>
            </w:pPr>
            <w:r>
              <w:rPr>
                <w:sz w:val="20"/>
                <w:szCs w:val="20"/>
              </w:rPr>
              <w:t xml:space="preserve">2011 </w:t>
            </w:r>
          </w:p>
        </w:tc>
        <w:tc>
          <w:tcPr>
            <w:tcW w:w="1416" w:type="pct"/>
            <w:tcBorders>
              <w:bottom w:val="single" w:sz="4" w:space="0" w:color="000000"/>
            </w:tcBorders>
            <w:shd w:val="clear" w:color="auto" w:fill="auto"/>
            <w:tcMar>
              <w:top w:w="28" w:type="dxa"/>
              <w:left w:w="28" w:type="dxa"/>
              <w:bottom w:w="28" w:type="dxa"/>
              <w:right w:w="28" w:type="dxa"/>
            </w:tcMar>
          </w:tcPr>
          <w:p w14:paraId="56F930EF" w14:textId="77777777" w:rsidR="008A72AF" w:rsidRDefault="008A72AF" w:rsidP="00DF19F5">
            <w:pPr>
              <w:widowControl w:val="0"/>
              <w:ind w:right="729"/>
              <w:jc w:val="right"/>
              <w:rPr>
                <w:sz w:val="20"/>
                <w:szCs w:val="20"/>
              </w:rPr>
            </w:pPr>
            <w:r>
              <w:rPr>
                <w:sz w:val="20"/>
                <w:szCs w:val="20"/>
              </w:rPr>
              <w:t xml:space="preserve">45.034 </w:t>
            </w:r>
          </w:p>
        </w:tc>
      </w:tr>
      <w:tr w:rsidR="008A72AF" w14:paraId="26CAF37F" w14:textId="77777777" w:rsidTr="008A72AF">
        <w:trPr>
          <w:trHeight w:val="56"/>
        </w:trPr>
        <w:tc>
          <w:tcPr>
            <w:tcW w:w="1186" w:type="pct"/>
            <w:tcBorders>
              <w:top w:val="single" w:sz="4" w:space="0" w:color="000000"/>
              <w:bottom w:val="single" w:sz="4" w:space="0" w:color="000000"/>
            </w:tcBorders>
            <w:shd w:val="clear" w:color="auto" w:fill="auto"/>
            <w:tcMar>
              <w:top w:w="28" w:type="dxa"/>
              <w:left w:w="28" w:type="dxa"/>
              <w:bottom w:w="28" w:type="dxa"/>
              <w:right w:w="28" w:type="dxa"/>
            </w:tcMar>
          </w:tcPr>
          <w:p w14:paraId="47DBD548" w14:textId="77777777" w:rsidR="008A72AF" w:rsidRDefault="008A72AF" w:rsidP="00DF19F5">
            <w:pPr>
              <w:widowControl w:val="0"/>
              <w:ind w:left="22"/>
              <w:rPr>
                <w:b/>
                <w:sz w:val="20"/>
                <w:szCs w:val="20"/>
              </w:rPr>
            </w:pPr>
            <w:proofErr w:type="spellStart"/>
            <w:r>
              <w:rPr>
                <w:b/>
                <w:sz w:val="20"/>
                <w:szCs w:val="20"/>
              </w:rPr>
              <w:t>Jordânia</w:t>
            </w:r>
            <w:proofErr w:type="spellEnd"/>
            <w:r>
              <w:rPr>
                <w:b/>
                <w:sz w:val="20"/>
                <w:szCs w:val="20"/>
              </w:rPr>
              <w:t xml:space="preserve"> </w:t>
            </w:r>
          </w:p>
        </w:tc>
        <w:tc>
          <w:tcPr>
            <w:tcW w:w="1099" w:type="pct"/>
            <w:tcBorders>
              <w:top w:val="single" w:sz="4" w:space="0" w:color="000000"/>
              <w:bottom w:val="single" w:sz="4" w:space="0" w:color="000000"/>
            </w:tcBorders>
            <w:shd w:val="clear" w:color="auto" w:fill="auto"/>
            <w:tcMar>
              <w:top w:w="28" w:type="dxa"/>
              <w:left w:w="28" w:type="dxa"/>
              <w:bottom w:w="28" w:type="dxa"/>
              <w:right w:w="28" w:type="dxa"/>
            </w:tcMar>
          </w:tcPr>
          <w:p w14:paraId="57920D76" w14:textId="77777777" w:rsidR="008A72AF" w:rsidRDefault="008A72AF" w:rsidP="00DF19F5">
            <w:pPr>
              <w:widowControl w:val="0"/>
              <w:ind w:left="23"/>
              <w:rPr>
                <w:sz w:val="20"/>
                <w:szCs w:val="20"/>
              </w:rPr>
            </w:pPr>
            <w:proofErr w:type="spellStart"/>
            <w:r>
              <w:rPr>
                <w:sz w:val="20"/>
                <w:szCs w:val="20"/>
              </w:rPr>
              <w:t>Zataari</w:t>
            </w:r>
            <w:proofErr w:type="spellEnd"/>
            <w:r>
              <w:rPr>
                <w:sz w:val="20"/>
                <w:szCs w:val="20"/>
              </w:rPr>
              <w:t xml:space="preserve"> </w:t>
            </w:r>
          </w:p>
        </w:tc>
        <w:tc>
          <w:tcPr>
            <w:tcW w:w="1300" w:type="pct"/>
            <w:tcBorders>
              <w:top w:val="single" w:sz="4" w:space="0" w:color="000000"/>
              <w:bottom w:val="single" w:sz="4" w:space="0" w:color="000000"/>
            </w:tcBorders>
            <w:shd w:val="clear" w:color="auto" w:fill="auto"/>
            <w:tcMar>
              <w:top w:w="28" w:type="dxa"/>
              <w:left w:w="28" w:type="dxa"/>
              <w:bottom w:w="28" w:type="dxa"/>
              <w:right w:w="28" w:type="dxa"/>
            </w:tcMar>
          </w:tcPr>
          <w:p w14:paraId="191B4DB3" w14:textId="77777777" w:rsidR="008A72AF" w:rsidRDefault="008A72AF" w:rsidP="00DF19F5">
            <w:pPr>
              <w:widowControl w:val="0"/>
              <w:ind w:right="819"/>
              <w:jc w:val="right"/>
              <w:rPr>
                <w:sz w:val="20"/>
                <w:szCs w:val="20"/>
              </w:rPr>
            </w:pPr>
            <w:r>
              <w:rPr>
                <w:sz w:val="20"/>
                <w:szCs w:val="20"/>
              </w:rPr>
              <w:t xml:space="preserve">2012 </w:t>
            </w:r>
          </w:p>
        </w:tc>
        <w:tc>
          <w:tcPr>
            <w:tcW w:w="1416" w:type="pct"/>
            <w:tcBorders>
              <w:top w:val="single" w:sz="4" w:space="0" w:color="000000"/>
              <w:bottom w:val="single" w:sz="4" w:space="0" w:color="000000"/>
            </w:tcBorders>
            <w:shd w:val="clear" w:color="auto" w:fill="auto"/>
            <w:tcMar>
              <w:top w:w="28" w:type="dxa"/>
              <w:left w:w="28" w:type="dxa"/>
              <w:bottom w:w="28" w:type="dxa"/>
              <w:right w:w="28" w:type="dxa"/>
            </w:tcMar>
          </w:tcPr>
          <w:p w14:paraId="478079BC" w14:textId="77777777" w:rsidR="008A72AF" w:rsidRDefault="008A72AF" w:rsidP="00DF19F5">
            <w:pPr>
              <w:widowControl w:val="0"/>
              <w:ind w:right="729"/>
              <w:jc w:val="right"/>
              <w:rPr>
                <w:sz w:val="20"/>
                <w:szCs w:val="20"/>
              </w:rPr>
            </w:pPr>
            <w:r>
              <w:rPr>
                <w:sz w:val="20"/>
                <w:szCs w:val="20"/>
              </w:rPr>
              <w:t xml:space="preserve">77.740 </w:t>
            </w:r>
          </w:p>
        </w:tc>
      </w:tr>
      <w:tr w:rsidR="008A72AF" w14:paraId="13BF8007" w14:textId="77777777" w:rsidTr="008A72AF">
        <w:trPr>
          <w:trHeight w:val="56"/>
        </w:trPr>
        <w:tc>
          <w:tcPr>
            <w:tcW w:w="1186" w:type="pct"/>
            <w:vMerge w:val="restart"/>
            <w:tcBorders>
              <w:top w:val="single" w:sz="4" w:space="0" w:color="000000"/>
            </w:tcBorders>
            <w:shd w:val="clear" w:color="auto" w:fill="auto"/>
            <w:tcMar>
              <w:top w:w="28" w:type="dxa"/>
              <w:left w:w="28" w:type="dxa"/>
              <w:bottom w:w="28" w:type="dxa"/>
              <w:right w:w="28" w:type="dxa"/>
            </w:tcMar>
            <w:vAlign w:val="center"/>
          </w:tcPr>
          <w:p w14:paraId="52EC0C94" w14:textId="77777777" w:rsidR="008A72AF" w:rsidRDefault="008A72AF" w:rsidP="00DF19F5">
            <w:pPr>
              <w:widowControl w:val="0"/>
              <w:ind w:left="29"/>
              <w:rPr>
                <w:b/>
                <w:sz w:val="20"/>
                <w:szCs w:val="20"/>
              </w:rPr>
            </w:pPr>
            <w:proofErr w:type="spellStart"/>
            <w:r>
              <w:rPr>
                <w:b/>
                <w:sz w:val="20"/>
                <w:szCs w:val="20"/>
              </w:rPr>
              <w:t>Quênia</w:t>
            </w:r>
            <w:proofErr w:type="spellEnd"/>
            <w:r>
              <w:rPr>
                <w:b/>
                <w:sz w:val="20"/>
                <w:szCs w:val="20"/>
              </w:rPr>
              <w:t xml:space="preserve"> </w:t>
            </w:r>
          </w:p>
        </w:tc>
        <w:tc>
          <w:tcPr>
            <w:tcW w:w="1099" w:type="pct"/>
            <w:tcBorders>
              <w:top w:val="single" w:sz="4" w:space="0" w:color="000000"/>
            </w:tcBorders>
            <w:shd w:val="clear" w:color="auto" w:fill="auto"/>
            <w:tcMar>
              <w:top w:w="28" w:type="dxa"/>
              <w:left w:w="28" w:type="dxa"/>
              <w:bottom w:w="28" w:type="dxa"/>
              <w:right w:w="28" w:type="dxa"/>
            </w:tcMar>
          </w:tcPr>
          <w:p w14:paraId="44AB6182" w14:textId="77777777" w:rsidR="008A72AF" w:rsidRDefault="008A72AF" w:rsidP="00DF19F5">
            <w:pPr>
              <w:widowControl w:val="0"/>
              <w:ind w:left="23"/>
              <w:rPr>
                <w:sz w:val="20"/>
                <w:szCs w:val="20"/>
              </w:rPr>
            </w:pPr>
            <w:proofErr w:type="spellStart"/>
            <w:r>
              <w:rPr>
                <w:sz w:val="20"/>
                <w:szCs w:val="20"/>
              </w:rPr>
              <w:t>Dagahaley</w:t>
            </w:r>
            <w:proofErr w:type="spellEnd"/>
            <w:r>
              <w:rPr>
                <w:sz w:val="20"/>
                <w:szCs w:val="20"/>
              </w:rPr>
              <w:t xml:space="preserve"> (</w:t>
            </w:r>
            <w:proofErr w:type="spellStart"/>
            <w:r>
              <w:rPr>
                <w:sz w:val="20"/>
                <w:szCs w:val="20"/>
              </w:rPr>
              <w:t>Dadaab</w:t>
            </w:r>
            <w:proofErr w:type="spellEnd"/>
            <w:r>
              <w:rPr>
                <w:sz w:val="20"/>
                <w:szCs w:val="20"/>
              </w:rPr>
              <w:t>)</w:t>
            </w:r>
          </w:p>
        </w:tc>
        <w:tc>
          <w:tcPr>
            <w:tcW w:w="1300" w:type="pct"/>
            <w:tcBorders>
              <w:top w:val="single" w:sz="4" w:space="0" w:color="000000"/>
            </w:tcBorders>
            <w:shd w:val="clear" w:color="auto" w:fill="auto"/>
            <w:tcMar>
              <w:top w:w="28" w:type="dxa"/>
              <w:left w:w="28" w:type="dxa"/>
              <w:bottom w:w="28" w:type="dxa"/>
              <w:right w:w="28" w:type="dxa"/>
            </w:tcMar>
          </w:tcPr>
          <w:p w14:paraId="7DC88699" w14:textId="77777777" w:rsidR="008A72AF" w:rsidRDefault="008A72AF" w:rsidP="00DF19F5">
            <w:pPr>
              <w:widowControl w:val="0"/>
              <w:ind w:right="819"/>
              <w:jc w:val="right"/>
              <w:rPr>
                <w:sz w:val="20"/>
                <w:szCs w:val="20"/>
              </w:rPr>
            </w:pPr>
            <w:r>
              <w:rPr>
                <w:sz w:val="20"/>
                <w:szCs w:val="20"/>
              </w:rPr>
              <w:t xml:space="preserve">1992 </w:t>
            </w:r>
          </w:p>
        </w:tc>
        <w:tc>
          <w:tcPr>
            <w:tcW w:w="1416" w:type="pct"/>
            <w:tcBorders>
              <w:top w:val="single" w:sz="4" w:space="0" w:color="000000"/>
            </w:tcBorders>
            <w:shd w:val="clear" w:color="auto" w:fill="auto"/>
            <w:tcMar>
              <w:top w:w="28" w:type="dxa"/>
              <w:left w:w="28" w:type="dxa"/>
              <w:bottom w:w="28" w:type="dxa"/>
              <w:right w:w="28" w:type="dxa"/>
            </w:tcMar>
          </w:tcPr>
          <w:p w14:paraId="10E09BA3" w14:textId="77777777" w:rsidR="008A72AF" w:rsidRDefault="008A72AF" w:rsidP="00DF19F5">
            <w:pPr>
              <w:widowControl w:val="0"/>
              <w:ind w:right="729"/>
              <w:jc w:val="right"/>
              <w:rPr>
                <w:sz w:val="20"/>
                <w:szCs w:val="20"/>
              </w:rPr>
            </w:pPr>
            <w:r>
              <w:rPr>
                <w:sz w:val="20"/>
                <w:szCs w:val="20"/>
              </w:rPr>
              <w:t xml:space="preserve">71.647 </w:t>
            </w:r>
          </w:p>
        </w:tc>
      </w:tr>
      <w:tr w:rsidR="008A72AF" w14:paraId="3DFF518C" w14:textId="77777777" w:rsidTr="008A72AF">
        <w:trPr>
          <w:trHeight w:val="56"/>
        </w:trPr>
        <w:tc>
          <w:tcPr>
            <w:tcW w:w="1186" w:type="pct"/>
            <w:vMerge/>
            <w:tcBorders>
              <w:top w:val="single" w:sz="4" w:space="0" w:color="000000"/>
            </w:tcBorders>
            <w:shd w:val="clear" w:color="auto" w:fill="auto"/>
            <w:tcMar>
              <w:top w:w="28" w:type="dxa"/>
              <w:left w:w="28" w:type="dxa"/>
              <w:bottom w:w="28" w:type="dxa"/>
              <w:right w:w="28" w:type="dxa"/>
            </w:tcMar>
            <w:vAlign w:val="center"/>
          </w:tcPr>
          <w:p w14:paraId="349F4EC8" w14:textId="77777777" w:rsidR="008A72AF" w:rsidRDefault="008A72AF" w:rsidP="00DF19F5">
            <w:pPr>
              <w:widowControl w:val="0"/>
              <w:rPr>
                <w:sz w:val="20"/>
                <w:szCs w:val="20"/>
              </w:rPr>
            </w:pPr>
          </w:p>
        </w:tc>
        <w:tc>
          <w:tcPr>
            <w:tcW w:w="1099" w:type="pct"/>
            <w:shd w:val="clear" w:color="auto" w:fill="auto"/>
            <w:tcMar>
              <w:top w:w="28" w:type="dxa"/>
              <w:left w:w="28" w:type="dxa"/>
              <w:bottom w:w="28" w:type="dxa"/>
              <w:right w:w="28" w:type="dxa"/>
            </w:tcMar>
          </w:tcPr>
          <w:p w14:paraId="5E9E1802" w14:textId="77777777" w:rsidR="008A72AF" w:rsidRDefault="008A72AF" w:rsidP="00DF19F5">
            <w:pPr>
              <w:widowControl w:val="0"/>
              <w:ind w:left="23"/>
              <w:rPr>
                <w:sz w:val="20"/>
                <w:szCs w:val="20"/>
              </w:rPr>
            </w:pPr>
            <w:proofErr w:type="spellStart"/>
            <w:r>
              <w:rPr>
                <w:sz w:val="20"/>
                <w:szCs w:val="20"/>
              </w:rPr>
              <w:t>Hagadera</w:t>
            </w:r>
            <w:proofErr w:type="spellEnd"/>
            <w:r>
              <w:rPr>
                <w:sz w:val="20"/>
                <w:szCs w:val="20"/>
              </w:rPr>
              <w:t xml:space="preserve"> (</w:t>
            </w:r>
            <w:proofErr w:type="spellStart"/>
            <w:r>
              <w:rPr>
                <w:sz w:val="20"/>
                <w:szCs w:val="20"/>
              </w:rPr>
              <w:t>Dadaab</w:t>
            </w:r>
            <w:proofErr w:type="spellEnd"/>
            <w:r>
              <w:rPr>
                <w:sz w:val="20"/>
                <w:szCs w:val="20"/>
              </w:rPr>
              <w:t>)</w:t>
            </w:r>
          </w:p>
        </w:tc>
        <w:tc>
          <w:tcPr>
            <w:tcW w:w="1300" w:type="pct"/>
            <w:shd w:val="clear" w:color="auto" w:fill="auto"/>
            <w:tcMar>
              <w:top w:w="28" w:type="dxa"/>
              <w:left w:w="28" w:type="dxa"/>
              <w:bottom w:w="28" w:type="dxa"/>
              <w:right w:w="28" w:type="dxa"/>
            </w:tcMar>
          </w:tcPr>
          <w:p w14:paraId="720BFE42" w14:textId="77777777" w:rsidR="008A72AF" w:rsidRDefault="008A72AF" w:rsidP="00DF19F5">
            <w:pPr>
              <w:widowControl w:val="0"/>
              <w:ind w:right="819"/>
              <w:jc w:val="right"/>
              <w:rPr>
                <w:sz w:val="20"/>
                <w:szCs w:val="20"/>
              </w:rPr>
            </w:pPr>
            <w:r>
              <w:rPr>
                <w:sz w:val="20"/>
                <w:szCs w:val="20"/>
              </w:rPr>
              <w:t xml:space="preserve">1992 </w:t>
            </w:r>
          </w:p>
        </w:tc>
        <w:tc>
          <w:tcPr>
            <w:tcW w:w="1416" w:type="pct"/>
            <w:shd w:val="clear" w:color="auto" w:fill="auto"/>
            <w:tcMar>
              <w:top w:w="28" w:type="dxa"/>
              <w:left w:w="28" w:type="dxa"/>
              <w:bottom w:w="28" w:type="dxa"/>
              <w:right w:w="28" w:type="dxa"/>
            </w:tcMar>
          </w:tcPr>
          <w:p w14:paraId="51261BA4" w14:textId="77777777" w:rsidR="008A72AF" w:rsidRDefault="008A72AF" w:rsidP="00DF19F5">
            <w:pPr>
              <w:widowControl w:val="0"/>
              <w:ind w:right="729"/>
              <w:jc w:val="right"/>
              <w:rPr>
                <w:sz w:val="20"/>
                <w:szCs w:val="20"/>
              </w:rPr>
            </w:pPr>
            <w:r>
              <w:rPr>
                <w:sz w:val="20"/>
                <w:szCs w:val="20"/>
              </w:rPr>
              <w:t xml:space="preserve">84.721 </w:t>
            </w:r>
          </w:p>
        </w:tc>
      </w:tr>
      <w:tr w:rsidR="008A72AF" w14:paraId="2F652BAE" w14:textId="77777777" w:rsidTr="008A72AF">
        <w:trPr>
          <w:trHeight w:val="56"/>
        </w:trPr>
        <w:tc>
          <w:tcPr>
            <w:tcW w:w="1186" w:type="pct"/>
            <w:vMerge/>
            <w:tcBorders>
              <w:top w:val="single" w:sz="4" w:space="0" w:color="000000"/>
            </w:tcBorders>
            <w:shd w:val="clear" w:color="auto" w:fill="auto"/>
            <w:tcMar>
              <w:top w:w="28" w:type="dxa"/>
              <w:left w:w="28" w:type="dxa"/>
              <w:bottom w:w="28" w:type="dxa"/>
              <w:right w:w="28" w:type="dxa"/>
            </w:tcMar>
            <w:vAlign w:val="center"/>
          </w:tcPr>
          <w:p w14:paraId="06E84214" w14:textId="77777777" w:rsidR="008A72AF" w:rsidRDefault="008A72AF" w:rsidP="00DF19F5">
            <w:pPr>
              <w:widowControl w:val="0"/>
              <w:rPr>
                <w:sz w:val="20"/>
                <w:szCs w:val="20"/>
              </w:rPr>
            </w:pPr>
          </w:p>
        </w:tc>
        <w:tc>
          <w:tcPr>
            <w:tcW w:w="1099" w:type="pct"/>
            <w:shd w:val="clear" w:color="auto" w:fill="auto"/>
            <w:tcMar>
              <w:top w:w="28" w:type="dxa"/>
              <w:left w:w="28" w:type="dxa"/>
              <w:bottom w:w="28" w:type="dxa"/>
              <w:right w:w="28" w:type="dxa"/>
            </w:tcMar>
          </w:tcPr>
          <w:p w14:paraId="173BA10E" w14:textId="77777777" w:rsidR="008A72AF" w:rsidRDefault="008A72AF" w:rsidP="00DF19F5">
            <w:pPr>
              <w:widowControl w:val="0"/>
              <w:ind w:left="25"/>
              <w:rPr>
                <w:sz w:val="20"/>
                <w:szCs w:val="20"/>
              </w:rPr>
            </w:pPr>
            <w:proofErr w:type="spellStart"/>
            <w:r>
              <w:rPr>
                <w:sz w:val="20"/>
                <w:szCs w:val="20"/>
              </w:rPr>
              <w:t>Ifo</w:t>
            </w:r>
            <w:proofErr w:type="spellEnd"/>
            <w:r>
              <w:rPr>
                <w:sz w:val="20"/>
                <w:szCs w:val="20"/>
              </w:rPr>
              <w:t xml:space="preserve"> (</w:t>
            </w:r>
            <w:proofErr w:type="spellStart"/>
            <w:r>
              <w:rPr>
                <w:sz w:val="20"/>
                <w:szCs w:val="20"/>
              </w:rPr>
              <w:t>Dadaab</w:t>
            </w:r>
            <w:proofErr w:type="spellEnd"/>
            <w:r>
              <w:rPr>
                <w:sz w:val="20"/>
                <w:szCs w:val="20"/>
              </w:rPr>
              <w:t>)</w:t>
            </w:r>
          </w:p>
        </w:tc>
        <w:tc>
          <w:tcPr>
            <w:tcW w:w="1300" w:type="pct"/>
            <w:shd w:val="clear" w:color="auto" w:fill="auto"/>
            <w:tcMar>
              <w:top w:w="28" w:type="dxa"/>
              <w:left w:w="28" w:type="dxa"/>
              <w:bottom w:w="28" w:type="dxa"/>
              <w:right w:w="28" w:type="dxa"/>
            </w:tcMar>
          </w:tcPr>
          <w:p w14:paraId="659E5ADE" w14:textId="77777777" w:rsidR="008A72AF" w:rsidRDefault="008A72AF" w:rsidP="00DF19F5">
            <w:pPr>
              <w:widowControl w:val="0"/>
              <w:ind w:right="819"/>
              <w:jc w:val="right"/>
              <w:rPr>
                <w:sz w:val="20"/>
                <w:szCs w:val="20"/>
              </w:rPr>
            </w:pPr>
            <w:r>
              <w:rPr>
                <w:sz w:val="20"/>
                <w:szCs w:val="20"/>
              </w:rPr>
              <w:t xml:space="preserve">1992 </w:t>
            </w:r>
          </w:p>
        </w:tc>
        <w:tc>
          <w:tcPr>
            <w:tcW w:w="1416" w:type="pct"/>
            <w:shd w:val="clear" w:color="auto" w:fill="auto"/>
            <w:tcMar>
              <w:top w:w="28" w:type="dxa"/>
              <w:left w:w="28" w:type="dxa"/>
              <w:bottom w:w="28" w:type="dxa"/>
              <w:right w:w="28" w:type="dxa"/>
            </w:tcMar>
          </w:tcPr>
          <w:p w14:paraId="0710ED1D" w14:textId="77777777" w:rsidR="008A72AF" w:rsidRDefault="008A72AF" w:rsidP="00DF19F5">
            <w:pPr>
              <w:widowControl w:val="0"/>
              <w:ind w:right="729"/>
              <w:jc w:val="right"/>
              <w:rPr>
                <w:sz w:val="20"/>
                <w:szCs w:val="20"/>
              </w:rPr>
            </w:pPr>
            <w:r>
              <w:rPr>
                <w:sz w:val="20"/>
                <w:szCs w:val="20"/>
              </w:rPr>
              <w:t xml:space="preserve">70.092 </w:t>
            </w:r>
          </w:p>
        </w:tc>
      </w:tr>
      <w:tr w:rsidR="008A72AF" w14:paraId="1BC4AF75" w14:textId="77777777" w:rsidTr="008A72AF">
        <w:trPr>
          <w:trHeight w:val="56"/>
        </w:trPr>
        <w:tc>
          <w:tcPr>
            <w:tcW w:w="1186" w:type="pct"/>
            <w:vMerge/>
            <w:tcBorders>
              <w:top w:val="single" w:sz="4" w:space="0" w:color="000000"/>
            </w:tcBorders>
            <w:shd w:val="clear" w:color="auto" w:fill="auto"/>
            <w:tcMar>
              <w:top w:w="28" w:type="dxa"/>
              <w:left w:w="28" w:type="dxa"/>
              <w:bottom w:w="28" w:type="dxa"/>
              <w:right w:w="28" w:type="dxa"/>
            </w:tcMar>
            <w:vAlign w:val="center"/>
          </w:tcPr>
          <w:p w14:paraId="57498A40" w14:textId="77777777" w:rsidR="008A72AF" w:rsidRDefault="008A72AF" w:rsidP="00DF19F5">
            <w:pPr>
              <w:widowControl w:val="0"/>
              <w:rPr>
                <w:sz w:val="20"/>
                <w:szCs w:val="20"/>
              </w:rPr>
            </w:pPr>
          </w:p>
        </w:tc>
        <w:tc>
          <w:tcPr>
            <w:tcW w:w="1099" w:type="pct"/>
            <w:shd w:val="clear" w:color="auto" w:fill="auto"/>
            <w:tcMar>
              <w:top w:w="28" w:type="dxa"/>
              <w:left w:w="28" w:type="dxa"/>
              <w:bottom w:w="28" w:type="dxa"/>
              <w:right w:w="28" w:type="dxa"/>
            </w:tcMar>
          </w:tcPr>
          <w:p w14:paraId="3B49A380" w14:textId="77777777" w:rsidR="008A72AF" w:rsidRDefault="008A72AF" w:rsidP="00DF19F5">
            <w:pPr>
              <w:widowControl w:val="0"/>
              <w:ind w:left="23"/>
              <w:rPr>
                <w:sz w:val="20"/>
                <w:szCs w:val="20"/>
              </w:rPr>
            </w:pPr>
            <w:r>
              <w:rPr>
                <w:sz w:val="20"/>
                <w:szCs w:val="20"/>
              </w:rPr>
              <w:t xml:space="preserve">Kakuma </w:t>
            </w:r>
          </w:p>
        </w:tc>
        <w:tc>
          <w:tcPr>
            <w:tcW w:w="1300" w:type="pct"/>
            <w:shd w:val="clear" w:color="auto" w:fill="auto"/>
            <w:tcMar>
              <w:top w:w="28" w:type="dxa"/>
              <w:left w:w="28" w:type="dxa"/>
              <w:bottom w:w="28" w:type="dxa"/>
              <w:right w:w="28" w:type="dxa"/>
            </w:tcMar>
          </w:tcPr>
          <w:p w14:paraId="13122EB5" w14:textId="77777777" w:rsidR="008A72AF" w:rsidRDefault="008A72AF" w:rsidP="00DF19F5">
            <w:pPr>
              <w:widowControl w:val="0"/>
              <w:ind w:right="819"/>
              <w:jc w:val="right"/>
              <w:rPr>
                <w:sz w:val="20"/>
                <w:szCs w:val="20"/>
              </w:rPr>
            </w:pPr>
            <w:r>
              <w:rPr>
                <w:sz w:val="20"/>
                <w:szCs w:val="20"/>
              </w:rPr>
              <w:t xml:space="preserve">1992 </w:t>
            </w:r>
          </w:p>
        </w:tc>
        <w:tc>
          <w:tcPr>
            <w:tcW w:w="1416" w:type="pct"/>
            <w:shd w:val="clear" w:color="auto" w:fill="auto"/>
            <w:tcMar>
              <w:top w:w="28" w:type="dxa"/>
              <w:left w:w="28" w:type="dxa"/>
              <w:bottom w:w="28" w:type="dxa"/>
              <w:right w:w="28" w:type="dxa"/>
            </w:tcMar>
          </w:tcPr>
          <w:p w14:paraId="3B969AFD" w14:textId="77777777" w:rsidR="008A72AF" w:rsidRDefault="008A72AF" w:rsidP="00DF19F5">
            <w:pPr>
              <w:widowControl w:val="0"/>
              <w:ind w:right="669"/>
              <w:jc w:val="right"/>
              <w:rPr>
                <w:sz w:val="20"/>
                <w:szCs w:val="20"/>
              </w:rPr>
            </w:pPr>
            <w:r>
              <w:rPr>
                <w:sz w:val="20"/>
                <w:szCs w:val="20"/>
              </w:rPr>
              <w:t xml:space="preserve">154.947 </w:t>
            </w:r>
          </w:p>
        </w:tc>
      </w:tr>
      <w:tr w:rsidR="008A72AF" w14:paraId="0EE3439E" w14:textId="77777777" w:rsidTr="008A72AF">
        <w:trPr>
          <w:trHeight w:val="56"/>
        </w:trPr>
        <w:tc>
          <w:tcPr>
            <w:tcW w:w="1186" w:type="pct"/>
            <w:tcBorders>
              <w:top w:val="single" w:sz="4" w:space="0" w:color="000000"/>
              <w:bottom w:val="single" w:sz="4" w:space="0" w:color="000000"/>
            </w:tcBorders>
            <w:shd w:val="clear" w:color="auto" w:fill="auto"/>
            <w:tcMar>
              <w:top w:w="28" w:type="dxa"/>
              <w:left w:w="28" w:type="dxa"/>
              <w:bottom w:w="28" w:type="dxa"/>
              <w:right w:w="28" w:type="dxa"/>
            </w:tcMar>
          </w:tcPr>
          <w:p w14:paraId="638BE349" w14:textId="77777777" w:rsidR="008A72AF" w:rsidRDefault="008A72AF" w:rsidP="00DF19F5">
            <w:pPr>
              <w:widowControl w:val="0"/>
              <w:ind w:left="24"/>
              <w:rPr>
                <w:sz w:val="20"/>
                <w:szCs w:val="20"/>
              </w:rPr>
            </w:pPr>
            <w:r>
              <w:rPr>
                <w:b/>
                <w:sz w:val="20"/>
                <w:szCs w:val="20"/>
              </w:rPr>
              <w:t>Malawi</w:t>
            </w:r>
          </w:p>
        </w:tc>
        <w:tc>
          <w:tcPr>
            <w:tcW w:w="1099" w:type="pct"/>
            <w:tcBorders>
              <w:top w:val="single" w:sz="4" w:space="0" w:color="000000"/>
              <w:bottom w:val="single" w:sz="4" w:space="0" w:color="000000"/>
            </w:tcBorders>
            <w:shd w:val="clear" w:color="auto" w:fill="auto"/>
            <w:tcMar>
              <w:top w:w="28" w:type="dxa"/>
              <w:left w:w="28" w:type="dxa"/>
              <w:bottom w:w="28" w:type="dxa"/>
              <w:right w:w="28" w:type="dxa"/>
            </w:tcMar>
          </w:tcPr>
          <w:p w14:paraId="089B41D0" w14:textId="77777777" w:rsidR="008A72AF" w:rsidRDefault="008A72AF" w:rsidP="00DF19F5">
            <w:pPr>
              <w:widowControl w:val="0"/>
              <w:ind w:left="23"/>
              <w:rPr>
                <w:sz w:val="20"/>
                <w:szCs w:val="20"/>
              </w:rPr>
            </w:pPr>
            <w:proofErr w:type="spellStart"/>
            <w:r>
              <w:rPr>
                <w:sz w:val="20"/>
                <w:szCs w:val="20"/>
              </w:rPr>
              <w:t>Dzaleka</w:t>
            </w:r>
            <w:proofErr w:type="spellEnd"/>
            <w:r>
              <w:rPr>
                <w:sz w:val="20"/>
                <w:szCs w:val="20"/>
              </w:rPr>
              <w:t xml:space="preserve"> </w:t>
            </w:r>
          </w:p>
        </w:tc>
        <w:tc>
          <w:tcPr>
            <w:tcW w:w="1300" w:type="pct"/>
            <w:tcBorders>
              <w:top w:val="single" w:sz="4" w:space="0" w:color="000000"/>
              <w:bottom w:val="single" w:sz="4" w:space="0" w:color="000000"/>
            </w:tcBorders>
            <w:shd w:val="clear" w:color="auto" w:fill="auto"/>
            <w:tcMar>
              <w:top w:w="28" w:type="dxa"/>
              <w:left w:w="28" w:type="dxa"/>
              <w:bottom w:w="28" w:type="dxa"/>
              <w:right w:w="28" w:type="dxa"/>
            </w:tcMar>
          </w:tcPr>
          <w:p w14:paraId="47387751" w14:textId="77777777" w:rsidR="008A72AF" w:rsidRDefault="008A72AF" w:rsidP="00DF19F5">
            <w:pPr>
              <w:widowControl w:val="0"/>
              <w:ind w:right="819"/>
              <w:jc w:val="right"/>
              <w:rPr>
                <w:sz w:val="20"/>
                <w:szCs w:val="20"/>
              </w:rPr>
            </w:pPr>
            <w:r>
              <w:rPr>
                <w:sz w:val="20"/>
                <w:szCs w:val="20"/>
              </w:rPr>
              <w:t xml:space="preserve">1994 </w:t>
            </w:r>
          </w:p>
        </w:tc>
        <w:tc>
          <w:tcPr>
            <w:tcW w:w="1416" w:type="pct"/>
            <w:tcBorders>
              <w:top w:val="single" w:sz="4" w:space="0" w:color="000000"/>
              <w:bottom w:val="single" w:sz="4" w:space="0" w:color="000000"/>
            </w:tcBorders>
            <w:shd w:val="clear" w:color="auto" w:fill="auto"/>
            <w:tcMar>
              <w:top w:w="28" w:type="dxa"/>
              <w:left w:w="28" w:type="dxa"/>
              <w:bottom w:w="28" w:type="dxa"/>
              <w:right w:w="28" w:type="dxa"/>
            </w:tcMar>
          </w:tcPr>
          <w:p w14:paraId="5C464573" w14:textId="77777777" w:rsidR="008A72AF" w:rsidRDefault="008A72AF" w:rsidP="00DF19F5">
            <w:pPr>
              <w:widowControl w:val="0"/>
              <w:ind w:right="729"/>
              <w:jc w:val="right"/>
              <w:rPr>
                <w:sz w:val="20"/>
                <w:szCs w:val="20"/>
              </w:rPr>
            </w:pPr>
            <w:r>
              <w:rPr>
                <w:sz w:val="20"/>
                <w:szCs w:val="20"/>
              </w:rPr>
              <w:t xml:space="preserve">26.919 </w:t>
            </w:r>
          </w:p>
        </w:tc>
      </w:tr>
      <w:tr w:rsidR="008A72AF" w14:paraId="45FDE212" w14:textId="77777777" w:rsidTr="008A72AF">
        <w:trPr>
          <w:trHeight w:val="56"/>
        </w:trPr>
        <w:tc>
          <w:tcPr>
            <w:tcW w:w="1186" w:type="pct"/>
            <w:tcBorders>
              <w:top w:val="single" w:sz="4" w:space="0" w:color="000000"/>
              <w:bottom w:val="single" w:sz="4" w:space="0" w:color="000000"/>
            </w:tcBorders>
            <w:shd w:val="clear" w:color="auto" w:fill="auto"/>
            <w:tcMar>
              <w:top w:w="28" w:type="dxa"/>
              <w:left w:w="28" w:type="dxa"/>
              <w:bottom w:w="28" w:type="dxa"/>
              <w:right w:w="28" w:type="dxa"/>
            </w:tcMar>
          </w:tcPr>
          <w:p w14:paraId="3FA5BB06" w14:textId="77777777" w:rsidR="008A72AF" w:rsidRDefault="008A72AF" w:rsidP="00DF19F5">
            <w:pPr>
              <w:widowControl w:val="0"/>
              <w:ind w:left="24"/>
              <w:rPr>
                <w:b/>
                <w:sz w:val="20"/>
                <w:szCs w:val="20"/>
              </w:rPr>
            </w:pPr>
            <w:proofErr w:type="spellStart"/>
            <w:r>
              <w:rPr>
                <w:b/>
                <w:sz w:val="20"/>
                <w:szCs w:val="20"/>
              </w:rPr>
              <w:t>Mauritânia</w:t>
            </w:r>
            <w:proofErr w:type="spellEnd"/>
            <w:r>
              <w:rPr>
                <w:b/>
                <w:sz w:val="20"/>
                <w:szCs w:val="20"/>
              </w:rPr>
              <w:t xml:space="preserve"> </w:t>
            </w:r>
          </w:p>
        </w:tc>
        <w:tc>
          <w:tcPr>
            <w:tcW w:w="1099" w:type="pct"/>
            <w:tcBorders>
              <w:top w:val="single" w:sz="4" w:space="0" w:color="000000"/>
              <w:bottom w:val="single" w:sz="4" w:space="0" w:color="000000"/>
            </w:tcBorders>
            <w:shd w:val="clear" w:color="auto" w:fill="auto"/>
            <w:tcMar>
              <w:top w:w="28" w:type="dxa"/>
              <w:left w:w="28" w:type="dxa"/>
              <w:bottom w:w="28" w:type="dxa"/>
              <w:right w:w="28" w:type="dxa"/>
            </w:tcMar>
          </w:tcPr>
          <w:p w14:paraId="5404989D" w14:textId="77777777" w:rsidR="008A72AF" w:rsidRDefault="008A72AF" w:rsidP="00DF19F5">
            <w:pPr>
              <w:widowControl w:val="0"/>
              <w:ind w:left="23"/>
              <w:rPr>
                <w:sz w:val="20"/>
                <w:szCs w:val="20"/>
              </w:rPr>
            </w:pPr>
            <w:proofErr w:type="spellStart"/>
            <w:r>
              <w:rPr>
                <w:sz w:val="20"/>
                <w:szCs w:val="20"/>
              </w:rPr>
              <w:t>Mbéra</w:t>
            </w:r>
            <w:proofErr w:type="spellEnd"/>
            <w:r>
              <w:rPr>
                <w:sz w:val="20"/>
                <w:szCs w:val="20"/>
              </w:rPr>
              <w:t xml:space="preserve"> </w:t>
            </w:r>
          </w:p>
        </w:tc>
        <w:tc>
          <w:tcPr>
            <w:tcW w:w="1300" w:type="pct"/>
            <w:tcBorders>
              <w:top w:val="single" w:sz="4" w:space="0" w:color="000000"/>
              <w:bottom w:val="single" w:sz="4" w:space="0" w:color="000000"/>
            </w:tcBorders>
            <w:shd w:val="clear" w:color="auto" w:fill="auto"/>
            <w:tcMar>
              <w:top w:w="28" w:type="dxa"/>
              <w:left w:w="28" w:type="dxa"/>
              <w:bottom w:w="28" w:type="dxa"/>
              <w:right w:w="28" w:type="dxa"/>
            </w:tcMar>
          </w:tcPr>
          <w:p w14:paraId="4F5FAB28" w14:textId="77777777" w:rsidR="008A72AF" w:rsidRDefault="008A72AF" w:rsidP="00DF19F5">
            <w:pPr>
              <w:widowControl w:val="0"/>
              <w:ind w:right="819"/>
              <w:jc w:val="right"/>
              <w:rPr>
                <w:sz w:val="20"/>
                <w:szCs w:val="20"/>
              </w:rPr>
            </w:pPr>
            <w:r>
              <w:rPr>
                <w:sz w:val="20"/>
                <w:szCs w:val="20"/>
              </w:rPr>
              <w:t xml:space="preserve">2012 </w:t>
            </w:r>
          </w:p>
        </w:tc>
        <w:tc>
          <w:tcPr>
            <w:tcW w:w="1416" w:type="pct"/>
            <w:tcBorders>
              <w:top w:val="single" w:sz="4" w:space="0" w:color="000000"/>
              <w:bottom w:val="single" w:sz="4" w:space="0" w:color="000000"/>
            </w:tcBorders>
            <w:shd w:val="clear" w:color="auto" w:fill="auto"/>
            <w:tcMar>
              <w:top w:w="28" w:type="dxa"/>
              <w:left w:w="28" w:type="dxa"/>
              <w:bottom w:w="28" w:type="dxa"/>
              <w:right w:w="28" w:type="dxa"/>
            </w:tcMar>
          </w:tcPr>
          <w:p w14:paraId="2435FB7E" w14:textId="77777777" w:rsidR="008A72AF" w:rsidRDefault="008A72AF" w:rsidP="00DF19F5">
            <w:pPr>
              <w:widowControl w:val="0"/>
              <w:ind w:right="729"/>
              <w:jc w:val="right"/>
              <w:rPr>
                <w:sz w:val="20"/>
                <w:szCs w:val="20"/>
              </w:rPr>
            </w:pPr>
            <w:r>
              <w:rPr>
                <w:sz w:val="20"/>
                <w:szCs w:val="20"/>
              </w:rPr>
              <w:t xml:space="preserve">46.640 </w:t>
            </w:r>
          </w:p>
        </w:tc>
      </w:tr>
      <w:tr w:rsidR="008A72AF" w14:paraId="37E5A905" w14:textId="77777777" w:rsidTr="008A72AF">
        <w:trPr>
          <w:trHeight w:val="56"/>
        </w:trPr>
        <w:tc>
          <w:tcPr>
            <w:tcW w:w="1186" w:type="pct"/>
            <w:vMerge w:val="restart"/>
            <w:tcBorders>
              <w:top w:val="single" w:sz="4" w:space="0" w:color="000000"/>
            </w:tcBorders>
            <w:shd w:val="clear" w:color="auto" w:fill="auto"/>
            <w:tcMar>
              <w:top w:w="28" w:type="dxa"/>
              <w:left w:w="28" w:type="dxa"/>
              <w:bottom w:w="28" w:type="dxa"/>
              <w:right w:w="28" w:type="dxa"/>
            </w:tcMar>
            <w:vAlign w:val="center"/>
          </w:tcPr>
          <w:p w14:paraId="37D6A973" w14:textId="77777777" w:rsidR="008A72AF" w:rsidRDefault="008A72AF" w:rsidP="00DF19F5">
            <w:pPr>
              <w:widowControl w:val="0"/>
              <w:ind w:left="25"/>
              <w:rPr>
                <w:b/>
                <w:sz w:val="20"/>
                <w:szCs w:val="20"/>
              </w:rPr>
            </w:pPr>
            <w:proofErr w:type="spellStart"/>
            <w:r>
              <w:rPr>
                <w:b/>
                <w:sz w:val="20"/>
                <w:szCs w:val="20"/>
              </w:rPr>
              <w:t>Paquistão</w:t>
            </w:r>
            <w:proofErr w:type="spellEnd"/>
            <w:r>
              <w:rPr>
                <w:b/>
                <w:sz w:val="20"/>
                <w:szCs w:val="20"/>
              </w:rPr>
              <w:t xml:space="preserve"> </w:t>
            </w:r>
          </w:p>
        </w:tc>
        <w:tc>
          <w:tcPr>
            <w:tcW w:w="1099" w:type="pct"/>
            <w:tcBorders>
              <w:top w:val="single" w:sz="4" w:space="0" w:color="000000"/>
            </w:tcBorders>
            <w:shd w:val="clear" w:color="auto" w:fill="auto"/>
            <w:tcMar>
              <w:top w:w="28" w:type="dxa"/>
              <w:left w:w="28" w:type="dxa"/>
              <w:bottom w:w="28" w:type="dxa"/>
              <w:right w:w="28" w:type="dxa"/>
            </w:tcMar>
          </w:tcPr>
          <w:p w14:paraId="412F839C" w14:textId="77777777" w:rsidR="008A72AF" w:rsidRDefault="008A72AF" w:rsidP="00DF19F5">
            <w:pPr>
              <w:widowControl w:val="0"/>
              <w:ind w:left="21"/>
              <w:rPr>
                <w:sz w:val="20"/>
                <w:szCs w:val="20"/>
              </w:rPr>
            </w:pPr>
            <w:proofErr w:type="spellStart"/>
            <w:r>
              <w:rPr>
                <w:sz w:val="20"/>
                <w:szCs w:val="20"/>
              </w:rPr>
              <w:t>Akora</w:t>
            </w:r>
            <w:proofErr w:type="spellEnd"/>
            <w:r>
              <w:rPr>
                <w:sz w:val="20"/>
                <w:szCs w:val="20"/>
              </w:rPr>
              <w:t xml:space="preserve"> </w:t>
            </w:r>
            <w:proofErr w:type="spellStart"/>
            <w:r>
              <w:rPr>
                <w:sz w:val="20"/>
                <w:szCs w:val="20"/>
              </w:rPr>
              <w:t>Khattak</w:t>
            </w:r>
            <w:proofErr w:type="spellEnd"/>
            <w:r>
              <w:rPr>
                <w:sz w:val="20"/>
                <w:szCs w:val="20"/>
              </w:rPr>
              <w:t xml:space="preserve"> </w:t>
            </w:r>
          </w:p>
        </w:tc>
        <w:tc>
          <w:tcPr>
            <w:tcW w:w="1300" w:type="pct"/>
            <w:tcBorders>
              <w:top w:val="single" w:sz="4" w:space="0" w:color="000000"/>
            </w:tcBorders>
            <w:shd w:val="clear" w:color="auto" w:fill="auto"/>
            <w:tcMar>
              <w:top w:w="28" w:type="dxa"/>
              <w:left w:w="28" w:type="dxa"/>
              <w:bottom w:w="28" w:type="dxa"/>
              <w:right w:w="28" w:type="dxa"/>
            </w:tcMar>
          </w:tcPr>
          <w:p w14:paraId="56D8C18D" w14:textId="77777777" w:rsidR="008A72AF" w:rsidRDefault="008A72AF" w:rsidP="00DF19F5">
            <w:pPr>
              <w:widowControl w:val="0"/>
              <w:ind w:right="819"/>
              <w:jc w:val="right"/>
              <w:rPr>
                <w:sz w:val="20"/>
                <w:szCs w:val="20"/>
              </w:rPr>
            </w:pPr>
            <w:r>
              <w:rPr>
                <w:sz w:val="20"/>
                <w:szCs w:val="20"/>
              </w:rPr>
              <w:t xml:space="preserve">1985 </w:t>
            </w:r>
          </w:p>
        </w:tc>
        <w:tc>
          <w:tcPr>
            <w:tcW w:w="1416" w:type="pct"/>
            <w:tcBorders>
              <w:top w:val="single" w:sz="4" w:space="0" w:color="000000"/>
            </w:tcBorders>
            <w:shd w:val="clear" w:color="auto" w:fill="auto"/>
            <w:tcMar>
              <w:top w:w="28" w:type="dxa"/>
              <w:left w:w="28" w:type="dxa"/>
              <w:bottom w:w="28" w:type="dxa"/>
              <w:right w:w="28" w:type="dxa"/>
            </w:tcMar>
          </w:tcPr>
          <w:p w14:paraId="54861BCF" w14:textId="77777777" w:rsidR="008A72AF" w:rsidRDefault="008A72AF" w:rsidP="00DF19F5">
            <w:pPr>
              <w:widowControl w:val="0"/>
              <w:ind w:right="729"/>
              <w:jc w:val="right"/>
              <w:rPr>
                <w:sz w:val="20"/>
                <w:szCs w:val="20"/>
              </w:rPr>
            </w:pPr>
            <w:r>
              <w:rPr>
                <w:sz w:val="20"/>
                <w:szCs w:val="20"/>
              </w:rPr>
              <w:t xml:space="preserve">28.942 </w:t>
            </w:r>
          </w:p>
        </w:tc>
      </w:tr>
      <w:tr w:rsidR="008A72AF" w14:paraId="2C937590" w14:textId="77777777" w:rsidTr="008A72AF">
        <w:trPr>
          <w:trHeight w:val="56"/>
        </w:trPr>
        <w:tc>
          <w:tcPr>
            <w:tcW w:w="1186" w:type="pct"/>
            <w:vMerge/>
            <w:tcBorders>
              <w:top w:val="single" w:sz="4" w:space="0" w:color="000000"/>
            </w:tcBorders>
            <w:shd w:val="clear" w:color="auto" w:fill="auto"/>
            <w:tcMar>
              <w:top w:w="28" w:type="dxa"/>
              <w:left w:w="28" w:type="dxa"/>
              <w:bottom w:w="28" w:type="dxa"/>
              <w:right w:w="28" w:type="dxa"/>
            </w:tcMar>
            <w:vAlign w:val="center"/>
          </w:tcPr>
          <w:p w14:paraId="0091EFF9" w14:textId="77777777" w:rsidR="008A72AF" w:rsidRDefault="008A72AF" w:rsidP="00DF19F5">
            <w:pPr>
              <w:widowControl w:val="0"/>
              <w:rPr>
                <w:sz w:val="20"/>
                <w:szCs w:val="20"/>
              </w:rPr>
            </w:pPr>
          </w:p>
        </w:tc>
        <w:tc>
          <w:tcPr>
            <w:tcW w:w="1099" w:type="pct"/>
            <w:shd w:val="clear" w:color="auto" w:fill="auto"/>
            <w:tcMar>
              <w:top w:w="28" w:type="dxa"/>
              <w:left w:w="28" w:type="dxa"/>
              <w:bottom w:w="28" w:type="dxa"/>
              <w:right w:w="28" w:type="dxa"/>
            </w:tcMar>
          </w:tcPr>
          <w:p w14:paraId="79AFDE0C" w14:textId="77777777" w:rsidR="008A72AF" w:rsidRDefault="008A72AF" w:rsidP="00DF19F5">
            <w:pPr>
              <w:widowControl w:val="0"/>
              <w:ind w:left="28"/>
              <w:rPr>
                <w:sz w:val="20"/>
                <w:szCs w:val="20"/>
              </w:rPr>
            </w:pPr>
            <w:proofErr w:type="spellStart"/>
            <w:r>
              <w:rPr>
                <w:sz w:val="20"/>
                <w:szCs w:val="20"/>
              </w:rPr>
              <w:t>Gamkol</w:t>
            </w:r>
            <w:proofErr w:type="spellEnd"/>
            <w:r>
              <w:rPr>
                <w:sz w:val="20"/>
                <w:szCs w:val="20"/>
              </w:rPr>
              <w:t xml:space="preserve"> </w:t>
            </w:r>
          </w:p>
        </w:tc>
        <w:tc>
          <w:tcPr>
            <w:tcW w:w="1300" w:type="pct"/>
            <w:shd w:val="clear" w:color="auto" w:fill="auto"/>
            <w:tcMar>
              <w:top w:w="28" w:type="dxa"/>
              <w:left w:w="28" w:type="dxa"/>
              <w:bottom w:w="28" w:type="dxa"/>
              <w:right w:w="28" w:type="dxa"/>
            </w:tcMar>
          </w:tcPr>
          <w:p w14:paraId="6AE67436" w14:textId="77777777" w:rsidR="008A72AF" w:rsidRDefault="008A72AF" w:rsidP="00DF19F5">
            <w:pPr>
              <w:widowControl w:val="0"/>
              <w:ind w:right="819"/>
              <w:jc w:val="right"/>
              <w:rPr>
                <w:sz w:val="20"/>
                <w:szCs w:val="20"/>
              </w:rPr>
            </w:pPr>
            <w:r>
              <w:rPr>
                <w:sz w:val="20"/>
                <w:szCs w:val="20"/>
              </w:rPr>
              <w:t xml:space="preserve">1985 </w:t>
            </w:r>
          </w:p>
        </w:tc>
        <w:tc>
          <w:tcPr>
            <w:tcW w:w="1416" w:type="pct"/>
            <w:shd w:val="clear" w:color="auto" w:fill="auto"/>
            <w:tcMar>
              <w:top w:w="28" w:type="dxa"/>
              <w:left w:w="28" w:type="dxa"/>
              <w:bottom w:w="28" w:type="dxa"/>
              <w:right w:w="28" w:type="dxa"/>
            </w:tcMar>
          </w:tcPr>
          <w:p w14:paraId="260518C1" w14:textId="77777777" w:rsidR="008A72AF" w:rsidRDefault="008A72AF" w:rsidP="00DF19F5">
            <w:pPr>
              <w:widowControl w:val="0"/>
              <w:ind w:right="729"/>
              <w:jc w:val="right"/>
              <w:rPr>
                <w:sz w:val="20"/>
                <w:szCs w:val="20"/>
              </w:rPr>
            </w:pPr>
            <w:r>
              <w:rPr>
                <w:sz w:val="20"/>
                <w:szCs w:val="20"/>
              </w:rPr>
              <w:t xml:space="preserve">30.474 </w:t>
            </w:r>
          </w:p>
        </w:tc>
      </w:tr>
      <w:tr w:rsidR="008A72AF" w14:paraId="55817A5F" w14:textId="77777777" w:rsidTr="008A72AF">
        <w:trPr>
          <w:trHeight w:val="56"/>
        </w:trPr>
        <w:tc>
          <w:tcPr>
            <w:tcW w:w="1186" w:type="pct"/>
            <w:vMerge/>
            <w:tcBorders>
              <w:top w:val="single" w:sz="4" w:space="0" w:color="000000"/>
            </w:tcBorders>
            <w:shd w:val="clear" w:color="auto" w:fill="auto"/>
            <w:tcMar>
              <w:top w:w="28" w:type="dxa"/>
              <w:left w:w="28" w:type="dxa"/>
              <w:bottom w:w="28" w:type="dxa"/>
              <w:right w:w="28" w:type="dxa"/>
            </w:tcMar>
            <w:vAlign w:val="center"/>
          </w:tcPr>
          <w:p w14:paraId="3011D9CC" w14:textId="77777777" w:rsidR="008A72AF" w:rsidRDefault="008A72AF" w:rsidP="00DF19F5">
            <w:pPr>
              <w:widowControl w:val="0"/>
              <w:rPr>
                <w:sz w:val="20"/>
                <w:szCs w:val="20"/>
              </w:rPr>
            </w:pPr>
          </w:p>
        </w:tc>
        <w:tc>
          <w:tcPr>
            <w:tcW w:w="1099" w:type="pct"/>
            <w:shd w:val="clear" w:color="auto" w:fill="auto"/>
            <w:tcMar>
              <w:top w:w="28" w:type="dxa"/>
              <w:left w:w="28" w:type="dxa"/>
              <w:bottom w:w="28" w:type="dxa"/>
              <w:right w:w="28" w:type="dxa"/>
            </w:tcMar>
          </w:tcPr>
          <w:p w14:paraId="37DD41B3" w14:textId="77777777" w:rsidR="008A72AF" w:rsidRDefault="008A72AF" w:rsidP="00DF19F5">
            <w:pPr>
              <w:widowControl w:val="0"/>
              <w:ind w:left="28"/>
              <w:rPr>
                <w:sz w:val="20"/>
                <w:szCs w:val="20"/>
              </w:rPr>
            </w:pPr>
            <w:r>
              <w:rPr>
                <w:sz w:val="20"/>
                <w:szCs w:val="20"/>
              </w:rPr>
              <w:t xml:space="preserve">Old </w:t>
            </w:r>
            <w:proofErr w:type="spellStart"/>
            <w:r>
              <w:rPr>
                <w:sz w:val="20"/>
                <w:szCs w:val="20"/>
              </w:rPr>
              <w:t>Shamshatoo</w:t>
            </w:r>
            <w:proofErr w:type="spellEnd"/>
            <w:r>
              <w:rPr>
                <w:sz w:val="20"/>
                <w:szCs w:val="20"/>
              </w:rPr>
              <w:t xml:space="preserve"> </w:t>
            </w:r>
          </w:p>
        </w:tc>
        <w:tc>
          <w:tcPr>
            <w:tcW w:w="1300" w:type="pct"/>
            <w:shd w:val="clear" w:color="auto" w:fill="auto"/>
            <w:tcMar>
              <w:top w:w="28" w:type="dxa"/>
              <w:left w:w="28" w:type="dxa"/>
              <w:bottom w:w="28" w:type="dxa"/>
              <w:right w:w="28" w:type="dxa"/>
            </w:tcMar>
          </w:tcPr>
          <w:p w14:paraId="3E2E3AA8" w14:textId="77777777" w:rsidR="008A72AF" w:rsidRDefault="008A72AF" w:rsidP="00DF19F5">
            <w:pPr>
              <w:widowControl w:val="0"/>
              <w:ind w:right="819"/>
              <w:jc w:val="right"/>
              <w:rPr>
                <w:sz w:val="20"/>
                <w:szCs w:val="20"/>
              </w:rPr>
            </w:pPr>
            <w:r>
              <w:rPr>
                <w:sz w:val="20"/>
                <w:szCs w:val="20"/>
              </w:rPr>
              <w:t xml:space="preserve">1985 </w:t>
            </w:r>
          </w:p>
        </w:tc>
        <w:tc>
          <w:tcPr>
            <w:tcW w:w="1416" w:type="pct"/>
            <w:shd w:val="clear" w:color="auto" w:fill="auto"/>
            <w:tcMar>
              <w:top w:w="28" w:type="dxa"/>
              <w:left w:w="28" w:type="dxa"/>
              <w:bottom w:w="28" w:type="dxa"/>
              <w:right w:w="28" w:type="dxa"/>
            </w:tcMar>
          </w:tcPr>
          <w:p w14:paraId="0E8D1594" w14:textId="77777777" w:rsidR="008A72AF" w:rsidRDefault="008A72AF" w:rsidP="00DF19F5">
            <w:pPr>
              <w:widowControl w:val="0"/>
              <w:ind w:right="729"/>
              <w:jc w:val="right"/>
              <w:rPr>
                <w:sz w:val="20"/>
                <w:szCs w:val="20"/>
              </w:rPr>
            </w:pPr>
            <w:r>
              <w:rPr>
                <w:sz w:val="20"/>
                <w:szCs w:val="20"/>
              </w:rPr>
              <w:t xml:space="preserve">38.967 </w:t>
            </w:r>
          </w:p>
        </w:tc>
      </w:tr>
      <w:tr w:rsidR="008A72AF" w14:paraId="34199F3A" w14:textId="77777777" w:rsidTr="008A72AF">
        <w:trPr>
          <w:trHeight w:val="56"/>
        </w:trPr>
        <w:tc>
          <w:tcPr>
            <w:tcW w:w="1186" w:type="pct"/>
            <w:vMerge/>
            <w:tcBorders>
              <w:top w:val="single" w:sz="4" w:space="0" w:color="000000"/>
            </w:tcBorders>
            <w:shd w:val="clear" w:color="auto" w:fill="auto"/>
            <w:tcMar>
              <w:top w:w="28" w:type="dxa"/>
              <w:left w:w="28" w:type="dxa"/>
              <w:bottom w:w="28" w:type="dxa"/>
              <w:right w:w="28" w:type="dxa"/>
            </w:tcMar>
            <w:vAlign w:val="center"/>
          </w:tcPr>
          <w:p w14:paraId="634083C6" w14:textId="77777777" w:rsidR="008A72AF" w:rsidRDefault="008A72AF" w:rsidP="00DF19F5">
            <w:pPr>
              <w:widowControl w:val="0"/>
              <w:rPr>
                <w:sz w:val="20"/>
                <w:szCs w:val="20"/>
              </w:rPr>
            </w:pPr>
          </w:p>
        </w:tc>
        <w:tc>
          <w:tcPr>
            <w:tcW w:w="1099" w:type="pct"/>
            <w:tcBorders>
              <w:bottom w:val="single" w:sz="4" w:space="0" w:color="000000"/>
            </w:tcBorders>
            <w:shd w:val="clear" w:color="auto" w:fill="auto"/>
            <w:tcMar>
              <w:top w:w="28" w:type="dxa"/>
              <w:left w:w="28" w:type="dxa"/>
              <w:bottom w:w="28" w:type="dxa"/>
              <w:right w:w="28" w:type="dxa"/>
            </w:tcMar>
          </w:tcPr>
          <w:p w14:paraId="3D0C2709" w14:textId="77777777" w:rsidR="008A72AF" w:rsidRDefault="008A72AF" w:rsidP="00DF19F5">
            <w:pPr>
              <w:widowControl w:val="0"/>
              <w:ind w:left="23"/>
              <w:rPr>
                <w:sz w:val="20"/>
                <w:szCs w:val="20"/>
              </w:rPr>
            </w:pPr>
            <w:r>
              <w:rPr>
                <w:sz w:val="20"/>
                <w:szCs w:val="20"/>
              </w:rPr>
              <w:t xml:space="preserve">Panian </w:t>
            </w:r>
          </w:p>
        </w:tc>
        <w:tc>
          <w:tcPr>
            <w:tcW w:w="1300" w:type="pct"/>
            <w:tcBorders>
              <w:bottom w:val="single" w:sz="4" w:space="0" w:color="000000"/>
            </w:tcBorders>
            <w:shd w:val="clear" w:color="auto" w:fill="auto"/>
            <w:tcMar>
              <w:top w:w="28" w:type="dxa"/>
              <w:left w:w="28" w:type="dxa"/>
              <w:bottom w:w="28" w:type="dxa"/>
              <w:right w:w="28" w:type="dxa"/>
            </w:tcMar>
          </w:tcPr>
          <w:p w14:paraId="16425186" w14:textId="77777777" w:rsidR="008A72AF" w:rsidRDefault="008A72AF" w:rsidP="00DF19F5">
            <w:pPr>
              <w:widowControl w:val="0"/>
              <w:ind w:right="819"/>
              <w:jc w:val="right"/>
              <w:rPr>
                <w:sz w:val="20"/>
                <w:szCs w:val="20"/>
              </w:rPr>
            </w:pPr>
            <w:r>
              <w:rPr>
                <w:sz w:val="20"/>
                <w:szCs w:val="20"/>
              </w:rPr>
              <w:t xml:space="preserve">1985 </w:t>
            </w:r>
          </w:p>
        </w:tc>
        <w:tc>
          <w:tcPr>
            <w:tcW w:w="1416" w:type="pct"/>
            <w:tcBorders>
              <w:bottom w:val="single" w:sz="4" w:space="0" w:color="000000"/>
            </w:tcBorders>
            <w:shd w:val="clear" w:color="auto" w:fill="auto"/>
            <w:tcMar>
              <w:top w:w="28" w:type="dxa"/>
              <w:left w:w="28" w:type="dxa"/>
              <w:bottom w:w="28" w:type="dxa"/>
              <w:right w:w="28" w:type="dxa"/>
            </w:tcMar>
          </w:tcPr>
          <w:p w14:paraId="093E3F93" w14:textId="77777777" w:rsidR="008A72AF" w:rsidRDefault="008A72AF" w:rsidP="00DF19F5">
            <w:pPr>
              <w:widowControl w:val="0"/>
              <w:ind w:right="729"/>
              <w:jc w:val="right"/>
              <w:rPr>
                <w:sz w:val="20"/>
                <w:szCs w:val="20"/>
              </w:rPr>
            </w:pPr>
            <w:r>
              <w:rPr>
                <w:sz w:val="20"/>
                <w:szCs w:val="20"/>
              </w:rPr>
              <w:t xml:space="preserve">44.381 </w:t>
            </w:r>
          </w:p>
        </w:tc>
      </w:tr>
      <w:tr w:rsidR="008A72AF" w14:paraId="70230E9E" w14:textId="77777777" w:rsidTr="008A72AF">
        <w:trPr>
          <w:trHeight w:val="56"/>
        </w:trPr>
        <w:tc>
          <w:tcPr>
            <w:tcW w:w="1186" w:type="pct"/>
            <w:vMerge w:val="restart"/>
            <w:tcBorders>
              <w:top w:val="single" w:sz="4" w:space="0" w:color="000000"/>
            </w:tcBorders>
            <w:shd w:val="clear" w:color="auto" w:fill="auto"/>
            <w:tcMar>
              <w:top w:w="28" w:type="dxa"/>
              <w:left w:w="28" w:type="dxa"/>
              <w:bottom w:w="28" w:type="dxa"/>
              <w:right w:w="28" w:type="dxa"/>
            </w:tcMar>
            <w:vAlign w:val="center"/>
          </w:tcPr>
          <w:p w14:paraId="55FE5015" w14:textId="77777777" w:rsidR="008A72AF" w:rsidRDefault="008A72AF" w:rsidP="00DF19F5">
            <w:pPr>
              <w:widowControl w:val="0"/>
              <w:ind w:left="32"/>
              <w:rPr>
                <w:b/>
                <w:sz w:val="20"/>
                <w:szCs w:val="20"/>
              </w:rPr>
            </w:pPr>
            <w:proofErr w:type="spellStart"/>
            <w:r>
              <w:rPr>
                <w:b/>
                <w:sz w:val="20"/>
                <w:szCs w:val="20"/>
              </w:rPr>
              <w:t>Sudão</w:t>
            </w:r>
            <w:proofErr w:type="spellEnd"/>
            <w:r>
              <w:rPr>
                <w:b/>
                <w:sz w:val="20"/>
                <w:szCs w:val="20"/>
              </w:rPr>
              <w:t xml:space="preserve"> do Sul </w:t>
            </w:r>
          </w:p>
        </w:tc>
        <w:tc>
          <w:tcPr>
            <w:tcW w:w="1099" w:type="pct"/>
            <w:tcBorders>
              <w:top w:val="single" w:sz="4" w:space="0" w:color="000000"/>
            </w:tcBorders>
            <w:shd w:val="clear" w:color="auto" w:fill="auto"/>
            <w:tcMar>
              <w:top w:w="28" w:type="dxa"/>
              <w:left w:w="28" w:type="dxa"/>
              <w:bottom w:w="28" w:type="dxa"/>
              <w:right w:w="28" w:type="dxa"/>
            </w:tcMar>
          </w:tcPr>
          <w:p w14:paraId="18531192" w14:textId="77777777" w:rsidR="008A72AF" w:rsidRDefault="008A72AF" w:rsidP="00DF19F5">
            <w:pPr>
              <w:widowControl w:val="0"/>
              <w:ind w:left="21"/>
              <w:rPr>
                <w:sz w:val="20"/>
                <w:szCs w:val="20"/>
              </w:rPr>
            </w:pPr>
            <w:proofErr w:type="spellStart"/>
            <w:r>
              <w:rPr>
                <w:sz w:val="20"/>
                <w:szCs w:val="20"/>
              </w:rPr>
              <w:t>Ajuong</w:t>
            </w:r>
            <w:proofErr w:type="spellEnd"/>
            <w:r>
              <w:rPr>
                <w:sz w:val="20"/>
                <w:szCs w:val="20"/>
              </w:rPr>
              <w:t xml:space="preserve"> </w:t>
            </w:r>
            <w:proofErr w:type="spellStart"/>
            <w:r>
              <w:rPr>
                <w:sz w:val="20"/>
                <w:szCs w:val="20"/>
              </w:rPr>
              <w:t>Thok</w:t>
            </w:r>
            <w:proofErr w:type="spellEnd"/>
            <w:r>
              <w:rPr>
                <w:sz w:val="20"/>
                <w:szCs w:val="20"/>
              </w:rPr>
              <w:t xml:space="preserve"> </w:t>
            </w:r>
          </w:p>
        </w:tc>
        <w:tc>
          <w:tcPr>
            <w:tcW w:w="1300" w:type="pct"/>
            <w:tcBorders>
              <w:top w:val="single" w:sz="4" w:space="0" w:color="000000"/>
            </w:tcBorders>
            <w:shd w:val="clear" w:color="auto" w:fill="auto"/>
            <w:tcMar>
              <w:top w:w="28" w:type="dxa"/>
              <w:left w:w="28" w:type="dxa"/>
              <w:bottom w:w="28" w:type="dxa"/>
              <w:right w:w="28" w:type="dxa"/>
            </w:tcMar>
          </w:tcPr>
          <w:p w14:paraId="45D5BCA5" w14:textId="77777777" w:rsidR="008A72AF" w:rsidRDefault="008A72AF" w:rsidP="00DF19F5">
            <w:pPr>
              <w:widowControl w:val="0"/>
              <w:ind w:right="819"/>
              <w:jc w:val="right"/>
              <w:rPr>
                <w:sz w:val="20"/>
                <w:szCs w:val="20"/>
              </w:rPr>
            </w:pPr>
            <w:r>
              <w:rPr>
                <w:sz w:val="20"/>
                <w:szCs w:val="20"/>
              </w:rPr>
              <w:t xml:space="preserve">2013 </w:t>
            </w:r>
          </w:p>
        </w:tc>
        <w:tc>
          <w:tcPr>
            <w:tcW w:w="1416" w:type="pct"/>
            <w:tcBorders>
              <w:top w:val="single" w:sz="4" w:space="0" w:color="000000"/>
            </w:tcBorders>
            <w:shd w:val="clear" w:color="auto" w:fill="auto"/>
            <w:tcMar>
              <w:top w:w="28" w:type="dxa"/>
              <w:left w:w="28" w:type="dxa"/>
              <w:bottom w:w="28" w:type="dxa"/>
              <w:right w:w="28" w:type="dxa"/>
            </w:tcMar>
          </w:tcPr>
          <w:p w14:paraId="33B2DF08" w14:textId="77777777" w:rsidR="008A72AF" w:rsidRDefault="008A72AF" w:rsidP="00DF19F5">
            <w:pPr>
              <w:widowControl w:val="0"/>
              <w:ind w:right="729"/>
              <w:jc w:val="right"/>
              <w:rPr>
                <w:sz w:val="20"/>
                <w:szCs w:val="20"/>
              </w:rPr>
            </w:pPr>
            <w:r>
              <w:rPr>
                <w:sz w:val="20"/>
                <w:szCs w:val="20"/>
              </w:rPr>
              <w:t xml:space="preserve">36.530 </w:t>
            </w:r>
          </w:p>
        </w:tc>
      </w:tr>
      <w:tr w:rsidR="008A72AF" w14:paraId="6582316F" w14:textId="77777777" w:rsidTr="008A72AF">
        <w:trPr>
          <w:trHeight w:val="56"/>
        </w:trPr>
        <w:tc>
          <w:tcPr>
            <w:tcW w:w="1186" w:type="pct"/>
            <w:vMerge/>
            <w:tcBorders>
              <w:top w:val="single" w:sz="4" w:space="0" w:color="000000"/>
            </w:tcBorders>
            <w:shd w:val="clear" w:color="auto" w:fill="auto"/>
            <w:tcMar>
              <w:top w:w="28" w:type="dxa"/>
              <w:left w:w="28" w:type="dxa"/>
              <w:bottom w:w="28" w:type="dxa"/>
              <w:right w:w="28" w:type="dxa"/>
            </w:tcMar>
            <w:vAlign w:val="center"/>
          </w:tcPr>
          <w:p w14:paraId="0BF4C601" w14:textId="77777777" w:rsidR="008A72AF" w:rsidRDefault="008A72AF" w:rsidP="00DF19F5">
            <w:pPr>
              <w:widowControl w:val="0"/>
              <w:rPr>
                <w:sz w:val="20"/>
                <w:szCs w:val="20"/>
              </w:rPr>
            </w:pPr>
          </w:p>
        </w:tc>
        <w:tc>
          <w:tcPr>
            <w:tcW w:w="1099" w:type="pct"/>
            <w:shd w:val="clear" w:color="auto" w:fill="auto"/>
            <w:tcMar>
              <w:top w:w="28" w:type="dxa"/>
              <w:left w:w="28" w:type="dxa"/>
              <w:bottom w:w="28" w:type="dxa"/>
              <w:right w:w="28" w:type="dxa"/>
            </w:tcMar>
          </w:tcPr>
          <w:p w14:paraId="485CB88E" w14:textId="77777777" w:rsidR="008A72AF" w:rsidRDefault="008A72AF" w:rsidP="00DF19F5">
            <w:pPr>
              <w:widowControl w:val="0"/>
              <w:ind w:left="23"/>
              <w:rPr>
                <w:sz w:val="20"/>
                <w:szCs w:val="20"/>
              </w:rPr>
            </w:pPr>
            <w:proofErr w:type="spellStart"/>
            <w:r>
              <w:rPr>
                <w:sz w:val="20"/>
                <w:szCs w:val="20"/>
              </w:rPr>
              <w:t>Kaya</w:t>
            </w:r>
            <w:proofErr w:type="spellEnd"/>
            <w:r>
              <w:rPr>
                <w:sz w:val="20"/>
                <w:szCs w:val="20"/>
              </w:rPr>
              <w:t xml:space="preserve"> </w:t>
            </w:r>
          </w:p>
        </w:tc>
        <w:tc>
          <w:tcPr>
            <w:tcW w:w="1300" w:type="pct"/>
            <w:shd w:val="clear" w:color="auto" w:fill="auto"/>
            <w:tcMar>
              <w:top w:w="28" w:type="dxa"/>
              <w:left w:w="28" w:type="dxa"/>
              <w:bottom w:w="28" w:type="dxa"/>
              <w:right w:w="28" w:type="dxa"/>
            </w:tcMar>
          </w:tcPr>
          <w:p w14:paraId="2820EF29" w14:textId="77777777" w:rsidR="008A72AF" w:rsidRDefault="008A72AF" w:rsidP="00DF19F5">
            <w:pPr>
              <w:widowControl w:val="0"/>
              <w:ind w:right="819"/>
              <w:jc w:val="right"/>
              <w:rPr>
                <w:sz w:val="20"/>
                <w:szCs w:val="20"/>
              </w:rPr>
            </w:pPr>
            <w:r>
              <w:rPr>
                <w:sz w:val="20"/>
                <w:szCs w:val="20"/>
              </w:rPr>
              <w:t xml:space="preserve">2013 </w:t>
            </w:r>
          </w:p>
        </w:tc>
        <w:tc>
          <w:tcPr>
            <w:tcW w:w="1416" w:type="pct"/>
            <w:shd w:val="clear" w:color="auto" w:fill="auto"/>
            <w:tcMar>
              <w:top w:w="28" w:type="dxa"/>
              <w:left w:w="28" w:type="dxa"/>
              <w:bottom w:w="28" w:type="dxa"/>
              <w:right w:w="28" w:type="dxa"/>
            </w:tcMar>
          </w:tcPr>
          <w:p w14:paraId="1283CDFE" w14:textId="77777777" w:rsidR="008A72AF" w:rsidRDefault="008A72AF" w:rsidP="00DF19F5">
            <w:pPr>
              <w:widowControl w:val="0"/>
              <w:ind w:right="729"/>
              <w:jc w:val="right"/>
              <w:rPr>
                <w:sz w:val="20"/>
                <w:szCs w:val="20"/>
              </w:rPr>
            </w:pPr>
            <w:r>
              <w:rPr>
                <w:sz w:val="20"/>
                <w:szCs w:val="20"/>
              </w:rPr>
              <w:t xml:space="preserve">25.376 </w:t>
            </w:r>
          </w:p>
        </w:tc>
      </w:tr>
      <w:tr w:rsidR="008A72AF" w14:paraId="51B9BBE2" w14:textId="77777777" w:rsidTr="008A72AF">
        <w:trPr>
          <w:trHeight w:val="56"/>
        </w:trPr>
        <w:tc>
          <w:tcPr>
            <w:tcW w:w="1186" w:type="pct"/>
            <w:vMerge/>
            <w:tcBorders>
              <w:top w:val="single" w:sz="4" w:space="0" w:color="000000"/>
            </w:tcBorders>
            <w:shd w:val="clear" w:color="auto" w:fill="auto"/>
            <w:tcMar>
              <w:top w:w="28" w:type="dxa"/>
              <w:left w:w="28" w:type="dxa"/>
              <w:bottom w:w="28" w:type="dxa"/>
              <w:right w:w="28" w:type="dxa"/>
            </w:tcMar>
            <w:vAlign w:val="center"/>
          </w:tcPr>
          <w:p w14:paraId="4EAF56F3" w14:textId="77777777" w:rsidR="008A72AF" w:rsidRDefault="008A72AF" w:rsidP="00DF19F5">
            <w:pPr>
              <w:widowControl w:val="0"/>
              <w:rPr>
                <w:sz w:val="20"/>
                <w:szCs w:val="20"/>
              </w:rPr>
            </w:pPr>
          </w:p>
        </w:tc>
        <w:tc>
          <w:tcPr>
            <w:tcW w:w="1099" w:type="pct"/>
            <w:shd w:val="clear" w:color="auto" w:fill="auto"/>
            <w:tcMar>
              <w:top w:w="28" w:type="dxa"/>
              <w:left w:w="28" w:type="dxa"/>
              <w:bottom w:w="28" w:type="dxa"/>
              <w:right w:w="28" w:type="dxa"/>
            </w:tcMar>
          </w:tcPr>
          <w:p w14:paraId="37A78A22" w14:textId="77777777" w:rsidR="008A72AF" w:rsidRDefault="008A72AF" w:rsidP="00DF19F5">
            <w:pPr>
              <w:widowControl w:val="0"/>
              <w:ind w:left="23"/>
              <w:rPr>
                <w:sz w:val="20"/>
                <w:szCs w:val="20"/>
              </w:rPr>
            </w:pPr>
            <w:r>
              <w:rPr>
                <w:sz w:val="20"/>
                <w:szCs w:val="20"/>
              </w:rPr>
              <w:t xml:space="preserve">Doro </w:t>
            </w:r>
          </w:p>
        </w:tc>
        <w:tc>
          <w:tcPr>
            <w:tcW w:w="1300" w:type="pct"/>
            <w:shd w:val="clear" w:color="auto" w:fill="auto"/>
            <w:tcMar>
              <w:top w:w="28" w:type="dxa"/>
              <w:left w:w="28" w:type="dxa"/>
              <w:bottom w:w="28" w:type="dxa"/>
              <w:right w:w="28" w:type="dxa"/>
            </w:tcMar>
          </w:tcPr>
          <w:p w14:paraId="316B1CBC" w14:textId="77777777" w:rsidR="008A72AF" w:rsidRDefault="008A72AF" w:rsidP="00DF19F5">
            <w:pPr>
              <w:widowControl w:val="0"/>
              <w:ind w:right="828"/>
              <w:jc w:val="right"/>
              <w:rPr>
                <w:sz w:val="20"/>
                <w:szCs w:val="20"/>
              </w:rPr>
            </w:pPr>
            <w:r>
              <w:rPr>
                <w:sz w:val="20"/>
                <w:szCs w:val="20"/>
              </w:rPr>
              <w:t xml:space="preserve">2011 </w:t>
            </w:r>
          </w:p>
        </w:tc>
        <w:tc>
          <w:tcPr>
            <w:tcW w:w="1416" w:type="pct"/>
            <w:shd w:val="clear" w:color="auto" w:fill="auto"/>
            <w:tcMar>
              <w:top w:w="28" w:type="dxa"/>
              <w:left w:w="28" w:type="dxa"/>
              <w:bottom w:w="28" w:type="dxa"/>
              <w:right w:w="28" w:type="dxa"/>
            </w:tcMar>
          </w:tcPr>
          <w:p w14:paraId="753A1EBA" w14:textId="77777777" w:rsidR="008A72AF" w:rsidRDefault="008A72AF" w:rsidP="00DF19F5">
            <w:pPr>
              <w:widowControl w:val="0"/>
              <w:ind w:right="729"/>
              <w:jc w:val="right"/>
              <w:rPr>
                <w:sz w:val="20"/>
                <w:szCs w:val="20"/>
              </w:rPr>
            </w:pPr>
            <w:r>
              <w:rPr>
                <w:sz w:val="20"/>
                <w:szCs w:val="20"/>
              </w:rPr>
              <w:t xml:space="preserve">52.742 </w:t>
            </w:r>
          </w:p>
        </w:tc>
      </w:tr>
      <w:tr w:rsidR="008A72AF" w14:paraId="580FCD07" w14:textId="77777777" w:rsidTr="008A72AF">
        <w:trPr>
          <w:trHeight w:val="56"/>
        </w:trPr>
        <w:tc>
          <w:tcPr>
            <w:tcW w:w="1186" w:type="pct"/>
            <w:vMerge/>
            <w:tcBorders>
              <w:top w:val="single" w:sz="4" w:space="0" w:color="000000"/>
            </w:tcBorders>
            <w:shd w:val="clear" w:color="auto" w:fill="auto"/>
            <w:tcMar>
              <w:top w:w="28" w:type="dxa"/>
              <w:left w:w="28" w:type="dxa"/>
              <w:bottom w:w="28" w:type="dxa"/>
              <w:right w:w="28" w:type="dxa"/>
            </w:tcMar>
            <w:vAlign w:val="center"/>
          </w:tcPr>
          <w:p w14:paraId="5D699FBF" w14:textId="77777777" w:rsidR="008A72AF" w:rsidRDefault="008A72AF" w:rsidP="00DF19F5">
            <w:pPr>
              <w:widowControl w:val="0"/>
              <w:rPr>
                <w:sz w:val="20"/>
                <w:szCs w:val="20"/>
              </w:rPr>
            </w:pPr>
          </w:p>
        </w:tc>
        <w:tc>
          <w:tcPr>
            <w:tcW w:w="1099" w:type="pct"/>
            <w:tcBorders>
              <w:bottom w:val="single" w:sz="4" w:space="0" w:color="000000"/>
            </w:tcBorders>
            <w:shd w:val="clear" w:color="auto" w:fill="auto"/>
            <w:tcMar>
              <w:top w:w="28" w:type="dxa"/>
              <w:left w:w="28" w:type="dxa"/>
              <w:bottom w:w="28" w:type="dxa"/>
              <w:right w:w="28" w:type="dxa"/>
            </w:tcMar>
          </w:tcPr>
          <w:p w14:paraId="382249A4" w14:textId="77777777" w:rsidR="008A72AF" w:rsidRDefault="008A72AF" w:rsidP="00DF19F5">
            <w:pPr>
              <w:widowControl w:val="0"/>
              <w:ind w:left="22"/>
              <w:rPr>
                <w:sz w:val="20"/>
                <w:szCs w:val="20"/>
              </w:rPr>
            </w:pPr>
            <w:proofErr w:type="spellStart"/>
            <w:r>
              <w:rPr>
                <w:sz w:val="20"/>
                <w:szCs w:val="20"/>
              </w:rPr>
              <w:t>Yusuf</w:t>
            </w:r>
            <w:proofErr w:type="spellEnd"/>
            <w:r>
              <w:rPr>
                <w:sz w:val="20"/>
                <w:szCs w:val="20"/>
              </w:rPr>
              <w:t xml:space="preserve"> </w:t>
            </w:r>
            <w:proofErr w:type="spellStart"/>
            <w:r>
              <w:rPr>
                <w:sz w:val="20"/>
                <w:szCs w:val="20"/>
              </w:rPr>
              <w:t>Batil</w:t>
            </w:r>
            <w:proofErr w:type="spellEnd"/>
            <w:r>
              <w:rPr>
                <w:sz w:val="20"/>
                <w:szCs w:val="20"/>
              </w:rPr>
              <w:t xml:space="preserve"> </w:t>
            </w:r>
          </w:p>
        </w:tc>
        <w:tc>
          <w:tcPr>
            <w:tcW w:w="1300" w:type="pct"/>
            <w:tcBorders>
              <w:bottom w:val="single" w:sz="4" w:space="0" w:color="000000"/>
            </w:tcBorders>
            <w:shd w:val="clear" w:color="auto" w:fill="auto"/>
            <w:tcMar>
              <w:top w:w="28" w:type="dxa"/>
              <w:left w:w="28" w:type="dxa"/>
              <w:bottom w:w="28" w:type="dxa"/>
              <w:right w:w="28" w:type="dxa"/>
            </w:tcMar>
          </w:tcPr>
          <w:p w14:paraId="166FD798" w14:textId="77777777" w:rsidR="008A72AF" w:rsidRDefault="008A72AF" w:rsidP="00DF19F5">
            <w:pPr>
              <w:widowControl w:val="0"/>
              <w:ind w:right="828"/>
              <w:jc w:val="right"/>
              <w:rPr>
                <w:sz w:val="20"/>
                <w:szCs w:val="20"/>
              </w:rPr>
            </w:pPr>
            <w:r>
              <w:rPr>
                <w:sz w:val="20"/>
                <w:szCs w:val="20"/>
              </w:rPr>
              <w:t xml:space="preserve">2011 </w:t>
            </w:r>
          </w:p>
        </w:tc>
        <w:tc>
          <w:tcPr>
            <w:tcW w:w="1416" w:type="pct"/>
            <w:tcBorders>
              <w:bottom w:val="single" w:sz="4" w:space="0" w:color="000000"/>
            </w:tcBorders>
            <w:shd w:val="clear" w:color="auto" w:fill="auto"/>
            <w:tcMar>
              <w:top w:w="28" w:type="dxa"/>
              <w:left w:w="28" w:type="dxa"/>
              <w:bottom w:w="28" w:type="dxa"/>
              <w:right w:w="28" w:type="dxa"/>
            </w:tcMar>
          </w:tcPr>
          <w:p w14:paraId="5BAEB2D7" w14:textId="77777777" w:rsidR="008A72AF" w:rsidRDefault="008A72AF" w:rsidP="00DF19F5">
            <w:pPr>
              <w:widowControl w:val="0"/>
              <w:ind w:right="729"/>
              <w:jc w:val="right"/>
              <w:rPr>
                <w:sz w:val="20"/>
                <w:szCs w:val="20"/>
              </w:rPr>
            </w:pPr>
            <w:r>
              <w:rPr>
                <w:sz w:val="20"/>
                <w:szCs w:val="20"/>
              </w:rPr>
              <w:t xml:space="preserve">41.280 </w:t>
            </w:r>
          </w:p>
        </w:tc>
      </w:tr>
      <w:tr w:rsidR="008A72AF" w14:paraId="0BC8AC9B" w14:textId="77777777" w:rsidTr="008A72AF">
        <w:trPr>
          <w:trHeight w:val="56"/>
        </w:trPr>
        <w:tc>
          <w:tcPr>
            <w:tcW w:w="1186" w:type="pct"/>
            <w:tcBorders>
              <w:top w:val="single" w:sz="4" w:space="0" w:color="000000"/>
              <w:bottom w:val="single" w:sz="4" w:space="0" w:color="000000"/>
            </w:tcBorders>
            <w:shd w:val="clear" w:color="auto" w:fill="auto"/>
            <w:tcMar>
              <w:top w:w="28" w:type="dxa"/>
              <w:left w:w="28" w:type="dxa"/>
              <w:bottom w:w="28" w:type="dxa"/>
              <w:right w:w="28" w:type="dxa"/>
            </w:tcMar>
          </w:tcPr>
          <w:p w14:paraId="71396719" w14:textId="77777777" w:rsidR="008A72AF" w:rsidRDefault="008A72AF" w:rsidP="00DF19F5">
            <w:pPr>
              <w:widowControl w:val="0"/>
              <w:ind w:left="28"/>
              <w:rPr>
                <w:b/>
                <w:sz w:val="20"/>
                <w:szCs w:val="20"/>
              </w:rPr>
            </w:pPr>
            <w:proofErr w:type="spellStart"/>
            <w:r>
              <w:rPr>
                <w:b/>
                <w:sz w:val="20"/>
                <w:szCs w:val="20"/>
              </w:rPr>
              <w:t>Turquia</w:t>
            </w:r>
            <w:proofErr w:type="spellEnd"/>
            <w:r>
              <w:rPr>
                <w:b/>
                <w:sz w:val="20"/>
                <w:szCs w:val="20"/>
              </w:rPr>
              <w:t xml:space="preserve"> </w:t>
            </w:r>
          </w:p>
        </w:tc>
        <w:tc>
          <w:tcPr>
            <w:tcW w:w="1099" w:type="pct"/>
            <w:tcBorders>
              <w:top w:val="single" w:sz="4" w:space="0" w:color="000000"/>
              <w:bottom w:val="single" w:sz="4" w:space="0" w:color="000000"/>
            </w:tcBorders>
            <w:shd w:val="clear" w:color="auto" w:fill="auto"/>
            <w:tcMar>
              <w:top w:w="28" w:type="dxa"/>
              <w:left w:w="28" w:type="dxa"/>
              <w:bottom w:w="28" w:type="dxa"/>
              <w:right w:w="28" w:type="dxa"/>
            </w:tcMar>
          </w:tcPr>
          <w:p w14:paraId="423516F4" w14:textId="77777777" w:rsidR="008A72AF" w:rsidRDefault="008A72AF" w:rsidP="00DF19F5">
            <w:pPr>
              <w:widowControl w:val="0"/>
              <w:ind w:left="21"/>
              <w:rPr>
                <w:sz w:val="20"/>
                <w:szCs w:val="20"/>
              </w:rPr>
            </w:pPr>
            <w:proofErr w:type="spellStart"/>
            <w:r>
              <w:rPr>
                <w:sz w:val="20"/>
                <w:szCs w:val="20"/>
              </w:rPr>
              <w:t>Akcakale</w:t>
            </w:r>
            <w:proofErr w:type="spellEnd"/>
            <w:r>
              <w:rPr>
                <w:sz w:val="20"/>
                <w:szCs w:val="20"/>
              </w:rPr>
              <w:t xml:space="preserve"> </w:t>
            </w:r>
          </w:p>
        </w:tc>
        <w:tc>
          <w:tcPr>
            <w:tcW w:w="1300" w:type="pct"/>
            <w:tcBorders>
              <w:top w:val="single" w:sz="4" w:space="0" w:color="000000"/>
              <w:bottom w:val="single" w:sz="4" w:space="0" w:color="000000"/>
            </w:tcBorders>
            <w:shd w:val="clear" w:color="auto" w:fill="auto"/>
            <w:tcMar>
              <w:top w:w="28" w:type="dxa"/>
              <w:left w:w="28" w:type="dxa"/>
              <w:bottom w:w="28" w:type="dxa"/>
              <w:right w:w="28" w:type="dxa"/>
            </w:tcMar>
          </w:tcPr>
          <w:p w14:paraId="09BE65A3" w14:textId="77777777" w:rsidR="008A72AF" w:rsidRDefault="008A72AF" w:rsidP="00DF19F5">
            <w:pPr>
              <w:widowControl w:val="0"/>
              <w:ind w:right="819"/>
              <w:jc w:val="right"/>
              <w:rPr>
                <w:sz w:val="20"/>
                <w:szCs w:val="20"/>
              </w:rPr>
            </w:pPr>
            <w:r>
              <w:rPr>
                <w:sz w:val="20"/>
                <w:szCs w:val="20"/>
              </w:rPr>
              <w:t xml:space="preserve">2012 </w:t>
            </w:r>
          </w:p>
        </w:tc>
        <w:tc>
          <w:tcPr>
            <w:tcW w:w="1416" w:type="pct"/>
            <w:tcBorders>
              <w:top w:val="single" w:sz="4" w:space="0" w:color="000000"/>
              <w:bottom w:val="single" w:sz="4" w:space="0" w:color="000000"/>
            </w:tcBorders>
            <w:shd w:val="clear" w:color="auto" w:fill="auto"/>
            <w:tcMar>
              <w:top w:w="28" w:type="dxa"/>
              <w:left w:w="28" w:type="dxa"/>
              <w:bottom w:w="28" w:type="dxa"/>
              <w:right w:w="28" w:type="dxa"/>
            </w:tcMar>
          </w:tcPr>
          <w:p w14:paraId="684DCD45" w14:textId="77777777" w:rsidR="008A72AF" w:rsidRDefault="008A72AF" w:rsidP="00DF19F5">
            <w:pPr>
              <w:widowControl w:val="0"/>
              <w:ind w:right="729"/>
              <w:jc w:val="right"/>
              <w:rPr>
                <w:sz w:val="20"/>
                <w:szCs w:val="20"/>
              </w:rPr>
            </w:pPr>
            <w:r>
              <w:rPr>
                <w:sz w:val="20"/>
                <w:szCs w:val="20"/>
              </w:rPr>
              <w:t xml:space="preserve">31.801 </w:t>
            </w:r>
          </w:p>
        </w:tc>
      </w:tr>
      <w:tr w:rsidR="008A72AF" w14:paraId="34F9096B" w14:textId="77777777" w:rsidTr="008A72AF">
        <w:trPr>
          <w:trHeight w:val="56"/>
        </w:trPr>
        <w:tc>
          <w:tcPr>
            <w:tcW w:w="1186" w:type="pct"/>
            <w:tcBorders>
              <w:top w:val="single" w:sz="4" w:space="0" w:color="000000"/>
              <w:bottom w:val="single" w:sz="4" w:space="0" w:color="000000"/>
            </w:tcBorders>
            <w:shd w:val="clear" w:color="auto" w:fill="auto"/>
            <w:tcMar>
              <w:top w:w="28" w:type="dxa"/>
              <w:left w:w="28" w:type="dxa"/>
              <w:bottom w:w="28" w:type="dxa"/>
              <w:right w:w="28" w:type="dxa"/>
            </w:tcMar>
          </w:tcPr>
          <w:p w14:paraId="2C92764D" w14:textId="77777777" w:rsidR="008A72AF" w:rsidRDefault="008A72AF" w:rsidP="00DF19F5">
            <w:pPr>
              <w:widowControl w:val="0"/>
              <w:ind w:left="28"/>
              <w:rPr>
                <w:b/>
                <w:sz w:val="20"/>
                <w:szCs w:val="20"/>
              </w:rPr>
            </w:pPr>
            <w:proofErr w:type="spellStart"/>
            <w:r>
              <w:rPr>
                <w:b/>
                <w:sz w:val="20"/>
                <w:szCs w:val="20"/>
              </w:rPr>
              <w:t>Tanzânia</w:t>
            </w:r>
            <w:proofErr w:type="spellEnd"/>
            <w:r>
              <w:rPr>
                <w:b/>
                <w:sz w:val="20"/>
                <w:szCs w:val="20"/>
              </w:rPr>
              <w:t xml:space="preserve"> </w:t>
            </w:r>
          </w:p>
        </w:tc>
        <w:tc>
          <w:tcPr>
            <w:tcW w:w="1099" w:type="pct"/>
            <w:tcBorders>
              <w:top w:val="single" w:sz="4" w:space="0" w:color="000000"/>
              <w:bottom w:val="single" w:sz="4" w:space="0" w:color="000000"/>
            </w:tcBorders>
            <w:shd w:val="clear" w:color="auto" w:fill="auto"/>
            <w:tcMar>
              <w:top w:w="28" w:type="dxa"/>
              <w:left w:w="28" w:type="dxa"/>
              <w:bottom w:w="28" w:type="dxa"/>
              <w:right w:w="28" w:type="dxa"/>
            </w:tcMar>
          </w:tcPr>
          <w:p w14:paraId="09D12019" w14:textId="77777777" w:rsidR="008A72AF" w:rsidRDefault="008A72AF" w:rsidP="00DF19F5">
            <w:pPr>
              <w:widowControl w:val="0"/>
              <w:ind w:left="17"/>
              <w:rPr>
                <w:sz w:val="20"/>
                <w:szCs w:val="20"/>
              </w:rPr>
            </w:pPr>
            <w:proofErr w:type="spellStart"/>
            <w:r>
              <w:rPr>
                <w:sz w:val="20"/>
                <w:szCs w:val="20"/>
              </w:rPr>
              <w:t>Nyarugusu</w:t>
            </w:r>
            <w:proofErr w:type="spellEnd"/>
            <w:r>
              <w:rPr>
                <w:sz w:val="20"/>
                <w:szCs w:val="20"/>
              </w:rPr>
              <w:t xml:space="preserve"> </w:t>
            </w:r>
          </w:p>
        </w:tc>
        <w:tc>
          <w:tcPr>
            <w:tcW w:w="1300" w:type="pct"/>
            <w:tcBorders>
              <w:top w:val="single" w:sz="4" w:space="0" w:color="000000"/>
              <w:bottom w:val="single" w:sz="4" w:space="0" w:color="000000"/>
            </w:tcBorders>
            <w:shd w:val="clear" w:color="auto" w:fill="auto"/>
            <w:tcMar>
              <w:top w:w="28" w:type="dxa"/>
              <w:left w:w="28" w:type="dxa"/>
              <w:bottom w:w="28" w:type="dxa"/>
              <w:right w:w="28" w:type="dxa"/>
            </w:tcMar>
          </w:tcPr>
          <w:p w14:paraId="36C9146F" w14:textId="77777777" w:rsidR="008A72AF" w:rsidRDefault="008A72AF" w:rsidP="00DF19F5">
            <w:pPr>
              <w:widowControl w:val="0"/>
              <w:ind w:right="819"/>
              <w:jc w:val="right"/>
              <w:rPr>
                <w:sz w:val="20"/>
                <w:szCs w:val="20"/>
              </w:rPr>
            </w:pPr>
            <w:r>
              <w:rPr>
                <w:sz w:val="20"/>
                <w:szCs w:val="20"/>
              </w:rPr>
              <w:t xml:space="preserve">1996 </w:t>
            </w:r>
          </w:p>
        </w:tc>
        <w:tc>
          <w:tcPr>
            <w:tcW w:w="1416" w:type="pct"/>
            <w:tcBorders>
              <w:top w:val="single" w:sz="4" w:space="0" w:color="000000"/>
              <w:bottom w:val="single" w:sz="4" w:space="0" w:color="000000"/>
            </w:tcBorders>
            <w:shd w:val="clear" w:color="auto" w:fill="auto"/>
            <w:tcMar>
              <w:top w:w="28" w:type="dxa"/>
              <w:left w:w="28" w:type="dxa"/>
              <w:bottom w:w="28" w:type="dxa"/>
              <w:right w:w="28" w:type="dxa"/>
            </w:tcMar>
          </w:tcPr>
          <w:p w14:paraId="5B21A663" w14:textId="77777777" w:rsidR="008A72AF" w:rsidRDefault="008A72AF" w:rsidP="00DF19F5">
            <w:pPr>
              <w:widowControl w:val="0"/>
              <w:ind w:right="669"/>
              <w:jc w:val="right"/>
              <w:rPr>
                <w:sz w:val="20"/>
                <w:szCs w:val="20"/>
              </w:rPr>
            </w:pPr>
            <w:r>
              <w:rPr>
                <w:sz w:val="20"/>
                <w:szCs w:val="20"/>
              </w:rPr>
              <w:t xml:space="preserve">128.642 </w:t>
            </w:r>
          </w:p>
        </w:tc>
      </w:tr>
    </w:tbl>
    <w:p w14:paraId="50EB2576" w14:textId="1AD860FE" w:rsidR="008A72AF" w:rsidRPr="00CB26EC" w:rsidRDefault="00FB0D74" w:rsidP="008A72AF">
      <w:pPr>
        <w:widowControl w:val="0"/>
        <w:spacing w:before="200" w:line="360" w:lineRule="auto"/>
        <w:ind w:left="8882" w:right="6" w:hanging="8818"/>
        <w:rPr>
          <w:sz w:val="20"/>
          <w:szCs w:val="20"/>
          <w:lang w:val="pt-BR"/>
        </w:rPr>
      </w:pPr>
      <w:r w:rsidRPr="00FB0D74">
        <w:rPr>
          <w:i/>
          <w:sz w:val="20"/>
          <w:szCs w:val="20"/>
          <w:lang w:val="pt-BR"/>
        </w:rPr>
        <w:t>Nota</w:t>
      </w:r>
      <w:r>
        <w:rPr>
          <w:b/>
          <w:sz w:val="20"/>
          <w:szCs w:val="20"/>
          <w:lang w:val="pt-BR"/>
        </w:rPr>
        <w:t xml:space="preserve">. </w:t>
      </w:r>
      <w:r w:rsidR="008A72AF" w:rsidRPr="00FB0D74">
        <w:rPr>
          <w:sz w:val="20"/>
          <w:szCs w:val="20"/>
          <w:lang w:val="pt-BR"/>
        </w:rPr>
        <w:t>Adaptado de:</w:t>
      </w:r>
      <w:r w:rsidR="008A72AF" w:rsidRPr="00CB26EC">
        <w:rPr>
          <w:b/>
          <w:sz w:val="20"/>
          <w:szCs w:val="20"/>
          <w:lang w:val="pt-BR"/>
        </w:rPr>
        <w:t xml:space="preserve"> </w:t>
      </w:r>
      <w:r w:rsidR="008A72AF" w:rsidRPr="00CB26EC">
        <w:rPr>
          <w:sz w:val="20"/>
          <w:szCs w:val="20"/>
          <w:lang w:val="pt-BR"/>
        </w:rPr>
        <w:t>Alto Comissariado das Nações Unidas para Refugiados / ACNUR (2004).</w:t>
      </w:r>
    </w:p>
    <w:p w14:paraId="4AAE6E3F" w14:textId="44552E75" w:rsidR="001E450D" w:rsidRPr="001E450D" w:rsidRDefault="001E450D" w:rsidP="001E450D">
      <w:pPr>
        <w:pStyle w:val="Prrafocomn"/>
        <w:rPr>
          <w:lang w:val="pt-BR"/>
        </w:rPr>
      </w:pPr>
      <w:r w:rsidRPr="001E450D">
        <w:rPr>
          <w:lang w:val="pt-BR"/>
        </w:rPr>
        <w:t>No geral, é possível dizer que não há “solução duradoura” à vista para estas pessoas. Na maioria das vezes, a integração ao país de acolhida ou o retorno voluntário ao de origem ainda são soluções menos viáveis do que aguardar, quase indefinidamente, nesses espaços por alguma chance de reassentamento em outro país. Enquanto aguardam, seus documentos são provisórios e sua liberdade de movimento, na maioria das vezes, é restrita, implicando em limitações severas a seus direitos humanos (ACNUR, 2004).</w:t>
      </w:r>
    </w:p>
    <w:p w14:paraId="17DC0A8B" w14:textId="08DC8000" w:rsidR="001E450D" w:rsidRDefault="001E450D" w:rsidP="001E450D">
      <w:pPr>
        <w:pStyle w:val="Prrafocomn"/>
        <w:rPr>
          <w:lang w:val="pt-BR"/>
        </w:rPr>
      </w:pPr>
      <w:r w:rsidRPr="001E450D">
        <w:rPr>
          <w:lang w:val="pt-BR"/>
        </w:rPr>
        <w:t xml:space="preserve">Outro atributo dos campos bem destacado pela literatura foi o seu modelo peculiar de </w:t>
      </w:r>
      <w:r w:rsidRPr="001E450D">
        <w:rPr>
          <w:i/>
          <w:lang w:val="pt-BR"/>
        </w:rPr>
        <w:t>gestão</w:t>
      </w:r>
      <w:r w:rsidRPr="001E450D">
        <w:rPr>
          <w:lang w:val="pt-BR"/>
        </w:rPr>
        <w:t xml:space="preserve">. As organizações que coordenam o funcionamento desses locais não legislam sobre seu “desenho, implantação, administração ou fechamento” (Pacheco, 2010, p. 16). </w:t>
      </w:r>
      <w:r w:rsidRPr="001E450D">
        <w:rPr>
          <w:lang w:val="pt-BR"/>
        </w:rPr>
        <w:lastRenderedPageBreak/>
        <w:t>Os campos são assim considerados “arranjos anômalos”, estando situados em território estatal e governados por organizações não-estatais (</w:t>
      </w:r>
      <w:proofErr w:type="spellStart"/>
      <w:r w:rsidRPr="001E450D">
        <w:rPr>
          <w:lang w:val="pt-BR"/>
        </w:rPr>
        <w:t>Janmyr</w:t>
      </w:r>
      <w:proofErr w:type="spellEnd"/>
      <w:r w:rsidRPr="001E450D">
        <w:rPr>
          <w:lang w:val="pt-BR"/>
        </w:rPr>
        <w:t>, 2014), de alcance local ou internacional.</w:t>
      </w:r>
    </w:p>
    <w:p w14:paraId="51889AEF" w14:textId="62EEE96C" w:rsidR="001E450D" w:rsidRPr="001E450D" w:rsidRDefault="001E450D" w:rsidP="001E450D">
      <w:pPr>
        <w:pStyle w:val="Prrafocomn"/>
        <w:rPr>
          <w:lang w:val="pt-BR"/>
        </w:rPr>
      </w:pPr>
      <w:r w:rsidRPr="001E450D">
        <w:rPr>
          <w:lang w:val="pt-BR"/>
        </w:rPr>
        <w:t>A respeito destas organizações, importa notar o quanto cresceram, em especial, nos últimos anos. Entre as mais de 700 listadas pelo ACNUR como “parceiras” (</w:t>
      </w:r>
      <w:proofErr w:type="spellStart"/>
      <w:r w:rsidRPr="001E450D">
        <w:rPr>
          <w:i/>
          <w:lang w:val="pt-BR"/>
        </w:rPr>
        <w:t>partners</w:t>
      </w:r>
      <w:proofErr w:type="spellEnd"/>
      <w:r w:rsidRPr="001E450D">
        <w:rPr>
          <w:lang w:val="pt-BR"/>
        </w:rPr>
        <w:t>),</w:t>
      </w:r>
      <w:r w:rsidRPr="001E450D">
        <w:rPr>
          <w:vertAlign w:val="superscript"/>
        </w:rPr>
        <w:footnoteReference w:id="8"/>
      </w:r>
      <w:r w:rsidRPr="001E450D">
        <w:rPr>
          <w:lang w:val="pt-BR"/>
        </w:rPr>
        <w:t xml:space="preserve"> 70 estão no setor de saúde e dez na “área” de saúde mental e apoio psicossocial (SMAPS). Destas dez, nove são organizações não-governamentais de alcance internacional.</w:t>
      </w:r>
      <w:r w:rsidRPr="001E450D">
        <w:rPr>
          <w:vertAlign w:val="superscript"/>
        </w:rPr>
        <w:footnoteReference w:id="9"/>
      </w:r>
    </w:p>
    <w:p w14:paraId="00AC90C1" w14:textId="7741253F" w:rsidR="001E450D" w:rsidRDefault="001E450D" w:rsidP="001E450D">
      <w:pPr>
        <w:pStyle w:val="Prrafocomn"/>
        <w:rPr>
          <w:lang w:val="pt-BR"/>
        </w:rPr>
      </w:pPr>
      <w:r w:rsidRPr="001E450D">
        <w:rPr>
          <w:lang w:val="pt-BR"/>
        </w:rPr>
        <w:t>Desde a pactuação das Diretrizes sobre SMAPS (IASC, 2007), é proposto que a gestão dessas organizações observe a “</w:t>
      </w:r>
      <w:r w:rsidRPr="001E450D">
        <w:rPr>
          <w:i/>
          <w:lang w:val="pt-BR"/>
        </w:rPr>
        <w:t>Pirâmide de Intervenção</w:t>
      </w:r>
      <w:r w:rsidRPr="001E450D">
        <w:rPr>
          <w:lang w:val="pt-BR"/>
        </w:rPr>
        <w:t xml:space="preserve">”: i. Serviços básicos e segurança; </w:t>
      </w:r>
      <w:proofErr w:type="spellStart"/>
      <w:r w:rsidRPr="001E450D">
        <w:rPr>
          <w:lang w:val="pt-BR"/>
        </w:rPr>
        <w:t>ii</w:t>
      </w:r>
      <w:proofErr w:type="spellEnd"/>
      <w:r w:rsidRPr="001E450D">
        <w:rPr>
          <w:lang w:val="pt-BR"/>
        </w:rPr>
        <w:t xml:space="preserve">. Apoio à comunidade e às famílias; </w:t>
      </w:r>
      <w:proofErr w:type="spellStart"/>
      <w:r w:rsidRPr="001E450D">
        <w:rPr>
          <w:lang w:val="pt-BR"/>
        </w:rPr>
        <w:t>iii</w:t>
      </w:r>
      <w:proofErr w:type="spellEnd"/>
      <w:r w:rsidRPr="001E450D">
        <w:rPr>
          <w:lang w:val="pt-BR"/>
        </w:rPr>
        <w:t xml:space="preserve">. Apoios focados não especializados; </w:t>
      </w:r>
      <w:proofErr w:type="spellStart"/>
      <w:r w:rsidRPr="001E450D">
        <w:rPr>
          <w:lang w:val="pt-BR"/>
        </w:rPr>
        <w:t>iv</w:t>
      </w:r>
      <w:proofErr w:type="spellEnd"/>
      <w:r w:rsidRPr="001E450D">
        <w:rPr>
          <w:lang w:val="pt-BR"/>
        </w:rPr>
        <w:t>. Serviços especializados. O quarto nível (“superior”), enfim, deveria cont</w:t>
      </w:r>
      <w:r w:rsidR="0085144E">
        <w:rPr>
          <w:lang w:val="pt-BR"/>
        </w:rPr>
        <w:t>er menos ações e organizações</w:t>
      </w:r>
      <w:r w:rsidRPr="001E450D">
        <w:rPr>
          <w:lang w:val="pt-BR"/>
        </w:rPr>
        <w:t xml:space="preserve"> que as do nível primário (IASC, 2007, p. 12). Todavia, dado que a gestão das ações de ‘segurança’ é, no geral, de responsabilidade do Estado onde esses espaços se situam, é possível que os atores em campo estejam, muitas vezes, bastante aquém desse ideal.</w:t>
      </w:r>
    </w:p>
    <w:p w14:paraId="3765C021" w14:textId="6506BD34" w:rsidR="001E450D" w:rsidRPr="001E450D" w:rsidRDefault="001E450D" w:rsidP="001E450D">
      <w:pPr>
        <w:pStyle w:val="Prrafocomn"/>
        <w:rPr>
          <w:lang w:val="pt-BR"/>
        </w:rPr>
      </w:pPr>
      <w:r w:rsidRPr="001E450D">
        <w:rPr>
          <w:lang w:val="pt-BR"/>
        </w:rPr>
        <w:t>De fato, em uma revisão sistemática de 160 relatórios de ações SMAPS em situações humanitárias (</w:t>
      </w:r>
      <w:proofErr w:type="spellStart"/>
      <w:r w:rsidRPr="001E450D">
        <w:rPr>
          <w:lang w:val="pt-BR"/>
        </w:rPr>
        <w:t>Tol</w:t>
      </w:r>
      <w:proofErr w:type="spellEnd"/>
      <w:r w:rsidRPr="001E450D">
        <w:rPr>
          <w:lang w:val="pt-BR"/>
        </w:rPr>
        <w:t xml:space="preserve"> et al, 2011), as cinco mais comuns, entre 2007 e 2010, teriam sido: (a) aconselhamento individual (39%), facilitação de apoio comunitário a indivíduos vulneráveis (23%), provisão de espaços amigáveis para crianças (21%), incentivo a apoio social iniciado na comunidade (21%), e aconselhamento básico para grupos e famílias (</w:t>
      </w:r>
      <w:r w:rsidR="0085144E">
        <w:rPr>
          <w:lang w:val="pt-BR"/>
        </w:rPr>
        <w:t>20%), a maioria sendo financiada</w:t>
      </w:r>
      <w:r w:rsidRPr="001E450D">
        <w:rPr>
          <w:lang w:val="pt-BR"/>
        </w:rPr>
        <w:t xml:space="preserve"> externamente. Entre outras possibilidades, os autores destacam os efeitos promissores de fortalecer o apoio das famílias e das comunidades locais.</w:t>
      </w:r>
    </w:p>
    <w:p w14:paraId="4FD4A46A" w14:textId="05CC3F6D" w:rsidR="001E450D" w:rsidRDefault="001E450D" w:rsidP="001E450D">
      <w:pPr>
        <w:pStyle w:val="Prrafocomn"/>
        <w:rPr>
          <w:lang w:val="pt-BR"/>
        </w:rPr>
      </w:pPr>
      <w:r w:rsidRPr="001E450D">
        <w:rPr>
          <w:lang w:val="pt-BR"/>
        </w:rPr>
        <w:t xml:space="preserve">Quanto à </w:t>
      </w:r>
      <w:r w:rsidRPr="001E450D">
        <w:rPr>
          <w:i/>
          <w:lang w:val="pt-BR"/>
        </w:rPr>
        <w:t>infraestrutura</w:t>
      </w:r>
      <w:r w:rsidRPr="001E450D">
        <w:rPr>
          <w:lang w:val="pt-BR"/>
        </w:rPr>
        <w:t xml:space="preserve">, a literatura tende a destacar os impactos de suas lacunas para a saúde mental dos refugiados. Mediante </w:t>
      </w:r>
      <w:proofErr w:type="spellStart"/>
      <w:r w:rsidRPr="001E450D">
        <w:rPr>
          <w:i/>
          <w:lang w:val="pt-BR"/>
        </w:rPr>
        <w:t>survey</w:t>
      </w:r>
      <w:proofErr w:type="spellEnd"/>
      <w:r w:rsidRPr="001E450D">
        <w:rPr>
          <w:lang w:val="pt-BR"/>
        </w:rPr>
        <w:t xml:space="preserve">, </w:t>
      </w:r>
      <w:proofErr w:type="spellStart"/>
      <w:r w:rsidRPr="001E450D">
        <w:rPr>
          <w:lang w:val="pt-BR"/>
        </w:rPr>
        <w:t>Feyera</w:t>
      </w:r>
      <w:proofErr w:type="spellEnd"/>
      <w:r w:rsidRPr="001E450D">
        <w:rPr>
          <w:lang w:val="pt-BR"/>
        </w:rPr>
        <w:t xml:space="preserve"> et al. (2015) investigam os preditores da depressão em somalis adultos no campo de </w:t>
      </w:r>
      <w:proofErr w:type="spellStart"/>
      <w:r w:rsidRPr="001E450D">
        <w:rPr>
          <w:lang w:val="pt-BR"/>
        </w:rPr>
        <w:t>Melkadida</w:t>
      </w:r>
      <w:proofErr w:type="spellEnd"/>
      <w:r w:rsidRPr="001E450D">
        <w:rPr>
          <w:lang w:val="pt-BR"/>
        </w:rPr>
        <w:t xml:space="preserve"> (Etiópia), </w:t>
      </w:r>
      <w:r w:rsidRPr="001E450D">
        <w:rPr>
          <w:lang w:val="pt-BR"/>
        </w:rPr>
        <w:lastRenderedPageBreak/>
        <w:t>ressaltando, entre outros, a ausência de abrigo como um fator relacionado a resultados graves do quadro depressivo.</w:t>
      </w:r>
    </w:p>
    <w:p w14:paraId="58145A72" w14:textId="77777777" w:rsidR="001E450D" w:rsidRPr="001E450D" w:rsidRDefault="001E450D" w:rsidP="001E450D">
      <w:pPr>
        <w:pStyle w:val="Prrafocomn"/>
        <w:rPr>
          <w:lang w:val="pt-BR"/>
        </w:rPr>
      </w:pPr>
      <w:r w:rsidRPr="001E450D">
        <w:rPr>
          <w:lang w:val="pt-BR"/>
        </w:rPr>
        <w:t xml:space="preserve">Outros problemas psiquiátricos em uma clínica comunitária em </w:t>
      </w:r>
      <w:proofErr w:type="spellStart"/>
      <w:r w:rsidRPr="001E450D">
        <w:rPr>
          <w:lang w:val="pt-BR"/>
        </w:rPr>
        <w:t>Kakuma</w:t>
      </w:r>
      <w:proofErr w:type="spellEnd"/>
      <w:r w:rsidRPr="001E450D">
        <w:rPr>
          <w:lang w:val="pt-BR"/>
        </w:rPr>
        <w:t>, no Quênia, são abordados por pesquisadores que defendem o estabelecimento de tais clínicas em campos nos países de baixa renda (</w:t>
      </w:r>
      <w:proofErr w:type="spellStart"/>
      <w:r w:rsidRPr="001E450D">
        <w:rPr>
          <w:lang w:val="pt-BR"/>
        </w:rPr>
        <w:t>Kamau</w:t>
      </w:r>
      <w:proofErr w:type="spellEnd"/>
      <w:r w:rsidRPr="001E450D">
        <w:rPr>
          <w:lang w:val="pt-BR"/>
        </w:rPr>
        <w:t xml:space="preserve"> et al., 2004). Assim, por exemplo, no campo de </w:t>
      </w:r>
      <w:proofErr w:type="spellStart"/>
      <w:r w:rsidRPr="001E450D">
        <w:rPr>
          <w:lang w:val="pt-BR"/>
        </w:rPr>
        <w:t>Soubgandé</w:t>
      </w:r>
      <w:proofErr w:type="spellEnd"/>
      <w:r w:rsidRPr="001E450D">
        <w:rPr>
          <w:lang w:val="pt-BR"/>
        </w:rPr>
        <w:t xml:space="preserve"> (Burkina Faso), onde tuaregues estavam refugiados sem qualquer ajuda humanitária há quase um ano (Carta et al., 2013), foi notada a melhoria no quadro de alguns participantes do estudo anterior, em parte atribuível a mudanças de ares e esperança de retorno (Carta et al., 2018).</w:t>
      </w:r>
    </w:p>
    <w:p w14:paraId="1FDEA6F3" w14:textId="5362F3B4" w:rsidR="001E450D" w:rsidRDefault="001E450D" w:rsidP="001E450D">
      <w:pPr>
        <w:pStyle w:val="Prrafocomn"/>
        <w:rPr>
          <w:lang w:val="pt-BR"/>
        </w:rPr>
      </w:pPr>
      <w:r w:rsidRPr="001E450D">
        <w:rPr>
          <w:lang w:val="pt-BR"/>
        </w:rPr>
        <w:t>A gravidade dos traumas nos campos e nos abrigamentos improvisados antes de ser alocada nesses espaços é ainda estudada por Vu (2007), a partir de sua própria experiência como refugiada. Esforços locais em áreas sensíveis de saúde mental são enfim ilustradas pelas tentativas de reduzir índices de suicídio entre refugiados por voluntários da comunidade ao redor dos campos no sul da Índia (</w:t>
      </w:r>
      <w:proofErr w:type="spellStart"/>
      <w:r w:rsidRPr="001E450D">
        <w:rPr>
          <w:lang w:val="pt-BR"/>
        </w:rPr>
        <w:t>Vijayakumar</w:t>
      </w:r>
      <w:proofErr w:type="spellEnd"/>
      <w:r w:rsidRPr="001E450D">
        <w:rPr>
          <w:lang w:val="pt-BR"/>
        </w:rPr>
        <w:t xml:space="preserve"> et al</w:t>
      </w:r>
      <w:r w:rsidRPr="001E450D">
        <w:rPr>
          <w:i/>
          <w:lang w:val="pt-BR"/>
        </w:rPr>
        <w:t>.</w:t>
      </w:r>
      <w:r w:rsidRPr="001E450D">
        <w:rPr>
          <w:lang w:val="pt-BR"/>
        </w:rPr>
        <w:t xml:space="preserve">, 2017). </w:t>
      </w:r>
    </w:p>
    <w:p w14:paraId="6D87E5F8" w14:textId="56D8D8A5" w:rsidR="001E450D" w:rsidRDefault="001E450D" w:rsidP="001E450D">
      <w:pPr>
        <w:pStyle w:val="Prrafocomn"/>
        <w:rPr>
          <w:lang w:val="pt-BR"/>
        </w:rPr>
      </w:pPr>
      <w:r w:rsidRPr="001E450D">
        <w:rPr>
          <w:lang w:val="pt-BR"/>
        </w:rPr>
        <w:t>Estas condições de vida altamente precarizadas se refletem, assim, tanto na provisão da ajuda humanitária (seja no planejamento, seja na sua realização), como ai</w:t>
      </w:r>
      <w:r w:rsidR="0085144E">
        <w:rPr>
          <w:lang w:val="pt-BR"/>
        </w:rPr>
        <w:t xml:space="preserve">nda nas relações entre </w:t>
      </w:r>
      <w:r w:rsidRPr="001E450D">
        <w:rPr>
          <w:lang w:val="pt-BR"/>
        </w:rPr>
        <w:t>as pessoas que neles habitam. A próxima seção traz mais dados a respeito da primeira dimensão, enquanto a subsequente foca nos efeitos sobre as relações interpessoais.</w:t>
      </w:r>
    </w:p>
    <w:p w14:paraId="0781E071" w14:textId="6B54A6C1" w:rsidR="001E450D" w:rsidRPr="001E450D" w:rsidRDefault="001E450D" w:rsidP="001E450D">
      <w:pPr>
        <w:pStyle w:val="SubtituloInterno"/>
        <w:rPr>
          <w:lang w:val="pt-BR"/>
        </w:rPr>
      </w:pPr>
      <w:r w:rsidRPr="00CB26EC">
        <w:rPr>
          <w:lang w:val="pt-BR"/>
        </w:rPr>
        <w:t>Relatos sobre a Ajuda Humanitária: Teoria e Prática</w:t>
      </w:r>
    </w:p>
    <w:p w14:paraId="2E4F3965" w14:textId="4A996300" w:rsidR="006720DE" w:rsidRPr="006720DE" w:rsidRDefault="006720DE" w:rsidP="006720DE">
      <w:pPr>
        <w:pStyle w:val="Prrafocomn"/>
        <w:rPr>
          <w:lang w:val="pt-BR"/>
        </w:rPr>
      </w:pPr>
      <w:r w:rsidRPr="006720DE">
        <w:rPr>
          <w:lang w:val="pt-BR"/>
        </w:rPr>
        <w:t xml:space="preserve">No plano teórico, antes das Diretrizes </w:t>
      </w:r>
      <w:r w:rsidR="0085144E">
        <w:rPr>
          <w:lang w:val="pt-BR"/>
        </w:rPr>
        <w:t xml:space="preserve">(IASC, 2007), certos estudos </w:t>
      </w:r>
      <w:r w:rsidRPr="006720DE">
        <w:rPr>
          <w:lang w:val="pt-BR"/>
        </w:rPr>
        <w:t xml:space="preserve">contribuíram para a noção de apoio psicossocial. </w:t>
      </w:r>
      <w:proofErr w:type="spellStart"/>
      <w:r w:rsidRPr="006720DE">
        <w:rPr>
          <w:lang w:val="pt-BR"/>
        </w:rPr>
        <w:t>Galappatti</w:t>
      </w:r>
      <w:proofErr w:type="spellEnd"/>
      <w:r w:rsidRPr="006720DE">
        <w:rPr>
          <w:lang w:val="pt-BR"/>
        </w:rPr>
        <w:t xml:space="preserve"> (2003), por exemplo, com base em casos do Sri Lanka, revisita uma vasta gama de intervenções que já ocorriam no país. Anos depois, um programa psicossocial foi implantado em campos da Guiné para tratar traumas de sobreviventes de tortura e guerra na Libéria e em Serra Leoa (</w:t>
      </w:r>
      <w:proofErr w:type="spellStart"/>
      <w:r w:rsidRPr="006720DE">
        <w:rPr>
          <w:lang w:val="pt-BR"/>
        </w:rPr>
        <w:t>Stepakoff</w:t>
      </w:r>
      <w:proofErr w:type="spellEnd"/>
      <w:r w:rsidRPr="006720DE">
        <w:rPr>
          <w:lang w:val="pt-BR"/>
        </w:rPr>
        <w:t xml:space="preserve"> et al</w:t>
      </w:r>
      <w:r w:rsidRPr="006720DE">
        <w:rPr>
          <w:i/>
          <w:lang w:val="pt-BR"/>
        </w:rPr>
        <w:t>.</w:t>
      </w:r>
      <w:r w:rsidRPr="006720DE">
        <w:rPr>
          <w:lang w:val="pt-BR"/>
        </w:rPr>
        <w:t>, 2006).</w:t>
      </w:r>
    </w:p>
    <w:p w14:paraId="30599BF4" w14:textId="77777777" w:rsidR="006720DE" w:rsidRPr="006720DE" w:rsidRDefault="006720DE" w:rsidP="006720DE">
      <w:pPr>
        <w:pStyle w:val="Prrafocomn"/>
        <w:rPr>
          <w:lang w:val="pt-BR"/>
        </w:rPr>
      </w:pPr>
      <w:proofErr w:type="spellStart"/>
      <w:r w:rsidRPr="006720DE">
        <w:rPr>
          <w:lang w:val="pt-BR"/>
        </w:rPr>
        <w:t>Strang</w:t>
      </w:r>
      <w:proofErr w:type="spellEnd"/>
      <w:r w:rsidRPr="006720DE">
        <w:rPr>
          <w:lang w:val="pt-BR"/>
        </w:rPr>
        <w:t xml:space="preserve"> e </w:t>
      </w:r>
      <w:proofErr w:type="spellStart"/>
      <w:r w:rsidRPr="006720DE">
        <w:rPr>
          <w:lang w:val="pt-BR"/>
        </w:rPr>
        <w:t>Ager</w:t>
      </w:r>
      <w:proofErr w:type="spellEnd"/>
      <w:r w:rsidRPr="006720DE">
        <w:rPr>
          <w:lang w:val="pt-BR"/>
        </w:rPr>
        <w:t xml:space="preserve"> (2003), por sua vez, apontam a grande diversidade de perspectivas para se prestar o apoio psicossocial em áreas de conflito. Apresentam um arcabouço conceitual para a compreensão do bem-estar psicossocial que poderia servir para avaliar o impacto dos eventos, notando o esgotamento e acréscimo de recursos humanos, sociais e culturais em conflitos. Ainda discutem temas sobre intervenções efetivas, apropriadas e de cunho ético em relação com a importância fundamental de facilitar o engajamento da comunidade.</w:t>
      </w:r>
    </w:p>
    <w:p w14:paraId="78C0A552" w14:textId="77777777" w:rsidR="006720DE" w:rsidRPr="006720DE" w:rsidRDefault="006720DE" w:rsidP="006720DE">
      <w:pPr>
        <w:pStyle w:val="Prrafocomn"/>
        <w:rPr>
          <w:lang w:val="pt-BR"/>
        </w:rPr>
      </w:pPr>
      <w:r w:rsidRPr="006720DE">
        <w:rPr>
          <w:lang w:val="pt-BR"/>
        </w:rPr>
        <w:lastRenderedPageBreak/>
        <w:t xml:space="preserve">Segundo </w:t>
      </w:r>
      <w:proofErr w:type="spellStart"/>
      <w:r w:rsidRPr="006720DE">
        <w:rPr>
          <w:lang w:val="pt-BR"/>
        </w:rPr>
        <w:t>Wessells</w:t>
      </w:r>
      <w:proofErr w:type="spellEnd"/>
      <w:r w:rsidRPr="006720DE">
        <w:rPr>
          <w:lang w:val="pt-BR"/>
        </w:rPr>
        <w:t xml:space="preserve"> (2008), a assistência psicossocial em situações de emergência presta papel de relevo no alívio do sofrimento e na promoção do bem-estar, mas frequentemente é fonte de danos não-pretendidos. Ressalta a importância de aspectos relativos à coordenação das ações, dependência, politização, avaliação, assistência de curto prazo, risco de imposição de abordagens externas, avaliação da proteção e impactos da ajuda junto às comunidades locais, de forma bastante similar às preocupações mais centrais das Diretrizes (IASC, 2007).</w:t>
      </w:r>
    </w:p>
    <w:p w14:paraId="11933826" w14:textId="286C77B1" w:rsidR="006720DE" w:rsidRPr="006720DE" w:rsidRDefault="006720DE" w:rsidP="006720DE">
      <w:pPr>
        <w:pStyle w:val="Prrafocomn"/>
        <w:rPr>
          <w:lang w:val="pt-BR"/>
        </w:rPr>
      </w:pPr>
      <w:proofErr w:type="spellStart"/>
      <w:r w:rsidRPr="006720DE">
        <w:rPr>
          <w:lang w:val="pt-BR"/>
        </w:rPr>
        <w:t>Alfadhli</w:t>
      </w:r>
      <w:proofErr w:type="spellEnd"/>
      <w:r w:rsidRPr="006720DE">
        <w:rPr>
          <w:lang w:val="pt-BR"/>
        </w:rPr>
        <w:t xml:space="preserve"> e </w:t>
      </w:r>
      <w:proofErr w:type="spellStart"/>
      <w:r w:rsidRPr="006720DE">
        <w:rPr>
          <w:lang w:val="pt-BR"/>
        </w:rPr>
        <w:t>Drury</w:t>
      </w:r>
      <w:proofErr w:type="spellEnd"/>
      <w:r w:rsidRPr="006720DE">
        <w:rPr>
          <w:lang w:val="pt-BR"/>
        </w:rPr>
        <w:t xml:space="preserve"> (2016),</w:t>
      </w:r>
      <w:r w:rsidR="0085144E">
        <w:rPr>
          <w:lang w:val="pt-BR"/>
        </w:rPr>
        <w:t xml:space="preserve"> a partir de uma revisão</w:t>
      </w:r>
      <w:r w:rsidRPr="006720DE">
        <w:rPr>
          <w:lang w:val="pt-BR"/>
        </w:rPr>
        <w:t xml:space="preserve"> de sessenta artigos, apontam a diversidade de necessidades psicossociais e estressores nos ca</w:t>
      </w:r>
      <w:r w:rsidR="0085144E">
        <w:rPr>
          <w:lang w:val="pt-BR"/>
        </w:rPr>
        <w:t>mpos</w:t>
      </w:r>
      <w:r w:rsidRPr="006720DE">
        <w:rPr>
          <w:lang w:val="pt-BR"/>
        </w:rPr>
        <w:t xml:space="preserve"> e destacam a importância do apoio baseado no próprio grupo para a saúde mental dos indivíduos. Relatam que os estressores variam conforme a fase em que se encontram os refugiados, que são mais afetados pelos estressores diários do que pela síndrome pós-traumática, embora muitas intervenções focam som</w:t>
      </w:r>
      <w:r w:rsidR="0085144E">
        <w:rPr>
          <w:lang w:val="pt-BR"/>
        </w:rPr>
        <w:t>ente na última. Os autores indi</w:t>
      </w:r>
      <w:r w:rsidRPr="006720DE">
        <w:rPr>
          <w:lang w:val="pt-BR"/>
        </w:rPr>
        <w:t>cam também a existência de efeitos positivos do apoio psicossocial na saúde mental de pessoas deslocadas, sugerindo a visão de uma identidade comum entre os refugiados e de seu empoderamento ao ativar as redes de apoio social.</w:t>
      </w:r>
    </w:p>
    <w:p w14:paraId="57DDB8EF" w14:textId="6E79AA27" w:rsidR="006720DE" w:rsidRDefault="006720DE" w:rsidP="006720DE">
      <w:pPr>
        <w:pStyle w:val="Prrafocomn"/>
        <w:rPr>
          <w:lang w:val="pt-BR"/>
        </w:rPr>
      </w:pPr>
      <w:r w:rsidRPr="006720DE">
        <w:rPr>
          <w:lang w:val="pt-BR"/>
        </w:rPr>
        <w:t>Finalmente, certos artigos discutem as prioridades de pesquisa em SMAPS, como, por exemplo, a necessidade de uma agenda para fortalecer a saúde mental e o apoio psicossocial em situações humanitárias. Essa agenda deveria en</w:t>
      </w:r>
      <w:r w:rsidR="0085144E">
        <w:rPr>
          <w:lang w:val="pt-BR"/>
        </w:rPr>
        <w:t>fatizar,</w:t>
      </w:r>
      <w:r w:rsidRPr="006720DE">
        <w:rPr>
          <w:lang w:val="pt-BR"/>
        </w:rPr>
        <w:t xml:space="preserve"> a geração de conhecimento prático e um melhor alinhamento entre pesquisa e prática, atenção às perspectivas da população afetada e sensibilidade ao contexto sociocultural (</w:t>
      </w:r>
      <w:proofErr w:type="spellStart"/>
      <w:r w:rsidRPr="006720DE">
        <w:rPr>
          <w:lang w:val="pt-BR"/>
        </w:rPr>
        <w:t>Tol</w:t>
      </w:r>
      <w:proofErr w:type="spellEnd"/>
      <w:r w:rsidRPr="006720DE">
        <w:rPr>
          <w:lang w:val="pt-BR"/>
        </w:rPr>
        <w:t xml:space="preserve"> et al, 2011).</w:t>
      </w:r>
    </w:p>
    <w:p w14:paraId="423B9751" w14:textId="3E076DD5" w:rsidR="006720DE" w:rsidRPr="006720DE" w:rsidRDefault="0085144E" w:rsidP="006720DE">
      <w:pPr>
        <w:pStyle w:val="Prrafocomn"/>
        <w:rPr>
          <w:lang w:val="pt-BR"/>
        </w:rPr>
      </w:pPr>
      <w:r>
        <w:rPr>
          <w:lang w:val="pt-BR"/>
        </w:rPr>
        <w:t xml:space="preserve">Estudos </w:t>
      </w:r>
      <w:r w:rsidR="006720DE" w:rsidRPr="006720DE">
        <w:rPr>
          <w:lang w:val="pt-BR"/>
        </w:rPr>
        <w:t>discutem ainda prioridades da pesquisa no tema de saúde mental e apoio psicossocial (SMAPS) em situações humanitárias, com destaque para: (1) a prevalência e o peso de dificuldades de saúde mental e psicossocial em situações humanitárias, (2) como implantar medidas para promover SMAPS, (3) a avaliação de intervenções SMAPS, (4) os determinantes de saúde mental e sofrimento psicossocial, e (5) a melhoria de métodos e processos de pesquisa</w:t>
      </w:r>
      <w:r>
        <w:rPr>
          <w:lang w:val="pt-BR"/>
        </w:rPr>
        <w:t xml:space="preserve"> (</w:t>
      </w:r>
      <w:proofErr w:type="spellStart"/>
      <w:r w:rsidRPr="0085144E">
        <w:rPr>
          <w:sz w:val="23"/>
          <w:szCs w:val="23"/>
          <w:lang w:val="pt-BR"/>
        </w:rPr>
        <w:t>Tol</w:t>
      </w:r>
      <w:proofErr w:type="spellEnd"/>
      <w:r w:rsidRPr="0085144E">
        <w:rPr>
          <w:sz w:val="23"/>
          <w:szCs w:val="23"/>
          <w:lang w:val="pt-BR"/>
        </w:rPr>
        <w:t xml:space="preserve"> et al</w:t>
      </w:r>
      <w:r w:rsidRPr="0085144E">
        <w:rPr>
          <w:i/>
          <w:iCs/>
          <w:sz w:val="23"/>
          <w:szCs w:val="23"/>
          <w:lang w:val="pt-BR"/>
        </w:rPr>
        <w:t>.</w:t>
      </w:r>
      <w:r>
        <w:rPr>
          <w:iCs/>
          <w:sz w:val="23"/>
          <w:szCs w:val="23"/>
          <w:lang w:val="pt-BR"/>
        </w:rPr>
        <w:t xml:space="preserve">, </w:t>
      </w:r>
      <w:r w:rsidRPr="0085144E">
        <w:rPr>
          <w:sz w:val="23"/>
          <w:szCs w:val="23"/>
          <w:lang w:val="pt-BR"/>
        </w:rPr>
        <w:t>2012)</w:t>
      </w:r>
      <w:r w:rsidR="006720DE" w:rsidRPr="006720DE">
        <w:rPr>
          <w:lang w:val="pt-BR"/>
        </w:rPr>
        <w:t>. Problematizam, enfim, a falta de diálogo entre pesquisa e prática, pelo que a primeira deve ser mais sensível às questões geradas pelas práxis, enquanto agentes precisam considerar os achados de pesquisas para melhor delinear suas intervenções.</w:t>
      </w:r>
    </w:p>
    <w:p w14:paraId="0328C610" w14:textId="77777777" w:rsidR="006720DE" w:rsidRPr="006720DE" w:rsidRDefault="006720DE" w:rsidP="006720DE">
      <w:pPr>
        <w:pStyle w:val="Prrafocomn"/>
        <w:rPr>
          <w:lang w:val="pt-BR"/>
        </w:rPr>
      </w:pPr>
      <w:r w:rsidRPr="006720DE">
        <w:rPr>
          <w:lang w:val="pt-BR"/>
        </w:rPr>
        <w:t xml:space="preserve">Quanto ao escopo das pesquisas, </w:t>
      </w:r>
      <w:proofErr w:type="spellStart"/>
      <w:r w:rsidRPr="006720DE">
        <w:rPr>
          <w:lang w:val="pt-BR"/>
        </w:rPr>
        <w:t>Halabi</w:t>
      </w:r>
      <w:proofErr w:type="spellEnd"/>
      <w:r w:rsidRPr="006720DE">
        <w:rPr>
          <w:lang w:val="pt-BR"/>
        </w:rPr>
        <w:t xml:space="preserve"> (2005) defende mais abordagens qualitativas em Enfermagem para servir a refugiados, especialmente palestinos na Jordânia. </w:t>
      </w:r>
      <w:proofErr w:type="spellStart"/>
      <w:r w:rsidRPr="006720DE">
        <w:rPr>
          <w:lang w:val="pt-BR"/>
        </w:rPr>
        <w:t>Sukarieh</w:t>
      </w:r>
      <w:proofErr w:type="spellEnd"/>
      <w:r w:rsidRPr="006720DE">
        <w:rPr>
          <w:lang w:val="pt-BR"/>
        </w:rPr>
        <w:t xml:space="preserve"> e </w:t>
      </w:r>
      <w:proofErr w:type="spellStart"/>
      <w:r w:rsidRPr="006720DE">
        <w:rPr>
          <w:lang w:val="pt-BR"/>
        </w:rPr>
        <w:t>Tannock</w:t>
      </w:r>
      <w:proofErr w:type="spellEnd"/>
      <w:r w:rsidRPr="006720DE">
        <w:rPr>
          <w:lang w:val="pt-BR"/>
        </w:rPr>
        <w:t xml:space="preserve"> (2012), por sua vez, destacam os problemas de pesquisas </w:t>
      </w:r>
      <w:r w:rsidRPr="006720DE">
        <w:rPr>
          <w:lang w:val="pt-BR"/>
        </w:rPr>
        <w:lastRenderedPageBreak/>
        <w:t xml:space="preserve">junto às comunidades extensivamente investigadas, como os palestinos abrigados em </w:t>
      </w:r>
      <w:proofErr w:type="spellStart"/>
      <w:r w:rsidRPr="006720DE">
        <w:rPr>
          <w:lang w:val="pt-BR"/>
        </w:rPr>
        <w:t>Shatila</w:t>
      </w:r>
      <w:proofErr w:type="spellEnd"/>
      <w:r w:rsidRPr="006720DE">
        <w:rPr>
          <w:lang w:val="pt-BR"/>
        </w:rPr>
        <w:t>, no Líbano, sem que tais investigações evidenciem mudanças mais positivas para essas comunidades.</w:t>
      </w:r>
    </w:p>
    <w:p w14:paraId="4E42F9CD" w14:textId="520DDC22" w:rsidR="006720DE" w:rsidRPr="006720DE" w:rsidRDefault="0085144E" w:rsidP="006720DE">
      <w:pPr>
        <w:pStyle w:val="Prrafocomn"/>
        <w:rPr>
          <w:lang w:val="pt-BR"/>
        </w:rPr>
      </w:pPr>
      <w:r>
        <w:rPr>
          <w:lang w:val="pt-BR"/>
        </w:rPr>
        <w:t>Em um</w:t>
      </w:r>
      <w:r w:rsidR="006720DE" w:rsidRPr="006720DE">
        <w:rPr>
          <w:lang w:val="pt-BR"/>
        </w:rPr>
        <w:t xml:space="preserve">a situação de deslocamento prolongado, </w:t>
      </w:r>
      <w:proofErr w:type="spellStart"/>
      <w:r w:rsidR="006720DE" w:rsidRPr="006720DE">
        <w:rPr>
          <w:lang w:val="pt-BR"/>
        </w:rPr>
        <w:t>Hynie</w:t>
      </w:r>
      <w:proofErr w:type="spellEnd"/>
      <w:r w:rsidR="006720DE" w:rsidRPr="006720DE">
        <w:rPr>
          <w:lang w:val="pt-BR"/>
        </w:rPr>
        <w:t xml:space="preserve"> (2018) destaca que o sucesso da integração local deveria ser avaliado pelo grau de inclusão e participação econômica e social de refugiados na comunidade de acolhida, devendo ser analisados seus efeitos no contexto social, o impacto de políticas (inclusive, no caso de se criarem campos ou arranjos análogos), bem como no caso de se promover o seu reassentamento em novos países. </w:t>
      </w:r>
    </w:p>
    <w:p w14:paraId="7A760AD5" w14:textId="77777777" w:rsidR="006720DE" w:rsidRPr="006720DE" w:rsidRDefault="006720DE" w:rsidP="006720DE">
      <w:pPr>
        <w:pStyle w:val="Prrafocomn"/>
        <w:rPr>
          <w:lang w:val="pt-BR"/>
        </w:rPr>
      </w:pPr>
      <w:r w:rsidRPr="006720DE">
        <w:rPr>
          <w:lang w:val="pt-BR"/>
        </w:rPr>
        <w:t xml:space="preserve">Em outro cenário ‘pós-crise’, </w:t>
      </w:r>
      <w:proofErr w:type="spellStart"/>
      <w:r w:rsidRPr="006720DE">
        <w:rPr>
          <w:lang w:val="pt-BR"/>
        </w:rPr>
        <w:t>Dückers</w:t>
      </w:r>
      <w:proofErr w:type="spellEnd"/>
      <w:r w:rsidRPr="006720DE">
        <w:rPr>
          <w:lang w:val="pt-BR"/>
        </w:rPr>
        <w:t xml:space="preserve">, </w:t>
      </w:r>
      <w:proofErr w:type="spellStart"/>
      <w:r w:rsidRPr="006720DE">
        <w:rPr>
          <w:lang w:val="pt-BR"/>
        </w:rPr>
        <w:t>Thormar</w:t>
      </w:r>
      <w:proofErr w:type="spellEnd"/>
      <w:r w:rsidRPr="006720DE">
        <w:rPr>
          <w:lang w:val="pt-BR"/>
        </w:rPr>
        <w:t xml:space="preserve">, </w:t>
      </w:r>
      <w:proofErr w:type="spellStart"/>
      <w:r w:rsidRPr="006720DE">
        <w:rPr>
          <w:lang w:val="pt-BR"/>
        </w:rPr>
        <w:t>Juen</w:t>
      </w:r>
      <w:proofErr w:type="spellEnd"/>
      <w:r w:rsidRPr="006720DE">
        <w:rPr>
          <w:lang w:val="pt-BR"/>
        </w:rPr>
        <w:t xml:space="preserve">, </w:t>
      </w:r>
      <w:proofErr w:type="spellStart"/>
      <w:r w:rsidRPr="006720DE">
        <w:rPr>
          <w:lang w:val="pt-BR"/>
        </w:rPr>
        <w:t>Ajdukovic</w:t>
      </w:r>
      <w:proofErr w:type="spellEnd"/>
      <w:r w:rsidRPr="006720DE">
        <w:rPr>
          <w:lang w:val="pt-BR"/>
        </w:rPr>
        <w:t xml:space="preserve">, </w:t>
      </w:r>
      <w:proofErr w:type="spellStart"/>
      <w:r w:rsidRPr="006720DE">
        <w:rPr>
          <w:lang w:val="pt-BR"/>
        </w:rPr>
        <w:t>Newlove</w:t>
      </w:r>
      <w:proofErr w:type="spellEnd"/>
      <w:r w:rsidRPr="006720DE">
        <w:rPr>
          <w:lang w:val="pt-BR"/>
        </w:rPr>
        <w:t xml:space="preserve">-Eriksson e </w:t>
      </w:r>
      <w:proofErr w:type="spellStart"/>
      <w:r w:rsidRPr="006720DE">
        <w:rPr>
          <w:lang w:val="pt-BR"/>
        </w:rPr>
        <w:t>Olff</w:t>
      </w:r>
      <w:proofErr w:type="spellEnd"/>
      <w:r w:rsidRPr="006720DE">
        <w:rPr>
          <w:lang w:val="pt-BR"/>
        </w:rPr>
        <w:t xml:space="preserve"> (2018) avaliam 40 programas de intervenção em saúde mental, dos quais cerca de 15% estariam voltados para a população de imigrantes, refugiados ou deslocados internos no contexto europeu. Pelos dados obtidos junto aos coordenadores dos programas, os autores sugerem três critérios avaliativos de sua qualidade: planejamento e sistema de aplicação do programa; critérios de sua avaliação geral; e princípios psicossociais essenciais. Destacam, por fim, a necessidade de mais pesquisas para testar e aprimorar tais critérios avaliativos.</w:t>
      </w:r>
    </w:p>
    <w:p w14:paraId="1D8A8AA9" w14:textId="62094ABF" w:rsidR="006720DE" w:rsidRPr="006720DE" w:rsidRDefault="006720DE" w:rsidP="006720DE">
      <w:pPr>
        <w:pStyle w:val="Prrafocomn"/>
        <w:rPr>
          <w:lang w:val="pt-BR"/>
        </w:rPr>
      </w:pPr>
      <w:r w:rsidRPr="006720DE">
        <w:rPr>
          <w:lang w:val="pt-BR"/>
        </w:rPr>
        <w:t>No que tange a análi</w:t>
      </w:r>
      <w:r w:rsidR="005312B3">
        <w:rPr>
          <w:lang w:val="pt-BR"/>
        </w:rPr>
        <w:t>ses durante os conflitos,</w:t>
      </w:r>
      <w:r w:rsidRPr="006720DE">
        <w:rPr>
          <w:lang w:val="pt-BR"/>
        </w:rPr>
        <w:t xml:space="preserve"> trabalhos ava</w:t>
      </w:r>
      <w:r w:rsidR="005312B3">
        <w:rPr>
          <w:lang w:val="pt-BR"/>
        </w:rPr>
        <w:t>liativos criticam</w:t>
      </w:r>
      <w:r w:rsidRPr="006720DE">
        <w:rPr>
          <w:lang w:val="pt-BR"/>
        </w:rPr>
        <w:t>, programas de</w:t>
      </w:r>
      <w:r w:rsidR="005312B3">
        <w:rPr>
          <w:lang w:val="pt-BR"/>
        </w:rPr>
        <w:t xml:space="preserve"> SMAPS</w:t>
      </w:r>
      <w:r w:rsidRPr="006720DE">
        <w:rPr>
          <w:lang w:val="pt-BR"/>
        </w:rPr>
        <w:t>, no que tange, por exemplo, à coordenação entre agências desses programas para refugiados na Síria (</w:t>
      </w:r>
      <w:proofErr w:type="spellStart"/>
      <w:r w:rsidRPr="006720DE">
        <w:rPr>
          <w:lang w:val="pt-BR"/>
        </w:rPr>
        <w:t>Eloul</w:t>
      </w:r>
      <w:proofErr w:type="spellEnd"/>
      <w:r w:rsidRPr="006720DE">
        <w:rPr>
          <w:lang w:val="pt-BR"/>
        </w:rPr>
        <w:t xml:space="preserve"> et al, 2013), com a análise das capacidades e lacunas nos recursos disponíveis. Em conflitos menos noticiados, como as violentas explosões de 2012 em Brazzaville, na República do Congo, com registro de mais de 280 mortes e 15.000 desabrigados, outro artigo indicou que só um pequeno número de pessoas teria recebido esse apoio externo (</w:t>
      </w:r>
      <w:proofErr w:type="spellStart"/>
      <w:r w:rsidRPr="006720DE">
        <w:rPr>
          <w:lang w:val="pt-BR"/>
        </w:rPr>
        <w:t>Moayedoddin</w:t>
      </w:r>
      <w:proofErr w:type="spellEnd"/>
      <w:r w:rsidRPr="006720DE">
        <w:rPr>
          <w:lang w:val="pt-BR"/>
        </w:rPr>
        <w:t xml:space="preserve">, </w:t>
      </w:r>
      <w:proofErr w:type="spellStart"/>
      <w:r w:rsidRPr="006720DE">
        <w:rPr>
          <w:lang w:val="pt-BR"/>
        </w:rPr>
        <w:t>Makaya</w:t>
      </w:r>
      <w:proofErr w:type="spellEnd"/>
      <w:r w:rsidRPr="006720DE">
        <w:rPr>
          <w:lang w:val="pt-BR"/>
        </w:rPr>
        <w:t xml:space="preserve"> &amp; Canuto, 2014).</w:t>
      </w:r>
    </w:p>
    <w:p w14:paraId="66F643D8" w14:textId="6817687B" w:rsidR="006720DE" w:rsidRPr="006720DE" w:rsidRDefault="006720DE" w:rsidP="006720DE">
      <w:pPr>
        <w:pStyle w:val="Prrafocomn"/>
        <w:rPr>
          <w:lang w:val="pt-BR"/>
        </w:rPr>
      </w:pPr>
      <w:r w:rsidRPr="006720DE">
        <w:rPr>
          <w:lang w:val="pt-BR"/>
        </w:rPr>
        <w:t xml:space="preserve">Ainda quanto à avaliação de intervenções dessa natureza, </w:t>
      </w:r>
      <w:proofErr w:type="spellStart"/>
      <w:r w:rsidRPr="006720DE">
        <w:rPr>
          <w:lang w:val="pt-BR"/>
        </w:rPr>
        <w:t>Burina</w:t>
      </w:r>
      <w:proofErr w:type="spellEnd"/>
      <w:r w:rsidRPr="006720DE">
        <w:rPr>
          <w:lang w:val="pt-BR"/>
        </w:rPr>
        <w:t xml:space="preserve"> e </w:t>
      </w:r>
      <w:proofErr w:type="spellStart"/>
      <w:r w:rsidRPr="006720DE">
        <w:rPr>
          <w:lang w:val="pt-BR"/>
        </w:rPr>
        <w:t>Burina</w:t>
      </w:r>
      <w:proofErr w:type="spellEnd"/>
      <w:r w:rsidRPr="006720DE">
        <w:rPr>
          <w:lang w:val="pt-BR"/>
        </w:rPr>
        <w:t xml:space="preserve"> (2016), no leste europeu, examinam áreas afetadas por conflitos na Chechênia, após a pacificação com a Rússia, no que se refere a programas de saúde mental. Para as autoras, programas com foco na superação do trauma ajudariam a reduzir o nível geral de violência entre vítimas e agressores, contribuindo para os trabalh</w:t>
      </w:r>
      <w:r w:rsidR="005312B3">
        <w:rPr>
          <w:lang w:val="pt-BR"/>
        </w:rPr>
        <w:t>os de reconstrução pós-conflito</w:t>
      </w:r>
      <w:r w:rsidRPr="006720DE">
        <w:rPr>
          <w:lang w:val="pt-BR"/>
        </w:rPr>
        <w:t>.</w:t>
      </w:r>
    </w:p>
    <w:p w14:paraId="10959621" w14:textId="6F410211" w:rsidR="006720DE" w:rsidRDefault="006720DE" w:rsidP="006720DE">
      <w:pPr>
        <w:pStyle w:val="Prrafocomn"/>
        <w:rPr>
          <w:lang w:val="pt-BR"/>
        </w:rPr>
      </w:pPr>
      <w:r w:rsidRPr="006720DE">
        <w:rPr>
          <w:lang w:val="pt-BR"/>
        </w:rPr>
        <w:t xml:space="preserve">Nesse ínterim, importa destacar que diversos trabalhos trazem reflexões para o estudo das relações interpessoais nos campos de refugiados, seja entre grupos diversos, seja no interior dos diferentes grupos sociais. Esses achados serão brevemente comentados </w:t>
      </w:r>
      <w:r w:rsidR="005312B3">
        <w:rPr>
          <w:lang w:val="pt-BR"/>
        </w:rPr>
        <w:t>na próxima seção</w:t>
      </w:r>
      <w:r w:rsidRPr="006720DE">
        <w:rPr>
          <w:lang w:val="pt-BR"/>
        </w:rPr>
        <w:t>.</w:t>
      </w:r>
    </w:p>
    <w:p w14:paraId="6C753E90" w14:textId="2BE5607F" w:rsidR="006720DE" w:rsidRPr="00CB26EC" w:rsidRDefault="006720DE" w:rsidP="006720DE">
      <w:pPr>
        <w:pStyle w:val="SubtituloInterno"/>
        <w:rPr>
          <w:lang w:val="pt-BR"/>
        </w:rPr>
      </w:pPr>
      <w:r w:rsidRPr="00CB26EC">
        <w:rPr>
          <w:lang w:val="pt-BR"/>
        </w:rPr>
        <w:lastRenderedPageBreak/>
        <w:t>Relatos sobre as Relações Interpessoais nos Campos</w:t>
      </w:r>
    </w:p>
    <w:p w14:paraId="40FDC915" w14:textId="45FA400A" w:rsidR="006720DE" w:rsidRPr="006720DE" w:rsidRDefault="006720DE" w:rsidP="006720DE">
      <w:pPr>
        <w:pStyle w:val="Prrafocomn"/>
        <w:rPr>
          <w:lang w:val="pt-BR"/>
        </w:rPr>
      </w:pPr>
      <w:r w:rsidRPr="006720DE">
        <w:rPr>
          <w:lang w:val="pt-BR"/>
        </w:rPr>
        <w:t>Acerca das relações interpessoais das pessoas em situação de refúgio, há mais aspectos sociais negativos do que positivos nos relatos relacionados a uma gama de conflitos interpessoais, no geral, comuns a toda sociedade. A precariedade dos campos, no entanto, acirra muitos desses conflitos e expõe muito mais as pessoas a seus resultados violentos do que em outras situações.</w:t>
      </w:r>
    </w:p>
    <w:p w14:paraId="34A83986" w14:textId="62364B9C" w:rsidR="006720DE" w:rsidRDefault="006720DE" w:rsidP="006720DE">
      <w:pPr>
        <w:pStyle w:val="Prrafocomn"/>
        <w:rPr>
          <w:lang w:val="pt-BR"/>
        </w:rPr>
      </w:pPr>
      <w:r w:rsidRPr="006720DE">
        <w:rPr>
          <w:lang w:val="pt-BR"/>
        </w:rPr>
        <w:t>Em que pese essa vulnerabilidade, e sem negar a precariedade desses lugares, De Carvalho e Pinto (2018) apontam o significado psicológico negativo de retratar os refugiados sempre como vítimas (‘</w:t>
      </w:r>
      <w:proofErr w:type="spellStart"/>
      <w:r w:rsidRPr="006720DE">
        <w:rPr>
          <w:i/>
          <w:lang w:val="pt-BR"/>
        </w:rPr>
        <w:t>helpless</w:t>
      </w:r>
      <w:proofErr w:type="spellEnd"/>
      <w:r w:rsidRPr="006720DE">
        <w:rPr>
          <w:i/>
          <w:lang w:val="pt-BR"/>
        </w:rPr>
        <w:t xml:space="preserve"> </w:t>
      </w:r>
      <w:proofErr w:type="spellStart"/>
      <w:r w:rsidRPr="006720DE">
        <w:rPr>
          <w:i/>
          <w:lang w:val="pt-BR"/>
        </w:rPr>
        <w:t>victims</w:t>
      </w:r>
      <w:proofErr w:type="spellEnd"/>
      <w:r w:rsidRPr="006720DE">
        <w:rPr>
          <w:lang w:val="pt-BR"/>
        </w:rPr>
        <w:t>’) no Congo. Indicam que, mesmo nessas condições, os relatos dos próprios habitantes dos campos destacam o comportamento pró-comunidade de muitos dos seus membros como facilitador do convívio e da vida social.</w:t>
      </w:r>
    </w:p>
    <w:p w14:paraId="73876AA8" w14:textId="5FE19BE4" w:rsidR="008F27A6" w:rsidRPr="00C640C9" w:rsidRDefault="008F27A6" w:rsidP="008F27A6">
      <w:pPr>
        <w:pStyle w:val="Ttulosinternos"/>
      </w:pPr>
      <w:r w:rsidRPr="008F27A6">
        <w:t>Discussão</w:t>
      </w:r>
    </w:p>
    <w:p w14:paraId="01423A15" w14:textId="352C1CFE" w:rsidR="008F27A6" w:rsidRPr="008F27A6" w:rsidRDefault="008F27A6" w:rsidP="008F27A6">
      <w:pPr>
        <w:pStyle w:val="Prrafocomn"/>
        <w:rPr>
          <w:lang w:val="pt-BR"/>
        </w:rPr>
      </w:pPr>
      <w:r w:rsidRPr="008F27A6">
        <w:rPr>
          <w:lang w:val="pt-BR"/>
        </w:rPr>
        <w:t>Esta seção pretende discutir temas latentes às pesquisas descritas na seção anterior, a respeito da provisão de ajuda humanitária nos campos de refugiados, à luz do marco teórico selecionado. Em primeiro lugar, serão discutidos aspectos concei</w:t>
      </w:r>
      <w:r w:rsidR="005312B3">
        <w:rPr>
          <w:lang w:val="pt-BR"/>
        </w:rPr>
        <w:t>tuais sobre o comportamento</w:t>
      </w:r>
      <w:r w:rsidRPr="008F27A6">
        <w:rPr>
          <w:lang w:val="pt-BR"/>
        </w:rPr>
        <w:t xml:space="preserve"> “de ajuda” ou de “altruísmo”, bem como sobre o “estigma” que provocam, para então se debaterem aspectos teóricos e hipotéticos sobre as causas e os efeitos destes comportamentos nas relações interp</w:t>
      </w:r>
      <w:r w:rsidR="005312B3">
        <w:rPr>
          <w:lang w:val="pt-BR"/>
        </w:rPr>
        <w:t xml:space="preserve">essoais dos refugiados, </w:t>
      </w:r>
      <w:r w:rsidRPr="008F27A6">
        <w:rPr>
          <w:lang w:val="pt-BR"/>
        </w:rPr>
        <w:t>nos campos e em arranjos análogos.</w:t>
      </w:r>
    </w:p>
    <w:p w14:paraId="134F070F" w14:textId="2EA353B6" w:rsidR="008F27A6" w:rsidRPr="008F27A6" w:rsidRDefault="008F27A6" w:rsidP="008F27A6">
      <w:pPr>
        <w:pStyle w:val="SubtituloInterno"/>
        <w:rPr>
          <w:lang w:val="pt-BR"/>
        </w:rPr>
      </w:pPr>
      <w:r w:rsidRPr="008F27A6">
        <w:rPr>
          <w:lang w:val="pt-BR"/>
        </w:rPr>
        <w:t>Os Conceitos de “Comportamento de Ajuda” e de “Altruísmo”</w:t>
      </w:r>
    </w:p>
    <w:p w14:paraId="3F8809AC" w14:textId="77777777" w:rsidR="008F27A6" w:rsidRPr="008F27A6" w:rsidRDefault="008F27A6" w:rsidP="008F27A6">
      <w:pPr>
        <w:pStyle w:val="Prrafocomn"/>
        <w:rPr>
          <w:lang w:val="pt-BR"/>
        </w:rPr>
      </w:pPr>
      <w:r w:rsidRPr="008F27A6">
        <w:rPr>
          <w:lang w:val="pt-BR"/>
        </w:rPr>
        <w:t>Em teoria, o “altruísmo” difere do “comportamento de ajuda” porque este possuiria “motivações autocentradas” para “aliviar o sofrimento” de outrem (Rodrigues et al, 2009, p. 228). Na prática: “Ajudar pode envolver custos para quem ajuda, como também pode trazer recompensas: na maioria dos casos [...] faz ambas as coisas” (</w:t>
      </w:r>
      <w:proofErr w:type="spellStart"/>
      <w:r w:rsidRPr="008F27A6">
        <w:rPr>
          <w:lang w:val="pt-BR"/>
        </w:rPr>
        <w:t>Hinde</w:t>
      </w:r>
      <w:proofErr w:type="spellEnd"/>
      <w:r w:rsidRPr="008F27A6">
        <w:rPr>
          <w:lang w:val="pt-BR"/>
        </w:rPr>
        <w:t xml:space="preserve"> &amp; </w:t>
      </w:r>
      <w:proofErr w:type="spellStart"/>
      <w:r w:rsidRPr="008F27A6">
        <w:rPr>
          <w:lang w:val="pt-BR"/>
        </w:rPr>
        <w:t>Groebel</w:t>
      </w:r>
      <w:proofErr w:type="spellEnd"/>
      <w:r w:rsidRPr="008F27A6">
        <w:rPr>
          <w:lang w:val="pt-BR"/>
        </w:rPr>
        <w:t>, 1991, p. 4).</w:t>
      </w:r>
    </w:p>
    <w:p w14:paraId="60E7F26F" w14:textId="1DC39E5C" w:rsidR="008F27A6" w:rsidRDefault="008F27A6" w:rsidP="008F27A6">
      <w:pPr>
        <w:pStyle w:val="Prrafocomn"/>
        <w:rPr>
          <w:lang w:val="pt-BR"/>
        </w:rPr>
      </w:pPr>
      <w:r w:rsidRPr="008F27A6">
        <w:rPr>
          <w:lang w:val="pt-BR"/>
        </w:rPr>
        <w:t xml:space="preserve">Dessa forma, com alguma “recompensa”, seria razoável supor uma maior longevidade da ajuda. Como visto, esta “recompensa” esteve relacionada à profissionalização dos agentes: da atuação “voluntária” à coordenação dos esforços de organizações humanitárias no âmbito das Nações Unidas, resultou uma operação mais </w:t>
      </w:r>
      <w:r w:rsidRPr="008F27A6">
        <w:rPr>
          <w:lang w:val="pt-BR"/>
        </w:rPr>
        <w:lastRenderedPageBreak/>
        <w:t>contínua, ainda que com inserções mais breves, nos campos e em outras situações de emergência humanitária.</w:t>
      </w:r>
    </w:p>
    <w:p w14:paraId="125F5A70" w14:textId="0AEC7FC4" w:rsidR="008F27A6" w:rsidRPr="008F27A6" w:rsidRDefault="008F27A6" w:rsidP="008F27A6">
      <w:pPr>
        <w:pStyle w:val="Prrafocomn"/>
        <w:rPr>
          <w:lang w:val="pt-BR"/>
        </w:rPr>
      </w:pPr>
      <w:r w:rsidRPr="008F27A6">
        <w:rPr>
          <w:lang w:val="pt-BR"/>
        </w:rPr>
        <w:t xml:space="preserve">Quanto às qualidades da ajuda, </w:t>
      </w:r>
      <w:proofErr w:type="spellStart"/>
      <w:r w:rsidRPr="008F27A6">
        <w:rPr>
          <w:lang w:val="pt-BR"/>
        </w:rPr>
        <w:t>Fultz</w:t>
      </w:r>
      <w:proofErr w:type="spellEnd"/>
      <w:r w:rsidRPr="008F27A6">
        <w:rPr>
          <w:lang w:val="pt-BR"/>
        </w:rPr>
        <w:t xml:space="preserve"> e </w:t>
      </w:r>
      <w:proofErr w:type="spellStart"/>
      <w:r w:rsidRPr="008F27A6">
        <w:rPr>
          <w:lang w:val="pt-BR"/>
        </w:rPr>
        <w:t>Cialdini</w:t>
      </w:r>
      <w:proofErr w:type="spellEnd"/>
      <w:r w:rsidRPr="008F27A6">
        <w:rPr>
          <w:lang w:val="pt-BR"/>
        </w:rPr>
        <w:t xml:space="preserve"> (1991, p. 135) citam três na visão de quem a presta sobre quem a recebe: “o outro como objeto, o outro como avaliador e o outro como indivíduo”.</w:t>
      </w:r>
      <w:r w:rsidRPr="008F27A6">
        <w:rPr>
          <w:vertAlign w:val="superscript"/>
        </w:rPr>
        <w:footnoteReference w:id="10"/>
      </w:r>
      <w:r w:rsidR="00CF443B">
        <w:rPr>
          <w:lang w:val="pt-BR"/>
        </w:rPr>
        <w:t xml:space="preserve"> A qualidade de “indivíduo” - </w:t>
      </w:r>
      <w:r w:rsidRPr="008F27A6">
        <w:rPr>
          <w:lang w:val="pt-BR"/>
        </w:rPr>
        <w:t xml:space="preserve">da qual resultaria uma ajuda </w:t>
      </w:r>
      <w:r w:rsidR="00CF443B">
        <w:rPr>
          <w:lang w:val="pt-BR"/>
        </w:rPr>
        <w:t xml:space="preserve">“genuinamente altruísta” - </w:t>
      </w:r>
      <w:r w:rsidRPr="008F27A6">
        <w:rPr>
          <w:lang w:val="pt-BR"/>
        </w:rPr>
        <w:t>, seria muito rara na visão dos autores, que a consideram mais uma “possibilidade teórica” do que “um fato empiricamente estabelecido” (</w:t>
      </w:r>
      <w:proofErr w:type="spellStart"/>
      <w:r w:rsidRPr="008F27A6">
        <w:rPr>
          <w:lang w:val="pt-BR"/>
        </w:rPr>
        <w:t>Fultz</w:t>
      </w:r>
      <w:proofErr w:type="spellEnd"/>
      <w:r w:rsidRPr="008F27A6">
        <w:rPr>
          <w:lang w:val="pt-BR"/>
        </w:rPr>
        <w:t xml:space="preserve"> &amp; </w:t>
      </w:r>
      <w:proofErr w:type="spellStart"/>
      <w:r w:rsidRPr="008F27A6">
        <w:rPr>
          <w:lang w:val="pt-BR"/>
        </w:rPr>
        <w:t>Cialdini</w:t>
      </w:r>
      <w:proofErr w:type="spellEnd"/>
      <w:r w:rsidRPr="008F27A6">
        <w:rPr>
          <w:lang w:val="pt-BR"/>
        </w:rPr>
        <w:t>, 1991, p. 136).</w:t>
      </w:r>
    </w:p>
    <w:p w14:paraId="6F1D423E" w14:textId="50AB1A1F" w:rsidR="008F27A6" w:rsidRDefault="008F27A6" w:rsidP="008F27A6">
      <w:pPr>
        <w:pStyle w:val="Prrafocomn"/>
        <w:rPr>
          <w:lang w:val="pt-BR"/>
        </w:rPr>
      </w:pPr>
      <w:r w:rsidRPr="008F27A6">
        <w:rPr>
          <w:lang w:val="pt-BR"/>
        </w:rPr>
        <w:tab/>
        <w:t>Seria a visão do outro enquanto “</w:t>
      </w:r>
      <w:r w:rsidR="005312B3">
        <w:rPr>
          <w:lang w:val="pt-BR"/>
        </w:rPr>
        <w:t xml:space="preserve">indivíduo”, porém, que traria </w:t>
      </w:r>
      <w:r w:rsidRPr="008F27A6">
        <w:rPr>
          <w:lang w:val="pt-BR"/>
        </w:rPr>
        <w:t>seu reconhecimento enquanto sujeito de “direitos”, com suas “necessidades, desejos e objetivos próprios” (</w:t>
      </w:r>
      <w:proofErr w:type="spellStart"/>
      <w:r w:rsidRPr="008F27A6">
        <w:rPr>
          <w:lang w:val="pt-BR"/>
        </w:rPr>
        <w:t>Fultz</w:t>
      </w:r>
      <w:proofErr w:type="spellEnd"/>
      <w:r w:rsidRPr="008F27A6">
        <w:rPr>
          <w:lang w:val="pt-BR"/>
        </w:rPr>
        <w:t xml:space="preserve"> &amp; </w:t>
      </w:r>
      <w:proofErr w:type="spellStart"/>
      <w:r w:rsidRPr="008F27A6">
        <w:rPr>
          <w:lang w:val="pt-BR"/>
        </w:rPr>
        <w:t>Cialdini</w:t>
      </w:r>
      <w:proofErr w:type="spellEnd"/>
      <w:r w:rsidRPr="008F27A6">
        <w:rPr>
          <w:lang w:val="pt-BR"/>
        </w:rPr>
        <w:t>, 1991, p. 136).</w:t>
      </w:r>
      <w:r w:rsidRPr="008F27A6">
        <w:rPr>
          <w:vertAlign w:val="superscript"/>
        </w:rPr>
        <w:footnoteReference w:id="11"/>
      </w:r>
      <w:r w:rsidRPr="008F27A6">
        <w:rPr>
          <w:lang w:val="pt-BR"/>
        </w:rPr>
        <w:t xml:space="preserve"> Nesse sentido, lembra a teoria normativa do reconhecimento mútuo que </w:t>
      </w:r>
      <w:proofErr w:type="spellStart"/>
      <w:r w:rsidRPr="008F27A6">
        <w:rPr>
          <w:lang w:val="pt-BR"/>
        </w:rPr>
        <w:t>Honneth</w:t>
      </w:r>
      <w:proofErr w:type="spellEnd"/>
      <w:r w:rsidRPr="008F27A6">
        <w:rPr>
          <w:lang w:val="pt-BR"/>
        </w:rPr>
        <w:t xml:space="preserve"> (1992, p. 188) vislumbra no pensamento de E</w:t>
      </w:r>
      <w:r w:rsidR="00CF443B">
        <w:rPr>
          <w:lang w:val="pt-BR"/>
        </w:rPr>
        <w:t>rnst Bloch, quando diz que: “[...]</w:t>
      </w:r>
      <w:r w:rsidRPr="008F27A6">
        <w:rPr>
          <w:lang w:val="pt-BR"/>
        </w:rPr>
        <w:t xml:space="preserve"> a integridade dos sujeitos humanos, vulneráveis como são a injúrias por insultos e desrespeito, depende de receberem aprovação e respeito dos outros”.</w:t>
      </w:r>
      <w:r w:rsidRPr="008F27A6">
        <w:rPr>
          <w:vertAlign w:val="superscript"/>
        </w:rPr>
        <w:footnoteReference w:id="12"/>
      </w:r>
    </w:p>
    <w:p w14:paraId="66A381DB" w14:textId="01447D6D" w:rsidR="008F27A6" w:rsidRPr="008F27A6" w:rsidRDefault="008F27A6" w:rsidP="008F27A6">
      <w:pPr>
        <w:pStyle w:val="SubtituloInterno"/>
        <w:rPr>
          <w:lang w:val="pt-BR"/>
        </w:rPr>
      </w:pPr>
      <w:r w:rsidRPr="00CB26EC">
        <w:rPr>
          <w:lang w:val="pt-BR"/>
        </w:rPr>
        <w:t>O Estigma quanto à Ajuda nos Campos de Refugiados</w:t>
      </w:r>
    </w:p>
    <w:p w14:paraId="0076977C" w14:textId="77777777" w:rsidR="00280463" w:rsidRPr="00280463" w:rsidRDefault="00280463" w:rsidP="00280463">
      <w:pPr>
        <w:pStyle w:val="Prrafocomn"/>
        <w:rPr>
          <w:lang w:val="pt-BR"/>
        </w:rPr>
      </w:pPr>
      <w:r w:rsidRPr="00280463">
        <w:rPr>
          <w:lang w:val="pt-BR"/>
        </w:rPr>
        <w:t>Nos estudos anteriormente vistos, compareceu ainda a preocupação com a barreira das diferenças culturais para a prestação das ações de SMAPS. Tais diferenças poderiam suscitar um estigma (uma concepção prévia, geralmente negativa) tanto nos prestadores de SMAPS com relação ao público-alvo, quanto de parte dos refugiados acerca destas ações.</w:t>
      </w:r>
    </w:p>
    <w:p w14:paraId="609E1FA0" w14:textId="28475F18" w:rsidR="00280463" w:rsidRDefault="00280463" w:rsidP="00280463">
      <w:pPr>
        <w:pStyle w:val="Prrafocomn"/>
        <w:rPr>
          <w:lang w:val="pt-BR"/>
        </w:rPr>
      </w:pPr>
      <w:r w:rsidRPr="00280463">
        <w:rPr>
          <w:lang w:val="pt-BR"/>
        </w:rPr>
        <w:t xml:space="preserve">Teoricamente, seria possível classificar este estigma no segundo nível (normativo) das formas de desrespeito da teoria do reconhecimento de </w:t>
      </w:r>
      <w:proofErr w:type="spellStart"/>
      <w:r w:rsidRPr="00280463">
        <w:rPr>
          <w:lang w:val="pt-BR"/>
        </w:rPr>
        <w:t>Honneth</w:t>
      </w:r>
      <w:proofErr w:type="spellEnd"/>
      <w:r w:rsidRPr="00280463">
        <w:rPr>
          <w:lang w:val="pt-BR"/>
        </w:rPr>
        <w:t xml:space="preserve"> (1992). Em todos os níveis, porém: “</w:t>
      </w:r>
      <w:r w:rsidR="00CF443B">
        <w:rPr>
          <w:lang w:val="pt-BR"/>
        </w:rPr>
        <w:t>[...]</w:t>
      </w:r>
      <w:r w:rsidRPr="00280463">
        <w:rPr>
          <w:lang w:val="pt-BR"/>
        </w:rPr>
        <w:t xml:space="preserve"> as diversas formas de desrespeito à integridade psíquica assumem o mesmo papel negativo que as doenças orgânicas desempenham no contexto dos processos corporais” (</w:t>
      </w:r>
      <w:proofErr w:type="spellStart"/>
      <w:r w:rsidRPr="00280463">
        <w:rPr>
          <w:lang w:val="pt-BR"/>
        </w:rPr>
        <w:t>Honneth</w:t>
      </w:r>
      <w:proofErr w:type="spellEnd"/>
      <w:r w:rsidRPr="00280463">
        <w:rPr>
          <w:lang w:val="pt-BR"/>
        </w:rPr>
        <w:t>, 1992, p. 192).</w:t>
      </w:r>
      <w:r w:rsidRPr="00280463">
        <w:rPr>
          <w:vertAlign w:val="superscript"/>
        </w:rPr>
        <w:footnoteReference w:id="13"/>
      </w:r>
      <w:r w:rsidRPr="00280463">
        <w:rPr>
          <w:lang w:val="pt-BR"/>
        </w:rPr>
        <w:t xml:space="preserve"> Este reflexo no nível psíquico das relações </w:t>
      </w:r>
      <w:r w:rsidRPr="00280463">
        <w:rPr>
          <w:lang w:val="pt-BR"/>
        </w:rPr>
        <w:lastRenderedPageBreak/>
        <w:t>interpessoais não pode ser menospreza</w:t>
      </w:r>
      <w:r w:rsidR="005312B3">
        <w:rPr>
          <w:lang w:val="pt-BR"/>
        </w:rPr>
        <w:t>do, sendo tão importante buscar</w:t>
      </w:r>
      <w:r w:rsidRPr="00280463">
        <w:rPr>
          <w:lang w:val="pt-BR"/>
        </w:rPr>
        <w:t xml:space="preserve"> combater o estigma quanto de promover direitos, como o direito à saúde mental, nos campos.</w:t>
      </w:r>
    </w:p>
    <w:p w14:paraId="5DDE7FFD" w14:textId="77777777" w:rsidR="00280463" w:rsidRPr="00280463" w:rsidRDefault="00280463" w:rsidP="00280463">
      <w:pPr>
        <w:pStyle w:val="Prrafocomn"/>
        <w:rPr>
          <w:lang w:val="pt-BR"/>
        </w:rPr>
      </w:pPr>
      <w:r w:rsidRPr="00280463">
        <w:rPr>
          <w:lang w:val="pt-BR"/>
        </w:rPr>
        <w:t>Entre as principais formas organizativas dos refugiados nos campos para combater os efeitos nocivos deste estigma, portanto, compareceram relatos de ações voluntárias que seriam desempenhadas inclusive por refugiados junto às organizações nos campos. A respeito destas ações, não cabe pensar, entretanto, que são recebidas igualmente por todas as pessoas.</w:t>
      </w:r>
    </w:p>
    <w:p w14:paraId="3BE0EA1F" w14:textId="77777777" w:rsidR="00280463" w:rsidRPr="00280463" w:rsidRDefault="00280463" w:rsidP="00280463">
      <w:pPr>
        <w:pStyle w:val="Prrafocomn"/>
        <w:rPr>
          <w:lang w:val="pt-BR"/>
        </w:rPr>
      </w:pPr>
      <w:r w:rsidRPr="00280463">
        <w:rPr>
          <w:lang w:val="pt-BR"/>
        </w:rPr>
        <w:t>Nesse sentido, cabe citar uma premissa da teoria das relações interpessoais, pela qual os comportamentos “bons” e aqueles ditos “ruins” seriam, no geral, “dois lados da mesma moeda” (</w:t>
      </w:r>
      <w:proofErr w:type="spellStart"/>
      <w:r w:rsidRPr="00280463">
        <w:rPr>
          <w:lang w:val="pt-BR"/>
        </w:rPr>
        <w:t>Hinde</w:t>
      </w:r>
      <w:proofErr w:type="spellEnd"/>
      <w:r w:rsidRPr="00280463">
        <w:rPr>
          <w:lang w:val="pt-BR"/>
        </w:rPr>
        <w:t>, 2007, p. 249).</w:t>
      </w:r>
      <w:r w:rsidRPr="00280463">
        <w:rPr>
          <w:vertAlign w:val="superscript"/>
        </w:rPr>
        <w:footnoteReference w:id="14"/>
      </w:r>
      <w:r w:rsidRPr="00280463">
        <w:rPr>
          <w:lang w:val="pt-BR"/>
        </w:rPr>
        <w:t xml:space="preserve"> Como discutido na seção anterior, motivações autocentradas, apesar de socialmente tidas como “ruins”, são comuns em comportamentos de ajuda.</w:t>
      </w:r>
    </w:p>
    <w:p w14:paraId="1BD7FADD" w14:textId="77777777" w:rsidR="00280463" w:rsidRPr="00280463" w:rsidRDefault="00280463" w:rsidP="00280463">
      <w:pPr>
        <w:pStyle w:val="Prrafocomn"/>
        <w:rPr>
          <w:lang w:val="pt-BR"/>
        </w:rPr>
      </w:pPr>
      <w:r w:rsidRPr="00280463">
        <w:rPr>
          <w:lang w:val="pt-BR"/>
        </w:rPr>
        <w:t xml:space="preserve">Em vista de tal premissa, não cabe juízo de valor acerca das motivações das pessoas refugiadas nessas situações para se implicarem em ações desse tipo. Mais importantes seriam os reflexos de se comportarem dessa forma, visto que, para </w:t>
      </w:r>
      <w:proofErr w:type="spellStart"/>
      <w:r w:rsidRPr="00280463">
        <w:rPr>
          <w:lang w:val="pt-BR"/>
        </w:rPr>
        <w:t>Hinde</w:t>
      </w:r>
      <w:proofErr w:type="spellEnd"/>
      <w:r w:rsidRPr="00280463">
        <w:rPr>
          <w:lang w:val="pt-BR"/>
        </w:rPr>
        <w:t xml:space="preserve"> (1991, p. 134): “Diversos estudos clássicos sobre variáveis situacionais demonstraram que um número crescente de espectadores (passivos) reduz a probabilidade de que indivíduos venham a ajudar, enquanto a observação de espectadores ajudando ativamente aumenta a tendência pró-social”.</w:t>
      </w:r>
      <w:r w:rsidRPr="00280463">
        <w:rPr>
          <w:vertAlign w:val="superscript"/>
        </w:rPr>
        <w:footnoteReference w:id="15"/>
      </w:r>
      <w:r w:rsidRPr="00280463">
        <w:rPr>
          <w:lang w:val="pt-BR"/>
        </w:rPr>
        <w:t xml:space="preserve"> Dessa forma, comportamentos de ajuda podem influenciar positivamente a convivência comunitária.</w:t>
      </w:r>
    </w:p>
    <w:p w14:paraId="47BFB3DF" w14:textId="77777777" w:rsidR="00280463" w:rsidRPr="00280463" w:rsidRDefault="00280463" w:rsidP="00280463">
      <w:pPr>
        <w:pStyle w:val="Prrafocomn"/>
        <w:rPr>
          <w:lang w:val="pt-BR"/>
        </w:rPr>
      </w:pPr>
      <w:r w:rsidRPr="00280463">
        <w:rPr>
          <w:lang w:val="pt-BR"/>
        </w:rPr>
        <w:t>Além desses reflexos positivos, foi percebida uma “identidade comum” entre aqueles refugiados que atuam voluntariamente nos campos. Nestes casos, cabe refletir sobre o papel dos grupos para o primeiro nível (subjetivo ou psíquico) das relações interpessoais.</w:t>
      </w:r>
    </w:p>
    <w:p w14:paraId="206445B5" w14:textId="77777777" w:rsidR="00280463" w:rsidRPr="00280463" w:rsidRDefault="00280463" w:rsidP="00280463">
      <w:pPr>
        <w:pStyle w:val="Prrafocomn"/>
        <w:rPr>
          <w:lang w:val="pt-BR"/>
        </w:rPr>
      </w:pPr>
      <w:r w:rsidRPr="00280463">
        <w:rPr>
          <w:lang w:val="pt-BR"/>
        </w:rPr>
        <w:t xml:space="preserve">De fato, a categoria de “grupo”, para </w:t>
      </w:r>
      <w:proofErr w:type="spellStart"/>
      <w:r w:rsidRPr="00280463">
        <w:rPr>
          <w:lang w:val="pt-BR"/>
        </w:rPr>
        <w:t>Honneth</w:t>
      </w:r>
      <w:proofErr w:type="spellEnd"/>
      <w:r w:rsidRPr="00280463">
        <w:rPr>
          <w:lang w:val="pt-BR"/>
        </w:rPr>
        <w:t xml:space="preserve"> (2013, p. 78): “[...] longe de representar uma ameaça para a identidade pessoal, é, nas palavras de Adorno, uma fonte da humanidade”. Para a sua teoria do reconhecimento, seria fundamental a “experiência de apoio que se faz através da prática de valores compartilhados no grupo” para que o indivíduo possa “manter o autorrespeito” e a “autoestima” ao longo de sua vida (</w:t>
      </w:r>
      <w:proofErr w:type="spellStart"/>
      <w:r w:rsidRPr="00280463">
        <w:rPr>
          <w:lang w:val="pt-BR"/>
        </w:rPr>
        <w:t>Honneth</w:t>
      </w:r>
      <w:proofErr w:type="spellEnd"/>
      <w:r w:rsidRPr="00280463">
        <w:rPr>
          <w:lang w:val="pt-BR"/>
        </w:rPr>
        <w:t>, 2013, p. 77).</w:t>
      </w:r>
    </w:p>
    <w:p w14:paraId="41D30679" w14:textId="1D86A1B9" w:rsidR="00280463" w:rsidRDefault="00280463" w:rsidP="00280463">
      <w:pPr>
        <w:pStyle w:val="Prrafocomn"/>
        <w:rPr>
          <w:lang w:val="pt-BR"/>
        </w:rPr>
      </w:pPr>
      <w:r w:rsidRPr="00280463">
        <w:rPr>
          <w:lang w:val="pt-BR"/>
        </w:rPr>
        <w:lastRenderedPageBreak/>
        <w:t>Quando o grupo social, em última análise, seria toda a humanidade, o indivíduo pode até cruzar fronteiras em busca da experiência compartilhada de apoio. Neste sentido, o último tema para a discussão dos resultados seria referente à ajuda internacional.</w:t>
      </w:r>
    </w:p>
    <w:p w14:paraId="7C8C936F" w14:textId="563108A6" w:rsidR="00280463" w:rsidRPr="00280463" w:rsidRDefault="00280463" w:rsidP="00280463">
      <w:pPr>
        <w:pStyle w:val="SubtituloInterno"/>
        <w:rPr>
          <w:lang w:val="pt-BR"/>
        </w:rPr>
      </w:pPr>
      <w:r w:rsidRPr="00280463">
        <w:rPr>
          <w:lang w:val="pt-BR" w:eastAsia="es-ES_tradnl"/>
        </w:rPr>
        <w:t>Ajuda sem Fronteiras: A Rede Humanitária Internacional</w:t>
      </w:r>
    </w:p>
    <w:p w14:paraId="525BC129" w14:textId="0309A86F" w:rsidR="00477C23" w:rsidRPr="00477C23" w:rsidRDefault="00477C23" w:rsidP="005312B3">
      <w:pPr>
        <w:pStyle w:val="Prrafocomn"/>
        <w:rPr>
          <w:lang w:val="pt-BR"/>
        </w:rPr>
      </w:pPr>
      <w:r w:rsidRPr="00477C23">
        <w:rPr>
          <w:lang w:val="pt-BR"/>
        </w:rPr>
        <w:t>As várias limitações nos campos, anteriormente vistas, são fruto de uma desi</w:t>
      </w:r>
      <w:r w:rsidR="005312B3">
        <w:rPr>
          <w:lang w:val="pt-BR"/>
        </w:rPr>
        <w:t>gualdade global</w:t>
      </w:r>
      <w:r w:rsidRPr="00477C23">
        <w:rPr>
          <w:lang w:val="pt-BR"/>
        </w:rPr>
        <w:t xml:space="preserve"> pela qual, enquanto alguns se deslocam pela insuficiência de </w:t>
      </w:r>
      <w:r w:rsidR="005312B3">
        <w:rPr>
          <w:lang w:val="pt-BR"/>
        </w:rPr>
        <w:t>recursos, outros buscam redistribuir certos</w:t>
      </w:r>
      <w:r w:rsidRPr="00477C23">
        <w:rPr>
          <w:lang w:val="pt-BR"/>
        </w:rPr>
        <w:t xml:space="preserve"> excedentes em seu local de origem.</w:t>
      </w:r>
      <w:r w:rsidR="005312B3">
        <w:rPr>
          <w:lang w:val="pt-BR"/>
        </w:rPr>
        <w:t xml:space="preserve"> </w:t>
      </w:r>
      <w:r w:rsidRPr="00477C23">
        <w:rPr>
          <w:lang w:val="pt-BR"/>
        </w:rPr>
        <w:t>Nos deslocamentos em prol da ajuda humanitária, os meios de comunicação seriam motivadores centrais, uma vez que propiciam “[...] uma rede que aprimora a comunicação mundial, permitindo que o destinatário se familiarize com e até participe de outros grupos e culturas, reduzindo assim sua estranheza” (</w:t>
      </w:r>
      <w:proofErr w:type="spellStart"/>
      <w:r w:rsidRPr="00477C23">
        <w:rPr>
          <w:lang w:val="pt-BR"/>
        </w:rPr>
        <w:t>Hinde</w:t>
      </w:r>
      <w:proofErr w:type="spellEnd"/>
      <w:r w:rsidRPr="00477C23">
        <w:rPr>
          <w:lang w:val="pt-BR"/>
        </w:rPr>
        <w:t>, 1991, p. 267).</w:t>
      </w:r>
      <w:r w:rsidRPr="00477C23">
        <w:rPr>
          <w:vertAlign w:val="superscript"/>
        </w:rPr>
        <w:footnoteReference w:id="16"/>
      </w:r>
      <w:r w:rsidRPr="00477C23">
        <w:rPr>
          <w:lang w:val="pt-BR"/>
        </w:rPr>
        <w:t xml:space="preserve"> Para isto, caberia rever os modos tanto como se estruturam quanto como se divulgam as ações humanitárias.</w:t>
      </w:r>
    </w:p>
    <w:p w14:paraId="250E1C43" w14:textId="04B78D89" w:rsidR="00477C23" w:rsidRDefault="00477C23" w:rsidP="00477C23">
      <w:pPr>
        <w:pStyle w:val="Prrafocomn"/>
        <w:rPr>
          <w:lang w:val="pt-BR"/>
        </w:rPr>
      </w:pPr>
      <w:r w:rsidRPr="00477C23">
        <w:rPr>
          <w:lang w:val="pt-BR"/>
        </w:rPr>
        <w:t>Acerca do conteúdo frequentemen</w:t>
      </w:r>
      <w:r w:rsidR="005312B3">
        <w:rPr>
          <w:lang w:val="pt-BR"/>
        </w:rPr>
        <w:t>te divulgado nas mídias sobre ações humanitárias -</w:t>
      </w:r>
      <w:r w:rsidRPr="00477C23">
        <w:rPr>
          <w:lang w:val="pt-BR"/>
        </w:rPr>
        <w:t xml:space="preserve">incômodo que comparece também em </w:t>
      </w:r>
      <w:r w:rsidR="005312B3" w:rsidRPr="005312B3">
        <w:rPr>
          <w:lang w:val="pt-BR"/>
        </w:rPr>
        <w:t>estudos com comunidades amplamente pesquisadas</w:t>
      </w:r>
      <w:r w:rsidR="005312B3">
        <w:rPr>
          <w:lang w:val="pt-BR"/>
        </w:rPr>
        <w:t>-</w:t>
      </w:r>
      <w:r w:rsidRPr="00477C23">
        <w:rPr>
          <w:lang w:val="pt-BR"/>
        </w:rPr>
        <w:t xml:space="preserve">, importa notar o que também se esconde. De acordo com </w:t>
      </w:r>
      <w:proofErr w:type="spellStart"/>
      <w:r w:rsidRPr="00477C23">
        <w:rPr>
          <w:lang w:val="pt-BR"/>
        </w:rPr>
        <w:t>Hinde</w:t>
      </w:r>
      <w:proofErr w:type="spellEnd"/>
      <w:r w:rsidRPr="00477C23">
        <w:rPr>
          <w:lang w:val="pt-BR"/>
        </w:rPr>
        <w:t xml:space="preserve"> (2007, p. 9):</w:t>
      </w:r>
      <w:r w:rsidRPr="00477C23">
        <w:rPr>
          <w:vertAlign w:val="superscript"/>
        </w:rPr>
        <w:footnoteReference w:id="17"/>
      </w:r>
      <w:r w:rsidRPr="00477C23">
        <w:rPr>
          <w:lang w:val="pt-BR"/>
        </w:rPr>
        <w:t xml:space="preserve"> “O que os jornais não relatam são os inúmeros atos de bondade e cooperação que a maioria de nós recebe todos os dias.” Mudar este conteúdo significaria, ainda, mudar também as representações tanto de quem presta a ajuda quanto de quem a recebe, reduzindo o estigma entre ambos. Conforme diz </w:t>
      </w:r>
      <w:proofErr w:type="spellStart"/>
      <w:r w:rsidRPr="00477C23">
        <w:rPr>
          <w:lang w:val="pt-BR"/>
        </w:rPr>
        <w:t>Hinde</w:t>
      </w:r>
      <w:proofErr w:type="spellEnd"/>
      <w:r w:rsidRPr="00477C23">
        <w:rPr>
          <w:lang w:val="pt-BR"/>
        </w:rPr>
        <w:t xml:space="preserve"> (1991, p. 6): “A confiança de que crenças e valores são compartilhados pode ser essencial para a confiança e o comprometimento”,</w:t>
      </w:r>
      <w:r w:rsidRPr="00477C23">
        <w:rPr>
          <w:vertAlign w:val="superscript"/>
        </w:rPr>
        <w:footnoteReference w:id="18"/>
      </w:r>
      <w:r w:rsidRPr="00477C23">
        <w:rPr>
          <w:lang w:val="pt-BR"/>
        </w:rPr>
        <w:t xml:space="preserve"> que, como visto, levam tempo para serem construídos nos campos.</w:t>
      </w:r>
    </w:p>
    <w:p w14:paraId="754275F3" w14:textId="77777777" w:rsidR="00477C23" w:rsidRPr="00477C23" w:rsidRDefault="00477C23" w:rsidP="00477C23">
      <w:pPr>
        <w:pStyle w:val="Prrafocomn"/>
        <w:rPr>
          <w:lang w:val="pt-BR"/>
        </w:rPr>
      </w:pPr>
      <w:r w:rsidRPr="00477C23">
        <w:rPr>
          <w:lang w:val="pt-BR"/>
        </w:rPr>
        <w:t xml:space="preserve">Acerca da estrutura da ajuda humanitária, a demanda de que os Estados tomem para si o papel de formar pessoas mais conscientes das situações de emergência já seria importante. Enquanto isto não ocorre, todavia, a qualificação desses debates em todos os níveis de formação e em todos os níveis das relações interpessoais já promoveria, em alguma medida, o reconhecimento dos direitos dos refugiados, inclusive, a saírem dos </w:t>
      </w:r>
      <w:r w:rsidRPr="00477C23">
        <w:rPr>
          <w:lang w:val="pt-BR"/>
        </w:rPr>
        <w:lastRenderedPageBreak/>
        <w:t>campos e desses arranjos análogos para se integrarem plenamente em outros países e outras sociedades de acolhida.</w:t>
      </w:r>
    </w:p>
    <w:p w14:paraId="09EAA8FB" w14:textId="5258D6A2" w:rsidR="008F27A6" w:rsidRPr="00C640C9" w:rsidRDefault="00477C23" w:rsidP="008F27A6">
      <w:pPr>
        <w:pStyle w:val="Ttulosinternos"/>
      </w:pPr>
      <w:r w:rsidRPr="00477C23">
        <w:t>Considerações Finais</w:t>
      </w:r>
    </w:p>
    <w:p w14:paraId="75E6837F" w14:textId="13CB80AA" w:rsidR="006720DE" w:rsidRPr="001E450D" w:rsidRDefault="00477C23" w:rsidP="00477C23">
      <w:pPr>
        <w:pStyle w:val="Prrafocomn"/>
        <w:rPr>
          <w:lang w:val="pt-BR"/>
        </w:rPr>
      </w:pPr>
      <w:r w:rsidRPr="00477C23">
        <w:rPr>
          <w:lang w:val="pt-BR"/>
        </w:rPr>
        <w:t xml:space="preserve">A presente pesquisa revisa estudos que trazem aspectos centrais da provisão de ajuda humanitária em campos de refugiados e arranjos igualmente precários, sob o marco teórico da teoria do reconhecimento de Axel </w:t>
      </w:r>
      <w:proofErr w:type="spellStart"/>
      <w:r w:rsidRPr="00477C23">
        <w:rPr>
          <w:lang w:val="pt-BR"/>
        </w:rPr>
        <w:t>Honneth</w:t>
      </w:r>
      <w:proofErr w:type="spellEnd"/>
      <w:r w:rsidRPr="00477C23">
        <w:rPr>
          <w:lang w:val="pt-BR"/>
        </w:rPr>
        <w:t xml:space="preserve"> e das relações interpessoais de Robert </w:t>
      </w:r>
      <w:proofErr w:type="spellStart"/>
      <w:r w:rsidRPr="00477C23">
        <w:rPr>
          <w:lang w:val="pt-BR"/>
        </w:rPr>
        <w:t>Hinde</w:t>
      </w:r>
      <w:proofErr w:type="spellEnd"/>
      <w:r w:rsidRPr="00477C23">
        <w:rPr>
          <w:lang w:val="pt-BR"/>
        </w:rPr>
        <w:t>. No plano ideal, estes debates deveriam incluir aspectos frequentemente relegados ao segundo plano, como aspectos políticos e geopolíticos da prestação desta ajuda. Na prática, mais estudos, discussões e teorias acerca destas realidades precárias, no geral, relegadas ao segundo plano por áreas como o Direito e a Psicologia já seriam, por si, um grande avanço rumo a uma pesquisa mais implicada socialmente com as mudanças da realidade.</w:t>
      </w:r>
      <w:r w:rsidRPr="001E450D">
        <w:rPr>
          <w:lang w:val="pt-BR"/>
        </w:rPr>
        <w:t xml:space="preserve"> </w:t>
      </w:r>
    </w:p>
    <w:p w14:paraId="7E1FEC7E" w14:textId="77777777" w:rsidR="006720DE" w:rsidRPr="006720DE" w:rsidRDefault="006720DE" w:rsidP="006720DE">
      <w:pPr>
        <w:pStyle w:val="Prrafocomn"/>
        <w:rPr>
          <w:lang w:val="pt-BR"/>
        </w:rPr>
      </w:pPr>
    </w:p>
    <w:p w14:paraId="7A1BFF44" w14:textId="77777777" w:rsidR="006720DE" w:rsidRPr="006720DE" w:rsidRDefault="006720DE" w:rsidP="006720DE">
      <w:pPr>
        <w:pStyle w:val="Prrafocomn"/>
        <w:rPr>
          <w:lang w:val="pt-BR"/>
        </w:rPr>
      </w:pPr>
    </w:p>
    <w:p w14:paraId="1D37D61E" w14:textId="77777777" w:rsidR="006720DE" w:rsidRDefault="006720DE" w:rsidP="001E450D">
      <w:pPr>
        <w:pStyle w:val="Prrafocomn"/>
        <w:rPr>
          <w:lang w:val="pt-BR"/>
        </w:rPr>
      </w:pPr>
    </w:p>
    <w:p w14:paraId="39971781" w14:textId="77777777" w:rsidR="001E450D" w:rsidRDefault="001E450D" w:rsidP="001E450D">
      <w:pPr>
        <w:pStyle w:val="Prrafocomn"/>
        <w:rPr>
          <w:lang w:val="pt-BR"/>
        </w:rPr>
      </w:pPr>
    </w:p>
    <w:p w14:paraId="290FFF13" w14:textId="77777777" w:rsidR="001E450D" w:rsidRPr="00CB26EC" w:rsidRDefault="001E450D" w:rsidP="001E450D">
      <w:pPr>
        <w:pStyle w:val="SubtituloInterno"/>
        <w:rPr>
          <w:lang w:val="pt-BR"/>
        </w:rPr>
      </w:pPr>
    </w:p>
    <w:p w14:paraId="2B66B8DA" w14:textId="77777777" w:rsidR="001E450D" w:rsidRPr="001E450D" w:rsidRDefault="001E450D" w:rsidP="001E450D">
      <w:pPr>
        <w:pStyle w:val="Prrafocomn"/>
        <w:rPr>
          <w:lang w:val="pt-BR"/>
        </w:rPr>
      </w:pPr>
    </w:p>
    <w:p w14:paraId="162C2E50" w14:textId="77777777" w:rsidR="001E450D" w:rsidRPr="001E450D" w:rsidRDefault="001E450D" w:rsidP="001E450D">
      <w:pPr>
        <w:pStyle w:val="Prrafocomn"/>
        <w:rPr>
          <w:lang w:val="pt-BR"/>
        </w:rPr>
      </w:pPr>
    </w:p>
    <w:p w14:paraId="41A550B5" w14:textId="64A2662B" w:rsidR="00920139" w:rsidRPr="00866DE3" w:rsidRDefault="00920139" w:rsidP="00477C23">
      <w:pPr>
        <w:pStyle w:val="Prrafocomn"/>
        <w:ind w:firstLine="0"/>
        <w:rPr>
          <w:lang w:val="pt-BR"/>
        </w:rPr>
      </w:pPr>
      <w:r w:rsidRPr="008502BB">
        <w:rPr>
          <w:b/>
          <w:i/>
          <w:lang w:val="pt-BR" w:eastAsia="en-US"/>
        </w:rPr>
        <w:br w:type="page"/>
      </w:r>
    </w:p>
    <w:p w14:paraId="09F17A42" w14:textId="00CA6338" w:rsidR="006720DE" w:rsidRPr="006720DE" w:rsidRDefault="00920139" w:rsidP="006720DE">
      <w:pPr>
        <w:pStyle w:val="Ttulosinternos"/>
        <w:rPr>
          <w:rStyle w:val="Hipervnculo"/>
          <w:bCs w:val="0"/>
          <w:color w:val="auto"/>
          <w:u w:val="none"/>
        </w:rPr>
      </w:pPr>
      <w:r w:rsidRPr="008502BB">
        <w:lastRenderedPageBreak/>
        <w:t>Referências</w:t>
      </w:r>
    </w:p>
    <w:p w14:paraId="36F121FB" w14:textId="347ED432" w:rsidR="006720DE" w:rsidRDefault="006720DE" w:rsidP="006720DE">
      <w:pPr>
        <w:pStyle w:val="Referencias"/>
        <w:spacing w:line="360" w:lineRule="auto"/>
        <w:rPr>
          <w:lang w:val="pt-BR"/>
        </w:rPr>
      </w:pPr>
      <w:r w:rsidRPr="00CB26EC">
        <w:rPr>
          <w:lang w:val="pt-BR"/>
        </w:rPr>
        <w:t xml:space="preserve">Alto Comissariado das </w:t>
      </w:r>
      <w:r>
        <w:rPr>
          <w:lang w:val="pt-BR"/>
        </w:rPr>
        <w:t>Nações Unidas para Refugiados ([</w:t>
      </w:r>
      <w:r w:rsidRPr="00CB26EC">
        <w:rPr>
          <w:lang w:val="pt-BR"/>
        </w:rPr>
        <w:t>ACNUR</w:t>
      </w:r>
      <w:r>
        <w:rPr>
          <w:lang w:val="pt-BR"/>
        </w:rPr>
        <w:t>], 2004).</w:t>
      </w:r>
      <w:r w:rsidRPr="00CB26EC">
        <w:rPr>
          <w:lang w:val="pt-BR"/>
        </w:rPr>
        <w:t xml:space="preserve"> </w:t>
      </w:r>
      <w:proofErr w:type="spellStart"/>
      <w:r w:rsidRPr="00CB26EC">
        <w:rPr>
          <w:i/>
          <w:lang w:val="pt-BR"/>
        </w:rPr>
        <w:t>Protracted</w:t>
      </w:r>
      <w:proofErr w:type="spellEnd"/>
      <w:r w:rsidRPr="00CB26EC">
        <w:rPr>
          <w:i/>
          <w:lang w:val="pt-BR"/>
        </w:rPr>
        <w:t xml:space="preserve"> </w:t>
      </w:r>
      <w:proofErr w:type="spellStart"/>
      <w:r w:rsidRPr="00CB26EC">
        <w:rPr>
          <w:i/>
          <w:lang w:val="pt-BR"/>
        </w:rPr>
        <w:t>refugee</w:t>
      </w:r>
      <w:proofErr w:type="spellEnd"/>
      <w:r w:rsidRPr="00CB26EC">
        <w:rPr>
          <w:i/>
          <w:lang w:val="pt-BR"/>
        </w:rPr>
        <w:t xml:space="preserve"> </w:t>
      </w:r>
      <w:proofErr w:type="spellStart"/>
      <w:r w:rsidRPr="00CB26EC">
        <w:rPr>
          <w:i/>
          <w:lang w:val="pt-BR"/>
        </w:rPr>
        <w:t>situations</w:t>
      </w:r>
      <w:proofErr w:type="spellEnd"/>
      <w:r w:rsidRPr="00CB26EC">
        <w:rPr>
          <w:lang w:val="pt-BR"/>
        </w:rPr>
        <w:t>. Nações Unidas.</w:t>
      </w:r>
    </w:p>
    <w:p w14:paraId="6E9ADD27" w14:textId="42224CE0" w:rsidR="006720DE" w:rsidRDefault="006720DE" w:rsidP="006720DE">
      <w:pPr>
        <w:pStyle w:val="Referencias"/>
        <w:spacing w:line="360" w:lineRule="auto"/>
        <w:rPr>
          <w:lang w:val="pt-BR"/>
        </w:rPr>
      </w:pPr>
      <w:r w:rsidRPr="00CB26EC">
        <w:rPr>
          <w:lang w:val="pt-BR"/>
        </w:rPr>
        <w:t>Alto Comissariado das</w:t>
      </w:r>
      <w:r>
        <w:rPr>
          <w:lang w:val="pt-BR"/>
        </w:rPr>
        <w:t xml:space="preserve"> Nações Unidas para Refugiados ([</w:t>
      </w:r>
      <w:r w:rsidRPr="00CB26EC">
        <w:rPr>
          <w:lang w:val="pt-BR"/>
        </w:rPr>
        <w:t>ACNUR</w:t>
      </w:r>
      <w:r>
        <w:rPr>
          <w:lang w:val="pt-BR"/>
        </w:rPr>
        <w:t>], 20006)</w:t>
      </w:r>
      <w:r w:rsidRPr="00CB26EC">
        <w:rPr>
          <w:lang w:val="pt-BR"/>
        </w:rPr>
        <w:t xml:space="preserve">. </w:t>
      </w:r>
      <w:r w:rsidRPr="006720DE">
        <w:rPr>
          <w:i/>
        </w:rPr>
        <w:t>Practical guide to the systematic use of standards and indicators in UNHCR operations</w:t>
      </w:r>
      <w:r w:rsidRPr="006720DE">
        <w:t xml:space="preserve">. </w:t>
      </w:r>
      <w:r w:rsidRPr="00CB26EC">
        <w:rPr>
          <w:lang w:val="pt-BR"/>
        </w:rPr>
        <w:t>Nações Unidas.</w:t>
      </w:r>
    </w:p>
    <w:p w14:paraId="3E586AFB" w14:textId="22108DC5" w:rsidR="006720DE" w:rsidRDefault="006720DE" w:rsidP="006720DE">
      <w:pPr>
        <w:pStyle w:val="Referencias"/>
        <w:spacing w:line="360" w:lineRule="auto"/>
        <w:rPr>
          <w:lang w:val="pt-BR"/>
        </w:rPr>
      </w:pPr>
      <w:r w:rsidRPr="00CB26EC">
        <w:rPr>
          <w:lang w:val="pt-BR"/>
        </w:rPr>
        <w:t>Alto Comissariado das</w:t>
      </w:r>
      <w:r>
        <w:rPr>
          <w:lang w:val="pt-BR"/>
        </w:rPr>
        <w:t xml:space="preserve"> Nações Unidas para Refugiados</w:t>
      </w:r>
      <w:r w:rsidRPr="00CB26EC">
        <w:rPr>
          <w:lang w:val="pt-BR"/>
        </w:rPr>
        <w:t xml:space="preserve"> </w:t>
      </w:r>
      <w:r>
        <w:rPr>
          <w:lang w:val="pt-BR"/>
        </w:rPr>
        <w:t>([</w:t>
      </w:r>
      <w:r w:rsidRPr="00CB26EC">
        <w:rPr>
          <w:lang w:val="pt-BR"/>
        </w:rPr>
        <w:t>ACNUR</w:t>
      </w:r>
      <w:r>
        <w:rPr>
          <w:lang w:val="pt-BR"/>
        </w:rPr>
        <w:t xml:space="preserve">], </w:t>
      </w:r>
      <w:r w:rsidRPr="00CB26EC">
        <w:rPr>
          <w:lang w:val="pt-BR"/>
        </w:rPr>
        <w:t xml:space="preserve">2014). </w:t>
      </w:r>
      <w:proofErr w:type="spellStart"/>
      <w:r w:rsidRPr="00CB26EC">
        <w:rPr>
          <w:i/>
          <w:lang w:val="pt-BR"/>
        </w:rPr>
        <w:t>Policy</w:t>
      </w:r>
      <w:proofErr w:type="spellEnd"/>
      <w:r w:rsidRPr="00CB26EC">
        <w:rPr>
          <w:i/>
          <w:lang w:val="pt-BR"/>
        </w:rPr>
        <w:t xml:space="preserve"> </w:t>
      </w:r>
      <w:proofErr w:type="spellStart"/>
      <w:r w:rsidRPr="00CB26EC">
        <w:rPr>
          <w:i/>
          <w:lang w:val="pt-BR"/>
        </w:rPr>
        <w:t>on</w:t>
      </w:r>
      <w:proofErr w:type="spellEnd"/>
      <w:r w:rsidRPr="00CB26EC">
        <w:rPr>
          <w:i/>
          <w:lang w:val="pt-BR"/>
        </w:rPr>
        <w:t xml:space="preserve"> </w:t>
      </w:r>
      <w:proofErr w:type="spellStart"/>
      <w:r w:rsidRPr="00CB26EC">
        <w:rPr>
          <w:i/>
          <w:lang w:val="pt-BR"/>
        </w:rPr>
        <w:t>alternatives</w:t>
      </w:r>
      <w:proofErr w:type="spellEnd"/>
      <w:r w:rsidRPr="00CB26EC">
        <w:rPr>
          <w:i/>
          <w:lang w:val="pt-BR"/>
        </w:rPr>
        <w:t xml:space="preserve"> </w:t>
      </w:r>
      <w:proofErr w:type="spellStart"/>
      <w:r w:rsidRPr="00CB26EC">
        <w:rPr>
          <w:i/>
          <w:lang w:val="pt-BR"/>
        </w:rPr>
        <w:t>to</w:t>
      </w:r>
      <w:proofErr w:type="spellEnd"/>
      <w:r w:rsidRPr="00CB26EC">
        <w:rPr>
          <w:i/>
          <w:lang w:val="pt-BR"/>
        </w:rPr>
        <w:t xml:space="preserve"> </w:t>
      </w:r>
      <w:proofErr w:type="spellStart"/>
      <w:r w:rsidRPr="00CB26EC">
        <w:rPr>
          <w:i/>
          <w:lang w:val="pt-BR"/>
        </w:rPr>
        <w:t>camps</w:t>
      </w:r>
      <w:proofErr w:type="spellEnd"/>
      <w:r w:rsidRPr="00CB26EC">
        <w:rPr>
          <w:lang w:val="pt-BR"/>
        </w:rPr>
        <w:t>. Nações Unidas.</w:t>
      </w:r>
    </w:p>
    <w:p w14:paraId="0531DD3C" w14:textId="4B6FC3CC" w:rsidR="006720DE" w:rsidRDefault="006720DE" w:rsidP="006720DE">
      <w:pPr>
        <w:pStyle w:val="Referencias"/>
        <w:spacing w:line="360" w:lineRule="auto"/>
      </w:pPr>
      <w:r w:rsidRPr="00CB26EC">
        <w:rPr>
          <w:lang w:val="pt-BR"/>
        </w:rPr>
        <w:t>Alto Comissariado das Nações Unidas pa</w:t>
      </w:r>
      <w:r>
        <w:rPr>
          <w:lang w:val="pt-BR"/>
        </w:rPr>
        <w:t>ra Refugiados ([</w:t>
      </w:r>
      <w:r w:rsidRPr="00CB26EC">
        <w:rPr>
          <w:lang w:val="pt-BR"/>
        </w:rPr>
        <w:t>ACNUR</w:t>
      </w:r>
      <w:r>
        <w:rPr>
          <w:lang w:val="pt-BR"/>
        </w:rPr>
        <w:t>], 20</w:t>
      </w:r>
      <w:r w:rsidRPr="00CB26EC">
        <w:rPr>
          <w:lang w:val="pt-BR"/>
        </w:rPr>
        <w:t xml:space="preserve">23). </w:t>
      </w:r>
      <w:r w:rsidRPr="006720DE">
        <w:rPr>
          <w:i/>
        </w:rPr>
        <w:t>Global trends: Forced displacement in 2022</w:t>
      </w:r>
      <w:r w:rsidRPr="006720DE">
        <w:t xml:space="preserve">. </w:t>
      </w:r>
      <w:proofErr w:type="spellStart"/>
      <w:r w:rsidRPr="006720DE">
        <w:t>Nações</w:t>
      </w:r>
      <w:proofErr w:type="spellEnd"/>
      <w:r w:rsidRPr="006720DE">
        <w:t xml:space="preserve"> </w:t>
      </w:r>
      <w:proofErr w:type="spellStart"/>
      <w:r w:rsidRPr="006720DE">
        <w:t>Unidas</w:t>
      </w:r>
      <w:proofErr w:type="spellEnd"/>
      <w:r w:rsidRPr="006720DE">
        <w:t>.</w:t>
      </w:r>
    </w:p>
    <w:p w14:paraId="31F1E38B" w14:textId="7513CBF3" w:rsidR="006720DE" w:rsidRDefault="006720DE" w:rsidP="006720DE">
      <w:pPr>
        <w:pStyle w:val="Referencias"/>
        <w:spacing w:line="360" w:lineRule="auto"/>
      </w:pPr>
      <w:r w:rsidRPr="006720DE">
        <w:t>Braun, V., &amp; Clarke, V. (2006). Using thematic analysis in Psychology</w:t>
      </w:r>
      <w:r w:rsidRPr="006720DE">
        <w:rPr>
          <w:i/>
        </w:rPr>
        <w:t>.</w:t>
      </w:r>
      <w:r w:rsidRPr="006720DE">
        <w:t xml:space="preserve"> </w:t>
      </w:r>
      <w:r w:rsidRPr="006720DE">
        <w:rPr>
          <w:i/>
        </w:rPr>
        <w:t>Qualitative Research in Psychology</w:t>
      </w:r>
      <w:r>
        <w:t xml:space="preserve">, </w:t>
      </w:r>
      <w:r w:rsidRPr="006720DE">
        <w:rPr>
          <w:i/>
        </w:rPr>
        <w:t>3</w:t>
      </w:r>
      <w:r>
        <w:t>(2). 77-</w:t>
      </w:r>
      <w:r w:rsidRPr="006720DE">
        <w:t>101.</w:t>
      </w:r>
    </w:p>
    <w:p w14:paraId="6A2D78B8" w14:textId="77777777" w:rsidR="006720DE" w:rsidRDefault="006720DE" w:rsidP="006720DE">
      <w:pPr>
        <w:pStyle w:val="Referencias"/>
        <w:spacing w:line="360" w:lineRule="auto"/>
      </w:pPr>
      <w:r w:rsidRPr="00FB0D74">
        <w:t xml:space="preserve">De Carvalho, C., &amp; Pinto, M. (2018). </w:t>
      </w:r>
      <w:r w:rsidRPr="006720DE">
        <w:t>Refugee camp as an immediate solution: Response and its psychologica</w:t>
      </w:r>
      <w:r>
        <w:t xml:space="preserve">l meanings. Peace and Conflict. </w:t>
      </w:r>
      <w:r w:rsidRPr="006720DE">
        <w:rPr>
          <w:i/>
        </w:rPr>
        <w:t>Journal of Peace Psychology, 24</w:t>
      </w:r>
      <w:r w:rsidRPr="006720DE">
        <w:t>(3), 277-282.</w:t>
      </w:r>
    </w:p>
    <w:p w14:paraId="534AF078" w14:textId="77777777" w:rsidR="006720DE" w:rsidRDefault="006720DE" w:rsidP="006720DE">
      <w:pPr>
        <w:pStyle w:val="Referencias"/>
        <w:spacing w:line="360" w:lineRule="auto"/>
      </w:pPr>
      <w:proofErr w:type="spellStart"/>
      <w:r w:rsidRPr="006720DE">
        <w:t>Feyera</w:t>
      </w:r>
      <w:proofErr w:type="spellEnd"/>
      <w:r w:rsidRPr="006720DE">
        <w:t xml:space="preserve">, F., </w:t>
      </w:r>
      <w:proofErr w:type="spellStart"/>
      <w:r w:rsidRPr="006720DE">
        <w:t>Mihretie</w:t>
      </w:r>
      <w:proofErr w:type="spellEnd"/>
      <w:r w:rsidRPr="006720DE">
        <w:t xml:space="preserve">, G., </w:t>
      </w:r>
      <w:proofErr w:type="spellStart"/>
      <w:r w:rsidRPr="006720DE">
        <w:t>Bedaso</w:t>
      </w:r>
      <w:proofErr w:type="spellEnd"/>
      <w:r w:rsidRPr="006720DE">
        <w:t xml:space="preserve">, A., </w:t>
      </w:r>
      <w:proofErr w:type="spellStart"/>
      <w:r w:rsidRPr="006720DE">
        <w:t>Gedle</w:t>
      </w:r>
      <w:proofErr w:type="spellEnd"/>
      <w:r w:rsidRPr="006720DE">
        <w:t xml:space="preserve">, D., &amp; </w:t>
      </w:r>
      <w:proofErr w:type="spellStart"/>
      <w:r w:rsidRPr="006720DE">
        <w:t>Kumera</w:t>
      </w:r>
      <w:proofErr w:type="spellEnd"/>
      <w:r w:rsidRPr="006720DE">
        <w:t xml:space="preserve">, G. (2015). Prevalence of depression and associated factors among Somali refugee at </w:t>
      </w:r>
      <w:proofErr w:type="spellStart"/>
      <w:r w:rsidRPr="006720DE">
        <w:t>Melkadida</w:t>
      </w:r>
      <w:proofErr w:type="spellEnd"/>
      <w:r w:rsidRPr="006720DE">
        <w:t xml:space="preserve"> camp, southeast Ethiopia: a cross-sectional study. </w:t>
      </w:r>
      <w:r w:rsidRPr="006720DE">
        <w:rPr>
          <w:i/>
        </w:rPr>
        <w:t>BMC Psychiatry, 15</w:t>
      </w:r>
      <w:r>
        <w:t>(1), 171-</w:t>
      </w:r>
      <w:r w:rsidRPr="006720DE">
        <w:t>177.</w:t>
      </w:r>
    </w:p>
    <w:p w14:paraId="1A7E4AA2" w14:textId="4B7B4370" w:rsidR="006720DE" w:rsidRDefault="006720DE" w:rsidP="006720DE">
      <w:pPr>
        <w:pStyle w:val="Referencias"/>
        <w:spacing w:line="360" w:lineRule="auto"/>
        <w:rPr>
          <w:lang w:val="pt-BR"/>
        </w:rPr>
      </w:pPr>
      <w:r w:rsidRPr="006720DE">
        <w:t>Flick, U. (2008). “</w:t>
      </w:r>
      <w:proofErr w:type="spellStart"/>
      <w:r w:rsidRPr="006720DE">
        <w:t>En</w:t>
      </w:r>
      <w:r>
        <w:t>trevista</w:t>
      </w:r>
      <w:proofErr w:type="spellEnd"/>
      <w:r>
        <w:t xml:space="preserve"> </w:t>
      </w:r>
      <w:proofErr w:type="spellStart"/>
      <w:r>
        <w:t>episódica</w:t>
      </w:r>
      <w:proofErr w:type="spellEnd"/>
      <w:r>
        <w:t>”. In</w:t>
      </w:r>
      <w:r w:rsidRPr="006720DE">
        <w:t xml:space="preserve"> </w:t>
      </w:r>
      <w:r>
        <w:t>Bauer, Martin W.; Gaskell, G. (E</w:t>
      </w:r>
      <w:r w:rsidRPr="006720DE">
        <w:t xml:space="preserve">ds.). </w:t>
      </w:r>
      <w:r w:rsidRPr="00CB26EC">
        <w:rPr>
          <w:i/>
          <w:lang w:val="pt-BR"/>
        </w:rPr>
        <w:t>Pesquisa qualitativa com texto, imagem e som: Um manual prático</w:t>
      </w:r>
      <w:r>
        <w:rPr>
          <w:i/>
          <w:lang w:val="pt-BR"/>
        </w:rPr>
        <w:t xml:space="preserve">, </w:t>
      </w:r>
      <w:r w:rsidRPr="006720DE">
        <w:rPr>
          <w:lang w:val="pt-BR"/>
        </w:rPr>
        <w:t>(</w:t>
      </w:r>
      <w:r w:rsidR="00FB0D74">
        <w:rPr>
          <w:lang w:val="pt-BR"/>
        </w:rPr>
        <w:t xml:space="preserve">pp. </w:t>
      </w:r>
      <w:r>
        <w:rPr>
          <w:lang w:val="pt-BR"/>
        </w:rPr>
        <w:t>114-</w:t>
      </w:r>
      <w:r w:rsidRPr="00CB26EC">
        <w:rPr>
          <w:lang w:val="pt-BR"/>
        </w:rPr>
        <w:t>136</w:t>
      </w:r>
      <w:r>
        <w:rPr>
          <w:lang w:val="pt-BR"/>
        </w:rPr>
        <w:t>)</w:t>
      </w:r>
      <w:r w:rsidRPr="00CB26EC">
        <w:rPr>
          <w:i/>
          <w:lang w:val="pt-BR"/>
        </w:rPr>
        <w:t>.</w:t>
      </w:r>
      <w:r>
        <w:rPr>
          <w:lang w:val="pt-BR"/>
        </w:rPr>
        <w:t xml:space="preserve"> Vozes</w:t>
      </w:r>
      <w:r w:rsidRPr="00CB26EC">
        <w:rPr>
          <w:lang w:val="pt-BR"/>
        </w:rPr>
        <w:t>.</w:t>
      </w:r>
    </w:p>
    <w:p w14:paraId="151CDA1C" w14:textId="77777777" w:rsidR="006720DE" w:rsidRPr="00FB0D74" w:rsidRDefault="006720DE" w:rsidP="006720DE">
      <w:pPr>
        <w:pStyle w:val="Referencias"/>
        <w:spacing w:line="360" w:lineRule="auto"/>
      </w:pPr>
      <w:r w:rsidRPr="00CB26EC">
        <w:rPr>
          <w:lang w:val="pt-BR"/>
        </w:rPr>
        <w:t xml:space="preserve">Flick, U. (2013). </w:t>
      </w:r>
      <w:r w:rsidRPr="00CB26EC">
        <w:rPr>
          <w:i/>
          <w:lang w:val="pt-BR"/>
        </w:rPr>
        <w:t>Introdução à metodologia de pesquisa: guia para iniciantes</w:t>
      </w:r>
      <w:r>
        <w:rPr>
          <w:lang w:val="pt-BR"/>
        </w:rPr>
        <w:t>.</w:t>
      </w:r>
      <w:r w:rsidRPr="006720DE">
        <w:rPr>
          <w:lang w:val="pt-BR"/>
        </w:rPr>
        <w:t xml:space="preserve"> </w:t>
      </w:r>
      <w:r w:rsidRPr="00FB0D74">
        <w:t>Penso.</w:t>
      </w:r>
    </w:p>
    <w:p w14:paraId="6425A14E" w14:textId="6C6FDB34" w:rsidR="006720DE" w:rsidRPr="00FB0D74" w:rsidRDefault="006720DE" w:rsidP="006720DE">
      <w:pPr>
        <w:pStyle w:val="Referencias"/>
        <w:spacing w:line="360" w:lineRule="auto"/>
        <w:rPr>
          <w:lang w:val="pt-BR"/>
        </w:rPr>
      </w:pPr>
      <w:r w:rsidRPr="00FB0D74">
        <w:t>Fultz, J. &amp; Cialdini, R. B. (1991). Situational and personality determinants of the quantity and quality of helping. Hin</w:t>
      </w:r>
      <w:r w:rsidRPr="006720DE">
        <w:t xml:space="preserve">de, R. A., &amp; </w:t>
      </w:r>
      <w:proofErr w:type="spellStart"/>
      <w:r w:rsidRPr="006720DE">
        <w:t>Groebel</w:t>
      </w:r>
      <w:proofErr w:type="spellEnd"/>
      <w:r w:rsidRPr="006720DE">
        <w:t xml:space="preserve">, J. (Orgs.). </w:t>
      </w:r>
      <w:r w:rsidRPr="006720DE">
        <w:rPr>
          <w:i/>
        </w:rPr>
        <w:t xml:space="preserve">Cooperation and Prosocial </w:t>
      </w:r>
      <w:proofErr w:type="spellStart"/>
      <w:r w:rsidRPr="006720DE">
        <w:rPr>
          <w:i/>
        </w:rPr>
        <w:t>Behaviour</w:t>
      </w:r>
      <w:proofErr w:type="spellEnd"/>
      <w:r>
        <w:t>, (</w:t>
      </w:r>
      <w:r w:rsidR="00FB0D74">
        <w:t xml:space="preserve">pp. </w:t>
      </w:r>
      <w:r>
        <w:t xml:space="preserve">135-146). </w:t>
      </w:r>
      <w:r w:rsidRPr="00FB0D74">
        <w:rPr>
          <w:lang w:val="pt-BR"/>
        </w:rPr>
        <w:t xml:space="preserve">Cambridge </w:t>
      </w:r>
      <w:proofErr w:type="spellStart"/>
      <w:r w:rsidRPr="00FB0D74">
        <w:rPr>
          <w:lang w:val="pt-BR"/>
        </w:rPr>
        <w:t>Uiversity</w:t>
      </w:r>
      <w:proofErr w:type="spellEnd"/>
      <w:r w:rsidRPr="00FB0D74">
        <w:rPr>
          <w:lang w:val="pt-BR"/>
        </w:rPr>
        <w:t xml:space="preserve"> Press.</w:t>
      </w:r>
    </w:p>
    <w:p w14:paraId="234F016C" w14:textId="301CA53A" w:rsidR="002C3FA5" w:rsidRPr="00FB0D74" w:rsidRDefault="006720DE" w:rsidP="002C3FA5">
      <w:pPr>
        <w:pStyle w:val="Referencias"/>
        <w:spacing w:line="360" w:lineRule="auto"/>
        <w:rPr>
          <w:color w:val="111111"/>
          <w:u w:val="single"/>
        </w:rPr>
      </w:pPr>
      <w:proofErr w:type="spellStart"/>
      <w:r w:rsidRPr="00FB0D74">
        <w:rPr>
          <w:color w:val="111111"/>
          <w:lang w:val="pt-BR"/>
        </w:rPr>
        <w:t>Gagliato</w:t>
      </w:r>
      <w:proofErr w:type="spellEnd"/>
      <w:r w:rsidRPr="00FB0D74">
        <w:rPr>
          <w:color w:val="111111"/>
          <w:lang w:val="pt-BR"/>
        </w:rPr>
        <w:t xml:space="preserve">, M. F. (2018). </w:t>
      </w:r>
      <w:r w:rsidRPr="00CB26EC">
        <w:rPr>
          <w:i/>
          <w:color w:val="111111"/>
          <w:lang w:val="pt-BR"/>
        </w:rPr>
        <w:t>Saúde Mental e Apoio Psicossocial em emergências humanitárias: uma análise crítica entre políticas e práticas atuais de assistência</w:t>
      </w:r>
      <w:r w:rsidRPr="00CB26EC">
        <w:rPr>
          <w:color w:val="111111"/>
          <w:lang w:val="pt-BR"/>
        </w:rPr>
        <w:t>. 163 p. Tese (Doutorado em Saúde Global e Sustentabilidade), F</w:t>
      </w:r>
      <w:r w:rsidR="00FB0D74">
        <w:rPr>
          <w:color w:val="111111"/>
          <w:lang w:val="pt-BR"/>
        </w:rPr>
        <w:t>aculdade de Saúde Pública (USP),</w:t>
      </w:r>
      <w:r w:rsidRPr="00CB26EC">
        <w:rPr>
          <w:color w:val="111111"/>
          <w:lang w:val="pt-BR"/>
        </w:rPr>
        <w:t xml:space="preserve"> São Paulo. </w:t>
      </w:r>
      <w:hyperlink r:id="rId18" w:history="1">
        <w:r w:rsidRPr="00FB0D74">
          <w:rPr>
            <w:rStyle w:val="Hipervnculo"/>
          </w:rPr>
          <w:t>https://doi.org/10.11606/T.6.2019.tde-21032019-170435</w:t>
        </w:r>
      </w:hyperlink>
    </w:p>
    <w:p w14:paraId="784E58CD" w14:textId="77777777" w:rsidR="002C3FA5" w:rsidRDefault="006720DE" w:rsidP="002C3FA5">
      <w:pPr>
        <w:pStyle w:val="Referencias"/>
        <w:spacing w:line="360" w:lineRule="auto"/>
      </w:pPr>
      <w:r w:rsidRPr="006720DE">
        <w:rPr>
          <w:color w:val="111111"/>
        </w:rPr>
        <w:t xml:space="preserve">Hinde, R. A. (1987). </w:t>
      </w:r>
      <w:r w:rsidRPr="006720DE">
        <w:rPr>
          <w:i/>
          <w:color w:val="111111"/>
        </w:rPr>
        <w:t>Individuals, relationsh</w:t>
      </w:r>
      <w:r w:rsidRPr="006720DE">
        <w:rPr>
          <w:i/>
        </w:rPr>
        <w:t xml:space="preserve">ips and culture: Links between ethology and social sciences. </w:t>
      </w:r>
      <w:r w:rsidRPr="006720DE">
        <w:t>Cambridge University Press.</w:t>
      </w:r>
    </w:p>
    <w:p w14:paraId="6543DFC2" w14:textId="77777777" w:rsidR="002C3FA5" w:rsidRDefault="006720DE" w:rsidP="002C3FA5">
      <w:pPr>
        <w:pStyle w:val="Referencias"/>
        <w:spacing w:line="360" w:lineRule="auto"/>
      </w:pPr>
      <w:r w:rsidRPr="006720DE">
        <w:t xml:space="preserve">Hinde, R. A. (1997). </w:t>
      </w:r>
      <w:r w:rsidRPr="006720DE">
        <w:rPr>
          <w:i/>
        </w:rPr>
        <w:t>Relationships: A dialectical perspective.</w:t>
      </w:r>
      <w:r w:rsidR="002C3FA5">
        <w:t xml:space="preserve"> Psychology Press.</w:t>
      </w:r>
    </w:p>
    <w:p w14:paraId="559D96B8" w14:textId="77777777" w:rsidR="002C3FA5" w:rsidRDefault="006720DE" w:rsidP="002C3FA5">
      <w:pPr>
        <w:pStyle w:val="Referencias"/>
        <w:spacing w:line="360" w:lineRule="auto"/>
      </w:pPr>
      <w:r w:rsidRPr="006720DE">
        <w:lastRenderedPageBreak/>
        <w:t xml:space="preserve">Hinde, R. A. (2007). </w:t>
      </w:r>
      <w:r w:rsidRPr="006720DE">
        <w:rPr>
          <w:i/>
        </w:rPr>
        <w:t>Bending the Rules: Morality in the Modern World - From Relationships to Politics and War</w:t>
      </w:r>
      <w:r w:rsidR="002C3FA5">
        <w:t>.</w:t>
      </w:r>
      <w:r w:rsidRPr="006720DE">
        <w:t xml:space="preserve"> Oxford University Press.</w:t>
      </w:r>
    </w:p>
    <w:p w14:paraId="74ABE6AC" w14:textId="77777777" w:rsidR="002C3FA5" w:rsidRDefault="006720DE" w:rsidP="002C3FA5">
      <w:pPr>
        <w:pStyle w:val="Referencias"/>
        <w:spacing w:line="360" w:lineRule="auto"/>
      </w:pPr>
      <w:r w:rsidRPr="006720DE">
        <w:t xml:space="preserve">Hinde, R. A., &amp; </w:t>
      </w:r>
      <w:proofErr w:type="spellStart"/>
      <w:r w:rsidRPr="006720DE">
        <w:t>Groebel</w:t>
      </w:r>
      <w:proofErr w:type="spellEnd"/>
      <w:r w:rsidRPr="006720DE">
        <w:t xml:space="preserve">, J. (1991). </w:t>
      </w:r>
      <w:r w:rsidRPr="006720DE">
        <w:rPr>
          <w:i/>
        </w:rPr>
        <w:t xml:space="preserve">Cooperation and prosocial </w:t>
      </w:r>
      <w:proofErr w:type="spellStart"/>
      <w:r w:rsidRPr="006720DE">
        <w:rPr>
          <w:i/>
        </w:rPr>
        <w:t>behaviour</w:t>
      </w:r>
      <w:proofErr w:type="spellEnd"/>
      <w:r w:rsidR="002C3FA5">
        <w:t xml:space="preserve">. </w:t>
      </w:r>
      <w:r w:rsidRPr="006720DE">
        <w:t>Cambridge University Press.</w:t>
      </w:r>
    </w:p>
    <w:p w14:paraId="4205A966" w14:textId="77777777" w:rsidR="002C3FA5" w:rsidRDefault="006720DE" w:rsidP="002C3FA5">
      <w:pPr>
        <w:pStyle w:val="Referencias"/>
        <w:spacing w:line="360" w:lineRule="auto"/>
        <w:rPr>
          <w:lang w:val="pt-BR"/>
        </w:rPr>
      </w:pPr>
      <w:proofErr w:type="spellStart"/>
      <w:r w:rsidRPr="006720DE">
        <w:t>Honneth</w:t>
      </w:r>
      <w:proofErr w:type="spellEnd"/>
      <w:r w:rsidRPr="006720DE">
        <w:t xml:space="preserve">, A. (1992). Integrity and disrespect: principles of a conception of morality based on the theory of recognition. </w:t>
      </w:r>
      <w:proofErr w:type="spellStart"/>
      <w:r w:rsidRPr="00CB26EC">
        <w:rPr>
          <w:i/>
          <w:lang w:val="pt-BR"/>
        </w:rPr>
        <w:t>Political</w:t>
      </w:r>
      <w:proofErr w:type="spellEnd"/>
      <w:r w:rsidRPr="00CB26EC">
        <w:rPr>
          <w:i/>
          <w:lang w:val="pt-BR"/>
        </w:rPr>
        <w:t xml:space="preserve"> </w:t>
      </w:r>
      <w:proofErr w:type="spellStart"/>
      <w:r w:rsidRPr="00CB26EC">
        <w:rPr>
          <w:i/>
          <w:lang w:val="pt-BR"/>
        </w:rPr>
        <w:t>Theory</w:t>
      </w:r>
      <w:proofErr w:type="spellEnd"/>
      <w:r w:rsidRPr="00CB26EC">
        <w:rPr>
          <w:i/>
          <w:lang w:val="pt-BR"/>
        </w:rPr>
        <w:t>, 20</w:t>
      </w:r>
      <w:r w:rsidR="002C3FA5">
        <w:rPr>
          <w:lang w:val="pt-BR"/>
        </w:rPr>
        <w:t>(2), 187-</w:t>
      </w:r>
      <w:r w:rsidRPr="00CB26EC">
        <w:rPr>
          <w:lang w:val="pt-BR"/>
        </w:rPr>
        <w:t>201.</w:t>
      </w:r>
    </w:p>
    <w:p w14:paraId="53DE98CB" w14:textId="77777777" w:rsidR="002C3FA5" w:rsidRDefault="006720DE" w:rsidP="002C3FA5">
      <w:pPr>
        <w:pStyle w:val="Referencias"/>
        <w:spacing w:line="360" w:lineRule="auto"/>
        <w:rPr>
          <w:lang w:val="pt-BR"/>
        </w:rPr>
      </w:pPr>
      <w:proofErr w:type="spellStart"/>
      <w:r w:rsidRPr="00CB26EC">
        <w:rPr>
          <w:lang w:val="pt-BR"/>
        </w:rPr>
        <w:t>Honneth</w:t>
      </w:r>
      <w:proofErr w:type="spellEnd"/>
      <w:r w:rsidRPr="00CB26EC">
        <w:rPr>
          <w:lang w:val="pt-BR"/>
        </w:rPr>
        <w:t xml:space="preserve">, A. (2003). </w:t>
      </w:r>
      <w:r w:rsidRPr="00CB26EC">
        <w:rPr>
          <w:i/>
          <w:lang w:val="pt-BR"/>
        </w:rPr>
        <w:t>Luta por reconhecimento:</w:t>
      </w:r>
      <w:r w:rsidRPr="00CB26EC">
        <w:rPr>
          <w:lang w:val="pt-BR"/>
        </w:rPr>
        <w:t xml:space="preserve"> </w:t>
      </w:r>
      <w:r w:rsidRPr="002C3FA5">
        <w:rPr>
          <w:i/>
          <w:lang w:val="pt-BR"/>
        </w:rPr>
        <w:t>a gramátic</w:t>
      </w:r>
      <w:r w:rsidR="002C3FA5" w:rsidRPr="002C3FA5">
        <w:rPr>
          <w:i/>
          <w:lang w:val="pt-BR"/>
        </w:rPr>
        <w:t>a moral dos conflitos sociais</w:t>
      </w:r>
      <w:r w:rsidR="002C3FA5">
        <w:rPr>
          <w:lang w:val="pt-BR"/>
        </w:rPr>
        <w:t>.</w:t>
      </w:r>
      <w:r w:rsidRPr="00CB26EC">
        <w:rPr>
          <w:lang w:val="pt-BR"/>
        </w:rPr>
        <w:t xml:space="preserve"> Editora 34.</w:t>
      </w:r>
    </w:p>
    <w:p w14:paraId="4C036F86" w14:textId="77777777" w:rsidR="002C3FA5" w:rsidRDefault="002C3FA5" w:rsidP="002C3FA5">
      <w:pPr>
        <w:pStyle w:val="Referencias"/>
        <w:spacing w:line="360" w:lineRule="auto"/>
        <w:rPr>
          <w:color w:val="111111"/>
          <w:u w:val="single"/>
          <w:lang w:val="pt-BR"/>
        </w:rPr>
      </w:pPr>
      <w:proofErr w:type="spellStart"/>
      <w:r>
        <w:rPr>
          <w:color w:val="111111"/>
          <w:lang w:val="pt-BR"/>
        </w:rPr>
        <w:t>Honneth</w:t>
      </w:r>
      <w:proofErr w:type="spellEnd"/>
      <w:r>
        <w:rPr>
          <w:color w:val="111111"/>
          <w:lang w:val="pt-BR"/>
        </w:rPr>
        <w:t xml:space="preserve">, A. (2013). O eu no </w:t>
      </w:r>
      <w:r w:rsidR="006720DE" w:rsidRPr="00CB26EC">
        <w:rPr>
          <w:color w:val="111111"/>
          <w:lang w:val="pt-BR"/>
        </w:rPr>
        <w:t xml:space="preserve">nós: reconhecimento como força motriz de grupos. </w:t>
      </w:r>
      <w:r w:rsidR="006720DE" w:rsidRPr="002C3FA5">
        <w:rPr>
          <w:i/>
          <w:color w:val="111111"/>
          <w:lang w:val="pt-BR"/>
        </w:rPr>
        <w:t>Sociologias</w:t>
      </w:r>
      <w:r w:rsidR="006720DE" w:rsidRPr="002C3FA5">
        <w:rPr>
          <w:color w:val="111111"/>
          <w:lang w:val="pt-BR"/>
        </w:rPr>
        <w:t xml:space="preserve">, </w:t>
      </w:r>
      <w:r w:rsidR="006720DE" w:rsidRPr="002C3FA5">
        <w:rPr>
          <w:i/>
          <w:color w:val="111111"/>
          <w:lang w:val="pt-BR"/>
        </w:rPr>
        <w:t>15</w:t>
      </w:r>
      <w:r>
        <w:rPr>
          <w:color w:val="111111"/>
          <w:lang w:val="pt-BR"/>
        </w:rPr>
        <w:t>(33), 56-</w:t>
      </w:r>
      <w:r w:rsidR="006720DE" w:rsidRPr="002C3FA5">
        <w:rPr>
          <w:color w:val="111111"/>
          <w:lang w:val="pt-BR"/>
        </w:rPr>
        <w:t xml:space="preserve">80. </w:t>
      </w:r>
      <w:hyperlink r:id="rId19" w:history="1">
        <w:r w:rsidRPr="006B1655">
          <w:rPr>
            <w:rStyle w:val="Hipervnculo"/>
            <w:lang w:val="pt-BR"/>
          </w:rPr>
          <w:t>https://doi.org/10.1590/S1517-45222013000200003</w:t>
        </w:r>
      </w:hyperlink>
      <w:r>
        <w:rPr>
          <w:color w:val="111111"/>
          <w:u w:val="single"/>
          <w:lang w:val="pt-BR"/>
        </w:rPr>
        <w:t xml:space="preserve"> </w:t>
      </w:r>
    </w:p>
    <w:p w14:paraId="1E53770F" w14:textId="21B52CB3" w:rsidR="002C3FA5" w:rsidRPr="00FB0D74" w:rsidRDefault="006720DE" w:rsidP="002C3FA5">
      <w:pPr>
        <w:pStyle w:val="Referencias"/>
        <w:spacing w:line="360" w:lineRule="auto"/>
      </w:pPr>
      <w:proofErr w:type="spellStart"/>
      <w:r w:rsidRPr="002C3FA5">
        <w:rPr>
          <w:lang w:val="pt-BR"/>
        </w:rPr>
        <w:t>Inter-Agency</w:t>
      </w:r>
      <w:proofErr w:type="spellEnd"/>
      <w:r w:rsidRPr="002C3FA5">
        <w:rPr>
          <w:lang w:val="pt-BR"/>
        </w:rPr>
        <w:t xml:space="preserve"> </w:t>
      </w:r>
      <w:proofErr w:type="spellStart"/>
      <w:r w:rsidRPr="002C3FA5">
        <w:rPr>
          <w:lang w:val="pt-BR"/>
        </w:rPr>
        <w:t>Standing</w:t>
      </w:r>
      <w:proofErr w:type="spellEnd"/>
      <w:r w:rsidRPr="002C3FA5">
        <w:rPr>
          <w:lang w:val="pt-BR"/>
        </w:rPr>
        <w:t xml:space="preserve"> </w:t>
      </w:r>
      <w:proofErr w:type="spellStart"/>
      <w:r w:rsidRPr="002C3FA5">
        <w:rPr>
          <w:lang w:val="pt-BR"/>
        </w:rPr>
        <w:t>Committee</w:t>
      </w:r>
      <w:proofErr w:type="spellEnd"/>
      <w:r w:rsidRPr="002C3FA5">
        <w:rPr>
          <w:lang w:val="pt-BR"/>
        </w:rPr>
        <w:t xml:space="preserve">. </w:t>
      </w:r>
      <w:r w:rsidRPr="00CB26EC">
        <w:rPr>
          <w:lang w:val="pt-BR"/>
        </w:rPr>
        <w:t xml:space="preserve">(2007). </w:t>
      </w:r>
      <w:r w:rsidRPr="00CB26EC">
        <w:rPr>
          <w:i/>
          <w:lang w:val="pt-BR"/>
        </w:rPr>
        <w:t>Diretrizes do IASC sobre Saúde Mental e Apoio Psicossocial em emergências humanitárias</w:t>
      </w:r>
      <w:r w:rsidRPr="00CB26EC">
        <w:rPr>
          <w:lang w:val="pt-BR"/>
        </w:rPr>
        <w:t>.</w:t>
      </w:r>
      <w:r w:rsidR="002C3FA5" w:rsidRPr="002C3FA5">
        <w:rPr>
          <w:lang w:val="pt-BR"/>
        </w:rPr>
        <w:t xml:space="preserve"> </w:t>
      </w:r>
      <w:r w:rsidR="002C3FA5" w:rsidRPr="00FB0D74">
        <w:t>IASC.</w:t>
      </w:r>
      <w:r w:rsidRPr="00FB0D74">
        <w:t xml:space="preserve"> </w:t>
      </w:r>
    </w:p>
    <w:p w14:paraId="18C408A4" w14:textId="77777777" w:rsidR="002C3FA5" w:rsidRDefault="006720DE" w:rsidP="002C3FA5">
      <w:pPr>
        <w:pStyle w:val="Referencias"/>
        <w:spacing w:line="360" w:lineRule="auto"/>
        <w:rPr>
          <w:lang w:val="pt-BR"/>
        </w:rPr>
      </w:pPr>
      <w:r w:rsidRPr="006720DE">
        <w:t xml:space="preserve">Janmyr, M. (2014). Attributing wrongful conduct of implementing partners to UNHCR: International responsibility and human rights violations in refugee camps. </w:t>
      </w:r>
      <w:proofErr w:type="spellStart"/>
      <w:r w:rsidRPr="00CB26EC">
        <w:rPr>
          <w:i/>
          <w:lang w:val="pt-BR"/>
        </w:rPr>
        <w:t>Journal</w:t>
      </w:r>
      <w:proofErr w:type="spellEnd"/>
      <w:r w:rsidRPr="00CB26EC">
        <w:rPr>
          <w:i/>
          <w:lang w:val="pt-BR"/>
        </w:rPr>
        <w:t xml:space="preserve"> </w:t>
      </w:r>
      <w:proofErr w:type="spellStart"/>
      <w:r w:rsidRPr="00CB26EC">
        <w:rPr>
          <w:i/>
          <w:lang w:val="pt-BR"/>
        </w:rPr>
        <w:t>of</w:t>
      </w:r>
      <w:proofErr w:type="spellEnd"/>
      <w:r w:rsidRPr="00CB26EC">
        <w:rPr>
          <w:i/>
          <w:lang w:val="pt-BR"/>
        </w:rPr>
        <w:t xml:space="preserve"> </w:t>
      </w:r>
      <w:proofErr w:type="spellStart"/>
      <w:r w:rsidRPr="00CB26EC">
        <w:rPr>
          <w:i/>
          <w:lang w:val="pt-BR"/>
        </w:rPr>
        <w:t>International</w:t>
      </w:r>
      <w:proofErr w:type="spellEnd"/>
      <w:r w:rsidRPr="00CB26EC">
        <w:rPr>
          <w:i/>
          <w:lang w:val="pt-BR"/>
        </w:rPr>
        <w:t xml:space="preserve"> </w:t>
      </w:r>
      <w:proofErr w:type="spellStart"/>
      <w:r w:rsidRPr="00CB26EC">
        <w:rPr>
          <w:i/>
          <w:lang w:val="pt-BR"/>
        </w:rPr>
        <w:t>Humanitarian</w:t>
      </w:r>
      <w:proofErr w:type="spellEnd"/>
      <w:r w:rsidRPr="00CB26EC">
        <w:rPr>
          <w:i/>
          <w:lang w:val="pt-BR"/>
        </w:rPr>
        <w:t xml:space="preserve"> Legal </w:t>
      </w:r>
      <w:proofErr w:type="spellStart"/>
      <w:r w:rsidRPr="00CB26EC">
        <w:rPr>
          <w:i/>
          <w:lang w:val="pt-BR"/>
        </w:rPr>
        <w:t>Studies</w:t>
      </w:r>
      <w:proofErr w:type="spellEnd"/>
      <w:r w:rsidRPr="00CB26EC">
        <w:rPr>
          <w:lang w:val="pt-BR"/>
        </w:rPr>
        <w:t xml:space="preserve">, </w:t>
      </w:r>
      <w:r w:rsidRPr="00CB26EC">
        <w:rPr>
          <w:i/>
          <w:lang w:val="pt-BR"/>
        </w:rPr>
        <w:t>5</w:t>
      </w:r>
      <w:r w:rsidR="002C3FA5">
        <w:rPr>
          <w:lang w:val="pt-BR"/>
        </w:rPr>
        <w:t>, 42-</w:t>
      </w:r>
      <w:r w:rsidRPr="00CB26EC">
        <w:rPr>
          <w:lang w:val="pt-BR"/>
        </w:rPr>
        <w:t>69.</w:t>
      </w:r>
    </w:p>
    <w:p w14:paraId="73CE0B1B" w14:textId="20ACA7AB" w:rsidR="002C3FA5" w:rsidRPr="00B81E29" w:rsidRDefault="006720DE" w:rsidP="002C3FA5">
      <w:pPr>
        <w:pStyle w:val="Referencias"/>
        <w:spacing w:line="360" w:lineRule="auto"/>
        <w:rPr>
          <w:color w:val="111111"/>
          <w:u w:val="single"/>
          <w:lang w:val="pt-BR"/>
        </w:rPr>
      </w:pPr>
      <w:proofErr w:type="spellStart"/>
      <w:r w:rsidRPr="00CB26EC">
        <w:rPr>
          <w:color w:val="111111"/>
          <w:lang w:val="pt-BR"/>
        </w:rPr>
        <w:t>Junger</w:t>
      </w:r>
      <w:proofErr w:type="spellEnd"/>
      <w:r w:rsidRPr="00CB26EC">
        <w:rPr>
          <w:color w:val="111111"/>
          <w:lang w:val="pt-BR"/>
        </w:rPr>
        <w:t xml:space="preserve">, G., Cavalcanti L., Oliveira, T., &amp; Lemos, S. (2023). </w:t>
      </w:r>
      <w:r w:rsidRPr="00CB26EC">
        <w:rPr>
          <w:i/>
          <w:color w:val="111111"/>
          <w:lang w:val="pt-BR"/>
        </w:rPr>
        <w:t>Refúgio em números</w:t>
      </w:r>
      <w:r w:rsidR="00FB0D74">
        <w:rPr>
          <w:color w:val="111111"/>
          <w:lang w:val="pt-BR"/>
        </w:rPr>
        <w:t>. Brasília</w:t>
      </w:r>
      <w:r w:rsidRPr="00CB26EC">
        <w:rPr>
          <w:color w:val="111111"/>
          <w:lang w:val="pt-BR"/>
        </w:rPr>
        <w:t xml:space="preserve">. </w:t>
      </w:r>
      <w:hyperlink r:id="rId20" w:history="1">
        <w:r w:rsidR="002C3FA5" w:rsidRPr="00B81E29">
          <w:rPr>
            <w:rStyle w:val="Hipervnculo"/>
            <w:lang w:val="pt-BR"/>
          </w:rPr>
          <w:t>https://portaldeimigracao.mj.gov.br/pt/dados/refugio-em-numeros</w:t>
        </w:r>
      </w:hyperlink>
      <w:r w:rsidR="002C3FA5" w:rsidRPr="00B81E29">
        <w:rPr>
          <w:color w:val="111111"/>
          <w:u w:val="single"/>
          <w:lang w:val="pt-BR"/>
        </w:rPr>
        <w:t xml:space="preserve"> </w:t>
      </w:r>
    </w:p>
    <w:p w14:paraId="1630A45A" w14:textId="77777777" w:rsidR="002C3FA5" w:rsidRDefault="006720DE" w:rsidP="002C3FA5">
      <w:pPr>
        <w:pStyle w:val="Referencias"/>
        <w:spacing w:line="360" w:lineRule="auto"/>
        <w:rPr>
          <w:lang w:val="pt-BR"/>
        </w:rPr>
      </w:pPr>
      <w:r w:rsidRPr="00FB0D74">
        <w:t xml:space="preserve">Kamau, M., </w:t>
      </w:r>
      <w:proofErr w:type="spellStart"/>
      <w:r w:rsidRPr="00FB0D74">
        <w:t>Silove</w:t>
      </w:r>
      <w:proofErr w:type="spellEnd"/>
      <w:r w:rsidRPr="00FB0D74">
        <w:t xml:space="preserve">, D., Steel, Z., Catanzaro, R., Bateman, C., &amp; Ekblad, S. (2004). </w:t>
      </w:r>
      <w:r w:rsidRPr="00B81E29">
        <w:t>Psychiatric disorders in an African refugee camp. </w:t>
      </w:r>
      <w:r w:rsidRPr="00CB26EC">
        <w:rPr>
          <w:i/>
          <w:lang w:val="pt-BR"/>
        </w:rPr>
        <w:t>Intervention</w:t>
      </w:r>
      <w:r w:rsidRPr="00CB26EC">
        <w:rPr>
          <w:lang w:val="pt-BR"/>
        </w:rPr>
        <w:t>, </w:t>
      </w:r>
      <w:r w:rsidRPr="00CB26EC">
        <w:rPr>
          <w:i/>
          <w:lang w:val="pt-BR"/>
        </w:rPr>
        <w:t>2</w:t>
      </w:r>
      <w:r w:rsidR="002C3FA5">
        <w:rPr>
          <w:lang w:val="pt-BR"/>
        </w:rPr>
        <w:t>(2), 84-</w:t>
      </w:r>
      <w:r w:rsidRPr="00CB26EC">
        <w:rPr>
          <w:lang w:val="pt-BR"/>
        </w:rPr>
        <w:t>89.</w:t>
      </w:r>
    </w:p>
    <w:p w14:paraId="67E80114" w14:textId="77777777" w:rsidR="002C3FA5" w:rsidRPr="002C3FA5" w:rsidRDefault="002C3FA5" w:rsidP="002C3FA5">
      <w:pPr>
        <w:pStyle w:val="Referencias"/>
        <w:spacing w:line="360" w:lineRule="auto"/>
        <w:rPr>
          <w:color w:val="111111"/>
          <w:lang w:val="es-ES"/>
        </w:rPr>
      </w:pPr>
      <w:r>
        <w:rPr>
          <w:color w:val="111111"/>
          <w:lang w:val="pt-BR"/>
        </w:rPr>
        <w:t>Organização das Nações Unidas ([</w:t>
      </w:r>
      <w:r w:rsidR="006720DE" w:rsidRPr="00CB26EC">
        <w:rPr>
          <w:color w:val="111111"/>
          <w:lang w:val="pt-BR"/>
        </w:rPr>
        <w:t>ONU</w:t>
      </w:r>
      <w:r>
        <w:rPr>
          <w:color w:val="111111"/>
          <w:lang w:val="pt-BR"/>
        </w:rPr>
        <w:t xml:space="preserve">], </w:t>
      </w:r>
      <w:r w:rsidR="006720DE" w:rsidRPr="00CB26EC">
        <w:rPr>
          <w:color w:val="111111"/>
          <w:lang w:val="pt-BR"/>
        </w:rPr>
        <w:t xml:space="preserve">1951). </w:t>
      </w:r>
      <w:r w:rsidR="006720DE" w:rsidRPr="00CB26EC">
        <w:rPr>
          <w:i/>
          <w:color w:val="111111"/>
          <w:lang w:val="pt-BR"/>
        </w:rPr>
        <w:t>Convenção relativa ao estatuto dos refugiados</w:t>
      </w:r>
      <w:r>
        <w:rPr>
          <w:color w:val="111111"/>
          <w:lang w:val="pt-BR"/>
        </w:rPr>
        <w:t xml:space="preserve">. </w:t>
      </w:r>
      <w:r w:rsidRPr="002C3FA5">
        <w:rPr>
          <w:color w:val="111111"/>
          <w:lang w:val="es-ES"/>
        </w:rPr>
        <w:t>ONU</w:t>
      </w:r>
      <w:r w:rsidR="006720DE" w:rsidRPr="002C3FA5">
        <w:rPr>
          <w:color w:val="111111"/>
          <w:lang w:val="es-ES"/>
        </w:rPr>
        <w:t>.</w:t>
      </w:r>
    </w:p>
    <w:p w14:paraId="1ED5D334" w14:textId="77777777" w:rsidR="002C3FA5" w:rsidRPr="00FB0D74" w:rsidRDefault="006720DE" w:rsidP="002C3FA5">
      <w:pPr>
        <w:pStyle w:val="Referencias"/>
        <w:spacing w:line="360" w:lineRule="auto"/>
        <w:rPr>
          <w:color w:val="111111"/>
          <w:lang w:val="es-ES"/>
        </w:rPr>
      </w:pPr>
      <w:r w:rsidRPr="002C3FA5">
        <w:rPr>
          <w:color w:val="111111"/>
          <w:lang w:val="es-ES"/>
        </w:rPr>
        <w:t xml:space="preserve">Pacheco, A. J. C. (2010). </w:t>
      </w:r>
      <w:r w:rsidRPr="002C3FA5">
        <w:rPr>
          <w:i/>
          <w:color w:val="111111"/>
          <w:lang w:val="es-ES"/>
        </w:rPr>
        <w:t>Campos de refugiados: Relaciones socio-ambientales según la temporalidad</w:t>
      </w:r>
      <w:r w:rsidR="002C3FA5" w:rsidRPr="002C3FA5">
        <w:rPr>
          <w:color w:val="111111"/>
          <w:lang w:val="es-ES"/>
        </w:rPr>
        <w:t xml:space="preserve">. </w:t>
      </w:r>
      <w:r w:rsidR="002C3FA5" w:rsidRPr="00FB0D74">
        <w:rPr>
          <w:color w:val="111111"/>
          <w:lang w:val="es-ES"/>
        </w:rPr>
        <w:t>[</w:t>
      </w:r>
      <w:proofErr w:type="spellStart"/>
      <w:r w:rsidR="002C3FA5" w:rsidRPr="00FB0D74">
        <w:rPr>
          <w:color w:val="111111"/>
          <w:lang w:val="es-ES"/>
        </w:rPr>
        <w:t>Dissertação</w:t>
      </w:r>
      <w:proofErr w:type="spellEnd"/>
      <w:r w:rsidR="002C3FA5" w:rsidRPr="00FB0D74">
        <w:rPr>
          <w:color w:val="111111"/>
          <w:lang w:val="es-ES"/>
        </w:rPr>
        <w:t xml:space="preserve"> de </w:t>
      </w:r>
      <w:proofErr w:type="spellStart"/>
      <w:r w:rsidR="002C3FA5" w:rsidRPr="00FB0D74">
        <w:rPr>
          <w:color w:val="111111"/>
          <w:lang w:val="es-ES"/>
        </w:rPr>
        <w:t>Mestrado</w:t>
      </w:r>
      <w:proofErr w:type="spellEnd"/>
      <w:r w:rsidR="002C3FA5" w:rsidRPr="00FB0D74">
        <w:rPr>
          <w:color w:val="111111"/>
          <w:lang w:val="es-ES"/>
        </w:rPr>
        <w:t xml:space="preserve">]. </w:t>
      </w:r>
      <w:r w:rsidRPr="00FB0D74">
        <w:rPr>
          <w:color w:val="111111"/>
          <w:lang w:val="es-ES"/>
        </w:rPr>
        <w:t>Universidad Autónoma de San Luis Potosí, Méxi</w:t>
      </w:r>
      <w:r w:rsidR="002C3FA5" w:rsidRPr="00FB0D74">
        <w:rPr>
          <w:color w:val="111111"/>
          <w:lang w:val="es-ES"/>
        </w:rPr>
        <w:t xml:space="preserve">co. </w:t>
      </w:r>
    </w:p>
    <w:p w14:paraId="3592DD4C" w14:textId="77777777" w:rsidR="002C3FA5" w:rsidRDefault="006720DE" w:rsidP="002C3FA5">
      <w:pPr>
        <w:pStyle w:val="Referencias"/>
        <w:spacing w:line="360" w:lineRule="auto"/>
        <w:rPr>
          <w:color w:val="111111"/>
          <w:u w:val="single"/>
          <w:lang w:val="pt-BR"/>
        </w:rPr>
      </w:pPr>
      <w:r w:rsidRPr="00B81E29">
        <w:rPr>
          <w:color w:val="111111"/>
          <w:lang w:val="es-ES"/>
        </w:rPr>
        <w:t xml:space="preserve">Ramos, E., Donda, E. O. C. S., &amp; Silva, R. C. (2017). </w:t>
      </w:r>
      <w:r w:rsidRPr="00CB26EC">
        <w:rPr>
          <w:color w:val="111111"/>
          <w:lang w:val="pt-BR"/>
        </w:rPr>
        <w:t xml:space="preserve">Ação Humanitária. Cavalcanti, L., Botega, T., </w:t>
      </w:r>
      <w:proofErr w:type="spellStart"/>
      <w:r w:rsidRPr="00CB26EC">
        <w:rPr>
          <w:color w:val="111111"/>
          <w:lang w:val="pt-BR"/>
        </w:rPr>
        <w:t>Tonhati</w:t>
      </w:r>
      <w:proofErr w:type="spellEnd"/>
      <w:r w:rsidRPr="00CB26EC">
        <w:rPr>
          <w:color w:val="111111"/>
          <w:lang w:val="pt-BR"/>
        </w:rPr>
        <w:t>, T., Araújo, D. (</w:t>
      </w:r>
      <w:proofErr w:type="spellStart"/>
      <w:r w:rsidRPr="00CB26EC">
        <w:rPr>
          <w:color w:val="111111"/>
          <w:lang w:val="pt-BR"/>
        </w:rPr>
        <w:t>Orgs</w:t>
      </w:r>
      <w:proofErr w:type="spellEnd"/>
      <w:r w:rsidRPr="00CB26EC">
        <w:rPr>
          <w:color w:val="111111"/>
          <w:lang w:val="pt-BR"/>
        </w:rPr>
        <w:t xml:space="preserve">.). </w:t>
      </w:r>
      <w:r w:rsidRPr="00CB26EC">
        <w:rPr>
          <w:i/>
          <w:color w:val="111111"/>
          <w:lang w:val="pt-BR"/>
        </w:rPr>
        <w:t>Dicionário crítico de migrações internacionais</w:t>
      </w:r>
      <w:r w:rsidR="002C3FA5">
        <w:rPr>
          <w:color w:val="111111"/>
          <w:lang w:val="pt-BR"/>
        </w:rPr>
        <w:t>.</w:t>
      </w:r>
      <w:r w:rsidRPr="00CB26EC">
        <w:rPr>
          <w:color w:val="111111"/>
          <w:lang w:val="pt-BR"/>
        </w:rPr>
        <w:t xml:space="preserve"> UnB. </w:t>
      </w:r>
      <w:hyperlink r:id="rId21" w:history="1">
        <w:r w:rsidR="002C3FA5" w:rsidRPr="006B1655">
          <w:rPr>
            <w:rStyle w:val="Hipervnculo"/>
            <w:lang w:val="pt-BR"/>
          </w:rPr>
          <w:t>https://doi.org/10.7476/978852301340</w:t>
        </w:r>
        <w:r w:rsidR="002C3FA5" w:rsidRPr="002C3FA5">
          <w:rPr>
            <w:rStyle w:val="Hipervnculo"/>
            <w:lang w:val="pt-BR"/>
          </w:rPr>
          <w:t>0</w:t>
        </w:r>
      </w:hyperlink>
    </w:p>
    <w:p w14:paraId="45A2F7D6" w14:textId="77777777" w:rsidR="002C3FA5" w:rsidRPr="00FB0D74" w:rsidRDefault="006720DE" w:rsidP="002C3FA5">
      <w:pPr>
        <w:pStyle w:val="Referencias"/>
        <w:spacing w:line="360" w:lineRule="auto"/>
        <w:rPr>
          <w:color w:val="111111"/>
          <w:lang w:val="pt-BR"/>
        </w:rPr>
      </w:pPr>
      <w:r w:rsidRPr="00CB26EC">
        <w:rPr>
          <w:color w:val="111111"/>
          <w:lang w:val="pt-BR"/>
        </w:rPr>
        <w:t xml:space="preserve">Rodrigues, A., </w:t>
      </w:r>
      <w:proofErr w:type="spellStart"/>
      <w:r w:rsidRPr="00CB26EC">
        <w:rPr>
          <w:color w:val="111111"/>
          <w:lang w:val="pt-BR"/>
        </w:rPr>
        <w:t>Assmar</w:t>
      </w:r>
      <w:proofErr w:type="spellEnd"/>
      <w:r w:rsidRPr="00CB26EC">
        <w:rPr>
          <w:color w:val="111111"/>
          <w:lang w:val="pt-BR"/>
        </w:rPr>
        <w:t xml:space="preserve">, E. M. L., &amp; </w:t>
      </w:r>
      <w:proofErr w:type="spellStart"/>
      <w:r w:rsidRPr="00CB26EC">
        <w:rPr>
          <w:color w:val="111111"/>
          <w:lang w:val="pt-BR"/>
        </w:rPr>
        <w:t>Jablonski</w:t>
      </w:r>
      <w:proofErr w:type="spellEnd"/>
      <w:r w:rsidRPr="00CB26EC">
        <w:rPr>
          <w:color w:val="111111"/>
          <w:lang w:val="pt-BR"/>
        </w:rPr>
        <w:t xml:space="preserve">, B. (2009). </w:t>
      </w:r>
      <w:r w:rsidRPr="00FB0D74">
        <w:rPr>
          <w:i/>
          <w:color w:val="111111"/>
          <w:lang w:val="pt-BR"/>
        </w:rPr>
        <w:t>Psicologia social</w:t>
      </w:r>
      <w:r w:rsidR="002C3FA5" w:rsidRPr="00FB0D74">
        <w:rPr>
          <w:color w:val="111111"/>
          <w:lang w:val="pt-BR"/>
        </w:rPr>
        <w:t>.</w:t>
      </w:r>
      <w:r w:rsidRPr="00FB0D74">
        <w:rPr>
          <w:color w:val="111111"/>
          <w:lang w:val="pt-BR"/>
        </w:rPr>
        <w:t xml:space="preserve"> Vozes.</w:t>
      </w:r>
    </w:p>
    <w:p w14:paraId="21F55506" w14:textId="77777777" w:rsidR="002C3FA5" w:rsidRDefault="006720DE" w:rsidP="002C3FA5">
      <w:pPr>
        <w:pStyle w:val="Referencias"/>
        <w:spacing w:line="360" w:lineRule="auto"/>
        <w:rPr>
          <w:color w:val="111111"/>
        </w:rPr>
      </w:pPr>
      <w:proofErr w:type="spellStart"/>
      <w:r w:rsidRPr="00FB0D74">
        <w:rPr>
          <w:color w:val="111111"/>
          <w:lang w:val="pt-BR"/>
        </w:rPr>
        <w:t>Vijayakumar</w:t>
      </w:r>
      <w:proofErr w:type="spellEnd"/>
      <w:r w:rsidRPr="00FB0D74">
        <w:rPr>
          <w:color w:val="111111"/>
          <w:lang w:val="pt-BR"/>
        </w:rPr>
        <w:t xml:space="preserve">, L., </w:t>
      </w:r>
      <w:proofErr w:type="spellStart"/>
      <w:r w:rsidRPr="00FB0D74">
        <w:rPr>
          <w:color w:val="111111"/>
          <w:lang w:val="pt-BR"/>
        </w:rPr>
        <w:t>Mohanraj</w:t>
      </w:r>
      <w:proofErr w:type="spellEnd"/>
      <w:r w:rsidRPr="00FB0D74">
        <w:rPr>
          <w:color w:val="111111"/>
          <w:lang w:val="pt-BR"/>
        </w:rPr>
        <w:t xml:space="preserve">, R., Kumar, S., </w:t>
      </w:r>
      <w:proofErr w:type="spellStart"/>
      <w:r w:rsidRPr="00FB0D74">
        <w:rPr>
          <w:color w:val="111111"/>
          <w:lang w:val="pt-BR"/>
        </w:rPr>
        <w:t>Jeyaseelan</w:t>
      </w:r>
      <w:proofErr w:type="spellEnd"/>
      <w:r w:rsidRPr="00FB0D74">
        <w:rPr>
          <w:color w:val="111111"/>
          <w:lang w:val="pt-BR"/>
        </w:rPr>
        <w:t xml:space="preserve">, V., </w:t>
      </w:r>
      <w:proofErr w:type="spellStart"/>
      <w:r w:rsidRPr="00FB0D74">
        <w:rPr>
          <w:color w:val="111111"/>
          <w:lang w:val="pt-BR"/>
        </w:rPr>
        <w:t>Sriram</w:t>
      </w:r>
      <w:proofErr w:type="spellEnd"/>
      <w:r w:rsidRPr="00FB0D74">
        <w:rPr>
          <w:color w:val="111111"/>
          <w:lang w:val="pt-BR"/>
        </w:rPr>
        <w:t xml:space="preserve">, S., &amp; </w:t>
      </w:r>
      <w:proofErr w:type="spellStart"/>
      <w:r w:rsidRPr="00FB0D74">
        <w:rPr>
          <w:color w:val="111111"/>
          <w:lang w:val="pt-BR"/>
        </w:rPr>
        <w:t>Shanmugam</w:t>
      </w:r>
      <w:proofErr w:type="spellEnd"/>
      <w:r w:rsidRPr="00FB0D74">
        <w:rPr>
          <w:color w:val="111111"/>
          <w:lang w:val="pt-BR"/>
        </w:rPr>
        <w:t xml:space="preserve">, M. (2017). </w:t>
      </w:r>
      <w:r w:rsidRPr="006720DE">
        <w:rPr>
          <w:color w:val="111111"/>
        </w:rPr>
        <w:t xml:space="preserve">CASP: An intervention by community volunteers to reduce suicidal </w:t>
      </w:r>
      <w:proofErr w:type="spellStart"/>
      <w:r w:rsidRPr="006720DE">
        <w:rPr>
          <w:color w:val="111111"/>
        </w:rPr>
        <w:t>behaviour</w:t>
      </w:r>
      <w:proofErr w:type="spellEnd"/>
      <w:r w:rsidRPr="006720DE">
        <w:rPr>
          <w:color w:val="111111"/>
        </w:rPr>
        <w:t xml:space="preserve"> among refugees. </w:t>
      </w:r>
      <w:r w:rsidRPr="006720DE">
        <w:rPr>
          <w:i/>
          <w:color w:val="111111"/>
        </w:rPr>
        <w:t>International Journal of Social Psychiatry</w:t>
      </w:r>
      <w:r w:rsidR="002C3FA5">
        <w:rPr>
          <w:color w:val="111111"/>
        </w:rPr>
        <w:t>, 63(7), 589-597.</w:t>
      </w:r>
    </w:p>
    <w:p w14:paraId="07CBE405" w14:textId="77777777" w:rsidR="002C3FA5" w:rsidRDefault="006720DE" w:rsidP="002C3FA5">
      <w:pPr>
        <w:pStyle w:val="Referencias"/>
        <w:spacing w:line="360" w:lineRule="auto"/>
        <w:rPr>
          <w:color w:val="111111"/>
        </w:rPr>
      </w:pPr>
      <w:r w:rsidRPr="006720DE">
        <w:rPr>
          <w:color w:val="111111"/>
        </w:rPr>
        <w:t xml:space="preserve">Vu, Q. G. N. (2007). Journey of the abandoned: Endless refugee camp and incurable traumas. </w:t>
      </w:r>
      <w:r w:rsidRPr="006720DE">
        <w:rPr>
          <w:i/>
          <w:color w:val="111111"/>
        </w:rPr>
        <w:t>Signs: Journal of Women in Culture and Society</w:t>
      </w:r>
      <w:r w:rsidRPr="006720DE">
        <w:rPr>
          <w:color w:val="111111"/>
        </w:rPr>
        <w:t>, 32(3), 580</w:t>
      </w:r>
      <w:r w:rsidR="002C3FA5">
        <w:rPr>
          <w:color w:val="111111"/>
        </w:rPr>
        <w:t>-</w:t>
      </w:r>
      <w:r w:rsidRPr="006720DE">
        <w:rPr>
          <w:color w:val="111111"/>
        </w:rPr>
        <w:t>584.</w:t>
      </w:r>
    </w:p>
    <w:p w14:paraId="4B3EE7EF" w14:textId="77777777" w:rsidR="002C3FA5" w:rsidRPr="00FB0D74" w:rsidRDefault="006720DE" w:rsidP="002C3FA5">
      <w:pPr>
        <w:pStyle w:val="Referencias"/>
        <w:spacing w:line="360" w:lineRule="auto"/>
        <w:rPr>
          <w:color w:val="111111"/>
          <w:u w:val="single"/>
          <w:lang w:val="pt-BR"/>
        </w:rPr>
      </w:pPr>
      <w:r w:rsidRPr="006720DE">
        <w:rPr>
          <w:color w:val="111111"/>
        </w:rPr>
        <w:lastRenderedPageBreak/>
        <w:t xml:space="preserve">Welton-Mitchell, C. E. (2013). </w:t>
      </w:r>
      <w:r w:rsidRPr="006720DE">
        <w:rPr>
          <w:i/>
          <w:color w:val="111111"/>
        </w:rPr>
        <w:t>UNHCR’s mental health and psychosocial support</w:t>
      </w:r>
      <w:r w:rsidRPr="006720DE">
        <w:rPr>
          <w:color w:val="111111"/>
        </w:rPr>
        <w:t>: For staff</w:t>
      </w:r>
      <w:r w:rsidRPr="006720DE">
        <w:rPr>
          <w:i/>
          <w:color w:val="111111"/>
        </w:rPr>
        <w:t>.</w:t>
      </w:r>
      <w:r w:rsidRPr="006720DE">
        <w:rPr>
          <w:color w:val="111111"/>
        </w:rPr>
        <w:t xml:space="preserve"> </w:t>
      </w:r>
      <w:r w:rsidRPr="00CB26EC">
        <w:rPr>
          <w:color w:val="111111"/>
          <w:lang w:val="pt-BR"/>
        </w:rPr>
        <w:t xml:space="preserve">Genebra: Nações Unidas. </w:t>
      </w:r>
      <w:hyperlink r:id="rId22" w:history="1">
        <w:r w:rsidR="002C3FA5" w:rsidRPr="006B1655">
          <w:rPr>
            <w:rStyle w:val="Hipervnculo"/>
            <w:lang w:val="pt-BR"/>
          </w:rPr>
          <w:t>https://www.unhcr.org/51f67bdc9.pd</w:t>
        </w:r>
        <w:r w:rsidR="002C3FA5" w:rsidRPr="00FB0D74">
          <w:rPr>
            <w:rStyle w:val="Hipervnculo"/>
            <w:lang w:val="pt-BR"/>
          </w:rPr>
          <w:t>f</w:t>
        </w:r>
      </w:hyperlink>
      <w:r w:rsidR="002C3FA5" w:rsidRPr="00FB0D74">
        <w:rPr>
          <w:color w:val="111111"/>
          <w:u w:val="single"/>
          <w:lang w:val="pt-BR"/>
        </w:rPr>
        <w:t xml:space="preserve"> </w:t>
      </w:r>
    </w:p>
    <w:p w14:paraId="0D7441FE" w14:textId="7039BF6F" w:rsidR="006720DE" w:rsidRPr="008F27A6" w:rsidRDefault="006720DE" w:rsidP="002C3FA5">
      <w:pPr>
        <w:pStyle w:val="Referencias"/>
        <w:spacing w:line="360" w:lineRule="auto"/>
        <w:rPr>
          <w:color w:val="111111"/>
        </w:rPr>
      </w:pPr>
      <w:r w:rsidRPr="00FB0D74">
        <w:rPr>
          <w:color w:val="111111"/>
          <w:lang w:val="pt-BR"/>
        </w:rPr>
        <w:t xml:space="preserve">Wessells, Michael G. (2008). </w:t>
      </w:r>
      <w:r w:rsidRPr="006720DE">
        <w:rPr>
          <w:color w:val="111111"/>
        </w:rPr>
        <w:t xml:space="preserve">Do no harm: challenges in organizing psychosocial support to displaced people in emergency settings. </w:t>
      </w:r>
      <w:r>
        <w:rPr>
          <w:i/>
          <w:color w:val="111111"/>
        </w:rPr>
        <w:t>Refuge: Canada's Journal on Refugees</w:t>
      </w:r>
      <w:r>
        <w:rPr>
          <w:color w:val="111111"/>
        </w:rPr>
        <w:t xml:space="preserve">, </w:t>
      </w:r>
      <w:r w:rsidRPr="002C3FA5">
        <w:rPr>
          <w:i/>
          <w:color w:val="111111"/>
        </w:rPr>
        <w:t>25</w:t>
      </w:r>
      <w:r w:rsidR="002C3FA5">
        <w:rPr>
          <w:color w:val="111111"/>
        </w:rPr>
        <w:t>(1), 6-</w:t>
      </w:r>
      <w:r>
        <w:rPr>
          <w:color w:val="111111"/>
        </w:rPr>
        <w:t xml:space="preserve">14. </w:t>
      </w:r>
      <w:hyperlink r:id="rId23" w:history="1">
        <w:r w:rsidR="002C3FA5" w:rsidRPr="006B1655">
          <w:rPr>
            <w:rStyle w:val="Hipervnculo"/>
          </w:rPr>
          <w:t>https://doi.org/10.25071/1920-7336.21392</w:t>
        </w:r>
      </w:hyperlink>
    </w:p>
    <w:p w14:paraId="1BB65A89" w14:textId="77777777" w:rsidR="006720DE" w:rsidRPr="008F27A6" w:rsidRDefault="006720DE" w:rsidP="00920139">
      <w:pPr>
        <w:pStyle w:val="Referencias"/>
        <w:spacing w:line="360" w:lineRule="auto"/>
      </w:pPr>
    </w:p>
    <w:p w14:paraId="082F801D" w14:textId="6D549F74" w:rsidR="00537714" w:rsidRPr="008F27A6" w:rsidRDefault="00147EED" w:rsidP="00C47512">
      <w:pPr>
        <w:widowControl w:val="0"/>
        <w:autoSpaceDE w:val="0"/>
        <w:autoSpaceDN w:val="0"/>
        <w:spacing w:line="276" w:lineRule="auto"/>
        <w:ind w:hanging="480"/>
        <w:jc w:val="both"/>
        <w:rPr>
          <w:noProof/>
          <w:color w:val="000000"/>
          <w:lang w:val="en-US"/>
        </w:rPr>
      </w:pPr>
      <w:r w:rsidRPr="008F27A6">
        <w:rPr>
          <w:lang w:val="en-US"/>
        </w:rPr>
        <w:tab/>
      </w:r>
    </w:p>
    <w:p w14:paraId="4E4CDB4E" w14:textId="5410A729" w:rsidR="00147EED" w:rsidRPr="005347C7" w:rsidRDefault="00147EED" w:rsidP="00AC52AE">
      <w:pPr>
        <w:shd w:val="clear" w:color="auto" w:fill="FFFFFF"/>
        <w:jc w:val="right"/>
        <w:rPr>
          <w:i/>
          <w:iCs/>
          <w:sz w:val="20"/>
          <w:szCs w:val="20"/>
          <w:lang w:val="en-US"/>
        </w:rPr>
      </w:pPr>
      <w:r w:rsidRPr="005347C7">
        <w:rPr>
          <w:i/>
          <w:iCs/>
          <w:sz w:val="20"/>
          <w:szCs w:val="20"/>
          <w:lang w:val="en-US"/>
        </w:rPr>
        <w:t xml:space="preserve">Received: </w:t>
      </w:r>
      <w:r w:rsidR="00530140" w:rsidRPr="00530140">
        <w:rPr>
          <w:i/>
          <w:iCs/>
          <w:sz w:val="20"/>
          <w:szCs w:val="20"/>
          <w:lang w:val="en-US"/>
        </w:rPr>
        <w:t>2022-08-24</w:t>
      </w:r>
    </w:p>
    <w:p w14:paraId="312A8921" w14:textId="31E640B7" w:rsidR="00147EED" w:rsidRPr="00530140" w:rsidRDefault="00147EED" w:rsidP="00AC52AE">
      <w:pPr>
        <w:shd w:val="clear" w:color="auto" w:fill="FFFFFF"/>
        <w:jc w:val="right"/>
        <w:rPr>
          <w:i/>
          <w:iCs/>
          <w:sz w:val="20"/>
          <w:szCs w:val="20"/>
          <w:lang w:val="en-US" w:eastAsia="es-ES_tradnl"/>
        </w:rPr>
      </w:pPr>
      <w:r w:rsidRPr="005347C7">
        <w:rPr>
          <w:i/>
          <w:iCs/>
          <w:sz w:val="20"/>
          <w:szCs w:val="20"/>
          <w:lang w:val="en-US"/>
        </w:rPr>
        <w:t xml:space="preserve">Accepted: </w:t>
      </w:r>
      <w:r w:rsidR="00530140" w:rsidRPr="00942230">
        <w:rPr>
          <w:i/>
          <w:iCs/>
          <w:sz w:val="20"/>
          <w:szCs w:val="20"/>
          <w:lang w:val="en-US" w:eastAsia="es-ES_tradnl"/>
        </w:rPr>
        <w:t>2024-03-13</w:t>
      </w:r>
    </w:p>
    <w:sectPr w:rsidR="00147EED" w:rsidRPr="00530140" w:rsidSect="00AC52AE">
      <w:headerReference w:type="even" r:id="rId24"/>
      <w:headerReference w:type="default" r:id="rId25"/>
      <w:footerReference w:type="even" r:id="rId26"/>
      <w:footerReference w:type="default" r:id="rId27"/>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84072" w14:textId="77777777" w:rsidR="00420143" w:rsidRDefault="00420143" w:rsidP="00C413D4">
      <w:r>
        <w:separator/>
      </w:r>
    </w:p>
  </w:endnote>
  <w:endnote w:type="continuationSeparator" w:id="0">
    <w:p w14:paraId="04AC7499" w14:textId="77777777" w:rsidR="00420143" w:rsidRDefault="00420143" w:rsidP="00C413D4">
      <w:r>
        <w:continuationSeparator/>
      </w:r>
    </w:p>
  </w:endnote>
  <w:endnote w:type="continuationNotice" w:id="1">
    <w:p w14:paraId="48A710FE" w14:textId="77777777" w:rsidR="00420143" w:rsidRDefault="004201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Sylfaen"/>
    <w:panose1 w:val="020B06040202020202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panose1 w:val="020B0503040102020104"/>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DIN Next LT Pro Light">
    <w:altName w:val="Calibri"/>
    <w:panose1 w:val="020B0604020202020204"/>
    <w:charset w:val="00"/>
    <w:family w:val="swiss"/>
    <w:notTrueType/>
    <w:pitch w:val="default"/>
    <w:sig w:usb0="00000003" w:usb1="00000000" w:usb2="00000000" w:usb3="00000000" w:csb0="00000001" w:csb1="00000000"/>
  </w:font>
  <w:font w:name="Times New Roman (Body CS)">
    <w:altName w:val="Times New Roman"/>
    <w:panose1 w:val="020B0604020202020204"/>
    <w:charset w:val="00"/>
    <w:family w:val="auto"/>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120D0447" w:rsidR="005B1A6B" w:rsidRDefault="005B1A6B"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6A6C92">
          <w:rPr>
            <w:rStyle w:val="Nmerodepgina"/>
            <w:rFonts w:ascii="Times" w:hAnsi="Times"/>
            <w:noProof/>
            <w:sz w:val="16"/>
            <w:szCs w:val="16"/>
          </w:rPr>
          <w:t>18</w:t>
        </w:r>
        <w:r w:rsidRPr="007F5913">
          <w:rPr>
            <w:rStyle w:val="Nmerodepgina"/>
            <w:rFonts w:ascii="Times" w:hAnsi="Times"/>
            <w:sz w:val="16"/>
            <w:szCs w:val="16"/>
          </w:rPr>
          <w:fldChar w:fldCharType="end"/>
        </w:r>
      </w:p>
    </w:sdtContent>
  </w:sdt>
  <w:p w14:paraId="4737EBA2" w14:textId="77777777" w:rsidR="005B1A6B" w:rsidRDefault="005B1A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1FB1495F" w:rsidR="005B1A6B" w:rsidRDefault="005B1A6B"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6A6C92">
          <w:rPr>
            <w:rStyle w:val="Nmerodepgina"/>
            <w:rFonts w:ascii="Times" w:hAnsi="Times"/>
            <w:noProof/>
            <w:sz w:val="16"/>
            <w:szCs w:val="16"/>
          </w:rPr>
          <w:t>1</w:t>
        </w:r>
        <w:r w:rsidRPr="007F5913">
          <w:rPr>
            <w:rStyle w:val="Nmerodepgina"/>
            <w:rFonts w:ascii="Times" w:hAnsi="Times"/>
            <w:sz w:val="16"/>
            <w:szCs w:val="16"/>
          </w:rPr>
          <w:fldChar w:fldCharType="end"/>
        </w:r>
      </w:p>
    </w:sdtContent>
  </w:sdt>
  <w:p w14:paraId="420682C3" w14:textId="77777777" w:rsidR="005B1A6B" w:rsidRDefault="005B1A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34F43" w14:textId="77777777" w:rsidR="00420143" w:rsidRDefault="00420143" w:rsidP="00C413D4">
      <w:r>
        <w:separator/>
      </w:r>
    </w:p>
  </w:footnote>
  <w:footnote w:type="continuationSeparator" w:id="0">
    <w:p w14:paraId="550F69BE" w14:textId="77777777" w:rsidR="00420143" w:rsidRDefault="00420143" w:rsidP="00C413D4">
      <w:r>
        <w:continuationSeparator/>
      </w:r>
    </w:p>
  </w:footnote>
  <w:footnote w:type="continuationNotice" w:id="1">
    <w:p w14:paraId="1AAF29EF" w14:textId="77777777" w:rsidR="00420143" w:rsidRDefault="00420143"/>
  </w:footnote>
  <w:footnote w:id="2">
    <w:p w14:paraId="04D81B4D" w14:textId="0921C769" w:rsidR="00E83B8C" w:rsidRPr="00193F78" w:rsidRDefault="00E83B8C" w:rsidP="00E83B8C">
      <w:pPr>
        <w:pStyle w:val="Textonotapie"/>
        <w:rPr>
          <w:lang w:val="en-US"/>
        </w:rPr>
      </w:pPr>
      <w:r>
        <w:rPr>
          <w:rStyle w:val="Refdenotaalpie"/>
        </w:rPr>
        <w:footnoteRef/>
      </w:r>
      <w:r w:rsidRPr="00193F78">
        <w:rPr>
          <w:lang w:val="en-US"/>
        </w:rPr>
        <w:t xml:space="preserve"> </w:t>
      </w:r>
      <w:r w:rsidRPr="00E241FB">
        <w:rPr>
          <w:sz w:val="18"/>
          <w:szCs w:val="18"/>
          <w:lang w:val="en-US"/>
        </w:rPr>
        <w:t xml:space="preserve">Correspondence about this article should be addressed </w:t>
      </w:r>
      <w:r w:rsidRPr="00E241FB">
        <w:rPr>
          <w:b/>
          <w:bCs/>
          <w:sz w:val="18"/>
          <w:szCs w:val="18"/>
          <w:lang w:val="en-US"/>
        </w:rPr>
        <w:t xml:space="preserve">Beatriz </w:t>
      </w:r>
      <w:r w:rsidR="00942230" w:rsidRPr="00E241FB">
        <w:rPr>
          <w:b/>
          <w:bCs/>
          <w:sz w:val="18"/>
          <w:szCs w:val="18"/>
          <w:lang w:val="en-US"/>
        </w:rPr>
        <w:t>de Barros Souza</w:t>
      </w:r>
      <w:r w:rsidRPr="00E241FB">
        <w:rPr>
          <w:sz w:val="18"/>
          <w:szCs w:val="18"/>
          <w:lang w:val="en-US"/>
        </w:rPr>
        <w:t>:</w:t>
      </w:r>
      <w:r w:rsidRPr="00193F78">
        <w:rPr>
          <w:lang w:val="en-US"/>
        </w:rPr>
        <w:t xml:space="preserve"> </w:t>
      </w:r>
      <w:hyperlink r:id="rId1" w:history="1">
        <w:r w:rsidR="00942230">
          <w:rPr>
            <w:rStyle w:val="Hipervnculo"/>
            <w:lang w:val="en-US"/>
          </w:rPr>
          <w:t>beatriz.souza@emescam.br</w:t>
        </w:r>
      </w:hyperlink>
    </w:p>
  </w:footnote>
  <w:footnote w:id="3">
    <w:p w14:paraId="379CAF8A" w14:textId="4BF91772" w:rsidR="005B1A6B" w:rsidRPr="00CC7D22" w:rsidRDefault="005B1A6B" w:rsidP="00D67E11">
      <w:pPr>
        <w:pStyle w:val="Textonotapie"/>
        <w:jc w:val="both"/>
        <w:rPr>
          <w:lang w:val="en-US"/>
        </w:rPr>
      </w:pPr>
      <w:r w:rsidRPr="00AB2CE6">
        <w:rPr>
          <w:b/>
          <w:bCs/>
          <w:color w:val="222222"/>
          <w:u w:color="222222"/>
          <w:bdr w:val="nil"/>
          <w:vertAlign w:val="superscript"/>
          <w:lang w:val="es-AR"/>
          <w14:textOutline w14:w="0" w14:cap="flat" w14:cmpd="sng" w14:algn="ctr">
            <w14:noFill/>
            <w14:prstDash w14:val="solid"/>
            <w14:bevel/>
          </w14:textOutline>
        </w:rPr>
        <w:footnoteRef/>
      </w:r>
      <w:r w:rsidRPr="001E55FA">
        <w:rPr>
          <w:b/>
          <w:bCs/>
          <w:color w:val="222222"/>
          <w:u w:color="222222"/>
          <w:bdr w:val="nil"/>
          <w:vertAlign w:val="superscript"/>
          <w:lang w:val="en-US"/>
          <w14:textOutline w14:w="0" w14:cap="flat" w14:cmpd="sng" w14:algn="ctr">
            <w14:noFill/>
            <w14:prstDash w14:val="solid"/>
            <w14:bevel/>
          </w14:textOutline>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 w:id="4">
    <w:p w14:paraId="1181520F" w14:textId="18CD5DAB" w:rsidR="006B6D8D" w:rsidRPr="006B6D8D" w:rsidRDefault="006B6D8D">
      <w:pPr>
        <w:pStyle w:val="Textonotapie"/>
        <w:rPr>
          <w:lang w:val="en-US"/>
        </w:rPr>
      </w:pPr>
      <w:r>
        <w:rPr>
          <w:rStyle w:val="Refdenotaalpie"/>
        </w:rPr>
        <w:footnoteRef/>
      </w:r>
      <w:r w:rsidRPr="006B6D8D">
        <w:rPr>
          <w:lang w:val="en-US"/>
        </w:rPr>
        <w:t xml:space="preserve"> No original, </w:t>
      </w:r>
      <w:proofErr w:type="spellStart"/>
      <w:r w:rsidRPr="006B6D8D">
        <w:rPr>
          <w:lang w:val="en-US"/>
        </w:rPr>
        <w:t>em</w:t>
      </w:r>
      <w:proofErr w:type="spellEnd"/>
      <w:r w:rsidRPr="006B6D8D">
        <w:rPr>
          <w:lang w:val="en-US"/>
        </w:rPr>
        <w:t xml:space="preserve"> </w:t>
      </w:r>
      <w:proofErr w:type="spellStart"/>
      <w:r w:rsidRPr="006B6D8D">
        <w:rPr>
          <w:lang w:val="en-US"/>
        </w:rPr>
        <w:t>Inglês</w:t>
      </w:r>
      <w:proofErr w:type="spellEnd"/>
      <w:r w:rsidRPr="006B6D8D">
        <w:rPr>
          <w:lang w:val="en-US"/>
        </w:rPr>
        <w:t>: “</w:t>
      </w:r>
      <w:r w:rsidRPr="006B6D8D">
        <w:rPr>
          <w:i/>
          <w:lang w:val="en-US"/>
        </w:rPr>
        <w:t>For the SIR purposes, refugee camps are settlements which have been established for more than 6 months and have at least 2.500 individuals.</w:t>
      </w:r>
      <w:r w:rsidRPr="006B6D8D">
        <w:rPr>
          <w:lang w:val="en-US"/>
        </w:rPr>
        <w:t xml:space="preserve">” </w:t>
      </w:r>
      <w:proofErr w:type="spellStart"/>
      <w:r w:rsidRPr="006B6D8D">
        <w:rPr>
          <w:lang w:val="en-US"/>
        </w:rPr>
        <w:t>Tradução</w:t>
      </w:r>
      <w:proofErr w:type="spellEnd"/>
      <w:r w:rsidRPr="006B6D8D">
        <w:rPr>
          <w:lang w:val="en-US"/>
        </w:rPr>
        <w:t xml:space="preserve"> livre.</w:t>
      </w:r>
    </w:p>
  </w:footnote>
  <w:footnote w:id="5">
    <w:p w14:paraId="4C43F821" w14:textId="2DD6AA19" w:rsidR="006B6D8D" w:rsidRPr="00530140" w:rsidRDefault="006B6D8D">
      <w:pPr>
        <w:pStyle w:val="Textonotapie"/>
        <w:rPr>
          <w:lang w:val="en-US"/>
        </w:rPr>
      </w:pPr>
      <w:r>
        <w:rPr>
          <w:rStyle w:val="Refdenotaalpie"/>
        </w:rPr>
        <w:footnoteRef/>
      </w:r>
      <w:r w:rsidRPr="006B6D8D">
        <w:rPr>
          <w:lang w:val="en-US"/>
        </w:rPr>
        <w:t xml:space="preserve"> No original: “</w:t>
      </w:r>
      <w:r w:rsidRPr="006B6D8D">
        <w:rPr>
          <w:i/>
          <w:lang w:val="en-US"/>
        </w:rPr>
        <w:t>Using a crude measure of refugee populations of 25,000 persons or more who have been in exile for five or more years in developing countries, and excluding Palestinian refugees</w:t>
      </w:r>
      <w:r w:rsidRPr="006B6D8D">
        <w:rPr>
          <w:lang w:val="en-US"/>
        </w:rPr>
        <w:t xml:space="preserve">”. </w:t>
      </w:r>
      <w:proofErr w:type="spellStart"/>
      <w:r w:rsidRPr="00530140">
        <w:rPr>
          <w:lang w:val="en-US"/>
        </w:rPr>
        <w:t>Tradução</w:t>
      </w:r>
      <w:proofErr w:type="spellEnd"/>
      <w:r w:rsidRPr="00530140">
        <w:rPr>
          <w:lang w:val="en-US"/>
        </w:rPr>
        <w:t xml:space="preserve"> livre.</w:t>
      </w:r>
    </w:p>
  </w:footnote>
  <w:footnote w:id="6">
    <w:p w14:paraId="725F19AF" w14:textId="77777777" w:rsidR="006B6D8D" w:rsidRPr="006B6D8D" w:rsidRDefault="006B6D8D" w:rsidP="006B6D8D">
      <w:pPr>
        <w:jc w:val="both"/>
        <w:rPr>
          <w:sz w:val="20"/>
          <w:szCs w:val="20"/>
          <w:lang w:val="en-US"/>
        </w:rPr>
      </w:pPr>
      <w:r>
        <w:rPr>
          <w:vertAlign w:val="superscript"/>
        </w:rPr>
        <w:footnoteRef/>
      </w:r>
      <w:r w:rsidRPr="006B6D8D">
        <w:rPr>
          <w:sz w:val="20"/>
          <w:szCs w:val="20"/>
          <w:lang w:val="en-US"/>
        </w:rPr>
        <w:t xml:space="preserve"> UNHCR Data Portal: Refugee Situations. </w:t>
      </w:r>
      <w:r w:rsidRPr="006B6D8D">
        <w:rPr>
          <w:i/>
          <w:sz w:val="20"/>
          <w:szCs w:val="20"/>
          <w:lang w:val="en-US"/>
        </w:rPr>
        <w:t>Partners List</w:t>
      </w:r>
      <w:r w:rsidRPr="006B6D8D">
        <w:rPr>
          <w:sz w:val="20"/>
          <w:szCs w:val="20"/>
          <w:lang w:val="en-US"/>
        </w:rPr>
        <w:t>. &lt;</w:t>
      </w:r>
      <w:hyperlink r:id="rId2">
        <w:r w:rsidRPr="006B6D8D">
          <w:rPr>
            <w:color w:val="1155CC"/>
            <w:sz w:val="20"/>
            <w:szCs w:val="20"/>
            <w:u w:val="single"/>
            <w:lang w:val="en-US"/>
          </w:rPr>
          <w:t>https://data.unhcr.org/en/partners</w:t>
        </w:r>
      </w:hyperlink>
      <w:r w:rsidRPr="006B6D8D">
        <w:rPr>
          <w:sz w:val="20"/>
          <w:szCs w:val="20"/>
          <w:lang w:val="en-US"/>
        </w:rPr>
        <w:t>&gt; [08 out 2023].</w:t>
      </w:r>
    </w:p>
  </w:footnote>
  <w:footnote w:id="7">
    <w:p w14:paraId="2EC67738" w14:textId="77777777" w:rsidR="008A72AF" w:rsidRPr="00FB0D74" w:rsidRDefault="008A72AF" w:rsidP="008A72AF">
      <w:pPr>
        <w:jc w:val="both"/>
        <w:rPr>
          <w:sz w:val="20"/>
          <w:szCs w:val="20"/>
          <w:lang w:val="en-US"/>
        </w:rPr>
      </w:pPr>
      <w:r>
        <w:rPr>
          <w:vertAlign w:val="superscript"/>
        </w:rPr>
        <w:footnoteRef/>
      </w:r>
      <w:r w:rsidRPr="008A72AF">
        <w:rPr>
          <w:sz w:val="20"/>
          <w:szCs w:val="20"/>
          <w:lang w:val="en-US"/>
        </w:rPr>
        <w:t xml:space="preserve"> No original e </w:t>
      </w:r>
      <w:proofErr w:type="spellStart"/>
      <w:r w:rsidRPr="008A72AF">
        <w:rPr>
          <w:sz w:val="20"/>
          <w:szCs w:val="20"/>
          <w:lang w:val="en-US"/>
        </w:rPr>
        <w:t>na</w:t>
      </w:r>
      <w:proofErr w:type="spellEnd"/>
      <w:r w:rsidRPr="008A72AF">
        <w:rPr>
          <w:sz w:val="20"/>
          <w:szCs w:val="20"/>
          <w:lang w:val="en-US"/>
        </w:rPr>
        <w:t xml:space="preserve"> </w:t>
      </w:r>
      <w:proofErr w:type="spellStart"/>
      <w:r w:rsidRPr="008A72AF">
        <w:rPr>
          <w:sz w:val="20"/>
          <w:szCs w:val="20"/>
          <w:lang w:val="en-US"/>
        </w:rPr>
        <w:t>íntegra</w:t>
      </w:r>
      <w:proofErr w:type="spellEnd"/>
      <w:r w:rsidRPr="008A72AF">
        <w:rPr>
          <w:sz w:val="20"/>
          <w:szCs w:val="20"/>
          <w:lang w:val="en-US"/>
        </w:rPr>
        <w:t xml:space="preserve">: “For many moral philosophers the central focus is on how people ought to behave; mine is on how they </w:t>
      </w:r>
      <w:r w:rsidRPr="008A72AF">
        <w:rPr>
          <w:i/>
          <w:sz w:val="20"/>
          <w:szCs w:val="20"/>
          <w:lang w:val="en-US"/>
        </w:rPr>
        <w:t xml:space="preserve">think </w:t>
      </w:r>
      <w:r w:rsidRPr="008A72AF">
        <w:rPr>
          <w:sz w:val="20"/>
          <w:szCs w:val="20"/>
          <w:lang w:val="en-US"/>
        </w:rPr>
        <w:t xml:space="preserve">they should behave and how they </w:t>
      </w:r>
      <w:r w:rsidRPr="008A72AF">
        <w:rPr>
          <w:i/>
          <w:sz w:val="20"/>
          <w:szCs w:val="20"/>
          <w:lang w:val="en-US"/>
        </w:rPr>
        <w:t xml:space="preserve">actually </w:t>
      </w:r>
      <w:r w:rsidRPr="008A72AF">
        <w:rPr>
          <w:sz w:val="20"/>
          <w:szCs w:val="20"/>
          <w:lang w:val="en-US"/>
        </w:rPr>
        <w:t xml:space="preserve">behave”. </w:t>
      </w:r>
      <w:proofErr w:type="spellStart"/>
      <w:r w:rsidRPr="00FB0D74">
        <w:rPr>
          <w:sz w:val="20"/>
          <w:szCs w:val="20"/>
          <w:lang w:val="en-US"/>
        </w:rPr>
        <w:t>Grifos</w:t>
      </w:r>
      <w:proofErr w:type="spellEnd"/>
      <w:r w:rsidRPr="00FB0D74">
        <w:rPr>
          <w:sz w:val="20"/>
          <w:szCs w:val="20"/>
          <w:lang w:val="en-US"/>
        </w:rPr>
        <w:t xml:space="preserve"> no original.</w:t>
      </w:r>
    </w:p>
  </w:footnote>
  <w:footnote w:id="8">
    <w:p w14:paraId="7739EBFD" w14:textId="77777777" w:rsidR="001E450D" w:rsidRPr="001E450D" w:rsidRDefault="001E450D" w:rsidP="001E450D">
      <w:pPr>
        <w:jc w:val="both"/>
        <w:rPr>
          <w:sz w:val="20"/>
          <w:szCs w:val="20"/>
          <w:lang w:val="en-US"/>
        </w:rPr>
      </w:pPr>
      <w:r>
        <w:rPr>
          <w:vertAlign w:val="superscript"/>
        </w:rPr>
        <w:footnoteRef/>
      </w:r>
      <w:r w:rsidRPr="001E450D">
        <w:rPr>
          <w:sz w:val="20"/>
          <w:szCs w:val="20"/>
          <w:lang w:val="en-US"/>
        </w:rPr>
        <w:t xml:space="preserve"> UNHCR Data Portal: Refugee Situations. </w:t>
      </w:r>
      <w:r w:rsidRPr="001E450D">
        <w:rPr>
          <w:i/>
          <w:sz w:val="20"/>
          <w:szCs w:val="20"/>
          <w:lang w:val="en-US"/>
        </w:rPr>
        <w:t>Partners List</w:t>
      </w:r>
      <w:r w:rsidRPr="001E450D">
        <w:rPr>
          <w:sz w:val="20"/>
          <w:szCs w:val="20"/>
          <w:lang w:val="en-US"/>
        </w:rPr>
        <w:t>. &lt;</w:t>
      </w:r>
      <w:hyperlink r:id="rId3">
        <w:r w:rsidRPr="001E450D">
          <w:rPr>
            <w:color w:val="1155CC"/>
            <w:sz w:val="20"/>
            <w:szCs w:val="20"/>
            <w:u w:val="single"/>
            <w:lang w:val="en-US"/>
          </w:rPr>
          <w:t>https://data.unhcr.org/en/partners</w:t>
        </w:r>
      </w:hyperlink>
      <w:r w:rsidRPr="001E450D">
        <w:rPr>
          <w:sz w:val="20"/>
          <w:szCs w:val="20"/>
          <w:lang w:val="en-US"/>
        </w:rPr>
        <w:t>&gt; [08 out 2023].</w:t>
      </w:r>
    </w:p>
  </w:footnote>
  <w:footnote w:id="9">
    <w:p w14:paraId="041F4BBD" w14:textId="77777777" w:rsidR="001E450D" w:rsidRPr="001E450D" w:rsidRDefault="001E450D" w:rsidP="001E450D">
      <w:pPr>
        <w:jc w:val="both"/>
        <w:rPr>
          <w:sz w:val="20"/>
          <w:szCs w:val="20"/>
          <w:lang w:val="en-US"/>
        </w:rPr>
      </w:pPr>
      <w:r>
        <w:rPr>
          <w:vertAlign w:val="superscript"/>
        </w:rPr>
        <w:footnoteRef/>
      </w:r>
      <w:r w:rsidRPr="001E450D">
        <w:rPr>
          <w:sz w:val="20"/>
          <w:szCs w:val="20"/>
          <w:lang w:val="en-US"/>
        </w:rPr>
        <w:t xml:space="preserve"> </w:t>
      </w:r>
      <w:r w:rsidRPr="001E450D">
        <w:rPr>
          <w:i/>
          <w:sz w:val="20"/>
          <w:szCs w:val="20"/>
          <w:lang w:val="en-US"/>
        </w:rPr>
        <w:t xml:space="preserve">CARE International </w:t>
      </w:r>
      <w:r w:rsidRPr="001E450D">
        <w:rPr>
          <w:sz w:val="20"/>
          <w:szCs w:val="20"/>
          <w:lang w:val="en-US"/>
        </w:rPr>
        <w:t xml:space="preserve">(Cooperative for Assistance and Relief Everywhere Inc.); </w:t>
      </w:r>
      <w:r w:rsidRPr="001E450D">
        <w:rPr>
          <w:i/>
          <w:sz w:val="20"/>
          <w:szCs w:val="20"/>
          <w:lang w:val="en-US"/>
        </w:rPr>
        <w:t xml:space="preserve">Center for Victims of Torture </w:t>
      </w:r>
      <w:r w:rsidRPr="001E450D">
        <w:rPr>
          <w:sz w:val="20"/>
          <w:szCs w:val="20"/>
          <w:lang w:val="en-US"/>
        </w:rPr>
        <w:t xml:space="preserve">(CVT); </w:t>
      </w:r>
      <w:r w:rsidRPr="001E450D">
        <w:rPr>
          <w:i/>
          <w:sz w:val="20"/>
          <w:szCs w:val="20"/>
          <w:lang w:val="en-US"/>
        </w:rPr>
        <w:t xml:space="preserve">International Medical Corps </w:t>
      </w:r>
      <w:r w:rsidRPr="001E450D">
        <w:rPr>
          <w:sz w:val="20"/>
          <w:szCs w:val="20"/>
          <w:lang w:val="en-US"/>
        </w:rPr>
        <w:t xml:space="preserve">(IMC); </w:t>
      </w:r>
      <w:r w:rsidRPr="001E450D">
        <w:rPr>
          <w:i/>
          <w:sz w:val="20"/>
          <w:szCs w:val="20"/>
          <w:lang w:val="en-US"/>
        </w:rPr>
        <w:t xml:space="preserve">Italian Refugee Council </w:t>
      </w:r>
      <w:r w:rsidRPr="001E450D">
        <w:rPr>
          <w:sz w:val="20"/>
          <w:szCs w:val="20"/>
          <w:lang w:val="en-US"/>
        </w:rPr>
        <w:t xml:space="preserve">(CIR; </w:t>
      </w:r>
      <w:r w:rsidRPr="001E450D">
        <w:rPr>
          <w:i/>
          <w:sz w:val="20"/>
          <w:szCs w:val="20"/>
          <w:lang w:val="en-US"/>
        </w:rPr>
        <w:t xml:space="preserve">Jesuit Refugee Service </w:t>
      </w:r>
      <w:r w:rsidRPr="001E450D">
        <w:rPr>
          <w:sz w:val="20"/>
          <w:szCs w:val="20"/>
          <w:lang w:val="en-US"/>
        </w:rPr>
        <w:t xml:space="preserve">(JRS); </w:t>
      </w:r>
      <w:r w:rsidRPr="001E450D">
        <w:rPr>
          <w:i/>
          <w:sz w:val="20"/>
          <w:szCs w:val="20"/>
          <w:lang w:val="en-US"/>
        </w:rPr>
        <w:t xml:space="preserve">Nippon International Cooperation for Community Development </w:t>
      </w:r>
      <w:r w:rsidRPr="001E450D">
        <w:rPr>
          <w:sz w:val="20"/>
          <w:szCs w:val="20"/>
          <w:lang w:val="en-US"/>
        </w:rPr>
        <w:t xml:space="preserve">(NICCOD); </w:t>
      </w:r>
      <w:r w:rsidRPr="001E450D">
        <w:rPr>
          <w:i/>
          <w:sz w:val="20"/>
          <w:szCs w:val="20"/>
          <w:lang w:val="en-US"/>
        </w:rPr>
        <w:t xml:space="preserve">Noor Al Hussein Foundation </w:t>
      </w:r>
      <w:r w:rsidRPr="001E450D">
        <w:rPr>
          <w:sz w:val="20"/>
          <w:szCs w:val="20"/>
          <w:lang w:val="en-US"/>
        </w:rPr>
        <w:t xml:space="preserve">(NHF Jordan); </w:t>
      </w:r>
      <w:proofErr w:type="spellStart"/>
      <w:r w:rsidRPr="001E450D">
        <w:rPr>
          <w:sz w:val="20"/>
          <w:szCs w:val="20"/>
          <w:lang w:val="en-US"/>
        </w:rPr>
        <w:t>Organização</w:t>
      </w:r>
      <w:proofErr w:type="spellEnd"/>
      <w:r w:rsidRPr="001E450D">
        <w:rPr>
          <w:sz w:val="20"/>
          <w:szCs w:val="20"/>
          <w:lang w:val="en-US"/>
        </w:rPr>
        <w:t xml:space="preserve"> Mundial da </w:t>
      </w:r>
      <w:proofErr w:type="spellStart"/>
      <w:r w:rsidRPr="001E450D">
        <w:rPr>
          <w:sz w:val="20"/>
          <w:szCs w:val="20"/>
          <w:lang w:val="en-US"/>
        </w:rPr>
        <w:t>Saúde</w:t>
      </w:r>
      <w:proofErr w:type="spellEnd"/>
      <w:r w:rsidRPr="001E450D">
        <w:rPr>
          <w:sz w:val="20"/>
          <w:szCs w:val="20"/>
          <w:lang w:val="en-US"/>
        </w:rPr>
        <w:t xml:space="preserve"> (OMS); </w:t>
      </w:r>
      <w:r w:rsidRPr="001E450D">
        <w:rPr>
          <w:i/>
          <w:sz w:val="20"/>
          <w:szCs w:val="20"/>
          <w:lang w:val="en-US"/>
        </w:rPr>
        <w:t xml:space="preserve">Save the Children International </w:t>
      </w:r>
      <w:r w:rsidRPr="001E450D">
        <w:rPr>
          <w:sz w:val="20"/>
          <w:szCs w:val="20"/>
          <w:lang w:val="en-US"/>
        </w:rPr>
        <w:t xml:space="preserve">(SCI) e </w:t>
      </w:r>
      <w:r w:rsidRPr="001E450D">
        <w:rPr>
          <w:i/>
          <w:sz w:val="20"/>
          <w:szCs w:val="20"/>
          <w:lang w:val="en-US"/>
        </w:rPr>
        <w:t xml:space="preserve">Terre Des Hommes </w:t>
      </w:r>
      <w:r w:rsidRPr="001E450D">
        <w:rPr>
          <w:sz w:val="20"/>
          <w:szCs w:val="20"/>
          <w:lang w:val="en-US"/>
        </w:rPr>
        <w:t>(TDH).</w:t>
      </w:r>
    </w:p>
  </w:footnote>
  <w:footnote w:id="10">
    <w:p w14:paraId="50833BC5" w14:textId="7996EF6E" w:rsidR="008F27A6" w:rsidRPr="008F27A6" w:rsidRDefault="008F27A6" w:rsidP="008F27A6">
      <w:pPr>
        <w:jc w:val="both"/>
        <w:rPr>
          <w:sz w:val="20"/>
          <w:szCs w:val="20"/>
          <w:lang w:val="en-US"/>
        </w:rPr>
      </w:pPr>
      <w:r>
        <w:rPr>
          <w:vertAlign w:val="superscript"/>
        </w:rPr>
        <w:footnoteRef/>
      </w:r>
      <w:r w:rsidRPr="008F27A6">
        <w:rPr>
          <w:sz w:val="20"/>
          <w:szCs w:val="20"/>
          <w:lang w:val="en-US"/>
        </w:rPr>
        <w:t xml:space="preserve"> No original: “</w:t>
      </w:r>
      <w:r>
        <w:rPr>
          <w:sz w:val="20"/>
          <w:szCs w:val="20"/>
          <w:lang w:val="en-US"/>
        </w:rPr>
        <w:t>[…]</w:t>
      </w:r>
      <w:r w:rsidRPr="008F27A6">
        <w:rPr>
          <w:sz w:val="20"/>
          <w:szCs w:val="20"/>
          <w:lang w:val="en-US"/>
        </w:rPr>
        <w:t xml:space="preserve"> the other as object, the other as evaluator, and the other as an individual.”</w:t>
      </w:r>
    </w:p>
  </w:footnote>
  <w:footnote w:id="11">
    <w:p w14:paraId="5598E4BC" w14:textId="0B241FB4" w:rsidR="008F27A6" w:rsidRPr="008F27A6" w:rsidRDefault="008F27A6" w:rsidP="008F27A6">
      <w:pPr>
        <w:rPr>
          <w:sz w:val="20"/>
          <w:szCs w:val="20"/>
          <w:lang w:val="en-US"/>
        </w:rPr>
      </w:pPr>
      <w:r>
        <w:rPr>
          <w:vertAlign w:val="superscript"/>
        </w:rPr>
        <w:footnoteRef/>
      </w:r>
      <w:r w:rsidRPr="008F27A6">
        <w:rPr>
          <w:sz w:val="20"/>
          <w:szCs w:val="20"/>
          <w:lang w:val="en-US"/>
        </w:rPr>
        <w:t xml:space="preserve"> No original: “The orientation to the other as individual </w:t>
      </w:r>
      <w:r w:rsidR="00CF443B">
        <w:rPr>
          <w:sz w:val="20"/>
          <w:szCs w:val="20"/>
          <w:lang w:val="en-US"/>
        </w:rPr>
        <w:t>[…]</w:t>
      </w:r>
      <w:r w:rsidRPr="008F27A6">
        <w:rPr>
          <w:sz w:val="20"/>
          <w:szCs w:val="20"/>
          <w:lang w:val="en-US"/>
        </w:rPr>
        <w:t xml:space="preserve"> involves recognizing the other as a person in her or his own right, a person with needs, desires, and goals of his or her own.”</w:t>
      </w:r>
    </w:p>
  </w:footnote>
  <w:footnote w:id="12">
    <w:p w14:paraId="658BD6E9" w14:textId="77777777" w:rsidR="008F27A6" w:rsidRPr="008F27A6" w:rsidRDefault="008F27A6" w:rsidP="008F27A6">
      <w:pPr>
        <w:jc w:val="both"/>
        <w:rPr>
          <w:sz w:val="20"/>
          <w:szCs w:val="20"/>
          <w:lang w:val="en-US"/>
        </w:rPr>
      </w:pPr>
      <w:r>
        <w:rPr>
          <w:vertAlign w:val="superscript"/>
        </w:rPr>
        <w:footnoteRef/>
      </w:r>
      <w:r w:rsidRPr="008F27A6">
        <w:rPr>
          <w:sz w:val="20"/>
          <w:szCs w:val="20"/>
          <w:lang w:val="en-US"/>
        </w:rPr>
        <w:t xml:space="preserve"> No original e </w:t>
      </w:r>
      <w:proofErr w:type="spellStart"/>
      <w:r w:rsidRPr="008F27A6">
        <w:rPr>
          <w:sz w:val="20"/>
          <w:szCs w:val="20"/>
          <w:lang w:val="en-US"/>
        </w:rPr>
        <w:t>na</w:t>
      </w:r>
      <w:proofErr w:type="spellEnd"/>
      <w:r w:rsidRPr="008F27A6">
        <w:rPr>
          <w:sz w:val="20"/>
          <w:szCs w:val="20"/>
          <w:lang w:val="en-US"/>
        </w:rPr>
        <w:t xml:space="preserve"> </w:t>
      </w:r>
      <w:proofErr w:type="spellStart"/>
      <w:r w:rsidRPr="008F27A6">
        <w:rPr>
          <w:sz w:val="20"/>
          <w:szCs w:val="20"/>
          <w:lang w:val="en-US"/>
        </w:rPr>
        <w:t>íntegra</w:t>
      </w:r>
      <w:proofErr w:type="spellEnd"/>
      <w:r w:rsidRPr="008F27A6">
        <w:rPr>
          <w:sz w:val="20"/>
          <w:szCs w:val="20"/>
          <w:lang w:val="en-US"/>
        </w:rPr>
        <w:t>: “Without realizing it, Bloch avails himself of a normative theory of mutual recognition. According to this theory, the integrity of human subjects, vulnerable as they are to injury through insult and disrespect, depends on their receiving approval and respect from others.”</w:t>
      </w:r>
    </w:p>
  </w:footnote>
  <w:footnote w:id="13">
    <w:p w14:paraId="2D302414" w14:textId="68E24D9B" w:rsidR="00280463" w:rsidRPr="00280463" w:rsidRDefault="00280463" w:rsidP="00280463">
      <w:pPr>
        <w:jc w:val="both"/>
        <w:rPr>
          <w:sz w:val="20"/>
          <w:szCs w:val="20"/>
          <w:lang w:val="en-US"/>
        </w:rPr>
      </w:pPr>
      <w:r>
        <w:rPr>
          <w:vertAlign w:val="superscript"/>
        </w:rPr>
        <w:footnoteRef/>
      </w:r>
      <w:r w:rsidR="00CF443B">
        <w:rPr>
          <w:sz w:val="20"/>
          <w:szCs w:val="20"/>
          <w:lang w:val="en-US"/>
        </w:rPr>
        <w:t xml:space="preserve"> No original: “[…]</w:t>
      </w:r>
      <w:r w:rsidRPr="00280463">
        <w:rPr>
          <w:sz w:val="20"/>
          <w:szCs w:val="20"/>
          <w:lang w:val="en-US"/>
        </w:rPr>
        <w:t xml:space="preserve"> the various forms of disrespect for psychological integrity take on the same negative role that organic diseases play in the context of body processes.”</w:t>
      </w:r>
    </w:p>
  </w:footnote>
  <w:footnote w:id="14">
    <w:p w14:paraId="3E827F9A" w14:textId="77777777" w:rsidR="00280463" w:rsidRPr="00280463" w:rsidRDefault="00280463" w:rsidP="00280463">
      <w:pPr>
        <w:jc w:val="both"/>
        <w:rPr>
          <w:sz w:val="20"/>
          <w:szCs w:val="20"/>
          <w:lang w:val="en-US"/>
        </w:rPr>
      </w:pPr>
      <w:r>
        <w:rPr>
          <w:vertAlign w:val="superscript"/>
        </w:rPr>
        <w:footnoteRef/>
      </w:r>
      <w:r w:rsidRPr="00280463">
        <w:rPr>
          <w:sz w:val="20"/>
          <w:szCs w:val="20"/>
          <w:lang w:val="en-US"/>
        </w:rPr>
        <w:t xml:space="preserve"> No original e </w:t>
      </w:r>
      <w:proofErr w:type="spellStart"/>
      <w:r w:rsidRPr="00280463">
        <w:rPr>
          <w:sz w:val="20"/>
          <w:szCs w:val="20"/>
          <w:lang w:val="en-US"/>
        </w:rPr>
        <w:t>na</w:t>
      </w:r>
      <w:proofErr w:type="spellEnd"/>
      <w:r w:rsidRPr="00280463">
        <w:rPr>
          <w:sz w:val="20"/>
          <w:szCs w:val="20"/>
          <w:lang w:val="en-US"/>
        </w:rPr>
        <w:t xml:space="preserve"> </w:t>
      </w:r>
      <w:proofErr w:type="spellStart"/>
      <w:r w:rsidRPr="00280463">
        <w:rPr>
          <w:sz w:val="20"/>
          <w:szCs w:val="20"/>
          <w:lang w:val="en-US"/>
        </w:rPr>
        <w:t>íntegra</w:t>
      </w:r>
      <w:proofErr w:type="spellEnd"/>
      <w:r w:rsidRPr="00280463">
        <w:rPr>
          <w:sz w:val="20"/>
          <w:szCs w:val="20"/>
          <w:lang w:val="en-US"/>
        </w:rPr>
        <w:t xml:space="preserve">: “Developmentally, 'good' and 'bad' </w:t>
      </w:r>
      <w:proofErr w:type="spellStart"/>
      <w:r w:rsidRPr="00280463">
        <w:rPr>
          <w:sz w:val="20"/>
          <w:szCs w:val="20"/>
          <w:lang w:val="en-US"/>
        </w:rPr>
        <w:t>behaviour</w:t>
      </w:r>
      <w:proofErr w:type="spellEnd"/>
      <w:r w:rsidRPr="00280463">
        <w:rPr>
          <w:sz w:val="20"/>
          <w:szCs w:val="20"/>
          <w:lang w:val="en-US"/>
        </w:rPr>
        <w:t xml:space="preserve"> are two sides of the same coin, which predominates depending largely on the vicissitudes of experience.”</w:t>
      </w:r>
    </w:p>
  </w:footnote>
  <w:footnote w:id="15">
    <w:p w14:paraId="57AC2201" w14:textId="77777777" w:rsidR="00280463" w:rsidRPr="00280463" w:rsidRDefault="00280463" w:rsidP="00280463">
      <w:pPr>
        <w:jc w:val="both"/>
        <w:rPr>
          <w:sz w:val="20"/>
          <w:szCs w:val="20"/>
          <w:lang w:val="en-US"/>
        </w:rPr>
      </w:pPr>
      <w:r>
        <w:rPr>
          <w:vertAlign w:val="superscript"/>
        </w:rPr>
        <w:footnoteRef/>
      </w:r>
      <w:r w:rsidRPr="00280463">
        <w:rPr>
          <w:sz w:val="20"/>
          <w:szCs w:val="20"/>
          <w:lang w:val="en-US"/>
        </w:rPr>
        <w:t xml:space="preserve"> No original: “Several classical studies on situational variables have demonstrated that with an increasing number </w:t>
      </w:r>
      <w:proofErr w:type="gramStart"/>
      <w:r w:rsidRPr="00280463">
        <w:rPr>
          <w:sz w:val="20"/>
          <w:szCs w:val="20"/>
          <w:lang w:val="en-US"/>
        </w:rPr>
        <w:t>of  (</w:t>
      </w:r>
      <w:proofErr w:type="gramEnd"/>
      <w:r w:rsidRPr="00280463">
        <w:rPr>
          <w:sz w:val="20"/>
          <w:szCs w:val="20"/>
          <w:lang w:val="en-US"/>
        </w:rPr>
        <w:t>passive) bystanders the likelihood that individuals will help decreases, whereas observation of bystanders actively helping increases the prosocial tendency”.</w:t>
      </w:r>
    </w:p>
  </w:footnote>
  <w:footnote w:id="16">
    <w:p w14:paraId="295EEC11" w14:textId="77777777" w:rsidR="00477C23" w:rsidRPr="00477C23" w:rsidRDefault="00477C23" w:rsidP="00477C23">
      <w:pPr>
        <w:jc w:val="both"/>
        <w:rPr>
          <w:sz w:val="20"/>
          <w:szCs w:val="20"/>
          <w:lang w:val="en-US"/>
        </w:rPr>
      </w:pPr>
      <w:r>
        <w:rPr>
          <w:vertAlign w:val="superscript"/>
        </w:rPr>
        <w:footnoteRef/>
      </w:r>
      <w:r w:rsidRPr="00477C23">
        <w:rPr>
          <w:sz w:val="20"/>
          <w:szCs w:val="20"/>
          <w:lang w:val="en-US"/>
        </w:rPr>
        <w:t xml:space="preserve"> No original: “Although often blamed for antisocial effects, the mass media nevertheless offer a global network which enhances </w:t>
      </w:r>
      <w:proofErr w:type="spellStart"/>
      <w:r w:rsidRPr="00477C23">
        <w:rPr>
          <w:sz w:val="20"/>
          <w:szCs w:val="20"/>
          <w:lang w:val="en-US"/>
        </w:rPr>
        <w:t>woldwide</w:t>
      </w:r>
      <w:proofErr w:type="spellEnd"/>
      <w:r w:rsidRPr="00477C23">
        <w:rPr>
          <w:sz w:val="20"/>
          <w:szCs w:val="20"/>
          <w:lang w:val="en-US"/>
        </w:rPr>
        <w:t xml:space="preserve"> communication, enabling the recipient to become acquainted with and even to participate in other groups and other cultures, thereby reducing their strangeness.”</w:t>
      </w:r>
    </w:p>
  </w:footnote>
  <w:footnote w:id="17">
    <w:p w14:paraId="399304B8" w14:textId="77777777" w:rsidR="00477C23" w:rsidRPr="00477C23" w:rsidRDefault="00477C23" w:rsidP="00477C23">
      <w:pPr>
        <w:jc w:val="both"/>
        <w:rPr>
          <w:sz w:val="20"/>
          <w:szCs w:val="20"/>
          <w:lang w:val="en-US"/>
        </w:rPr>
      </w:pPr>
      <w:r>
        <w:rPr>
          <w:vertAlign w:val="superscript"/>
        </w:rPr>
        <w:footnoteRef/>
      </w:r>
      <w:r w:rsidRPr="00477C23">
        <w:rPr>
          <w:sz w:val="20"/>
          <w:szCs w:val="20"/>
          <w:lang w:val="en-US"/>
        </w:rPr>
        <w:t xml:space="preserve"> No original: “What the papers do not report are the innumerable acts of kindness and cooperation that most of us receive every day.”</w:t>
      </w:r>
    </w:p>
  </w:footnote>
  <w:footnote w:id="18">
    <w:p w14:paraId="5828D7B1" w14:textId="77777777" w:rsidR="00477C23" w:rsidRPr="00477C23" w:rsidRDefault="00477C23" w:rsidP="00477C23">
      <w:pPr>
        <w:rPr>
          <w:sz w:val="20"/>
          <w:szCs w:val="20"/>
          <w:lang w:val="en-US"/>
        </w:rPr>
      </w:pPr>
      <w:r>
        <w:rPr>
          <w:vertAlign w:val="superscript"/>
        </w:rPr>
        <w:footnoteRef/>
      </w:r>
      <w:r w:rsidRPr="00477C23">
        <w:rPr>
          <w:sz w:val="20"/>
          <w:szCs w:val="20"/>
          <w:lang w:val="en-US"/>
        </w:rPr>
        <w:t xml:space="preserve"> No original: “Confidence that beliefs and values are shared may be essential for trust and commitment”.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7FB80" w14:textId="735D4DE0" w:rsidR="005B1A6B" w:rsidRPr="00ED009D" w:rsidRDefault="00942230" w:rsidP="00714485">
    <w:pPr>
      <w:pStyle w:val="Encabezado"/>
      <w:jc w:val="center"/>
      <w:rPr>
        <w:rFonts w:ascii="Times" w:hAnsi="Times" w:cs="Times New Roman (Body CS)"/>
        <w:b/>
        <w:bCs/>
        <w:smallCaps/>
        <w:sz w:val="20"/>
        <w:szCs w:val="20"/>
        <w:lang w:val="pt-BR"/>
      </w:rPr>
    </w:pPr>
    <w:r w:rsidRPr="00942230">
      <w:rPr>
        <w:rFonts w:ascii="Times" w:hAnsi="Times" w:cs="Times New Roman (Body CS)"/>
        <w:b/>
        <w:bCs/>
        <w:smallCaps/>
        <w:sz w:val="20"/>
        <w:szCs w:val="20"/>
        <w:lang w:val="pt-BR"/>
      </w:rPr>
      <w:t>de Barros Souza</w:t>
    </w:r>
    <w:r w:rsidR="00477C23">
      <w:rPr>
        <w:rFonts w:ascii="Times" w:hAnsi="Times" w:cs="Times New Roman (Body CS)"/>
        <w:b/>
        <w:bCs/>
        <w:smallCaps/>
        <w:sz w:val="20"/>
        <w:szCs w:val="20"/>
        <w:lang w:val="pt-BR"/>
      </w:rPr>
      <w:t>, &amp; Garcia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D2C52" w14:textId="77777777" w:rsidR="005B1A6B" w:rsidRDefault="005B1A6B"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9" name="Imagen 9">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626A14C3" w14:textId="55CCFD37" w:rsidR="005B1A6B" w:rsidRDefault="005B1A6B" w:rsidP="00C413D4">
    <w:pPr>
      <w:pStyle w:val="Encabezado"/>
      <w:jc w:val="right"/>
      <w:rPr>
        <w:rFonts w:ascii="Times" w:hAnsi="Times"/>
        <w:i/>
        <w:sz w:val="18"/>
        <w:szCs w:val="18"/>
        <w:lang w:val="es-ES"/>
      </w:rPr>
    </w:pPr>
    <w:r>
      <w:rPr>
        <w:rFonts w:ascii="Times" w:hAnsi="Times"/>
        <w:i/>
        <w:sz w:val="18"/>
        <w:szCs w:val="18"/>
        <w:lang w:val="es-ES"/>
      </w:rPr>
      <w:t>202</w:t>
    </w:r>
    <w:r w:rsidR="00A6767D">
      <w:rPr>
        <w:rFonts w:ascii="Times" w:hAnsi="Times"/>
        <w:i/>
        <w:sz w:val="18"/>
        <w:szCs w:val="18"/>
        <w:lang w:val="es-ES"/>
      </w:rPr>
      <w:t>4</w:t>
    </w:r>
    <w:r>
      <w:rPr>
        <w:rFonts w:ascii="Times" w:hAnsi="Times"/>
        <w:i/>
        <w:sz w:val="18"/>
        <w:szCs w:val="18"/>
        <w:lang w:val="es-ES"/>
      </w:rPr>
      <w:t>, Vol., 5</w:t>
    </w:r>
    <w:r w:rsidR="00A6767D">
      <w:rPr>
        <w:rFonts w:ascii="Times" w:hAnsi="Times"/>
        <w:i/>
        <w:sz w:val="18"/>
        <w:szCs w:val="18"/>
        <w:lang w:val="es-ES"/>
      </w:rPr>
      <w:t>8</w:t>
    </w:r>
    <w:r>
      <w:rPr>
        <w:rFonts w:ascii="Times" w:hAnsi="Times"/>
        <w:i/>
        <w:sz w:val="18"/>
        <w:szCs w:val="18"/>
        <w:lang w:val="es-ES"/>
      </w:rPr>
      <w:t xml:space="preserve">, No. </w:t>
    </w:r>
    <w:r w:rsidR="00A6767D">
      <w:rPr>
        <w:rFonts w:ascii="Times" w:hAnsi="Times"/>
        <w:i/>
        <w:sz w:val="18"/>
        <w:szCs w:val="18"/>
        <w:lang w:val="es-ES"/>
      </w:rPr>
      <w:t>1</w:t>
    </w:r>
    <w:r>
      <w:rPr>
        <w:rFonts w:ascii="Times" w:hAnsi="Times"/>
        <w:i/>
        <w:sz w:val="18"/>
        <w:szCs w:val="18"/>
        <w:lang w:val="es-ES"/>
      </w:rPr>
      <w:t>, e1</w:t>
    </w:r>
    <w:r w:rsidR="00A6767D">
      <w:rPr>
        <w:rFonts w:ascii="Times" w:hAnsi="Times"/>
        <w:i/>
        <w:sz w:val="18"/>
        <w:szCs w:val="18"/>
        <w:lang w:val="es-ES"/>
      </w:rPr>
      <w:t>839</w:t>
    </w:r>
  </w:p>
  <w:p w14:paraId="1AAB67EA" w14:textId="77777777" w:rsidR="005B1A6B" w:rsidRDefault="005B1A6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04"/>
    <w:rsid w:val="00001354"/>
    <w:rsid w:val="00001EB7"/>
    <w:rsid w:val="00002215"/>
    <w:rsid w:val="0000650C"/>
    <w:rsid w:val="000079B1"/>
    <w:rsid w:val="000104E5"/>
    <w:rsid w:val="00012352"/>
    <w:rsid w:val="00012B7E"/>
    <w:rsid w:val="000134B3"/>
    <w:rsid w:val="00020341"/>
    <w:rsid w:val="00030148"/>
    <w:rsid w:val="000378AF"/>
    <w:rsid w:val="00043604"/>
    <w:rsid w:val="00053D76"/>
    <w:rsid w:val="0005428C"/>
    <w:rsid w:val="000547D8"/>
    <w:rsid w:val="00056CA1"/>
    <w:rsid w:val="00063582"/>
    <w:rsid w:val="000636EC"/>
    <w:rsid w:val="00064F18"/>
    <w:rsid w:val="00067898"/>
    <w:rsid w:val="000715BB"/>
    <w:rsid w:val="000733FA"/>
    <w:rsid w:val="00075F71"/>
    <w:rsid w:val="000815D5"/>
    <w:rsid w:val="00081C14"/>
    <w:rsid w:val="000928CA"/>
    <w:rsid w:val="00093818"/>
    <w:rsid w:val="00094513"/>
    <w:rsid w:val="0009689D"/>
    <w:rsid w:val="000A22C8"/>
    <w:rsid w:val="000A323A"/>
    <w:rsid w:val="000A6ECE"/>
    <w:rsid w:val="000B01FD"/>
    <w:rsid w:val="000B1FE0"/>
    <w:rsid w:val="000B32F6"/>
    <w:rsid w:val="000B6BFA"/>
    <w:rsid w:val="000D111A"/>
    <w:rsid w:val="000D6953"/>
    <w:rsid w:val="000E2E0B"/>
    <w:rsid w:val="000E6C79"/>
    <w:rsid w:val="000E759A"/>
    <w:rsid w:val="000F56BA"/>
    <w:rsid w:val="000F5A4E"/>
    <w:rsid w:val="001001E7"/>
    <w:rsid w:val="00100487"/>
    <w:rsid w:val="001006DE"/>
    <w:rsid w:val="00102494"/>
    <w:rsid w:val="00103F70"/>
    <w:rsid w:val="00105D4F"/>
    <w:rsid w:val="00106780"/>
    <w:rsid w:val="001127D1"/>
    <w:rsid w:val="001253E7"/>
    <w:rsid w:val="001264AC"/>
    <w:rsid w:val="00136F83"/>
    <w:rsid w:val="001444E3"/>
    <w:rsid w:val="0014506C"/>
    <w:rsid w:val="0014510D"/>
    <w:rsid w:val="00146254"/>
    <w:rsid w:val="001465A7"/>
    <w:rsid w:val="00147EED"/>
    <w:rsid w:val="00151604"/>
    <w:rsid w:val="001537BA"/>
    <w:rsid w:val="00153CA7"/>
    <w:rsid w:val="001565EE"/>
    <w:rsid w:val="00156C30"/>
    <w:rsid w:val="00157647"/>
    <w:rsid w:val="00160ABD"/>
    <w:rsid w:val="00160E3C"/>
    <w:rsid w:val="00166DA0"/>
    <w:rsid w:val="00167A76"/>
    <w:rsid w:val="00171E35"/>
    <w:rsid w:val="001721EB"/>
    <w:rsid w:val="00173120"/>
    <w:rsid w:val="00173AA9"/>
    <w:rsid w:val="001761E7"/>
    <w:rsid w:val="00180590"/>
    <w:rsid w:val="0018535A"/>
    <w:rsid w:val="00191CBC"/>
    <w:rsid w:val="0019293F"/>
    <w:rsid w:val="001941FE"/>
    <w:rsid w:val="00194839"/>
    <w:rsid w:val="001949C9"/>
    <w:rsid w:val="00194ECD"/>
    <w:rsid w:val="00197853"/>
    <w:rsid w:val="001A2835"/>
    <w:rsid w:val="001A3023"/>
    <w:rsid w:val="001A4444"/>
    <w:rsid w:val="001A695F"/>
    <w:rsid w:val="001B589B"/>
    <w:rsid w:val="001C41E9"/>
    <w:rsid w:val="001C4490"/>
    <w:rsid w:val="001C4E1C"/>
    <w:rsid w:val="001C7D0A"/>
    <w:rsid w:val="001D354F"/>
    <w:rsid w:val="001D5030"/>
    <w:rsid w:val="001E0A61"/>
    <w:rsid w:val="001E1F5C"/>
    <w:rsid w:val="001E1F61"/>
    <w:rsid w:val="001E4251"/>
    <w:rsid w:val="001E450D"/>
    <w:rsid w:val="001E4CD1"/>
    <w:rsid w:val="001E55FA"/>
    <w:rsid w:val="001F7920"/>
    <w:rsid w:val="001F7DA4"/>
    <w:rsid w:val="002012E8"/>
    <w:rsid w:val="00201E32"/>
    <w:rsid w:val="002036DA"/>
    <w:rsid w:val="00203EC7"/>
    <w:rsid w:val="002100AC"/>
    <w:rsid w:val="00213397"/>
    <w:rsid w:val="00220223"/>
    <w:rsid w:val="00222862"/>
    <w:rsid w:val="00226282"/>
    <w:rsid w:val="002334D9"/>
    <w:rsid w:val="0023574D"/>
    <w:rsid w:val="002359FB"/>
    <w:rsid w:val="00236AEF"/>
    <w:rsid w:val="00240895"/>
    <w:rsid w:val="00246BCD"/>
    <w:rsid w:val="00246D04"/>
    <w:rsid w:val="00247BDE"/>
    <w:rsid w:val="0025179C"/>
    <w:rsid w:val="002561F2"/>
    <w:rsid w:val="00256492"/>
    <w:rsid w:val="00257D49"/>
    <w:rsid w:val="002624E0"/>
    <w:rsid w:val="002666C8"/>
    <w:rsid w:val="00271502"/>
    <w:rsid w:val="00272605"/>
    <w:rsid w:val="002779D4"/>
    <w:rsid w:val="00280463"/>
    <w:rsid w:val="00287B47"/>
    <w:rsid w:val="00290C92"/>
    <w:rsid w:val="002927D7"/>
    <w:rsid w:val="00293DDA"/>
    <w:rsid w:val="00294547"/>
    <w:rsid w:val="0029543C"/>
    <w:rsid w:val="00295FF8"/>
    <w:rsid w:val="00297E85"/>
    <w:rsid w:val="002A0D91"/>
    <w:rsid w:val="002A2C68"/>
    <w:rsid w:val="002B04BE"/>
    <w:rsid w:val="002B307F"/>
    <w:rsid w:val="002B4C57"/>
    <w:rsid w:val="002B7F65"/>
    <w:rsid w:val="002C1EB1"/>
    <w:rsid w:val="002C3FA5"/>
    <w:rsid w:val="002C60F5"/>
    <w:rsid w:val="002C7DF0"/>
    <w:rsid w:val="002D0207"/>
    <w:rsid w:val="002D1053"/>
    <w:rsid w:val="002D5827"/>
    <w:rsid w:val="002D6B30"/>
    <w:rsid w:val="002E2011"/>
    <w:rsid w:val="002E2799"/>
    <w:rsid w:val="002E5EA3"/>
    <w:rsid w:val="002E6BEF"/>
    <w:rsid w:val="002E6EC1"/>
    <w:rsid w:val="002F070D"/>
    <w:rsid w:val="002F0CE9"/>
    <w:rsid w:val="002F257B"/>
    <w:rsid w:val="002F36B1"/>
    <w:rsid w:val="002F38C8"/>
    <w:rsid w:val="00302C5C"/>
    <w:rsid w:val="00303CD3"/>
    <w:rsid w:val="003128A7"/>
    <w:rsid w:val="00315976"/>
    <w:rsid w:val="003164A5"/>
    <w:rsid w:val="00333677"/>
    <w:rsid w:val="003364D8"/>
    <w:rsid w:val="00340FA8"/>
    <w:rsid w:val="0034107D"/>
    <w:rsid w:val="00342F6D"/>
    <w:rsid w:val="00350153"/>
    <w:rsid w:val="003507BC"/>
    <w:rsid w:val="00350F12"/>
    <w:rsid w:val="00351BE1"/>
    <w:rsid w:val="00354AA6"/>
    <w:rsid w:val="003664A7"/>
    <w:rsid w:val="00366950"/>
    <w:rsid w:val="00367B6E"/>
    <w:rsid w:val="00367C23"/>
    <w:rsid w:val="0037284D"/>
    <w:rsid w:val="003813D9"/>
    <w:rsid w:val="00382904"/>
    <w:rsid w:val="003839C1"/>
    <w:rsid w:val="00384E6B"/>
    <w:rsid w:val="0039161E"/>
    <w:rsid w:val="00392B93"/>
    <w:rsid w:val="00393ECF"/>
    <w:rsid w:val="003A1180"/>
    <w:rsid w:val="003A39AA"/>
    <w:rsid w:val="003A6E05"/>
    <w:rsid w:val="003A7DA9"/>
    <w:rsid w:val="003B2D88"/>
    <w:rsid w:val="003B3A06"/>
    <w:rsid w:val="003B4EFF"/>
    <w:rsid w:val="003C1F04"/>
    <w:rsid w:val="003C2CEE"/>
    <w:rsid w:val="003C4AA4"/>
    <w:rsid w:val="003C53B0"/>
    <w:rsid w:val="003C628B"/>
    <w:rsid w:val="003D1DE2"/>
    <w:rsid w:val="003D75C9"/>
    <w:rsid w:val="003E7618"/>
    <w:rsid w:val="003F0308"/>
    <w:rsid w:val="003F1F0B"/>
    <w:rsid w:val="00403B8B"/>
    <w:rsid w:val="00406054"/>
    <w:rsid w:val="004071D5"/>
    <w:rsid w:val="00411586"/>
    <w:rsid w:val="00411A56"/>
    <w:rsid w:val="0041371A"/>
    <w:rsid w:val="00414BBB"/>
    <w:rsid w:val="00415451"/>
    <w:rsid w:val="00417776"/>
    <w:rsid w:val="00420143"/>
    <w:rsid w:val="00420DE6"/>
    <w:rsid w:val="00426B7F"/>
    <w:rsid w:val="00432090"/>
    <w:rsid w:val="004411CE"/>
    <w:rsid w:val="00441E83"/>
    <w:rsid w:val="00444BAD"/>
    <w:rsid w:val="00447E89"/>
    <w:rsid w:val="00462135"/>
    <w:rsid w:val="00462BA7"/>
    <w:rsid w:val="00464F73"/>
    <w:rsid w:val="00465507"/>
    <w:rsid w:val="00471F54"/>
    <w:rsid w:val="0047234C"/>
    <w:rsid w:val="00475708"/>
    <w:rsid w:val="00476CF4"/>
    <w:rsid w:val="00477C23"/>
    <w:rsid w:val="00482F3F"/>
    <w:rsid w:val="00487FED"/>
    <w:rsid w:val="00491015"/>
    <w:rsid w:val="00491D3A"/>
    <w:rsid w:val="00493400"/>
    <w:rsid w:val="004A1D0F"/>
    <w:rsid w:val="004A26F0"/>
    <w:rsid w:val="004A631D"/>
    <w:rsid w:val="004A659B"/>
    <w:rsid w:val="004A74FA"/>
    <w:rsid w:val="004A7931"/>
    <w:rsid w:val="004B1CC7"/>
    <w:rsid w:val="004B1F3A"/>
    <w:rsid w:val="004B2E6E"/>
    <w:rsid w:val="004C0823"/>
    <w:rsid w:val="004C17FA"/>
    <w:rsid w:val="004C45CF"/>
    <w:rsid w:val="004C5F86"/>
    <w:rsid w:val="004D5719"/>
    <w:rsid w:val="004D6AF7"/>
    <w:rsid w:val="004E0570"/>
    <w:rsid w:val="004E2615"/>
    <w:rsid w:val="004E5581"/>
    <w:rsid w:val="004E5D4A"/>
    <w:rsid w:val="004F27B1"/>
    <w:rsid w:val="004F7121"/>
    <w:rsid w:val="004F75E9"/>
    <w:rsid w:val="00500966"/>
    <w:rsid w:val="00502DE8"/>
    <w:rsid w:val="00507543"/>
    <w:rsid w:val="00513E4D"/>
    <w:rsid w:val="005209EF"/>
    <w:rsid w:val="00527A99"/>
    <w:rsid w:val="00530140"/>
    <w:rsid w:val="005312B3"/>
    <w:rsid w:val="0053418A"/>
    <w:rsid w:val="005347C7"/>
    <w:rsid w:val="00537714"/>
    <w:rsid w:val="005415D2"/>
    <w:rsid w:val="00541F7B"/>
    <w:rsid w:val="0054384D"/>
    <w:rsid w:val="00552412"/>
    <w:rsid w:val="005544E5"/>
    <w:rsid w:val="005624A8"/>
    <w:rsid w:val="00564CD9"/>
    <w:rsid w:val="00565DA0"/>
    <w:rsid w:val="00577C96"/>
    <w:rsid w:val="00582881"/>
    <w:rsid w:val="00585FC4"/>
    <w:rsid w:val="0059034C"/>
    <w:rsid w:val="00590387"/>
    <w:rsid w:val="00591A0D"/>
    <w:rsid w:val="00595C9D"/>
    <w:rsid w:val="00596803"/>
    <w:rsid w:val="00597EA0"/>
    <w:rsid w:val="005A0ADC"/>
    <w:rsid w:val="005A12F4"/>
    <w:rsid w:val="005A29CE"/>
    <w:rsid w:val="005A32E2"/>
    <w:rsid w:val="005A578C"/>
    <w:rsid w:val="005B1A6B"/>
    <w:rsid w:val="005B337A"/>
    <w:rsid w:val="005B5455"/>
    <w:rsid w:val="005C5113"/>
    <w:rsid w:val="005C627F"/>
    <w:rsid w:val="005C68DE"/>
    <w:rsid w:val="005D0E10"/>
    <w:rsid w:val="005D3031"/>
    <w:rsid w:val="005D52B2"/>
    <w:rsid w:val="005E00FF"/>
    <w:rsid w:val="005E205D"/>
    <w:rsid w:val="005E3D7A"/>
    <w:rsid w:val="005E5A6C"/>
    <w:rsid w:val="005F2766"/>
    <w:rsid w:val="005F5A5D"/>
    <w:rsid w:val="00602C4B"/>
    <w:rsid w:val="00605A8D"/>
    <w:rsid w:val="0061019C"/>
    <w:rsid w:val="006111A2"/>
    <w:rsid w:val="0061504D"/>
    <w:rsid w:val="00623C7A"/>
    <w:rsid w:val="006250A6"/>
    <w:rsid w:val="00625A9A"/>
    <w:rsid w:val="0063089C"/>
    <w:rsid w:val="00633E2D"/>
    <w:rsid w:val="006348EE"/>
    <w:rsid w:val="00644037"/>
    <w:rsid w:val="006451FC"/>
    <w:rsid w:val="006515FB"/>
    <w:rsid w:val="00654ABE"/>
    <w:rsid w:val="0065510C"/>
    <w:rsid w:val="00660D5E"/>
    <w:rsid w:val="00661016"/>
    <w:rsid w:val="006612E1"/>
    <w:rsid w:val="006619C0"/>
    <w:rsid w:val="006619D9"/>
    <w:rsid w:val="006643C3"/>
    <w:rsid w:val="0066703D"/>
    <w:rsid w:val="0067054D"/>
    <w:rsid w:val="006720DE"/>
    <w:rsid w:val="00673CB0"/>
    <w:rsid w:val="00676735"/>
    <w:rsid w:val="006802D2"/>
    <w:rsid w:val="00680664"/>
    <w:rsid w:val="006840BE"/>
    <w:rsid w:val="00686DA9"/>
    <w:rsid w:val="006927E3"/>
    <w:rsid w:val="00693B61"/>
    <w:rsid w:val="00694FF4"/>
    <w:rsid w:val="006969C1"/>
    <w:rsid w:val="00697A99"/>
    <w:rsid w:val="006A07C0"/>
    <w:rsid w:val="006A0F85"/>
    <w:rsid w:val="006A0FB1"/>
    <w:rsid w:val="006A1BA2"/>
    <w:rsid w:val="006A23D2"/>
    <w:rsid w:val="006A6C92"/>
    <w:rsid w:val="006B0812"/>
    <w:rsid w:val="006B2988"/>
    <w:rsid w:val="006B4DA3"/>
    <w:rsid w:val="006B67C9"/>
    <w:rsid w:val="006B6D8D"/>
    <w:rsid w:val="006B740C"/>
    <w:rsid w:val="006C2146"/>
    <w:rsid w:val="006C21BC"/>
    <w:rsid w:val="006C34E9"/>
    <w:rsid w:val="006C390F"/>
    <w:rsid w:val="006D0B2B"/>
    <w:rsid w:val="006D1F88"/>
    <w:rsid w:val="006D330D"/>
    <w:rsid w:val="006E0173"/>
    <w:rsid w:val="006E0541"/>
    <w:rsid w:val="006E1236"/>
    <w:rsid w:val="006E4870"/>
    <w:rsid w:val="006F51A0"/>
    <w:rsid w:val="006F5633"/>
    <w:rsid w:val="006F7E7E"/>
    <w:rsid w:val="00705B8A"/>
    <w:rsid w:val="00714485"/>
    <w:rsid w:val="00715EFB"/>
    <w:rsid w:val="00720420"/>
    <w:rsid w:val="00724F5C"/>
    <w:rsid w:val="00727BD0"/>
    <w:rsid w:val="00732778"/>
    <w:rsid w:val="00732EF8"/>
    <w:rsid w:val="00734F22"/>
    <w:rsid w:val="00737F3E"/>
    <w:rsid w:val="00741238"/>
    <w:rsid w:val="007421EE"/>
    <w:rsid w:val="00742E4A"/>
    <w:rsid w:val="00743177"/>
    <w:rsid w:val="007444EE"/>
    <w:rsid w:val="0074640C"/>
    <w:rsid w:val="00746FB3"/>
    <w:rsid w:val="00750D6C"/>
    <w:rsid w:val="00753223"/>
    <w:rsid w:val="00754227"/>
    <w:rsid w:val="00770AE4"/>
    <w:rsid w:val="00772128"/>
    <w:rsid w:val="00772F5C"/>
    <w:rsid w:val="007734F8"/>
    <w:rsid w:val="007741C9"/>
    <w:rsid w:val="007757C7"/>
    <w:rsid w:val="007764AF"/>
    <w:rsid w:val="00781E79"/>
    <w:rsid w:val="007848F7"/>
    <w:rsid w:val="00785339"/>
    <w:rsid w:val="007858E4"/>
    <w:rsid w:val="00795D57"/>
    <w:rsid w:val="007A015E"/>
    <w:rsid w:val="007A7C7C"/>
    <w:rsid w:val="007B5DA8"/>
    <w:rsid w:val="007B686A"/>
    <w:rsid w:val="007B6A7D"/>
    <w:rsid w:val="007C07C7"/>
    <w:rsid w:val="007C0D71"/>
    <w:rsid w:val="007C1F01"/>
    <w:rsid w:val="007C4A34"/>
    <w:rsid w:val="007C5CB5"/>
    <w:rsid w:val="007D0BA9"/>
    <w:rsid w:val="007D22E8"/>
    <w:rsid w:val="007D53F7"/>
    <w:rsid w:val="007D6A4D"/>
    <w:rsid w:val="007D7E6B"/>
    <w:rsid w:val="007E1038"/>
    <w:rsid w:val="007E129F"/>
    <w:rsid w:val="007E4C07"/>
    <w:rsid w:val="007F2F33"/>
    <w:rsid w:val="007F3115"/>
    <w:rsid w:val="007F38FD"/>
    <w:rsid w:val="007F3B72"/>
    <w:rsid w:val="007F3F8A"/>
    <w:rsid w:val="007F5FDB"/>
    <w:rsid w:val="00800313"/>
    <w:rsid w:val="00802DB3"/>
    <w:rsid w:val="00804C60"/>
    <w:rsid w:val="0081083B"/>
    <w:rsid w:val="008114AC"/>
    <w:rsid w:val="008148CC"/>
    <w:rsid w:val="00814EE3"/>
    <w:rsid w:val="008204EF"/>
    <w:rsid w:val="008212B4"/>
    <w:rsid w:val="008225BA"/>
    <w:rsid w:val="0082341F"/>
    <w:rsid w:val="0082531B"/>
    <w:rsid w:val="00830CAA"/>
    <w:rsid w:val="00832B17"/>
    <w:rsid w:val="00840AC4"/>
    <w:rsid w:val="00845659"/>
    <w:rsid w:val="00847D06"/>
    <w:rsid w:val="0085144E"/>
    <w:rsid w:val="008547C7"/>
    <w:rsid w:val="00855389"/>
    <w:rsid w:val="008565A0"/>
    <w:rsid w:val="00861A27"/>
    <w:rsid w:val="00861D2F"/>
    <w:rsid w:val="008630BE"/>
    <w:rsid w:val="00872EFD"/>
    <w:rsid w:val="00876D90"/>
    <w:rsid w:val="00886B3C"/>
    <w:rsid w:val="00887460"/>
    <w:rsid w:val="00891C98"/>
    <w:rsid w:val="00897638"/>
    <w:rsid w:val="008A0FFC"/>
    <w:rsid w:val="008A72AF"/>
    <w:rsid w:val="008B0F10"/>
    <w:rsid w:val="008B1447"/>
    <w:rsid w:val="008B19BA"/>
    <w:rsid w:val="008B251F"/>
    <w:rsid w:val="008B4B3A"/>
    <w:rsid w:val="008B5E31"/>
    <w:rsid w:val="008B67DE"/>
    <w:rsid w:val="008C0DE4"/>
    <w:rsid w:val="008C0E7E"/>
    <w:rsid w:val="008C0EB9"/>
    <w:rsid w:val="008C15A4"/>
    <w:rsid w:val="008C26F9"/>
    <w:rsid w:val="008C3A89"/>
    <w:rsid w:val="008C409A"/>
    <w:rsid w:val="008C60E1"/>
    <w:rsid w:val="008D2794"/>
    <w:rsid w:val="008D2822"/>
    <w:rsid w:val="008D4ADD"/>
    <w:rsid w:val="008D509E"/>
    <w:rsid w:val="008D6A06"/>
    <w:rsid w:val="008E17AF"/>
    <w:rsid w:val="008E2DA6"/>
    <w:rsid w:val="008E54A6"/>
    <w:rsid w:val="008E5E6A"/>
    <w:rsid w:val="008F27A6"/>
    <w:rsid w:val="008F4B8A"/>
    <w:rsid w:val="009014AC"/>
    <w:rsid w:val="0090320C"/>
    <w:rsid w:val="009032D5"/>
    <w:rsid w:val="00903DEB"/>
    <w:rsid w:val="00905E2C"/>
    <w:rsid w:val="00920139"/>
    <w:rsid w:val="00922B3A"/>
    <w:rsid w:val="00923438"/>
    <w:rsid w:val="00923446"/>
    <w:rsid w:val="009246B9"/>
    <w:rsid w:val="00931116"/>
    <w:rsid w:val="00932AB1"/>
    <w:rsid w:val="009401BC"/>
    <w:rsid w:val="00942230"/>
    <w:rsid w:val="00943B5C"/>
    <w:rsid w:val="009446F0"/>
    <w:rsid w:val="00950BD4"/>
    <w:rsid w:val="0095579B"/>
    <w:rsid w:val="00964CC6"/>
    <w:rsid w:val="009703F5"/>
    <w:rsid w:val="00970D91"/>
    <w:rsid w:val="00971421"/>
    <w:rsid w:val="0097188A"/>
    <w:rsid w:val="00974513"/>
    <w:rsid w:val="00986BF6"/>
    <w:rsid w:val="00990AFE"/>
    <w:rsid w:val="00993315"/>
    <w:rsid w:val="009A0192"/>
    <w:rsid w:val="009A22B9"/>
    <w:rsid w:val="009A5FA1"/>
    <w:rsid w:val="009B3E5E"/>
    <w:rsid w:val="009B4D60"/>
    <w:rsid w:val="009C307F"/>
    <w:rsid w:val="009C36B8"/>
    <w:rsid w:val="009C43B4"/>
    <w:rsid w:val="009C4CF0"/>
    <w:rsid w:val="009D2551"/>
    <w:rsid w:val="009D71FD"/>
    <w:rsid w:val="009F1DA6"/>
    <w:rsid w:val="009F3E43"/>
    <w:rsid w:val="009F58C4"/>
    <w:rsid w:val="009F7B75"/>
    <w:rsid w:val="00A00678"/>
    <w:rsid w:val="00A03605"/>
    <w:rsid w:val="00A03E89"/>
    <w:rsid w:val="00A07982"/>
    <w:rsid w:val="00A114D6"/>
    <w:rsid w:val="00A12C89"/>
    <w:rsid w:val="00A13752"/>
    <w:rsid w:val="00A13797"/>
    <w:rsid w:val="00A15339"/>
    <w:rsid w:val="00A20744"/>
    <w:rsid w:val="00A234ED"/>
    <w:rsid w:val="00A34FAC"/>
    <w:rsid w:val="00A411A9"/>
    <w:rsid w:val="00A457D0"/>
    <w:rsid w:val="00A516C7"/>
    <w:rsid w:val="00A61B22"/>
    <w:rsid w:val="00A64E60"/>
    <w:rsid w:val="00A6767D"/>
    <w:rsid w:val="00A70AE3"/>
    <w:rsid w:val="00A72239"/>
    <w:rsid w:val="00A73A0B"/>
    <w:rsid w:val="00A80283"/>
    <w:rsid w:val="00A85C05"/>
    <w:rsid w:val="00A95630"/>
    <w:rsid w:val="00A96B61"/>
    <w:rsid w:val="00A97C99"/>
    <w:rsid w:val="00AA552A"/>
    <w:rsid w:val="00AA6E2E"/>
    <w:rsid w:val="00AA735D"/>
    <w:rsid w:val="00AB1AC5"/>
    <w:rsid w:val="00AB277A"/>
    <w:rsid w:val="00AB2CE6"/>
    <w:rsid w:val="00AB3BF6"/>
    <w:rsid w:val="00AB45ED"/>
    <w:rsid w:val="00AB5679"/>
    <w:rsid w:val="00AC3E22"/>
    <w:rsid w:val="00AC52AE"/>
    <w:rsid w:val="00AC590B"/>
    <w:rsid w:val="00AC5D20"/>
    <w:rsid w:val="00AC6029"/>
    <w:rsid w:val="00AC7994"/>
    <w:rsid w:val="00AD09AE"/>
    <w:rsid w:val="00AD0AE0"/>
    <w:rsid w:val="00AD3238"/>
    <w:rsid w:val="00AD374A"/>
    <w:rsid w:val="00AE2924"/>
    <w:rsid w:val="00AE48D4"/>
    <w:rsid w:val="00AF2B1C"/>
    <w:rsid w:val="00B054C8"/>
    <w:rsid w:val="00B06283"/>
    <w:rsid w:val="00B07ECE"/>
    <w:rsid w:val="00B105AD"/>
    <w:rsid w:val="00B114CD"/>
    <w:rsid w:val="00B114F3"/>
    <w:rsid w:val="00B12740"/>
    <w:rsid w:val="00B2208A"/>
    <w:rsid w:val="00B23214"/>
    <w:rsid w:val="00B300F9"/>
    <w:rsid w:val="00B35B61"/>
    <w:rsid w:val="00B42559"/>
    <w:rsid w:val="00B44BB1"/>
    <w:rsid w:val="00B461DC"/>
    <w:rsid w:val="00B511FB"/>
    <w:rsid w:val="00B5244C"/>
    <w:rsid w:val="00B52DF1"/>
    <w:rsid w:val="00B546B7"/>
    <w:rsid w:val="00B5485E"/>
    <w:rsid w:val="00B56D7D"/>
    <w:rsid w:val="00B60E75"/>
    <w:rsid w:val="00B6168A"/>
    <w:rsid w:val="00B628F1"/>
    <w:rsid w:val="00B6329B"/>
    <w:rsid w:val="00B63E3C"/>
    <w:rsid w:val="00B6522A"/>
    <w:rsid w:val="00B668A6"/>
    <w:rsid w:val="00B6738A"/>
    <w:rsid w:val="00B67695"/>
    <w:rsid w:val="00B7151E"/>
    <w:rsid w:val="00B7158B"/>
    <w:rsid w:val="00B73881"/>
    <w:rsid w:val="00B74BFD"/>
    <w:rsid w:val="00B74D71"/>
    <w:rsid w:val="00B75E4E"/>
    <w:rsid w:val="00B75E90"/>
    <w:rsid w:val="00B775DB"/>
    <w:rsid w:val="00B81E29"/>
    <w:rsid w:val="00B821DD"/>
    <w:rsid w:val="00B83BA0"/>
    <w:rsid w:val="00B845A1"/>
    <w:rsid w:val="00B87BAC"/>
    <w:rsid w:val="00B92519"/>
    <w:rsid w:val="00B934E6"/>
    <w:rsid w:val="00B958C9"/>
    <w:rsid w:val="00B9678D"/>
    <w:rsid w:val="00BA0C30"/>
    <w:rsid w:val="00BA3FA7"/>
    <w:rsid w:val="00BA41EF"/>
    <w:rsid w:val="00BA6B82"/>
    <w:rsid w:val="00BA6E73"/>
    <w:rsid w:val="00BA79C8"/>
    <w:rsid w:val="00BB50C1"/>
    <w:rsid w:val="00BB521A"/>
    <w:rsid w:val="00BB7B3D"/>
    <w:rsid w:val="00BC1671"/>
    <w:rsid w:val="00BC2AFB"/>
    <w:rsid w:val="00BC3980"/>
    <w:rsid w:val="00BC764F"/>
    <w:rsid w:val="00BD26F5"/>
    <w:rsid w:val="00BD2994"/>
    <w:rsid w:val="00BD3521"/>
    <w:rsid w:val="00BE1FBF"/>
    <w:rsid w:val="00BE399B"/>
    <w:rsid w:val="00BE7162"/>
    <w:rsid w:val="00BF2953"/>
    <w:rsid w:val="00BF6737"/>
    <w:rsid w:val="00BF6A48"/>
    <w:rsid w:val="00C01611"/>
    <w:rsid w:val="00C02FC7"/>
    <w:rsid w:val="00C06D6D"/>
    <w:rsid w:val="00C12A53"/>
    <w:rsid w:val="00C14765"/>
    <w:rsid w:val="00C21471"/>
    <w:rsid w:val="00C2267F"/>
    <w:rsid w:val="00C273C4"/>
    <w:rsid w:val="00C413D4"/>
    <w:rsid w:val="00C45E73"/>
    <w:rsid w:val="00C47512"/>
    <w:rsid w:val="00C47BE4"/>
    <w:rsid w:val="00C51C25"/>
    <w:rsid w:val="00C55B07"/>
    <w:rsid w:val="00C57D5C"/>
    <w:rsid w:val="00C672C3"/>
    <w:rsid w:val="00C71414"/>
    <w:rsid w:val="00C7239B"/>
    <w:rsid w:val="00C86D23"/>
    <w:rsid w:val="00C879CD"/>
    <w:rsid w:val="00C92787"/>
    <w:rsid w:val="00C94766"/>
    <w:rsid w:val="00CA4236"/>
    <w:rsid w:val="00CA4688"/>
    <w:rsid w:val="00CB3863"/>
    <w:rsid w:val="00CB62C5"/>
    <w:rsid w:val="00CC05DE"/>
    <w:rsid w:val="00CC4527"/>
    <w:rsid w:val="00CC7D22"/>
    <w:rsid w:val="00CD3708"/>
    <w:rsid w:val="00CF3DAF"/>
    <w:rsid w:val="00CF443B"/>
    <w:rsid w:val="00CF44A4"/>
    <w:rsid w:val="00CF4B56"/>
    <w:rsid w:val="00CF5D21"/>
    <w:rsid w:val="00D02897"/>
    <w:rsid w:val="00D10390"/>
    <w:rsid w:val="00D10976"/>
    <w:rsid w:val="00D13238"/>
    <w:rsid w:val="00D14026"/>
    <w:rsid w:val="00D224FA"/>
    <w:rsid w:val="00D33385"/>
    <w:rsid w:val="00D347EE"/>
    <w:rsid w:val="00D411B9"/>
    <w:rsid w:val="00D43347"/>
    <w:rsid w:val="00D441A1"/>
    <w:rsid w:val="00D45408"/>
    <w:rsid w:val="00D51DF0"/>
    <w:rsid w:val="00D553C9"/>
    <w:rsid w:val="00D5546B"/>
    <w:rsid w:val="00D56612"/>
    <w:rsid w:val="00D600FE"/>
    <w:rsid w:val="00D609BB"/>
    <w:rsid w:val="00D63FEC"/>
    <w:rsid w:val="00D67E11"/>
    <w:rsid w:val="00D70EF7"/>
    <w:rsid w:val="00D763CF"/>
    <w:rsid w:val="00D806AD"/>
    <w:rsid w:val="00D94A3F"/>
    <w:rsid w:val="00D95614"/>
    <w:rsid w:val="00DA1097"/>
    <w:rsid w:val="00DA1867"/>
    <w:rsid w:val="00DA59E6"/>
    <w:rsid w:val="00DA5C0E"/>
    <w:rsid w:val="00DA67C5"/>
    <w:rsid w:val="00DA6EA5"/>
    <w:rsid w:val="00DA7481"/>
    <w:rsid w:val="00DA759A"/>
    <w:rsid w:val="00DB239D"/>
    <w:rsid w:val="00DB4880"/>
    <w:rsid w:val="00DB7F40"/>
    <w:rsid w:val="00DB7F55"/>
    <w:rsid w:val="00DC0A8F"/>
    <w:rsid w:val="00DC34A0"/>
    <w:rsid w:val="00DC3DA7"/>
    <w:rsid w:val="00DD4D7B"/>
    <w:rsid w:val="00DD6159"/>
    <w:rsid w:val="00DD7D52"/>
    <w:rsid w:val="00DE1119"/>
    <w:rsid w:val="00DE1400"/>
    <w:rsid w:val="00DE6465"/>
    <w:rsid w:val="00DF19F5"/>
    <w:rsid w:val="00DF29D2"/>
    <w:rsid w:val="00DF37F2"/>
    <w:rsid w:val="00DF52C9"/>
    <w:rsid w:val="00DF799A"/>
    <w:rsid w:val="00E04437"/>
    <w:rsid w:val="00E05D7F"/>
    <w:rsid w:val="00E07DEA"/>
    <w:rsid w:val="00E15097"/>
    <w:rsid w:val="00E16C65"/>
    <w:rsid w:val="00E20108"/>
    <w:rsid w:val="00E22318"/>
    <w:rsid w:val="00E24012"/>
    <w:rsid w:val="00E241FB"/>
    <w:rsid w:val="00E24283"/>
    <w:rsid w:val="00E2493C"/>
    <w:rsid w:val="00E26D7E"/>
    <w:rsid w:val="00E272F5"/>
    <w:rsid w:val="00E31885"/>
    <w:rsid w:val="00E32976"/>
    <w:rsid w:val="00E35174"/>
    <w:rsid w:val="00E3741F"/>
    <w:rsid w:val="00E4068E"/>
    <w:rsid w:val="00E43535"/>
    <w:rsid w:val="00E51EA2"/>
    <w:rsid w:val="00E5202D"/>
    <w:rsid w:val="00E52901"/>
    <w:rsid w:val="00E53313"/>
    <w:rsid w:val="00E5425D"/>
    <w:rsid w:val="00E6007C"/>
    <w:rsid w:val="00E62B05"/>
    <w:rsid w:val="00E65544"/>
    <w:rsid w:val="00E70B5F"/>
    <w:rsid w:val="00E72E8C"/>
    <w:rsid w:val="00E74675"/>
    <w:rsid w:val="00E76958"/>
    <w:rsid w:val="00E7723C"/>
    <w:rsid w:val="00E81056"/>
    <w:rsid w:val="00E8359E"/>
    <w:rsid w:val="00E83B8C"/>
    <w:rsid w:val="00E85E19"/>
    <w:rsid w:val="00E877FD"/>
    <w:rsid w:val="00E92FE9"/>
    <w:rsid w:val="00E93526"/>
    <w:rsid w:val="00E96C44"/>
    <w:rsid w:val="00E976E9"/>
    <w:rsid w:val="00E97D42"/>
    <w:rsid w:val="00EA2F07"/>
    <w:rsid w:val="00EA541A"/>
    <w:rsid w:val="00EA59EE"/>
    <w:rsid w:val="00EB10D8"/>
    <w:rsid w:val="00EB1572"/>
    <w:rsid w:val="00EB4DC6"/>
    <w:rsid w:val="00EC5657"/>
    <w:rsid w:val="00EC6B8F"/>
    <w:rsid w:val="00ED009D"/>
    <w:rsid w:val="00ED0CF5"/>
    <w:rsid w:val="00ED194B"/>
    <w:rsid w:val="00ED7BBA"/>
    <w:rsid w:val="00EE0656"/>
    <w:rsid w:val="00EE0F35"/>
    <w:rsid w:val="00EE37DB"/>
    <w:rsid w:val="00EF7170"/>
    <w:rsid w:val="00F07162"/>
    <w:rsid w:val="00F07D24"/>
    <w:rsid w:val="00F110D9"/>
    <w:rsid w:val="00F12770"/>
    <w:rsid w:val="00F157E5"/>
    <w:rsid w:val="00F17BC5"/>
    <w:rsid w:val="00F21C33"/>
    <w:rsid w:val="00F2312F"/>
    <w:rsid w:val="00F238A5"/>
    <w:rsid w:val="00F25DD5"/>
    <w:rsid w:val="00F27CB5"/>
    <w:rsid w:val="00F31F4A"/>
    <w:rsid w:val="00F3641B"/>
    <w:rsid w:val="00F42476"/>
    <w:rsid w:val="00F4526C"/>
    <w:rsid w:val="00F51115"/>
    <w:rsid w:val="00F51782"/>
    <w:rsid w:val="00F65680"/>
    <w:rsid w:val="00F70FFE"/>
    <w:rsid w:val="00F7184A"/>
    <w:rsid w:val="00F746C5"/>
    <w:rsid w:val="00F811DD"/>
    <w:rsid w:val="00F824D6"/>
    <w:rsid w:val="00F92967"/>
    <w:rsid w:val="00FA7CFE"/>
    <w:rsid w:val="00FB0D74"/>
    <w:rsid w:val="00FB1095"/>
    <w:rsid w:val="00FB1587"/>
    <w:rsid w:val="00FC099C"/>
    <w:rsid w:val="00FC66DA"/>
    <w:rsid w:val="00FC7E05"/>
    <w:rsid w:val="00FD0BF4"/>
    <w:rsid w:val="00FD2956"/>
    <w:rsid w:val="00FD2D27"/>
    <w:rsid w:val="00FD2D62"/>
    <w:rsid w:val="00FE0717"/>
    <w:rsid w:val="00FE2EFA"/>
    <w:rsid w:val="00FE31A3"/>
    <w:rsid w:val="00FE72C6"/>
    <w:rsid w:val="00FE75FC"/>
    <w:rsid w:val="00FF2D2D"/>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4:defaultImageDpi w14:val="32767"/>
  <w15:docId w15:val="{E6A7E811-B8D4-4DB5-BED7-9F4BA4FD3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487"/>
    <w:rPr>
      <w:rFonts w:ascii="Times New Roman" w:eastAsia="Times New Roman" w:hAnsi="Times New Roman" w:cs="Times New Roman"/>
      <w:lang w:val="es-AR" w:eastAsia="es-MX"/>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lang w:val="es-ES_tradnl" w:eastAsia="es-ES_tradnl"/>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lang w:val="es-ES_tradnl" w:eastAsia="es-ES_tradnl"/>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lang w:val="es-ES_tradnl" w:eastAsia="es-ES_tradnl"/>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eastAsia="es-ES_tradnl"/>
    </w:rPr>
  </w:style>
  <w:style w:type="paragraph" w:customStyle="1" w:styleId="Notaalpie1erapgina">
    <w:name w:val="Nota al pie 1era página"/>
    <w:basedOn w:val="Normal"/>
    <w:qFormat/>
    <w:rsid w:val="00B87BAC"/>
    <w:rPr>
      <w:rFonts w:ascii="Times" w:hAnsi="Times"/>
      <w:sz w:val="16"/>
      <w:szCs w:val="16"/>
      <w:lang w:val="pt-BR" w:eastAsia="es-ES_tradnl"/>
    </w:rPr>
  </w:style>
  <w:style w:type="paragraph" w:customStyle="1" w:styleId="Palabrasclave">
    <w:name w:val="Palabras clave"/>
    <w:basedOn w:val="Normal"/>
    <w:qFormat/>
    <w:rsid w:val="00B87BAC"/>
    <w:pPr>
      <w:jc w:val="both"/>
    </w:pPr>
    <w:rPr>
      <w:bCs/>
      <w:sz w:val="20"/>
      <w:szCs w:val="20"/>
      <w:lang w:val="es-ES_tradnl" w:eastAsia="es-ES_tradnl"/>
    </w:rPr>
  </w:style>
  <w:style w:type="paragraph" w:customStyle="1" w:styleId="Prrafocomn">
    <w:name w:val="Párrafo común"/>
    <w:basedOn w:val="Normal"/>
    <w:qFormat/>
    <w:rsid w:val="00B87BAC"/>
    <w:pPr>
      <w:spacing w:line="360" w:lineRule="auto"/>
      <w:ind w:firstLine="708"/>
      <w:contextualSpacing/>
      <w:jc w:val="both"/>
    </w:pPr>
    <w:rPr>
      <w:lang w:val="en-US" w:eastAsia="es-ES_tradnl"/>
    </w:rPr>
  </w:style>
  <w:style w:type="paragraph" w:customStyle="1" w:styleId="RecibidoAceptado">
    <w:name w:val="Recibido/Aceptado"/>
    <w:basedOn w:val="Normal"/>
    <w:qFormat/>
    <w:rsid w:val="00B87BAC"/>
    <w:pPr>
      <w:shd w:val="clear" w:color="auto" w:fill="FFFFFF"/>
      <w:jc w:val="right"/>
    </w:pPr>
    <w:rPr>
      <w:i/>
      <w:iCs/>
      <w:sz w:val="20"/>
      <w:szCs w:val="20"/>
      <w:lang w:val="pt-BR" w:eastAsia="es-ES_tradnl"/>
    </w:rPr>
  </w:style>
  <w:style w:type="paragraph" w:customStyle="1" w:styleId="Referencias">
    <w:name w:val="Referencias"/>
    <w:basedOn w:val="Normal"/>
    <w:qFormat/>
    <w:rsid w:val="00B87BAC"/>
    <w:pPr>
      <w:ind w:left="720" w:hanging="720"/>
      <w:jc w:val="both"/>
    </w:pPr>
    <w:rPr>
      <w:lang w:val="en-US" w:eastAsia="es-ES_tradnl"/>
    </w:rPr>
  </w:style>
  <w:style w:type="paragraph" w:customStyle="1" w:styleId="Resumen">
    <w:name w:val="Resumen"/>
    <w:basedOn w:val="Normal"/>
    <w:autoRedefine/>
    <w:qFormat/>
    <w:rsid w:val="001006DE"/>
    <w:pPr>
      <w:jc w:val="both"/>
    </w:pPr>
    <w:rPr>
      <w:sz w:val="20"/>
      <w:szCs w:val="20"/>
      <w:lang w:val="en-US" w:eastAsia="es-ES_tradnl"/>
    </w:rPr>
  </w:style>
  <w:style w:type="paragraph" w:customStyle="1" w:styleId="Titulodeartculo">
    <w:name w:val="Titulo de artículo"/>
    <w:basedOn w:val="Normal"/>
    <w:link w:val="TitulodeartculoCar"/>
    <w:autoRedefine/>
    <w:qFormat/>
    <w:rsid w:val="002B04BE"/>
    <w:pPr>
      <w:jc w:val="center"/>
      <w:outlineLvl w:val="0"/>
    </w:pPr>
    <w:rPr>
      <w:b/>
      <w:noProof/>
      <w:sz w:val="36"/>
      <w:szCs w:val="36"/>
      <w:lang w:val="es-ES_tradnl" w:eastAsia="es-ES_tradnl"/>
    </w:rPr>
  </w:style>
  <w:style w:type="character" w:customStyle="1" w:styleId="TitulodeartculoCar">
    <w:name w:val="Titulo de artículo Car"/>
    <w:basedOn w:val="Fuentedeprrafopredeter"/>
    <w:link w:val="Titulodeartculo"/>
    <w:rsid w:val="002B04BE"/>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eastAsia="es-ES_tradnl"/>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eastAsia="es-ES_tradnl"/>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eastAsia="es-ES_tradnl"/>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42476"/>
    <w:pPr>
      <w:spacing w:before="100" w:beforeAutospacing="1" w:after="100" w:afterAutospacing="1"/>
      <w:jc w:val="center"/>
      <w:outlineLvl w:val="0"/>
    </w:pPr>
    <w:rPr>
      <w:b/>
      <w:bCs/>
      <w:iCs/>
      <w:lang w:val="pt-BR" w:eastAsia="en-US"/>
    </w:rPr>
  </w:style>
  <w:style w:type="character" w:customStyle="1" w:styleId="TtulosinternosCar">
    <w:name w:val="Títulos internos Car"/>
    <w:basedOn w:val="Fuentedeprrafopredeter"/>
    <w:link w:val="Ttulosinternos"/>
    <w:rsid w:val="00F42476"/>
    <w:rPr>
      <w:rFonts w:ascii="Times New Roman" w:eastAsia="Times New Roman" w:hAnsi="Times New Roman" w:cs="Times New Roman"/>
      <w:b/>
      <w:bCs/>
      <w:iCs/>
      <w:lang w:val="pt-BR"/>
    </w:rPr>
  </w:style>
  <w:style w:type="paragraph" w:customStyle="1" w:styleId="SubtituloInterno">
    <w:name w:val="Subtitulo Interno"/>
    <w:basedOn w:val="Normal"/>
    <w:link w:val="SubtituloInternoCar"/>
    <w:autoRedefine/>
    <w:qFormat/>
    <w:rsid w:val="00BB7B3D"/>
    <w:pPr>
      <w:spacing w:before="100" w:beforeAutospacing="1" w:after="100" w:afterAutospacing="1" w:line="360" w:lineRule="auto"/>
      <w:contextualSpacing/>
      <w:outlineLvl w:val="1"/>
    </w:pPr>
    <w:rPr>
      <w:b/>
      <w:i/>
      <w:lang w:val="es-ES_tradnl" w:eastAsia="en-US"/>
    </w:rPr>
  </w:style>
  <w:style w:type="paragraph" w:styleId="Bibliografa">
    <w:name w:val="Bibliography"/>
    <w:basedOn w:val="Normal"/>
    <w:next w:val="Normal"/>
    <w:uiPriority w:val="37"/>
    <w:semiHidden/>
    <w:unhideWhenUsed/>
    <w:rsid w:val="00F4526C"/>
    <w:rPr>
      <w:lang w:val="es-ES_tradnl" w:eastAsia="es-ES_tradnl"/>
    </w:rPr>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rPr>
      <w:lang w:val="es-ES_tradnl" w:eastAsia="es-ES_tradnl"/>
    </w:r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rPr>
      <w:lang w:val="es-ES_tradnl" w:eastAsia="es-ES_tradnl"/>
    </w:r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BB7B3D"/>
    <w:rPr>
      <w:rFonts w:ascii="Times New Roman" w:eastAsia="Times New Roman" w:hAnsi="Times New Roman" w:cs="Times New Roman"/>
      <w:b/>
      <w:i/>
      <w:lang w:val="es-ES_tradnl"/>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eastAsia="es-ES_tradnl"/>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customStyle="1" w:styleId="Mencinsinresolver3">
    <w:name w:val="Mención sin resolver3"/>
    <w:basedOn w:val="Fuentedeprrafopredeter"/>
    <w:uiPriority w:val="99"/>
    <w:semiHidden/>
    <w:unhideWhenUsed/>
    <w:rsid w:val="00922B3A"/>
    <w:rPr>
      <w:color w:val="605E5C"/>
      <w:shd w:val="clear" w:color="auto" w:fill="E1DFDD"/>
    </w:rPr>
  </w:style>
  <w:style w:type="table" w:customStyle="1" w:styleId="SimplesTabela21">
    <w:name w:val="Simples Tabela 21"/>
    <w:basedOn w:val="Tablanormal"/>
    <w:uiPriority w:val="42"/>
    <w:rsid w:val="009A0192"/>
    <w:rPr>
      <w:rFonts w:ascii="Arial" w:eastAsia="Arial" w:hAnsi="Arial" w:cs="Arial"/>
      <w:sz w:val="22"/>
      <w:szCs w:val="22"/>
      <w:lang w:val="pt-BR" w:eastAsia="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Lista6Colorida8">
    <w:name w:val="Tabela de Lista 6 Colorida8"/>
    <w:basedOn w:val="Tablanormal"/>
    <w:uiPriority w:val="51"/>
    <w:rsid w:val="00E43535"/>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1Clara1">
    <w:name w:val="Tabela de Lista 1 Clara1"/>
    <w:basedOn w:val="Tablanormal"/>
    <w:uiPriority w:val="46"/>
    <w:rsid w:val="00E43535"/>
    <w:rPr>
      <w:sz w:val="22"/>
      <w:szCs w:val="22"/>
      <w:lang w:val="pt-PT"/>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2">
    <w:name w:val="Tabela de Lista 6 Colorida2"/>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3">
    <w:name w:val="Tabela de Lista 6 Colorida3"/>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11">
    <w:name w:val="Tabela de Lista 6 Colorida11"/>
    <w:basedOn w:val="Tablanormal"/>
    <w:next w:val="Tablanormal"/>
    <w:uiPriority w:val="51"/>
    <w:rsid w:val="00750D6C"/>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1C7D0A"/>
    <w:pPr>
      <w:ind w:firstLine="284"/>
      <w:jc w:val="both"/>
    </w:pPr>
    <w:rPr>
      <w:rFonts w:ascii="Calibri" w:eastAsia="Calibri" w:hAnsi="Calibri" w:cs="Times New Roman"/>
      <w:sz w:val="22"/>
      <w:szCs w:val="22"/>
      <w:lang w:val="es-MX"/>
    </w:rPr>
  </w:style>
  <w:style w:type="paragraph" w:customStyle="1" w:styleId="Subtitulo2">
    <w:name w:val="Subtitulo 2"/>
    <w:basedOn w:val="SubtituloInterno1"/>
    <w:qFormat/>
    <w:rsid w:val="001264AC"/>
    <w:rPr>
      <w:b/>
    </w:rPr>
  </w:style>
  <w:style w:type="character" w:customStyle="1" w:styleId="Mencinsinresolver4">
    <w:name w:val="Mención sin resolver4"/>
    <w:basedOn w:val="Fuentedeprrafopredeter"/>
    <w:uiPriority w:val="99"/>
    <w:semiHidden/>
    <w:unhideWhenUsed/>
    <w:rsid w:val="00AC52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2810">
      <w:bodyDiv w:val="1"/>
      <w:marLeft w:val="0"/>
      <w:marRight w:val="0"/>
      <w:marTop w:val="0"/>
      <w:marBottom w:val="0"/>
      <w:divBdr>
        <w:top w:val="none" w:sz="0" w:space="0" w:color="auto"/>
        <w:left w:val="none" w:sz="0" w:space="0" w:color="auto"/>
        <w:bottom w:val="none" w:sz="0" w:space="0" w:color="auto"/>
        <w:right w:val="none" w:sz="0" w:space="0" w:color="auto"/>
      </w:divBdr>
    </w:div>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33522336">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183131736">
      <w:bodyDiv w:val="1"/>
      <w:marLeft w:val="0"/>
      <w:marRight w:val="0"/>
      <w:marTop w:val="0"/>
      <w:marBottom w:val="0"/>
      <w:divBdr>
        <w:top w:val="none" w:sz="0" w:space="0" w:color="auto"/>
        <w:left w:val="none" w:sz="0" w:space="0" w:color="auto"/>
        <w:bottom w:val="none" w:sz="0" w:space="0" w:color="auto"/>
        <w:right w:val="none" w:sz="0" w:space="0" w:color="auto"/>
      </w:divBdr>
    </w:div>
    <w:div w:id="210773966">
      <w:bodyDiv w:val="1"/>
      <w:marLeft w:val="0"/>
      <w:marRight w:val="0"/>
      <w:marTop w:val="0"/>
      <w:marBottom w:val="0"/>
      <w:divBdr>
        <w:top w:val="none" w:sz="0" w:space="0" w:color="auto"/>
        <w:left w:val="none" w:sz="0" w:space="0" w:color="auto"/>
        <w:bottom w:val="none" w:sz="0" w:space="0" w:color="auto"/>
        <w:right w:val="none" w:sz="0" w:space="0" w:color="auto"/>
      </w:divBdr>
      <w:divsChild>
        <w:div w:id="285507036">
          <w:marLeft w:val="0"/>
          <w:marRight w:val="0"/>
          <w:marTop w:val="0"/>
          <w:marBottom w:val="0"/>
          <w:divBdr>
            <w:top w:val="none" w:sz="0" w:space="0" w:color="auto"/>
            <w:left w:val="none" w:sz="0" w:space="0" w:color="auto"/>
            <w:bottom w:val="none" w:sz="0" w:space="0" w:color="auto"/>
            <w:right w:val="none" w:sz="0" w:space="0" w:color="auto"/>
          </w:divBdr>
          <w:divsChild>
            <w:div w:id="1393042692">
              <w:marLeft w:val="0"/>
              <w:marRight w:val="0"/>
              <w:marTop w:val="0"/>
              <w:marBottom w:val="0"/>
              <w:divBdr>
                <w:top w:val="none" w:sz="0" w:space="0" w:color="auto"/>
                <w:left w:val="none" w:sz="0" w:space="0" w:color="auto"/>
                <w:bottom w:val="none" w:sz="0" w:space="0" w:color="auto"/>
                <w:right w:val="none" w:sz="0" w:space="0" w:color="auto"/>
              </w:divBdr>
            </w:div>
          </w:divsChild>
        </w:div>
        <w:div w:id="1446848900">
          <w:marLeft w:val="0"/>
          <w:marRight w:val="0"/>
          <w:marTop w:val="0"/>
          <w:marBottom w:val="0"/>
          <w:divBdr>
            <w:top w:val="none" w:sz="0" w:space="0" w:color="auto"/>
            <w:left w:val="none" w:sz="0" w:space="0" w:color="auto"/>
            <w:bottom w:val="none" w:sz="0" w:space="0" w:color="auto"/>
            <w:right w:val="none" w:sz="0" w:space="0" w:color="auto"/>
          </w:divBdr>
          <w:divsChild>
            <w:div w:id="8801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459625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23503711">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45269779">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6696">
      <w:bodyDiv w:val="1"/>
      <w:marLeft w:val="0"/>
      <w:marRight w:val="0"/>
      <w:marTop w:val="0"/>
      <w:marBottom w:val="0"/>
      <w:divBdr>
        <w:top w:val="none" w:sz="0" w:space="0" w:color="auto"/>
        <w:left w:val="none" w:sz="0" w:space="0" w:color="auto"/>
        <w:bottom w:val="none" w:sz="0" w:space="0" w:color="auto"/>
        <w:right w:val="none" w:sz="0" w:space="0" w:color="auto"/>
      </w:divBdr>
    </w:div>
    <w:div w:id="665977060">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2321272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72284384">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3083469">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2400924">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46934601">
      <w:bodyDiv w:val="1"/>
      <w:marLeft w:val="0"/>
      <w:marRight w:val="0"/>
      <w:marTop w:val="0"/>
      <w:marBottom w:val="0"/>
      <w:divBdr>
        <w:top w:val="none" w:sz="0" w:space="0" w:color="auto"/>
        <w:left w:val="none" w:sz="0" w:space="0" w:color="auto"/>
        <w:bottom w:val="none" w:sz="0" w:space="0" w:color="auto"/>
        <w:right w:val="none" w:sz="0" w:space="0" w:color="auto"/>
      </w:divBdr>
    </w:div>
    <w:div w:id="96346284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3647455">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21550255">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00693062">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46636382">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83505529">
      <w:bodyDiv w:val="1"/>
      <w:marLeft w:val="0"/>
      <w:marRight w:val="0"/>
      <w:marTop w:val="0"/>
      <w:marBottom w:val="0"/>
      <w:divBdr>
        <w:top w:val="none" w:sz="0" w:space="0" w:color="auto"/>
        <w:left w:val="none" w:sz="0" w:space="0" w:color="auto"/>
        <w:bottom w:val="none" w:sz="0" w:space="0" w:color="auto"/>
        <w:right w:val="none" w:sz="0" w:space="0" w:color="auto"/>
      </w:divBdr>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18926566">
      <w:bodyDiv w:val="1"/>
      <w:marLeft w:val="0"/>
      <w:marRight w:val="0"/>
      <w:marTop w:val="0"/>
      <w:marBottom w:val="0"/>
      <w:divBdr>
        <w:top w:val="none" w:sz="0" w:space="0" w:color="auto"/>
        <w:left w:val="none" w:sz="0" w:space="0" w:color="auto"/>
        <w:bottom w:val="none" w:sz="0" w:space="0" w:color="auto"/>
        <w:right w:val="none" w:sz="0" w:space="0" w:color="auto"/>
      </w:divBdr>
      <w:divsChild>
        <w:div w:id="1105424305">
          <w:marLeft w:val="0"/>
          <w:marRight w:val="0"/>
          <w:marTop w:val="0"/>
          <w:marBottom w:val="0"/>
          <w:divBdr>
            <w:top w:val="none" w:sz="0" w:space="0" w:color="auto"/>
            <w:left w:val="none" w:sz="0" w:space="0" w:color="auto"/>
            <w:bottom w:val="none" w:sz="0" w:space="0" w:color="auto"/>
            <w:right w:val="none" w:sz="0" w:space="0" w:color="auto"/>
          </w:divBdr>
          <w:divsChild>
            <w:div w:id="1422919469">
              <w:marLeft w:val="0"/>
              <w:marRight w:val="0"/>
              <w:marTop w:val="0"/>
              <w:marBottom w:val="0"/>
              <w:divBdr>
                <w:top w:val="none" w:sz="0" w:space="0" w:color="auto"/>
                <w:left w:val="none" w:sz="0" w:space="0" w:color="auto"/>
                <w:bottom w:val="none" w:sz="0" w:space="0" w:color="auto"/>
                <w:right w:val="none" w:sz="0" w:space="0" w:color="auto"/>
              </w:divBdr>
              <w:divsChild>
                <w:div w:id="7262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25549377">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088068026">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0849/ripijp.v57i3.1762" TargetMode="External"/><Relationship Id="rId13" Type="http://schemas.openxmlformats.org/officeDocument/2006/relationships/hyperlink" Target="https://orcid.org/0000-0002-1937-7399" TargetMode="External"/><Relationship Id="rId18" Type="http://schemas.openxmlformats.org/officeDocument/2006/relationships/hyperlink" Target="https://doi.org/10.11606/T.6.2019.tde-21032019-170435"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7476/9788523013400" TargetMode="External"/><Relationship Id="rId7" Type="http://schemas.openxmlformats.org/officeDocument/2006/relationships/hyperlink" Target="https://doi.org/10.30849/ripijp.v58i1.1839" TargetMode="External"/><Relationship Id="rId12" Type="http://schemas.openxmlformats.org/officeDocument/2006/relationships/image" Target="media/image2.png"/><Relationship Id="rId17" Type="http://schemas.openxmlformats.org/officeDocument/2006/relationships/image" Target="media/image4.sv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s://portaldeimigracao.mj.gov.br/pt/dados/refugio-em-numero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orcid.org/0000-0001-7389-3178"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sipsych.org/" TargetMode="External"/><Relationship Id="rId23" Type="http://schemas.openxmlformats.org/officeDocument/2006/relationships/hyperlink" Target="https://doi.org/10.25071/1920-7336.21392" TargetMode="External"/><Relationship Id="rId28" Type="http://schemas.openxmlformats.org/officeDocument/2006/relationships/fontTable" Target="fontTable.xml"/><Relationship Id="rId10" Type="http://schemas.openxmlformats.org/officeDocument/2006/relationships/hyperlink" Target="https://orcid.org/0000-0002-7657-5017" TargetMode="External"/><Relationship Id="rId19" Type="http://schemas.openxmlformats.org/officeDocument/2006/relationships/hyperlink" Target="https://doi.org/10.1590/S1517-45222013000200003"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orcid.org/0000-0002-6624-7087" TargetMode="External"/><Relationship Id="rId22" Type="http://schemas.openxmlformats.org/officeDocument/2006/relationships/hyperlink" Target="https://www.unhcr.org/51f67bdc9.pdf" TargetMode="External"/><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data.unhcr.org/en/partners" TargetMode="External"/><Relationship Id="rId2" Type="http://schemas.openxmlformats.org/officeDocument/2006/relationships/hyperlink" Target="https://data.unhcr.org/en/partners" TargetMode="External"/><Relationship Id="rId1" Type="http://schemas.openxmlformats.org/officeDocument/2006/relationships/hyperlink" Target="mailto:beatriz.souza@emescam.br?subject=RIP/IJP:Ajuda%20humanit&#225;ria%20em%20campos%20prec&#225;rios:%20reflexos%20nas%20rela&#231;&#245;es%20interpessoais%20de%20refugiado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BDD76-0E3D-4DF3-889B-A9EA6A529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19</Pages>
  <Words>5971</Words>
  <Characters>32843</Characters>
  <Application>Microsoft Office Word</Application>
  <DocSecurity>0</DocSecurity>
  <Lines>273</Lines>
  <Paragraphs>77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Fernando Andrés Polanco</cp:lastModifiedBy>
  <cp:revision>5</cp:revision>
  <cp:lastPrinted>2024-06-20T23:45:00Z</cp:lastPrinted>
  <dcterms:created xsi:type="dcterms:W3CDTF">2024-04-09T15:27:00Z</dcterms:created>
  <dcterms:modified xsi:type="dcterms:W3CDTF">2024-06-27T17:43:00Z</dcterms:modified>
</cp:coreProperties>
</file>