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2B3F" w14:textId="31AF608D" w:rsidR="001C6FDE" w:rsidRDefault="001C6FDE" w:rsidP="00E76915">
      <w:pPr>
        <w:pStyle w:val="Heading1"/>
        <w:spacing w:line="360" w:lineRule="auto"/>
        <w:rPr>
          <w:lang w:val="en-GB"/>
        </w:rPr>
      </w:pPr>
      <w:r w:rsidRPr="00E65749">
        <w:rPr>
          <w:lang w:val="en-GB"/>
        </w:rPr>
        <w:t xml:space="preserve">Self-Control Moralization: The Role of Moral Identity and Moral Foundations in a Young Adults Sample </w:t>
      </w:r>
    </w:p>
    <w:p w14:paraId="3017D5BE" w14:textId="1D6FAFAB" w:rsidR="00881A2C" w:rsidRDefault="00881A2C" w:rsidP="00E76915">
      <w:pPr>
        <w:spacing w:line="360" w:lineRule="auto"/>
        <w:rPr>
          <w:lang w:val="en-GB"/>
        </w:rPr>
      </w:pPr>
    </w:p>
    <w:p w14:paraId="60B2FE33" w14:textId="77777777" w:rsidR="00881A2C" w:rsidRPr="00881A2C" w:rsidRDefault="00881A2C" w:rsidP="00E76915">
      <w:pPr>
        <w:spacing w:line="360" w:lineRule="auto"/>
        <w:rPr>
          <w:lang w:val="en-GB"/>
        </w:rPr>
      </w:pPr>
    </w:p>
    <w:p w14:paraId="4DC05E69" w14:textId="636DA305" w:rsidR="005C3517" w:rsidRDefault="00881A2C" w:rsidP="00E769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sectPr w:rsidR="005C3517" w:rsidSect="00F85CE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C1194">
        <w:rPr>
          <w:rFonts w:ascii="Times New Roman" w:eastAsia="Times New Roman" w:hAnsi="Times New Roman" w:cs="Times New Roman"/>
          <w:i/>
          <w:sz w:val="24"/>
          <w:szCs w:val="24"/>
          <w:lang w:val="es-MX" w:eastAsia="es-MX"/>
        </w:rPr>
        <w:t>Dayanne Orellana</w:t>
      </w:r>
      <w:proofErr w:type="gramStart"/>
      <w:r w:rsidR="005C3517" w:rsidRPr="005C35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s-MX" w:eastAsia="es-MX"/>
        </w:rPr>
        <w:t>1</w:t>
      </w:r>
      <w:r w:rsidR="005C35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s-MX" w:eastAsia="es-MX"/>
        </w:rPr>
        <w:t>,2a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s-MX" w:eastAsia="es-MX"/>
        </w:rPr>
        <w:t xml:space="preserve"> (</w:t>
      </w:r>
      <w:hyperlink r:id="rId9" w:history="1">
        <w:r w:rsidRPr="000237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https://orcid.org/0000-0002-2146-1653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) </w:t>
      </w:r>
      <w:r w:rsidRPr="00881A2C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r w:rsidRPr="00881A2C">
        <w:rPr>
          <w:rFonts w:ascii="Times New Roman" w:eastAsia="Times New Roman" w:hAnsi="Times New Roman" w:cs="Times New Roman"/>
          <w:i/>
          <w:sz w:val="24"/>
          <w:szCs w:val="24"/>
          <w:lang w:val="es-ES" w:eastAsia="es-MX"/>
        </w:rPr>
        <w:t>Eric Roth</w:t>
      </w:r>
      <w:r w:rsidR="005C3517" w:rsidRPr="005C351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s-ES" w:eastAsia="es-MX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es-ES" w:eastAsia="es-MX"/>
        </w:rPr>
        <w:t xml:space="preserve"> (</w:t>
      </w:r>
      <w:hyperlink r:id="rId10" w:history="1">
        <w:r w:rsidRPr="000237D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http://orcid.org/0000-0003-1909-2462</w:t>
        </w:r>
      </w:hyperlink>
      <w:r w:rsidR="00275211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)</w:t>
      </w:r>
    </w:p>
    <w:p w14:paraId="67F2C306" w14:textId="77777777" w:rsidR="005C3517" w:rsidRDefault="005C3517" w:rsidP="00E769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sectPr w:rsidR="005C3517" w:rsidSect="005C3517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es-ES" w:eastAsia="es-MX"/>
        </w:rPr>
        <w:footnoteReference w:id="1"/>
      </w:r>
    </w:p>
    <w:p w14:paraId="66E3728A" w14:textId="5ED0C94C" w:rsidR="00881A2C" w:rsidRPr="005C3517" w:rsidRDefault="005C3517" w:rsidP="00E769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</w:pPr>
      <w:r w:rsidRPr="005C351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Universidad Católica Boliviana “San Pablo”. La Paz, Bolivia.</w:t>
      </w:r>
    </w:p>
    <w:p w14:paraId="49CEDD6B" w14:textId="77777777" w:rsidR="00881A2C" w:rsidRPr="00275211" w:rsidRDefault="00881A2C" w:rsidP="00E76915">
      <w:pPr>
        <w:spacing w:line="360" w:lineRule="auto"/>
        <w:rPr>
          <w:lang w:val="es-ES"/>
        </w:rPr>
      </w:pPr>
    </w:p>
    <w:p w14:paraId="0E7DD340" w14:textId="77777777" w:rsidR="001C6FDE" w:rsidRPr="00275211" w:rsidRDefault="001C6FDE" w:rsidP="00E76915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0C1DFD0B" w14:textId="77777777" w:rsidR="001C6FDE" w:rsidRPr="00E65749" w:rsidRDefault="001C6FDE" w:rsidP="00E76915">
      <w:pPr>
        <w:pStyle w:val="Heading2"/>
        <w:spacing w:line="360" w:lineRule="auto"/>
        <w:rPr>
          <w:szCs w:val="24"/>
          <w:lang w:val="en-GB"/>
        </w:rPr>
      </w:pPr>
      <w:r w:rsidRPr="00E65749">
        <w:rPr>
          <w:szCs w:val="24"/>
          <w:lang w:val="en-GB"/>
        </w:rPr>
        <w:t>Abstract</w:t>
      </w:r>
    </w:p>
    <w:p w14:paraId="75814AB6" w14:textId="77777777" w:rsidR="001C6FDE" w:rsidRPr="00E65749" w:rsidRDefault="001C6FDE" w:rsidP="00E76915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C1C1F66" w14:textId="68ACC15F" w:rsidR="001C6FDE" w:rsidRPr="00E65749" w:rsidRDefault="001C6FDE" w:rsidP="00E76915">
      <w:pPr>
        <w:widowControl w:val="0"/>
        <w:autoSpaceDE w:val="0"/>
        <w:autoSpaceDN w:val="0"/>
        <w:spacing w:after="0" w:line="360" w:lineRule="auto"/>
        <w:ind w:right="14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Despite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morality and self-control relationship ha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ving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been studied in the past, there is still not enough information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about how different moral variables, and their possible interaction, affect self-control levels; specially when referring to young adulthood, a critical period for </w:t>
      </w:r>
      <w:r w:rsidR="00D62B5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development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of</w:t>
      </w:r>
      <w:r w:rsidR="00D62B5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self-control and moral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ity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 Within the framework of self-control moralization, the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current study aimed to explore whether self-control scores were affected by levels of moral identity and binding-individualizing foundations through early adulthood.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Data were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obtained by</w:t>
      </w:r>
      <w:r w:rsidRPr="00E65749">
        <w:rPr>
          <w:rFonts w:ascii="Times New Roman" w:eastAsia="Times New Roman" w:hAnsi="Times New Roman" w:cs="Times New Roman"/>
          <w:color w:val="0D0F1A"/>
          <w:spacing w:val="-4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 online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survey</w:t>
      </w:r>
      <w:r w:rsidRPr="00E65749">
        <w:rPr>
          <w:rFonts w:ascii="Times New Roman" w:eastAsia="Times New Roman" w:hAnsi="Times New Roman" w:cs="Times New Roman"/>
          <w:color w:val="0D0F1A"/>
          <w:spacing w:val="-3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from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 non-probabilistic sample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(</w:t>
      </w:r>
      <w:r w:rsidR="00D62B5E" w:rsidRPr="00D62B5E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n-GB"/>
        </w:rPr>
        <w:t>n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=626)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of young adults from Bolivia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Having found significant correlations between variables, hypotheses were tested employing </w:t>
      </w:r>
      <w:r w:rsidR="00D62B5E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n-GB"/>
        </w:rPr>
        <w:t>t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-test and a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n </w:t>
      </w:r>
      <w:r w:rsidRPr="00D62B5E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AN</w:t>
      </w:r>
      <w:r w:rsidR="00D62B5E" w:rsidRPr="00D62B5E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C</w:t>
      </w:r>
      <w:r w:rsidRPr="00D62B5E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OVA</w:t>
      </w:r>
      <w:r w:rsidR="00D62B5E" w:rsidRPr="00D62B5E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, with age as a covariate</w:t>
      </w:r>
      <w:r w:rsidRPr="00D62B5E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.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Findings showed that binding foundations, moral identity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</w:t>
      </w:r>
      <w:proofErr w:type="gramStart"/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age</w:t>
      </w:r>
      <w:proofErr w:type="gramEnd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D62B5E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the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interaction between moral identity and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both types of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moral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foundations had a significant effect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over self-control scores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marginal means,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with small to moderate effect sizes. Finally, finding’s implications within the theoretical framework of self-control moralization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are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discussed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</w:p>
    <w:p w14:paraId="5DED92D9" w14:textId="0E2D8EAE" w:rsidR="001C6FDE" w:rsidRDefault="001C6FDE" w:rsidP="00E76915">
      <w:pPr>
        <w:widowControl w:val="0"/>
        <w:autoSpaceDE w:val="0"/>
        <w:autoSpaceDN w:val="0"/>
        <w:spacing w:before="2" w:after="0" w:line="360" w:lineRule="auto"/>
        <w:ind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Keywords:</w:t>
      </w:r>
      <w:r w:rsidRPr="00E65749">
        <w:rPr>
          <w:rFonts w:ascii="Times New Roman" w:eastAsia="Times New Roman" w:hAnsi="Times New Roman" w:cs="Times New Roman"/>
          <w:i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moralization,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identity,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foundations,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27521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elf-control,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young adulthood</w:t>
      </w:r>
    </w:p>
    <w:p w14:paraId="49641976" w14:textId="20319CE2" w:rsidR="005C3517" w:rsidRDefault="005C3517" w:rsidP="00E76915">
      <w:pPr>
        <w:widowControl w:val="0"/>
        <w:autoSpaceDE w:val="0"/>
        <w:autoSpaceDN w:val="0"/>
        <w:spacing w:before="2" w:after="0" w:line="360" w:lineRule="auto"/>
        <w:ind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2A5C5BDA" w14:textId="77777777" w:rsidR="005C3517" w:rsidRPr="00E65749" w:rsidRDefault="005C3517" w:rsidP="00E76915">
      <w:pPr>
        <w:widowControl w:val="0"/>
        <w:autoSpaceDE w:val="0"/>
        <w:autoSpaceDN w:val="0"/>
        <w:spacing w:before="2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65E5932" w14:textId="72854A7C" w:rsidR="00BE7E70" w:rsidRPr="000F1EC6" w:rsidRDefault="000F1EC6" w:rsidP="00E76915">
      <w:pPr>
        <w:widowControl w:val="0"/>
        <w:autoSpaceDE w:val="0"/>
        <w:autoSpaceDN w:val="0"/>
        <w:spacing w:before="7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0F1EC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Moralización del autocontrol: El papel de la </w:t>
      </w:r>
      <w:proofErr w:type="gramStart"/>
      <w:r w:rsidRPr="000F1EC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identidad moral y los fundamentos morales</w:t>
      </w:r>
      <w:proofErr w:type="gramEnd"/>
      <w:r w:rsidRPr="000F1EC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en una muestra de adultos jóvenes</w:t>
      </w:r>
    </w:p>
    <w:p w14:paraId="11B7397C" w14:textId="77777777" w:rsidR="000F1EC6" w:rsidRDefault="000F1EC6" w:rsidP="00E76915">
      <w:pPr>
        <w:pStyle w:val="Heading2"/>
        <w:spacing w:line="360" w:lineRule="auto"/>
        <w:rPr>
          <w:szCs w:val="24"/>
          <w:lang w:val="es-ES"/>
        </w:rPr>
      </w:pPr>
    </w:p>
    <w:p w14:paraId="4F0CAC19" w14:textId="1036646C" w:rsidR="00842BDA" w:rsidRPr="00E729BF" w:rsidRDefault="00BE7E70" w:rsidP="00E76915">
      <w:pPr>
        <w:pStyle w:val="Heading2"/>
        <w:spacing w:line="360" w:lineRule="auto"/>
        <w:rPr>
          <w:szCs w:val="24"/>
          <w:lang w:val="es-ES"/>
        </w:rPr>
      </w:pPr>
      <w:r w:rsidRPr="00E729BF">
        <w:rPr>
          <w:szCs w:val="24"/>
          <w:lang w:val="es-ES"/>
        </w:rPr>
        <w:t>Resumen</w:t>
      </w:r>
    </w:p>
    <w:p w14:paraId="34330F14" w14:textId="77777777" w:rsidR="00842BDA" w:rsidRPr="00E729BF" w:rsidRDefault="00842BDA" w:rsidP="00E76915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21A4BFDC" w14:textId="32FC8DDE" w:rsidR="00BE7E70" w:rsidRPr="00D62B5E" w:rsidRDefault="00BE7E70" w:rsidP="00E76915">
      <w:pPr>
        <w:widowControl w:val="0"/>
        <w:autoSpaceDE w:val="0"/>
        <w:autoSpaceDN w:val="0"/>
        <w:spacing w:before="2" w:after="0" w:line="360" w:lineRule="auto"/>
        <w:ind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</w:pPr>
      <w:bookmarkStart w:id="0" w:name="_Hlk105619123"/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A pesar de que la relación entre la moralidad y el autocontrol ha sido estudiada en el pasado, todavía no hay suficiente información sobre cómo las diferentes variables morales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en simultáneo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, y su posible interacción, afectan a los niveles de autocontrol; especialmente en la adultez temprana, un período crítico para el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desarrollo del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autocontrol y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la moralidad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. En el marco de la moralización del autocontrol, el presente estudio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busc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ó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explorar si las puntuaciones de autocontrol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son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afectadas por los niveles de identidad moral y los fundamentos vinculantes-individualizadores a lo largo de la edad adulta temprana. Los datos se obtuvieron mediante una encuesta en línea de una muestra no probabilística (</w:t>
      </w:r>
      <w:r w:rsidR="00D62B5E" w:rsidRPr="00D62B5E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s-ES"/>
        </w:rPr>
        <w:t>n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=626) de adultos jóvenes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de Bolivia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. Habiendo encontrado correlaciones significativas, se probaron las hipótesis empleando la prueba </w:t>
      </w:r>
      <w:r w:rsidR="00D62B5E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s-ES"/>
        </w:rPr>
        <w:t>t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de </w:t>
      </w:r>
      <w:proofErr w:type="spellStart"/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Student</w:t>
      </w:r>
      <w:proofErr w:type="spellEnd"/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y un AN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C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OVA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, con la edad como covariable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. Los resultados mostraron que los fundamentos vinculantes, la identidad moral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, la edad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y la interacción entre la identidad moral y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ambos tipos de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fundamentos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morales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tuvieron un efecto significativo sobre las puntuaciones 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y medias marginales 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de autocontrol</w:t>
      </w:r>
      <w:r w:rsid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,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con tamaños de efecto pequeños a moderados. Finalmente, se discuten las implicaciones de los resultados en el marco teórico de la moralización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 xml:space="preserve"> </w:t>
      </w:r>
      <w:r w:rsidR="00D62B5E"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del autocontrol</w:t>
      </w:r>
      <w:r w:rsidRPr="00D62B5E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.</w:t>
      </w:r>
    </w:p>
    <w:p w14:paraId="2701F2B3" w14:textId="35C08BA7" w:rsidR="00842BDA" w:rsidRPr="00E729BF" w:rsidRDefault="00BE7E70" w:rsidP="00E76915">
      <w:pPr>
        <w:widowControl w:val="0"/>
        <w:autoSpaceDE w:val="0"/>
        <w:autoSpaceDN w:val="0"/>
        <w:spacing w:before="2"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729BF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s-ES"/>
        </w:rPr>
        <w:t>Palabras clave</w:t>
      </w:r>
      <w:r w:rsidR="00842BDA" w:rsidRPr="00E729BF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s-ES"/>
        </w:rPr>
        <w:t>:</w:t>
      </w:r>
      <w:r w:rsidR="00842BDA" w:rsidRPr="00E729BF">
        <w:rPr>
          <w:rFonts w:ascii="Times New Roman" w:eastAsia="Times New Roman" w:hAnsi="Times New Roman" w:cs="Times New Roman"/>
          <w:i/>
          <w:color w:val="0D0F1A"/>
          <w:spacing w:val="-2"/>
          <w:sz w:val="24"/>
          <w:szCs w:val="24"/>
          <w:lang w:val="es-ES"/>
        </w:rPr>
        <w:t xml:space="preserve"> </w:t>
      </w:r>
      <w:r w:rsidRPr="00E729BF">
        <w:rPr>
          <w:rFonts w:ascii="Times New Roman" w:eastAsia="Times New Roman" w:hAnsi="Times New Roman" w:cs="Times New Roman"/>
          <w:color w:val="0D0F1A"/>
          <w:sz w:val="24"/>
          <w:szCs w:val="24"/>
          <w:lang w:val="es-ES"/>
        </w:rPr>
        <w:t>moralización, identidad moral, fundamentos morales, autocontrol, adultez temprana</w:t>
      </w:r>
    </w:p>
    <w:bookmarkEnd w:id="0"/>
    <w:p w14:paraId="6A6F442A" w14:textId="77777777" w:rsidR="00842BDA" w:rsidRPr="005C3517" w:rsidRDefault="00842BDA" w:rsidP="00E76915">
      <w:pPr>
        <w:widowControl w:val="0"/>
        <w:autoSpaceDE w:val="0"/>
        <w:autoSpaceDN w:val="0"/>
        <w:spacing w:before="165" w:after="0" w:line="360" w:lineRule="auto"/>
        <w:ind w:right="4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14:paraId="71152886" w14:textId="2C4F84B7" w:rsidR="005C3517" w:rsidRPr="00275211" w:rsidRDefault="005C3517" w:rsidP="00E76915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3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Authors´ note: </w:t>
      </w:r>
    </w:p>
    <w:p w14:paraId="48412A1F" w14:textId="0553F438" w:rsidR="005C3517" w:rsidRPr="005C3517" w:rsidRDefault="005C3517" w:rsidP="00E769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5C3517">
        <w:rPr>
          <w:rFonts w:ascii="Times New Roman" w:eastAsia="Times New Roman" w:hAnsi="Times New Roman" w:cs="Times New Roman"/>
          <w:sz w:val="24"/>
          <w:szCs w:val="24"/>
          <w:vertAlign w:val="superscript"/>
          <w:lang w:val="es-MX" w:eastAsia="es-MX"/>
        </w:rPr>
        <w:t>1</w:t>
      </w:r>
      <w:r w:rsidRPr="005C351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</w:t>
      </w:r>
      <w:proofErr w:type="gramStart"/>
      <w:r w:rsidRPr="005C351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Instituto</w:t>
      </w:r>
      <w:proofErr w:type="gramEnd"/>
      <w:r w:rsidRPr="005C351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de Investigaciones en Ciencias del Comportamiento</w:t>
      </w:r>
      <w:r w:rsidRPr="005C351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(IICC)</w:t>
      </w:r>
      <w:r w:rsidRPr="005C3517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, Universidad Católica Boliviana “San Pablo”. </w:t>
      </w:r>
      <w:r w:rsidRPr="005C3517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La Paz, Bolivia. </w:t>
      </w:r>
    </w:p>
    <w:p w14:paraId="62A148C9" w14:textId="60723EC1" w:rsidR="00275211" w:rsidRDefault="005C3517" w:rsidP="00E769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5C3517">
        <w:rPr>
          <w:rFonts w:ascii="Times New Roman" w:eastAsia="Times New Roman" w:hAnsi="Times New Roman" w:cs="Times New Roman"/>
          <w:sz w:val="24"/>
          <w:szCs w:val="24"/>
          <w:vertAlign w:val="superscript"/>
          <w:lang w:val="es-MX" w:eastAsia="es-MX"/>
        </w:rPr>
        <w:t xml:space="preserve">2 </w:t>
      </w:r>
      <w:proofErr w:type="gramStart"/>
      <w:r w:rsidRPr="005C3517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Unidad</w:t>
      </w:r>
      <w:proofErr w:type="gramEnd"/>
      <w:r w:rsidRPr="005C3517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de Investigación Experimental</w:t>
      </w:r>
      <w:r w:rsidRPr="005C3517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(UIE), Universidad Católica Boliviana “San Pablo”. La Paz, Bolivia. </w:t>
      </w:r>
    </w:p>
    <w:p w14:paraId="50FAF1C4" w14:textId="64C131D3" w:rsidR="00275211" w:rsidRPr="005C3517" w:rsidRDefault="00275211" w:rsidP="00E769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5C351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5C3517">
        <w:rPr>
          <w:rFonts w:ascii="Times New Roman" w:hAnsi="Times New Roman" w:cs="Times New Roman"/>
          <w:sz w:val="24"/>
          <w:szCs w:val="24"/>
        </w:rPr>
        <w:t xml:space="preserve"> .Correspondence</w:t>
      </w:r>
      <w:proofErr w:type="gramEnd"/>
      <w:r w:rsidRPr="005C3517">
        <w:rPr>
          <w:rFonts w:ascii="Times New Roman" w:hAnsi="Times New Roman" w:cs="Times New Roman"/>
          <w:sz w:val="24"/>
          <w:szCs w:val="24"/>
        </w:rPr>
        <w:t xml:space="preserve"> concerning this manuscript should be addressed to </w:t>
      </w:r>
      <w:hyperlink r:id="rId11" w:history="1">
        <w:r w:rsidRPr="005C351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MX"/>
          </w:rPr>
          <w:t>dayaorellana@gmail.com</w:t>
        </w:r>
      </w:hyperlink>
      <w:r w:rsidRPr="005C351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</w:p>
    <w:p w14:paraId="6894007B" w14:textId="77777777" w:rsidR="00E76915" w:rsidRDefault="00E76915" w:rsidP="00EA4E7E">
      <w:pPr>
        <w:pStyle w:val="Heading1"/>
        <w:spacing w:line="360" w:lineRule="auto"/>
        <w:rPr>
          <w:lang w:val="en-GB"/>
        </w:rPr>
      </w:pPr>
    </w:p>
    <w:p w14:paraId="72680528" w14:textId="411BF508" w:rsidR="00A56CC4" w:rsidRDefault="00A56CC4" w:rsidP="00EA4E7E">
      <w:pPr>
        <w:pStyle w:val="Heading1"/>
        <w:spacing w:line="360" w:lineRule="auto"/>
        <w:rPr>
          <w:lang w:val="en-GB"/>
        </w:rPr>
      </w:pPr>
      <w:r w:rsidRPr="00E65749">
        <w:rPr>
          <w:lang w:val="en-GB"/>
        </w:rPr>
        <w:t xml:space="preserve">Self-Control Moralization: The Role of Moral Identity and Moral Foundations in a Young Adults Sample </w:t>
      </w:r>
    </w:p>
    <w:p w14:paraId="305A5230" w14:textId="77777777" w:rsidR="00275211" w:rsidRPr="00275211" w:rsidRDefault="00275211" w:rsidP="00275211">
      <w:pPr>
        <w:rPr>
          <w:lang w:val="en-GB"/>
        </w:rPr>
      </w:pPr>
    </w:p>
    <w:p w14:paraId="70086B8E" w14:textId="1189921B" w:rsidR="00842BDA" w:rsidRPr="00E65749" w:rsidRDefault="00842BDA" w:rsidP="00F75E6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Self-control</w:t>
      </w:r>
      <w:r w:rsidR="003E22FC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is </w:t>
      </w:r>
      <w:r w:rsidR="003E22FC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the ability of an</w:t>
      </w:r>
      <w:r w:rsidR="003E22FC" w:rsidRPr="003E22FC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3E22FC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individual to alter a certain behaviour that creates a conflict of consequences and goals </w:t>
      </w:r>
      <w:r w:rsidR="00E729BF" w:rsidRPr="00E729BF">
        <w:rPr>
          <w:rFonts w:ascii="Times New Roman" w:hAnsi="Times New Roman" w:cs="Times New Roman"/>
          <w:sz w:val="24"/>
        </w:rPr>
        <w:t>(Duckworth &amp; Gross, 2024; Skinner, 1953, 1982)</w:t>
      </w:r>
      <w:r w:rsidR="005D1A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</w:t>
      </w:r>
      <w:r w:rsidR="003E22F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by inhibiting a response or postponing an immediate reward in favour of a middle or </w:t>
      </w:r>
      <w:r w:rsidR="005D1AC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long-term</w:t>
      </w:r>
      <w:r w:rsidR="003E22F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3E22F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goal.</w:t>
      </w:r>
      <w:r w:rsidR="003E22FC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It is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considered one of the most powerful and beneficial adaptations of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human species </w:t>
      </w:r>
      <w:r w:rsidR="00E729BF" w:rsidRPr="00E729BF">
        <w:rPr>
          <w:rFonts w:ascii="Times New Roman" w:hAnsi="Times New Roman" w:cs="Times New Roman"/>
          <w:sz w:val="24"/>
        </w:rPr>
        <w:t>(Tangney et al., 2018)</w:t>
      </w:r>
      <w:r w:rsidR="003E22FC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being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as </w:t>
      </w:r>
      <w:r w:rsidR="003E22FC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relevant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as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intelligence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Inzlicht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&amp; Berkman, 2015)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for survival and achieving wellness. Low levels of </w:t>
      </w:r>
      <w:r w:rsidR="003E22FC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self-control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have been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F75E6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linked with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different </w:t>
      </w:r>
      <w:r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contemporary</w:t>
      </w:r>
      <w:r w:rsidR="0036096E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social and health</w:t>
      </w:r>
      <w:r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issues, such as </w:t>
      </w:r>
      <w:r w:rsidR="005D1AC1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those arising from aggressive and criminal </w:t>
      </w:r>
      <w:r w:rsidR="00F75E63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behaviour</w:t>
      </w:r>
      <w:r w:rsidR="0036096E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or obesity </w:t>
      </w:r>
      <w:r w:rsidR="00E729BF" w:rsidRPr="00E729BF">
        <w:rPr>
          <w:rFonts w:ascii="Times New Roman" w:hAnsi="Times New Roman" w:cs="Times New Roman"/>
          <w:sz w:val="24"/>
        </w:rPr>
        <w:t>(Robson et al., 2020)</w:t>
      </w:r>
      <w:r w:rsidR="0036096E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substance abuse and addiction</w:t>
      </w:r>
      <w:r w:rsidR="0036096E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 </w:t>
      </w:r>
      <w:r w:rsidR="00E729BF" w:rsidRPr="00E729BF">
        <w:rPr>
          <w:rFonts w:ascii="Times New Roman" w:hAnsi="Times New Roman" w:cs="Times New Roman"/>
          <w:sz w:val="24"/>
        </w:rPr>
        <w:t>(Li et al., 2021; Pennington et al., 2019)</w:t>
      </w:r>
      <w:r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obesity and overeating </w:t>
      </w:r>
      <w:r w:rsidR="00E729BF" w:rsidRPr="00E729BF">
        <w:rPr>
          <w:rFonts w:ascii="Times New Roman" w:hAnsi="Times New Roman" w:cs="Times New Roman"/>
          <w:sz w:val="24"/>
        </w:rPr>
        <w:t>(Cobb-Clark et al., 2023; Hardee et al., 2020)</w:t>
      </w:r>
      <w:r w:rsidR="00F75E63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and </w:t>
      </w:r>
      <w:r w:rsidR="008508BF"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more unhealthy modifiable lifestyle patterns </w:t>
      </w:r>
      <w:r w:rsidR="00E729BF" w:rsidRPr="00E729BF">
        <w:rPr>
          <w:rFonts w:ascii="Times New Roman" w:hAnsi="Times New Roman" w:cs="Times New Roman"/>
          <w:sz w:val="24"/>
        </w:rPr>
        <w:t>(Andrade &amp; Hoyle, 2023)</w:t>
      </w:r>
      <w:r w:rsidRP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E729B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It is evident, then, that self-control failures transcend the individual sphere and have effects that affect at a societal level, making it relevant to look for new forms to intervene and prevent its negative consequences </w:t>
      </w:r>
      <w:r w:rsidR="00E729BF" w:rsidRPr="00E729BF">
        <w:rPr>
          <w:rFonts w:ascii="Times New Roman" w:hAnsi="Times New Roman" w:cs="Times New Roman"/>
          <w:sz w:val="24"/>
        </w:rPr>
        <w:t>(Hofmann, 2024)</w:t>
      </w:r>
      <w:r w:rsidR="00E729B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</w:p>
    <w:p w14:paraId="77524412" w14:textId="5285E1A2" w:rsidR="00842BDA" w:rsidRPr="00E65749" w:rsidRDefault="00F75E63" w:rsidP="00EA4E7E">
      <w:pPr>
        <w:widowControl w:val="0"/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Although self-control caught the attention of many disciplines, w</w:t>
      </w:r>
      <w:r w:rsidR="0010035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hen establishing the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relationship</w:t>
      </w:r>
      <w:r w:rsidR="0010035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between self-control and morality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from a moral psychology lens</w:t>
      </w:r>
      <w:r w:rsidR="0010035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 t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wo perspectives can be distinguished </w:t>
      </w:r>
      <w:r w:rsidR="00E729BF" w:rsidRPr="00E729BF">
        <w:rPr>
          <w:rFonts w:ascii="Times New Roman" w:hAnsi="Times New Roman" w:cs="Times New Roman"/>
          <w:sz w:val="24"/>
        </w:rPr>
        <w:t>(Hofmann et al., 2018)</w:t>
      </w:r>
      <w:r w:rsidR="00842BDA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 first</w:t>
      </w:r>
      <w:r w:rsidR="00E343F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one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implies conceiving self-control as a</w:t>
      </w:r>
      <w:r w:rsidR="00842BDA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 value since it allows individuals to comply with moral norms and principles socially</w:t>
      </w:r>
      <w:r w:rsidR="00842BDA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valued and reinforced </w:t>
      </w:r>
      <w:r w:rsidR="00E729BF" w:rsidRPr="00E729BF">
        <w:rPr>
          <w:rFonts w:ascii="Times New Roman" w:hAnsi="Times New Roman" w:cs="Times New Roman"/>
          <w:sz w:val="24"/>
        </w:rPr>
        <w:t>(Schloss, 2017; Wu et al., 2017)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However, there is an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urgent necessity to understand how morality operates in complex individual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traits and 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behaviours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to potentially alter and orient complex behaviours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 Thus,</w:t>
      </w:r>
      <w:r w:rsidR="00154B43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second direction proposes that it is 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morality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pacing w:val="-6"/>
          <w:sz w:val="24"/>
          <w:szCs w:val="24"/>
          <w:lang w:val="en-GB"/>
        </w:rPr>
        <w:t xml:space="preserve"> 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which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exert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 influence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on self-control</w:t>
      </w:r>
      <w:r w:rsidR="00E65749" w:rsidRPr="00154B4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E6574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this phenomenon of self-control becoming </w:t>
      </w:r>
      <w:r w:rsidR="00E65749" w:rsidRPr="00E65749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n-GB"/>
        </w:rPr>
        <w:t xml:space="preserve">moralized </w:t>
      </w:r>
      <w:r w:rsidR="00E6574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has been less explored in the literature</w:t>
      </w:r>
      <w:r w:rsidR="008508B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2020)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</w:p>
    <w:p w14:paraId="2BCDE64C" w14:textId="370A7AE7" w:rsidR="00E343F3" w:rsidRDefault="00842BDA" w:rsidP="00E343F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</w:t>
      </w:r>
      <w:r w:rsidR="00E6574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process of moralizing self-control</w:t>
      </w: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 xml:space="preserve"> </w:t>
      </w:r>
      <w:r w:rsid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introduced by </w:t>
      </w:r>
      <w:proofErr w:type="spellStart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Rozin</w:t>
      </w:r>
      <w:proofErr w:type="spellEnd"/>
      <w:r w:rsidR="006611C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 xml:space="preserve">(1999;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Rozin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1997)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implies that the consequences of </w:t>
      </w:r>
      <w:r w:rsidR="00E6574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behaviour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where self-control ability is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6168E0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involved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will be evaluated in terms of what an individual intrinsically considers as right or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wrong</w:t>
      </w:r>
      <w:r w:rsidR="006611C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due to the conversion of a preference into a moral value</w:t>
      </w:r>
      <w:r w:rsid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Because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principles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are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3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also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conside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red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strong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4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motivators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to determine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2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success or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failure when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exerting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control over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own behaviour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the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probability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of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self-control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failures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may be reduced, as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consequences 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are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morally condemned</w:t>
      </w:r>
      <w:r w:rsidR="00E6574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</w:t>
      </w:r>
      <w:r w:rsidR="00E729BF" w:rsidRPr="00E729BF">
        <w:rPr>
          <w:rFonts w:ascii="Times New Roman" w:hAnsi="Times New Roman" w:cs="Times New Roman"/>
          <w:sz w:val="24"/>
        </w:rPr>
        <w:lastRenderedPageBreak/>
        <w:t>2020)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This </w:t>
      </w:r>
      <w:r w:rsid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theoretical proposition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implies that morality exerts an effect on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emotional,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cognitive,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 motivational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levels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to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successfully</w:t>
      </w:r>
      <w:r w:rsidRPr="00E65749">
        <w:rPr>
          <w:rFonts w:ascii="Times New Roman" w:eastAsia="Times New Roman" w:hAnsi="Times New Roman" w:cs="Times New Roman"/>
          <w:color w:val="0D0F1A"/>
          <w:spacing w:val="-6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control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one’s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E6574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behaviour</w:t>
      </w:r>
      <w:r w:rsidR="006611C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 xml:space="preserve">(Hofmann et al., 2018;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Xie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2019; Zahn et al., 2020)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</w:p>
    <w:p w14:paraId="7B48AFC5" w14:textId="71E1C735" w:rsidR="00842BDA" w:rsidRPr="00E65749" w:rsidRDefault="003E22FC" w:rsidP="00EA4E7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Among the moral variables, </w:t>
      </w:r>
      <w:r w:rsidR="007B3D02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</w:t>
      </w:r>
      <w:r w:rsidR="007B3D02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oral identity </w:t>
      </w:r>
      <w:r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becomes</w:t>
      </w:r>
      <w:r w:rsidR="007B3D02" w:rsidRP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theoretically relevant when addressing self-control</w:t>
      </w:r>
      <w:r w:rsidR="007B3D02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as it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refers to some </w:t>
      </w:r>
      <w:r w:rsidR="007B3D02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relatively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stable characteristics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that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point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out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</w:t>
      </w:r>
      <w:r w:rsidR="007B3D02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place</w:t>
      </w:r>
      <w:r w:rsidR="007B3D02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that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morality</w:t>
      </w:r>
      <w:r w:rsidR="007B3D02"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occupies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individual,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that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determine</w:t>
      </w:r>
      <w:r w:rsidR="007B3D0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</w:t>
      </w:r>
      <w:r w:rsidR="007B3D02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7B3D02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degree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of consistency between moral thought and moral behaviour </w:t>
      </w:r>
      <w:r w:rsidR="00E729BF" w:rsidRPr="00E729BF">
        <w:rPr>
          <w:rFonts w:ascii="Times New Roman" w:hAnsi="Times New Roman" w:cs="Times New Roman"/>
          <w:sz w:val="24"/>
        </w:rPr>
        <w:t>(Aquino et al., 2009; Blasi, 1994)</w:t>
      </w:r>
      <w:r w:rsidR="007B3D0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  <w:r w:rsidR="009715F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Since individuals can appraise self-control demanding situations by framing goals oriented by their core identities</w:t>
      </w:r>
      <w:r w:rsidR="009715F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or representations of themselves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(Berkman et al., 2017; Duckworth &amp; Gross, 2024)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</w:t>
      </w:r>
      <w:r w:rsidR="009715F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</w:t>
      </w:r>
      <w:r w:rsidR="009715FF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he stronger the moral identity, the stronger the consistency between the moral intention and </w:t>
      </w:r>
      <w:r w:rsidR="00B2601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desired</w:t>
      </w:r>
      <w:r w:rsidR="009715FF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behaviour</w:t>
      </w:r>
      <w:r w:rsidR="007B3D0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since cognition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</w:t>
      </w:r>
      <w:r w:rsidR="007B3D0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motivation </w:t>
      </w:r>
      <w:r w:rsidR="006611C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and values evoked</w:t>
      </w:r>
      <w:r w:rsidR="007B3D02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by identity facilitate goal achievement </w:t>
      </w:r>
      <w:r w:rsidR="00E729BF" w:rsidRPr="00E729BF">
        <w:rPr>
          <w:rFonts w:ascii="Times New Roman" w:hAnsi="Times New Roman" w:cs="Times New Roman"/>
          <w:sz w:val="24"/>
        </w:rPr>
        <w:t>(Berkman et al., 2017)</w:t>
      </w:r>
      <w:r w:rsidR="009715FF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9715F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Moral identity has been </w:t>
      </w:r>
      <w:r w:rsidR="0049048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linked with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self-control in the past: </w:t>
      </w:r>
      <w:r w:rsidR="0049048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both by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self-control </w:t>
      </w:r>
      <w:r w:rsidR="0049048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being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required for moral</w:t>
      </w:r>
      <w:r w:rsid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ly valued </w:t>
      </w:r>
      <w:r w:rsidR="00842BDA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behavio</w:t>
      </w:r>
      <w:r w:rsidR="000C556F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u</w:t>
      </w:r>
      <w:r w:rsidR="00842BDA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r</w:t>
      </w:r>
      <w:r w:rsidR="00B2601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</w:t>
      </w:r>
      <w:r w:rsidR="00842BDA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0C556F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such as </w:t>
      </w:r>
      <w:r w:rsidR="00A134D3" w:rsidRP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avoiding</w:t>
      </w:r>
      <w:r w:rsid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unethical behaviour and cheating </w:t>
      </w:r>
      <w:r w:rsidR="00E729BF" w:rsidRPr="00E729BF">
        <w:rPr>
          <w:rFonts w:ascii="Times New Roman" w:hAnsi="Times New Roman" w:cs="Times New Roman"/>
          <w:sz w:val="24"/>
        </w:rPr>
        <w:t>(Gino et al., 2011)</w:t>
      </w:r>
      <w:r w:rsidR="00B2601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;</w:t>
      </w:r>
      <w:r w:rsidR="00842BDA"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 more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recently,</w:t>
      </w:r>
      <w:r w:rsidR="00842BDA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by</w:t>
      </w:r>
      <w:r w:rsidR="0018774D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higher level</w:t>
      </w:r>
      <w:r w:rsidR="001B55E1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s of it being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required</w:t>
      </w:r>
      <w:r w:rsidR="00842BDA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for successful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self-control</w:t>
      </w:r>
      <w:r w:rsidR="00A134D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(Joosten et al., 2015)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E343F3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</w:p>
    <w:p w14:paraId="27C61F3C" w14:textId="78BD1B1E" w:rsidR="00E343F3" w:rsidRPr="00E65749" w:rsidRDefault="00154B43" w:rsidP="00E343F3">
      <w:pPr>
        <w:widowControl w:val="0"/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 addition</w:t>
      </w:r>
      <w:r w:rsidR="00E015B6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to the stable traits associated with identity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015B6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Moral Foundations Theory </w:t>
      </w:r>
      <w:r w:rsidR="00E729BF" w:rsidRPr="00E729BF">
        <w:rPr>
          <w:rFonts w:ascii="Times New Roman" w:hAnsi="Times New Roman" w:cs="Times New Roman"/>
          <w:sz w:val="24"/>
        </w:rPr>
        <w:t>(Graham et al., 2011, 2013; Haidt, 2013; Haidt &amp; Graham, 2007)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has gained a lot of attention during the last decades for its potentiality in explaining </w:t>
      </w:r>
      <w:r w:rsidR="000C556F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 judgment and subsequent behavio</w:t>
      </w:r>
      <w:r w:rsid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u</w:t>
      </w:r>
      <w:r w:rsidR="000C556F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r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based in a more situational evaluation</w:t>
      </w:r>
      <w:r w:rsidR="000C55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This theory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proposes that </w:t>
      </w:r>
      <w:r w:rsidR="000C55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two groups of moral principles or foundations are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present in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every</w:t>
      </w:r>
      <w:r w:rsidR="00842BDA" w:rsidRPr="00E65749">
        <w:rPr>
          <w:rFonts w:ascii="Times New Roman" w:eastAsia="Times New Roman" w:hAnsi="Times New Roman" w:cs="Times New Roman"/>
          <w:color w:val="0D0F1A"/>
          <w:spacing w:val="-5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culture and orient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individuals’ </w:t>
      </w:r>
      <w:r w:rsidR="00F571F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behaviour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</w:rPr>
        <w:t>: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binding foundations, aiming to </w:t>
      </w:r>
      <w:r w:rsid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ensure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group wellbeing; and individualizing foundations, prioritising the individual rather than the group</w:t>
      </w:r>
      <w:r w:rsid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Zakharin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&amp; Bates, 2021)</w:t>
      </w:r>
      <w:r w:rsid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These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categories are not oppos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ed to each other,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rather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each category may be prioritized under certain contextual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and situational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conditions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claiming 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 pluralis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</w:t>
      </w:r>
      <w:r w:rsidR="001B55E1" w:rsidRPr="001B55E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(Graham et al., 2013; Haidt, 2013)</w:t>
      </w:r>
      <w:r w:rsidR="001B55E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077E07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Supported</w:t>
      </w:r>
      <w:r w:rsidR="00842BDA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by the fact that</w:t>
      </w:r>
      <w:r w:rsidR="006168E0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6168E0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explicit norms </w:t>
      </w:r>
      <w:r w:rsidR="00E015B6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prioritiz</w:t>
      </w:r>
      <w:r w:rsidR="00E015B6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ing</w:t>
      </w:r>
      <w:r w:rsidR="00E015B6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collective or individual well-being</w:t>
      </w:r>
      <w:r w:rsidR="00E015B6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015B6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shape our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core</w:t>
      </w:r>
      <w:r w:rsidR="00E015B6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moral 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values</w:t>
      </w:r>
      <w:r w:rsidR="00E015B6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and </w:t>
      </w:r>
      <w:r w:rsidR="00E015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subsequent </w:t>
      </w:r>
      <w:r w:rsidR="00E015B6"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behaviour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B420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self-control consequences may become</w:t>
      </w:r>
      <w:r w:rsidR="00842BDA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moralized when </w:t>
      </w:r>
      <w:proofErr w:type="gramStart"/>
      <w:r w:rsidR="00E015B6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particular situations</w:t>
      </w:r>
      <w:proofErr w:type="gramEnd"/>
      <w:r w:rsidR="00E015B6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evoke binding or individualizing foundations. P</w:t>
      </w:r>
      <w:r w:rsidR="002A1D7C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revious literature has tried</w:t>
      </w:r>
      <w:r w:rsidR="00842BDA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18774D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to identify </w:t>
      </w:r>
      <w:r w:rsidR="00842BDA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which group of foundations has a stronger effect </w:t>
      </w:r>
      <w:r w:rsidR="001B55E1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on self-control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 with inconclusive results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favouring both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individualizing</w:t>
      </w:r>
      <w:r w:rsidR="00842BDA" w:rsidRPr="00E65749">
        <w:rPr>
          <w:rFonts w:ascii="Times New Roman" w:eastAsia="Times New Roman" w:hAnsi="Times New Roman" w:cs="Times New Roman"/>
          <w:color w:val="0D0F1A"/>
          <w:spacing w:val="-4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(Hofmann et al., 2018; Silver &amp; Silver, 2021)</w:t>
      </w:r>
      <w:r w:rsidR="001B55E1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binding foundations</w:t>
      </w:r>
      <w:r w:rsidR="00077E0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2020)</w:t>
      </w:r>
      <w:r w:rsid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077E0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</w:p>
    <w:p w14:paraId="37D60DB2" w14:textId="547988A3" w:rsidR="00F34C00" w:rsidRPr="00E65749" w:rsidRDefault="00F34C00" w:rsidP="00EA4E7E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The present study</w:t>
      </w:r>
    </w:p>
    <w:p w14:paraId="68FF482F" w14:textId="6E90C9DD" w:rsidR="002F182A" w:rsidRPr="00E65749" w:rsidRDefault="000C556F" w:rsidP="000C556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lastRenderedPageBreak/>
        <w:t>M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orality implies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numerous variables whose roles and influences need to be specified to clarify how </w:t>
      </w:r>
      <w:r w:rsidR="00154B4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and when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self-control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moralization occurs</w:t>
      </w:r>
      <w:r w:rsidR="00154B4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and how self-control failures are less 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likely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to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 committed</w:t>
      </w:r>
      <w:r w:rsidR="004B420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2018)</w:t>
      </w:r>
      <w:r w:rsidR="00E343F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F34C00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</w:t>
      </w:r>
      <w:r w:rsidR="000823D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espite both moral identity and moral foundations be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ing</w:t>
      </w:r>
      <w:r w:rsidR="000823D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343F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previously </w:t>
      </w:r>
      <w:r w:rsidR="00154B43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individually </w:t>
      </w:r>
      <w:r w:rsidR="000823D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linked to self-control,</w:t>
      </w:r>
      <w:r w:rsidR="00077E07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no evidence has been reported regarding</w:t>
      </w:r>
      <w:r w:rsidR="000823D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their effects when combined</w:t>
      </w:r>
      <w:r w:rsidR="00D62B5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or any possible interaction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given their theoretical conceptions</w:t>
      </w:r>
      <w:r w:rsidR="000823DA" w:rsidRPr="004B420A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C5787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Moreover, </w:t>
      </w:r>
      <w:r w:rsidR="00154B4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considering</w:t>
      </w:r>
      <w:r w:rsidR="00C5787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that there are certain critical periods for the development, the existent literature suggests that during young adulthood, both self-control and moral reasoning </w:t>
      </w:r>
      <w:r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undergo</w:t>
      </w:r>
      <w:r w:rsidR="00C5787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 stage of rapid development and consolidation</w:t>
      </w:r>
      <w:r w:rsidR="004B420A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 xml:space="preserve">(Anderson &amp;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Krettenauer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, 2021; Kim et al., 2022;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Krettenauer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>, 2022; Zondervan-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Zwijnenburg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2020)</w:t>
      </w:r>
      <w:r w:rsidR="004B420A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C5787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Therefore,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research focused on 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this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life stage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might be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valuable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for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understanding</w:t>
      </w:r>
      <w:r w:rsidR="00C5787E" w:rsidRPr="000C55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self-control moralization mechanism</w:t>
      </w:r>
      <w:r w:rsidR="00D62B5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s. </w:t>
      </w:r>
    </w:p>
    <w:p w14:paraId="7CC3BD25" w14:textId="29DF048A" w:rsidR="00842BDA" w:rsidRPr="00E65749" w:rsidRDefault="00D62B5E" w:rsidP="00EA4E7E">
      <w:pPr>
        <w:widowControl w:val="0"/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To contribute 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to </w: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filling these gaps,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present study aims to explore </w:t>
      </w:r>
      <w:r w:rsidR="00F70B64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whether self-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control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scores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show</w:t>
      </w:r>
      <w:r w:rsidR="00F70B64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</w:t>
      </w:r>
      <w:r w:rsidR="00842BDA"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significant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difference based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on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high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low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levels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of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identi</w:t>
      </w:r>
      <w:r w:rsidR="00F70B64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ty</w:t>
      </w:r>
      <w:r w:rsidR="000C55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</w:t>
      </w:r>
      <w:proofErr w:type="gramStart"/>
      <w:r w:rsidR="000C55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binding</w:t>
      </w:r>
      <w:proofErr w:type="gramEnd"/>
      <w:r w:rsidR="000C55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individualizing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foundations</w:t>
      </w:r>
      <w:r w:rsidR="00D179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during young adulthood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 To do so, the following</w:t>
      </w:r>
      <w:r w:rsidR="00842BDA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hypotheses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will be</w:t>
      </w:r>
      <w:r w:rsidR="00842BDA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842BD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tested:</w:t>
      </w:r>
    </w:p>
    <w:p w14:paraId="286C6439" w14:textId="77777777" w:rsidR="002A1D7C" w:rsidRPr="002A1D7C" w:rsidRDefault="00842BDA" w:rsidP="002A1D7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hanging="294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H1:</w:t>
      </w:r>
      <w:r w:rsidRPr="002A1D7C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2A1D7C"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We expect a positive association between moral identity and self-control. </w:t>
      </w:r>
    </w:p>
    <w:p w14:paraId="3C5107F2" w14:textId="77777777" w:rsidR="002A1D7C" w:rsidRPr="002A1D7C" w:rsidRDefault="002A1D7C" w:rsidP="002A1D7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hanging="294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H2. We anticipate a positive association between individualizing foundations and self-control. </w:t>
      </w:r>
    </w:p>
    <w:p w14:paraId="383A41DE" w14:textId="77777777" w:rsidR="002A1D7C" w:rsidRPr="002A1D7C" w:rsidRDefault="002A1D7C" w:rsidP="002A1D7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hanging="294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H3. We anticipate a positive association between binding foundations and self-control. </w:t>
      </w:r>
    </w:p>
    <w:p w14:paraId="2E8B951A" w14:textId="30E0B987" w:rsidR="002A1D7C" w:rsidRPr="002A1D7C" w:rsidRDefault="002A1D7C" w:rsidP="002A1D7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hanging="294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H4. We predict a significant interactive effect between moral identity and individualizing foundations on self-control.</w:t>
      </w:r>
    </w:p>
    <w:p w14:paraId="76542704" w14:textId="77777777" w:rsidR="002A1D7C" w:rsidRPr="002A1D7C" w:rsidRDefault="002A1D7C" w:rsidP="002A1D7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" w:after="0" w:line="360" w:lineRule="auto"/>
        <w:ind w:hanging="294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H5. We predict a significant interactive effect between moral identity and binding foundations on self-control.</w:t>
      </w:r>
      <w:r w:rsidRPr="002A1D7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</w:p>
    <w:p w14:paraId="0A910EDE" w14:textId="77777777" w:rsidR="002A1D7C" w:rsidRPr="00E65749" w:rsidRDefault="002A1D7C" w:rsidP="00EA4E7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9253AA" w14:textId="701B3C34" w:rsidR="00CE7569" w:rsidRPr="00E65749" w:rsidRDefault="00CE7569" w:rsidP="00EA4E7E">
      <w:pPr>
        <w:widowControl w:val="0"/>
        <w:tabs>
          <w:tab w:val="left" w:pos="0"/>
        </w:tabs>
        <w:autoSpaceDE w:val="0"/>
        <w:autoSpaceDN w:val="0"/>
        <w:spacing w:before="5" w:after="0" w:line="360" w:lineRule="auto"/>
        <w:ind w:right="141"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Method</w:t>
      </w:r>
    </w:p>
    <w:p w14:paraId="5BA09CD6" w14:textId="77777777" w:rsidR="00CE7569" w:rsidRPr="00E65749" w:rsidRDefault="00CE7569" w:rsidP="00EA4E7E">
      <w:pPr>
        <w:widowControl w:val="0"/>
        <w:tabs>
          <w:tab w:val="left" w:pos="0"/>
          <w:tab w:val="left" w:pos="1801"/>
        </w:tabs>
        <w:autoSpaceDE w:val="0"/>
        <w:autoSpaceDN w:val="0"/>
        <w:spacing w:after="0" w:line="360" w:lineRule="auto"/>
        <w:ind w:righ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Participants</w:t>
      </w:r>
    </w:p>
    <w:p w14:paraId="559B180E" w14:textId="2C97753D" w:rsidR="00EA4E7E" w:rsidRDefault="0036624B" w:rsidP="00D62B5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Data from 677 people were collected, however, following the study’s age criterion, we included a final non-probabilistic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convenience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sample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of 626 participants aged between 18 and 30 years old (M = 22.87; SD = 2.66)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from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two cities 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from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La Paz region, located in the Bolivian Highlands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0E645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61 % </w:t>
      </w:r>
      <w:r w:rsidR="000117F5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of the sample were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women (</w:t>
      </w:r>
      <w:r w:rsidR="00CE7569"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 xml:space="preserve">n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 </w:t>
      </w:r>
      <w:r w:rsidR="00B61FB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382</w:t>
      </w:r>
      <w:r w:rsidR="000117F5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); regarding the occupation,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more than half reported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the</w:t>
      </w:r>
      <w:r w:rsidR="000117F5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y were exclusively students when they were surveyed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(5</w:t>
      </w:r>
      <w:r w:rsidR="006D7E7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5.8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%; </w:t>
      </w:r>
      <w:r w:rsidR="00CE7569"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 xml:space="preserve">n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 </w:t>
      </w:r>
      <w:r w:rsidR="006D7E7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349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0117F5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while less than 10% reported being exclusively working (</w:t>
      </w:r>
      <w:r w:rsidR="000117F5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n</w:t>
      </w:r>
      <w:r w:rsidR="000117F5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 9.4)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2252CF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0117F5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 minimum</w:t>
      </w:r>
      <w:r w:rsidR="002252CF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required </w:t>
      </w:r>
      <w:r w:rsidR="002252CF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lastRenderedPageBreak/>
        <w:t>sample size (</w:t>
      </w:r>
      <w:r w:rsidR="000117F5" w:rsidRPr="00E65749">
        <w:rPr>
          <w:rFonts w:ascii="Times New Roman" w:eastAsia="Times New Roman" w:hAnsi="Times New Roman" w:cs="Times New Roman"/>
          <w:i/>
          <w:iCs/>
          <w:color w:val="0D0F1A"/>
          <w:sz w:val="24"/>
          <w:szCs w:val="24"/>
          <w:lang w:val="en-GB"/>
        </w:rPr>
        <w:t>n</w:t>
      </w:r>
      <w:r w:rsidR="002252CF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=384) was set based on the Population Projections, 2020 Revision </w:t>
      </w:r>
      <w:r w:rsidR="00E729BF" w:rsidRPr="00E729BF">
        <w:rPr>
          <w:rFonts w:ascii="Times New Roman" w:hAnsi="Times New Roman" w:cs="Times New Roman"/>
          <w:sz w:val="24"/>
        </w:rPr>
        <w:t xml:space="preserve">(Instituto Nacional de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Estadisticas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>, n.d.)</w:t>
      </w:r>
      <w:r w:rsidR="002C482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2252CF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for 202</w:t>
      </w:r>
      <w:r w:rsidR="002C482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0 (658,369 people aged from 18-30 years in La Paz region), setting a confidence level of 95%.</w:t>
      </w:r>
    </w:p>
    <w:p w14:paraId="3D1533C6" w14:textId="77777777" w:rsidR="00642E9C" w:rsidRPr="00E65749" w:rsidRDefault="00642E9C" w:rsidP="00D62B5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46F9B86B" w14:textId="77777777" w:rsidR="00EA4E7E" w:rsidRPr="00E65749" w:rsidRDefault="00EA4E7E" w:rsidP="00EA4E7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0890B831" w14:textId="1ECD87B8" w:rsidR="00EA4E7E" w:rsidRPr="00E65749" w:rsidRDefault="00EA4E7E" w:rsidP="00EA4E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  <w:szCs w:val="20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GB"/>
        </w:rPr>
        <w:t>Table</w:t>
      </w:r>
      <w:r w:rsidRPr="00E65749">
        <w:rPr>
          <w:rFonts w:ascii="Times New Roman" w:eastAsia="Times New Roman" w:hAnsi="Times New Roman" w:cs="Times New Roman"/>
          <w:b/>
          <w:bCs/>
          <w:i/>
          <w:iCs/>
          <w:spacing w:val="-1"/>
          <w:sz w:val="20"/>
          <w:szCs w:val="20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GB"/>
        </w:rPr>
        <w:t>1.</w:t>
      </w:r>
      <w:r w:rsidRPr="00E65749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  <w:szCs w:val="20"/>
          <w:lang w:val="en-GB"/>
        </w:rPr>
        <w:t xml:space="preserve"> </w:t>
      </w:r>
    </w:p>
    <w:p w14:paraId="32F6DBDC" w14:textId="755BF74A" w:rsidR="00EA4E7E" w:rsidRPr="00D62B5E" w:rsidRDefault="00EA4E7E" w:rsidP="00EA4E7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Sociodemographic</w:t>
      </w:r>
      <w:r w:rsidRPr="00D62B5E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data</w:t>
      </w:r>
      <w:r w:rsidRPr="00D62B5E">
        <w:rPr>
          <w:rFonts w:ascii="Times New Roman" w:eastAsia="Times New Roman" w:hAnsi="Times New Roman" w:cs="Times New Roman"/>
          <w:spacing w:val="-1"/>
          <w:sz w:val="20"/>
          <w:szCs w:val="20"/>
          <w:lang w:val="en-GB"/>
        </w:rPr>
        <w:t xml:space="preserve"> 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of</w:t>
      </w:r>
      <w:r w:rsidRPr="00D62B5E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 xml:space="preserve"> 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the</w:t>
      </w:r>
      <w:r w:rsidRPr="00D62B5E">
        <w:rPr>
          <w:rFonts w:ascii="Times New Roman" w:eastAsia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sample</w:t>
      </w:r>
      <w:r w:rsidRPr="00D62B5E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D62B5E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n</w:t>
      </w:r>
      <w:r w:rsidRPr="00D62B5E">
        <w:rPr>
          <w:rFonts w:ascii="Times New Roman" w:eastAsia="Times New Roman" w:hAnsi="Times New Roman" w:cs="Times New Roman"/>
          <w:sz w:val="20"/>
          <w:szCs w:val="20"/>
          <w:lang w:val="en-GB"/>
        </w:rPr>
        <w:t>=626)</w:t>
      </w:r>
    </w:p>
    <w:p w14:paraId="435D5945" w14:textId="77777777" w:rsidR="00EA4E7E" w:rsidRPr="00E65749" w:rsidRDefault="00EA4E7E" w:rsidP="00EA4E7E">
      <w:pPr>
        <w:widowControl w:val="0"/>
        <w:autoSpaceDE w:val="0"/>
        <w:autoSpaceDN w:val="0"/>
        <w:spacing w:before="232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Normal1"/>
        <w:tblW w:w="9498" w:type="dxa"/>
        <w:tblLayout w:type="fixed"/>
        <w:tblLook w:val="01E0" w:firstRow="1" w:lastRow="1" w:firstColumn="1" w:lastColumn="1" w:noHBand="0" w:noVBand="0"/>
      </w:tblPr>
      <w:tblGrid>
        <w:gridCol w:w="1701"/>
        <w:gridCol w:w="2141"/>
        <w:gridCol w:w="1828"/>
        <w:gridCol w:w="2127"/>
        <w:gridCol w:w="1701"/>
      </w:tblGrid>
      <w:tr w:rsidR="00EA4E7E" w:rsidRPr="00E65749" w14:paraId="37102C0C" w14:textId="77777777" w:rsidTr="00D62B5E">
        <w:trPr>
          <w:trHeight w:val="286"/>
        </w:trPr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6F367771" w14:textId="77777777" w:rsidR="00EA4E7E" w:rsidRPr="00E65749" w:rsidRDefault="00EA4E7E" w:rsidP="00AF0C06">
            <w:pPr>
              <w:rPr>
                <w:rFonts w:ascii="Times New Roman" w:eastAsia="Arial MT" w:hAnsi="Arial MT" w:cs="Arial MT"/>
                <w:sz w:val="20"/>
                <w:lang w:val="en-GB"/>
              </w:rPr>
            </w:pP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14:paraId="17911FEA" w14:textId="77777777" w:rsidR="00EA4E7E" w:rsidRPr="00E65749" w:rsidRDefault="00EA4E7E" w:rsidP="00AF0C06">
            <w:pPr>
              <w:spacing w:line="228" w:lineRule="exact"/>
              <w:ind w:right="322"/>
              <w:jc w:val="center"/>
              <w:rPr>
                <w:rFonts w:ascii="Times New Roman" w:eastAsia="Arial MT" w:hAnsi="Arial MT" w:cs="Arial MT"/>
                <w:b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b/>
                <w:sz w:val="20"/>
                <w:lang w:val="en-GB"/>
              </w:rPr>
              <w:t>Female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35822335" w14:textId="77777777" w:rsidR="00EA4E7E" w:rsidRPr="00E65749" w:rsidRDefault="00EA4E7E" w:rsidP="00AF0C06">
            <w:pPr>
              <w:spacing w:line="228" w:lineRule="exact"/>
              <w:ind w:right="359"/>
              <w:jc w:val="center"/>
              <w:rPr>
                <w:rFonts w:ascii="Times New Roman" w:eastAsia="Arial MT" w:hAnsi="Arial MT" w:cs="Arial MT"/>
                <w:b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b/>
                <w:sz w:val="20"/>
                <w:lang w:val="en-GB"/>
              </w:rPr>
              <w:t>Male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5C8D81DE" w14:textId="77777777" w:rsidR="00EA4E7E" w:rsidRPr="00E65749" w:rsidRDefault="00EA4E7E" w:rsidP="00AF0C06">
            <w:pPr>
              <w:spacing w:line="228" w:lineRule="exact"/>
              <w:ind w:right="257"/>
              <w:jc w:val="center"/>
              <w:rPr>
                <w:rFonts w:ascii="Times New Roman" w:eastAsia="Arial MT" w:hAnsi="Arial MT" w:cs="Arial MT"/>
                <w:b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b/>
                <w:sz w:val="20"/>
                <w:lang w:val="en-GB"/>
              </w:rPr>
              <w:t>Not stated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3BBC04C7" w14:textId="77777777" w:rsidR="00EA4E7E" w:rsidRPr="00E65749" w:rsidRDefault="00EA4E7E" w:rsidP="00AF0C06">
            <w:pPr>
              <w:spacing w:line="228" w:lineRule="exact"/>
              <w:ind w:right="257"/>
              <w:jc w:val="center"/>
              <w:rPr>
                <w:rFonts w:ascii="Times New Roman" w:eastAsia="Arial MT" w:hAnsi="Arial MT" w:cs="Arial MT"/>
                <w:b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b/>
                <w:sz w:val="20"/>
                <w:lang w:val="en-GB"/>
              </w:rPr>
              <w:t>Total</w:t>
            </w:r>
          </w:p>
        </w:tc>
      </w:tr>
      <w:tr w:rsidR="00EA4E7E" w:rsidRPr="00E65749" w14:paraId="2080208F" w14:textId="77777777" w:rsidTr="00D62B5E">
        <w:trPr>
          <w:trHeight w:val="401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02769577" w14:textId="77777777" w:rsidR="00EA4E7E" w:rsidRPr="00E65749" w:rsidRDefault="00EA4E7E" w:rsidP="00AF0C06">
            <w:pPr>
              <w:rPr>
                <w:rFonts w:ascii="Times New Roman" w:eastAsia="Times New Roman" w:hAnsi="Times New Roman" w:cs="Times New Roman"/>
                <w:sz w:val="2"/>
                <w:szCs w:val="2"/>
                <w:lang w:val="en-GB"/>
              </w:rPr>
            </w:pPr>
          </w:p>
        </w:tc>
        <w:tc>
          <w:tcPr>
            <w:tcW w:w="2141" w:type="dxa"/>
            <w:tcBorders>
              <w:bottom w:val="single" w:sz="4" w:space="0" w:color="000000"/>
            </w:tcBorders>
          </w:tcPr>
          <w:p w14:paraId="1A50A630" w14:textId="77777777" w:rsidR="00EA4E7E" w:rsidRPr="00E65749" w:rsidRDefault="00EA4E7E" w:rsidP="00AF0C06">
            <w:pPr>
              <w:spacing w:before="49"/>
              <w:ind w:right="319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n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 382;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61.0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%)</w:t>
            </w:r>
          </w:p>
        </w:tc>
        <w:tc>
          <w:tcPr>
            <w:tcW w:w="1828" w:type="dxa"/>
            <w:tcBorders>
              <w:bottom w:val="single" w:sz="4" w:space="0" w:color="000000"/>
            </w:tcBorders>
          </w:tcPr>
          <w:p w14:paraId="23043C82" w14:textId="77777777" w:rsidR="00EA4E7E" w:rsidRPr="00E65749" w:rsidRDefault="00EA4E7E" w:rsidP="00AF0C06">
            <w:pPr>
              <w:spacing w:before="49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n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232;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37.1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%)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74921320" w14:textId="77777777" w:rsidR="00EA4E7E" w:rsidRPr="00E65749" w:rsidRDefault="00EA4E7E" w:rsidP="00AF0C06">
            <w:pPr>
              <w:spacing w:before="49"/>
              <w:ind w:right="255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n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12;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1.9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%)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2F4B2E8" w14:textId="77777777" w:rsidR="00EA4E7E" w:rsidRPr="00E65749" w:rsidRDefault="00EA4E7E" w:rsidP="00AF0C06">
            <w:pPr>
              <w:spacing w:before="49"/>
              <w:ind w:right="255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>N</w:t>
            </w:r>
            <w:r w:rsidRPr="00E65749">
              <w:rPr>
                <w:rFonts w:ascii="Times New Roman" w:eastAsia="Arial MT" w:hAnsi="Arial MT" w:cs="Arial MT"/>
                <w:i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 626; 100%)</w:t>
            </w:r>
          </w:p>
        </w:tc>
      </w:tr>
      <w:tr w:rsidR="00EA4E7E" w:rsidRPr="00E65749" w14:paraId="678E41EC" w14:textId="77777777" w:rsidTr="00D62B5E">
        <w:trPr>
          <w:trHeight w:val="290"/>
        </w:trPr>
        <w:tc>
          <w:tcPr>
            <w:tcW w:w="1701" w:type="dxa"/>
            <w:tcBorders>
              <w:top w:val="single" w:sz="4" w:space="0" w:color="auto"/>
            </w:tcBorders>
          </w:tcPr>
          <w:p w14:paraId="6E6DE337" w14:textId="77777777" w:rsidR="00EA4E7E" w:rsidRPr="00D62B5E" w:rsidRDefault="00EA4E7E" w:rsidP="00AF0C06">
            <w:pPr>
              <w:spacing w:line="228" w:lineRule="exact"/>
              <w:rPr>
                <w:rFonts w:ascii="Times New Roman" w:eastAsia="Arial MT" w:hAnsi="Arial MT" w:cs="Arial MT"/>
                <w:bCs/>
                <w:sz w:val="20"/>
                <w:lang w:val="en-GB"/>
              </w:rPr>
            </w:pPr>
            <w:r w:rsidRPr="00D62B5E">
              <w:rPr>
                <w:rFonts w:ascii="Times New Roman" w:eastAsia="Arial MT" w:hAnsi="Arial MT" w:cs="Arial MT"/>
                <w:bCs/>
                <w:sz w:val="20"/>
                <w:lang w:val="en-GB"/>
              </w:rPr>
              <w:t>Age</w:t>
            </w:r>
          </w:p>
        </w:tc>
        <w:tc>
          <w:tcPr>
            <w:tcW w:w="2141" w:type="dxa"/>
            <w:tcBorders>
              <w:top w:val="single" w:sz="4" w:space="0" w:color="000000"/>
            </w:tcBorders>
          </w:tcPr>
          <w:p w14:paraId="08B2A9F2" w14:textId="77777777" w:rsidR="00EA4E7E" w:rsidRPr="00E65749" w:rsidRDefault="00EA4E7E" w:rsidP="00AF0C06">
            <w:pPr>
              <w:spacing w:line="223" w:lineRule="exact"/>
              <w:ind w:right="322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22.68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(SD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 2.72)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14:paraId="492E7138" w14:textId="77777777" w:rsidR="00EA4E7E" w:rsidRPr="00E65749" w:rsidRDefault="00EA4E7E" w:rsidP="00AF0C06">
            <w:pPr>
              <w:spacing w:line="223" w:lineRule="exact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23.17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SD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2.51)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15BA560D" w14:textId="77777777" w:rsidR="00EA4E7E" w:rsidRPr="00E65749" w:rsidRDefault="00EA4E7E" w:rsidP="00AF0C06">
            <w:pPr>
              <w:spacing w:line="223" w:lineRule="exact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23.08</w:t>
            </w:r>
            <w:r w:rsidRPr="00E65749">
              <w:rPr>
                <w:rFonts w:ascii="Times New Roman" w:eastAsia="Arial MT" w:hAnsi="Arial MT" w:cs="Arial MT"/>
                <w:spacing w:val="-1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SD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3.48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883E8FF" w14:textId="77777777" w:rsidR="00EA4E7E" w:rsidRPr="00E65749" w:rsidRDefault="00EA4E7E" w:rsidP="00AF0C06">
            <w:pPr>
              <w:spacing w:line="223" w:lineRule="exact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22.87 (</w:t>
            </w:r>
            <w:r w:rsidRPr="00E65749">
              <w:rPr>
                <w:rFonts w:ascii="Times New Roman" w:eastAsia="Arial MT" w:hAnsi="Arial MT" w:cs="Arial MT"/>
                <w:i/>
                <w:sz w:val="20"/>
                <w:lang w:val="en-GB"/>
              </w:rPr>
              <w:t xml:space="preserve">SD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=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2.66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)</w:t>
            </w:r>
          </w:p>
        </w:tc>
      </w:tr>
      <w:tr w:rsidR="00EA4E7E" w:rsidRPr="00E65749" w14:paraId="56DF478F" w14:textId="77777777" w:rsidTr="00AF0C06">
        <w:trPr>
          <w:trHeight w:val="343"/>
        </w:trPr>
        <w:tc>
          <w:tcPr>
            <w:tcW w:w="1701" w:type="dxa"/>
          </w:tcPr>
          <w:p w14:paraId="5783D8EB" w14:textId="77777777" w:rsidR="00EA4E7E" w:rsidRPr="00D62B5E" w:rsidRDefault="00EA4E7E" w:rsidP="00AF0C06">
            <w:pPr>
              <w:spacing w:before="53"/>
              <w:rPr>
                <w:rFonts w:ascii="Times New Roman" w:eastAsia="Arial MT" w:hAnsi="Arial MT" w:cs="Arial MT"/>
                <w:bCs/>
                <w:sz w:val="20"/>
                <w:lang w:val="en-GB"/>
              </w:rPr>
            </w:pPr>
            <w:r w:rsidRPr="00D62B5E">
              <w:rPr>
                <w:rFonts w:ascii="Times New Roman" w:eastAsia="Arial MT" w:hAnsi="Arial MT" w:cs="Arial MT"/>
                <w:bCs/>
                <w:sz w:val="20"/>
                <w:lang w:val="en-GB"/>
              </w:rPr>
              <w:t>Occupation</w:t>
            </w:r>
          </w:p>
        </w:tc>
        <w:tc>
          <w:tcPr>
            <w:tcW w:w="2141" w:type="dxa"/>
          </w:tcPr>
          <w:p w14:paraId="78259592" w14:textId="77777777" w:rsidR="00EA4E7E" w:rsidRPr="00E65749" w:rsidRDefault="00EA4E7E" w:rsidP="00AF0C06">
            <w:pPr>
              <w:rPr>
                <w:rFonts w:ascii="Times New Roman" w:eastAsia="Arial MT" w:hAnsi="Arial MT" w:cs="Arial MT"/>
                <w:sz w:val="20"/>
                <w:lang w:val="en-GB"/>
              </w:rPr>
            </w:pPr>
          </w:p>
        </w:tc>
        <w:tc>
          <w:tcPr>
            <w:tcW w:w="1828" w:type="dxa"/>
          </w:tcPr>
          <w:p w14:paraId="54E7F8F3" w14:textId="77777777" w:rsidR="00EA4E7E" w:rsidRPr="00E65749" w:rsidRDefault="00EA4E7E" w:rsidP="00AF0C06">
            <w:pPr>
              <w:rPr>
                <w:rFonts w:ascii="Times New Roman" w:eastAsia="Arial MT" w:hAnsi="Arial MT" w:cs="Arial MT"/>
                <w:sz w:val="20"/>
                <w:lang w:val="en-GB"/>
              </w:rPr>
            </w:pPr>
          </w:p>
        </w:tc>
        <w:tc>
          <w:tcPr>
            <w:tcW w:w="2127" w:type="dxa"/>
          </w:tcPr>
          <w:p w14:paraId="6246664E" w14:textId="77777777" w:rsidR="00EA4E7E" w:rsidRPr="00E65749" w:rsidRDefault="00EA4E7E" w:rsidP="00AF0C06">
            <w:pPr>
              <w:rPr>
                <w:rFonts w:ascii="Times New Roman" w:eastAsia="Arial MT" w:hAnsi="Arial MT" w:cs="Arial MT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41CFAAFB" w14:textId="77777777" w:rsidR="00EA4E7E" w:rsidRPr="00E65749" w:rsidRDefault="00EA4E7E" w:rsidP="00AF0C06">
            <w:pPr>
              <w:rPr>
                <w:rFonts w:ascii="Times New Roman" w:eastAsia="Arial MT" w:hAnsi="Arial MT" w:cs="Arial MT"/>
                <w:sz w:val="20"/>
                <w:lang w:val="en-GB"/>
              </w:rPr>
            </w:pPr>
          </w:p>
        </w:tc>
      </w:tr>
      <w:tr w:rsidR="00EA4E7E" w:rsidRPr="00E65749" w14:paraId="33CC17CC" w14:textId="77777777" w:rsidTr="00AF0C06">
        <w:trPr>
          <w:trHeight w:val="343"/>
        </w:trPr>
        <w:tc>
          <w:tcPr>
            <w:tcW w:w="1701" w:type="dxa"/>
          </w:tcPr>
          <w:p w14:paraId="4EC913C3" w14:textId="77777777" w:rsidR="00EA4E7E" w:rsidRPr="00E65749" w:rsidRDefault="00EA4E7E" w:rsidP="00D62B5E">
            <w:pPr>
              <w:spacing w:before="51"/>
              <w:ind w:right="105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Studies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only</w:t>
            </w:r>
          </w:p>
        </w:tc>
        <w:tc>
          <w:tcPr>
            <w:tcW w:w="2141" w:type="dxa"/>
          </w:tcPr>
          <w:p w14:paraId="1307FF60" w14:textId="77777777" w:rsidR="00EA4E7E" w:rsidRPr="00E65749" w:rsidRDefault="00EA4E7E" w:rsidP="00AF0C06">
            <w:pPr>
              <w:spacing w:before="51"/>
              <w:ind w:right="319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60.5%</w:t>
            </w:r>
          </w:p>
        </w:tc>
        <w:tc>
          <w:tcPr>
            <w:tcW w:w="1828" w:type="dxa"/>
          </w:tcPr>
          <w:p w14:paraId="34DCD00E" w14:textId="77777777" w:rsidR="00EA4E7E" w:rsidRPr="00E65749" w:rsidRDefault="00EA4E7E" w:rsidP="00AF0C06">
            <w:pPr>
              <w:spacing w:before="51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47.8%</w:t>
            </w:r>
          </w:p>
        </w:tc>
        <w:tc>
          <w:tcPr>
            <w:tcW w:w="2127" w:type="dxa"/>
          </w:tcPr>
          <w:p w14:paraId="16267C2F" w14:textId="77777777" w:rsidR="00EA4E7E" w:rsidRPr="00E65749" w:rsidRDefault="00EA4E7E" w:rsidP="00AF0C06">
            <w:pPr>
              <w:spacing w:before="51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58.3%</w:t>
            </w:r>
          </w:p>
        </w:tc>
        <w:tc>
          <w:tcPr>
            <w:tcW w:w="1701" w:type="dxa"/>
          </w:tcPr>
          <w:p w14:paraId="5D76DB68" w14:textId="77777777" w:rsidR="00EA4E7E" w:rsidRPr="00E65749" w:rsidRDefault="00EA4E7E" w:rsidP="00AF0C06">
            <w:pPr>
              <w:spacing w:before="51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55.8%</w:t>
            </w:r>
          </w:p>
        </w:tc>
      </w:tr>
      <w:tr w:rsidR="00EA4E7E" w:rsidRPr="00E65749" w14:paraId="017749AD" w14:textId="77777777" w:rsidTr="00AF0C06">
        <w:trPr>
          <w:trHeight w:val="344"/>
        </w:trPr>
        <w:tc>
          <w:tcPr>
            <w:tcW w:w="1701" w:type="dxa"/>
          </w:tcPr>
          <w:p w14:paraId="37B9BFFB" w14:textId="77777777" w:rsidR="00EA4E7E" w:rsidRPr="00E65749" w:rsidRDefault="00EA4E7E" w:rsidP="00D62B5E">
            <w:pPr>
              <w:spacing w:before="53"/>
              <w:ind w:right="106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Works</w:t>
            </w:r>
            <w:r w:rsidRPr="00E65749">
              <w:rPr>
                <w:rFonts w:ascii="Times New Roman" w:eastAsia="Arial MT" w:hAnsi="Arial MT" w:cs="Arial MT"/>
                <w:spacing w:val="-3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only</w:t>
            </w:r>
          </w:p>
        </w:tc>
        <w:tc>
          <w:tcPr>
            <w:tcW w:w="2141" w:type="dxa"/>
          </w:tcPr>
          <w:p w14:paraId="6C06D5F9" w14:textId="77777777" w:rsidR="00EA4E7E" w:rsidRPr="00E65749" w:rsidRDefault="00EA4E7E" w:rsidP="00AF0C06">
            <w:pPr>
              <w:spacing w:before="53"/>
              <w:ind w:right="319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11.0%</w:t>
            </w:r>
          </w:p>
        </w:tc>
        <w:tc>
          <w:tcPr>
            <w:tcW w:w="1828" w:type="dxa"/>
          </w:tcPr>
          <w:p w14:paraId="5D4BB0D5" w14:textId="77777777" w:rsidR="00EA4E7E" w:rsidRPr="00E65749" w:rsidRDefault="00EA4E7E" w:rsidP="00AF0C06">
            <w:pPr>
              <w:spacing w:before="53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6.9%</w:t>
            </w:r>
          </w:p>
        </w:tc>
        <w:tc>
          <w:tcPr>
            <w:tcW w:w="2127" w:type="dxa"/>
          </w:tcPr>
          <w:p w14:paraId="3BCBD37D" w14:textId="77777777" w:rsidR="00EA4E7E" w:rsidRPr="00E65749" w:rsidRDefault="00EA4E7E" w:rsidP="00AF0C06">
            <w:pPr>
              <w:spacing w:before="53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8.3%</w:t>
            </w:r>
          </w:p>
        </w:tc>
        <w:tc>
          <w:tcPr>
            <w:tcW w:w="1701" w:type="dxa"/>
          </w:tcPr>
          <w:p w14:paraId="157D42C5" w14:textId="77777777" w:rsidR="00EA4E7E" w:rsidRPr="00E65749" w:rsidRDefault="00EA4E7E" w:rsidP="00AF0C06">
            <w:pPr>
              <w:spacing w:before="53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9.4%</w:t>
            </w:r>
          </w:p>
        </w:tc>
      </w:tr>
      <w:tr w:rsidR="00EA4E7E" w:rsidRPr="00E65749" w14:paraId="1DC351BC" w14:textId="77777777" w:rsidTr="00AF0C06">
        <w:trPr>
          <w:trHeight w:val="344"/>
        </w:trPr>
        <w:tc>
          <w:tcPr>
            <w:tcW w:w="1701" w:type="dxa"/>
          </w:tcPr>
          <w:p w14:paraId="5852179C" w14:textId="77777777" w:rsidR="00EA4E7E" w:rsidRPr="00E65749" w:rsidRDefault="00EA4E7E" w:rsidP="00D62B5E">
            <w:pPr>
              <w:spacing w:before="52"/>
              <w:ind w:right="109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Studies</w:t>
            </w:r>
            <w:r w:rsidRPr="00E65749">
              <w:rPr>
                <w:rFonts w:ascii="Times New Roman" w:eastAsia="Arial MT" w:hAnsi="Arial MT" w:cs="Arial MT"/>
                <w:spacing w:val="-5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and works</w:t>
            </w:r>
          </w:p>
        </w:tc>
        <w:tc>
          <w:tcPr>
            <w:tcW w:w="2141" w:type="dxa"/>
          </w:tcPr>
          <w:p w14:paraId="6060AA7E" w14:textId="77777777" w:rsidR="00EA4E7E" w:rsidRPr="00E65749" w:rsidRDefault="00EA4E7E" w:rsidP="00AF0C06">
            <w:pPr>
              <w:spacing w:before="52"/>
              <w:ind w:right="319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26.4%</w:t>
            </w:r>
          </w:p>
        </w:tc>
        <w:tc>
          <w:tcPr>
            <w:tcW w:w="1828" w:type="dxa"/>
          </w:tcPr>
          <w:p w14:paraId="77797B83" w14:textId="77777777" w:rsidR="00EA4E7E" w:rsidRPr="00E65749" w:rsidRDefault="00EA4E7E" w:rsidP="00AF0C06">
            <w:pPr>
              <w:spacing w:before="52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44.0%</w:t>
            </w:r>
          </w:p>
        </w:tc>
        <w:tc>
          <w:tcPr>
            <w:tcW w:w="2127" w:type="dxa"/>
          </w:tcPr>
          <w:p w14:paraId="0A844555" w14:textId="77777777" w:rsidR="00EA4E7E" w:rsidRPr="00E65749" w:rsidRDefault="00EA4E7E" w:rsidP="00AF0C06">
            <w:pPr>
              <w:spacing w:before="52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33.3%</w:t>
            </w:r>
          </w:p>
        </w:tc>
        <w:tc>
          <w:tcPr>
            <w:tcW w:w="1701" w:type="dxa"/>
          </w:tcPr>
          <w:p w14:paraId="0F64815C" w14:textId="77777777" w:rsidR="00EA4E7E" w:rsidRPr="00E65749" w:rsidRDefault="00EA4E7E" w:rsidP="00AF0C06">
            <w:pPr>
              <w:spacing w:before="52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33.1%</w:t>
            </w:r>
          </w:p>
        </w:tc>
      </w:tr>
      <w:tr w:rsidR="00EA4E7E" w:rsidRPr="00E65749" w14:paraId="6199F5DF" w14:textId="77777777" w:rsidTr="00AF0C06">
        <w:trPr>
          <w:trHeight w:val="307"/>
        </w:trPr>
        <w:tc>
          <w:tcPr>
            <w:tcW w:w="1701" w:type="dxa"/>
            <w:tcBorders>
              <w:bottom w:val="single" w:sz="4" w:space="0" w:color="auto"/>
            </w:tcBorders>
          </w:tcPr>
          <w:p w14:paraId="69234C52" w14:textId="77777777" w:rsidR="00EA4E7E" w:rsidRPr="00E65749" w:rsidRDefault="00EA4E7E" w:rsidP="00D62B5E">
            <w:pPr>
              <w:spacing w:before="53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None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of</w:t>
            </w:r>
            <w:r w:rsidRPr="00E65749">
              <w:rPr>
                <w:rFonts w:ascii="Times New Roman" w:eastAsia="Arial MT" w:hAnsi="Arial MT" w:cs="Arial MT"/>
                <w:spacing w:val="-4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the</w:t>
            </w:r>
            <w:r w:rsidRPr="00E65749">
              <w:rPr>
                <w:rFonts w:ascii="Times New Roman" w:eastAsia="Arial MT" w:hAnsi="Arial MT" w:cs="Arial MT"/>
                <w:spacing w:val="-2"/>
                <w:sz w:val="20"/>
                <w:lang w:val="en-GB"/>
              </w:rPr>
              <w:t xml:space="preserve"> </w:t>
            </w: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above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A33DA62" w14:textId="77777777" w:rsidR="00EA4E7E" w:rsidRPr="00E65749" w:rsidRDefault="00EA4E7E" w:rsidP="00AF0C06">
            <w:pPr>
              <w:spacing w:before="53"/>
              <w:ind w:right="319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2.1%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024D86FF" w14:textId="77777777" w:rsidR="00EA4E7E" w:rsidRPr="00E65749" w:rsidRDefault="00EA4E7E" w:rsidP="00AF0C06">
            <w:pPr>
              <w:spacing w:before="53"/>
              <w:ind w:right="360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1.3%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408A3F" w14:textId="77777777" w:rsidR="00EA4E7E" w:rsidRPr="00E65749" w:rsidRDefault="00EA4E7E" w:rsidP="00AF0C06">
            <w:pPr>
              <w:spacing w:before="53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49A23" w14:textId="77777777" w:rsidR="00EA4E7E" w:rsidRPr="00E65749" w:rsidRDefault="00EA4E7E" w:rsidP="00AF0C06">
            <w:pPr>
              <w:spacing w:before="53"/>
              <w:ind w:right="257"/>
              <w:jc w:val="center"/>
              <w:rPr>
                <w:rFonts w:ascii="Times New Roman" w:eastAsia="Arial MT" w:hAnsi="Arial MT" w:cs="Arial MT"/>
                <w:sz w:val="20"/>
                <w:lang w:val="en-GB"/>
              </w:rPr>
            </w:pPr>
            <w:r w:rsidRPr="00E65749">
              <w:rPr>
                <w:rFonts w:ascii="Times New Roman" w:eastAsia="Arial MT" w:hAnsi="Arial MT" w:cs="Arial MT"/>
                <w:sz w:val="20"/>
                <w:lang w:val="en-GB"/>
              </w:rPr>
              <w:t>1.8%</w:t>
            </w:r>
          </w:p>
        </w:tc>
      </w:tr>
    </w:tbl>
    <w:p w14:paraId="4D030983" w14:textId="77777777" w:rsidR="00EA4E7E" w:rsidRPr="00E65749" w:rsidRDefault="00EA4E7E" w:rsidP="00EA4E7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B6D5541" w14:textId="3D934C90" w:rsidR="00CE7569" w:rsidRPr="00E65749" w:rsidRDefault="00CE7569" w:rsidP="00EA4E7E">
      <w:pPr>
        <w:widowControl w:val="0"/>
        <w:tabs>
          <w:tab w:val="left" w:pos="0"/>
          <w:tab w:val="left" w:pos="1801"/>
        </w:tabs>
        <w:autoSpaceDE w:val="0"/>
        <w:autoSpaceDN w:val="0"/>
        <w:spacing w:after="0" w:line="360" w:lineRule="auto"/>
        <w:ind w:righ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Measurements</w:t>
      </w:r>
    </w:p>
    <w:p w14:paraId="1975F000" w14:textId="25F2A5D6" w:rsidR="00CE7569" w:rsidRPr="00E65749" w:rsidRDefault="008803C3" w:rsidP="00EA4E7E">
      <w:pPr>
        <w:widowControl w:val="0"/>
        <w:tabs>
          <w:tab w:val="left" w:pos="0"/>
          <w:tab w:val="left" w:pos="1981"/>
        </w:tabs>
        <w:autoSpaceDE w:val="0"/>
        <w:autoSpaceDN w:val="0"/>
        <w:spacing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4"/>
          <w:szCs w:val="24"/>
          <w:lang w:val="en-GB"/>
        </w:rPr>
        <w:t xml:space="preserve">Self-Control. 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The 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13-item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Brief Self-Control Scale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 (BSCS) </w:t>
      </w:r>
      <w:r w:rsidR="00E729BF" w:rsidRPr="00E729BF">
        <w:rPr>
          <w:rFonts w:ascii="Times New Roman" w:hAnsi="Times New Roman" w:cs="Times New Roman"/>
          <w:sz w:val="24"/>
        </w:rPr>
        <w:t>(Tangney et al., 2018)</w:t>
      </w:r>
      <w:r w:rsidR="00CE7569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was employed,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with each item rated on a 5-point scale from 1 </w:t>
      </w:r>
      <w:proofErr w:type="gramStart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=</w:t>
      </w:r>
      <w:r w:rsidR="00CE7569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“</w:t>
      </w:r>
      <w:proofErr w:type="gramEnd"/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N</w:t>
      </w:r>
      <w:r w:rsidR="00CE7569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 xml:space="preserve">ot at all like me”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to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5 </w:t>
      </w:r>
      <w:r w:rsidR="00CE7569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“</w:t>
      </w: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V</w:t>
      </w:r>
      <w:r w:rsidR="00CE7569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ery much like me”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CE7569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The 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Spanish-translated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version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by del Valle et al.</w:t>
      </w:r>
      <w:r w:rsidR="00F8005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(2019)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was employed for this study. The</w:t>
      </w:r>
      <w:r w:rsidR="00CE7569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BSCS assesses individual differences in self-control and has shown high consistency and validity</w:t>
      </w:r>
      <w:r w:rsidR="00CE7569" w:rsidRPr="00E65749">
        <w:rPr>
          <w:rFonts w:ascii="Times New Roman" w:eastAsia="Times New Roman" w:hAnsi="Times New Roman" w:cs="Times New Roman"/>
          <w:color w:val="0D0F1A"/>
          <w:spacing w:val="-57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between different studies, as it is one of the most employed instruments for measuring self-control</w:t>
      </w:r>
      <w:r w:rsidR="00CE7569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(Garrido et al., 2018)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="002F158A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Consideration of previous studies </w:t>
      </w:r>
      <w:r w:rsidR="00E729BF" w:rsidRPr="00E729BF">
        <w:rPr>
          <w:rFonts w:ascii="Times New Roman" w:hAnsi="Times New Roman" w:cs="Times New Roman"/>
          <w:sz w:val="24"/>
        </w:rPr>
        <w:t xml:space="preserve">(Garrido et al., 2018; Lindner et al., 2015;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Pilarska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&amp; Baumeister, 2018)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and a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onfirmatory Factor Analysis (CFA)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conducted in the present study, 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confirmed the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pacing w:val="-5"/>
          <w:sz w:val="24"/>
          <w:szCs w:val="24"/>
          <w:lang w:val="en-GB"/>
        </w:rPr>
        <w:t xml:space="preserve"> 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one-factor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802D7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solution among the sample 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with an acceptable fit (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CFI = 0.9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4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TLI = 0.9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RMSEA = 0.0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7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90% CI: 0.0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5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-0.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8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SRMR = 0.0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6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36624B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X</w:t>
      </w:r>
      <w:proofErr w:type="gramStart"/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²(</w:t>
      </w:r>
      <w:proofErr w:type="gramEnd"/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65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) = 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246.12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p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&lt;0.00)</w:t>
      </w:r>
      <w:r w:rsidR="00CE7569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 Alpha (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α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= 0.78) 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and Omega coefficients (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ω</w:t>
      </w:r>
      <w:r w:rsidR="0036624B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=0.79) 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reflected 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acceptable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36624B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internal consistency</w:t>
      </w:r>
      <w:r w:rsidR="00802D7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</w:p>
    <w:p w14:paraId="70EF52CD" w14:textId="27328005" w:rsidR="00CE7569" w:rsidRPr="00E65749" w:rsidRDefault="00802D7D" w:rsidP="00EA4E7E">
      <w:pPr>
        <w:widowControl w:val="0"/>
        <w:tabs>
          <w:tab w:val="left" w:pos="0"/>
          <w:tab w:val="left" w:pos="567"/>
        </w:tabs>
        <w:autoSpaceDE w:val="0"/>
        <w:autoSpaceDN w:val="0"/>
        <w:spacing w:before="1" w:after="0" w:line="360" w:lineRule="auto"/>
        <w:ind w:right="141"/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4"/>
          <w:szCs w:val="24"/>
          <w:lang w:val="en-GB"/>
        </w:rPr>
        <w:t>Moral identity</w:t>
      </w:r>
      <w:r w:rsidRPr="00E65749">
        <w:rPr>
          <w:rFonts w:ascii="Times New Roman" w:eastAsia="Times New Roman" w:hAnsi="Times New Roman" w:cs="Times New Roman"/>
          <w:b/>
          <w:bCs/>
          <w:i/>
          <w:color w:val="0D0F1A"/>
          <w:sz w:val="24"/>
          <w:szCs w:val="24"/>
          <w:lang w:val="en-GB"/>
        </w:rPr>
        <w:t xml:space="preserve">. 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We used the </w:t>
      </w:r>
      <w:r w:rsidR="00CE7569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Self-Importance of Moral Identity Scale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 (</w:t>
      </w:r>
      <w:r w:rsidR="00CE7569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MIS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)</w:t>
      </w:r>
      <w:r w:rsidR="00CE7569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(Aquino &amp; Reed, 2002)</w:t>
      </w:r>
      <w:r w:rsidR="00F8005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,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10-item scale</w:t>
      </w:r>
      <w:r w:rsidR="00CE7569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with a 7-points scale that contains two dimensions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with five items each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: internalization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 referring to “the degree to which a</w:t>
      </w:r>
      <w:r w:rsidR="00177783" w:rsidRPr="00E65749">
        <w:rPr>
          <w:rFonts w:ascii="Times New Roman" w:eastAsia="Times New Roman" w:hAnsi="Times New Roman" w:cs="Times New Roman"/>
          <w:color w:val="0D0F1A"/>
          <w:spacing w:val="-57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set of moral traits is central to the self-concept”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</w:t>
      </w:r>
      <w:proofErr w:type="spellStart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e.g.,</w:t>
      </w:r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“It</w:t>
      </w:r>
      <w:proofErr w:type="spellEnd"/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would make me feel good to be a person who has these characteristics”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lastRenderedPageBreak/>
        <w:t>symbolization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 concerning “the degree to</w:t>
      </w:r>
      <w:r w:rsidR="00177783"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which</w:t>
      </w:r>
      <w:r w:rsidR="00177783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those</w:t>
      </w:r>
      <w:r w:rsidR="00177783"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traits</w:t>
      </w:r>
      <w:r w:rsidR="00177783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are</w:t>
      </w:r>
      <w:r w:rsidR="00177783"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="0017778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expressed”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e.g.,</w:t>
      </w:r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“I often wear clothes that identify me as having these characteristics”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)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(Aquino &amp; Reed,</w:t>
      </w:r>
      <w:r w:rsidR="00CE7569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2002,</w:t>
      </w:r>
      <w:r w:rsidR="00CE7569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CE7569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pp. 1272).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Both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subscales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showed acceptable reliability</w:t>
      </w:r>
      <w:r w:rsidR="00575882" w:rsidRPr="00E65749">
        <w:rPr>
          <w:rFonts w:ascii="Times New Roman" w:eastAsia="Times New Roman" w:hAnsi="Times New Roman" w:cs="Times New Roman"/>
          <w:color w:val="0D0F1A"/>
          <w:spacing w:val="-6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(</w:t>
      </w:r>
      <w:r w:rsidR="00575882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α</w:t>
      </w:r>
      <w:r w:rsidR="00575882" w:rsidRPr="00E65749">
        <w:rPr>
          <w:rFonts w:ascii="Times New Roman" w:eastAsia="Times New Roman" w:hAnsi="Times New Roman" w:cs="Times New Roman"/>
          <w:i/>
          <w:color w:val="0D0F1A"/>
          <w:spacing w:val="-2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=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.7</w:t>
      </w:r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0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</w:t>
      </w:r>
      <w:r w:rsidR="00575882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α</w:t>
      </w:r>
      <w:r w:rsidR="00575882" w:rsidRPr="00E65749">
        <w:rPr>
          <w:rFonts w:ascii="Times New Roman" w:eastAsia="Times New Roman" w:hAnsi="Times New Roman" w:cs="Times New Roman"/>
          <w:i/>
          <w:color w:val="0D0F1A"/>
          <w:spacing w:val="1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=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.77 respectively)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were identified as first-order factors by a CFA within our sample</w:t>
      </w:r>
      <w:r w:rsidR="00D179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</w:t>
      </w:r>
      <w:r w:rsidR="00D179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high values of RMSEA and SRMS should be noticed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CFI = 0.9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5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TLI = 0.9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RMSEA = 0.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10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90% CI: 0.0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8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-0.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11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SRMR = 0.0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9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DD7CB7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X</w:t>
      </w:r>
      <w:proofErr w:type="gramStart"/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²(</w:t>
      </w:r>
      <w:proofErr w:type="gramEnd"/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31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) = 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227.90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p&lt;0.00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)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However, for purposes of the study, and since t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he 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global scale also showed acceptable internal consistency (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α = 0.7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2; 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ω=0.7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4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DD7CB7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 total</w:t>
      </w:r>
      <w:r w:rsidR="0017778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score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was</w:t>
      </w:r>
      <w:r w:rsidR="0017778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calculated by the mean of all items</w:t>
      </w:r>
      <w:r w:rsidR="0057588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and based on the mean</w:t>
      </w:r>
      <w:r w:rsidR="00DD7CB7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as a cut-off point</w:t>
      </w:r>
      <w:r w:rsidR="0057588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="002B2E4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groups of l</w:t>
      </w:r>
      <w:r w:rsidR="0057588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ow and high levels of moral identity</w:t>
      </w:r>
      <w:r w:rsidR="002B2E4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were created</w:t>
      </w:r>
      <w:r w:rsidR="0057588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</w:p>
    <w:p w14:paraId="5C31ECF1" w14:textId="3B4BC566" w:rsidR="00CE7569" w:rsidRPr="00E65749" w:rsidRDefault="00CE7569" w:rsidP="003F15CC">
      <w:pPr>
        <w:widowControl w:val="0"/>
        <w:tabs>
          <w:tab w:val="left" w:pos="0"/>
          <w:tab w:val="left" w:pos="567"/>
        </w:tabs>
        <w:autoSpaceDE w:val="0"/>
        <w:autoSpaceDN w:val="0"/>
        <w:spacing w:before="1" w:after="0" w:line="360" w:lineRule="auto"/>
        <w:ind w:right="14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i/>
          <w:color w:val="0D0F1A"/>
          <w:sz w:val="24"/>
          <w:szCs w:val="24"/>
          <w:lang w:val="en-GB"/>
        </w:rPr>
        <w:t>Moral Foundations</w:t>
      </w:r>
      <w:r w:rsidR="003F15CC" w:rsidRPr="00E65749">
        <w:rPr>
          <w:rFonts w:ascii="Times New Roman" w:eastAsia="Times New Roman" w:hAnsi="Times New Roman" w:cs="Times New Roman"/>
          <w:b/>
          <w:bCs/>
          <w:i/>
          <w:color w:val="0D0F1A"/>
          <w:sz w:val="24"/>
          <w:szCs w:val="24"/>
          <w:lang w:val="en-GB"/>
        </w:rPr>
        <w:t xml:space="preserve">. </w:t>
      </w:r>
      <w:r w:rsidR="003F15CC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The 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Spanish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-translated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="003F15CC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abbreviated version of the Moral Foundations</w:t>
      </w:r>
      <w:r w:rsidRPr="00E65749">
        <w:rPr>
          <w:rFonts w:ascii="Times New Roman" w:eastAsia="Times New Roman" w:hAnsi="Times New Roman" w:cs="Times New Roman"/>
          <w:b/>
          <w:bCs/>
          <w:i/>
          <w:color w:val="0D0F1A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Questionnaire </w:t>
      </w:r>
      <w:r w:rsidR="003F15CC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(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MFQ-20</w:t>
      </w:r>
      <w:r w:rsidR="003F15CC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)</w:t>
      </w:r>
      <w:r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(Graham et al., 2011)</w:t>
      </w:r>
      <w:r w:rsidR="003F15CC" w:rsidRPr="00E65749">
        <w:rPr>
          <w:rFonts w:ascii="Times New Roman" w:eastAsia="Times New Roman" w:hAnsi="Times New Roman" w:cs="Times New Roman"/>
          <w:iCs/>
          <w:color w:val="0D0F1A"/>
          <w:sz w:val="24"/>
          <w:szCs w:val="24"/>
          <w:lang w:val="en-GB"/>
        </w:rPr>
        <w:t>,</w:t>
      </w:r>
      <w:r w:rsidR="003F15CC" w:rsidRPr="00E65749">
        <w:rPr>
          <w:rFonts w:ascii="Times New Roman" w:eastAsia="Times New Roman" w:hAnsi="Times New Roman" w:cs="Times New Roman"/>
          <w:b/>
          <w:bCs/>
          <w:i/>
          <w:color w:val="0D0F1A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includ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ing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20 of the 30 original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6-point 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Likert-type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items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 was employed for this study, which is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provided by the original authors 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on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the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ir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website moralfoundations.org.</w:t>
      </w:r>
      <w:r w:rsidR="003F15CC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75882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espite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instrument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assess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ing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five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moral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foundations</w:t>
      </w:r>
      <w:r w:rsidR="002B2E4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(Care/</w:t>
      </w:r>
      <w:r w:rsidR="00504DA3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H</w:t>
      </w:r>
      <w:r w:rsidR="002B2E4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arm; </w:t>
      </w:r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Fairness/Cheating</w:t>
      </w:r>
      <w:r w:rsidR="00A26DA8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; </w:t>
      </w:r>
      <w:r w:rsidR="00E663F1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Loyalty/Betrayal; Authority/Subversion; and Purity/Degradation</w:t>
      </w:r>
      <w:r w:rsidR="002B2E4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)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for research purposes, we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categorize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d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them into binding 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(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Loyalty/Betrayal; Authority/Subversion; and Purity/Degradation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) 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and in</w:t>
      </w:r>
      <w:r w:rsidR="002B2E4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di</w:t>
      </w:r>
      <w:r w:rsidR="00575882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vidualizing foundations</w:t>
      </w:r>
      <w:r w:rsidR="00200954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>(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Care/Harm; Fairness/Cheating</w:t>
      </w:r>
      <w:r w:rsidR="003F15CC"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) as in previous studies </w:t>
      </w:r>
      <w:r w:rsidR="00E729BF" w:rsidRPr="00E729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  <w:szCs w:val="24"/>
        </w:rPr>
        <w:t>Doğruyol</w:t>
      </w:r>
      <w:proofErr w:type="spellEnd"/>
      <w:r w:rsidR="00E729BF" w:rsidRPr="00E729BF">
        <w:rPr>
          <w:rFonts w:ascii="Times New Roman" w:hAnsi="Times New Roman" w:cs="Times New Roman"/>
          <w:sz w:val="24"/>
          <w:szCs w:val="24"/>
        </w:rPr>
        <w:t xml:space="preserve"> et al., 2019; Olivera La Rosa &amp; Saldarriaga, 2017; Silver &amp; Silver, 2021)</w:t>
      </w:r>
      <w:r w:rsidR="002B2E4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. 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CFA showed an acceptable fit for the two/factor structural solut</w:t>
      </w:r>
      <w:r w:rsidR="00D1796F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ion, high values of RMSEA and SRMS should be noticed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(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CFI = 0.9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1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TLI = 0.9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RMSEA = 0.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09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90% CI: 0.08-0.1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SRMR = 0.09; </w:t>
      </w:r>
      <w:r w:rsidR="003F15CC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X</w:t>
      </w:r>
      <w:proofErr w:type="gramStart"/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²(</w:t>
      </w:r>
      <w:proofErr w:type="gramEnd"/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166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) = 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999.24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; p&lt;0.00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 and a</w:t>
      </w:r>
      <w:r w:rsidR="00A2168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cceptable internal consistency coefficients for both individualizing (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α = 0.7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3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; 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ω=0.74</w:t>
      </w:r>
      <w:r w:rsidR="00A2168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 and binding (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α = 0.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82</w:t>
      </w:r>
      <w:r w:rsidR="003F15CC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; 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ω=0.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82</w:t>
      </w:r>
      <w:r w:rsidR="00A2168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 foundations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were found within the sample</w:t>
      </w:r>
      <w:r w:rsidR="00504DA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For each factor, final </w:t>
      </w:r>
      <w:r w:rsidR="000C3F1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scores,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and the mean as a cut-off point were employed to create high- and </w:t>
      </w:r>
      <w:r w:rsidR="00AB5AB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low-value</w:t>
      </w:r>
      <w:r w:rsidR="003F15C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groups. </w:t>
      </w:r>
    </w:p>
    <w:p w14:paraId="12E1164C" w14:textId="0A4919B6" w:rsidR="00CE7569" w:rsidRPr="00E65749" w:rsidRDefault="00CE7569" w:rsidP="00EA4E7E">
      <w:pPr>
        <w:widowControl w:val="0"/>
        <w:tabs>
          <w:tab w:val="left" w:pos="0"/>
          <w:tab w:val="left" w:pos="1801"/>
        </w:tabs>
        <w:autoSpaceDE w:val="0"/>
        <w:autoSpaceDN w:val="0"/>
        <w:spacing w:before="5" w:after="0" w:line="360" w:lineRule="auto"/>
        <w:ind w:right="1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Procedure</w:t>
      </w:r>
    </w:p>
    <w:p w14:paraId="708ED187" w14:textId="10DE3D85" w:rsidR="00CE7569" w:rsidRPr="00E65749" w:rsidRDefault="00CE7569" w:rsidP="00AB5AB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 pilot study (</w:t>
      </w: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 xml:space="preserve">n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= 25) was carried out to verify that all instructions and items were clear and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understandable.</w:t>
      </w:r>
      <w:r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="00AB5ABE" w:rsidRPr="00E65749">
        <w:rPr>
          <w:rFonts w:ascii="Times New Roman" w:eastAsia="Times New Roman" w:hAnsi="Times New Roman" w:cs="Times New Roman"/>
          <w:color w:val="2E74B5" w:themeColor="accent1" w:themeShade="BF"/>
          <w:spacing w:val="2"/>
          <w:sz w:val="24"/>
          <w:szCs w:val="24"/>
          <w:lang w:val="en-GB"/>
        </w:rPr>
        <w:t>Feedback provided during this initial phase allowed us to confirm that all items were easily understood and that no further clarifications or corrections were needed.</w:t>
      </w:r>
      <w:r w:rsidR="00AB5ABE"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Instruments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were</w:t>
      </w:r>
      <w:r w:rsidRPr="00E65749">
        <w:rPr>
          <w:rFonts w:ascii="Times New Roman" w:eastAsia="Times New Roman" w:hAnsi="Times New Roman" w:cs="Times New Roman"/>
          <w:color w:val="0D0F1A"/>
          <w:spacing w:val="-4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presented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on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Google</w:t>
      </w:r>
      <w:r w:rsidRPr="00E65749">
        <w:rPr>
          <w:rFonts w:ascii="Times New Roman" w:eastAsia="Times New Roman" w:hAnsi="Times New Roman" w:cs="Times New Roman"/>
          <w:i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i/>
          <w:color w:val="0D0F1A"/>
          <w:sz w:val="24"/>
          <w:szCs w:val="24"/>
          <w:lang w:val="en-GB"/>
        </w:rPr>
        <w:t>Forms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official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data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collection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started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with a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n open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call for participation on social media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platforms (Facebook and Instagram), specifying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that people 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aged between 18- and 30 years old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living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in</w:t>
      </w:r>
      <w:r w:rsidRPr="00E65749">
        <w:rPr>
          <w:rFonts w:ascii="Times New Roman" w:eastAsia="Times New Roman" w:hAnsi="Times New Roman" w:cs="Times New Roman"/>
          <w:color w:val="0D0F1A"/>
          <w:spacing w:val="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La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Paz or El Alto cities</w:t>
      </w:r>
      <w:r w:rsidR="00C237C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could participate.</w:t>
      </w:r>
      <w:r w:rsidR="00AB5AB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7733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For submitting the questionnaire, all questions needed to be answered to avoid missing data.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lastRenderedPageBreak/>
        <w:t>A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fter the survey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 message to encourage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participants to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share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 link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with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family</w:t>
      </w:r>
      <w:r w:rsidRPr="00E65749">
        <w:rPr>
          <w:rFonts w:ascii="Times New Roman" w:eastAsia="Times New Roman" w:hAnsi="Times New Roman" w:cs="Times New Roman"/>
          <w:color w:val="0D0F1A"/>
          <w:spacing w:val="-4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and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friends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who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meet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age and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location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criteria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was presented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.</w:t>
      </w:r>
      <w:r w:rsidRPr="00E65749">
        <w:rPr>
          <w:rFonts w:ascii="Times New Roman" w:eastAsia="Times New Roman" w:hAnsi="Times New Roman" w:cs="Times New Roman"/>
          <w:color w:val="0D0F1A"/>
          <w:spacing w:val="1"/>
          <w:sz w:val="24"/>
          <w:szCs w:val="24"/>
          <w:lang w:val="en-GB"/>
        </w:rPr>
        <w:t xml:space="preserve"> </w:t>
      </w:r>
      <w:r w:rsidR="00C237C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Data were collected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between September and</w:t>
      </w:r>
      <w:r w:rsidRPr="00E65749">
        <w:rPr>
          <w:rFonts w:ascii="Times New Roman" w:eastAsia="Times New Roman" w:hAnsi="Times New Roman" w:cs="Times New Roman"/>
          <w:color w:val="0D0F1A"/>
          <w:spacing w:val="-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October</w:t>
      </w:r>
      <w:r w:rsidRPr="00E65749">
        <w:rPr>
          <w:rFonts w:ascii="Times New Roman" w:eastAsia="Times New Roman" w:hAnsi="Times New Roman" w:cs="Times New Roman"/>
          <w:color w:val="0D0F1A"/>
          <w:spacing w:val="-2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2020.</w:t>
      </w:r>
    </w:p>
    <w:p w14:paraId="579DCA5F" w14:textId="12D25A2D" w:rsidR="00705888" w:rsidRPr="00E65749" w:rsidRDefault="00705888" w:rsidP="00EA4E7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/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 xml:space="preserve">Ethical </w:t>
      </w:r>
      <w:r w:rsidR="00C12D0F"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considerations</w:t>
      </w:r>
    </w:p>
    <w:p w14:paraId="32911450" w14:textId="43B9A0D5" w:rsidR="00705888" w:rsidRPr="00E65749" w:rsidRDefault="00705888" w:rsidP="00EA4E7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ab/>
      </w:r>
      <w:r w:rsidR="00AB5AB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Ethical approval was not required due to the study design and the anonymity of the participants. However, informed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consent was </w:t>
      </w:r>
      <w:r w:rsidR="00AB5AB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required for taking part in the study.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Additionally, </w:t>
      </w:r>
      <w:r w:rsidR="00AB5AB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to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guarantee ethical standards, and based on the </w:t>
      </w:r>
      <w:r w:rsidR="000C3F1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American Psychological Association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’s Ethical Principles of Psychologists and Code of Conduct </w:t>
      </w:r>
      <w:r w:rsidR="00E729BF" w:rsidRPr="00E729BF">
        <w:rPr>
          <w:rFonts w:ascii="Times New Roman" w:hAnsi="Times New Roman" w:cs="Times New Roman"/>
          <w:sz w:val="24"/>
        </w:rPr>
        <w:t>(American Psychological Association, 2017)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, we specified - through the callout and the survey’s informed consent- that participation was voluntary, anonymous, and confidential, and that risks of any type were associated with the participation. </w:t>
      </w:r>
    </w:p>
    <w:p w14:paraId="1CA2D579" w14:textId="0DB34CAC" w:rsidR="00153305" w:rsidRPr="00E65749" w:rsidRDefault="00153305" w:rsidP="00EA4E7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/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Data analysis</w:t>
      </w:r>
    </w:p>
    <w:p w14:paraId="36DF4DB7" w14:textId="31C73D90" w:rsidR="00F9559E" w:rsidRPr="00E65749" w:rsidRDefault="00153305" w:rsidP="00F9559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Descriptive statistics (mean, standard deviation, median, </w:t>
      </w:r>
      <w:proofErr w:type="gramStart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minimum</w:t>
      </w:r>
      <w:proofErr w:type="gramEnd"/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maximum points) were calculated for each scale and subscale. Subsequently, </w:t>
      </w:r>
      <w:proofErr w:type="gramStart"/>
      <w:r w:rsidR="00C904C4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bivariate</w:t>
      </w:r>
      <w:proofErr w:type="gramEnd"/>
      <w:r w:rsidR="00C904C4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partial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correlations were performed </w:t>
      </w:r>
      <w:r w:rsidR="00645ED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between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the dependent variable (self-control), the i</w:t>
      </w:r>
      <w:r w:rsidR="00645ED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ndependent variables (moral identity, </w:t>
      </w:r>
      <w:r w:rsidR="00F9559E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binding,</w:t>
      </w:r>
      <w:r w:rsidR="00645ED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individualizing foundations) and age.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Despite the total score of self-control originating from ordinal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data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several authors defend the fact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that it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can be subjected to parametric analysis if: a) Likert-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type scale has no less than 5 points and b) if kurtosis and skewness for the total scores are no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higher than 1 or lesser than -1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Barbaranelli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, 2003;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Carifio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&amp; Perla, 2008)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 Under such an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argument,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our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exploratory analysis showed that 5% trimmed mean and median had similar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values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(39.27 and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39.00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2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respectively);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and the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skewness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(</w:t>
      </w:r>
      <w:r w:rsidR="00F25CB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.12) and kurtosis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(</w:t>
      </w:r>
      <w:r w:rsidR="00F25CB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.06)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were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2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within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accepted range to suggest that our dependent variable could be treated as relatively normal 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distributed and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allowed us to proceed with further analysis</w:t>
      </w:r>
      <w:r w:rsidR="00F9559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</w:p>
    <w:p w14:paraId="48F91A13" w14:textId="7FA319DA" w:rsidR="00CE7569" w:rsidRPr="00E65749" w:rsidRDefault="00F9559E" w:rsidP="00F9559E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41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To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explore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differences in self-control </w:t>
      </w:r>
      <w:r w:rsidR="00F25CB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scores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based on 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each independent variable, </w:t>
      </w:r>
      <w:r w:rsidR="00477336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t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-test scores and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their 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effect sizes were calculated</w:t>
      </w:r>
      <w:r w:rsidR="00ED4D2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including a </w:t>
      </w:r>
      <w:proofErr w:type="spellStart"/>
      <w:r w:rsidR="00ED4D2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Levene’s</w:t>
      </w:r>
      <w:proofErr w:type="spellEnd"/>
      <w:r w:rsidR="00ED4D2C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test for checking for homogeneity of variance; when this assumption was violated, the nonparametric U de Mann-Whitney test was preferred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Finally, a two-way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analysis of covariance (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AN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OVA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was calculated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47733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after checking for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 statistical assumptions </w:t>
      </w:r>
      <w:r w:rsidR="0047733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of linearity, homogeneity, independence of observations and </w:t>
      </w:r>
      <w:r w:rsidR="00F25CB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normally distributed</w:t>
      </w:r>
      <w:r w:rsidR="0047733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residuals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The model included</w:t>
      </w:r>
      <w:r w:rsidR="00645ED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the three independent variables, their possible interactions</w:t>
      </w: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>,</w:t>
      </w:r>
      <w:r w:rsidR="00645EDD"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t xml:space="preserve"> and age as a covariate. </w:t>
      </w:r>
      <w:r w:rsidR="000C3F1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To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facilitate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lastRenderedPageBreak/>
        <w:t xml:space="preserve">interpretation, marginal means of self-control were also estimated based on low- and 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high-level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groups of the independent variables.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Additionally, a confirmatory factor analysis for each measure with unweighted least squares (ULS) as the estimation method was performed and pairwise missing data handling. </w:t>
      </w:r>
      <w:r w:rsidR="00645ED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Statistical significance was 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based on a 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-value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&lt;.05</w:t>
      </w:r>
      <w:r w:rsidR="0047733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and correlation and effect sizes were interpreted based on the criteria provided by Cohen (2013)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All data analysis was performed in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IBM 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SPSS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V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26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and JASP V.0</w:t>
      </w:r>
      <w:r w:rsidR="00922F66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19.0.0.</w:t>
      </w:r>
    </w:p>
    <w:p w14:paraId="2CAE4878" w14:textId="68635E2B" w:rsidR="00C237CE" w:rsidRPr="00E65749" w:rsidRDefault="00C237CE" w:rsidP="00EA4E7E">
      <w:pPr>
        <w:widowControl w:val="0"/>
        <w:tabs>
          <w:tab w:val="left" w:pos="284"/>
        </w:tabs>
        <w:autoSpaceDE w:val="0"/>
        <w:autoSpaceDN w:val="0"/>
        <w:spacing w:before="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R</w:t>
      </w:r>
      <w:r w:rsidR="00CF1F56" w:rsidRPr="00E65749">
        <w:rPr>
          <w:rFonts w:ascii="Times New Roman" w:eastAsia="Times New Roman" w:hAnsi="Times New Roman" w:cs="Times New Roman"/>
          <w:b/>
          <w:bCs/>
          <w:color w:val="0D0F1A"/>
          <w:sz w:val="24"/>
          <w:szCs w:val="24"/>
          <w:lang w:val="en-GB"/>
        </w:rPr>
        <w:t>esults</w:t>
      </w:r>
    </w:p>
    <w:p w14:paraId="6C604435" w14:textId="784D6373" w:rsidR="00C237CE" w:rsidRPr="00E65749" w:rsidRDefault="00C237CE" w:rsidP="00C904C4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Descriptive statistics for each </w:t>
      </w:r>
      <w:r w:rsidR="00824D0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variable and the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coefficients for their respective</w:t>
      </w:r>
      <w:r w:rsidR="00824D0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bivariate </w:t>
      </w:r>
      <w:r w:rsidR="00824D0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correlation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are presented in Table </w:t>
      </w:r>
      <w:r w:rsidR="00824D0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 As may be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noticed,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5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participants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7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got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7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higher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5"/>
          <w:sz w:val="24"/>
          <w:szCs w:val="24"/>
          <w:lang w:val="en-GB"/>
        </w:rPr>
        <w:t xml:space="preserve">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pacing w:val="5"/>
          <w:sz w:val="24"/>
          <w:szCs w:val="24"/>
          <w:lang w:val="en-GB"/>
        </w:rPr>
        <w:t xml:space="preserve">mean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scores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7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for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3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individualizing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pacing w:val="3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foundations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compared to binding foundations, and the three independent variables showed a negatively skewed distribution,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reflecting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 tendency for higher values. When referring to the bivariate correlations, all independent variables and age were significantly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and positively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related to self-control,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suggesting that higher values of each independent variable were related to higher values of self-control; m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oral identity ha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 higher correlation coefficient (</w:t>
      </w:r>
      <w:r w:rsidR="00CB6E51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r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=0.21;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CB6E51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&lt;.01)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and individualizing foundations had the lowest but still significant correlation (</w:t>
      </w:r>
      <w:r w:rsidR="00C904C4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r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=0.09; </w:t>
      </w:r>
      <w:r w:rsidR="00C904C4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&lt;.05).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As obtained coefficients may be considered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low or weak according to some authors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(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Cohen, 2013;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Schober et al., 2018), partial correlations were employed to make sure that the obtained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significant relations were not due to “indirect between-attribute interactions of other attributes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not being tested” (Zhang, 2015, pp. 65)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 After controlling for the other variables, the results of each correlation remained significant</w:t>
      </w:r>
      <w:r w:rsidR="00CB6E51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C904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</w:p>
    <w:p w14:paraId="5B625B49" w14:textId="77777777" w:rsidR="00824D0E" w:rsidRPr="00E65749" w:rsidRDefault="00824D0E" w:rsidP="00EA4E7E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710781" w14:textId="0061D9CF" w:rsidR="00EA4E7E" w:rsidRPr="00E65749" w:rsidRDefault="00EA4E7E" w:rsidP="00EA4E7E">
      <w:pPr>
        <w:pStyle w:val="BodyText"/>
        <w:spacing w:line="360" w:lineRule="auto"/>
        <w:rPr>
          <w:b/>
          <w:bCs/>
          <w:i/>
          <w:iCs/>
          <w:spacing w:val="-1"/>
          <w:sz w:val="20"/>
          <w:szCs w:val="20"/>
          <w:lang w:val="en-GB"/>
        </w:rPr>
      </w:pPr>
      <w:r w:rsidRPr="00E65749">
        <w:rPr>
          <w:b/>
          <w:bCs/>
          <w:i/>
          <w:iCs/>
          <w:sz w:val="20"/>
          <w:szCs w:val="20"/>
          <w:lang w:val="en-GB"/>
        </w:rPr>
        <w:t>Table</w:t>
      </w:r>
      <w:r w:rsidRPr="00E65749">
        <w:rPr>
          <w:b/>
          <w:bCs/>
          <w:i/>
          <w:iCs/>
          <w:spacing w:val="-2"/>
          <w:sz w:val="20"/>
          <w:szCs w:val="20"/>
          <w:lang w:val="en-GB"/>
        </w:rPr>
        <w:t xml:space="preserve"> </w:t>
      </w:r>
      <w:r w:rsidR="00DA7D23" w:rsidRPr="00E65749">
        <w:rPr>
          <w:b/>
          <w:bCs/>
          <w:i/>
          <w:iCs/>
          <w:sz w:val="20"/>
          <w:szCs w:val="20"/>
          <w:lang w:val="en-GB"/>
        </w:rPr>
        <w:t>2</w:t>
      </w:r>
      <w:r w:rsidRPr="00E65749">
        <w:rPr>
          <w:b/>
          <w:bCs/>
          <w:i/>
          <w:iCs/>
          <w:sz w:val="20"/>
          <w:szCs w:val="20"/>
          <w:lang w:val="en-GB"/>
        </w:rPr>
        <w:t>.</w:t>
      </w:r>
      <w:r w:rsidRPr="00E65749">
        <w:rPr>
          <w:b/>
          <w:bCs/>
          <w:i/>
          <w:iCs/>
          <w:spacing w:val="-1"/>
          <w:sz w:val="20"/>
          <w:szCs w:val="20"/>
          <w:lang w:val="en-GB"/>
        </w:rPr>
        <w:t xml:space="preserve"> </w:t>
      </w:r>
    </w:p>
    <w:p w14:paraId="0639B73C" w14:textId="0E2B2CFA" w:rsidR="00EA4E7E" w:rsidRPr="00E65749" w:rsidRDefault="00EA4E7E" w:rsidP="00EA4E7E">
      <w:pPr>
        <w:pStyle w:val="BodyText"/>
        <w:spacing w:line="360" w:lineRule="auto"/>
        <w:rPr>
          <w:sz w:val="20"/>
          <w:szCs w:val="20"/>
          <w:lang w:val="en-GB"/>
        </w:rPr>
      </w:pPr>
      <w:r w:rsidRPr="00E65749">
        <w:rPr>
          <w:sz w:val="20"/>
          <w:szCs w:val="20"/>
          <w:lang w:val="en-GB"/>
        </w:rPr>
        <w:t>Descriptive</w:t>
      </w:r>
      <w:r w:rsidRPr="00E65749">
        <w:rPr>
          <w:spacing w:val="-3"/>
          <w:sz w:val="20"/>
          <w:szCs w:val="20"/>
          <w:lang w:val="en-GB"/>
        </w:rPr>
        <w:t xml:space="preserve"> </w:t>
      </w:r>
      <w:r w:rsidRPr="00E65749">
        <w:rPr>
          <w:sz w:val="20"/>
          <w:szCs w:val="20"/>
          <w:lang w:val="en-GB"/>
        </w:rPr>
        <w:t>Statistics</w:t>
      </w:r>
      <w:r w:rsidRPr="00E65749">
        <w:rPr>
          <w:spacing w:val="1"/>
          <w:sz w:val="20"/>
          <w:szCs w:val="20"/>
          <w:lang w:val="en-GB"/>
        </w:rPr>
        <w:t xml:space="preserve"> </w:t>
      </w:r>
      <w:r w:rsidR="00824D0E" w:rsidRPr="00E65749">
        <w:rPr>
          <w:sz w:val="20"/>
          <w:szCs w:val="20"/>
          <w:lang w:val="en-GB"/>
        </w:rPr>
        <w:t xml:space="preserve">and </w:t>
      </w:r>
      <w:r w:rsidR="00CB6E51" w:rsidRPr="00E65749">
        <w:rPr>
          <w:sz w:val="20"/>
          <w:szCs w:val="20"/>
          <w:lang w:val="en-GB"/>
        </w:rPr>
        <w:t xml:space="preserve">bivariate </w:t>
      </w:r>
      <w:r w:rsidR="00824D0E" w:rsidRPr="00E65749">
        <w:rPr>
          <w:sz w:val="20"/>
          <w:szCs w:val="20"/>
          <w:lang w:val="en-GB"/>
        </w:rPr>
        <w:t>correlations</w:t>
      </w:r>
    </w:p>
    <w:p w14:paraId="329F00EF" w14:textId="77777777" w:rsidR="00824D0E" w:rsidRPr="00E65749" w:rsidRDefault="00824D0E" w:rsidP="00EA4E7E">
      <w:pPr>
        <w:pStyle w:val="BodyText"/>
        <w:spacing w:line="360" w:lineRule="auto"/>
        <w:rPr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673"/>
        <w:gridCol w:w="1028"/>
        <w:gridCol w:w="992"/>
        <w:gridCol w:w="851"/>
        <w:gridCol w:w="850"/>
        <w:gridCol w:w="709"/>
        <w:gridCol w:w="709"/>
        <w:gridCol w:w="571"/>
      </w:tblGrid>
      <w:tr w:rsidR="00824D0E" w:rsidRPr="00E65749" w14:paraId="1ECCD7C8" w14:textId="77777777" w:rsidTr="00824D0E">
        <w:trPr>
          <w:trHeight w:val="43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C1B437" w14:textId="77777777" w:rsidR="00824D0E" w:rsidRPr="00E65749" w:rsidRDefault="00824D0E" w:rsidP="00824D0E">
            <w:pPr>
              <w:pStyle w:val="BodyText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2BA088" w14:textId="27CE5370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M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BA79AA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SD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DA5D21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Skewness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3383D2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Kurtosis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54D80C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F10625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85A5B6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332317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D5F962" w14:textId="77777777" w:rsidR="00824D0E" w:rsidRPr="00E65749" w:rsidRDefault="00824D0E" w:rsidP="00824D0E">
            <w:pPr>
              <w:pStyle w:val="BodyTex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65749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824D0E" w:rsidRPr="00E65749" w14:paraId="0A070B69" w14:textId="77777777" w:rsidTr="00824D0E">
        <w:trPr>
          <w:trHeight w:val="432"/>
        </w:trPr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337EC975" w14:textId="77777777" w:rsidR="00824D0E" w:rsidRPr="00E65749" w:rsidRDefault="00824D0E" w:rsidP="00824D0E">
            <w:pPr>
              <w:pStyle w:val="BodyText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Self-control (1)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2203510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3.03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hideMark/>
          </w:tcPr>
          <w:p w14:paraId="7447D32D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0.58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hideMark/>
          </w:tcPr>
          <w:p w14:paraId="027D658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1FADA3F9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6378417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1773E040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36EBA4F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9EE5857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27BFF42C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24D0E" w:rsidRPr="00E65749" w14:paraId="2F27613E" w14:textId="77777777" w:rsidTr="00824D0E">
        <w:trPr>
          <w:trHeight w:val="432"/>
        </w:trPr>
        <w:tc>
          <w:tcPr>
            <w:tcW w:w="2268" w:type="dxa"/>
            <w:hideMark/>
          </w:tcPr>
          <w:p w14:paraId="4B4D834D" w14:textId="77777777" w:rsidR="00824D0E" w:rsidRPr="00E65749" w:rsidRDefault="00824D0E" w:rsidP="00824D0E">
            <w:pPr>
              <w:pStyle w:val="BodyText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Age (2)</w:t>
            </w:r>
          </w:p>
        </w:tc>
        <w:tc>
          <w:tcPr>
            <w:tcW w:w="709" w:type="dxa"/>
            <w:noWrap/>
            <w:hideMark/>
          </w:tcPr>
          <w:p w14:paraId="77B2F7BD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22.87</w:t>
            </w:r>
          </w:p>
        </w:tc>
        <w:tc>
          <w:tcPr>
            <w:tcW w:w="673" w:type="dxa"/>
            <w:noWrap/>
            <w:hideMark/>
          </w:tcPr>
          <w:p w14:paraId="27D6F48A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2.66</w:t>
            </w:r>
          </w:p>
        </w:tc>
        <w:tc>
          <w:tcPr>
            <w:tcW w:w="1028" w:type="dxa"/>
            <w:noWrap/>
            <w:hideMark/>
          </w:tcPr>
          <w:p w14:paraId="7C7014B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0.67</w:t>
            </w:r>
          </w:p>
        </w:tc>
        <w:tc>
          <w:tcPr>
            <w:tcW w:w="992" w:type="dxa"/>
            <w:noWrap/>
            <w:hideMark/>
          </w:tcPr>
          <w:p w14:paraId="72D8A938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0.28</w:t>
            </w:r>
          </w:p>
        </w:tc>
        <w:tc>
          <w:tcPr>
            <w:tcW w:w="851" w:type="dxa"/>
            <w:noWrap/>
            <w:hideMark/>
          </w:tcPr>
          <w:p w14:paraId="7CE0AE45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.13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noWrap/>
            <w:hideMark/>
          </w:tcPr>
          <w:p w14:paraId="528A80A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709" w:type="dxa"/>
            <w:noWrap/>
            <w:hideMark/>
          </w:tcPr>
          <w:p w14:paraId="2677778B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noWrap/>
            <w:hideMark/>
          </w:tcPr>
          <w:p w14:paraId="5031CB4A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71" w:type="dxa"/>
            <w:noWrap/>
            <w:hideMark/>
          </w:tcPr>
          <w:p w14:paraId="2150ADC7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24D0E" w:rsidRPr="00E65749" w14:paraId="21D1904C" w14:textId="77777777" w:rsidTr="00824D0E">
        <w:trPr>
          <w:trHeight w:val="432"/>
        </w:trPr>
        <w:tc>
          <w:tcPr>
            <w:tcW w:w="2268" w:type="dxa"/>
            <w:hideMark/>
          </w:tcPr>
          <w:p w14:paraId="14CA58F9" w14:textId="77777777" w:rsidR="00824D0E" w:rsidRPr="00E65749" w:rsidRDefault="00824D0E" w:rsidP="00824D0E">
            <w:pPr>
              <w:pStyle w:val="BodyText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Moral identity (3)</w:t>
            </w:r>
          </w:p>
        </w:tc>
        <w:tc>
          <w:tcPr>
            <w:tcW w:w="709" w:type="dxa"/>
            <w:noWrap/>
            <w:hideMark/>
          </w:tcPr>
          <w:p w14:paraId="31C40CF1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4.95</w:t>
            </w:r>
          </w:p>
        </w:tc>
        <w:tc>
          <w:tcPr>
            <w:tcW w:w="673" w:type="dxa"/>
            <w:noWrap/>
            <w:hideMark/>
          </w:tcPr>
          <w:p w14:paraId="4931542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0.87</w:t>
            </w:r>
          </w:p>
        </w:tc>
        <w:tc>
          <w:tcPr>
            <w:tcW w:w="1028" w:type="dxa"/>
            <w:noWrap/>
            <w:hideMark/>
          </w:tcPr>
          <w:p w14:paraId="0475B3B6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-0.50</w:t>
            </w:r>
          </w:p>
        </w:tc>
        <w:tc>
          <w:tcPr>
            <w:tcW w:w="992" w:type="dxa"/>
            <w:noWrap/>
            <w:hideMark/>
          </w:tcPr>
          <w:p w14:paraId="327BFD4C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0.51</w:t>
            </w:r>
          </w:p>
        </w:tc>
        <w:tc>
          <w:tcPr>
            <w:tcW w:w="851" w:type="dxa"/>
            <w:noWrap/>
            <w:hideMark/>
          </w:tcPr>
          <w:p w14:paraId="59B11E9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.21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noWrap/>
            <w:hideMark/>
          </w:tcPr>
          <w:p w14:paraId="7AEF0906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-0.04</w:t>
            </w:r>
          </w:p>
        </w:tc>
        <w:tc>
          <w:tcPr>
            <w:tcW w:w="709" w:type="dxa"/>
            <w:noWrap/>
            <w:hideMark/>
          </w:tcPr>
          <w:p w14:paraId="3F3A35A6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709" w:type="dxa"/>
            <w:noWrap/>
            <w:hideMark/>
          </w:tcPr>
          <w:p w14:paraId="3728EE8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71" w:type="dxa"/>
            <w:noWrap/>
            <w:hideMark/>
          </w:tcPr>
          <w:p w14:paraId="3854A1D7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24D0E" w:rsidRPr="00E65749" w14:paraId="47A686D7" w14:textId="77777777" w:rsidTr="00824D0E">
        <w:trPr>
          <w:trHeight w:val="646"/>
        </w:trPr>
        <w:tc>
          <w:tcPr>
            <w:tcW w:w="2268" w:type="dxa"/>
            <w:hideMark/>
          </w:tcPr>
          <w:p w14:paraId="7F996941" w14:textId="77777777" w:rsidR="00824D0E" w:rsidRPr="00E65749" w:rsidRDefault="00824D0E" w:rsidP="00824D0E">
            <w:pPr>
              <w:pStyle w:val="BodyText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Individualizing foundations (4)</w:t>
            </w:r>
          </w:p>
        </w:tc>
        <w:tc>
          <w:tcPr>
            <w:tcW w:w="709" w:type="dxa"/>
            <w:noWrap/>
            <w:hideMark/>
          </w:tcPr>
          <w:p w14:paraId="3B67E4EA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5.18</w:t>
            </w:r>
          </w:p>
        </w:tc>
        <w:tc>
          <w:tcPr>
            <w:tcW w:w="673" w:type="dxa"/>
            <w:noWrap/>
            <w:hideMark/>
          </w:tcPr>
          <w:p w14:paraId="1BC5BA0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0.58</w:t>
            </w:r>
          </w:p>
        </w:tc>
        <w:tc>
          <w:tcPr>
            <w:tcW w:w="1028" w:type="dxa"/>
            <w:noWrap/>
            <w:hideMark/>
          </w:tcPr>
          <w:p w14:paraId="0B7F64C9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-1.01</w:t>
            </w:r>
          </w:p>
        </w:tc>
        <w:tc>
          <w:tcPr>
            <w:tcW w:w="992" w:type="dxa"/>
            <w:noWrap/>
            <w:hideMark/>
          </w:tcPr>
          <w:p w14:paraId="314A2140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1.41</w:t>
            </w:r>
          </w:p>
        </w:tc>
        <w:tc>
          <w:tcPr>
            <w:tcW w:w="851" w:type="dxa"/>
            <w:noWrap/>
            <w:hideMark/>
          </w:tcPr>
          <w:p w14:paraId="03EA70D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.09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</w:t>
            </w:r>
          </w:p>
        </w:tc>
        <w:tc>
          <w:tcPr>
            <w:tcW w:w="850" w:type="dxa"/>
            <w:noWrap/>
            <w:hideMark/>
          </w:tcPr>
          <w:p w14:paraId="53F8953E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-0.03</w:t>
            </w:r>
          </w:p>
        </w:tc>
        <w:tc>
          <w:tcPr>
            <w:tcW w:w="709" w:type="dxa"/>
            <w:noWrap/>
            <w:hideMark/>
          </w:tcPr>
          <w:p w14:paraId="028245E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.48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709" w:type="dxa"/>
            <w:noWrap/>
            <w:hideMark/>
          </w:tcPr>
          <w:p w14:paraId="5ABFF18D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1.00</w:t>
            </w:r>
          </w:p>
        </w:tc>
        <w:tc>
          <w:tcPr>
            <w:tcW w:w="571" w:type="dxa"/>
            <w:noWrap/>
            <w:hideMark/>
          </w:tcPr>
          <w:p w14:paraId="10A29122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824D0E" w:rsidRPr="00E65749" w14:paraId="1F38CC32" w14:textId="77777777" w:rsidTr="00824D0E">
        <w:trPr>
          <w:trHeight w:val="432"/>
        </w:trPr>
        <w:tc>
          <w:tcPr>
            <w:tcW w:w="2268" w:type="dxa"/>
            <w:hideMark/>
          </w:tcPr>
          <w:p w14:paraId="5A8FB681" w14:textId="77777777" w:rsidR="00824D0E" w:rsidRPr="00E65749" w:rsidRDefault="00824D0E" w:rsidP="00824D0E">
            <w:pPr>
              <w:pStyle w:val="BodyText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Binding foundations (5)</w:t>
            </w:r>
          </w:p>
        </w:tc>
        <w:tc>
          <w:tcPr>
            <w:tcW w:w="709" w:type="dxa"/>
            <w:noWrap/>
            <w:hideMark/>
          </w:tcPr>
          <w:p w14:paraId="565948E1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4.17</w:t>
            </w:r>
          </w:p>
        </w:tc>
        <w:tc>
          <w:tcPr>
            <w:tcW w:w="673" w:type="dxa"/>
            <w:noWrap/>
            <w:hideMark/>
          </w:tcPr>
          <w:p w14:paraId="3A4DCDA9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0.80</w:t>
            </w:r>
          </w:p>
        </w:tc>
        <w:tc>
          <w:tcPr>
            <w:tcW w:w="1028" w:type="dxa"/>
            <w:noWrap/>
            <w:hideMark/>
          </w:tcPr>
          <w:p w14:paraId="55D791C7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-0.28</w:t>
            </w:r>
          </w:p>
        </w:tc>
        <w:tc>
          <w:tcPr>
            <w:tcW w:w="992" w:type="dxa"/>
            <w:noWrap/>
            <w:hideMark/>
          </w:tcPr>
          <w:p w14:paraId="4A0060C6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0.36</w:t>
            </w:r>
          </w:p>
        </w:tc>
        <w:tc>
          <w:tcPr>
            <w:tcW w:w="851" w:type="dxa"/>
            <w:noWrap/>
            <w:hideMark/>
          </w:tcPr>
          <w:p w14:paraId="0B8D71D6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.18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850" w:type="dxa"/>
            <w:noWrap/>
            <w:hideMark/>
          </w:tcPr>
          <w:p w14:paraId="4C54D36B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0.07</w:t>
            </w:r>
          </w:p>
        </w:tc>
        <w:tc>
          <w:tcPr>
            <w:tcW w:w="709" w:type="dxa"/>
            <w:noWrap/>
            <w:hideMark/>
          </w:tcPr>
          <w:p w14:paraId="6D3F7DF2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.42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709" w:type="dxa"/>
            <w:noWrap/>
            <w:hideMark/>
          </w:tcPr>
          <w:p w14:paraId="37CF9118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.39</w:t>
            </w:r>
            <w:r w:rsidRPr="00E65749">
              <w:rPr>
                <w:sz w:val="20"/>
                <w:szCs w:val="20"/>
                <w:vertAlign w:val="superscript"/>
                <w:lang w:val="en-GB"/>
              </w:rPr>
              <w:t>**</w:t>
            </w:r>
          </w:p>
        </w:tc>
        <w:tc>
          <w:tcPr>
            <w:tcW w:w="571" w:type="dxa"/>
            <w:noWrap/>
            <w:hideMark/>
          </w:tcPr>
          <w:p w14:paraId="30FE1A04" w14:textId="77777777" w:rsidR="00824D0E" w:rsidRPr="00E65749" w:rsidRDefault="00824D0E" w:rsidP="00824D0E">
            <w:pPr>
              <w:pStyle w:val="BodyText"/>
              <w:jc w:val="center"/>
              <w:rPr>
                <w:sz w:val="20"/>
                <w:szCs w:val="20"/>
                <w:lang w:val="en-GB"/>
              </w:rPr>
            </w:pPr>
            <w:r w:rsidRPr="00E65749">
              <w:rPr>
                <w:sz w:val="20"/>
                <w:szCs w:val="20"/>
                <w:lang w:val="en-GB"/>
              </w:rPr>
              <w:t>1.00</w:t>
            </w:r>
          </w:p>
        </w:tc>
      </w:tr>
    </w:tbl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CB6E51" w:rsidRPr="00E65749" w14:paraId="3F3B0C05" w14:textId="4AC36D98" w:rsidTr="006C3A64">
        <w:trPr>
          <w:trHeight w:val="432"/>
        </w:trPr>
        <w:tc>
          <w:tcPr>
            <w:tcW w:w="9360" w:type="dxa"/>
            <w:tcBorders>
              <w:top w:val="nil"/>
              <w:left w:val="nil"/>
              <w:bottom w:val="nil"/>
            </w:tcBorders>
          </w:tcPr>
          <w:p w14:paraId="46504DEA" w14:textId="23965AC0" w:rsidR="00CB6E51" w:rsidRPr="00E65749" w:rsidRDefault="00CB6E51" w:rsidP="00CB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B6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**= Correlation is significant at the 0.01 level (2-tailed); *= Correlation is significant at the 0.05 level (2-tailed).</w:t>
            </w:r>
          </w:p>
        </w:tc>
      </w:tr>
    </w:tbl>
    <w:p w14:paraId="31CED07F" w14:textId="77777777" w:rsidR="00C904C4" w:rsidRPr="00E65749" w:rsidRDefault="00C904C4" w:rsidP="001C6FD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5837AFE9" w14:textId="53D6C6DD" w:rsidR="00D1796F" w:rsidRDefault="00D1796F" w:rsidP="00D1796F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>
        <w:tab/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When assuming equal variances, the t-test analysis showed significant differences in the self-control scores between participants with high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M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 40.78;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SD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7.35) and low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M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38.06;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SD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7.41) values of moral identity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t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 4.61;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&lt;.01;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 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.38). Similarly, high-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M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 40.49;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 SD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7.33) and low-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M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 38.28;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 SD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7.52) values of binding foundations showed significant differences in self-control scores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t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 3.71;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&lt;.01;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 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.30). Notice that the Cohen’s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d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effect sizes for moral identity and binding foundations are interpreted as moderate to low. Since homogeneity of variances was not met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10.69; 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p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 .01) the Mann-Whitney test pointed out that self-control scores did not significantly differ between participants with low (Mean rank: 305.75) and high levels (Mean rank: 322.54) of individualizing foundations (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 xml:space="preserve">Z 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 1.16</w:t>
      </w:r>
      <w:r w:rsidRPr="00D1796F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, p</w:t>
      </w:r>
      <w:r w:rsidRP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= .246).</w:t>
      </w:r>
    </w:p>
    <w:p w14:paraId="6BF0A482" w14:textId="6F7A7C38" w:rsidR="008C19C4" w:rsidRPr="00E65749" w:rsidRDefault="00D1796F" w:rsidP="00EA4E7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inally,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when assuming equal variances (</w:t>
      </w:r>
      <w:r w:rsidR="00B30B42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7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=1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.30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B30B42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=0.25),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275AC0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the ANCOVA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model pointed out that, 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groups based on 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 identity (</w:t>
      </w:r>
      <w:r w:rsidR="00135E5D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1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=1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2.11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135E5D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01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6054EE"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>η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2=.02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 and binding foundations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values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(</w:t>
      </w:r>
      <w:r w:rsidR="00135E5D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1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3.99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135E5D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.0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5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:</w:t>
      </w:r>
      <w:r w:rsidR="006054EE"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 xml:space="preserve"> η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2=.01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showed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statistically significant 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differences 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on self-control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when taking age as a covariate, which also had a significant effect in the dependent variable scores 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age (</w:t>
      </w:r>
      <w:r w:rsidR="004438D8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1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=13.88; </w:t>
      </w:r>
      <w:r w:rsidR="004438D8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&lt;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.0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01;</w:t>
      </w:r>
      <w:r w:rsidR="004438D8"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 xml:space="preserve"> η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2=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02</w:t>
      </w:r>
      <w:r w:rsidR="004438D8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135E5D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Individualizing foundations showed no significant differences in self-control scores (</w:t>
      </w:r>
      <w:r w:rsidR="00B30B42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1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0.15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</w:t>
      </w:r>
      <w:r w:rsidR="00B30B42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=0.49). 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Effect sizes 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point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ed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pacing w:val="-3"/>
          <w:sz w:val="24"/>
          <w:szCs w:val="24"/>
          <w:lang w:val="en-GB"/>
        </w:rPr>
        <w:t xml:space="preserve"> </w:t>
      </w:r>
      <w:r w:rsidR="006054EE" w:rsidRPr="00E65749">
        <w:rPr>
          <w:rFonts w:ascii="Times New Roman" w:eastAsia="Times New Roman" w:hAnsi="Times New Roman" w:cs="Times New Roman"/>
          <w:color w:val="2E74B5" w:themeColor="accent1" w:themeShade="BF"/>
          <w:spacing w:val="-3"/>
          <w:sz w:val="24"/>
          <w:szCs w:val="24"/>
          <w:lang w:val="en-GB"/>
        </w:rPr>
        <w:t xml:space="preserve">out 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that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pacing w:val="1"/>
          <w:sz w:val="24"/>
          <w:szCs w:val="24"/>
          <w:lang w:val="en-GB"/>
        </w:rPr>
        <w:t xml:space="preserve"> 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the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independent variables that showed statistical significance when introduced in the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model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had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pacing w:val="-1"/>
          <w:sz w:val="24"/>
          <w:szCs w:val="24"/>
          <w:lang w:val="en-GB"/>
        </w:rPr>
        <w:t xml:space="preserve"> 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pacing w:val="-2"/>
          <w:sz w:val="24"/>
          <w:szCs w:val="24"/>
          <w:lang w:val="en-GB"/>
        </w:rPr>
        <w:t xml:space="preserve"> 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small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effect size 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among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 sample</w:t>
      </w:r>
      <w:r w:rsidR="00B30B42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(Cohen, 2013)</w:t>
      </w:r>
      <w:r w:rsidR="00C237CE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</w:p>
    <w:p w14:paraId="01DB4E28" w14:textId="036C471C" w:rsidR="00C237CE" w:rsidRPr="00E65749" w:rsidRDefault="00AD630D" w:rsidP="00EA4E7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Additionally, the only significant interaction found included the three independent variables (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F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vertAlign w:val="subscript"/>
          <w:lang w:val="en-GB"/>
        </w:rPr>
        <w:t>1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=4.91; 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p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&lt;.05; </w:t>
      </w:r>
      <w:r w:rsidRPr="00E65749">
        <w:rPr>
          <w:rFonts w:ascii="Times New Roman" w:eastAsia="Times New Roman" w:hAnsi="Times New Roman" w:cs="Times New Roman"/>
          <w:i/>
          <w:color w:val="2E74B5" w:themeColor="accent1" w:themeShade="BF"/>
          <w:sz w:val="24"/>
          <w:szCs w:val="24"/>
          <w:lang w:val="en-GB"/>
        </w:rPr>
        <w:t>η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2=.01)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This interaction is reflected in Table 3 and the fact that the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highest marginal mean was exhibited by participants with high moral identity, high individualizing foundations and high binding foundations (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M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=3.26, 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SE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=0.05, 95%</w:t>
      </w:r>
      <w:r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CI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[3.16, 3.36]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; and that 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in all the cases,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combination of groups of 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high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levels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of any of the two moral foundations and moral identity predicts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higher self-control </w:t>
      </w:r>
      <w:r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marginal means</w:t>
      </w:r>
      <w:r w:rsidR="00DA7D23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Additionally, the lack of effect of individualizing foundations on its own on self-control is reflected in the lowest marginal mean among participants with high levels of individualizing foundations but low levels of the other two variables (</w:t>
      </w:r>
      <w:r w:rsidR="008C19C4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M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2.83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="008C19C4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SE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=0.0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7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 95%</w:t>
      </w:r>
      <w:r w:rsidR="008C19C4" w:rsidRPr="00E65749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4"/>
          <w:lang w:val="en-GB"/>
        </w:rPr>
        <w:t>CI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[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2.69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2.98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])</w:t>
      </w:r>
      <w:r w:rsidR="008C19C4" w:rsidRPr="00E65749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</w:p>
    <w:p w14:paraId="0210AF15" w14:textId="0153B81F" w:rsidR="00DA7D23" w:rsidRDefault="00DA7D23" w:rsidP="00DA7D23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432D1904" w14:textId="5F221BE0" w:rsidR="00DA7D23" w:rsidRPr="00E65749" w:rsidRDefault="00DA7D23" w:rsidP="00DA7D23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D0F1A"/>
          <w:sz w:val="20"/>
          <w:szCs w:val="20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i/>
          <w:iCs/>
          <w:color w:val="0D0F1A"/>
          <w:sz w:val="20"/>
          <w:szCs w:val="20"/>
          <w:lang w:val="en-GB"/>
        </w:rPr>
        <w:t>Table 3.</w:t>
      </w:r>
    </w:p>
    <w:p w14:paraId="3A945364" w14:textId="1BB51885" w:rsidR="00DA7D23" w:rsidRPr="00E65749" w:rsidRDefault="00DA7D23" w:rsidP="00DA7D23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color w:val="0D0F1A"/>
          <w:sz w:val="20"/>
          <w:szCs w:val="20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0"/>
          <w:szCs w:val="20"/>
          <w:lang w:val="en-GB"/>
        </w:rPr>
        <w:t>Estimated marginal means of self-control scores based on high and low levels of the independent variables when introducing age as a covariate</w:t>
      </w:r>
    </w:p>
    <w:p w14:paraId="2DA433CE" w14:textId="1BEB39DB" w:rsidR="00DA7D23" w:rsidRPr="00E65749" w:rsidRDefault="00DA7D23" w:rsidP="00DA7D23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lang w:val="en-GB"/>
        </w:rPr>
      </w:pPr>
      <w:r w:rsidRPr="00E65749">
        <w:rPr>
          <w:lang w:val="en-GB"/>
        </w:rPr>
        <w:lastRenderedPageBreak/>
        <w:fldChar w:fldCharType="begin"/>
      </w:r>
      <w:r w:rsidRPr="00E65749">
        <w:rPr>
          <w:lang w:val="en-GB"/>
        </w:rPr>
        <w:instrText xml:space="preserve"> LINK Excel.Sheet.12 "C:\\Users\\Dayanne\\Desktop\\Self-control moralization\\Comentaries.xlsx" "Sheet4!R4C2:R13C8" \a \f 4 \h  \* MERGEFORMAT </w:instrText>
      </w:r>
      <w:r w:rsidRPr="00E65749">
        <w:rPr>
          <w:lang w:val="en-GB"/>
        </w:rPr>
        <w:fldChar w:fldCharType="separate"/>
      </w:r>
    </w:p>
    <w:tbl>
      <w:tblPr>
        <w:tblW w:w="935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559"/>
        <w:gridCol w:w="850"/>
        <w:gridCol w:w="993"/>
        <w:gridCol w:w="992"/>
      </w:tblGrid>
      <w:tr w:rsidR="00AD630D" w:rsidRPr="00E65749" w14:paraId="4AD9F62D" w14:textId="77777777" w:rsidTr="00AD630D">
        <w:trPr>
          <w:trHeight w:val="431"/>
        </w:trPr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AD994D6" w14:textId="7F93BE5B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Moral Identity (MI)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82FBEDE" w14:textId="77777777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Individualizing foundations (IF)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BA1E7F" w14:textId="77777777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Binding Foundations (BF)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130AB6D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Marginal Mean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2D64C3" w14:textId="0D245019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7F89E6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SE</w:t>
            </w:r>
          </w:p>
        </w:tc>
      </w:tr>
      <w:tr w:rsidR="00AD630D" w:rsidRPr="00E65749" w14:paraId="1C2B14E1" w14:textId="77777777" w:rsidTr="00AD630D">
        <w:trPr>
          <w:trHeight w:val="84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C5E9FA" w14:textId="77777777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1ADD631" w14:textId="77777777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4FEDC62" w14:textId="77777777" w:rsidR="00DA7D23" w:rsidRPr="00DA7D23" w:rsidRDefault="00DA7D23" w:rsidP="00AD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59797C" w14:textId="77777777" w:rsidR="00DA7D23" w:rsidRPr="00DA7D23" w:rsidRDefault="00DA7D23" w:rsidP="00DA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67ABE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Lower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F85B2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Upper</w:t>
            </w: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E8B9C2" w14:textId="77777777" w:rsidR="00DA7D23" w:rsidRPr="00DA7D23" w:rsidRDefault="00DA7D23" w:rsidP="00DA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AD630D" w:rsidRPr="00E65749" w14:paraId="21330DEE" w14:textId="77777777" w:rsidTr="00AD630D">
        <w:trPr>
          <w:trHeight w:val="288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CCC791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MI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10D89F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IF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532886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BF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8467194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7FE686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2.83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BB7F85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17C6D0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0.04</w:t>
            </w:r>
          </w:p>
        </w:tc>
      </w:tr>
      <w:tr w:rsidR="00AD630D" w:rsidRPr="00E65749" w14:paraId="1885E407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3EAA3150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329957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3158D4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975AA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93BA86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677042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4A7C0D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</w:tr>
      <w:tr w:rsidR="00AD630D" w:rsidRPr="00E65749" w14:paraId="1286CE0F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6389AA32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532F35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46E570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DCC3B7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4D2F00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1105F1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DBA74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0.07</w:t>
            </w:r>
          </w:p>
        </w:tc>
      </w:tr>
      <w:tr w:rsidR="00AD630D" w:rsidRPr="00E65749" w14:paraId="72DED498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589BC7BA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49FFD6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E8A9B5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C34D0F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701D28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1B3FCD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6B851E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</w:tr>
      <w:tr w:rsidR="00AD630D" w:rsidRPr="00E65749" w14:paraId="26B5DDBA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698EBF6E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52D4AD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B5B20A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7BDE29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068B08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109E53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6CFFD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0.07</w:t>
            </w:r>
          </w:p>
        </w:tc>
      </w:tr>
      <w:tr w:rsidR="00AD630D" w:rsidRPr="00E65749" w14:paraId="11AB9B00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2A07E09E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40E225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3069A0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510435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B1A01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C16D68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8F25D7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0.07</w:t>
            </w:r>
          </w:p>
        </w:tc>
      </w:tr>
      <w:tr w:rsidR="00AD630D" w:rsidRPr="00E65749" w14:paraId="32CEF99D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7F660612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Low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03CDCA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FA6B91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FD6175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909FCB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4F03DD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541C50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0.08</w:t>
            </w:r>
          </w:p>
        </w:tc>
      </w:tr>
      <w:tr w:rsidR="00AD630D" w:rsidRPr="00E65749" w14:paraId="3B0110A4" w14:textId="77777777" w:rsidTr="00AD630D">
        <w:trPr>
          <w:trHeight w:val="288"/>
        </w:trPr>
        <w:tc>
          <w:tcPr>
            <w:tcW w:w="1418" w:type="dxa"/>
            <w:shd w:val="clear" w:color="auto" w:fill="auto"/>
            <w:vAlign w:val="center"/>
            <w:hideMark/>
          </w:tcPr>
          <w:p w14:paraId="494AB9A0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C014CD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IF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EAE8F8" w14:textId="77777777" w:rsidR="00DA7D23" w:rsidRPr="00DA7D23" w:rsidRDefault="00DA7D23" w:rsidP="00AD630D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High BF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F84C89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CE075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5BEDA7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3.36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B8F0F6" w14:textId="77777777" w:rsidR="00DA7D23" w:rsidRPr="00DA7D23" w:rsidRDefault="00DA7D23" w:rsidP="00DA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A7D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0.05</w:t>
            </w:r>
          </w:p>
        </w:tc>
      </w:tr>
    </w:tbl>
    <w:p w14:paraId="0D7A700D" w14:textId="32E84669" w:rsidR="00DA7D23" w:rsidRPr="00E65749" w:rsidRDefault="00DA7D23" w:rsidP="00DA7D23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  <w:fldChar w:fldCharType="end"/>
      </w:r>
    </w:p>
    <w:p w14:paraId="566E5B6A" w14:textId="77777777" w:rsidR="00275AC0" w:rsidRPr="00E65749" w:rsidRDefault="00275AC0" w:rsidP="00EA4E7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rPr>
          <w:rFonts w:ascii="Times New Roman" w:eastAsia="Times New Roman" w:hAnsi="Times New Roman" w:cs="Times New Roman"/>
          <w:color w:val="0D0F1A"/>
          <w:sz w:val="24"/>
          <w:szCs w:val="24"/>
          <w:lang w:val="en-GB"/>
        </w:rPr>
      </w:pPr>
    </w:p>
    <w:p w14:paraId="1D94F32C" w14:textId="4D8ABB8B" w:rsidR="00C237CE" w:rsidRPr="00E65749" w:rsidRDefault="00CF1F56" w:rsidP="00EA4E7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Discussion</w:t>
      </w:r>
    </w:p>
    <w:p w14:paraId="1B6C023A" w14:textId="384AEF2B" w:rsidR="00C237CE" w:rsidRPr="00E65749" w:rsidRDefault="002A1D7C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elf-control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moralization implies that self-control 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failure or success depends on the individual’s assessment 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behavioural 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consequences</w:t>
      </w:r>
      <w:r w:rsidR="009272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the resolution of a goal conflict in terms of moral judgment, measured by moral foundations and identity in this study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Therefore, </w:t>
      </w:r>
      <w:r w:rsidR="00D1796F">
        <w:rPr>
          <w:rFonts w:ascii="Times New Roman" w:eastAsia="Times New Roman" w:hAnsi="Times New Roman" w:cs="Times New Roman"/>
          <w:sz w:val="24"/>
          <w:szCs w:val="24"/>
          <w:lang w:val="en-GB"/>
        </w:rPr>
        <w:t>self-control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stops being an individual preference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its evaluation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based on what is considered morally correct</w:t>
      </w:r>
      <w:r w:rsidR="00C237CE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2020; Silver &amp; Silver, 2021)</w:t>
      </w:r>
      <w:r w:rsidR="0092728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C237CE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3E22FC">
        <w:rPr>
          <w:rFonts w:ascii="Times New Roman" w:eastAsia="Times New Roman" w:hAnsi="Times New Roman" w:cs="Times New Roman"/>
          <w:sz w:val="24"/>
          <w:szCs w:val="24"/>
          <w:lang w:val="en-GB"/>
        </w:rPr>
        <w:t>Supporting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E22FC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first hypothesis</w:t>
      </w:r>
      <w:r w:rsidR="009272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the study</w:t>
      </w:r>
      <w:r w:rsidR="003E22FC">
        <w:rPr>
          <w:rFonts w:ascii="Times New Roman" w:eastAsia="Times New Roman" w:hAnsi="Times New Roman" w:cs="Times New Roman"/>
          <w:sz w:val="24"/>
          <w:szCs w:val="24"/>
          <w:lang w:val="en-GB"/>
        </w:rPr>
        <w:t>, our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findings suggest that participants who showed higher levels of moral identity tended to show higher self-control over their behavio</w:t>
      </w:r>
      <w:r w:rsidR="003E22FC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r. Literature suggests that high levels of moral identity imply looking for consistency between moral thinking and moral </w:t>
      </w:r>
      <w:proofErr w:type="spellStart"/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behavior</w:t>
      </w:r>
      <w:proofErr w:type="spellEnd"/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; and reducing chances for self-control failure</w:t>
      </w:r>
      <w:r w:rsidR="005175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  <w:szCs w:val="24"/>
        </w:rPr>
        <w:t xml:space="preserve">(Aquino &amp; Reed, 2002; Bandura, 2014; Wikström &amp; </w:t>
      </w:r>
      <w:proofErr w:type="spellStart"/>
      <w:r w:rsidR="00E729BF" w:rsidRPr="00E729BF">
        <w:rPr>
          <w:rFonts w:ascii="Times New Roman" w:hAnsi="Times New Roman" w:cs="Times New Roman"/>
          <w:sz w:val="24"/>
          <w:szCs w:val="24"/>
        </w:rPr>
        <w:t>Svensson</w:t>
      </w:r>
      <w:proofErr w:type="spellEnd"/>
      <w:r w:rsidR="00E729BF" w:rsidRPr="00E729BF">
        <w:rPr>
          <w:rFonts w:ascii="Times New Roman" w:hAnsi="Times New Roman" w:cs="Times New Roman"/>
          <w:sz w:val="24"/>
          <w:szCs w:val="24"/>
        </w:rPr>
        <w:t>, 2010)</w:t>
      </w:r>
      <w:r w:rsid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and theoretical approaches like the Identity-Value-Model </w:t>
      </w:r>
      <w:r w:rsidR="00E729BF" w:rsidRPr="00E729BF">
        <w:rPr>
          <w:rFonts w:ascii="Times New Roman" w:hAnsi="Times New Roman" w:cs="Times New Roman"/>
          <w:sz w:val="24"/>
        </w:rPr>
        <w:t>(Berkman et al., 2017)</w:t>
      </w:r>
      <w:r w:rsidR="003E22F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highlight the role of the identity and self-core for orienting behaviour through cognition, motivation and core values that might facilitate solving the conflict of consequences implied in the process of moralizing self-control</w:t>
      </w:r>
      <w:r w:rsidR="00C237CE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</w:p>
    <w:p w14:paraId="76281D16" w14:textId="10E360F4" w:rsidR="00C237CE" w:rsidRPr="006168E0" w:rsidRDefault="00C237CE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other hand, despite some studies such as the one performed by </w:t>
      </w:r>
      <w:r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Silver &amp; Silver (2019)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found that individualizing foundations have a</w:t>
      </w:r>
      <w:r w:rsidR="004904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more important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role than binding foundations, </w:t>
      </w:r>
      <w:r w:rsidR="00490483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no </w:t>
      </w:r>
      <w:r w:rsidR="00490483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supporting </w:t>
      </w:r>
      <w:r w:rsidR="00490483"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evidence allowed us to</w:t>
      </w:r>
      <w:r w:rsidRPr="00490483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reject the second null hypothesis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However, one point may be noticed: moral foundations were related to each other and between groups of binding and individualizing. Therefore, they are not contrary or exclusive categories </w:t>
      </w:r>
      <w:r w:rsidR="00E729BF" w:rsidRPr="00E729BF">
        <w:rPr>
          <w:rFonts w:ascii="Times New Roman" w:hAnsi="Times New Roman" w:cs="Times New Roman"/>
          <w:sz w:val="24"/>
        </w:rPr>
        <w:t>(Graham et al., 2011; Haidt &amp; Joseph, 2004)</w:t>
      </w:r>
      <w:r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addition, individualizing foundations and self-control </w:t>
      </w:r>
      <w:r w:rsidR="00490483">
        <w:rPr>
          <w:rFonts w:ascii="Times New Roman" w:eastAsia="Times New Roman" w:hAnsi="Times New Roman" w:cs="Times New Roman"/>
          <w:sz w:val="24"/>
          <w:szCs w:val="24"/>
          <w:lang w:val="en-GB"/>
        </w:rPr>
        <w:t>are normally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contrasted from a theoretical perspective: self-control implies having to sacrifice freedom and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individual welfare – both valuable when talking about individualizing foundations - in </w:t>
      </w:r>
      <w:r w:rsidR="002A3D75">
        <w:rPr>
          <w:rFonts w:ascii="Times New Roman" w:eastAsia="Times New Roman" w:hAnsi="Times New Roman" w:cs="Times New Roman"/>
          <w:sz w:val="24"/>
          <w:szCs w:val="24"/>
          <w:lang w:val="en-GB"/>
        </w:rPr>
        <w:t>favour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</w:t>
      </w:r>
      <w:r w:rsidR="002A3D75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greater good in the long run </w:t>
      </w:r>
      <w:r w:rsidR="00E729BF" w:rsidRPr="00E729BF">
        <w:rPr>
          <w:rFonts w:ascii="Times New Roman" w:hAnsi="Times New Roman" w:cs="Times New Roman"/>
          <w:sz w:val="24"/>
        </w:rPr>
        <w:t>(Berkman et al., 2017; Duckworth &amp; Gross, 2024)</w:t>
      </w:r>
      <w:r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and having to suppress selfish impulses that are contrary to social order maintenance and group preservation</w:t>
      </w:r>
      <w:r w:rsidR="005175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Rozin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1997)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49048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his perspective of self-control also serves as an explanation for rejecting the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third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null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hypothesis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the low- and high levels of binding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foundations had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different </w:t>
      </w:r>
      <w:r w:rsidR="002A3D75">
        <w:rPr>
          <w:rFonts w:ascii="Times New Roman" w:eastAsia="Times New Roman" w:hAnsi="Times New Roman" w:cs="Times New Roman"/>
          <w:sz w:val="24"/>
          <w:szCs w:val="24"/>
          <w:lang w:val="en-GB"/>
        </w:rPr>
        <w:t>self-control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scores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among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participants. This finding is consistent with previous studies that suggest that the motivation to maintain or increase collective welfare is important for controlling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one´s behaviour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 xml:space="preserve">(Li et al., 2021;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2018)</w:t>
      </w:r>
      <w:r w:rsidR="0051754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Morality is an expression of the species that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motivates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its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members to prioritize the long-term welfare of the group over their own</w:t>
      </w:r>
      <w:r w:rsidRP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(Schloss, 2017)</w:t>
      </w:r>
      <w:r w:rsidR="0051754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,</w:t>
      </w:r>
      <w:r w:rsidR="006168E0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encouraging them to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control their behavio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u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according to the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consequences that will fit communal goals</w:t>
      </w:r>
      <w:r w:rsidR="00FD46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r w:rsidR="00FD4628" w:rsidRPr="00FD462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favouring self-control 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from</w:t>
      </w:r>
      <w:r w:rsidR="00FD4628" w:rsidRPr="00FD462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young ages in collectivistic societies, with previous evidence 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signalling</w:t>
      </w:r>
      <w:r w:rsidR="00FD4628" w:rsidRPr="00FD462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 positive correlation between self-control and binding values, but a negative correlation with individualizing values</w:t>
      </w:r>
      <w:r w:rsidR="00FD462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(Li et al., 2018)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These moral mandates exert an effect on emotional, cognitive, and motivational levels to make effective self-control possible </w:t>
      </w:r>
      <w:r w:rsidR="00E729BF" w:rsidRPr="00E729BF">
        <w:rPr>
          <w:rFonts w:ascii="Times New Roman" w:hAnsi="Times New Roman" w:cs="Times New Roman"/>
          <w:sz w:val="24"/>
        </w:rPr>
        <w:t xml:space="preserve">(Hofmann et al., 2018;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Xie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2019; Zahn et al., 2020)</w:t>
      </w:r>
      <w:r w:rsidR="0051754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.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</w:p>
    <w:p w14:paraId="2D42D4BE" w14:textId="68BF78A8" w:rsidR="004A656B" w:rsidRPr="00E65749" w:rsidRDefault="00C237CE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Nowadays, self-control is one of the processes that has received significant attention within psychology and other sciences; hoping that by its increase or failure reduction, diverse individual and social challenges may be solved </w:t>
      </w:r>
      <w:r w:rsidR="00E729BF" w:rsidRPr="00E729BF">
        <w:rPr>
          <w:rFonts w:ascii="Times New Roman" w:hAnsi="Times New Roman" w:cs="Times New Roman"/>
          <w:sz w:val="24"/>
        </w:rPr>
        <w:t>(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Canet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Juric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2016)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Therefore, our findings provide new evidence for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filling some of the gaps concerning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how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moral identity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D1796F">
        <w:rPr>
          <w:rFonts w:ascii="Times New Roman" w:eastAsia="Times New Roman" w:hAnsi="Times New Roman" w:cs="Times New Roman"/>
          <w:sz w:val="24"/>
          <w:szCs w:val="24"/>
          <w:lang w:val="en-GB"/>
        </w:rPr>
        <w:t>binding,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individualizing foundations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>act individually and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interact</w:t>
      </w:r>
      <w:r w:rsidR="006168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over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self-control 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during </w:t>
      </w:r>
      <w:r w:rsidR="00E21810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young</w:t>
      </w:r>
      <w:r w:rsidR="00A72C9A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adulthood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E769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evidence supporting the hypotheses of significant interactions between the moral identity and both types of moral foundations (individualizing and binding) help to 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clarify findings by previous authors (Silver 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&amp; Silver, 2021; 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Li et al., 2018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; Joosten et al., 2015</w:t>
      </w:r>
      <w:r w:rsidR="00E7691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), providing a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useful insight to address the social and health effects of low self-control, </w:t>
      </w:r>
      <w:r w:rsidR="00D1796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considering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developmental implications of young adulthood and the situational, social and cultural environment in which motivational conflicts are evoked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E729BF" w:rsidRPr="00E729BF">
        <w:rPr>
          <w:rFonts w:ascii="Times New Roman" w:hAnsi="Times New Roman" w:cs="Times New Roman"/>
          <w:sz w:val="24"/>
        </w:rPr>
        <w:t>(Hofmann, 2024)</w:t>
      </w:r>
      <w:r w:rsid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We expect this effort may serve as a background to future studies, applications, and to profound reflections on the incidence of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morality</w:t>
      </w:r>
      <w:r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o</w:t>
      </w:r>
      <w:r w:rsidR="00642E9C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n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behaviour</w:t>
      </w:r>
      <w:r w:rsidR="00642E9C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al </w:t>
      </w:r>
      <w:r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control</w:t>
      </w:r>
      <w:r w:rsidR="00642E9C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both at the individual and societal </w:t>
      </w:r>
      <w:r w:rsidR="00E729BF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levels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486DC631" w14:textId="36591A65" w:rsidR="00CF1F56" w:rsidRPr="00E65749" w:rsidRDefault="00CF1F56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Conclusion</w:t>
      </w:r>
    </w:p>
    <w:p w14:paraId="3950A83B" w14:textId="7DA30126" w:rsidR="00CF1F56" w:rsidRPr="00E65749" w:rsidRDefault="00AF57D8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present study aimed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explore whether self-control scores showed a significant difference based on high and low levels of moral identity and preferences for binding and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individualizing foundations among a young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adult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sample. Our findings suggest that high and low levels 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moral identity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binding foundation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have a significant effect on self-control scores. These findings are consistent with existing literature. To date, there is evidence that conceives moral identity </w:t>
      </w:r>
      <w:r w:rsidR="00E729BF" w:rsidRPr="00E729BF">
        <w:rPr>
          <w:rFonts w:ascii="Times New Roman" w:hAnsi="Times New Roman" w:cs="Times New Roman"/>
          <w:sz w:val="24"/>
        </w:rPr>
        <w:t>(Gino et al., 2011; Joosten et al., 2015)</w:t>
      </w:r>
      <w:r w:rsidR="00CF1F56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moral foundations </w:t>
      </w:r>
      <w:r w:rsidR="00E729BF" w:rsidRPr="00E729BF">
        <w:rPr>
          <w:rFonts w:ascii="Times New Roman" w:hAnsi="Times New Roman" w:cs="Times New Roman"/>
          <w:sz w:val="24"/>
        </w:rPr>
        <w:t xml:space="preserve">(Li et al., 2018;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Mooijman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 xml:space="preserve"> et al., 2018; Silver &amp; Silver, 2021)</w:t>
      </w:r>
      <w:r w:rsidR="00CF1F56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variables capable of modifying self-control. Additionally, we found that age and an interaction between </w:t>
      </w:r>
      <w:r w:rsidR="002A3D75">
        <w:rPr>
          <w:rFonts w:ascii="Times New Roman" w:eastAsia="Times New Roman" w:hAnsi="Times New Roman" w:cs="Times New Roman"/>
          <w:sz w:val="24"/>
          <w:szCs w:val="24"/>
          <w:lang w:val="en-GB"/>
        </w:rPr>
        <w:t>moral identity, binding and individual foundations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also </w:t>
      </w:r>
      <w:r w:rsidR="002A3D75">
        <w:rPr>
          <w:rFonts w:ascii="Times New Roman" w:eastAsia="Times New Roman" w:hAnsi="Times New Roman" w:cs="Times New Roman"/>
          <w:sz w:val="24"/>
          <w:szCs w:val="24"/>
          <w:lang w:val="en-GB"/>
        </w:rPr>
        <w:t>implied significant differences on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self-control scores. </w:t>
      </w:r>
    </w:p>
    <w:p w14:paraId="6652B9B8" w14:textId="71701586" w:rsidR="00CF1F56" w:rsidRPr="00E65749" w:rsidRDefault="00AF57D8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Although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small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moderate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effect size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obtained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could lead to underestimations about the percentage of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self-control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variance that could be explained by the independent variables </w:t>
      </w:r>
      <w:r w:rsidR="00E729BF" w:rsidRPr="00E729BF">
        <w:rPr>
          <w:rFonts w:ascii="Times New Roman" w:hAnsi="Times New Roman" w:cs="Times New Roman"/>
          <w:sz w:val="24"/>
        </w:rPr>
        <w:t>(Funder &amp; Ozer, 2019)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 small effect size is not trivial at all </w:t>
      </w:r>
      <w:r w:rsidR="00E729BF" w:rsidRPr="00E729BF">
        <w:rPr>
          <w:rFonts w:ascii="Times New Roman" w:hAnsi="Times New Roman" w:cs="Times New Roman"/>
          <w:sz w:val="24"/>
        </w:rPr>
        <w:t xml:space="preserve">(Sullivan &amp; </w:t>
      </w:r>
      <w:proofErr w:type="spellStart"/>
      <w:r w:rsidR="00E729BF" w:rsidRPr="00E729BF">
        <w:rPr>
          <w:rFonts w:ascii="Times New Roman" w:hAnsi="Times New Roman" w:cs="Times New Roman"/>
          <w:sz w:val="24"/>
        </w:rPr>
        <w:t>Feinn</w:t>
      </w:r>
      <w:proofErr w:type="spellEnd"/>
      <w:r w:rsidR="00E729BF" w:rsidRPr="00E729BF">
        <w:rPr>
          <w:rFonts w:ascii="Times New Roman" w:hAnsi="Times New Roman" w:cs="Times New Roman"/>
          <w:sz w:val="24"/>
        </w:rPr>
        <w:t>, 2012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D62B5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 Abelson </w:t>
      </w:r>
      <w:r w:rsidR="00E729BF" w:rsidRPr="00E729BF">
        <w:rPr>
          <w:rFonts w:ascii="Times New Roman" w:hAnsi="Times New Roman" w:cs="Times New Roman"/>
          <w:sz w:val="24"/>
        </w:rPr>
        <w:t>(1985)</w:t>
      </w:r>
      <w:r w:rsidR="00CF1F56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stated, a difference with a small effect size could become maximized over time or could carry significant consequences when it becomes a joint effect of many individuals at a given time. Therefore, results may be interpreted with caution and unbiased.</w:t>
      </w:r>
    </w:p>
    <w:p w14:paraId="65E62AFB" w14:textId="77777777" w:rsidR="00D62B5E" w:rsidRDefault="004A656B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Regarding </w:t>
      </w:r>
      <w:r w:rsidR="003771A2">
        <w:rPr>
          <w:rFonts w:ascii="Times New Roman" w:eastAsia="Times New Roman" w:hAnsi="Times New Roman" w:cs="Times New Roman"/>
          <w:sz w:val="24"/>
          <w:szCs w:val="24"/>
          <w:lang w:val="en-GB"/>
        </w:rPr>
        <w:t>some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limitations of the study, </w:t>
      </w:r>
      <w:r w:rsidR="003771A2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causal interpretations of the results should be</w:t>
      </w:r>
      <w:r w:rsidR="002A3D75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taken cautiously</w:t>
      </w:r>
      <w:r w:rsidR="002A3D75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; although the theoretical framework of self-control moralization claims a cause-effect relationship between moral variables and self-control, the cross-sectional nature of the current work cannot confirm a one-direction relationship. Further studies should aim to collect longitudinal data </w:t>
      </w:r>
      <w:r w:rsid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to clarify</w:t>
      </w:r>
      <w:r w:rsidR="002A3D75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if the temporal changes in moral identity and moral foundations account for self-control </w:t>
      </w:r>
      <w:r w:rsid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score</w:t>
      </w:r>
      <w:r w:rsidR="002A3D75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variations during young adulthood</w:t>
      </w:r>
      <w:r w:rsidR="003771A2" w:rsidRPr="002A3D7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377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Moreover,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it must be noticed that collected data</w:t>
      </w:r>
      <w:r w:rsidR="00A26DA8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corresponded to a non-probabilistic 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 convenience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sample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one </w:t>
      </w:r>
      <w:r w:rsidR="003771A2">
        <w:rPr>
          <w:rFonts w:ascii="Times New Roman" w:eastAsia="Times New Roman" w:hAnsi="Times New Roman" w:cs="Times New Roman"/>
          <w:sz w:val="24"/>
          <w:szCs w:val="24"/>
          <w:lang w:val="en-GB"/>
        </w:rPr>
        <w:t>region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Bolivia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therefore, results may be not representative 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>of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>general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population</w:t>
      </w:r>
      <w:r w:rsidR="00AF57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young adults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4FD87E3C" w14:textId="7E177B67" w:rsidR="00F85CEE" w:rsidRPr="00642E9C" w:rsidRDefault="004A656B" w:rsidP="00D62B5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Additionally, </w:t>
      </w:r>
      <w:r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the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re is no evidence of previous</w:t>
      </w:r>
      <w:r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employment of 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the MFQ in </w:t>
      </w:r>
      <w:r w:rsidR="003771A2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this geographical context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and despite trying to guarantee reliability based on statistical techniques in this study, more psychometric exploration is needed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to validate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the binding-individualizing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foundation's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structure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aiming to improve the current model fit indices</w:t>
      </w:r>
      <w:r w:rsidR="00E21810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. </w:t>
      </w:r>
      <w:r w:rsidR="00E21810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Finally, </w:t>
      </w:r>
      <w:r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="00C237CE" w:rsidRPr="00E65749">
        <w:rPr>
          <w:rFonts w:ascii="Times New Roman" w:eastAsia="Times New Roman" w:hAnsi="Times New Roman" w:cs="Times New Roman"/>
          <w:sz w:val="24"/>
          <w:szCs w:val="24"/>
          <w:lang w:val="en-GB"/>
        </w:rPr>
        <w:t>eing that a general self-control measure was employed</w:t>
      </w:r>
      <w:r w:rsidR="00C237C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we encourage further studies to include specific measures for moralized self-control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behaviours</w:t>
      </w:r>
      <w:r w:rsidR="00C237C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in the future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and to control for additional </w:t>
      </w:r>
      <w:r w:rsidR="002A3D75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moral and sociocultural variables</w:t>
      </w:r>
      <w:r w:rsidR="00C237C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, </w:t>
      </w:r>
      <w:r w:rsidR="00AF57D8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to</w:t>
      </w:r>
      <w:r w:rsidR="00C237C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 clarify relationships and </w:t>
      </w:r>
      <w:r w:rsidR="002A3D75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 xml:space="preserve">increase </w:t>
      </w:r>
      <w:r w:rsidR="00C237C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t>effect sizes.</w:t>
      </w:r>
      <w:r w:rsidR="00F85CEE" w:rsidRPr="00642E9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en-GB"/>
        </w:rPr>
        <w:br w:type="page"/>
      </w:r>
    </w:p>
    <w:p w14:paraId="6308CEE8" w14:textId="77777777" w:rsidR="00F85CEE" w:rsidRPr="00E65749" w:rsidRDefault="00F85CEE" w:rsidP="00EA4E7E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E6574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lastRenderedPageBreak/>
        <w:t>REFERENCES</w:t>
      </w:r>
    </w:p>
    <w:p w14:paraId="41CAB325" w14:textId="527CEB1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Abelson, R. P. (1985). A variance explanation paradox: When a little is a lot.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97</w:t>
      </w:r>
      <w:r w:rsidRPr="00B26019">
        <w:rPr>
          <w:rFonts w:ascii="Times New Roman" w:hAnsi="Times New Roman" w:cs="Times New Roman"/>
          <w:sz w:val="24"/>
          <w:szCs w:val="24"/>
        </w:rPr>
        <w:t>(1), 129. https://psycnet.apa.org/fulltext/1985-11199-001.html</w:t>
      </w:r>
    </w:p>
    <w:p w14:paraId="18475967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American Psychological Association. (2017).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Ethical principles of psychologists and code of conduct</w:t>
      </w:r>
      <w:r w:rsidRPr="00B26019">
        <w:rPr>
          <w:rFonts w:ascii="Times New Roman" w:hAnsi="Times New Roman" w:cs="Times New Roman"/>
          <w:sz w:val="24"/>
          <w:szCs w:val="24"/>
        </w:rPr>
        <w:t>. https://www.apa.org/ethics/code</w:t>
      </w:r>
    </w:p>
    <w:p w14:paraId="043D786C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Anderson, D. J.,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Krettenauer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T. (2021). Connectedness to nature and pro-environmental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 from early adolescence to adulthood: A comparison of urban and rural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canada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B26019">
        <w:rPr>
          <w:rFonts w:ascii="Times New Roman" w:hAnsi="Times New Roman" w:cs="Times New Roman"/>
          <w:sz w:val="24"/>
          <w:szCs w:val="24"/>
        </w:rPr>
        <w:t>(7), 3655.</w:t>
      </w:r>
    </w:p>
    <w:p w14:paraId="45417CF5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Andrade, F. C., &amp; Hoyle, R. H. (2023). A synthesis and meta-analysis of the relationship between trait self-control and healthier practices in physical activity, eating, and sleep domains.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205</w:t>
      </w:r>
      <w:r w:rsidRPr="00B26019">
        <w:rPr>
          <w:rFonts w:ascii="Times New Roman" w:hAnsi="Times New Roman" w:cs="Times New Roman"/>
          <w:sz w:val="24"/>
          <w:szCs w:val="24"/>
        </w:rPr>
        <w:t>, 112095. https://doi.org/10.1016/j.paid.2023.112095</w:t>
      </w:r>
    </w:p>
    <w:p w14:paraId="7C63A5E8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Aquino, K., Freeman, D., Reed II, A., Lim, V. K. G.,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Felps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W. (2009). Testing a social-cognitive model of moral behavior: The interactive influence of situations and moral identity centrality.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97</w:t>
      </w:r>
      <w:r w:rsidRPr="00B26019">
        <w:rPr>
          <w:rFonts w:ascii="Times New Roman" w:hAnsi="Times New Roman" w:cs="Times New Roman"/>
          <w:sz w:val="24"/>
          <w:szCs w:val="24"/>
        </w:rPr>
        <w:t>(1), 123–141. https://doi.org/10.1037/a0015406</w:t>
      </w:r>
    </w:p>
    <w:p w14:paraId="15E0AC7F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Aquino, K., &amp; Reed, A. I. (2002). The self-importance of moral identity.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83</w:t>
      </w:r>
      <w:r w:rsidRPr="00B26019">
        <w:rPr>
          <w:rFonts w:ascii="Times New Roman" w:hAnsi="Times New Roman" w:cs="Times New Roman"/>
          <w:sz w:val="24"/>
          <w:szCs w:val="24"/>
        </w:rPr>
        <w:t>(6), 1423–1440. https://doi.org/10.1037/0022-3514.83.6.1423</w:t>
      </w:r>
    </w:p>
    <w:p w14:paraId="67463750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Bandura, A. (2014). Social cognitive theory of moral thought and action.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Handbook of moral behavior and development</w:t>
      </w:r>
      <w:r w:rsidRPr="00B26019">
        <w:rPr>
          <w:rFonts w:ascii="Times New Roman" w:hAnsi="Times New Roman" w:cs="Times New Roman"/>
          <w:sz w:val="24"/>
          <w:szCs w:val="24"/>
        </w:rPr>
        <w:t xml:space="preserve"> (pp. 45–103). Psychology press. https://www.taylorfrancis.com/chapters/edit/10.4324/9781315807294-8/social-cognitive-theory-moral-thought-action-albert-bandura</w:t>
      </w:r>
    </w:p>
    <w:p w14:paraId="0BC4D43A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Barbaranelli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C. (2003).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AnalisideiDati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Tecniche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 Multivariate per la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RicercaPsicologica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Milano: LED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Bentler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PM and Bonnet, DC (1980). Significance Tests and Goodness of Fit in the Analysis of Covariance Structures.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B26019">
        <w:rPr>
          <w:rFonts w:ascii="Times New Roman" w:hAnsi="Times New Roman" w:cs="Times New Roman"/>
          <w:sz w:val="24"/>
          <w:szCs w:val="24"/>
        </w:rPr>
        <w:t>(3), 588–606.</w:t>
      </w:r>
    </w:p>
    <w:p w14:paraId="190E7895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Berkman, E. T., Livingston, J. L., &amp; Kahn, L. E. (2017). Finding the “self” in self-regulation: The identity-value model.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Inquiry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B26019">
        <w:rPr>
          <w:rFonts w:ascii="Times New Roman" w:hAnsi="Times New Roman" w:cs="Times New Roman"/>
          <w:sz w:val="24"/>
          <w:szCs w:val="24"/>
        </w:rPr>
        <w:t>(2–3), 77–98. https://doi.org/10.1080/1047840X.2017.1323463</w:t>
      </w:r>
    </w:p>
    <w:p w14:paraId="5B34B8DB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Blasi, A. (1994). Moral identity: It’s role in moral functioning (Vol. 2).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New York, NY: Garland</w:t>
      </w:r>
      <w:r w:rsidRPr="00B26019">
        <w:rPr>
          <w:rFonts w:ascii="Times New Roman" w:hAnsi="Times New Roman" w:cs="Times New Roman"/>
          <w:sz w:val="24"/>
          <w:szCs w:val="24"/>
        </w:rPr>
        <w:t>.</w:t>
      </w:r>
    </w:p>
    <w:p w14:paraId="10A48367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lastRenderedPageBreak/>
        <w:t>Canet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Juric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Introzzi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I. M., Andrés, M. L.,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Stelzer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F. (2016).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La contribución de las Funciones Ejecutivas a la autorregulación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>. https://doi.org/10.7714/CNPS/10.2.206</w:t>
      </w:r>
    </w:p>
    <w:p w14:paraId="1251B1BB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Carifio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J., &amp; Perla, R. (2008). Resolving the 50-year debate around using and misusing Likert scales.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Medical Education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B26019">
        <w:rPr>
          <w:rFonts w:ascii="Times New Roman" w:hAnsi="Times New Roman" w:cs="Times New Roman"/>
          <w:sz w:val="24"/>
          <w:szCs w:val="24"/>
        </w:rPr>
        <w:t>(12), 1150–1152. https://doi.org/10.1111/j.1365-2923.2008.03172.x</w:t>
      </w:r>
    </w:p>
    <w:p w14:paraId="631C05F5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Cobb-Clark, D. A.,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Dahmann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 C.,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Kamhöfer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D. A.,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Schildberg-Hörisch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H. (2023). Self-control and unhealthy body weight: The role of impulsivity and restraint.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Economics &amp; Human Biology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B26019">
        <w:rPr>
          <w:rFonts w:ascii="Times New Roman" w:hAnsi="Times New Roman" w:cs="Times New Roman"/>
          <w:sz w:val="24"/>
          <w:szCs w:val="24"/>
        </w:rPr>
        <w:t>, 101263. https://doi.org/10.1016/j.ehb.2023.101263</w:t>
      </w:r>
    </w:p>
    <w:p w14:paraId="451D7C98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del Valle, M. V., Galli, J. I.,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Urquijo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Juric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L. C. (2019). 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Adaptación al español de la Escala de Autocontrol y de la Escala de Autocontrol-Abreviada y evidencias de validez en población universitaria.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Revista Argentina de Ciencias del Comportamiento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11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(2), </w:t>
      </w:r>
      <w:proofErr w:type="spellStart"/>
      <w:r w:rsidRPr="00B26019">
        <w:rPr>
          <w:rFonts w:ascii="Times New Roman" w:hAnsi="Times New Roman" w:cs="Times New Roman"/>
          <w:sz w:val="24"/>
          <w:szCs w:val="24"/>
          <w:lang w:val="es-ES"/>
        </w:rPr>
        <w:t>Article</w:t>
      </w:r>
      <w:proofErr w:type="spellEnd"/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 2. https://doi.org/10.32348/1852.4206.v11.n2.23413</w:t>
      </w:r>
    </w:p>
    <w:p w14:paraId="17419EF9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Doğruyol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Alper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S., &amp; Yilmaz, O. (2019). The five-factor model of the moral </w:t>
      </w:r>
      <w:proofErr w:type="gramStart"/>
      <w:r w:rsidRPr="00B26019">
        <w:rPr>
          <w:rFonts w:ascii="Times New Roman" w:hAnsi="Times New Roman" w:cs="Times New Roman"/>
          <w:sz w:val="24"/>
          <w:szCs w:val="24"/>
        </w:rPr>
        <w:t>foundations</w:t>
      </w:r>
      <w:proofErr w:type="gramEnd"/>
      <w:r w:rsidRPr="00B26019">
        <w:rPr>
          <w:rFonts w:ascii="Times New Roman" w:hAnsi="Times New Roman" w:cs="Times New Roman"/>
          <w:sz w:val="24"/>
          <w:szCs w:val="24"/>
        </w:rPr>
        <w:t xml:space="preserve"> theory is stable across WEIRD and non-WEIRD cultures.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151</w:t>
      </w:r>
      <w:r w:rsidRPr="00B26019">
        <w:rPr>
          <w:rFonts w:ascii="Times New Roman" w:hAnsi="Times New Roman" w:cs="Times New Roman"/>
          <w:sz w:val="24"/>
          <w:szCs w:val="24"/>
        </w:rPr>
        <w:t>, 109547. https://doi.org/10.1016/j.paid.2019.109547</w:t>
      </w:r>
    </w:p>
    <w:p w14:paraId="4B7C826F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Duckworth, A. L., &amp; Gross, J. J. (2024). Self-control.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Handbook of emotion regulation, 3rd ed</w:t>
      </w:r>
      <w:r w:rsidRPr="00B26019">
        <w:rPr>
          <w:rFonts w:ascii="Times New Roman" w:hAnsi="Times New Roman" w:cs="Times New Roman"/>
          <w:sz w:val="24"/>
          <w:szCs w:val="24"/>
        </w:rPr>
        <w:t xml:space="preserve"> (pp. 250–257). The Guilford Press.</w:t>
      </w:r>
    </w:p>
    <w:p w14:paraId="02A4BD36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Funder, D. C., &amp; Ozer, D. J. (2019). Evaluating Effect Size in Psychological Research: Sense and Nonsense.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Advances in Methods and Practices in Psychological Science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26019">
        <w:rPr>
          <w:rFonts w:ascii="Times New Roman" w:hAnsi="Times New Roman" w:cs="Times New Roman"/>
          <w:sz w:val="24"/>
          <w:szCs w:val="24"/>
        </w:rPr>
        <w:t>(2), 156–168. https://doi.org/10.1177/2515245919847202</w:t>
      </w:r>
    </w:p>
    <w:p w14:paraId="04FB6EC7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Garrido, S. J., Morán, V., Azpilicueta, A. E., Cortez, F., </w:t>
      </w:r>
      <w:proofErr w:type="spellStart"/>
      <w:r w:rsidRPr="00B26019">
        <w:rPr>
          <w:rFonts w:ascii="Times New Roman" w:hAnsi="Times New Roman" w:cs="Times New Roman"/>
          <w:sz w:val="24"/>
          <w:szCs w:val="24"/>
          <w:lang w:val="es-ES"/>
        </w:rPr>
        <w:t>Arbach</w:t>
      </w:r>
      <w:proofErr w:type="spellEnd"/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, K., &amp; Cupani, M. (2018). Análisis de Modelos Rivales Unidimensionales y Bidimensionales de la Escala Breve de Autocontrol en Estudiantes Universitarios Argentinos. </w:t>
      </w:r>
      <w:proofErr w:type="spellStart"/>
      <w:r w:rsidRPr="00B26019">
        <w:rPr>
          <w:rFonts w:ascii="Times New Roman" w:hAnsi="Times New Roman" w:cs="Times New Roman"/>
          <w:i/>
          <w:iCs/>
          <w:sz w:val="24"/>
          <w:szCs w:val="24"/>
        </w:rPr>
        <w:t>Psicodebate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B26019">
        <w:rPr>
          <w:rFonts w:ascii="Times New Roman" w:hAnsi="Times New Roman" w:cs="Times New Roman"/>
          <w:sz w:val="24"/>
          <w:szCs w:val="24"/>
        </w:rPr>
        <w:t>(2), Article 2. https://doi.org/10.18682/pd.v18i2.745</w:t>
      </w:r>
    </w:p>
    <w:p w14:paraId="3CD57793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Gino, F., Schweitzer, M. E., Mead, N. L.,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Ariely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D. (2011). Unable to resist temptation: How self-control depletion promotes unethical behavior.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Organizational Behavior and Human Decision Processes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115</w:t>
      </w:r>
      <w:r w:rsidRPr="00B26019">
        <w:rPr>
          <w:rFonts w:ascii="Times New Roman" w:hAnsi="Times New Roman" w:cs="Times New Roman"/>
          <w:sz w:val="24"/>
          <w:szCs w:val="24"/>
        </w:rPr>
        <w:t>(2), 191–203. https://doi.org/10.1016/j.obhdp.2011.03.001</w:t>
      </w:r>
    </w:p>
    <w:p w14:paraId="64592479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Graham, J., Haidt, J.,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Koleva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Motyl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Iyer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R., Wojcik, S. P., &amp; Ditto, P. H. (2013). Moral foundations theory: The pragmatic validity of moral pluralism.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Advances in experimental social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 (Vol. 47, pp. 55–130). Elsevier. https://www.sciencedirect.com/science/article/pii/B9780124072367000024</w:t>
      </w:r>
    </w:p>
    <w:p w14:paraId="4AD91DF5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lastRenderedPageBreak/>
        <w:t xml:space="preserve">Graham, J.,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Nosek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B. A., Haidt, J.,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Iyer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Koleva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S., &amp; Ditto, P. H. (2011). Mapping the moral domain.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101</w:t>
      </w:r>
      <w:r w:rsidRPr="00B26019">
        <w:rPr>
          <w:rFonts w:ascii="Times New Roman" w:hAnsi="Times New Roman" w:cs="Times New Roman"/>
          <w:sz w:val="24"/>
          <w:szCs w:val="24"/>
        </w:rPr>
        <w:t>(2), 366–385. https://doi.org/10.1037/a0021847</w:t>
      </w:r>
    </w:p>
    <w:p w14:paraId="065F1E58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Haidt, J. (2013). Moral psychology for the twenty-first century.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Moral Education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B26019">
        <w:rPr>
          <w:rFonts w:ascii="Times New Roman" w:hAnsi="Times New Roman" w:cs="Times New Roman"/>
          <w:sz w:val="24"/>
          <w:szCs w:val="24"/>
        </w:rPr>
        <w:t>(3), 281–297. https://doi.org/10.1080/03057240.2013.817327</w:t>
      </w:r>
    </w:p>
    <w:p w14:paraId="0A1BBD62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Haidt, J., &amp; Graham, J. (2007). When Morality Opposes Justice: Conservatives Have Moral Intuitions that Liberals may not Recognize.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Social Justice Research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B26019">
        <w:rPr>
          <w:rFonts w:ascii="Times New Roman" w:hAnsi="Times New Roman" w:cs="Times New Roman"/>
          <w:sz w:val="24"/>
          <w:szCs w:val="24"/>
        </w:rPr>
        <w:t>(1), 98–116. https://doi.org/10.1007/s11211-007-0034-z</w:t>
      </w:r>
    </w:p>
    <w:p w14:paraId="653D20E8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Haidt, J., &amp; Joseph, C. (2004). Intuitive ethics: How innately prepared intuitions generate culturally variable virtues.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Daedalus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133</w:t>
      </w:r>
      <w:r w:rsidRPr="00B26019">
        <w:rPr>
          <w:rFonts w:ascii="Times New Roman" w:hAnsi="Times New Roman" w:cs="Times New Roman"/>
          <w:sz w:val="24"/>
          <w:szCs w:val="24"/>
        </w:rPr>
        <w:t>(4), 55–66. https://doi.org/10.1162/0011526042365555</w:t>
      </w:r>
    </w:p>
    <w:p w14:paraId="752448FB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Hardee, J. E., Phaneuf, C., Cope, L., Zucker, R.,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Gearhardt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A., &amp; Heitzeg, M. (2020). Neural correlates of inhibitory control in youth with symptoms of food addiction.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Appetite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148</w:t>
      </w:r>
      <w:r w:rsidRPr="00B26019">
        <w:rPr>
          <w:rFonts w:ascii="Times New Roman" w:hAnsi="Times New Roman" w:cs="Times New Roman"/>
          <w:sz w:val="24"/>
          <w:szCs w:val="24"/>
        </w:rPr>
        <w:t>, 104578. https://doi.org/10.1016/j.appet.2019.104578</w:t>
      </w:r>
    </w:p>
    <w:p w14:paraId="0C10CA2F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Hofmann, W. (2024). Going beyond the individual level in self-control research.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Nature Reviews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26019">
        <w:rPr>
          <w:rFonts w:ascii="Times New Roman" w:hAnsi="Times New Roman" w:cs="Times New Roman"/>
          <w:sz w:val="24"/>
          <w:szCs w:val="24"/>
        </w:rPr>
        <w:t>(1), 56–66. https://doi.org/10.1038/s44159-023-00256-y</w:t>
      </w:r>
    </w:p>
    <w:p w14:paraId="7B29306E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Hofmann, W.,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Meindl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Mooijman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&amp; Graham, J. (2018). Morality and Self-Control: How They Are Intertwined and Where They Differ. </w:t>
      </w:r>
      <w:proofErr w:type="spellStart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Current</w:t>
      </w:r>
      <w:proofErr w:type="spellEnd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Directions</w:t>
      </w:r>
      <w:proofErr w:type="spellEnd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in </w:t>
      </w:r>
      <w:proofErr w:type="spellStart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Psychological</w:t>
      </w:r>
      <w:proofErr w:type="spellEnd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Science</w:t>
      </w:r>
      <w:proofErr w:type="spellEnd"/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27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>(4), 286–291. https://doi.org/10.1177/0963721418759317</w:t>
      </w:r>
    </w:p>
    <w:p w14:paraId="7633F779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Instituto Nacional de </w:t>
      </w:r>
      <w:proofErr w:type="spellStart"/>
      <w:r w:rsidRPr="00B26019">
        <w:rPr>
          <w:rFonts w:ascii="Times New Roman" w:hAnsi="Times New Roman" w:cs="Times New Roman"/>
          <w:sz w:val="24"/>
          <w:szCs w:val="24"/>
          <w:lang w:val="es-ES"/>
        </w:rPr>
        <w:t>Estadisticas</w:t>
      </w:r>
      <w:proofErr w:type="spellEnd"/>
      <w:r w:rsidRPr="00B26019">
        <w:rPr>
          <w:rFonts w:ascii="Times New Roman" w:hAnsi="Times New Roman" w:cs="Times New Roman"/>
          <w:sz w:val="24"/>
          <w:szCs w:val="24"/>
          <w:lang w:val="es-ES"/>
        </w:rPr>
        <w:t>. (</w:t>
      </w:r>
      <w:proofErr w:type="spellStart"/>
      <w:r w:rsidRPr="00B26019">
        <w:rPr>
          <w:rFonts w:ascii="Times New Roman" w:hAnsi="Times New Roman" w:cs="Times New Roman"/>
          <w:sz w:val="24"/>
          <w:szCs w:val="24"/>
          <w:lang w:val="es-ES"/>
        </w:rPr>
        <w:t>n.d</w:t>
      </w:r>
      <w:proofErr w:type="spellEnd"/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.). Proyecciones de Población, Revisión 2020.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INE</w:t>
      </w:r>
      <w:r w:rsidRPr="00B26019">
        <w:rPr>
          <w:rFonts w:ascii="Times New Roman" w:hAnsi="Times New Roman" w:cs="Times New Roman"/>
          <w:sz w:val="24"/>
          <w:szCs w:val="24"/>
        </w:rPr>
        <w:t>. Retrieved July 30, 2024, from https://www.ine.gob.bo/index.php/censos-y-proyecciones-de-poblacion-sociales/</w:t>
      </w:r>
    </w:p>
    <w:p w14:paraId="42A9E58D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Inzlicht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&amp; Berkman, E. (2015). Six Questions for the Resource Model of Control (and Some Answers).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Social and Personality Psychology Compass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B26019">
        <w:rPr>
          <w:rFonts w:ascii="Times New Roman" w:hAnsi="Times New Roman" w:cs="Times New Roman"/>
          <w:sz w:val="24"/>
          <w:szCs w:val="24"/>
        </w:rPr>
        <w:t>(10), 511–524. https://doi.org/10.1111/spc3.12200</w:t>
      </w:r>
    </w:p>
    <w:p w14:paraId="0AD83129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Joosten, A.,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Dijke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 van,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Hiel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 V., &amp; Cremer, D. D. (2015). Out of Control!? How Loss of Self-Control Influences Prosocial Behavior: The Role of Power and Moral Values.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26019">
        <w:rPr>
          <w:rFonts w:ascii="Times New Roman" w:hAnsi="Times New Roman" w:cs="Times New Roman"/>
          <w:sz w:val="24"/>
          <w:szCs w:val="24"/>
        </w:rPr>
        <w:t>(5), e0126377. https://doi.org/10.1371/journal.pone.0126377</w:t>
      </w:r>
    </w:p>
    <w:p w14:paraId="22E2AAB1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Kim, Y., Richards, J. S.,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Oldehinkel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 J. (2022). Self-control, Mental Health Problems, and Family Functioning in Adolescence and Young Adulthood: Between-person Differences </w:t>
      </w:r>
      <w:r w:rsidRPr="00B26019">
        <w:rPr>
          <w:rFonts w:ascii="Times New Roman" w:hAnsi="Times New Roman" w:cs="Times New Roman"/>
          <w:sz w:val="24"/>
          <w:szCs w:val="24"/>
        </w:rPr>
        <w:lastRenderedPageBreak/>
        <w:t xml:space="preserve">and Within-person Effects.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Youth and Adolescence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B26019">
        <w:rPr>
          <w:rFonts w:ascii="Times New Roman" w:hAnsi="Times New Roman" w:cs="Times New Roman"/>
          <w:sz w:val="24"/>
          <w:szCs w:val="24"/>
        </w:rPr>
        <w:t>(6), 1181–1195. https://doi.org/10.1007/s10964-021-01564-3</w:t>
      </w:r>
    </w:p>
    <w:p w14:paraId="6CBB1600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Krettenauer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T. (2022). Development of moral identity: From the age of responsibility to adult maturity.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Developmental Review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B26019">
        <w:rPr>
          <w:rFonts w:ascii="Times New Roman" w:hAnsi="Times New Roman" w:cs="Times New Roman"/>
          <w:sz w:val="24"/>
          <w:szCs w:val="24"/>
        </w:rPr>
        <w:t>, 101036. https://www.sciencedirect.com/science/article/pii/S0273229722000260</w:t>
      </w:r>
    </w:p>
    <w:p w14:paraId="6047E5B3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Li, J.-B.,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Vazsonyi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 T., &amp; Dou, K. (2018). Is individualism-collectivism associated with self-control? Evidence from Chinese and U.S. samples.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B26019">
        <w:rPr>
          <w:rFonts w:ascii="Times New Roman" w:hAnsi="Times New Roman" w:cs="Times New Roman"/>
          <w:sz w:val="24"/>
          <w:szCs w:val="24"/>
        </w:rPr>
        <w:t>(12), e0208541. https://doi.org/10.1371/journal.pone.0208541</w:t>
      </w:r>
    </w:p>
    <w:p w14:paraId="4143ECDA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Li, S., Ren, P., Chiu, M. M., Wang, C., &amp; Lei, H. (2021). The Relationship Between Self-Control and Internet Addiction Among Students: A Meta-Analysis.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B26019">
        <w:rPr>
          <w:rFonts w:ascii="Times New Roman" w:hAnsi="Times New Roman" w:cs="Times New Roman"/>
          <w:sz w:val="24"/>
          <w:szCs w:val="24"/>
        </w:rPr>
        <w:t>. https://doi.org/10.3389/fpsyg.2021.735755</w:t>
      </w:r>
    </w:p>
    <w:p w14:paraId="65E24574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Lindner, C., Nagy, G.,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Retelsdorf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J. (2015). The dimensionality of the Brief Self-Control Scale—An evaluation of unidimensional and multidimensional applications.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B26019">
        <w:rPr>
          <w:rFonts w:ascii="Times New Roman" w:hAnsi="Times New Roman" w:cs="Times New Roman"/>
          <w:sz w:val="24"/>
          <w:szCs w:val="24"/>
        </w:rPr>
        <w:t>, 465–473. https://doi.org/10.1016/j.paid.2015.07.006</w:t>
      </w:r>
    </w:p>
    <w:p w14:paraId="348F6050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Mooijman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Meindl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P., &amp; Graham, J. (2020). Moralizing Self-Control. In A. R. Mele (Ed.),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Surrounding Self-Control</w:t>
      </w:r>
      <w:r w:rsidRPr="00B26019">
        <w:rPr>
          <w:rFonts w:ascii="Times New Roman" w:hAnsi="Times New Roman" w:cs="Times New Roman"/>
          <w:sz w:val="24"/>
          <w:szCs w:val="24"/>
        </w:rPr>
        <w:t xml:space="preserve"> (p. 0). Oxford University Press. https://doi.org/10.1093/oso/9780197500941.003.0014</w:t>
      </w:r>
    </w:p>
    <w:p w14:paraId="7B6EA97C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Mooijman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Meindl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Oyserman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Monterosso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Dehghani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Doris, J. M., &amp; Graham, J. (2018). Resisting temptation for the good of the group: Binding moral values and the moralization of self-control.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115</w:t>
      </w:r>
      <w:r w:rsidRPr="00B26019">
        <w:rPr>
          <w:rFonts w:ascii="Times New Roman" w:hAnsi="Times New Roman" w:cs="Times New Roman"/>
          <w:sz w:val="24"/>
          <w:szCs w:val="24"/>
        </w:rPr>
        <w:t>(3), 585–599. https://doi.org/10.1037/pspp0000149</w:t>
      </w:r>
    </w:p>
    <w:p w14:paraId="5F6904BD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Olivera La Rosa, A., &amp; Saldarriaga, L. (2017).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Fundaciones Morales en Colombia y su Relación con Actitudes Sexistas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>. https://doi.org/10.13140/RG.2.2.30982.27203</w:t>
      </w:r>
    </w:p>
    <w:p w14:paraId="5AE7A8E4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Pennington, C. R., Monk, R. L., Qureshi, A. W., &amp; Heim, D. (2019). Alcohol belongs here: Assessing alcohol-related inhibitory control with a contextual go/no-go task.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Experimental and Clinical Psychopharmacology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26019">
        <w:rPr>
          <w:rFonts w:ascii="Times New Roman" w:hAnsi="Times New Roman" w:cs="Times New Roman"/>
          <w:sz w:val="24"/>
          <w:szCs w:val="24"/>
        </w:rPr>
        <w:t>(5), 455–465. https://doi.org/10.1037/pha0000256</w:t>
      </w:r>
    </w:p>
    <w:p w14:paraId="044711B1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Pilarska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A., &amp; Baumeister, R. F. (2018). Psychometric properties and correlates of the Polish version of the Self-Control Scale (SCS).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Polish Psychological Bulletin</w:t>
      </w:r>
      <w:r w:rsidRPr="00B26019">
        <w:rPr>
          <w:rFonts w:ascii="Times New Roman" w:hAnsi="Times New Roman" w:cs="Times New Roman"/>
          <w:sz w:val="24"/>
          <w:szCs w:val="24"/>
        </w:rPr>
        <w:t xml:space="preserve"> (Vol. 49, Issue No 1: Motivation and Social Perception: Theory and Practice). Committee for Psychological Science PAS. https://doi.org/10.24425/119476</w:t>
      </w:r>
    </w:p>
    <w:p w14:paraId="357E6521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lastRenderedPageBreak/>
        <w:t xml:space="preserve">Robson, D. A., Allen, M. S., &amp; Howard, S. J. (2020). Self-regulation in childhood as a predictor of future outcomes: A meta-analytic review.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146</w:t>
      </w:r>
      <w:r w:rsidRPr="00B26019">
        <w:rPr>
          <w:rFonts w:ascii="Times New Roman" w:hAnsi="Times New Roman" w:cs="Times New Roman"/>
          <w:sz w:val="24"/>
          <w:szCs w:val="24"/>
        </w:rPr>
        <w:t>(4), 324. https://psycnet.apa.org/fulltext/2020-00476-001.html</w:t>
      </w:r>
    </w:p>
    <w:p w14:paraId="4CFA74CF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Rozin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P. (1999). The Process of Moralization.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Science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26019">
        <w:rPr>
          <w:rFonts w:ascii="Times New Roman" w:hAnsi="Times New Roman" w:cs="Times New Roman"/>
          <w:sz w:val="24"/>
          <w:szCs w:val="24"/>
        </w:rPr>
        <w:t>(3), 218–221. https://doi.org/10.1111/1467-9280.00139</w:t>
      </w:r>
    </w:p>
    <w:p w14:paraId="3F601087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Rozin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Markwith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Stoess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C. (1997). Moralization and Becoming a Vegetarian: The Transformation of Preferences </w:t>
      </w:r>
      <w:proofErr w:type="gramStart"/>
      <w:r w:rsidRPr="00B26019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B26019">
        <w:rPr>
          <w:rFonts w:ascii="Times New Roman" w:hAnsi="Times New Roman" w:cs="Times New Roman"/>
          <w:sz w:val="24"/>
          <w:szCs w:val="24"/>
        </w:rPr>
        <w:t xml:space="preserve"> Values and the Recruitment of Disgust.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Psychological Science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26019">
        <w:rPr>
          <w:rFonts w:ascii="Times New Roman" w:hAnsi="Times New Roman" w:cs="Times New Roman"/>
          <w:sz w:val="24"/>
          <w:szCs w:val="24"/>
        </w:rPr>
        <w:t>(2), 67–73. https://doi.org/10.1111/j.1467-9280.1997.tb00685.x</w:t>
      </w:r>
    </w:p>
    <w:p w14:paraId="6366D106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Schloss, J. P. (2017). Darwinian Explanations of Morality: Accounting for the Normal but not the Normative.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Understanding Moral Sentiments</w:t>
      </w:r>
      <w:r w:rsidRPr="00B26019">
        <w:rPr>
          <w:rFonts w:ascii="Times New Roman" w:hAnsi="Times New Roman" w:cs="Times New Roman"/>
          <w:sz w:val="24"/>
          <w:szCs w:val="24"/>
        </w:rPr>
        <w:t xml:space="preserve"> (pp. 81–122). Routledge. https://www.taylorfrancis.com/chapters/edit/10.4324/9781351296281-6/darwinian-explanations-morality-accounting-normal-normative-jeffrey-schloss</w:t>
      </w:r>
    </w:p>
    <w:p w14:paraId="7A6DC60B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  <w:lang w:val="es-ES"/>
        </w:rPr>
        <w:t xml:space="preserve">Silver, E., &amp; Silver, J. R. (2021). </w:t>
      </w:r>
      <w:r w:rsidRPr="00B26019">
        <w:rPr>
          <w:rFonts w:ascii="Times New Roman" w:hAnsi="Times New Roman" w:cs="Times New Roman"/>
          <w:sz w:val="24"/>
          <w:szCs w:val="24"/>
        </w:rPr>
        <w:t xml:space="preserve">Morality and Self-Control: The Role of Binding and Individualizing Moral Motives.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Deviant Behavior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B26019">
        <w:rPr>
          <w:rFonts w:ascii="Times New Roman" w:hAnsi="Times New Roman" w:cs="Times New Roman"/>
          <w:sz w:val="24"/>
          <w:szCs w:val="24"/>
        </w:rPr>
        <w:t>(3), 366–385. https://doi.org/10.1080/01639625.2019.1678580</w:t>
      </w:r>
    </w:p>
    <w:p w14:paraId="60537F4B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Skinner, B. F. (1953). Some contributions of an experimental analysis of behavior to </w:t>
      </w:r>
      <w:proofErr w:type="gramStart"/>
      <w:r w:rsidRPr="00B26019">
        <w:rPr>
          <w:rFonts w:ascii="Times New Roman" w:hAnsi="Times New Roman" w:cs="Times New Roman"/>
          <w:sz w:val="24"/>
          <w:szCs w:val="24"/>
        </w:rPr>
        <w:t>psychology as a whole</w:t>
      </w:r>
      <w:proofErr w:type="gramEnd"/>
      <w:r w:rsidRPr="00B26019">
        <w:rPr>
          <w:rFonts w:ascii="Times New Roman" w:hAnsi="Times New Roman" w:cs="Times New Roman"/>
          <w:sz w:val="24"/>
          <w:szCs w:val="24"/>
        </w:rPr>
        <w:t xml:space="preserve">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American Psychologist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26019">
        <w:rPr>
          <w:rFonts w:ascii="Times New Roman" w:hAnsi="Times New Roman" w:cs="Times New Roman"/>
          <w:sz w:val="24"/>
          <w:szCs w:val="24"/>
        </w:rPr>
        <w:t>(2), 69. https://psycnet.apa.org/journals/amp/8/2/69/</w:t>
      </w:r>
    </w:p>
    <w:p w14:paraId="7E473E47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Skinner, B. F. (1982). </w:t>
      </w:r>
      <w:r w:rsidRPr="00B26019">
        <w:rPr>
          <w:rFonts w:ascii="Times New Roman" w:hAnsi="Times New Roman" w:cs="Times New Roman"/>
          <w:i/>
          <w:iCs/>
          <w:sz w:val="24"/>
          <w:szCs w:val="24"/>
          <w:lang w:val="es-ES"/>
        </w:rPr>
        <w:t>Reflexiones sobre conductismo y sociedad</w:t>
      </w:r>
      <w:r w:rsidRPr="00B26019">
        <w:rPr>
          <w:rFonts w:ascii="Times New Roman" w:hAnsi="Times New Roman" w:cs="Times New Roman"/>
          <w:sz w:val="24"/>
          <w:szCs w:val="24"/>
          <w:lang w:val="es-ES"/>
        </w:rPr>
        <w:t>. Trillas México, DF. https://conductitlan.org.mx/02_bfskinner/skinner/3.%20reflexiones_conductismo_sociedad_skinner.pdf</w:t>
      </w:r>
    </w:p>
    <w:p w14:paraId="0E2D286D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Sullivan, G. M.,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Feinn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R. (2012). Using Effect Size—Or Why the P Value Is Not Enough.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Graduate Medical Education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26019">
        <w:rPr>
          <w:rFonts w:ascii="Times New Roman" w:hAnsi="Times New Roman" w:cs="Times New Roman"/>
          <w:sz w:val="24"/>
          <w:szCs w:val="24"/>
        </w:rPr>
        <w:t>(3), 279–282. https://doi.org/10.4300/JGME-D-12-00156.1</w:t>
      </w:r>
    </w:p>
    <w:p w14:paraId="7574902C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Tangney, J. P., Boone, A. L., &amp; Baumeister, R. F. (2018). High self-control predicts good adjustment, less pathology, better grades, and interpersonal success. In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Self-regulation and self-control</w:t>
      </w:r>
      <w:r w:rsidRPr="00B26019">
        <w:rPr>
          <w:rFonts w:ascii="Times New Roman" w:hAnsi="Times New Roman" w:cs="Times New Roman"/>
          <w:sz w:val="24"/>
          <w:szCs w:val="24"/>
        </w:rPr>
        <w:t xml:space="preserve"> (pp. 173–212). Routledge. https://www.taylorfrancis.com/chapters/edit/10.4324/9781315175775-5/high-self-control-predicts-good-adjustment-less-pathology-better-grades-interpersonal-success-june-tangney-angie-luzio-boone-roy-baumeister</w:t>
      </w:r>
    </w:p>
    <w:p w14:paraId="13CBD921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lastRenderedPageBreak/>
        <w:t xml:space="preserve">Wikström, P.-O. H.,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Svensson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R. (2010). When does self-control matter? The interaction between morality and self-control in crime causation.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European Journal of Criminology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26019">
        <w:rPr>
          <w:rFonts w:ascii="Times New Roman" w:hAnsi="Times New Roman" w:cs="Times New Roman"/>
          <w:sz w:val="24"/>
          <w:szCs w:val="24"/>
        </w:rPr>
        <w:t>(5), 395–410. https://doi.org/10.1177/1477370810372132</w:t>
      </w:r>
    </w:p>
    <w:p w14:paraId="0E558542" w14:textId="5C102AC4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Wu, C.C., Wu, W.-H.,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Chiou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W.-B. (2017). Construing Morality at High versus Low Levels Induces Better Self-control, Leading to Moral Acts.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B26019">
        <w:rPr>
          <w:rFonts w:ascii="Times New Roman" w:hAnsi="Times New Roman" w:cs="Times New Roman"/>
          <w:sz w:val="24"/>
          <w:szCs w:val="24"/>
        </w:rPr>
        <w:t>. https://doi.org/10.3389/fpsyg.2017.01041</w:t>
      </w:r>
    </w:p>
    <w:p w14:paraId="01E5E649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Bagozzi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R. P.,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Grønhaug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K. (2019). The impact of corporate social responsibility on consumer brand advocacy: The role of moral emotions, attitudes, and individual differences.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Journal of Business Research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B26019">
        <w:rPr>
          <w:rFonts w:ascii="Times New Roman" w:hAnsi="Times New Roman" w:cs="Times New Roman"/>
          <w:sz w:val="24"/>
          <w:szCs w:val="24"/>
        </w:rPr>
        <w:t>, 514–530. https://doi.org/10.1016/j.jbusres.2018.07.043</w:t>
      </w:r>
    </w:p>
    <w:p w14:paraId="6BC01F90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 xml:space="preserve">Zahn, R., de Oliveira-Souza, R., &amp; Moll, J. (2020). Moral Motivation and the Basal Forebrain.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Neuroscience &amp; Biobehavioral Reviews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108</w:t>
      </w:r>
      <w:r w:rsidRPr="00B26019">
        <w:rPr>
          <w:rFonts w:ascii="Times New Roman" w:hAnsi="Times New Roman" w:cs="Times New Roman"/>
          <w:sz w:val="24"/>
          <w:szCs w:val="24"/>
        </w:rPr>
        <w:t>, 207–217. https://doi.org/10.1016/j.neubiorev.2019.10.022</w:t>
      </w:r>
    </w:p>
    <w:p w14:paraId="4487B520" w14:textId="57476577" w:rsidR="00E729BF" w:rsidRPr="000F1EC6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B26019">
        <w:rPr>
          <w:rFonts w:ascii="Times New Roman" w:hAnsi="Times New Roman" w:cs="Times New Roman"/>
          <w:sz w:val="24"/>
          <w:szCs w:val="24"/>
        </w:rPr>
        <w:t>Zakharin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M., &amp; Bates, T. C. (2021). Remapping the foundations of morality: Well-fitting structural model of the Moral Foundations Questionnaire. </w:t>
      </w:r>
      <w:r w:rsidRPr="000F1EC6">
        <w:rPr>
          <w:rFonts w:ascii="Times New Roman" w:hAnsi="Times New Roman" w:cs="Times New Roman"/>
          <w:i/>
          <w:iCs/>
          <w:sz w:val="24"/>
          <w:szCs w:val="24"/>
          <w:lang w:val="es-ES"/>
        </w:rPr>
        <w:t>PLOS ONE</w:t>
      </w:r>
      <w:r w:rsidRPr="000F1E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0F1EC6">
        <w:rPr>
          <w:rFonts w:ascii="Times New Roman" w:hAnsi="Times New Roman" w:cs="Times New Roman"/>
          <w:i/>
          <w:iCs/>
          <w:sz w:val="24"/>
          <w:szCs w:val="24"/>
          <w:lang w:val="es-ES"/>
        </w:rPr>
        <w:t>16</w:t>
      </w:r>
      <w:r w:rsidRPr="000F1EC6">
        <w:rPr>
          <w:rFonts w:ascii="Times New Roman" w:hAnsi="Times New Roman" w:cs="Times New Roman"/>
          <w:sz w:val="24"/>
          <w:szCs w:val="24"/>
          <w:lang w:val="es-ES"/>
        </w:rPr>
        <w:t>(10), e0258910. https://doi.org/10.1371/journal.pone.0258910</w:t>
      </w:r>
    </w:p>
    <w:p w14:paraId="690C5A00" w14:textId="62FF2B70" w:rsidR="000F1EC6" w:rsidRPr="000F1EC6" w:rsidRDefault="000F1EC6" w:rsidP="00CC2484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F1EC6">
        <w:rPr>
          <w:rFonts w:ascii="Times New Roman" w:eastAsia="Times New Roman" w:hAnsi="Times New Roman" w:cs="Times New Roman"/>
          <w:sz w:val="24"/>
          <w:szCs w:val="24"/>
        </w:rPr>
        <w:t xml:space="preserve">Zhang, W. (2015). Calculation and statistic test of partial correlation of general correlation measures. </w:t>
      </w:r>
      <w:proofErr w:type="spellStart"/>
      <w:r w:rsidRPr="000F1EC6">
        <w:rPr>
          <w:rFonts w:ascii="Times New Roman" w:eastAsia="Times New Roman" w:hAnsi="Times New Roman" w:cs="Times New Roman"/>
          <w:i/>
          <w:iCs/>
          <w:sz w:val="24"/>
          <w:szCs w:val="24"/>
        </w:rPr>
        <w:t>Selforganizology</w:t>
      </w:r>
      <w:proofErr w:type="spellEnd"/>
      <w:r w:rsidRPr="000F1E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1EC6">
        <w:rPr>
          <w:rFonts w:ascii="Times New Roman" w:eastAsia="Times New Roman" w:hAnsi="Times New Roman" w:cs="Times New Roman"/>
          <w:sz w:val="24"/>
          <w:szCs w:val="24"/>
        </w:rPr>
        <w:tab/>
        <w:t>2(4),</w:t>
      </w:r>
      <w:r w:rsidRPr="000F1EC6">
        <w:rPr>
          <w:rFonts w:ascii="Times New Roman" w:eastAsia="Times New Roman" w:hAnsi="Times New Roman" w:cs="Times New Roman"/>
          <w:sz w:val="24"/>
          <w:szCs w:val="24"/>
        </w:rPr>
        <w:tab/>
        <w:t>65-77.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1EC6">
        <w:rPr>
          <w:rFonts w:ascii="Times New Roman" w:eastAsia="Times New Roman" w:hAnsi="Times New Roman" w:cs="Times New Roman"/>
          <w:sz w:val="24"/>
          <w:szCs w:val="24"/>
        </w:rPr>
        <w:t>http://www.iaees.org/publications/journals/selforganizology/online•version.asp</w:t>
      </w:r>
      <w:r w:rsidRPr="000F1EC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14:paraId="253C6711" w14:textId="77777777" w:rsidR="00E729BF" w:rsidRPr="00B26019" w:rsidRDefault="00E729BF" w:rsidP="00CC2484">
      <w:pPr>
        <w:pStyle w:val="Bibliograph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19">
        <w:rPr>
          <w:rFonts w:ascii="Times New Roman" w:hAnsi="Times New Roman" w:cs="Times New Roman"/>
          <w:sz w:val="24"/>
          <w:szCs w:val="24"/>
        </w:rPr>
        <w:t>Zondervan-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Zwijnenburg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M. A. J., Richards, J. S.,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Kevenaar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 T., Becht, A. I.,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Hoijtink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H. J. A.,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Oldehinkel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A. J.,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Branje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Meeus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W., &amp; </w:t>
      </w:r>
      <w:proofErr w:type="spellStart"/>
      <w:r w:rsidRPr="00B26019">
        <w:rPr>
          <w:rFonts w:ascii="Times New Roman" w:hAnsi="Times New Roman" w:cs="Times New Roman"/>
          <w:sz w:val="24"/>
          <w:szCs w:val="24"/>
        </w:rPr>
        <w:t>Boomsma</w:t>
      </w:r>
      <w:proofErr w:type="spellEnd"/>
      <w:r w:rsidRPr="00B26019">
        <w:rPr>
          <w:rFonts w:ascii="Times New Roman" w:hAnsi="Times New Roman" w:cs="Times New Roman"/>
          <w:sz w:val="24"/>
          <w:szCs w:val="24"/>
        </w:rPr>
        <w:t xml:space="preserve">, D. I. (2020). Robust longitudinal multi-cohort results: The development of self-control during adolescence.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Developmental Cognitive Neuroscience</w:t>
      </w:r>
      <w:r w:rsidRPr="00B26019">
        <w:rPr>
          <w:rFonts w:ascii="Times New Roman" w:hAnsi="Times New Roman" w:cs="Times New Roman"/>
          <w:sz w:val="24"/>
          <w:szCs w:val="24"/>
        </w:rPr>
        <w:t xml:space="preserve">, </w:t>
      </w:r>
      <w:r w:rsidRPr="00B26019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B26019">
        <w:rPr>
          <w:rFonts w:ascii="Times New Roman" w:hAnsi="Times New Roman" w:cs="Times New Roman"/>
          <w:sz w:val="24"/>
          <w:szCs w:val="24"/>
        </w:rPr>
        <w:t>, 100817. https://doi.org/10.1016/j.dcn.2020.100817</w:t>
      </w:r>
    </w:p>
    <w:p w14:paraId="5BCA65F8" w14:textId="19D31943" w:rsidR="00E75E33" w:rsidRPr="00B26019" w:rsidRDefault="00E75E33" w:rsidP="00CC2484">
      <w:pPr>
        <w:widowControl w:val="0"/>
        <w:tabs>
          <w:tab w:val="left" w:pos="284"/>
        </w:tabs>
        <w:autoSpaceDE w:val="0"/>
        <w:autoSpaceDN w:val="0"/>
        <w:spacing w:before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75E33" w:rsidRPr="00B26019" w:rsidSect="005C35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D6DC" w14:textId="77777777" w:rsidR="006D2519" w:rsidRDefault="006D2519">
      <w:pPr>
        <w:spacing w:after="0" w:line="240" w:lineRule="auto"/>
      </w:pPr>
      <w:r>
        <w:separator/>
      </w:r>
    </w:p>
  </w:endnote>
  <w:endnote w:type="continuationSeparator" w:id="0">
    <w:p w14:paraId="4713388A" w14:textId="77777777" w:rsidR="006D2519" w:rsidRDefault="006D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E10A" w14:textId="77777777" w:rsidR="006D2519" w:rsidRDefault="006D2519">
      <w:pPr>
        <w:spacing w:after="0" w:line="240" w:lineRule="auto"/>
      </w:pPr>
      <w:r>
        <w:separator/>
      </w:r>
    </w:p>
  </w:footnote>
  <w:footnote w:type="continuationSeparator" w:id="0">
    <w:p w14:paraId="2CDC712B" w14:textId="77777777" w:rsidR="006D2519" w:rsidRDefault="006D2519">
      <w:pPr>
        <w:spacing w:after="0" w:line="240" w:lineRule="auto"/>
      </w:pPr>
      <w:r>
        <w:continuationSeparator/>
      </w:r>
    </w:p>
  </w:footnote>
  <w:footnote w:id="1">
    <w:p w14:paraId="74E5BB4E" w14:textId="77777777" w:rsidR="00275211" w:rsidRDefault="005C351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7521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75211">
        <w:rPr>
          <w:rFonts w:ascii="Times New Roman" w:hAnsi="Times New Roman" w:cs="Times New Roman"/>
          <w:sz w:val="24"/>
          <w:szCs w:val="24"/>
        </w:rPr>
        <w:t xml:space="preserve"> </w:t>
      </w:r>
      <w:r w:rsidR="00275211" w:rsidRPr="00275211">
        <w:rPr>
          <w:rFonts w:ascii="Times New Roman" w:hAnsi="Times New Roman" w:cs="Times New Roman"/>
          <w:sz w:val="22"/>
          <w:szCs w:val="22"/>
        </w:rPr>
        <w:t xml:space="preserve">The authors declare to have no conflict of interest </w:t>
      </w:r>
      <w:r w:rsidR="00275211" w:rsidRPr="00275211">
        <w:rPr>
          <w:rFonts w:ascii="Times New Roman" w:hAnsi="Times New Roman" w:cs="Times New Roman"/>
          <w:sz w:val="22"/>
          <w:szCs w:val="22"/>
        </w:rPr>
        <w:t xml:space="preserve">of any type </w:t>
      </w:r>
      <w:r w:rsidR="00275211" w:rsidRPr="00275211">
        <w:rPr>
          <w:rFonts w:ascii="Times New Roman" w:hAnsi="Times New Roman" w:cs="Times New Roman"/>
          <w:sz w:val="22"/>
          <w:szCs w:val="22"/>
        </w:rPr>
        <w:t>regarding the research, authorship, and/or publication of this article.</w:t>
      </w:r>
      <w:r w:rsidR="00275211" w:rsidRPr="002752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1B35E4" w14:textId="15E10767" w:rsidR="005C3517" w:rsidRPr="00275211" w:rsidRDefault="00275211">
      <w:pPr>
        <w:pStyle w:val="FootnoteText"/>
        <w:rPr>
          <w:rFonts w:ascii="Times New Roman" w:hAnsi="Times New Roman" w:cs="Times New Roman"/>
        </w:rPr>
      </w:pPr>
      <w:r w:rsidRPr="00275211">
        <w:rPr>
          <w:rFonts w:ascii="Times New Roman" w:hAnsi="Times New Roman" w:cs="Times New Roman"/>
          <w:sz w:val="22"/>
          <w:szCs w:val="22"/>
        </w:rPr>
        <w:t xml:space="preserve">This research was partially funded by Universidad </w:t>
      </w:r>
      <w:proofErr w:type="spellStart"/>
      <w:r w:rsidRPr="00275211">
        <w:rPr>
          <w:rFonts w:ascii="Times New Roman" w:hAnsi="Times New Roman" w:cs="Times New Roman"/>
          <w:sz w:val="22"/>
          <w:szCs w:val="22"/>
        </w:rPr>
        <w:t>Católica</w:t>
      </w:r>
      <w:proofErr w:type="spellEnd"/>
      <w:r w:rsidRPr="002752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75211">
        <w:rPr>
          <w:rFonts w:ascii="Times New Roman" w:hAnsi="Times New Roman" w:cs="Times New Roman"/>
          <w:sz w:val="22"/>
          <w:szCs w:val="22"/>
        </w:rPr>
        <w:t>Boliviana</w:t>
      </w:r>
      <w:proofErr w:type="spellEnd"/>
      <w:r w:rsidRPr="00275211">
        <w:rPr>
          <w:rFonts w:ascii="Times New Roman" w:hAnsi="Times New Roman" w:cs="Times New Roman"/>
          <w:sz w:val="22"/>
          <w:szCs w:val="22"/>
        </w:rPr>
        <w:t xml:space="preserve"> “San Pablo”.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4A38" w14:textId="6FCC28F9" w:rsidR="006906C0" w:rsidRPr="006906C0" w:rsidRDefault="006906C0">
    <w:pPr>
      <w:pStyle w:val="Header"/>
    </w:pPr>
    <w:r w:rsidRPr="006906C0">
      <w:rPr>
        <w:rFonts w:ascii="Times New Roman" w:eastAsia="Times New Roman" w:hAnsi="Times New Roman" w:cs="Times New Roman"/>
        <w:sz w:val="24"/>
        <w:szCs w:val="24"/>
      </w:rPr>
      <w:t xml:space="preserve">SELF-CONTROL MORALIZATION IN YOUNG ADULTS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7F1"/>
    <w:multiLevelType w:val="hybridMultilevel"/>
    <w:tmpl w:val="DA0CAB3E"/>
    <w:lvl w:ilvl="0" w:tplc="CCE4D45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6AFB"/>
    <w:multiLevelType w:val="hybridMultilevel"/>
    <w:tmpl w:val="0BCC0D8C"/>
    <w:lvl w:ilvl="0" w:tplc="396C5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854"/>
    <w:multiLevelType w:val="hybridMultilevel"/>
    <w:tmpl w:val="69CC5232"/>
    <w:lvl w:ilvl="0" w:tplc="AE3805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D0F1A"/>
        <w:w w:val="99"/>
        <w:sz w:val="24"/>
        <w:szCs w:val="24"/>
        <w:lang w:val="en-US" w:eastAsia="en-US" w:bidi="ar-SA"/>
      </w:rPr>
    </w:lvl>
    <w:lvl w:ilvl="1" w:tplc="6E2CF81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953ED790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3" w:tplc="54EE7E12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4" w:tplc="12F0029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5" w:tplc="AE069AB8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6" w:tplc="FE50D64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  <w:lvl w:ilvl="7" w:tplc="38D00E36">
      <w:numFmt w:val="bullet"/>
      <w:lvlText w:val="•"/>
      <w:lvlJc w:val="left"/>
      <w:pPr>
        <w:ind w:left="9174" w:hanging="360"/>
      </w:pPr>
      <w:rPr>
        <w:rFonts w:hint="default"/>
        <w:lang w:val="en-US" w:eastAsia="en-US" w:bidi="ar-SA"/>
      </w:rPr>
    </w:lvl>
    <w:lvl w:ilvl="8" w:tplc="AB9C1788">
      <w:numFmt w:val="bullet"/>
      <w:lvlText w:val="•"/>
      <w:lvlJc w:val="left"/>
      <w:pPr>
        <w:ind w:left="101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905AA7"/>
    <w:multiLevelType w:val="multilevel"/>
    <w:tmpl w:val="3934055A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i/>
        <w:iCs/>
        <w:color w:val="0D0F1A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47034A"/>
    <w:multiLevelType w:val="hybridMultilevel"/>
    <w:tmpl w:val="D52C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57AA2"/>
    <w:multiLevelType w:val="hybridMultilevel"/>
    <w:tmpl w:val="D938C7E8"/>
    <w:lvl w:ilvl="0" w:tplc="2C88D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50493">
    <w:abstractNumId w:val="2"/>
  </w:num>
  <w:num w:numId="2" w16cid:durableId="1807508764">
    <w:abstractNumId w:val="3"/>
  </w:num>
  <w:num w:numId="3" w16cid:durableId="484592691">
    <w:abstractNumId w:val="5"/>
  </w:num>
  <w:num w:numId="4" w16cid:durableId="798963200">
    <w:abstractNumId w:val="4"/>
  </w:num>
  <w:num w:numId="5" w16cid:durableId="1309744996">
    <w:abstractNumId w:val="0"/>
  </w:num>
  <w:num w:numId="6" w16cid:durableId="23239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DA"/>
    <w:rsid w:val="000117F5"/>
    <w:rsid w:val="000679F7"/>
    <w:rsid w:val="00077E07"/>
    <w:rsid w:val="000823DA"/>
    <w:rsid w:val="000A30B5"/>
    <w:rsid w:val="000C3F1D"/>
    <w:rsid w:val="000C556F"/>
    <w:rsid w:val="000E6453"/>
    <w:rsid w:val="000F1EC6"/>
    <w:rsid w:val="0010035E"/>
    <w:rsid w:val="001111BB"/>
    <w:rsid w:val="001214EB"/>
    <w:rsid w:val="00132A98"/>
    <w:rsid w:val="00135E5D"/>
    <w:rsid w:val="00140A4B"/>
    <w:rsid w:val="00153305"/>
    <w:rsid w:val="00154B43"/>
    <w:rsid w:val="00177783"/>
    <w:rsid w:val="0018774D"/>
    <w:rsid w:val="001B55E1"/>
    <w:rsid w:val="001C6FDE"/>
    <w:rsid w:val="001E68C2"/>
    <w:rsid w:val="001E7C61"/>
    <w:rsid w:val="00200954"/>
    <w:rsid w:val="00207288"/>
    <w:rsid w:val="002252CF"/>
    <w:rsid w:val="00243F58"/>
    <w:rsid w:val="00245135"/>
    <w:rsid w:val="00275211"/>
    <w:rsid w:val="00275AC0"/>
    <w:rsid w:val="002862B2"/>
    <w:rsid w:val="002A1D7C"/>
    <w:rsid w:val="002A3D75"/>
    <w:rsid w:val="002B2E4C"/>
    <w:rsid w:val="002C4821"/>
    <w:rsid w:val="002F158A"/>
    <w:rsid w:val="002F182A"/>
    <w:rsid w:val="003007CF"/>
    <w:rsid w:val="0036096E"/>
    <w:rsid w:val="0036624B"/>
    <w:rsid w:val="003771A2"/>
    <w:rsid w:val="00395A0E"/>
    <w:rsid w:val="003A264F"/>
    <w:rsid w:val="003C0FD6"/>
    <w:rsid w:val="003C32B0"/>
    <w:rsid w:val="003C7790"/>
    <w:rsid w:val="003D4450"/>
    <w:rsid w:val="003E22FC"/>
    <w:rsid w:val="003F15CC"/>
    <w:rsid w:val="003F53B8"/>
    <w:rsid w:val="00402F24"/>
    <w:rsid w:val="004329C2"/>
    <w:rsid w:val="004438D8"/>
    <w:rsid w:val="0047300F"/>
    <w:rsid w:val="00477336"/>
    <w:rsid w:val="00490483"/>
    <w:rsid w:val="00497087"/>
    <w:rsid w:val="004A656B"/>
    <w:rsid w:val="004B420A"/>
    <w:rsid w:val="004E2434"/>
    <w:rsid w:val="00504DA3"/>
    <w:rsid w:val="0051754D"/>
    <w:rsid w:val="00521FA9"/>
    <w:rsid w:val="0055159D"/>
    <w:rsid w:val="0056794C"/>
    <w:rsid w:val="00575882"/>
    <w:rsid w:val="00580846"/>
    <w:rsid w:val="005C3517"/>
    <w:rsid w:val="005D04EB"/>
    <w:rsid w:val="005D1AC1"/>
    <w:rsid w:val="005E3226"/>
    <w:rsid w:val="005E49EA"/>
    <w:rsid w:val="006054EE"/>
    <w:rsid w:val="006168E0"/>
    <w:rsid w:val="00642E9C"/>
    <w:rsid w:val="00645EDD"/>
    <w:rsid w:val="00653866"/>
    <w:rsid w:val="00656FB6"/>
    <w:rsid w:val="006611C1"/>
    <w:rsid w:val="006906C0"/>
    <w:rsid w:val="006B34FF"/>
    <w:rsid w:val="006B5E07"/>
    <w:rsid w:val="006D2519"/>
    <w:rsid w:val="006D7E7C"/>
    <w:rsid w:val="00705888"/>
    <w:rsid w:val="00715BB3"/>
    <w:rsid w:val="007A0E4F"/>
    <w:rsid w:val="007B3D02"/>
    <w:rsid w:val="007D49A1"/>
    <w:rsid w:val="00802D7D"/>
    <w:rsid w:val="00817E65"/>
    <w:rsid w:val="00824D0E"/>
    <w:rsid w:val="00842BDA"/>
    <w:rsid w:val="008508BF"/>
    <w:rsid w:val="00864483"/>
    <w:rsid w:val="008803C3"/>
    <w:rsid w:val="00881A2C"/>
    <w:rsid w:val="008A4A3D"/>
    <w:rsid w:val="008C19C4"/>
    <w:rsid w:val="00922F66"/>
    <w:rsid w:val="00927285"/>
    <w:rsid w:val="00942268"/>
    <w:rsid w:val="009715FF"/>
    <w:rsid w:val="00A134D3"/>
    <w:rsid w:val="00A21684"/>
    <w:rsid w:val="00A26DA8"/>
    <w:rsid w:val="00A42FB5"/>
    <w:rsid w:val="00A56CC4"/>
    <w:rsid w:val="00A56EE9"/>
    <w:rsid w:val="00A71212"/>
    <w:rsid w:val="00A72C9A"/>
    <w:rsid w:val="00A81422"/>
    <w:rsid w:val="00AB5ABE"/>
    <w:rsid w:val="00AD630D"/>
    <w:rsid w:val="00AF57D8"/>
    <w:rsid w:val="00B26019"/>
    <w:rsid w:val="00B30B42"/>
    <w:rsid w:val="00B61FB8"/>
    <w:rsid w:val="00B71D76"/>
    <w:rsid w:val="00BA7E0B"/>
    <w:rsid w:val="00BE7E70"/>
    <w:rsid w:val="00C07FEB"/>
    <w:rsid w:val="00C12D0F"/>
    <w:rsid w:val="00C237CE"/>
    <w:rsid w:val="00C5787E"/>
    <w:rsid w:val="00C769A5"/>
    <w:rsid w:val="00C80B4B"/>
    <w:rsid w:val="00C80E90"/>
    <w:rsid w:val="00C904C4"/>
    <w:rsid w:val="00CB6E51"/>
    <w:rsid w:val="00CC2484"/>
    <w:rsid w:val="00CE4E13"/>
    <w:rsid w:val="00CE7569"/>
    <w:rsid w:val="00CF1F56"/>
    <w:rsid w:val="00D1796F"/>
    <w:rsid w:val="00D62B5E"/>
    <w:rsid w:val="00DA7D23"/>
    <w:rsid w:val="00DD7CB7"/>
    <w:rsid w:val="00E015B6"/>
    <w:rsid w:val="00E21810"/>
    <w:rsid w:val="00E343F3"/>
    <w:rsid w:val="00E37FB2"/>
    <w:rsid w:val="00E44BBD"/>
    <w:rsid w:val="00E65749"/>
    <w:rsid w:val="00E663F1"/>
    <w:rsid w:val="00E729BF"/>
    <w:rsid w:val="00E75E33"/>
    <w:rsid w:val="00E76915"/>
    <w:rsid w:val="00E80D38"/>
    <w:rsid w:val="00EA4E7E"/>
    <w:rsid w:val="00ED4D2C"/>
    <w:rsid w:val="00ED70B2"/>
    <w:rsid w:val="00F01E59"/>
    <w:rsid w:val="00F14B83"/>
    <w:rsid w:val="00F179D5"/>
    <w:rsid w:val="00F25CB6"/>
    <w:rsid w:val="00F34C00"/>
    <w:rsid w:val="00F36074"/>
    <w:rsid w:val="00F571F9"/>
    <w:rsid w:val="00F70B64"/>
    <w:rsid w:val="00F75E63"/>
    <w:rsid w:val="00F80059"/>
    <w:rsid w:val="00F8266F"/>
    <w:rsid w:val="00F85CEE"/>
    <w:rsid w:val="00F93680"/>
    <w:rsid w:val="00F9559E"/>
    <w:rsid w:val="00FB5EA6"/>
    <w:rsid w:val="00FD4628"/>
    <w:rsid w:val="00FD7485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5AB7B"/>
  <w15:chartTrackingRefBased/>
  <w15:docId w15:val="{BE0B4205-B120-4C5F-A57E-7E749496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DA8"/>
    <w:pPr>
      <w:widowControl w:val="0"/>
      <w:autoSpaceDE w:val="0"/>
      <w:autoSpaceDN w:val="0"/>
      <w:spacing w:before="183" w:after="0" w:line="480" w:lineRule="auto"/>
      <w:ind w:right="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DA8"/>
    <w:pPr>
      <w:widowControl w:val="0"/>
      <w:tabs>
        <w:tab w:val="left" w:pos="11057"/>
      </w:tabs>
      <w:autoSpaceDE w:val="0"/>
      <w:autoSpaceDN w:val="0"/>
      <w:spacing w:after="0" w:line="240" w:lineRule="auto"/>
      <w:ind w:right="142"/>
      <w:outlineLvl w:val="1"/>
    </w:pPr>
    <w:rPr>
      <w:rFonts w:ascii="Times New Roman" w:eastAsia="Times New Roman" w:hAnsi="Times New Roman" w:cs="Times New Roman"/>
      <w:b/>
      <w:color w:val="0D0F1A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D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FD74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D7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74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D7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10">
    <w:name w:val="Table Normal1"/>
    <w:uiPriority w:val="2"/>
    <w:semiHidden/>
    <w:unhideWhenUsed/>
    <w:qFormat/>
    <w:rsid w:val="00FD74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1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5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1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8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6C0"/>
  </w:style>
  <w:style w:type="paragraph" w:styleId="Footer">
    <w:name w:val="footer"/>
    <w:basedOn w:val="Normal"/>
    <w:link w:val="FooterChar"/>
    <w:uiPriority w:val="99"/>
    <w:unhideWhenUsed/>
    <w:rsid w:val="00690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C0"/>
  </w:style>
  <w:style w:type="character" w:customStyle="1" w:styleId="Heading1Char">
    <w:name w:val="Heading 1 Char"/>
    <w:basedOn w:val="DefaultParagraphFont"/>
    <w:link w:val="Heading1"/>
    <w:uiPriority w:val="9"/>
    <w:rsid w:val="00A26D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6DA8"/>
    <w:rPr>
      <w:rFonts w:ascii="Times New Roman" w:eastAsia="Times New Roman" w:hAnsi="Times New Roman" w:cs="Times New Roman"/>
      <w:b/>
      <w:color w:val="0D0F1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71D7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2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642E9C"/>
    <w:pPr>
      <w:spacing w:after="0" w:line="480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35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5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yaorellan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rcid.org/0000-0003-1909-2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2146-1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6313-F2E9-4176-A81F-A5C59A32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6096</Words>
  <Characters>37615</Characters>
  <Application>Microsoft Office Word</Application>
  <DocSecurity>0</DocSecurity>
  <Lines>737</Lines>
  <Paragraphs>312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ANAMARIAARIAS</dc:creator>
  <cp:keywords/>
  <dc:description/>
  <cp:lastModifiedBy>Dayanne Kimberly Orellana Mendoza</cp:lastModifiedBy>
  <cp:revision>6</cp:revision>
  <cp:lastPrinted>2022-06-09T16:11:00Z</cp:lastPrinted>
  <dcterms:created xsi:type="dcterms:W3CDTF">2024-08-26T14:25:00Z</dcterms:created>
  <dcterms:modified xsi:type="dcterms:W3CDTF">2024-08-26T14:51:00Z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9cbe7cebd2c6c80dc300ec42bd0d58372fe2ffe283c9c3e7880159e3f0ca43c6</vt:lpwstr>
  </property>
  <property fmtid="{D5CDD505-2E9C-101B-9397-08002B2CF9AE}" pid="3" name="ZOTERO_PREF_1">
    <vt:lpwstr>&lt;data data-version="3" zotero-version="6.0.36"&gt;&lt;session id="ZAwtAaBN"/&gt;&lt;style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