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ECF3C" w14:textId="41DC4787" w:rsidR="00742E4A" w:rsidRPr="00E82CE6" w:rsidRDefault="00722A5B" w:rsidP="002B04BE">
      <w:pPr>
        <w:pStyle w:val="Titulodeartculo"/>
        <w:rPr>
          <w:lang w:val="en-US"/>
        </w:rPr>
      </w:pPr>
      <w:r w:rsidRPr="00333677">
        <w:rPr>
          <w:lang w:val="en-US" w:eastAsia="en-US"/>
        </w:rPr>
        <w:drawing>
          <wp:anchor distT="0" distB="0" distL="114300" distR="114300" simplePos="0" relativeHeight="251664384" behindDoc="0" locked="0" layoutInCell="1" allowOverlap="1" wp14:anchorId="4437BD97" wp14:editId="10152D2B">
            <wp:simplePos x="0" y="0"/>
            <wp:positionH relativeFrom="column">
              <wp:posOffset>4705350</wp:posOffset>
            </wp:positionH>
            <wp:positionV relativeFrom="paragraph">
              <wp:posOffset>339090</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A67967" w:rsidRPr="00A67967">
        <w:rPr>
          <w:lang w:val="en-US"/>
        </w:rPr>
        <w:t xml:space="preserve"> </w:t>
      </w:r>
      <w:r w:rsidR="00A67967" w:rsidRPr="00A67967">
        <w:rPr>
          <w:lang w:val="en-US" w:eastAsia="en-US"/>
        </w:rPr>
        <w:t>Self-Control Moralization: The Role of Moral Ide</w:t>
      </w:r>
      <w:r w:rsidR="00D97D9F">
        <w:rPr>
          <w:lang w:val="en-US" w:eastAsia="en-US"/>
        </w:rPr>
        <w:t>ntity and Moral Foundations in Young Adults</w:t>
      </w:r>
    </w:p>
    <w:p w14:paraId="07B1149B" w14:textId="5618C0E8" w:rsidR="008E17AF" w:rsidRPr="00E82CE6" w:rsidRDefault="008E17AF" w:rsidP="00C413D4">
      <w:pPr>
        <w:rPr>
          <w:b/>
          <w:lang w:val="en-US"/>
        </w:rPr>
      </w:pPr>
      <w:bookmarkStart w:id="0" w:name="_Hlk90834151"/>
      <w:bookmarkEnd w:id="0"/>
    </w:p>
    <w:p w14:paraId="7DE2414F" w14:textId="49523C7D" w:rsidR="004B2E6E" w:rsidRPr="00D97D9F" w:rsidRDefault="008912A7" w:rsidP="001F7BA0">
      <w:pPr>
        <w:pStyle w:val="Body"/>
        <w:jc w:val="both"/>
        <w:rPr>
          <w:b/>
          <w:bCs/>
          <w:color w:val="222222"/>
          <w:sz w:val="28"/>
          <w:u w:color="222222"/>
          <w:lang w:val="es-ES"/>
        </w:rPr>
      </w:pPr>
      <w:bookmarkStart w:id="1" w:name="_Hlk90835901"/>
      <w:proofErr w:type="spellStart"/>
      <w:r w:rsidRPr="00D97D9F">
        <w:rPr>
          <w:b/>
          <w:bCs/>
          <w:color w:val="222222"/>
          <w:sz w:val="28"/>
          <w:u w:color="222222"/>
          <w:lang w:val="es-ES"/>
        </w:rPr>
        <w:t>Dayanne</w:t>
      </w:r>
      <w:proofErr w:type="spellEnd"/>
      <w:r w:rsidRPr="00D97D9F">
        <w:rPr>
          <w:b/>
          <w:bCs/>
          <w:color w:val="222222"/>
          <w:sz w:val="28"/>
          <w:u w:color="222222"/>
          <w:lang w:val="es-ES"/>
        </w:rPr>
        <w:t xml:space="preserve"> Orellana</w:t>
      </w:r>
      <w:r w:rsidR="0014506C" w:rsidRPr="00D97D9F">
        <w:rPr>
          <w:b/>
          <w:bCs/>
          <w:color w:val="222222"/>
          <w:sz w:val="28"/>
          <w:u w:color="222222"/>
          <w:lang w:val="es-ES"/>
        </w:rPr>
        <w:t xml:space="preserve"> </w:t>
      </w:r>
      <w:r w:rsidR="001E0A61" w:rsidRPr="008931F4">
        <w:rPr>
          <w:b/>
          <w:bCs/>
          <w:color w:val="222222"/>
          <w:sz w:val="28"/>
          <w:u w:color="222222"/>
          <w:vertAlign w:val="superscript"/>
          <w:lang w:val="en-GB"/>
        </w:rPr>
        <w:footnoteReference w:id="1"/>
      </w:r>
      <w:r w:rsidR="008931F4" w:rsidRPr="00D97D9F">
        <w:rPr>
          <w:b/>
          <w:bCs/>
          <w:color w:val="222222"/>
          <w:sz w:val="20"/>
          <w:u w:color="222222"/>
          <w:lang w:val="es-ES"/>
        </w:rPr>
        <w:t xml:space="preserve"> </w:t>
      </w:r>
      <w:r w:rsidR="008931F4" w:rsidRPr="00D97D9F">
        <w:rPr>
          <w:b/>
          <w:bCs/>
          <w:color w:val="auto"/>
          <w:sz w:val="26"/>
          <w:szCs w:val="26"/>
          <w:u w:color="222222"/>
          <w:vertAlign w:val="superscript"/>
          <w:lang w:val="es-ES"/>
        </w:rPr>
        <w:t>&amp;</w:t>
      </w:r>
      <w:r w:rsidR="008931F4" w:rsidRPr="00D97D9F">
        <w:rPr>
          <w:rStyle w:val="Refdenotaalpie"/>
          <w:b/>
          <w:bCs/>
          <w:color w:val="222222"/>
          <w:sz w:val="28"/>
          <w:u w:color="222222"/>
          <w:lang w:val="es-ES"/>
        </w:rPr>
        <w:t xml:space="preserve"> </w:t>
      </w:r>
      <w:r w:rsidR="008931F4" w:rsidRPr="008931F4">
        <w:rPr>
          <w:rStyle w:val="Refdenotaalpie"/>
          <w:b/>
          <w:bCs/>
          <w:color w:val="222222"/>
          <w:sz w:val="28"/>
          <w:u w:color="222222"/>
          <w:lang w:val="en-US"/>
        </w:rPr>
        <w:footnoteReference w:id="2"/>
      </w:r>
      <w:r w:rsidR="005E205D" w:rsidRPr="008912A7">
        <w:rPr>
          <w:b/>
          <w:bCs/>
          <w:noProof/>
          <w:color w:val="222222"/>
          <w:sz w:val="28"/>
          <w:u w:color="222222"/>
          <w:lang w:val="en-US" w:eastAsia="en-US"/>
        </w:rPr>
        <w:drawing>
          <wp:inline distT="0" distB="0" distL="0" distR="0" wp14:anchorId="16FCC1C7" wp14:editId="0F0AD12D">
            <wp:extent cx="133200" cy="133200"/>
            <wp:effectExtent l="0" t="0" r="0" b="0"/>
            <wp:docPr id="11"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1"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E92FE9" w:rsidRPr="00D97D9F">
        <w:rPr>
          <w:b/>
          <w:bCs/>
          <w:color w:val="222222"/>
          <w:sz w:val="28"/>
          <w:u w:color="222222"/>
          <w:lang w:val="es-ES"/>
        </w:rPr>
        <w:t xml:space="preserve">, </w:t>
      </w:r>
      <w:r w:rsidR="00CC7D22" w:rsidRPr="00D97D9F">
        <w:rPr>
          <w:b/>
          <w:bCs/>
          <w:color w:val="222222"/>
          <w:sz w:val="28"/>
          <w:u w:color="222222"/>
          <w:lang w:val="es-ES"/>
        </w:rPr>
        <w:t xml:space="preserve">&amp; </w:t>
      </w:r>
      <w:bookmarkEnd w:id="1"/>
      <w:r w:rsidRPr="00D97D9F">
        <w:rPr>
          <w:b/>
          <w:bCs/>
          <w:color w:val="222222"/>
          <w:sz w:val="28"/>
          <w:u w:color="222222"/>
          <w:lang w:val="es-ES"/>
        </w:rPr>
        <w:t>Eric Roth</w:t>
      </w:r>
      <w:r w:rsidR="008931F4" w:rsidRPr="00D97D9F">
        <w:rPr>
          <w:b/>
          <w:bCs/>
          <w:color w:val="222222"/>
          <w:sz w:val="28"/>
          <w:u w:color="222222"/>
          <w:lang w:val="es-ES"/>
        </w:rPr>
        <w:t xml:space="preserve"> </w:t>
      </w:r>
      <w:r w:rsidR="008931F4">
        <w:rPr>
          <w:rStyle w:val="Refdenotaalpie"/>
          <w:b/>
          <w:bCs/>
          <w:color w:val="222222"/>
          <w:sz w:val="28"/>
          <w:u w:color="222222"/>
          <w:lang w:val="en-US"/>
        </w:rPr>
        <w:footnoteReference w:id="3"/>
      </w:r>
      <w:r w:rsidR="00CC7D22" w:rsidRPr="008912A7">
        <w:rPr>
          <w:b/>
          <w:bCs/>
          <w:noProof/>
          <w:color w:val="222222"/>
          <w:sz w:val="28"/>
          <w:u w:color="222222"/>
          <w:lang w:val="en-US" w:eastAsia="en-US"/>
        </w:rPr>
        <w:drawing>
          <wp:inline distT="0" distB="0" distL="0" distR="0" wp14:anchorId="20800533" wp14:editId="2D0772AE">
            <wp:extent cx="133200" cy="133200"/>
            <wp:effectExtent l="0" t="0" r="0" b="0"/>
            <wp:docPr id="6"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7D7E6B" w:rsidRPr="00D97D9F">
        <w:rPr>
          <w:b/>
          <w:bCs/>
          <w:color w:val="4472C4" w:themeColor="accent1"/>
          <w:sz w:val="28"/>
          <w:u w:color="222222"/>
          <w:vertAlign w:val="superscript"/>
          <w:lang w:val="es-ES"/>
        </w:rPr>
        <w:t xml:space="preserve"> </w:t>
      </w:r>
      <w:r w:rsidR="00922B3A" w:rsidRPr="00D97D9F">
        <w:rPr>
          <w:b/>
          <w:bCs/>
          <w:color w:val="4472C4" w:themeColor="accent1"/>
          <w:sz w:val="28"/>
          <w:u w:color="222222"/>
          <w:vertAlign w:val="superscript"/>
          <w:lang w:val="es-ES"/>
        </w:rPr>
        <w:t xml:space="preserve">  </w:t>
      </w:r>
      <w:r w:rsidR="00CC7D22" w:rsidRPr="008912A7">
        <w:rPr>
          <w:rStyle w:val="Refdenotaalpie"/>
          <w:b/>
          <w:bCs/>
          <w:color w:val="auto"/>
          <w:sz w:val="28"/>
          <w:u w:color="222222"/>
          <w:lang w:val="en-GB"/>
        </w:rPr>
        <w:footnoteReference w:id="4"/>
      </w:r>
    </w:p>
    <w:p w14:paraId="4310D418" w14:textId="77777777" w:rsidR="008C5B2C" w:rsidRPr="00D97D9F" w:rsidRDefault="008C5B2C" w:rsidP="00CC7D22">
      <w:pPr>
        <w:tabs>
          <w:tab w:val="left" w:pos="7005"/>
        </w:tabs>
        <w:jc w:val="both"/>
        <w:rPr>
          <w:rFonts w:eastAsia="Arial Unicode MS" w:cs="Arial Unicode MS"/>
          <w:bCs/>
          <w:i/>
          <w:iCs/>
          <w:szCs w:val="22"/>
          <w:lang w:val="es-ES"/>
        </w:rPr>
      </w:pPr>
    </w:p>
    <w:p w14:paraId="540F2DB5" w14:textId="6FB48696" w:rsidR="004E5581" w:rsidRPr="008912A7" w:rsidRDefault="008912A7" w:rsidP="00CC7D22">
      <w:pPr>
        <w:tabs>
          <w:tab w:val="left" w:pos="7005"/>
        </w:tabs>
        <w:jc w:val="both"/>
        <w:rPr>
          <w:rFonts w:eastAsia="Arial Unicode MS" w:cs="Arial Unicode MS"/>
          <w:i/>
          <w:iCs/>
          <w:szCs w:val="22"/>
        </w:rPr>
      </w:pPr>
      <w:r w:rsidRPr="008912A7">
        <w:rPr>
          <w:rFonts w:eastAsia="Arial Unicode MS" w:cs="Arial Unicode MS"/>
          <w:bCs/>
          <w:i/>
          <w:iCs/>
          <w:szCs w:val="22"/>
          <w:lang w:val="es-CO"/>
        </w:rPr>
        <w:t>Universidad Católica Boliviana San Pablo, La Paz, Bolivia</w:t>
      </w:r>
      <w:r w:rsidR="008C5B2C" w:rsidRPr="008912A7">
        <w:rPr>
          <w:rFonts w:eastAsia="Arial Unicode MS" w:cs="Arial Unicode MS"/>
          <w:bCs/>
          <w:i/>
          <w:iCs/>
          <w:szCs w:val="22"/>
        </w:rPr>
        <w:t>.</w:t>
      </w:r>
    </w:p>
    <w:p w14:paraId="6036645E" w14:textId="1811780B" w:rsidR="00A95630" w:rsidRPr="001F7BA0" w:rsidRDefault="001C4E1C" w:rsidP="008B5E31">
      <w:pPr>
        <w:rPr>
          <w:rFonts w:ascii="Times" w:hAnsi="Times"/>
          <w:i/>
          <w:sz w:val="28"/>
          <w:szCs w:val="28"/>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1BF37552" w14:textId="30A77690" w:rsidR="002D6B30" w:rsidRPr="00E272F5" w:rsidRDefault="00DF29D2" w:rsidP="002D6B30">
      <w:pPr>
        <w:pStyle w:val="TtuloResumen"/>
        <w:rPr>
          <w:bCs/>
          <w:lang w:val="en-US"/>
        </w:rPr>
      </w:pPr>
      <w:r w:rsidRPr="00333677">
        <w:rPr>
          <w:noProof/>
          <w:lang w:val="en-US" w:eastAsia="en-US"/>
        </w:rPr>
        <w:drawing>
          <wp:anchor distT="0" distB="0" distL="114300" distR="114300" simplePos="0" relativeHeight="251666432" behindDoc="0" locked="0" layoutInCell="1" allowOverlap="1" wp14:anchorId="69C1ECE1" wp14:editId="3C424CA7">
            <wp:simplePos x="0" y="0"/>
            <wp:positionH relativeFrom="page">
              <wp:posOffset>6055522</wp:posOffset>
            </wp:positionH>
            <wp:positionV relativeFrom="page">
              <wp:posOffset>9798832</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r w:rsidR="00E272F5" w:rsidRPr="00E272F5">
        <w:rPr>
          <w:lang w:val="en-US"/>
        </w:rPr>
        <w:t>Abstract</w:t>
      </w:r>
    </w:p>
    <w:p w14:paraId="12160FF1" w14:textId="641C5602" w:rsidR="006845CB" w:rsidRPr="006845CB" w:rsidRDefault="008912A7" w:rsidP="006845CB">
      <w:pPr>
        <w:jc w:val="both"/>
        <w:rPr>
          <w:bCs/>
          <w:iCs/>
          <w:sz w:val="20"/>
          <w:szCs w:val="20"/>
          <w:lang w:val="en-US" w:eastAsia="es-ES_tradnl"/>
        </w:rPr>
      </w:pPr>
      <w:r w:rsidRPr="008912A7">
        <w:rPr>
          <w:bCs/>
          <w:iCs/>
          <w:sz w:val="20"/>
          <w:szCs w:val="20"/>
          <w:lang w:val="en-GB" w:eastAsia="es-ES_tradnl"/>
        </w:rPr>
        <w:t xml:space="preserve">Despite the morality and self-control relationship having been studied in the past, there is still not enough information about how different moral variables, and their possible interaction, affect self-control levels; </w:t>
      </w:r>
      <w:r w:rsidR="00D97D9F">
        <w:rPr>
          <w:bCs/>
          <w:iCs/>
          <w:sz w:val="20"/>
          <w:szCs w:val="20"/>
          <w:lang w:val="en-GB" w:eastAsia="es-ES_tradnl"/>
        </w:rPr>
        <w:t>e</w:t>
      </w:r>
      <w:r w:rsidRPr="008912A7">
        <w:rPr>
          <w:bCs/>
          <w:iCs/>
          <w:sz w:val="20"/>
          <w:szCs w:val="20"/>
          <w:lang w:val="en-GB" w:eastAsia="es-ES_tradnl"/>
        </w:rPr>
        <w:t>specially when referring to young adulthood, a critical period for development of self-control and morality. Within the framework of self-control moralization, the current study aimed to explore whether self-control scores were affected by levels of moral identity and binding-individualizing foundations through early adulthood. Data were obtained by an online survey from a non-probabilistic sample (</w:t>
      </w:r>
      <w:r w:rsidRPr="008912A7">
        <w:rPr>
          <w:bCs/>
          <w:i/>
          <w:iCs/>
          <w:sz w:val="20"/>
          <w:szCs w:val="20"/>
          <w:lang w:val="en-GB" w:eastAsia="es-ES_tradnl"/>
        </w:rPr>
        <w:t>n</w:t>
      </w:r>
      <w:r w:rsidRPr="008912A7">
        <w:rPr>
          <w:bCs/>
          <w:iCs/>
          <w:sz w:val="20"/>
          <w:szCs w:val="20"/>
          <w:lang w:val="en-GB" w:eastAsia="es-ES_tradnl"/>
        </w:rPr>
        <w:t xml:space="preserve">=626) of young adults from Bolivia. Having found significant correlations between variables, hypotheses were tested employing </w:t>
      </w:r>
      <w:r w:rsidRPr="008912A7">
        <w:rPr>
          <w:bCs/>
          <w:i/>
          <w:iCs/>
          <w:sz w:val="20"/>
          <w:szCs w:val="20"/>
          <w:lang w:val="en-GB" w:eastAsia="es-ES_tradnl"/>
        </w:rPr>
        <w:t>t</w:t>
      </w:r>
      <w:r w:rsidRPr="008912A7">
        <w:rPr>
          <w:bCs/>
          <w:iCs/>
          <w:sz w:val="20"/>
          <w:szCs w:val="20"/>
          <w:lang w:val="en-GB" w:eastAsia="es-ES_tradnl"/>
        </w:rPr>
        <w:t>-test</w:t>
      </w:r>
      <w:r w:rsidR="00D97D9F">
        <w:rPr>
          <w:bCs/>
          <w:iCs/>
          <w:sz w:val="20"/>
          <w:szCs w:val="20"/>
          <w:lang w:val="en-GB" w:eastAsia="es-ES_tradnl"/>
        </w:rPr>
        <w:t>s</w:t>
      </w:r>
      <w:r w:rsidRPr="008912A7">
        <w:rPr>
          <w:bCs/>
          <w:iCs/>
          <w:sz w:val="20"/>
          <w:szCs w:val="20"/>
          <w:lang w:val="en-GB" w:eastAsia="es-ES_tradnl"/>
        </w:rPr>
        <w:t xml:space="preserve"> and an ANCOVA, with age as a covariate. Findings showed that binding foundations, moral identity, age and the interaction between moral identity and both types of moral foundatio</w:t>
      </w:r>
      <w:r w:rsidR="00D97D9F">
        <w:rPr>
          <w:bCs/>
          <w:iCs/>
          <w:sz w:val="20"/>
          <w:szCs w:val="20"/>
          <w:lang w:val="en-GB" w:eastAsia="es-ES_tradnl"/>
        </w:rPr>
        <w:t>ns had a significant effect on</w:t>
      </w:r>
      <w:r w:rsidRPr="008912A7">
        <w:rPr>
          <w:bCs/>
          <w:iCs/>
          <w:sz w:val="20"/>
          <w:szCs w:val="20"/>
          <w:lang w:val="en-GB" w:eastAsia="es-ES_tradnl"/>
        </w:rPr>
        <w:t xml:space="preserve"> self-control scores and marginal means, with small to moderate effect sizes. Finally, finding’s implications within the theoretical framework of self-control moralization are discussed.</w:t>
      </w:r>
    </w:p>
    <w:p w14:paraId="736E5375" w14:textId="77777777" w:rsidR="006845CB" w:rsidRPr="006845CB" w:rsidRDefault="006845CB" w:rsidP="006845CB">
      <w:pPr>
        <w:rPr>
          <w:b/>
          <w:bCs/>
          <w:iCs/>
          <w:sz w:val="20"/>
          <w:szCs w:val="20"/>
          <w:lang w:val="en-US" w:eastAsia="es-ES_tradnl"/>
        </w:rPr>
      </w:pPr>
      <w:r w:rsidRPr="006845CB">
        <w:rPr>
          <w:b/>
          <w:bCs/>
          <w:iCs/>
          <w:sz w:val="20"/>
          <w:szCs w:val="20"/>
          <w:lang w:val="en-US" w:eastAsia="es-ES_tradnl"/>
        </w:rPr>
        <w:t>Keywords</w:t>
      </w:r>
    </w:p>
    <w:p w14:paraId="180B1296" w14:textId="263BCA17" w:rsidR="001F7BA0" w:rsidRDefault="008912A7" w:rsidP="008C5B2C">
      <w:pPr>
        <w:pStyle w:val="Resumen"/>
      </w:pPr>
      <w:r>
        <w:t>Moralization; moral identity; moral foundations; self-control;</w:t>
      </w:r>
      <w:r w:rsidRPr="008912A7">
        <w:t xml:space="preserve"> young adulthood</w:t>
      </w:r>
    </w:p>
    <w:p w14:paraId="68694C78" w14:textId="77777777" w:rsidR="001F7BA0" w:rsidRDefault="001F7BA0" w:rsidP="008C5B2C">
      <w:pPr>
        <w:pStyle w:val="Resumen"/>
        <w:rPr>
          <w:rStyle w:val="TtuloResumenCar"/>
          <w:lang w:val="en-US"/>
        </w:rPr>
      </w:pPr>
    </w:p>
    <w:p w14:paraId="5E4C21C3" w14:textId="1D768F6F" w:rsidR="00E82CE6" w:rsidRPr="0067304D" w:rsidRDefault="00E82CE6" w:rsidP="001F7BA0">
      <w:pPr>
        <w:pStyle w:val="TtuloResumen"/>
        <w:rPr>
          <w:rStyle w:val="TtuloResumenCar"/>
          <w:lang w:val="es-AR"/>
        </w:rPr>
      </w:pPr>
      <w:r w:rsidRPr="0067304D">
        <w:rPr>
          <w:lang w:val="es-AR"/>
        </w:rPr>
        <w:t>Resumen</w:t>
      </w:r>
    </w:p>
    <w:p w14:paraId="29B82B08" w14:textId="3D22BD61" w:rsidR="00E82CE6" w:rsidRPr="00392A78" w:rsidRDefault="008912A7" w:rsidP="008C5B2C">
      <w:pPr>
        <w:pStyle w:val="Resumen"/>
        <w:rPr>
          <w:lang w:val="es-ES"/>
        </w:rPr>
      </w:pPr>
      <w:r w:rsidRPr="008912A7">
        <w:rPr>
          <w:lang w:val="es-ES"/>
        </w:rPr>
        <w:t>A pesar de que la relación entre la moralidad y el autocontrol ha sido estudiada en el pasado, todavía no hay suficiente información sobre cómo las diferentes variables morales en simultáneo, y su posible interacción, afectan a los niveles de autocontrol; especialmente en la adultez temprana, un período crítico para el desarrollo del autocontrol y la moralidad. En el marco de la moralización del autocontrol, el presente estudio buscó explorar si las puntuaciones de autocontrol son afectadas por los niveles de identidad moral y los fundamentos vinculantes-individualizadores a lo largo de la edad adulta temprana. Los datos se obtuvieron mediante una encuesta en línea de una muestra no probabilística (</w:t>
      </w:r>
      <w:r w:rsidRPr="008912A7">
        <w:rPr>
          <w:i/>
          <w:iCs/>
          <w:lang w:val="es-ES"/>
        </w:rPr>
        <w:t>n</w:t>
      </w:r>
      <w:r w:rsidRPr="008912A7">
        <w:rPr>
          <w:lang w:val="es-ES"/>
        </w:rPr>
        <w:t xml:space="preserve">=626) de adultos jóvenes de Bolivia. Habiendo encontrado correlaciones significativas, se probaron las hipótesis empleando la prueba </w:t>
      </w:r>
      <w:r w:rsidRPr="008912A7">
        <w:rPr>
          <w:i/>
          <w:iCs/>
          <w:lang w:val="es-ES"/>
        </w:rPr>
        <w:t>t</w:t>
      </w:r>
      <w:r w:rsidRPr="008912A7">
        <w:rPr>
          <w:lang w:val="es-ES"/>
        </w:rPr>
        <w:t xml:space="preserve"> de </w:t>
      </w:r>
      <w:proofErr w:type="spellStart"/>
      <w:r w:rsidRPr="008912A7">
        <w:rPr>
          <w:lang w:val="es-ES"/>
        </w:rPr>
        <w:t>Student</w:t>
      </w:r>
      <w:proofErr w:type="spellEnd"/>
      <w:r w:rsidRPr="008912A7">
        <w:rPr>
          <w:lang w:val="es-ES"/>
        </w:rPr>
        <w:t xml:space="preserve"> y un ANCOVA, con la edad como covariable. Los resultados mostraron que los fundamentos vinculantes, la identidad moral, la edad y la interacción entre la identidad moral y ambos tipos de fundamentos morales tuvieron un efecto significativo sobre las puntuaciones y medias marginales de autocontrol, con tamaños de efecto pequeños a moderados. Finalmente, se discuten las implicaciones de los resultados en el marco teórico de la moralización del autocontrol.</w:t>
      </w:r>
    </w:p>
    <w:p w14:paraId="195788AE" w14:textId="77777777" w:rsidR="00E82CE6" w:rsidRPr="00392A78" w:rsidRDefault="00E82CE6" w:rsidP="001F7BA0">
      <w:pPr>
        <w:rPr>
          <w:b/>
          <w:bCs/>
          <w:iCs/>
          <w:sz w:val="20"/>
          <w:szCs w:val="20"/>
          <w:lang w:val="es-ES" w:eastAsia="es-ES_tradnl"/>
        </w:rPr>
      </w:pPr>
      <w:r w:rsidRPr="00392A78">
        <w:rPr>
          <w:b/>
          <w:bCs/>
          <w:iCs/>
          <w:sz w:val="20"/>
          <w:szCs w:val="20"/>
          <w:lang w:val="es-ES" w:eastAsia="es-ES_tradnl"/>
        </w:rPr>
        <w:t>Palabras clave</w:t>
      </w:r>
    </w:p>
    <w:p w14:paraId="3792DCB8" w14:textId="3E3765DC" w:rsidR="002D6B30" w:rsidRDefault="008912A7">
      <w:pPr>
        <w:rPr>
          <w:bCs/>
          <w:iCs/>
          <w:sz w:val="20"/>
          <w:szCs w:val="20"/>
          <w:lang w:eastAsia="es-ES_tradnl"/>
        </w:rPr>
      </w:pPr>
      <w:r>
        <w:rPr>
          <w:bCs/>
          <w:iCs/>
          <w:sz w:val="20"/>
          <w:szCs w:val="20"/>
          <w:lang w:eastAsia="es-ES_tradnl"/>
        </w:rPr>
        <w:t>M</w:t>
      </w:r>
      <w:r w:rsidRPr="008912A7">
        <w:rPr>
          <w:bCs/>
          <w:iCs/>
          <w:sz w:val="20"/>
          <w:szCs w:val="20"/>
          <w:lang w:eastAsia="es-ES_tradnl"/>
        </w:rPr>
        <w:t>oralización</w:t>
      </w:r>
      <w:r>
        <w:rPr>
          <w:bCs/>
          <w:iCs/>
          <w:sz w:val="20"/>
          <w:szCs w:val="20"/>
          <w:lang w:eastAsia="es-ES_tradnl"/>
        </w:rPr>
        <w:t>; identidad moral; fundamentos morales; autocontrol;</w:t>
      </w:r>
      <w:r w:rsidRPr="008912A7">
        <w:rPr>
          <w:bCs/>
          <w:iCs/>
          <w:sz w:val="20"/>
          <w:szCs w:val="20"/>
          <w:lang w:eastAsia="es-ES_tradnl"/>
        </w:rPr>
        <w:t xml:space="preserve"> adultez temprana</w:t>
      </w:r>
    </w:p>
    <w:p w14:paraId="6E4B7BF1" w14:textId="59B90102" w:rsidR="008931F4" w:rsidRDefault="008931F4">
      <w:pPr>
        <w:rPr>
          <w:bCs/>
          <w:iCs/>
          <w:sz w:val="20"/>
          <w:szCs w:val="20"/>
          <w:lang w:eastAsia="es-ES_tradnl"/>
        </w:rPr>
      </w:pPr>
    </w:p>
    <w:p w14:paraId="2968A18A" w14:textId="46FB36CB" w:rsidR="008931F4" w:rsidRDefault="008931F4">
      <w:pPr>
        <w:rPr>
          <w:bCs/>
          <w:iCs/>
          <w:sz w:val="20"/>
          <w:szCs w:val="20"/>
          <w:lang w:eastAsia="es-ES_tradnl"/>
        </w:rPr>
      </w:pPr>
    </w:p>
    <w:p w14:paraId="2E71E9E1" w14:textId="19311395" w:rsidR="008931F4" w:rsidRDefault="008931F4">
      <w:pPr>
        <w:rPr>
          <w:bCs/>
          <w:iCs/>
          <w:sz w:val="20"/>
          <w:szCs w:val="20"/>
          <w:lang w:eastAsia="es-ES_tradnl"/>
        </w:rPr>
      </w:pPr>
    </w:p>
    <w:p w14:paraId="0AC8F0A2" w14:textId="4D50721A" w:rsidR="008931F4" w:rsidRDefault="008931F4">
      <w:pPr>
        <w:rPr>
          <w:bCs/>
          <w:iCs/>
          <w:sz w:val="20"/>
          <w:szCs w:val="20"/>
          <w:lang w:eastAsia="es-ES_tradnl"/>
        </w:rPr>
      </w:pPr>
    </w:p>
    <w:p w14:paraId="22362F35" w14:textId="4934D20B" w:rsidR="008931F4" w:rsidRDefault="008931F4">
      <w:pPr>
        <w:rPr>
          <w:bCs/>
          <w:iCs/>
          <w:sz w:val="20"/>
          <w:szCs w:val="20"/>
          <w:lang w:eastAsia="es-ES_tradnl"/>
        </w:rPr>
      </w:pPr>
    </w:p>
    <w:p w14:paraId="0A6AD886" w14:textId="61C1C485" w:rsidR="008931F4" w:rsidRDefault="008931F4">
      <w:pPr>
        <w:rPr>
          <w:bCs/>
          <w:iCs/>
          <w:sz w:val="20"/>
          <w:szCs w:val="20"/>
          <w:lang w:eastAsia="es-ES_tradnl"/>
        </w:rPr>
      </w:pPr>
    </w:p>
    <w:p w14:paraId="619D14BB" w14:textId="7868DB2E" w:rsidR="008931F4" w:rsidRDefault="008931F4">
      <w:pPr>
        <w:rPr>
          <w:bCs/>
          <w:iCs/>
          <w:sz w:val="20"/>
          <w:szCs w:val="20"/>
          <w:lang w:eastAsia="es-ES_tradnl"/>
        </w:rPr>
      </w:pPr>
    </w:p>
    <w:p w14:paraId="69AD7A6E" w14:textId="66796497" w:rsidR="008931F4" w:rsidRDefault="008931F4">
      <w:pPr>
        <w:rPr>
          <w:bCs/>
          <w:iCs/>
          <w:sz w:val="20"/>
          <w:szCs w:val="20"/>
          <w:lang w:eastAsia="es-ES_tradnl"/>
        </w:rPr>
      </w:pPr>
    </w:p>
    <w:p w14:paraId="5A14E83E" w14:textId="1B165075" w:rsidR="008931F4" w:rsidRDefault="008931F4">
      <w:pPr>
        <w:rPr>
          <w:bCs/>
          <w:iCs/>
          <w:sz w:val="20"/>
          <w:szCs w:val="20"/>
          <w:lang w:eastAsia="es-ES_tradnl"/>
        </w:rPr>
      </w:pPr>
    </w:p>
    <w:p w14:paraId="421959C4" w14:textId="77777777" w:rsidR="008931F4" w:rsidRPr="00894630" w:rsidRDefault="008931F4">
      <w:pPr>
        <w:rPr>
          <w:bCs/>
          <w:iCs/>
          <w:sz w:val="20"/>
          <w:szCs w:val="20"/>
        </w:rPr>
      </w:pPr>
    </w:p>
    <w:p w14:paraId="7DBC3419" w14:textId="356FDF35" w:rsidR="00E82CE6" w:rsidRPr="00894630" w:rsidRDefault="00E82CE6">
      <w:pPr>
        <w:rPr>
          <w:bCs/>
          <w:iCs/>
          <w:sz w:val="20"/>
          <w:szCs w:val="20"/>
        </w:rPr>
      </w:pPr>
    </w:p>
    <w:p w14:paraId="10FFDE9F" w14:textId="5EE1D6B6" w:rsidR="006845CB" w:rsidRPr="001F7BA0" w:rsidRDefault="008912A7" w:rsidP="00225541">
      <w:pPr>
        <w:pStyle w:val="Ttulosinternos"/>
        <w:rPr>
          <w:b w:val="0"/>
          <w:bCs w:val="0"/>
          <w:lang w:val="es-ES"/>
        </w:rPr>
      </w:pPr>
      <w:r w:rsidRPr="008912A7">
        <w:rPr>
          <w:b w:val="0"/>
          <w:bCs w:val="0"/>
        </w:rPr>
        <w:lastRenderedPageBreak/>
        <w:t>Moralización del autocontrol: El papel de la identidad moral y los fun</w:t>
      </w:r>
      <w:r w:rsidR="00D97D9F">
        <w:rPr>
          <w:b w:val="0"/>
          <w:bCs w:val="0"/>
        </w:rPr>
        <w:t xml:space="preserve">damentos morales en </w:t>
      </w:r>
      <w:r w:rsidRPr="008912A7">
        <w:rPr>
          <w:b w:val="0"/>
          <w:bCs w:val="0"/>
        </w:rPr>
        <w:t>adultos jóvenes</w:t>
      </w:r>
    </w:p>
    <w:p w14:paraId="512A04F3" w14:textId="00A8ED3B" w:rsidR="00333677" w:rsidRPr="00225541" w:rsidRDefault="00225541" w:rsidP="00225541">
      <w:pPr>
        <w:pStyle w:val="Ttulosinternos"/>
        <w:rPr>
          <w:lang w:val="en-US"/>
        </w:rPr>
      </w:pPr>
      <w:r w:rsidRPr="00225541">
        <w:rPr>
          <w:lang w:val="en-US"/>
        </w:rPr>
        <w:t>Introduction</w:t>
      </w:r>
    </w:p>
    <w:p w14:paraId="45D5C25E" w14:textId="77777777" w:rsidR="008931F4" w:rsidRPr="008931F4" w:rsidRDefault="008931F4" w:rsidP="008931F4">
      <w:pPr>
        <w:pStyle w:val="Prrafocomn"/>
        <w:spacing w:line="400" w:lineRule="exact"/>
        <w:ind w:firstLine="709"/>
        <w:rPr>
          <w:lang w:val="en-GB"/>
        </w:rPr>
      </w:pPr>
      <w:r w:rsidRPr="008931F4">
        <w:rPr>
          <w:lang w:val="en-GB"/>
        </w:rPr>
        <w:t xml:space="preserve">Self-control is the ability of an individual to alter a certain behaviour that creates a conflict of consequences and goals </w:t>
      </w:r>
      <w:r w:rsidRPr="008931F4">
        <w:t>(Duckworth &amp; Gross, 2024; Skinner, 1953, 1982)</w:t>
      </w:r>
      <w:r w:rsidRPr="008931F4">
        <w:rPr>
          <w:lang w:val="en-GB"/>
        </w:rPr>
        <w:t xml:space="preserve">, by inhibiting a response or postponing an immediate reward in favour of a middle or long-term goal. It is considered one of the most powerful and beneficial adaptations of the human species </w:t>
      </w:r>
      <w:r w:rsidRPr="008931F4">
        <w:t>(Tangney et al., 2018)</w:t>
      </w:r>
      <w:r w:rsidRPr="008931F4">
        <w:rPr>
          <w:lang w:val="en-GB"/>
        </w:rPr>
        <w:t xml:space="preserve">, being as relevant as intelligence </w:t>
      </w:r>
      <w:r w:rsidRPr="008931F4">
        <w:t>(Inzlicht &amp; Berkman, 2015)</w:t>
      </w:r>
      <w:r w:rsidRPr="008931F4">
        <w:rPr>
          <w:lang w:val="en-GB"/>
        </w:rPr>
        <w:t xml:space="preserve"> for survival and achieving wellness. Low levels of self-control have been linked with different contemporary social and health issues, such as those arising from aggressive and criminal behaviour or obesity </w:t>
      </w:r>
      <w:r w:rsidRPr="008931F4">
        <w:t>(Robson et al., 2020)</w:t>
      </w:r>
      <w:r w:rsidRPr="008931F4">
        <w:rPr>
          <w:lang w:val="en-GB"/>
        </w:rPr>
        <w:t xml:space="preserve">, substance abuse and addictions </w:t>
      </w:r>
      <w:r w:rsidRPr="008931F4">
        <w:t>(Li et al., 2021; Pennington et al., 2019)</w:t>
      </w:r>
      <w:r w:rsidRPr="008931F4">
        <w:rPr>
          <w:lang w:val="en-GB"/>
        </w:rPr>
        <w:t xml:space="preserve">, obesity and overeating </w:t>
      </w:r>
      <w:r w:rsidRPr="008931F4">
        <w:t>(Cobb-Clark et al., 2023; Hardee et al., 2020)</w:t>
      </w:r>
      <w:r w:rsidRPr="008931F4">
        <w:rPr>
          <w:lang w:val="en-GB"/>
        </w:rPr>
        <w:t xml:space="preserve">, and more unhealthy modifiable lifestyle patterns </w:t>
      </w:r>
      <w:r w:rsidRPr="008931F4">
        <w:t>(Andrade &amp; Hoyle, 2023)</w:t>
      </w:r>
      <w:r w:rsidRPr="008931F4">
        <w:rPr>
          <w:lang w:val="en-GB"/>
        </w:rPr>
        <w:t xml:space="preserve">. It is evident, then, that self-control failures transcend the individual sphere and have effects that affect at a societal level, making it relevant to look for new forms to intervene and prevent its negative consequences </w:t>
      </w:r>
      <w:r w:rsidRPr="008931F4">
        <w:t>(Hofmann, 2024)</w:t>
      </w:r>
      <w:r w:rsidRPr="008931F4">
        <w:rPr>
          <w:lang w:val="en-GB"/>
        </w:rPr>
        <w:t>.</w:t>
      </w:r>
    </w:p>
    <w:p w14:paraId="348E6EA2" w14:textId="77777777" w:rsidR="008931F4" w:rsidRPr="008931F4" w:rsidRDefault="008931F4" w:rsidP="008931F4">
      <w:pPr>
        <w:pStyle w:val="Prrafocomn"/>
        <w:spacing w:line="400" w:lineRule="exact"/>
        <w:ind w:firstLine="709"/>
        <w:rPr>
          <w:lang w:val="en-GB"/>
        </w:rPr>
      </w:pPr>
      <w:r w:rsidRPr="008931F4">
        <w:rPr>
          <w:lang w:val="en-GB"/>
        </w:rPr>
        <w:t xml:space="preserve">Although self-control caught the attention of many disciplines, when establishing the relationship between self-control and morality from a moral psychology lens, two perspectives can be distinguished </w:t>
      </w:r>
      <w:r w:rsidRPr="008931F4">
        <w:t>(Hofmann et al., 2018)</w:t>
      </w:r>
      <w:r w:rsidRPr="008931F4">
        <w:rPr>
          <w:lang w:val="en-GB"/>
        </w:rPr>
        <w:t xml:space="preserve">. The first one implies conceiving self-control as a moral value since it allows individuals to comply with moral norms and principles socially valued and reinforced </w:t>
      </w:r>
      <w:r w:rsidRPr="008931F4">
        <w:t>(Schloss, 2017; Wu et al., 2017)</w:t>
      </w:r>
      <w:r w:rsidRPr="008931F4">
        <w:rPr>
          <w:lang w:val="en-GB"/>
        </w:rPr>
        <w:t xml:space="preserve">. However, there is an urgent necessity to understand how morality operates in complex individual traits and behaviours to potentially alter and orient complex behaviours. Thus, the second direction proposes that it is morality which exerts an influence on self-control; this phenomenon of self-control becoming </w:t>
      </w:r>
      <w:r w:rsidRPr="008931F4">
        <w:rPr>
          <w:i/>
          <w:iCs/>
          <w:lang w:val="en-GB"/>
        </w:rPr>
        <w:t xml:space="preserve">moralized </w:t>
      </w:r>
      <w:r w:rsidRPr="008931F4">
        <w:rPr>
          <w:lang w:val="en-GB"/>
        </w:rPr>
        <w:t xml:space="preserve">has been less explored in the literature </w:t>
      </w:r>
      <w:r w:rsidRPr="008931F4">
        <w:t>(</w:t>
      </w:r>
      <w:proofErr w:type="spellStart"/>
      <w:r w:rsidRPr="008931F4">
        <w:t>Mooijman</w:t>
      </w:r>
      <w:proofErr w:type="spellEnd"/>
      <w:r w:rsidRPr="008931F4">
        <w:t xml:space="preserve"> et al., 2020)</w:t>
      </w:r>
      <w:r w:rsidRPr="008931F4">
        <w:rPr>
          <w:lang w:val="en-GB"/>
        </w:rPr>
        <w:t>.</w:t>
      </w:r>
    </w:p>
    <w:p w14:paraId="57371890" w14:textId="77777777" w:rsidR="008931F4" w:rsidRPr="008931F4" w:rsidRDefault="008931F4" w:rsidP="008931F4">
      <w:pPr>
        <w:pStyle w:val="Prrafocomn"/>
        <w:spacing w:line="400" w:lineRule="exact"/>
        <w:ind w:firstLine="709"/>
        <w:rPr>
          <w:lang w:val="en-GB"/>
        </w:rPr>
      </w:pPr>
      <w:r w:rsidRPr="008931F4">
        <w:rPr>
          <w:lang w:val="en-GB"/>
        </w:rPr>
        <w:t>The process of moralizing self-control</w:t>
      </w:r>
      <w:r w:rsidRPr="008931F4">
        <w:rPr>
          <w:i/>
          <w:lang w:val="en-GB"/>
        </w:rPr>
        <w:t xml:space="preserve"> </w:t>
      </w:r>
      <w:r w:rsidRPr="008931F4">
        <w:rPr>
          <w:lang w:val="en-GB"/>
        </w:rPr>
        <w:t xml:space="preserve">introduced by </w:t>
      </w:r>
      <w:proofErr w:type="spellStart"/>
      <w:r w:rsidRPr="008931F4">
        <w:rPr>
          <w:lang w:val="en-GB"/>
        </w:rPr>
        <w:t>Rozin</w:t>
      </w:r>
      <w:proofErr w:type="spellEnd"/>
      <w:r w:rsidRPr="008931F4">
        <w:rPr>
          <w:lang w:val="en-GB"/>
        </w:rPr>
        <w:t xml:space="preserve"> </w:t>
      </w:r>
      <w:r w:rsidRPr="008931F4">
        <w:t xml:space="preserve">(1999; </w:t>
      </w:r>
      <w:proofErr w:type="spellStart"/>
      <w:r w:rsidRPr="008931F4">
        <w:t>Rozin</w:t>
      </w:r>
      <w:proofErr w:type="spellEnd"/>
      <w:r w:rsidRPr="008931F4">
        <w:t xml:space="preserve"> et al., 1997)</w:t>
      </w:r>
      <w:r w:rsidRPr="008931F4">
        <w:rPr>
          <w:lang w:val="en-GB"/>
        </w:rPr>
        <w:t xml:space="preserve"> implies that the consequences of behaviour where self-control ability is involved will be evaluated in terms of what an individual intrinsically considers as right or wrong due to the conversion of a preference into a moral value. Because moral principles are also considered strong motivators to determine success or failure when exerting control over own behaviour, the probability of self-control failures may be reduced, as the consequences are morally condemned </w:t>
      </w:r>
      <w:r w:rsidRPr="008931F4">
        <w:t>(</w:t>
      </w:r>
      <w:proofErr w:type="spellStart"/>
      <w:r w:rsidRPr="008931F4">
        <w:t>Mooijman</w:t>
      </w:r>
      <w:proofErr w:type="spellEnd"/>
      <w:r w:rsidRPr="008931F4">
        <w:t xml:space="preserve"> et al., 2020)</w:t>
      </w:r>
      <w:r w:rsidRPr="008931F4">
        <w:rPr>
          <w:lang w:val="en-GB"/>
        </w:rPr>
        <w:t xml:space="preserve">. This theoretical proposition implies that morality exerts an effect on emotional, cognitive, and </w:t>
      </w:r>
      <w:r w:rsidRPr="008931F4">
        <w:rPr>
          <w:lang w:val="en-GB"/>
        </w:rPr>
        <w:lastRenderedPageBreak/>
        <w:t xml:space="preserve">motivational levels to successfully control one’s behaviour </w:t>
      </w:r>
      <w:r w:rsidRPr="008931F4">
        <w:t>(Hofmann et al., 2018; Xie et al., 2019; Zahn et al., 2020)</w:t>
      </w:r>
      <w:r w:rsidRPr="008931F4">
        <w:rPr>
          <w:lang w:val="en-GB"/>
        </w:rPr>
        <w:t xml:space="preserve">. </w:t>
      </w:r>
    </w:p>
    <w:p w14:paraId="77B632BD" w14:textId="77777777" w:rsidR="008931F4" w:rsidRPr="008931F4" w:rsidRDefault="008931F4" w:rsidP="008931F4">
      <w:pPr>
        <w:pStyle w:val="Prrafocomn"/>
        <w:spacing w:line="400" w:lineRule="exact"/>
        <w:ind w:firstLine="709"/>
        <w:rPr>
          <w:lang w:val="en-GB"/>
        </w:rPr>
      </w:pPr>
      <w:r w:rsidRPr="008931F4">
        <w:rPr>
          <w:lang w:val="en-GB"/>
        </w:rPr>
        <w:t xml:space="preserve">Among the moral variables, moral identity becomes theoretically relevant when addressing self-control, as it refers to some relatively stable characteristics that point out the place that morality occupies in an individual, and that determine the degree of consistency between moral thought and moral behaviour </w:t>
      </w:r>
      <w:r w:rsidRPr="008931F4">
        <w:t>(Aquino et al., 2009; Blasi, 1994)</w:t>
      </w:r>
      <w:r w:rsidRPr="008931F4">
        <w:rPr>
          <w:lang w:val="en-GB"/>
        </w:rPr>
        <w:t xml:space="preserve">. Since individuals can appraise self-control demanding situations by framing goals oriented by their core identities or representations of themselves </w:t>
      </w:r>
      <w:r w:rsidRPr="008931F4">
        <w:t>(Berkman et al., 2017; Duckworth &amp; Gross, 2024)</w:t>
      </w:r>
      <w:r w:rsidRPr="008931F4">
        <w:rPr>
          <w:lang w:val="en-GB"/>
        </w:rPr>
        <w:t xml:space="preserve">, the stronger the moral identity, the stronger the consistency between the moral intention and desired behaviour since cognition, motivation and values evoked by identity facilitate goal achievement </w:t>
      </w:r>
      <w:r w:rsidRPr="008931F4">
        <w:t>(Berkman et al., 2017)</w:t>
      </w:r>
      <w:r w:rsidRPr="008931F4">
        <w:rPr>
          <w:lang w:val="en-GB"/>
        </w:rPr>
        <w:t xml:space="preserve">. Moral identity has been linked with self-control in the past: both by self-control being required for morally valued behaviour, such as avoiding unethical behaviour and cheating </w:t>
      </w:r>
      <w:r w:rsidRPr="008931F4">
        <w:t>(Gino et al., 2011)</w:t>
      </w:r>
      <w:r w:rsidRPr="008931F4">
        <w:rPr>
          <w:lang w:val="en-GB"/>
        </w:rPr>
        <w:t xml:space="preserve">; and more recently, by higher levels of it being required for successful self-control </w:t>
      </w:r>
      <w:r w:rsidRPr="008931F4">
        <w:t>(Joosten et al., 2015)</w:t>
      </w:r>
      <w:r w:rsidRPr="008931F4">
        <w:rPr>
          <w:lang w:val="en-GB"/>
        </w:rPr>
        <w:t xml:space="preserve">. </w:t>
      </w:r>
    </w:p>
    <w:p w14:paraId="7D2D3B96" w14:textId="4EF29CDB" w:rsidR="008931F4" w:rsidRDefault="008931F4" w:rsidP="008931F4">
      <w:pPr>
        <w:pStyle w:val="Prrafocomn"/>
        <w:spacing w:line="400" w:lineRule="exact"/>
        <w:ind w:firstLine="709"/>
        <w:rPr>
          <w:lang w:val="en-GB"/>
        </w:rPr>
      </w:pPr>
      <w:r w:rsidRPr="008931F4">
        <w:rPr>
          <w:lang w:val="en-GB"/>
        </w:rPr>
        <w:t xml:space="preserve">In addition to the stable traits associated with identity, the Moral Foundations Theory </w:t>
      </w:r>
      <w:r w:rsidRPr="008931F4">
        <w:t>(Graham et al., 2011, 2013; Haidt, 2013; Haidt &amp; Graham, 2007)</w:t>
      </w:r>
      <w:r w:rsidRPr="008931F4">
        <w:rPr>
          <w:lang w:val="en-GB"/>
        </w:rPr>
        <w:t xml:space="preserve"> has gained a lot of attention during the last decades for its potentiality in explaining moral judgment and subsequent behaviour based in a more situational evaluation. This theory proposes that two groups of moral principles or foundations are present in every culture and orient individuals’ behaviour</w:t>
      </w:r>
      <w:r w:rsidRPr="008931F4">
        <w:t>:</w:t>
      </w:r>
      <w:r w:rsidRPr="008931F4">
        <w:rPr>
          <w:lang w:val="en-GB"/>
        </w:rPr>
        <w:t xml:space="preserve"> binding foundations, aiming to ensure group wellbeing; and individualizing foundations, prioritising the individual rather than the group </w:t>
      </w:r>
      <w:r w:rsidRPr="008931F4">
        <w:t>(</w:t>
      </w:r>
      <w:proofErr w:type="spellStart"/>
      <w:r w:rsidRPr="008931F4">
        <w:t>Zakharin</w:t>
      </w:r>
      <w:proofErr w:type="spellEnd"/>
      <w:r w:rsidRPr="008931F4">
        <w:t xml:space="preserve"> &amp; Bates, 2021)</w:t>
      </w:r>
      <w:r w:rsidRPr="008931F4">
        <w:rPr>
          <w:lang w:val="en-GB"/>
        </w:rPr>
        <w:t xml:space="preserve">. These categories are not opposed to each other, rather each category may be prioritized under certain contextual and situational conditions, claiming moral pluralism </w:t>
      </w:r>
      <w:r w:rsidRPr="008931F4">
        <w:t>(Graham et al., 2013; Haidt, 2013)</w:t>
      </w:r>
      <w:r w:rsidRPr="008931F4">
        <w:rPr>
          <w:lang w:val="en-GB"/>
        </w:rPr>
        <w:t xml:space="preserve">. Supported by the fact that explicit norms prioritizing collective or individual well-being shape our core moral values and subsequent behaviour, self-control consequences may become moralized when particular situations evoke binding or individualizing foundations. Previous literature has tried to identify which group of foundations has a stronger effect on self-control, with inconclusive results favouring both individualizing </w:t>
      </w:r>
      <w:r w:rsidRPr="008931F4">
        <w:t>(Hofmann et al., 2018; Silver &amp; Silver, 2021)</w:t>
      </w:r>
      <w:r w:rsidRPr="008931F4">
        <w:rPr>
          <w:lang w:val="en-GB"/>
        </w:rPr>
        <w:t xml:space="preserve"> and binding foundations </w:t>
      </w:r>
      <w:r w:rsidRPr="008931F4">
        <w:t>(</w:t>
      </w:r>
      <w:proofErr w:type="spellStart"/>
      <w:r w:rsidRPr="008931F4">
        <w:t>Mooijman</w:t>
      </w:r>
      <w:proofErr w:type="spellEnd"/>
      <w:r w:rsidRPr="008931F4">
        <w:t xml:space="preserve"> et al., 2020)</w:t>
      </w:r>
      <w:r w:rsidRPr="008931F4">
        <w:rPr>
          <w:lang w:val="en-GB"/>
        </w:rPr>
        <w:t>.</w:t>
      </w:r>
    </w:p>
    <w:p w14:paraId="4C786EDA" w14:textId="122EEC56" w:rsidR="008931F4" w:rsidRDefault="008931F4" w:rsidP="008931F4">
      <w:pPr>
        <w:pStyle w:val="Prrafocomn"/>
        <w:spacing w:line="400" w:lineRule="exact"/>
        <w:ind w:firstLine="709"/>
        <w:rPr>
          <w:lang w:val="en-GB"/>
        </w:rPr>
      </w:pPr>
    </w:p>
    <w:p w14:paraId="2D2D50A9" w14:textId="41D585D7" w:rsidR="008931F4" w:rsidRDefault="008931F4" w:rsidP="008931F4">
      <w:pPr>
        <w:pStyle w:val="Prrafocomn"/>
        <w:spacing w:line="400" w:lineRule="exact"/>
        <w:ind w:firstLine="709"/>
        <w:rPr>
          <w:lang w:val="en-GB"/>
        </w:rPr>
      </w:pPr>
    </w:p>
    <w:p w14:paraId="377C5F33" w14:textId="77777777" w:rsidR="008931F4" w:rsidRPr="008931F4" w:rsidRDefault="008931F4" w:rsidP="008931F4">
      <w:pPr>
        <w:pStyle w:val="Prrafocomn"/>
        <w:spacing w:line="400" w:lineRule="exact"/>
        <w:ind w:firstLine="709"/>
        <w:rPr>
          <w:lang w:val="en-GB"/>
        </w:rPr>
      </w:pPr>
    </w:p>
    <w:p w14:paraId="16002FD0" w14:textId="4A3CA005" w:rsidR="008931F4" w:rsidRPr="008931F4" w:rsidRDefault="008931F4" w:rsidP="008931F4">
      <w:pPr>
        <w:pStyle w:val="SubtituloInterno"/>
        <w:rPr>
          <w:bCs/>
          <w:iCs/>
          <w:lang w:val="en-US"/>
        </w:rPr>
      </w:pPr>
      <w:r w:rsidRPr="008931F4">
        <w:rPr>
          <w:bCs/>
          <w:lang w:val="en-GB" w:eastAsia="es-ES_tradnl"/>
        </w:rPr>
        <w:lastRenderedPageBreak/>
        <w:t>The present study</w:t>
      </w:r>
    </w:p>
    <w:p w14:paraId="2036EDB2" w14:textId="77777777" w:rsidR="008931F4" w:rsidRPr="008931F4" w:rsidRDefault="008931F4" w:rsidP="008931F4">
      <w:pPr>
        <w:pStyle w:val="Prrafocomn"/>
        <w:spacing w:line="400" w:lineRule="exact"/>
        <w:ind w:firstLine="709"/>
        <w:rPr>
          <w:bCs/>
          <w:lang w:val="en-GB"/>
        </w:rPr>
      </w:pPr>
      <w:r w:rsidRPr="008931F4">
        <w:rPr>
          <w:bCs/>
          <w:lang w:val="en-GB"/>
        </w:rPr>
        <w:t xml:space="preserve">Morality implies numerous variables whose roles and influences need to be specified to clarify how and when self-control moralization occurs and how self-control failures are less likely to be committed </w:t>
      </w:r>
      <w:r w:rsidRPr="008931F4">
        <w:rPr>
          <w:bCs/>
        </w:rPr>
        <w:t>(</w:t>
      </w:r>
      <w:proofErr w:type="spellStart"/>
      <w:r w:rsidRPr="008931F4">
        <w:rPr>
          <w:bCs/>
        </w:rPr>
        <w:t>Mooijman</w:t>
      </w:r>
      <w:proofErr w:type="spellEnd"/>
      <w:r w:rsidRPr="008931F4">
        <w:rPr>
          <w:bCs/>
        </w:rPr>
        <w:t xml:space="preserve"> et al., 2018)</w:t>
      </w:r>
      <w:r w:rsidRPr="008931F4">
        <w:rPr>
          <w:bCs/>
          <w:lang w:val="en-GB"/>
        </w:rPr>
        <w:t xml:space="preserve">. Despite both moral identity and moral foundations being previously individually linked to self-control, no evidence has been reported regarding their effects when combined, or any possible interaction given their theoretical conceptions. Moreover, considering that there are certain critical periods for the development, the existent literature suggests that during young adulthood, both self-control and moral reasoning undergo a stage of rapid development and consolidation </w:t>
      </w:r>
      <w:r w:rsidRPr="008931F4">
        <w:rPr>
          <w:bCs/>
        </w:rPr>
        <w:t xml:space="preserve">(Anderson &amp; </w:t>
      </w:r>
      <w:proofErr w:type="spellStart"/>
      <w:r w:rsidRPr="008931F4">
        <w:rPr>
          <w:bCs/>
        </w:rPr>
        <w:t>Krettenauer</w:t>
      </w:r>
      <w:proofErr w:type="spellEnd"/>
      <w:r w:rsidRPr="008931F4">
        <w:rPr>
          <w:bCs/>
        </w:rPr>
        <w:t xml:space="preserve">, 2021; Kim et al., 2022; </w:t>
      </w:r>
      <w:proofErr w:type="spellStart"/>
      <w:r w:rsidRPr="008931F4">
        <w:rPr>
          <w:bCs/>
        </w:rPr>
        <w:t>Krettenauer</w:t>
      </w:r>
      <w:proofErr w:type="spellEnd"/>
      <w:r w:rsidRPr="008931F4">
        <w:rPr>
          <w:bCs/>
        </w:rPr>
        <w:t>, 2022; Zondervan-</w:t>
      </w:r>
      <w:proofErr w:type="spellStart"/>
      <w:r w:rsidRPr="008931F4">
        <w:rPr>
          <w:bCs/>
        </w:rPr>
        <w:t>Zwijnenburg</w:t>
      </w:r>
      <w:proofErr w:type="spellEnd"/>
      <w:r w:rsidRPr="008931F4">
        <w:rPr>
          <w:bCs/>
        </w:rPr>
        <w:t xml:space="preserve"> et al., 2020)</w:t>
      </w:r>
      <w:r w:rsidRPr="008931F4">
        <w:rPr>
          <w:bCs/>
          <w:lang w:val="en-GB"/>
        </w:rPr>
        <w:t xml:space="preserve">. Therefore, research focused on this life stage might be valuable for understanding self-control moralization mechanisms. </w:t>
      </w:r>
    </w:p>
    <w:p w14:paraId="764982CD" w14:textId="77777777" w:rsidR="008931F4" w:rsidRPr="008931F4" w:rsidRDefault="008931F4" w:rsidP="008931F4">
      <w:pPr>
        <w:pStyle w:val="Prrafocomn"/>
        <w:spacing w:line="400" w:lineRule="exact"/>
        <w:ind w:firstLine="709"/>
        <w:rPr>
          <w:bCs/>
          <w:lang w:val="en-GB"/>
        </w:rPr>
      </w:pPr>
      <w:r w:rsidRPr="008931F4">
        <w:rPr>
          <w:bCs/>
          <w:lang w:val="en-GB"/>
        </w:rPr>
        <w:t>To contribute to filling these gaps, the present study aims to explore whether self-control scores show a significant difference based on high and low levels of moral identity, binding and individualizing foundations during young adulthood. To do so, the following hypotheses will be tested:</w:t>
      </w:r>
    </w:p>
    <w:p w14:paraId="7D2BFB10" w14:textId="77777777" w:rsidR="008931F4" w:rsidRPr="008931F4" w:rsidRDefault="008931F4" w:rsidP="0048423C">
      <w:pPr>
        <w:pStyle w:val="Prrafocomn"/>
        <w:numPr>
          <w:ilvl w:val="0"/>
          <w:numId w:val="1"/>
        </w:numPr>
        <w:spacing w:line="400" w:lineRule="exact"/>
        <w:rPr>
          <w:bCs/>
          <w:lang w:val="en-GB"/>
        </w:rPr>
      </w:pPr>
      <w:r w:rsidRPr="008931F4">
        <w:rPr>
          <w:bCs/>
          <w:lang w:val="en-GB"/>
        </w:rPr>
        <w:t xml:space="preserve">H1: We expect a positive association between moral identity and self-control. </w:t>
      </w:r>
    </w:p>
    <w:p w14:paraId="1B4B9A1D" w14:textId="77777777" w:rsidR="008931F4" w:rsidRPr="008931F4" w:rsidRDefault="008931F4" w:rsidP="0048423C">
      <w:pPr>
        <w:pStyle w:val="Prrafocomn"/>
        <w:numPr>
          <w:ilvl w:val="0"/>
          <w:numId w:val="1"/>
        </w:numPr>
        <w:spacing w:line="400" w:lineRule="exact"/>
        <w:rPr>
          <w:bCs/>
          <w:lang w:val="en-GB"/>
        </w:rPr>
      </w:pPr>
      <w:r w:rsidRPr="008931F4">
        <w:rPr>
          <w:bCs/>
          <w:lang w:val="en-GB"/>
        </w:rPr>
        <w:t xml:space="preserve">H2. We anticipate a positive association between individualizing foundations and self-control. </w:t>
      </w:r>
    </w:p>
    <w:p w14:paraId="3E640368" w14:textId="77777777" w:rsidR="008931F4" w:rsidRPr="008931F4" w:rsidRDefault="008931F4" w:rsidP="0048423C">
      <w:pPr>
        <w:pStyle w:val="Prrafocomn"/>
        <w:numPr>
          <w:ilvl w:val="0"/>
          <w:numId w:val="1"/>
        </w:numPr>
        <w:spacing w:line="400" w:lineRule="exact"/>
        <w:rPr>
          <w:bCs/>
          <w:lang w:val="en-GB"/>
        </w:rPr>
      </w:pPr>
      <w:r w:rsidRPr="008931F4">
        <w:rPr>
          <w:bCs/>
          <w:lang w:val="en-GB"/>
        </w:rPr>
        <w:t xml:space="preserve">H3. We anticipate a positive association between binding foundations and self-control. </w:t>
      </w:r>
    </w:p>
    <w:p w14:paraId="1DE38174" w14:textId="77777777" w:rsidR="008931F4" w:rsidRPr="008931F4" w:rsidRDefault="008931F4" w:rsidP="0048423C">
      <w:pPr>
        <w:pStyle w:val="Prrafocomn"/>
        <w:numPr>
          <w:ilvl w:val="0"/>
          <w:numId w:val="1"/>
        </w:numPr>
        <w:spacing w:line="400" w:lineRule="exact"/>
        <w:rPr>
          <w:bCs/>
          <w:lang w:val="en-GB"/>
        </w:rPr>
      </w:pPr>
      <w:r w:rsidRPr="008931F4">
        <w:rPr>
          <w:bCs/>
          <w:lang w:val="en-GB"/>
        </w:rPr>
        <w:t>H4. We predict a significant interactive effect between moral identity and individualizing foundations on self-control.</w:t>
      </w:r>
    </w:p>
    <w:p w14:paraId="21EBA61C" w14:textId="5D08CD4A" w:rsidR="002A1733" w:rsidRPr="00225541" w:rsidRDefault="008931F4" w:rsidP="00225541">
      <w:pPr>
        <w:pStyle w:val="Prrafocomn"/>
        <w:spacing w:line="400" w:lineRule="exact"/>
        <w:ind w:firstLine="709"/>
      </w:pPr>
      <w:r w:rsidRPr="008931F4">
        <w:rPr>
          <w:bCs/>
          <w:lang w:val="en-GB"/>
        </w:rPr>
        <w:t>H5. We predict a significant interactive effect between moral identity and binding foundations on self-control.</w:t>
      </w:r>
    </w:p>
    <w:p w14:paraId="3BEA5576" w14:textId="2621825B" w:rsidR="00012352" w:rsidRPr="00BA637E" w:rsidRDefault="00BA637E" w:rsidP="00BA637E">
      <w:pPr>
        <w:pStyle w:val="Ttulosinternos"/>
        <w:rPr>
          <w:lang w:val="en-US"/>
        </w:rPr>
      </w:pPr>
      <w:r w:rsidRPr="00BA637E">
        <w:rPr>
          <w:lang w:val="en-US"/>
        </w:rPr>
        <w:t>Method</w:t>
      </w:r>
    </w:p>
    <w:p w14:paraId="13E8D865" w14:textId="4A6B3C0A" w:rsidR="00C672C3" w:rsidRPr="00BA637E" w:rsidRDefault="00BA637E" w:rsidP="00471F54">
      <w:pPr>
        <w:pStyle w:val="SubtituloInterno"/>
        <w:rPr>
          <w:bCs/>
          <w:iCs/>
          <w:lang w:val="en-US"/>
        </w:rPr>
      </w:pPr>
      <w:r w:rsidRPr="00BA637E">
        <w:rPr>
          <w:bCs/>
          <w:iCs/>
          <w:lang w:val="en-US"/>
        </w:rPr>
        <w:t>Participants</w:t>
      </w:r>
    </w:p>
    <w:p w14:paraId="0FEA5CC0" w14:textId="3FC7E4CD" w:rsidR="00C672C3" w:rsidRDefault="009633FB" w:rsidP="00BA637E">
      <w:pPr>
        <w:pStyle w:val="Prrafocomn"/>
        <w:rPr>
          <w:bCs/>
          <w:iCs/>
          <w:lang w:val="en-GB"/>
        </w:rPr>
      </w:pPr>
      <w:r w:rsidRPr="009633FB">
        <w:rPr>
          <w:bCs/>
          <w:iCs/>
          <w:lang w:val="en-GB"/>
        </w:rPr>
        <w:t>Data from 677 people were collected, however, following the study’s age criterion, we included a final non-probabilistic convenience sample of 626 participants aged between 18 and 30 years old (M = 22.87; SD = 2.66) from two cities from the La Paz region, located in the Bolivian Highlands. 61 % of the sample were women (</w:t>
      </w:r>
      <w:r w:rsidRPr="009633FB">
        <w:rPr>
          <w:bCs/>
          <w:i/>
          <w:iCs/>
          <w:lang w:val="en-GB"/>
        </w:rPr>
        <w:t xml:space="preserve">n </w:t>
      </w:r>
      <w:r w:rsidRPr="009633FB">
        <w:rPr>
          <w:bCs/>
          <w:iCs/>
          <w:lang w:val="en-GB"/>
        </w:rPr>
        <w:t xml:space="preserve">= 382); regarding the occupation, more than half reported they were exclusively students when </w:t>
      </w:r>
      <w:r w:rsidRPr="009633FB">
        <w:rPr>
          <w:bCs/>
          <w:iCs/>
          <w:lang w:val="en-GB"/>
        </w:rPr>
        <w:lastRenderedPageBreak/>
        <w:t xml:space="preserve">they were surveyed (55.8%; </w:t>
      </w:r>
      <w:r w:rsidRPr="009633FB">
        <w:rPr>
          <w:bCs/>
          <w:i/>
          <w:iCs/>
          <w:lang w:val="en-GB"/>
        </w:rPr>
        <w:t xml:space="preserve">n </w:t>
      </w:r>
      <w:r w:rsidRPr="009633FB">
        <w:rPr>
          <w:bCs/>
          <w:iCs/>
          <w:lang w:val="en-GB"/>
        </w:rPr>
        <w:t>= 349), while less than 10% reported being exclusively working (</w:t>
      </w:r>
      <w:r w:rsidRPr="009633FB">
        <w:rPr>
          <w:bCs/>
          <w:i/>
          <w:iCs/>
          <w:lang w:val="en-GB"/>
        </w:rPr>
        <w:t>n</w:t>
      </w:r>
      <w:r w:rsidRPr="009633FB">
        <w:rPr>
          <w:bCs/>
          <w:iCs/>
          <w:lang w:val="en-GB"/>
        </w:rPr>
        <w:t>= 9.4). The minimum required sample size (</w:t>
      </w:r>
      <w:r w:rsidRPr="009633FB">
        <w:rPr>
          <w:bCs/>
          <w:i/>
          <w:iCs/>
          <w:lang w:val="en-GB"/>
        </w:rPr>
        <w:t>n</w:t>
      </w:r>
      <w:r w:rsidRPr="009633FB">
        <w:rPr>
          <w:bCs/>
          <w:iCs/>
          <w:lang w:val="en-GB"/>
        </w:rPr>
        <w:t xml:space="preserve">=384) was set based on the Population Projections, 2020 Revision </w:t>
      </w:r>
      <w:r w:rsidRPr="009633FB">
        <w:rPr>
          <w:bCs/>
          <w:iCs/>
        </w:rPr>
        <w:t xml:space="preserve">(Instituto Nacional de </w:t>
      </w:r>
      <w:proofErr w:type="spellStart"/>
      <w:r w:rsidRPr="009633FB">
        <w:rPr>
          <w:bCs/>
          <w:iCs/>
        </w:rPr>
        <w:t>Estadisticas</w:t>
      </w:r>
      <w:proofErr w:type="spellEnd"/>
      <w:r w:rsidRPr="009633FB">
        <w:rPr>
          <w:bCs/>
          <w:iCs/>
        </w:rPr>
        <w:t>, n.d.)</w:t>
      </w:r>
      <w:r w:rsidRPr="009633FB">
        <w:rPr>
          <w:bCs/>
          <w:iCs/>
          <w:lang w:val="en-GB"/>
        </w:rPr>
        <w:t xml:space="preserve"> for 2020 (658,369 people aged from 18-30 years in La Paz region), setting a confidence level of 95%.</w:t>
      </w:r>
    </w:p>
    <w:p w14:paraId="6A884892" w14:textId="6936CF46" w:rsidR="009633FB" w:rsidRPr="009633FB" w:rsidRDefault="009633FB" w:rsidP="009633FB">
      <w:pPr>
        <w:widowControl w:val="0"/>
        <w:autoSpaceDE w:val="0"/>
        <w:autoSpaceDN w:val="0"/>
        <w:spacing w:line="360" w:lineRule="auto"/>
        <w:rPr>
          <w:b/>
          <w:bCs/>
          <w:iCs/>
          <w:spacing w:val="-2"/>
          <w:lang w:val="en-GB"/>
        </w:rPr>
      </w:pPr>
      <w:r w:rsidRPr="009633FB">
        <w:rPr>
          <w:b/>
          <w:bCs/>
          <w:iCs/>
          <w:lang w:val="en-GB"/>
        </w:rPr>
        <w:t>Table</w:t>
      </w:r>
      <w:r w:rsidRPr="009633FB">
        <w:rPr>
          <w:b/>
          <w:bCs/>
          <w:iCs/>
          <w:spacing w:val="-1"/>
          <w:lang w:val="en-GB"/>
        </w:rPr>
        <w:t xml:space="preserve"> </w:t>
      </w:r>
      <w:r w:rsidRPr="009633FB">
        <w:rPr>
          <w:b/>
          <w:bCs/>
          <w:iCs/>
          <w:lang w:val="en-GB"/>
        </w:rPr>
        <w:t>1</w:t>
      </w:r>
    </w:p>
    <w:p w14:paraId="1E89DE9C" w14:textId="7B1B156D" w:rsidR="009633FB" w:rsidRPr="009633FB" w:rsidRDefault="009633FB" w:rsidP="009633FB">
      <w:pPr>
        <w:widowControl w:val="0"/>
        <w:autoSpaceDE w:val="0"/>
        <w:autoSpaceDN w:val="0"/>
        <w:spacing w:line="360" w:lineRule="auto"/>
        <w:rPr>
          <w:i/>
          <w:lang w:val="en-GB"/>
        </w:rPr>
      </w:pPr>
      <w:r w:rsidRPr="009633FB">
        <w:rPr>
          <w:i/>
          <w:lang w:val="en-GB"/>
        </w:rPr>
        <w:t>Sociodemographic</w:t>
      </w:r>
      <w:r w:rsidRPr="009633FB">
        <w:rPr>
          <w:i/>
          <w:spacing w:val="-1"/>
          <w:lang w:val="en-GB"/>
        </w:rPr>
        <w:t xml:space="preserve"> </w:t>
      </w:r>
      <w:r w:rsidRPr="009633FB">
        <w:rPr>
          <w:i/>
          <w:lang w:val="en-GB"/>
        </w:rPr>
        <w:t>data</w:t>
      </w:r>
      <w:r w:rsidRPr="009633FB">
        <w:rPr>
          <w:i/>
          <w:spacing w:val="-1"/>
          <w:lang w:val="en-GB"/>
        </w:rPr>
        <w:t xml:space="preserve"> </w:t>
      </w:r>
      <w:r w:rsidRPr="009633FB">
        <w:rPr>
          <w:i/>
          <w:lang w:val="en-GB"/>
        </w:rPr>
        <w:t>of</w:t>
      </w:r>
      <w:r w:rsidRPr="009633FB">
        <w:rPr>
          <w:i/>
          <w:spacing w:val="-3"/>
          <w:lang w:val="en-GB"/>
        </w:rPr>
        <w:t xml:space="preserve"> </w:t>
      </w:r>
      <w:r w:rsidRPr="009633FB">
        <w:rPr>
          <w:i/>
          <w:lang w:val="en-GB"/>
        </w:rPr>
        <w:t>the</w:t>
      </w:r>
      <w:r w:rsidRPr="009633FB">
        <w:rPr>
          <w:i/>
          <w:spacing w:val="-2"/>
          <w:lang w:val="en-GB"/>
        </w:rPr>
        <w:t xml:space="preserve"> </w:t>
      </w:r>
      <w:r w:rsidRPr="009633FB">
        <w:rPr>
          <w:i/>
          <w:lang w:val="en-GB"/>
        </w:rPr>
        <w:t>sample</w:t>
      </w:r>
      <w:r w:rsidRPr="009633FB">
        <w:rPr>
          <w:i/>
          <w:spacing w:val="2"/>
          <w:lang w:val="en-GB"/>
        </w:rPr>
        <w:t xml:space="preserve"> </w:t>
      </w:r>
      <w:r w:rsidRPr="009633FB">
        <w:rPr>
          <w:i/>
          <w:lang w:val="en-GB"/>
        </w:rPr>
        <w:t>(n=626)</w:t>
      </w:r>
    </w:p>
    <w:tbl>
      <w:tblPr>
        <w:tblStyle w:val="TableNormal1"/>
        <w:tblW w:w="5000" w:type="pct"/>
        <w:tblLook w:val="01E0" w:firstRow="1" w:lastRow="1" w:firstColumn="1" w:lastColumn="1" w:noHBand="0" w:noVBand="0"/>
      </w:tblPr>
      <w:tblGrid>
        <w:gridCol w:w="1523"/>
        <w:gridCol w:w="1918"/>
        <w:gridCol w:w="1636"/>
        <w:gridCol w:w="1905"/>
        <w:gridCol w:w="1522"/>
      </w:tblGrid>
      <w:tr w:rsidR="009633FB" w:rsidRPr="009633FB" w14:paraId="45FD93F4" w14:textId="77777777" w:rsidTr="00783E7F">
        <w:trPr>
          <w:trHeight w:val="286"/>
        </w:trPr>
        <w:tc>
          <w:tcPr>
            <w:tcW w:w="895" w:type="pct"/>
            <w:vMerge w:val="restart"/>
            <w:tcBorders>
              <w:top w:val="single" w:sz="4" w:space="0" w:color="000000"/>
              <w:bottom w:val="single" w:sz="4" w:space="0" w:color="auto"/>
            </w:tcBorders>
          </w:tcPr>
          <w:p w14:paraId="2A2DDA5E" w14:textId="77777777" w:rsidR="009633FB" w:rsidRPr="009633FB" w:rsidRDefault="009633FB" w:rsidP="005F6D0F">
            <w:pPr>
              <w:rPr>
                <w:rFonts w:eastAsia="Arial MT"/>
                <w:sz w:val="24"/>
                <w:szCs w:val="24"/>
                <w:lang w:val="en-GB"/>
              </w:rPr>
            </w:pPr>
          </w:p>
        </w:tc>
        <w:tc>
          <w:tcPr>
            <w:tcW w:w="1127" w:type="pct"/>
            <w:tcBorders>
              <w:top w:val="single" w:sz="4" w:space="0" w:color="000000"/>
            </w:tcBorders>
          </w:tcPr>
          <w:p w14:paraId="3C1F1DDE" w14:textId="77777777" w:rsidR="009633FB" w:rsidRPr="009633FB" w:rsidRDefault="009633FB" w:rsidP="005F6D0F">
            <w:pPr>
              <w:spacing w:line="228" w:lineRule="exact"/>
              <w:ind w:right="322"/>
              <w:jc w:val="center"/>
              <w:rPr>
                <w:rFonts w:eastAsia="Arial MT"/>
                <w:b/>
                <w:sz w:val="24"/>
                <w:szCs w:val="24"/>
                <w:lang w:val="en-GB"/>
              </w:rPr>
            </w:pPr>
            <w:r w:rsidRPr="009633FB">
              <w:rPr>
                <w:rFonts w:eastAsia="Arial MT"/>
                <w:b/>
                <w:sz w:val="24"/>
                <w:szCs w:val="24"/>
                <w:lang w:val="en-GB"/>
              </w:rPr>
              <w:t>Female</w:t>
            </w:r>
          </w:p>
        </w:tc>
        <w:tc>
          <w:tcPr>
            <w:tcW w:w="962" w:type="pct"/>
            <w:tcBorders>
              <w:top w:val="single" w:sz="4" w:space="0" w:color="000000"/>
            </w:tcBorders>
          </w:tcPr>
          <w:p w14:paraId="10C99FB3" w14:textId="77777777" w:rsidR="009633FB" w:rsidRPr="009633FB" w:rsidRDefault="009633FB" w:rsidP="005F6D0F">
            <w:pPr>
              <w:spacing w:line="228" w:lineRule="exact"/>
              <w:ind w:right="359"/>
              <w:jc w:val="center"/>
              <w:rPr>
                <w:rFonts w:eastAsia="Arial MT"/>
                <w:b/>
                <w:sz w:val="24"/>
                <w:szCs w:val="24"/>
                <w:lang w:val="en-GB"/>
              </w:rPr>
            </w:pPr>
            <w:r w:rsidRPr="009633FB">
              <w:rPr>
                <w:rFonts w:eastAsia="Arial MT"/>
                <w:b/>
                <w:sz w:val="24"/>
                <w:szCs w:val="24"/>
                <w:lang w:val="en-GB"/>
              </w:rPr>
              <w:t>Male</w:t>
            </w:r>
          </w:p>
        </w:tc>
        <w:tc>
          <w:tcPr>
            <w:tcW w:w="1120" w:type="pct"/>
            <w:tcBorders>
              <w:top w:val="single" w:sz="4" w:space="0" w:color="000000"/>
            </w:tcBorders>
          </w:tcPr>
          <w:p w14:paraId="22004589" w14:textId="77777777" w:rsidR="009633FB" w:rsidRPr="009633FB" w:rsidRDefault="009633FB" w:rsidP="005F6D0F">
            <w:pPr>
              <w:spacing w:line="228" w:lineRule="exact"/>
              <w:ind w:right="257"/>
              <w:jc w:val="center"/>
              <w:rPr>
                <w:rFonts w:eastAsia="Arial MT"/>
                <w:b/>
                <w:sz w:val="24"/>
                <w:szCs w:val="24"/>
                <w:lang w:val="en-GB"/>
              </w:rPr>
            </w:pPr>
            <w:r w:rsidRPr="009633FB">
              <w:rPr>
                <w:rFonts w:eastAsia="Arial MT"/>
                <w:b/>
                <w:sz w:val="24"/>
                <w:szCs w:val="24"/>
                <w:lang w:val="en-GB"/>
              </w:rPr>
              <w:t>Not stated</w:t>
            </w:r>
          </w:p>
        </w:tc>
        <w:tc>
          <w:tcPr>
            <w:tcW w:w="895" w:type="pct"/>
            <w:tcBorders>
              <w:top w:val="single" w:sz="4" w:space="0" w:color="000000"/>
            </w:tcBorders>
          </w:tcPr>
          <w:p w14:paraId="7F785263" w14:textId="77777777" w:rsidR="009633FB" w:rsidRPr="009633FB" w:rsidRDefault="009633FB" w:rsidP="005F6D0F">
            <w:pPr>
              <w:spacing w:line="228" w:lineRule="exact"/>
              <w:ind w:right="257"/>
              <w:jc w:val="center"/>
              <w:rPr>
                <w:rFonts w:eastAsia="Arial MT"/>
                <w:b/>
                <w:sz w:val="24"/>
                <w:szCs w:val="24"/>
                <w:lang w:val="en-GB"/>
              </w:rPr>
            </w:pPr>
            <w:r w:rsidRPr="009633FB">
              <w:rPr>
                <w:rFonts w:eastAsia="Arial MT"/>
                <w:b/>
                <w:sz w:val="24"/>
                <w:szCs w:val="24"/>
                <w:lang w:val="en-GB"/>
              </w:rPr>
              <w:t>Total</w:t>
            </w:r>
          </w:p>
        </w:tc>
      </w:tr>
      <w:tr w:rsidR="009633FB" w:rsidRPr="009633FB" w14:paraId="2FDB4345" w14:textId="77777777" w:rsidTr="00783E7F">
        <w:trPr>
          <w:trHeight w:val="401"/>
        </w:trPr>
        <w:tc>
          <w:tcPr>
            <w:tcW w:w="895" w:type="pct"/>
            <w:vMerge/>
            <w:tcBorders>
              <w:top w:val="nil"/>
              <w:bottom w:val="single" w:sz="4" w:space="0" w:color="auto"/>
            </w:tcBorders>
          </w:tcPr>
          <w:p w14:paraId="2C21D860" w14:textId="77777777" w:rsidR="009633FB" w:rsidRPr="009633FB" w:rsidRDefault="009633FB" w:rsidP="005F6D0F">
            <w:pPr>
              <w:rPr>
                <w:sz w:val="24"/>
                <w:szCs w:val="24"/>
                <w:lang w:val="en-GB"/>
              </w:rPr>
            </w:pPr>
          </w:p>
        </w:tc>
        <w:tc>
          <w:tcPr>
            <w:tcW w:w="1127" w:type="pct"/>
            <w:tcBorders>
              <w:bottom w:val="single" w:sz="4" w:space="0" w:color="000000"/>
            </w:tcBorders>
          </w:tcPr>
          <w:p w14:paraId="2976A176" w14:textId="77777777" w:rsidR="009633FB" w:rsidRPr="009633FB" w:rsidRDefault="009633FB" w:rsidP="005F6D0F">
            <w:pPr>
              <w:spacing w:before="49"/>
              <w:ind w:right="319"/>
              <w:jc w:val="center"/>
              <w:rPr>
                <w:rFonts w:eastAsia="Arial MT"/>
                <w:sz w:val="24"/>
                <w:szCs w:val="24"/>
                <w:lang w:val="en-GB"/>
              </w:rPr>
            </w:pPr>
            <w:r w:rsidRPr="009633FB">
              <w:rPr>
                <w:rFonts w:eastAsia="Arial MT"/>
                <w:sz w:val="24"/>
                <w:szCs w:val="24"/>
                <w:lang w:val="en-GB"/>
              </w:rPr>
              <w:t>(</w:t>
            </w:r>
            <w:r w:rsidRPr="009633FB">
              <w:rPr>
                <w:rFonts w:eastAsia="Arial MT"/>
                <w:i/>
                <w:sz w:val="24"/>
                <w:szCs w:val="24"/>
                <w:lang w:val="en-GB"/>
              </w:rPr>
              <w:t xml:space="preserve">n </w:t>
            </w:r>
            <w:r w:rsidRPr="009633FB">
              <w:rPr>
                <w:rFonts w:eastAsia="Arial MT"/>
                <w:sz w:val="24"/>
                <w:szCs w:val="24"/>
                <w:lang w:val="en-GB"/>
              </w:rPr>
              <w:t>= 382;</w:t>
            </w:r>
            <w:r w:rsidRPr="009633FB">
              <w:rPr>
                <w:rFonts w:eastAsia="Arial MT"/>
                <w:spacing w:val="-2"/>
                <w:sz w:val="24"/>
                <w:szCs w:val="24"/>
                <w:lang w:val="en-GB"/>
              </w:rPr>
              <w:t xml:space="preserve"> 61.0</w:t>
            </w:r>
            <w:r w:rsidRPr="009633FB">
              <w:rPr>
                <w:rFonts w:eastAsia="Arial MT"/>
                <w:sz w:val="24"/>
                <w:szCs w:val="24"/>
                <w:lang w:val="en-GB"/>
              </w:rPr>
              <w:t>%)</w:t>
            </w:r>
          </w:p>
        </w:tc>
        <w:tc>
          <w:tcPr>
            <w:tcW w:w="962" w:type="pct"/>
            <w:tcBorders>
              <w:bottom w:val="single" w:sz="4" w:space="0" w:color="000000"/>
            </w:tcBorders>
          </w:tcPr>
          <w:p w14:paraId="471CE364" w14:textId="77777777" w:rsidR="009633FB" w:rsidRPr="009633FB" w:rsidRDefault="009633FB" w:rsidP="005F6D0F">
            <w:pPr>
              <w:spacing w:before="49"/>
              <w:ind w:right="360"/>
              <w:jc w:val="center"/>
              <w:rPr>
                <w:rFonts w:eastAsia="Arial MT"/>
                <w:sz w:val="24"/>
                <w:szCs w:val="24"/>
                <w:lang w:val="en-GB"/>
              </w:rPr>
            </w:pPr>
            <w:r w:rsidRPr="009633FB">
              <w:rPr>
                <w:rFonts w:eastAsia="Arial MT"/>
                <w:sz w:val="24"/>
                <w:szCs w:val="24"/>
                <w:lang w:val="en-GB"/>
              </w:rPr>
              <w:t>(</w:t>
            </w:r>
            <w:r w:rsidRPr="009633FB">
              <w:rPr>
                <w:rFonts w:eastAsia="Arial MT"/>
                <w:i/>
                <w:sz w:val="24"/>
                <w:szCs w:val="24"/>
                <w:lang w:val="en-GB"/>
              </w:rPr>
              <w:t xml:space="preserve">n </w:t>
            </w:r>
            <w:r w:rsidRPr="009633FB">
              <w:rPr>
                <w:rFonts w:eastAsia="Arial MT"/>
                <w:sz w:val="24"/>
                <w:szCs w:val="24"/>
                <w:lang w:val="en-GB"/>
              </w:rPr>
              <w:t>=</w:t>
            </w:r>
            <w:r w:rsidRPr="009633FB">
              <w:rPr>
                <w:rFonts w:eastAsia="Arial MT"/>
                <w:spacing w:val="-1"/>
                <w:sz w:val="24"/>
                <w:szCs w:val="24"/>
                <w:lang w:val="en-GB"/>
              </w:rPr>
              <w:t xml:space="preserve"> </w:t>
            </w:r>
            <w:r w:rsidRPr="009633FB">
              <w:rPr>
                <w:rFonts w:eastAsia="Arial MT"/>
                <w:sz w:val="24"/>
                <w:szCs w:val="24"/>
                <w:lang w:val="en-GB"/>
              </w:rPr>
              <w:t>232;</w:t>
            </w:r>
            <w:r w:rsidRPr="009633FB">
              <w:rPr>
                <w:rFonts w:eastAsia="Arial MT"/>
                <w:spacing w:val="-2"/>
                <w:sz w:val="24"/>
                <w:szCs w:val="24"/>
                <w:lang w:val="en-GB"/>
              </w:rPr>
              <w:t xml:space="preserve"> 37.1</w:t>
            </w:r>
            <w:r w:rsidRPr="009633FB">
              <w:rPr>
                <w:rFonts w:eastAsia="Arial MT"/>
                <w:sz w:val="24"/>
                <w:szCs w:val="24"/>
                <w:lang w:val="en-GB"/>
              </w:rPr>
              <w:t>%)</w:t>
            </w:r>
          </w:p>
        </w:tc>
        <w:tc>
          <w:tcPr>
            <w:tcW w:w="1120" w:type="pct"/>
            <w:tcBorders>
              <w:bottom w:val="single" w:sz="4" w:space="0" w:color="000000"/>
            </w:tcBorders>
          </w:tcPr>
          <w:p w14:paraId="3A4C3DA8" w14:textId="77777777" w:rsidR="009633FB" w:rsidRPr="009633FB" w:rsidRDefault="009633FB" w:rsidP="005F6D0F">
            <w:pPr>
              <w:spacing w:before="49"/>
              <w:ind w:right="255"/>
              <w:jc w:val="center"/>
              <w:rPr>
                <w:rFonts w:eastAsia="Arial MT"/>
                <w:sz w:val="24"/>
                <w:szCs w:val="24"/>
                <w:lang w:val="en-GB"/>
              </w:rPr>
            </w:pPr>
            <w:r w:rsidRPr="009633FB">
              <w:rPr>
                <w:rFonts w:eastAsia="Arial MT"/>
                <w:sz w:val="24"/>
                <w:szCs w:val="24"/>
                <w:lang w:val="en-GB"/>
              </w:rPr>
              <w:t>(</w:t>
            </w:r>
            <w:r w:rsidRPr="009633FB">
              <w:rPr>
                <w:rFonts w:eastAsia="Arial MT"/>
                <w:i/>
                <w:sz w:val="24"/>
                <w:szCs w:val="24"/>
                <w:lang w:val="en-GB"/>
              </w:rPr>
              <w:t xml:space="preserve">n </w:t>
            </w:r>
            <w:r w:rsidRPr="009633FB">
              <w:rPr>
                <w:rFonts w:eastAsia="Arial MT"/>
                <w:sz w:val="24"/>
                <w:szCs w:val="24"/>
                <w:lang w:val="en-GB"/>
              </w:rPr>
              <w:t>=</w:t>
            </w:r>
            <w:r w:rsidRPr="009633FB">
              <w:rPr>
                <w:rFonts w:eastAsia="Arial MT"/>
                <w:spacing w:val="-1"/>
                <w:sz w:val="24"/>
                <w:szCs w:val="24"/>
                <w:lang w:val="en-GB"/>
              </w:rPr>
              <w:t xml:space="preserve"> </w:t>
            </w:r>
            <w:r w:rsidRPr="009633FB">
              <w:rPr>
                <w:rFonts w:eastAsia="Arial MT"/>
                <w:sz w:val="24"/>
                <w:szCs w:val="24"/>
                <w:lang w:val="en-GB"/>
              </w:rPr>
              <w:t>12;</w:t>
            </w:r>
            <w:r w:rsidRPr="009633FB">
              <w:rPr>
                <w:rFonts w:eastAsia="Arial MT"/>
                <w:spacing w:val="-2"/>
                <w:sz w:val="24"/>
                <w:szCs w:val="24"/>
                <w:lang w:val="en-GB"/>
              </w:rPr>
              <w:t xml:space="preserve"> 1.9</w:t>
            </w:r>
            <w:r w:rsidRPr="009633FB">
              <w:rPr>
                <w:rFonts w:eastAsia="Arial MT"/>
                <w:sz w:val="24"/>
                <w:szCs w:val="24"/>
                <w:lang w:val="en-GB"/>
              </w:rPr>
              <w:t>%)</w:t>
            </w:r>
          </w:p>
        </w:tc>
        <w:tc>
          <w:tcPr>
            <w:tcW w:w="895" w:type="pct"/>
            <w:tcBorders>
              <w:bottom w:val="single" w:sz="4" w:space="0" w:color="000000"/>
            </w:tcBorders>
          </w:tcPr>
          <w:p w14:paraId="19E63711" w14:textId="77777777" w:rsidR="009633FB" w:rsidRPr="009633FB" w:rsidRDefault="009633FB" w:rsidP="005F6D0F">
            <w:pPr>
              <w:spacing w:before="49"/>
              <w:ind w:right="255"/>
              <w:jc w:val="center"/>
              <w:rPr>
                <w:rFonts w:eastAsia="Arial MT"/>
                <w:sz w:val="24"/>
                <w:szCs w:val="24"/>
                <w:lang w:val="en-GB"/>
              </w:rPr>
            </w:pPr>
            <w:r w:rsidRPr="009633FB">
              <w:rPr>
                <w:rFonts w:eastAsia="Arial MT"/>
                <w:sz w:val="24"/>
                <w:szCs w:val="24"/>
                <w:lang w:val="en-GB"/>
              </w:rPr>
              <w:t>(</w:t>
            </w:r>
            <w:r w:rsidRPr="009633FB">
              <w:rPr>
                <w:rFonts w:eastAsia="Arial MT"/>
                <w:i/>
                <w:sz w:val="24"/>
                <w:szCs w:val="24"/>
                <w:lang w:val="en-GB"/>
              </w:rPr>
              <w:t>N</w:t>
            </w:r>
            <w:r w:rsidRPr="009633FB">
              <w:rPr>
                <w:rFonts w:eastAsia="Arial MT"/>
                <w:i/>
                <w:spacing w:val="-1"/>
                <w:sz w:val="24"/>
                <w:szCs w:val="24"/>
                <w:lang w:val="en-GB"/>
              </w:rPr>
              <w:t xml:space="preserve"> </w:t>
            </w:r>
            <w:r w:rsidRPr="009633FB">
              <w:rPr>
                <w:rFonts w:eastAsia="Arial MT"/>
                <w:sz w:val="24"/>
                <w:szCs w:val="24"/>
                <w:lang w:val="en-GB"/>
              </w:rPr>
              <w:t>= 626; 100%)</w:t>
            </w:r>
          </w:p>
        </w:tc>
      </w:tr>
      <w:tr w:rsidR="009633FB" w:rsidRPr="009633FB" w14:paraId="4EF8C451" w14:textId="77777777" w:rsidTr="00783E7F">
        <w:trPr>
          <w:trHeight w:val="290"/>
        </w:trPr>
        <w:tc>
          <w:tcPr>
            <w:tcW w:w="895" w:type="pct"/>
            <w:tcBorders>
              <w:top w:val="single" w:sz="4" w:space="0" w:color="auto"/>
            </w:tcBorders>
          </w:tcPr>
          <w:p w14:paraId="09B07B79" w14:textId="77777777" w:rsidR="009633FB" w:rsidRPr="009633FB" w:rsidRDefault="009633FB" w:rsidP="005F6D0F">
            <w:pPr>
              <w:spacing w:line="228" w:lineRule="exact"/>
              <w:rPr>
                <w:rFonts w:eastAsia="Arial MT"/>
                <w:bCs/>
                <w:sz w:val="24"/>
                <w:szCs w:val="24"/>
                <w:lang w:val="en-GB"/>
              </w:rPr>
            </w:pPr>
            <w:r w:rsidRPr="009633FB">
              <w:rPr>
                <w:rFonts w:eastAsia="Arial MT"/>
                <w:bCs/>
                <w:sz w:val="24"/>
                <w:szCs w:val="24"/>
                <w:lang w:val="en-GB"/>
              </w:rPr>
              <w:t>Age</w:t>
            </w:r>
          </w:p>
        </w:tc>
        <w:tc>
          <w:tcPr>
            <w:tcW w:w="1127" w:type="pct"/>
            <w:tcBorders>
              <w:top w:val="single" w:sz="4" w:space="0" w:color="000000"/>
            </w:tcBorders>
          </w:tcPr>
          <w:p w14:paraId="527D766C" w14:textId="77777777" w:rsidR="009633FB" w:rsidRPr="009633FB" w:rsidRDefault="009633FB" w:rsidP="005F6D0F">
            <w:pPr>
              <w:spacing w:line="223" w:lineRule="exact"/>
              <w:ind w:right="322"/>
              <w:jc w:val="center"/>
              <w:rPr>
                <w:rFonts w:eastAsia="Arial MT"/>
                <w:sz w:val="24"/>
                <w:szCs w:val="24"/>
                <w:lang w:val="en-GB"/>
              </w:rPr>
            </w:pPr>
            <w:r w:rsidRPr="009633FB">
              <w:rPr>
                <w:rFonts w:eastAsia="Arial MT"/>
                <w:sz w:val="24"/>
                <w:szCs w:val="24"/>
                <w:lang w:val="en-GB"/>
              </w:rPr>
              <w:t>22.68</w:t>
            </w:r>
            <w:r w:rsidRPr="009633FB">
              <w:rPr>
                <w:rFonts w:eastAsia="Arial MT"/>
                <w:spacing w:val="-1"/>
                <w:sz w:val="24"/>
                <w:szCs w:val="24"/>
                <w:lang w:val="en-GB"/>
              </w:rPr>
              <w:t xml:space="preserve"> </w:t>
            </w:r>
            <w:r w:rsidRPr="009633FB">
              <w:rPr>
                <w:rFonts w:eastAsia="Arial MT"/>
                <w:sz w:val="24"/>
                <w:szCs w:val="24"/>
                <w:lang w:val="en-GB"/>
              </w:rPr>
              <w:t>(SD</w:t>
            </w:r>
            <w:r w:rsidRPr="009633FB">
              <w:rPr>
                <w:rFonts w:eastAsia="Arial MT"/>
                <w:spacing w:val="-1"/>
                <w:sz w:val="24"/>
                <w:szCs w:val="24"/>
                <w:lang w:val="en-GB"/>
              </w:rPr>
              <w:t xml:space="preserve"> </w:t>
            </w:r>
            <w:r w:rsidRPr="009633FB">
              <w:rPr>
                <w:rFonts w:eastAsia="Arial MT"/>
                <w:sz w:val="24"/>
                <w:szCs w:val="24"/>
                <w:lang w:val="en-GB"/>
              </w:rPr>
              <w:t>= 2.72)</w:t>
            </w:r>
          </w:p>
        </w:tc>
        <w:tc>
          <w:tcPr>
            <w:tcW w:w="962" w:type="pct"/>
            <w:tcBorders>
              <w:top w:val="single" w:sz="4" w:space="0" w:color="000000"/>
            </w:tcBorders>
          </w:tcPr>
          <w:p w14:paraId="3234E02E" w14:textId="77777777" w:rsidR="009633FB" w:rsidRPr="009633FB" w:rsidRDefault="009633FB" w:rsidP="005F6D0F">
            <w:pPr>
              <w:spacing w:line="223" w:lineRule="exact"/>
              <w:ind w:right="360"/>
              <w:jc w:val="center"/>
              <w:rPr>
                <w:rFonts w:eastAsia="Arial MT"/>
                <w:sz w:val="24"/>
                <w:szCs w:val="24"/>
                <w:lang w:val="en-GB"/>
              </w:rPr>
            </w:pPr>
            <w:r w:rsidRPr="009633FB">
              <w:rPr>
                <w:rFonts w:eastAsia="Arial MT"/>
                <w:sz w:val="24"/>
                <w:szCs w:val="24"/>
                <w:lang w:val="en-GB"/>
              </w:rPr>
              <w:t>23.17</w:t>
            </w:r>
            <w:r w:rsidRPr="009633FB">
              <w:rPr>
                <w:rFonts w:eastAsia="Arial MT"/>
                <w:spacing w:val="-1"/>
                <w:sz w:val="24"/>
                <w:szCs w:val="24"/>
                <w:lang w:val="en-GB"/>
              </w:rPr>
              <w:t xml:space="preserve"> </w:t>
            </w:r>
            <w:r w:rsidRPr="009633FB">
              <w:rPr>
                <w:rFonts w:eastAsia="Arial MT"/>
                <w:sz w:val="24"/>
                <w:szCs w:val="24"/>
                <w:lang w:val="en-GB"/>
              </w:rPr>
              <w:t>(</w:t>
            </w:r>
            <w:r w:rsidRPr="009633FB">
              <w:rPr>
                <w:rFonts w:eastAsia="Arial MT"/>
                <w:i/>
                <w:sz w:val="24"/>
                <w:szCs w:val="24"/>
                <w:lang w:val="en-GB"/>
              </w:rPr>
              <w:t xml:space="preserve">SD </w:t>
            </w:r>
            <w:r w:rsidRPr="009633FB">
              <w:rPr>
                <w:rFonts w:eastAsia="Arial MT"/>
                <w:sz w:val="24"/>
                <w:szCs w:val="24"/>
                <w:lang w:val="en-GB"/>
              </w:rPr>
              <w:t>=</w:t>
            </w:r>
            <w:r w:rsidRPr="009633FB">
              <w:rPr>
                <w:rFonts w:eastAsia="Arial MT"/>
                <w:spacing w:val="-2"/>
                <w:sz w:val="24"/>
                <w:szCs w:val="24"/>
                <w:lang w:val="en-GB"/>
              </w:rPr>
              <w:t xml:space="preserve"> </w:t>
            </w:r>
            <w:r w:rsidRPr="009633FB">
              <w:rPr>
                <w:rFonts w:eastAsia="Arial MT"/>
                <w:sz w:val="24"/>
                <w:szCs w:val="24"/>
                <w:lang w:val="en-GB"/>
              </w:rPr>
              <w:t>2.51)</w:t>
            </w:r>
          </w:p>
        </w:tc>
        <w:tc>
          <w:tcPr>
            <w:tcW w:w="1120" w:type="pct"/>
            <w:tcBorders>
              <w:top w:val="single" w:sz="4" w:space="0" w:color="000000"/>
            </w:tcBorders>
          </w:tcPr>
          <w:p w14:paraId="31892179" w14:textId="77777777" w:rsidR="009633FB" w:rsidRPr="009633FB" w:rsidRDefault="009633FB" w:rsidP="005F6D0F">
            <w:pPr>
              <w:spacing w:line="223" w:lineRule="exact"/>
              <w:ind w:right="257"/>
              <w:jc w:val="center"/>
              <w:rPr>
                <w:rFonts w:eastAsia="Arial MT"/>
                <w:sz w:val="24"/>
                <w:szCs w:val="24"/>
                <w:lang w:val="en-GB"/>
              </w:rPr>
            </w:pPr>
            <w:r w:rsidRPr="009633FB">
              <w:rPr>
                <w:rFonts w:eastAsia="Arial MT"/>
                <w:sz w:val="24"/>
                <w:szCs w:val="24"/>
                <w:lang w:val="en-GB"/>
              </w:rPr>
              <w:t>23.08</w:t>
            </w:r>
            <w:r w:rsidRPr="009633FB">
              <w:rPr>
                <w:rFonts w:eastAsia="Arial MT"/>
                <w:spacing w:val="-1"/>
                <w:sz w:val="24"/>
                <w:szCs w:val="24"/>
                <w:lang w:val="en-GB"/>
              </w:rPr>
              <w:t xml:space="preserve"> </w:t>
            </w:r>
            <w:r w:rsidRPr="009633FB">
              <w:rPr>
                <w:rFonts w:eastAsia="Arial MT"/>
                <w:sz w:val="24"/>
                <w:szCs w:val="24"/>
                <w:lang w:val="en-GB"/>
              </w:rPr>
              <w:t>(</w:t>
            </w:r>
            <w:r w:rsidRPr="009633FB">
              <w:rPr>
                <w:rFonts w:eastAsia="Arial MT"/>
                <w:i/>
                <w:sz w:val="24"/>
                <w:szCs w:val="24"/>
                <w:lang w:val="en-GB"/>
              </w:rPr>
              <w:t xml:space="preserve">SD </w:t>
            </w:r>
            <w:r w:rsidRPr="009633FB">
              <w:rPr>
                <w:rFonts w:eastAsia="Arial MT"/>
                <w:sz w:val="24"/>
                <w:szCs w:val="24"/>
                <w:lang w:val="en-GB"/>
              </w:rPr>
              <w:t>=</w:t>
            </w:r>
            <w:r w:rsidRPr="009633FB">
              <w:rPr>
                <w:rFonts w:eastAsia="Arial MT"/>
                <w:spacing w:val="-2"/>
                <w:sz w:val="24"/>
                <w:szCs w:val="24"/>
                <w:lang w:val="en-GB"/>
              </w:rPr>
              <w:t xml:space="preserve"> 3.48</w:t>
            </w:r>
            <w:r w:rsidRPr="009633FB">
              <w:rPr>
                <w:rFonts w:eastAsia="Arial MT"/>
                <w:sz w:val="24"/>
                <w:szCs w:val="24"/>
                <w:lang w:val="en-GB"/>
              </w:rPr>
              <w:t>)</w:t>
            </w:r>
          </w:p>
        </w:tc>
        <w:tc>
          <w:tcPr>
            <w:tcW w:w="895" w:type="pct"/>
            <w:tcBorders>
              <w:top w:val="single" w:sz="4" w:space="0" w:color="000000"/>
            </w:tcBorders>
          </w:tcPr>
          <w:p w14:paraId="74D5F3D9" w14:textId="77777777" w:rsidR="009633FB" w:rsidRPr="009633FB" w:rsidRDefault="009633FB" w:rsidP="005F6D0F">
            <w:pPr>
              <w:spacing w:line="223" w:lineRule="exact"/>
              <w:ind w:right="257"/>
              <w:jc w:val="center"/>
              <w:rPr>
                <w:rFonts w:eastAsia="Arial MT"/>
                <w:sz w:val="24"/>
                <w:szCs w:val="24"/>
                <w:lang w:val="en-GB"/>
              </w:rPr>
            </w:pPr>
            <w:r w:rsidRPr="009633FB">
              <w:rPr>
                <w:rFonts w:eastAsia="Arial MT"/>
                <w:sz w:val="24"/>
                <w:szCs w:val="24"/>
                <w:lang w:val="en-GB"/>
              </w:rPr>
              <w:t>22.87 (</w:t>
            </w:r>
            <w:r w:rsidRPr="009633FB">
              <w:rPr>
                <w:rFonts w:eastAsia="Arial MT"/>
                <w:i/>
                <w:sz w:val="24"/>
                <w:szCs w:val="24"/>
                <w:lang w:val="en-GB"/>
              </w:rPr>
              <w:t xml:space="preserve">SD </w:t>
            </w:r>
            <w:r w:rsidRPr="009633FB">
              <w:rPr>
                <w:rFonts w:eastAsia="Arial MT"/>
                <w:sz w:val="24"/>
                <w:szCs w:val="24"/>
                <w:lang w:val="en-GB"/>
              </w:rPr>
              <w:t>=</w:t>
            </w:r>
            <w:r w:rsidRPr="009633FB">
              <w:rPr>
                <w:rFonts w:eastAsia="Arial MT"/>
                <w:spacing w:val="-2"/>
                <w:sz w:val="24"/>
                <w:szCs w:val="24"/>
                <w:lang w:val="en-GB"/>
              </w:rPr>
              <w:t xml:space="preserve"> 2.66</w:t>
            </w:r>
            <w:r w:rsidRPr="009633FB">
              <w:rPr>
                <w:rFonts w:eastAsia="Arial MT"/>
                <w:sz w:val="24"/>
                <w:szCs w:val="24"/>
                <w:lang w:val="en-GB"/>
              </w:rPr>
              <w:t>)</w:t>
            </w:r>
          </w:p>
        </w:tc>
      </w:tr>
      <w:tr w:rsidR="009633FB" w:rsidRPr="009633FB" w14:paraId="2F39F537" w14:textId="77777777" w:rsidTr="00783E7F">
        <w:trPr>
          <w:trHeight w:val="343"/>
        </w:trPr>
        <w:tc>
          <w:tcPr>
            <w:tcW w:w="895" w:type="pct"/>
          </w:tcPr>
          <w:p w14:paraId="38903443" w14:textId="77777777" w:rsidR="009633FB" w:rsidRPr="009633FB" w:rsidRDefault="009633FB" w:rsidP="005F6D0F">
            <w:pPr>
              <w:spacing w:before="53"/>
              <w:rPr>
                <w:rFonts w:eastAsia="Arial MT"/>
                <w:bCs/>
                <w:sz w:val="24"/>
                <w:szCs w:val="24"/>
                <w:lang w:val="en-GB"/>
              </w:rPr>
            </w:pPr>
            <w:r w:rsidRPr="009633FB">
              <w:rPr>
                <w:rFonts w:eastAsia="Arial MT"/>
                <w:bCs/>
                <w:sz w:val="24"/>
                <w:szCs w:val="24"/>
                <w:lang w:val="en-GB"/>
              </w:rPr>
              <w:t>Occupation</w:t>
            </w:r>
          </w:p>
        </w:tc>
        <w:tc>
          <w:tcPr>
            <w:tcW w:w="1127" w:type="pct"/>
          </w:tcPr>
          <w:p w14:paraId="0F31CA35" w14:textId="77777777" w:rsidR="009633FB" w:rsidRPr="009633FB" w:rsidRDefault="009633FB" w:rsidP="005F6D0F">
            <w:pPr>
              <w:rPr>
                <w:rFonts w:eastAsia="Arial MT"/>
                <w:sz w:val="24"/>
                <w:szCs w:val="24"/>
                <w:lang w:val="en-GB"/>
              </w:rPr>
            </w:pPr>
          </w:p>
        </w:tc>
        <w:tc>
          <w:tcPr>
            <w:tcW w:w="962" w:type="pct"/>
          </w:tcPr>
          <w:p w14:paraId="0426FAE5" w14:textId="77777777" w:rsidR="009633FB" w:rsidRPr="009633FB" w:rsidRDefault="009633FB" w:rsidP="005F6D0F">
            <w:pPr>
              <w:rPr>
                <w:rFonts w:eastAsia="Arial MT"/>
                <w:sz w:val="24"/>
                <w:szCs w:val="24"/>
                <w:lang w:val="en-GB"/>
              </w:rPr>
            </w:pPr>
          </w:p>
        </w:tc>
        <w:tc>
          <w:tcPr>
            <w:tcW w:w="1120" w:type="pct"/>
          </w:tcPr>
          <w:p w14:paraId="6673DA09" w14:textId="77777777" w:rsidR="009633FB" w:rsidRPr="009633FB" w:rsidRDefault="009633FB" w:rsidP="005F6D0F">
            <w:pPr>
              <w:rPr>
                <w:rFonts w:eastAsia="Arial MT"/>
                <w:sz w:val="24"/>
                <w:szCs w:val="24"/>
                <w:lang w:val="en-GB"/>
              </w:rPr>
            </w:pPr>
          </w:p>
        </w:tc>
        <w:tc>
          <w:tcPr>
            <w:tcW w:w="895" w:type="pct"/>
          </w:tcPr>
          <w:p w14:paraId="058089FA" w14:textId="77777777" w:rsidR="009633FB" w:rsidRPr="009633FB" w:rsidRDefault="009633FB" w:rsidP="005F6D0F">
            <w:pPr>
              <w:rPr>
                <w:rFonts w:eastAsia="Arial MT"/>
                <w:sz w:val="24"/>
                <w:szCs w:val="24"/>
                <w:lang w:val="en-GB"/>
              </w:rPr>
            </w:pPr>
          </w:p>
        </w:tc>
      </w:tr>
      <w:tr w:rsidR="009633FB" w:rsidRPr="009633FB" w14:paraId="38CC72DF" w14:textId="77777777" w:rsidTr="00783E7F">
        <w:trPr>
          <w:trHeight w:val="343"/>
        </w:trPr>
        <w:tc>
          <w:tcPr>
            <w:tcW w:w="895" w:type="pct"/>
          </w:tcPr>
          <w:p w14:paraId="5D811E10" w14:textId="77777777" w:rsidR="009633FB" w:rsidRPr="009633FB" w:rsidRDefault="009633FB" w:rsidP="005F6D0F">
            <w:pPr>
              <w:spacing w:before="51"/>
              <w:ind w:right="105"/>
              <w:rPr>
                <w:rFonts w:eastAsia="Arial MT"/>
                <w:sz w:val="24"/>
                <w:szCs w:val="24"/>
                <w:lang w:val="en-GB"/>
              </w:rPr>
            </w:pPr>
            <w:r w:rsidRPr="009633FB">
              <w:rPr>
                <w:rFonts w:eastAsia="Arial MT"/>
                <w:sz w:val="24"/>
                <w:szCs w:val="24"/>
                <w:lang w:val="en-GB"/>
              </w:rPr>
              <w:t>Studies</w:t>
            </w:r>
            <w:r w:rsidRPr="009633FB">
              <w:rPr>
                <w:rFonts w:eastAsia="Arial MT"/>
                <w:spacing w:val="-2"/>
                <w:sz w:val="24"/>
                <w:szCs w:val="24"/>
                <w:lang w:val="en-GB"/>
              </w:rPr>
              <w:t xml:space="preserve"> </w:t>
            </w:r>
            <w:r w:rsidRPr="009633FB">
              <w:rPr>
                <w:rFonts w:eastAsia="Arial MT"/>
                <w:sz w:val="24"/>
                <w:szCs w:val="24"/>
                <w:lang w:val="en-GB"/>
              </w:rPr>
              <w:t>only</w:t>
            </w:r>
          </w:p>
        </w:tc>
        <w:tc>
          <w:tcPr>
            <w:tcW w:w="1127" w:type="pct"/>
          </w:tcPr>
          <w:p w14:paraId="3D6B38E9" w14:textId="77777777" w:rsidR="009633FB" w:rsidRPr="009633FB" w:rsidRDefault="009633FB" w:rsidP="005F6D0F">
            <w:pPr>
              <w:spacing w:before="51"/>
              <w:ind w:right="319"/>
              <w:jc w:val="center"/>
              <w:rPr>
                <w:rFonts w:eastAsia="Arial MT"/>
                <w:sz w:val="24"/>
                <w:szCs w:val="24"/>
                <w:lang w:val="en-GB"/>
              </w:rPr>
            </w:pPr>
            <w:r w:rsidRPr="009633FB">
              <w:rPr>
                <w:rFonts w:eastAsia="Arial MT"/>
                <w:sz w:val="24"/>
                <w:szCs w:val="24"/>
                <w:lang w:val="en-GB"/>
              </w:rPr>
              <w:t>60.5%</w:t>
            </w:r>
          </w:p>
        </w:tc>
        <w:tc>
          <w:tcPr>
            <w:tcW w:w="962" w:type="pct"/>
          </w:tcPr>
          <w:p w14:paraId="5573081A" w14:textId="77777777" w:rsidR="009633FB" w:rsidRPr="009633FB" w:rsidRDefault="009633FB" w:rsidP="005F6D0F">
            <w:pPr>
              <w:spacing w:before="51"/>
              <w:ind w:right="360"/>
              <w:jc w:val="center"/>
              <w:rPr>
                <w:rFonts w:eastAsia="Arial MT"/>
                <w:sz w:val="24"/>
                <w:szCs w:val="24"/>
                <w:lang w:val="en-GB"/>
              </w:rPr>
            </w:pPr>
            <w:r w:rsidRPr="009633FB">
              <w:rPr>
                <w:rFonts w:eastAsia="Arial MT"/>
                <w:sz w:val="24"/>
                <w:szCs w:val="24"/>
                <w:lang w:val="en-GB"/>
              </w:rPr>
              <w:t>47.8%</w:t>
            </w:r>
          </w:p>
        </w:tc>
        <w:tc>
          <w:tcPr>
            <w:tcW w:w="1120" w:type="pct"/>
          </w:tcPr>
          <w:p w14:paraId="390AB5E5" w14:textId="77777777" w:rsidR="009633FB" w:rsidRPr="009633FB" w:rsidRDefault="009633FB" w:rsidP="005F6D0F">
            <w:pPr>
              <w:spacing w:before="51"/>
              <w:ind w:right="257"/>
              <w:jc w:val="center"/>
              <w:rPr>
                <w:rFonts w:eastAsia="Arial MT"/>
                <w:sz w:val="24"/>
                <w:szCs w:val="24"/>
                <w:lang w:val="en-GB"/>
              </w:rPr>
            </w:pPr>
            <w:r w:rsidRPr="009633FB">
              <w:rPr>
                <w:rFonts w:eastAsia="Arial MT"/>
                <w:sz w:val="24"/>
                <w:szCs w:val="24"/>
                <w:lang w:val="en-GB"/>
              </w:rPr>
              <w:t>58.3%</w:t>
            </w:r>
          </w:p>
        </w:tc>
        <w:tc>
          <w:tcPr>
            <w:tcW w:w="895" w:type="pct"/>
          </w:tcPr>
          <w:p w14:paraId="6AF0F3F8" w14:textId="77777777" w:rsidR="009633FB" w:rsidRPr="009633FB" w:rsidRDefault="009633FB" w:rsidP="005F6D0F">
            <w:pPr>
              <w:spacing w:before="51"/>
              <w:ind w:right="257"/>
              <w:jc w:val="center"/>
              <w:rPr>
                <w:rFonts w:eastAsia="Arial MT"/>
                <w:sz w:val="24"/>
                <w:szCs w:val="24"/>
                <w:lang w:val="en-GB"/>
              </w:rPr>
            </w:pPr>
            <w:r w:rsidRPr="009633FB">
              <w:rPr>
                <w:rFonts w:eastAsia="Arial MT"/>
                <w:sz w:val="24"/>
                <w:szCs w:val="24"/>
                <w:lang w:val="en-GB"/>
              </w:rPr>
              <w:t>55.8%</w:t>
            </w:r>
          </w:p>
        </w:tc>
      </w:tr>
      <w:tr w:rsidR="009633FB" w:rsidRPr="009633FB" w14:paraId="474E05CD" w14:textId="77777777" w:rsidTr="00783E7F">
        <w:trPr>
          <w:trHeight w:val="344"/>
        </w:trPr>
        <w:tc>
          <w:tcPr>
            <w:tcW w:w="895" w:type="pct"/>
          </w:tcPr>
          <w:p w14:paraId="165F9F91" w14:textId="77777777" w:rsidR="009633FB" w:rsidRPr="009633FB" w:rsidRDefault="009633FB" w:rsidP="005F6D0F">
            <w:pPr>
              <w:spacing w:before="53"/>
              <w:ind w:right="106"/>
              <w:rPr>
                <w:rFonts w:eastAsia="Arial MT"/>
                <w:sz w:val="24"/>
                <w:szCs w:val="24"/>
                <w:lang w:val="en-GB"/>
              </w:rPr>
            </w:pPr>
            <w:r w:rsidRPr="009633FB">
              <w:rPr>
                <w:rFonts w:eastAsia="Arial MT"/>
                <w:sz w:val="24"/>
                <w:szCs w:val="24"/>
                <w:lang w:val="en-GB"/>
              </w:rPr>
              <w:t>Works</w:t>
            </w:r>
            <w:r w:rsidRPr="009633FB">
              <w:rPr>
                <w:rFonts w:eastAsia="Arial MT"/>
                <w:spacing w:val="-3"/>
                <w:sz w:val="24"/>
                <w:szCs w:val="24"/>
                <w:lang w:val="en-GB"/>
              </w:rPr>
              <w:t xml:space="preserve"> </w:t>
            </w:r>
            <w:r w:rsidRPr="009633FB">
              <w:rPr>
                <w:rFonts w:eastAsia="Arial MT"/>
                <w:sz w:val="24"/>
                <w:szCs w:val="24"/>
                <w:lang w:val="en-GB"/>
              </w:rPr>
              <w:t>only</w:t>
            </w:r>
          </w:p>
        </w:tc>
        <w:tc>
          <w:tcPr>
            <w:tcW w:w="1127" w:type="pct"/>
          </w:tcPr>
          <w:p w14:paraId="6D794D3F" w14:textId="77777777" w:rsidR="009633FB" w:rsidRPr="009633FB" w:rsidRDefault="009633FB" w:rsidP="005F6D0F">
            <w:pPr>
              <w:spacing w:before="53"/>
              <w:ind w:right="319"/>
              <w:jc w:val="center"/>
              <w:rPr>
                <w:rFonts w:eastAsia="Arial MT"/>
                <w:sz w:val="24"/>
                <w:szCs w:val="24"/>
                <w:lang w:val="en-GB"/>
              </w:rPr>
            </w:pPr>
            <w:r w:rsidRPr="009633FB">
              <w:rPr>
                <w:rFonts w:eastAsia="Arial MT"/>
                <w:sz w:val="24"/>
                <w:szCs w:val="24"/>
                <w:lang w:val="en-GB"/>
              </w:rPr>
              <w:t>11.0%</w:t>
            </w:r>
          </w:p>
        </w:tc>
        <w:tc>
          <w:tcPr>
            <w:tcW w:w="962" w:type="pct"/>
          </w:tcPr>
          <w:p w14:paraId="61956657" w14:textId="77777777" w:rsidR="009633FB" w:rsidRPr="009633FB" w:rsidRDefault="009633FB" w:rsidP="005F6D0F">
            <w:pPr>
              <w:spacing w:before="53"/>
              <w:ind w:right="360"/>
              <w:jc w:val="center"/>
              <w:rPr>
                <w:rFonts w:eastAsia="Arial MT"/>
                <w:sz w:val="24"/>
                <w:szCs w:val="24"/>
                <w:lang w:val="en-GB"/>
              </w:rPr>
            </w:pPr>
            <w:r w:rsidRPr="009633FB">
              <w:rPr>
                <w:rFonts w:eastAsia="Arial MT"/>
                <w:sz w:val="24"/>
                <w:szCs w:val="24"/>
                <w:lang w:val="en-GB"/>
              </w:rPr>
              <w:t>6.9%</w:t>
            </w:r>
          </w:p>
        </w:tc>
        <w:tc>
          <w:tcPr>
            <w:tcW w:w="1120" w:type="pct"/>
          </w:tcPr>
          <w:p w14:paraId="3B840C92" w14:textId="77777777" w:rsidR="009633FB" w:rsidRPr="009633FB" w:rsidRDefault="009633FB" w:rsidP="005F6D0F">
            <w:pPr>
              <w:spacing w:before="53"/>
              <w:ind w:right="257"/>
              <w:jc w:val="center"/>
              <w:rPr>
                <w:rFonts w:eastAsia="Arial MT"/>
                <w:sz w:val="24"/>
                <w:szCs w:val="24"/>
                <w:lang w:val="en-GB"/>
              </w:rPr>
            </w:pPr>
            <w:r w:rsidRPr="009633FB">
              <w:rPr>
                <w:rFonts w:eastAsia="Arial MT"/>
                <w:sz w:val="24"/>
                <w:szCs w:val="24"/>
                <w:lang w:val="en-GB"/>
              </w:rPr>
              <w:t>8.3%</w:t>
            </w:r>
          </w:p>
        </w:tc>
        <w:tc>
          <w:tcPr>
            <w:tcW w:w="895" w:type="pct"/>
          </w:tcPr>
          <w:p w14:paraId="53E30545" w14:textId="77777777" w:rsidR="009633FB" w:rsidRPr="009633FB" w:rsidRDefault="009633FB" w:rsidP="005F6D0F">
            <w:pPr>
              <w:spacing w:before="53"/>
              <w:ind w:right="257"/>
              <w:jc w:val="center"/>
              <w:rPr>
                <w:rFonts w:eastAsia="Arial MT"/>
                <w:sz w:val="24"/>
                <w:szCs w:val="24"/>
                <w:lang w:val="en-GB"/>
              </w:rPr>
            </w:pPr>
            <w:r w:rsidRPr="009633FB">
              <w:rPr>
                <w:rFonts w:eastAsia="Arial MT"/>
                <w:sz w:val="24"/>
                <w:szCs w:val="24"/>
                <w:lang w:val="en-GB"/>
              </w:rPr>
              <w:t>9.4%</w:t>
            </w:r>
          </w:p>
        </w:tc>
      </w:tr>
      <w:tr w:rsidR="009633FB" w:rsidRPr="009633FB" w14:paraId="61BCBFEF" w14:textId="77777777" w:rsidTr="00783E7F">
        <w:trPr>
          <w:trHeight w:val="344"/>
        </w:trPr>
        <w:tc>
          <w:tcPr>
            <w:tcW w:w="895" w:type="pct"/>
          </w:tcPr>
          <w:p w14:paraId="17416C3B" w14:textId="77777777" w:rsidR="009633FB" w:rsidRPr="009633FB" w:rsidRDefault="009633FB" w:rsidP="005F6D0F">
            <w:pPr>
              <w:spacing w:before="52"/>
              <w:ind w:right="109"/>
              <w:rPr>
                <w:rFonts w:eastAsia="Arial MT"/>
                <w:sz w:val="24"/>
                <w:szCs w:val="24"/>
                <w:lang w:val="en-GB"/>
              </w:rPr>
            </w:pPr>
            <w:r w:rsidRPr="009633FB">
              <w:rPr>
                <w:rFonts w:eastAsia="Arial MT"/>
                <w:sz w:val="24"/>
                <w:szCs w:val="24"/>
                <w:lang w:val="en-GB"/>
              </w:rPr>
              <w:t>Studies</w:t>
            </w:r>
            <w:r w:rsidRPr="009633FB">
              <w:rPr>
                <w:rFonts w:eastAsia="Arial MT"/>
                <w:spacing w:val="-5"/>
                <w:sz w:val="24"/>
                <w:szCs w:val="24"/>
                <w:lang w:val="en-GB"/>
              </w:rPr>
              <w:t xml:space="preserve"> </w:t>
            </w:r>
            <w:r w:rsidRPr="009633FB">
              <w:rPr>
                <w:rFonts w:eastAsia="Arial MT"/>
                <w:sz w:val="24"/>
                <w:szCs w:val="24"/>
                <w:lang w:val="en-GB"/>
              </w:rPr>
              <w:t>and works</w:t>
            </w:r>
          </w:p>
        </w:tc>
        <w:tc>
          <w:tcPr>
            <w:tcW w:w="1127" w:type="pct"/>
          </w:tcPr>
          <w:p w14:paraId="43E1D658" w14:textId="77777777" w:rsidR="009633FB" w:rsidRPr="009633FB" w:rsidRDefault="009633FB" w:rsidP="005F6D0F">
            <w:pPr>
              <w:spacing w:before="52"/>
              <w:ind w:right="319"/>
              <w:jc w:val="center"/>
              <w:rPr>
                <w:rFonts w:eastAsia="Arial MT"/>
                <w:sz w:val="24"/>
                <w:szCs w:val="24"/>
                <w:lang w:val="en-GB"/>
              </w:rPr>
            </w:pPr>
            <w:r w:rsidRPr="009633FB">
              <w:rPr>
                <w:rFonts w:eastAsia="Arial MT"/>
                <w:sz w:val="24"/>
                <w:szCs w:val="24"/>
                <w:lang w:val="en-GB"/>
              </w:rPr>
              <w:t>26.4%</w:t>
            </w:r>
          </w:p>
        </w:tc>
        <w:tc>
          <w:tcPr>
            <w:tcW w:w="962" w:type="pct"/>
          </w:tcPr>
          <w:p w14:paraId="49E8CFAD" w14:textId="77777777" w:rsidR="009633FB" w:rsidRPr="009633FB" w:rsidRDefault="009633FB" w:rsidP="005F6D0F">
            <w:pPr>
              <w:spacing w:before="52"/>
              <w:ind w:right="360"/>
              <w:jc w:val="center"/>
              <w:rPr>
                <w:rFonts w:eastAsia="Arial MT"/>
                <w:sz w:val="24"/>
                <w:szCs w:val="24"/>
                <w:lang w:val="en-GB"/>
              </w:rPr>
            </w:pPr>
            <w:r w:rsidRPr="009633FB">
              <w:rPr>
                <w:rFonts w:eastAsia="Arial MT"/>
                <w:sz w:val="24"/>
                <w:szCs w:val="24"/>
                <w:lang w:val="en-GB"/>
              </w:rPr>
              <w:t>44.0%</w:t>
            </w:r>
          </w:p>
        </w:tc>
        <w:tc>
          <w:tcPr>
            <w:tcW w:w="1120" w:type="pct"/>
          </w:tcPr>
          <w:p w14:paraId="0373F44C" w14:textId="77777777" w:rsidR="009633FB" w:rsidRPr="009633FB" w:rsidRDefault="009633FB" w:rsidP="005F6D0F">
            <w:pPr>
              <w:spacing w:before="52"/>
              <w:ind w:right="257"/>
              <w:jc w:val="center"/>
              <w:rPr>
                <w:rFonts w:eastAsia="Arial MT"/>
                <w:sz w:val="24"/>
                <w:szCs w:val="24"/>
                <w:lang w:val="en-GB"/>
              </w:rPr>
            </w:pPr>
            <w:r w:rsidRPr="009633FB">
              <w:rPr>
                <w:rFonts w:eastAsia="Arial MT"/>
                <w:sz w:val="24"/>
                <w:szCs w:val="24"/>
                <w:lang w:val="en-GB"/>
              </w:rPr>
              <w:t>33.3%</w:t>
            </w:r>
          </w:p>
        </w:tc>
        <w:tc>
          <w:tcPr>
            <w:tcW w:w="895" w:type="pct"/>
          </w:tcPr>
          <w:p w14:paraId="126FAFED" w14:textId="77777777" w:rsidR="009633FB" w:rsidRPr="009633FB" w:rsidRDefault="009633FB" w:rsidP="005F6D0F">
            <w:pPr>
              <w:spacing w:before="52"/>
              <w:ind w:right="257"/>
              <w:jc w:val="center"/>
              <w:rPr>
                <w:rFonts w:eastAsia="Arial MT"/>
                <w:sz w:val="24"/>
                <w:szCs w:val="24"/>
                <w:lang w:val="en-GB"/>
              </w:rPr>
            </w:pPr>
            <w:r w:rsidRPr="009633FB">
              <w:rPr>
                <w:rFonts w:eastAsia="Arial MT"/>
                <w:sz w:val="24"/>
                <w:szCs w:val="24"/>
                <w:lang w:val="en-GB"/>
              </w:rPr>
              <w:t>33.1%</w:t>
            </w:r>
          </w:p>
        </w:tc>
      </w:tr>
      <w:tr w:rsidR="009633FB" w:rsidRPr="009633FB" w14:paraId="38B6AAAB" w14:textId="77777777" w:rsidTr="00783E7F">
        <w:trPr>
          <w:trHeight w:val="307"/>
        </w:trPr>
        <w:tc>
          <w:tcPr>
            <w:tcW w:w="895" w:type="pct"/>
            <w:tcBorders>
              <w:bottom w:val="single" w:sz="4" w:space="0" w:color="auto"/>
            </w:tcBorders>
          </w:tcPr>
          <w:p w14:paraId="211C0D71" w14:textId="77777777" w:rsidR="009633FB" w:rsidRPr="009633FB" w:rsidRDefault="009633FB" w:rsidP="005F6D0F">
            <w:pPr>
              <w:spacing w:before="53"/>
              <w:rPr>
                <w:rFonts w:eastAsia="Arial MT"/>
                <w:sz w:val="24"/>
                <w:szCs w:val="24"/>
                <w:lang w:val="en-GB"/>
              </w:rPr>
            </w:pPr>
            <w:r w:rsidRPr="009633FB">
              <w:rPr>
                <w:rFonts w:eastAsia="Arial MT"/>
                <w:sz w:val="24"/>
                <w:szCs w:val="24"/>
                <w:lang w:val="en-GB"/>
              </w:rPr>
              <w:t>None</w:t>
            </w:r>
            <w:r w:rsidRPr="009633FB">
              <w:rPr>
                <w:rFonts w:eastAsia="Arial MT"/>
                <w:spacing w:val="-2"/>
                <w:sz w:val="24"/>
                <w:szCs w:val="24"/>
                <w:lang w:val="en-GB"/>
              </w:rPr>
              <w:t xml:space="preserve"> </w:t>
            </w:r>
            <w:r w:rsidRPr="009633FB">
              <w:rPr>
                <w:rFonts w:eastAsia="Arial MT"/>
                <w:sz w:val="24"/>
                <w:szCs w:val="24"/>
                <w:lang w:val="en-GB"/>
              </w:rPr>
              <w:t>of</w:t>
            </w:r>
            <w:r w:rsidRPr="009633FB">
              <w:rPr>
                <w:rFonts w:eastAsia="Arial MT"/>
                <w:spacing w:val="-4"/>
                <w:sz w:val="24"/>
                <w:szCs w:val="24"/>
                <w:lang w:val="en-GB"/>
              </w:rPr>
              <w:t xml:space="preserve"> </w:t>
            </w:r>
            <w:r w:rsidRPr="009633FB">
              <w:rPr>
                <w:rFonts w:eastAsia="Arial MT"/>
                <w:sz w:val="24"/>
                <w:szCs w:val="24"/>
                <w:lang w:val="en-GB"/>
              </w:rPr>
              <w:t>the</w:t>
            </w:r>
            <w:r w:rsidRPr="009633FB">
              <w:rPr>
                <w:rFonts w:eastAsia="Arial MT"/>
                <w:spacing w:val="-2"/>
                <w:sz w:val="24"/>
                <w:szCs w:val="24"/>
                <w:lang w:val="en-GB"/>
              </w:rPr>
              <w:t xml:space="preserve"> </w:t>
            </w:r>
            <w:r w:rsidRPr="009633FB">
              <w:rPr>
                <w:rFonts w:eastAsia="Arial MT"/>
                <w:sz w:val="24"/>
                <w:szCs w:val="24"/>
                <w:lang w:val="en-GB"/>
              </w:rPr>
              <w:t>above</w:t>
            </w:r>
          </w:p>
        </w:tc>
        <w:tc>
          <w:tcPr>
            <w:tcW w:w="1127" w:type="pct"/>
            <w:tcBorders>
              <w:bottom w:val="single" w:sz="4" w:space="0" w:color="auto"/>
            </w:tcBorders>
          </w:tcPr>
          <w:p w14:paraId="4C3C64D1" w14:textId="77777777" w:rsidR="009633FB" w:rsidRPr="009633FB" w:rsidRDefault="009633FB" w:rsidP="005F6D0F">
            <w:pPr>
              <w:spacing w:before="53"/>
              <w:ind w:right="319"/>
              <w:jc w:val="center"/>
              <w:rPr>
                <w:rFonts w:eastAsia="Arial MT"/>
                <w:sz w:val="24"/>
                <w:szCs w:val="24"/>
                <w:lang w:val="en-GB"/>
              </w:rPr>
            </w:pPr>
            <w:r w:rsidRPr="009633FB">
              <w:rPr>
                <w:rFonts w:eastAsia="Arial MT"/>
                <w:sz w:val="24"/>
                <w:szCs w:val="24"/>
                <w:lang w:val="en-GB"/>
              </w:rPr>
              <w:t>2.1%</w:t>
            </w:r>
          </w:p>
        </w:tc>
        <w:tc>
          <w:tcPr>
            <w:tcW w:w="962" w:type="pct"/>
            <w:tcBorders>
              <w:bottom w:val="single" w:sz="4" w:space="0" w:color="auto"/>
            </w:tcBorders>
          </w:tcPr>
          <w:p w14:paraId="43F48BAE" w14:textId="77777777" w:rsidR="009633FB" w:rsidRPr="009633FB" w:rsidRDefault="009633FB" w:rsidP="005F6D0F">
            <w:pPr>
              <w:spacing w:before="53"/>
              <w:ind w:right="360"/>
              <w:jc w:val="center"/>
              <w:rPr>
                <w:rFonts w:eastAsia="Arial MT"/>
                <w:sz w:val="24"/>
                <w:szCs w:val="24"/>
                <w:lang w:val="en-GB"/>
              </w:rPr>
            </w:pPr>
            <w:r w:rsidRPr="009633FB">
              <w:rPr>
                <w:rFonts w:eastAsia="Arial MT"/>
                <w:sz w:val="24"/>
                <w:szCs w:val="24"/>
                <w:lang w:val="en-GB"/>
              </w:rPr>
              <w:t>1.3%</w:t>
            </w:r>
          </w:p>
        </w:tc>
        <w:tc>
          <w:tcPr>
            <w:tcW w:w="1120" w:type="pct"/>
            <w:tcBorders>
              <w:bottom w:val="single" w:sz="4" w:space="0" w:color="auto"/>
            </w:tcBorders>
          </w:tcPr>
          <w:p w14:paraId="179F5F51" w14:textId="77777777" w:rsidR="009633FB" w:rsidRPr="009633FB" w:rsidRDefault="009633FB" w:rsidP="005F6D0F">
            <w:pPr>
              <w:spacing w:before="53"/>
              <w:ind w:right="257"/>
              <w:jc w:val="center"/>
              <w:rPr>
                <w:rFonts w:eastAsia="Arial MT"/>
                <w:sz w:val="24"/>
                <w:szCs w:val="24"/>
                <w:lang w:val="en-GB"/>
              </w:rPr>
            </w:pPr>
            <w:r w:rsidRPr="009633FB">
              <w:rPr>
                <w:rFonts w:eastAsia="Arial MT"/>
                <w:sz w:val="24"/>
                <w:szCs w:val="24"/>
                <w:lang w:val="en-GB"/>
              </w:rPr>
              <w:t>0%</w:t>
            </w:r>
          </w:p>
        </w:tc>
        <w:tc>
          <w:tcPr>
            <w:tcW w:w="895" w:type="pct"/>
            <w:tcBorders>
              <w:bottom w:val="single" w:sz="4" w:space="0" w:color="auto"/>
            </w:tcBorders>
          </w:tcPr>
          <w:p w14:paraId="58185661" w14:textId="77777777" w:rsidR="009633FB" w:rsidRPr="009633FB" w:rsidRDefault="009633FB" w:rsidP="005F6D0F">
            <w:pPr>
              <w:spacing w:before="53"/>
              <w:ind w:right="257"/>
              <w:jc w:val="center"/>
              <w:rPr>
                <w:rFonts w:eastAsia="Arial MT"/>
                <w:sz w:val="24"/>
                <w:szCs w:val="24"/>
                <w:lang w:val="en-GB"/>
              </w:rPr>
            </w:pPr>
            <w:r w:rsidRPr="009633FB">
              <w:rPr>
                <w:rFonts w:eastAsia="Arial MT"/>
                <w:sz w:val="24"/>
                <w:szCs w:val="24"/>
                <w:lang w:val="en-GB"/>
              </w:rPr>
              <w:t>1.8%</w:t>
            </w:r>
          </w:p>
        </w:tc>
      </w:tr>
    </w:tbl>
    <w:p w14:paraId="2E0BEED8" w14:textId="6126C110" w:rsidR="009633FB" w:rsidRPr="009633FB" w:rsidRDefault="009633FB" w:rsidP="009633FB">
      <w:pPr>
        <w:pStyle w:val="SubtituloInterno"/>
        <w:rPr>
          <w:bCs/>
          <w:iCs/>
          <w:lang w:val="en-US"/>
        </w:rPr>
      </w:pPr>
      <w:r w:rsidRPr="009633FB">
        <w:rPr>
          <w:bCs/>
          <w:lang w:val="en-GB" w:eastAsia="es-ES_tradnl"/>
        </w:rPr>
        <w:t>Measurements</w:t>
      </w:r>
    </w:p>
    <w:p w14:paraId="51ADC16C" w14:textId="1FE3782D" w:rsidR="009633FB" w:rsidRPr="009633FB" w:rsidRDefault="009633FB" w:rsidP="009633FB">
      <w:pPr>
        <w:pStyle w:val="SubtituloInterno1"/>
        <w:rPr>
          <w:lang w:val="en-US"/>
        </w:rPr>
      </w:pPr>
      <w:r w:rsidRPr="009633FB">
        <w:t>Self</w:t>
      </w:r>
      <w:r>
        <w:rPr>
          <w:b/>
          <w:bCs/>
          <w:i w:val="0"/>
          <w:lang w:val="en-GB"/>
        </w:rPr>
        <w:t>-</w:t>
      </w:r>
      <w:r w:rsidRPr="009633FB">
        <w:t>Control</w:t>
      </w:r>
    </w:p>
    <w:p w14:paraId="1AD6AD69" w14:textId="2434E96E" w:rsidR="009633FB" w:rsidRDefault="009633FB" w:rsidP="009633FB">
      <w:pPr>
        <w:pStyle w:val="Prrafocomn"/>
        <w:rPr>
          <w:bCs/>
          <w:lang w:val="en-GB"/>
        </w:rPr>
      </w:pPr>
      <w:r w:rsidRPr="009633FB">
        <w:rPr>
          <w:bCs/>
          <w:iCs/>
          <w:lang w:val="en-GB"/>
        </w:rPr>
        <w:t xml:space="preserve">The 13-item Brief Self-Control Scale (BSCS) </w:t>
      </w:r>
      <w:r w:rsidRPr="009633FB">
        <w:rPr>
          <w:bCs/>
        </w:rPr>
        <w:t>(Tangney et al., 2018)</w:t>
      </w:r>
      <w:r w:rsidRPr="009633FB">
        <w:rPr>
          <w:bCs/>
          <w:lang w:val="en-GB"/>
        </w:rPr>
        <w:t xml:space="preserve"> was employed, with each item rated on a 5-point scale from 1 </w:t>
      </w:r>
      <w:proofErr w:type="gramStart"/>
      <w:r w:rsidRPr="009633FB">
        <w:rPr>
          <w:bCs/>
          <w:lang w:val="en-GB"/>
        </w:rPr>
        <w:t>=</w:t>
      </w:r>
      <w:r w:rsidRPr="009633FB">
        <w:rPr>
          <w:bCs/>
          <w:i/>
          <w:lang w:val="en-GB"/>
        </w:rPr>
        <w:t>“</w:t>
      </w:r>
      <w:proofErr w:type="gramEnd"/>
      <w:r w:rsidRPr="009633FB">
        <w:rPr>
          <w:bCs/>
          <w:i/>
          <w:lang w:val="en-GB"/>
        </w:rPr>
        <w:t xml:space="preserve">Not at all like me” </w:t>
      </w:r>
      <w:r w:rsidRPr="009633FB">
        <w:rPr>
          <w:bCs/>
          <w:lang w:val="en-GB"/>
        </w:rPr>
        <w:t xml:space="preserve">to 5 </w:t>
      </w:r>
      <w:r w:rsidRPr="009633FB">
        <w:rPr>
          <w:bCs/>
          <w:i/>
          <w:lang w:val="en-GB"/>
        </w:rPr>
        <w:t>“Very much like me”</w:t>
      </w:r>
      <w:r w:rsidRPr="009633FB">
        <w:rPr>
          <w:bCs/>
          <w:lang w:val="en-GB"/>
        </w:rPr>
        <w:t xml:space="preserve">. The Spanish-translated version by del Valle et al. </w:t>
      </w:r>
      <w:r w:rsidRPr="009633FB">
        <w:rPr>
          <w:bCs/>
        </w:rPr>
        <w:t>(2019)</w:t>
      </w:r>
      <w:r w:rsidRPr="009633FB">
        <w:rPr>
          <w:bCs/>
          <w:lang w:val="en-GB"/>
        </w:rPr>
        <w:t xml:space="preserve"> was employed for this study. The BSCS assesses individual differences in self-control and has shown high consistency and validity between different studies, as it is one of the most employed instruments for measuring self-control </w:t>
      </w:r>
      <w:r w:rsidRPr="009633FB">
        <w:rPr>
          <w:bCs/>
        </w:rPr>
        <w:t>(Garrido et al., 2018)</w:t>
      </w:r>
      <w:r w:rsidRPr="009633FB">
        <w:rPr>
          <w:bCs/>
          <w:lang w:val="en-GB"/>
        </w:rPr>
        <w:t xml:space="preserve">. Consideration of previous studies </w:t>
      </w:r>
      <w:r w:rsidRPr="009633FB">
        <w:rPr>
          <w:bCs/>
        </w:rPr>
        <w:t xml:space="preserve">(Garrido et al., 2018; Lindner et al., 2015; </w:t>
      </w:r>
      <w:proofErr w:type="spellStart"/>
      <w:r w:rsidRPr="009633FB">
        <w:rPr>
          <w:bCs/>
        </w:rPr>
        <w:t>Pilarska</w:t>
      </w:r>
      <w:proofErr w:type="spellEnd"/>
      <w:r w:rsidRPr="009633FB">
        <w:rPr>
          <w:bCs/>
        </w:rPr>
        <w:t xml:space="preserve"> &amp; Baumeister, 2018)</w:t>
      </w:r>
      <w:r w:rsidRPr="009633FB">
        <w:rPr>
          <w:bCs/>
          <w:lang w:val="en-GB"/>
        </w:rPr>
        <w:t xml:space="preserve"> and a Confirmatory Factor Analysis (CFA) conducted in the present study, confirmed the one-factor solution among the sample with an acceptable fit (CFI = 0.94; TLI = 0.93; RMSEA = 0.07, 90% CI: 0.05-0.8; SRMR = 0.06; </w:t>
      </w:r>
      <w:r w:rsidRPr="009633FB">
        <w:rPr>
          <w:bCs/>
          <w:i/>
          <w:iCs/>
          <w:lang w:val="en-GB"/>
        </w:rPr>
        <w:t>X</w:t>
      </w:r>
      <w:proofErr w:type="gramStart"/>
      <w:r w:rsidRPr="009633FB">
        <w:rPr>
          <w:bCs/>
          <w:lang w:val="en-GB"/>
        </w:rPr>
        <w:t>²(</w:t>
      </w:r>
      <w:proofErr w:type="gramEnd"/>
      <w:r w:rsidRPr="009633FB">
        <w:rPr>
          <w:bCs/>
          <w:lang w:val="en-GB"/>
        </w:rPr>
        <w:t xml:space="preserve">65) = 246.12; p&lt;0.00). The Alpha (α = 0.78) and Omega coefficients (ω=0.79) reflected acceptable internal consistency. </w:t>
      </w:r>
    </w:p>
    <w:p w14:paraId="1CEBE440" w14:textId="3C252ACA" w:rsidR="005F6D0F" w:rsidRDefault="005F6D0F" w:rsidP="009633FB">
      <w:pPr>
        <w:pStyle w:val="Prrafocomn"/>
        <w:rPr>
          <w:bCs/>
          <w:lang w:val="en-GB"/>
        </w:rPr>
      </w:pPr>
    </w:p>
    <w:p w14:paraId="78E74BCA" w14:textId="77777777" w:rsidR="005F6D0F" w:rsidRPr="009633FB" w:rsidRDefault="005F6D0F" w:rsidP="009633FB">
      <w:pPr>
        <w:pStyle w:val="Prrafocomn"/>
        <w:rPr>
          <w:bCs/>
          <w:lang w:val="en-GB"/>
        </w:rPr>
      </w:pPr>
    </w:p>
    <w:p w14:paraId="7773328A" w14:textId="35E6C033" w:rsidR="009633FB" w:rsidRPr="009633FB" w:rsidRDefault="009633FB" w:rsidP="009633FB">
      <w:pPr>
        <w:pStyle w:val="SubtituloInterno1"/>
        <w:rPr>
          <w:lang w:val="en-US"/>
        </w:rPr>
      </w:pPr>
      <w:r w:rsidRPr="009633FB">
        <w:rPr>
          <w:bCs/>
          <w:lang w:val="en-GB" w:eastAsia="es-ES_tradnl"/>
        </w:rPr>
        <w:lastRenderedPageBreak/>
        <w:t>Moral identity</w:t>
      </w:r>
    </w:p>
    <w:p w14:paraId="38C75FEC" w14:textId="49024739" w:rsidR="009633FB" w:rsidRPr="009633FB" w:rsidRDefault="009633FB" w:rsidP="009633FB">
      <w:pPr>
        <w:pStyle w:val="Prrafocomn"/>
        <w:rPr>
          <w:bCs/>
        </w:rPr>
      </w:pPr>
      <w:r w:rsidRPr="009633FB">
        <w:rPr>
          <w:bCs/>
          <w:iCs/>
          <w:lang w:val="en-GB"/>
        </w:rPr>
        <w:t xml:space="preserve">We used the Self-Importance of Moral Identity Scale (MIS) </w:t>
      </w:r>
      <w:r w:rsidRPr="009633FB">
        <w:rPr>
          <w:bCs/>
        </w:rPr>
        <w:t>(Aquino &amp; Reed, 2002)</w:t>
      </w:r>
      <w:r w:rsidRPr="009633FB">
        <w:rPr>
          <w:bCs/>
          <w:iCs/>
          <w:lang w:val="en-GB"/>
        </w:rPr>
        <w:t>,</w:t>
      </w:r>
      <w:r w:rsidRPr="009633FB">
        <w:rPr>
          <w:bCs/>
          <w:lang w:val="en-GB"/>
        </w:rPr>
        <w:t xml:space="preserve"> a 10-item scale with a 7-points scale that contains two dimensions with five items each: internalization, referring to “the degree to which a set of moral traits is central to the self-concept” (</w:t>
      </w:r>
      <w:proofErr w:type="spellStart"/>
      <w:r w:rsidRPr="009633FB">
        <w:rPr>
          <w:bCs/>
          <w:lang w:val="en-GB"/>
        </w:rPr>
        <w:t>e.g.,“It</w:t>
      </w:r>
      <w:proofErr w:type="spellEnd"/>
      <w:r w:rsidRPr="009633FB">
        <w:rPr>
          <w:bCs/>
          <w:lang w:val="en-GB"/>
        </w:rPr>
        <w:t xml:space="preserve"> would make me feel good to be a person who has these characteristics”) and symbolization, concerning “the degree to which those traits are expressed” (e.g., “I often wear clothes that identify me as having these characteristics”) (Aquino &amp; Reed, 2002, pp. 1272). Both subscales showed acceptable reliability (</w:t>
      </w:r>
      <w:r w:rsidRPr="009633FB">
        <w:rPr>
          <w:bCs/>
          <w:i/>
          <w:lang w:val="en-GB"/>
        </w:rPr>
        <w:t xml:space="preserve">α </w:t>
      </w:r>
      <w:r w:rsidRPr="009633FB">
        <w:rPr>
          <w:bCs/>
          <w:lang w:val="en-GB"/>
        </w:rPr>
        <w:t xml:space="preserve">= .70 and </w:t>
      </w:r>
      <w:r w:rsidRPr="009633FB">
        <w:rPr>
          <w:bCs/>
          <w:i/>
          <w:lang w:val="en-GB"/>
        </w:rPr>
        <w:t xml:space="preserve">α </w:t>
      </w:r>
      <w:r w:rsidRPr="009633FB">
        <w:rPr>
          <w:bCs/>
          <w:lang w:val="en-GB"/>
        </w:rPr>
        <w:t xml:space="preserve">= .77 respectively) and were identified as first-order factors by a CFA within our sample, high values of RMSEA and SRMS should be noticed (CFI = 0.95; TLI = 0.92; RMSEA = 0.10, 90% CI: 0.08-0.11; SRMR = 0.09; </w:t>
      </w:r>
      <w:r w:rsidRPr="009633FB">
        <w:rPr>
          <w:bCs/>
          <w:i/>
          <w:iCs/>
          <w:lang w:val="en-GB"/>
        </w:rPr>
        <w:t>X</w:t>
      </w:r>
      <w:proofErr w:type="gramStart"/>
      <w:r w:rsidRPr="009633FB">
        <w:rPr>
          <w:bCs/>
          <w:lang w:val="en-GB"/>
        </w:rPr>
        <w:t>²(</w:t>
      </w:r>
      <w:proofErr w:type="gramEnd"/>
      <w:r w:rsidRPr="009633FB">
        <w:rPr>
          <w:bCs/>
          <w:lang w:val="en-GB"/>
        </w:rPr>
        <w:t>31) = 227.90; p&lt;0.00). However, for purposes of the study, and since the global scale also showed acceptable internal consistency (α = 0.72; ω=0.74), a total score was calculated by the mean of all items, and based on the mean as a cut-off point, groups of low and high levels of moral identity were created.</w:t>
      </w:r>
    </w:p>
    <w:p w14:paraId="5EC8B65F" w14:textId="04F0CE8A" w:rsidR="009633FB" w:rsidRPr="009633FB" w:rsidRDefault="009633FB" w:rsidP="009633FB">
      <w:pPr>
        <w:pStyle w:val="SubtituloInterno1"/>
        <w:rPr>
          <w:lang w:val="en-US"/>
        </w:rPr>
      </w:pPr>
      <w:r w:rsidRPr="009633FB">
        <w:rPr>
          <w:bCs/>
          <w:lang w:val="en-GB"/>
        </w:rPr>
        <w:t>Moral Foundations</w:t>
      </w:r>
    </w:p>
    <w:p w14:paraId="03F0B3C0" w14:textId="26A338D9" w:rsidR="00BA637E" w:rsidRPr="00BA637E" w:rsidRDefault="009633FB" w:rsidP="009633FB">
      <w:pPr>
        <w:pStyle w:val="Prrafocomn"/>
        <w:rPr>
          <w:bCs/>
        </w:rPr>
      </w:pPr>
      <w:r w:rsidRPr="009633FB">
        <w:rPr>
          <w:bCs/>
          <w:iCs/>
          <w:lang w:val="en-GB"/>
        </w:rPr>
        <w:t xml:space="preserve">The </w:t>
      </w:r>
      <w:r w:rsidRPr="009633FB">
        <w:rPr>
          <w:bCs/>
          <w:lang w:val="en-GB"/>
        </w:rPr>
        <w:t xml:space="preserve">Spanish-translated </w:t>
      </w:r>
      <w:r w:rsidRPr="009633FB">
        <w:rPr>
          <w:bCs/>
          <w:iCs/>
          <w:lang w:val="en-GB"/>
        </w:rPr>
        <w:t>abbreviated version of the Moral Foundations</w:t>
      </w:r>
      <w:r w:rsidRPr="009633FB">
        <w:rPr>
          <w:b/>
          <w:bCs/>
          <w:i/>
          <w:lang w:val="en-GB"/>
        </w:rPr>
        <w:t xml:space="preserve"> </w:t>
      </w:r>
      <w:r w:rsidRPr="009633FB">
        <w:rPr>
          <w:bCs/>
          <w:iCs/>
          <w:lang w:val="en-GB"/>
        </w:rPr>
        <w:t xml:space="preserve">Questionnaire (MFQ-20) </w:t>
      </w:r>
      <w:r w:rsidRPr="009633FB">
        <w:rPr>
          <w:bCs/>
        </w:rPr>
        <w:t>(Graham et al., 2011)</w:t>
      </w:r>
      <w:r w:rsidRPr="009633FB">
        <w:rPr>
          <w:bCs/>
          <w:iCs/>
          <w:lang w:val="en-GB"/>
        </w:rPr>
        <w:t>,</w:t>
      </w:r>
      <w:r w:rsidRPr="009633FB">
        <w:rPr>
          <w:b/>
          <w:bCs/>
          <w:i/>
          <w:lang w:val="en-GB"/>
        </w:rPr>
        <w:t xml:space="preserve"> </w:t>
      </w:r>
      <w:r w:rsidRPr="009633FB">
        <w:rPr>
          <w:bCs/>
          <w:lang w:val="en-GB"/>
        </w:rPr>
        <w:t xml:space="preserve">including 20 of the 30 original 6-point Likert-type items, was employed for this study, which is provided by the original authors on their website moralfoundations.org. Despite the instrument assessing five moral foundations (Care/Harm; Fairness/Cheating; Loyalty/Betrayal; Authority/Subversion; and Purity/Degradation), for research purposes, we categorized them into binding (Loyalty/Betrayal; Authority/Subversion; and Purity/Degradation) and individualizing foundations (Care/Harm; Fairness/Cheating) as in previous studies </w:t>
      </w:r>
      <w:r w:rsidRPr="009633FB">
        <w:rPr>
          <w:bCs/>
        </w:rPr>
        <w:t>(Doğruyol et al., 2019; Olivera La Rosa &amp; Saldarriaga, 2017; Silver &amp; Silver, 2021)</w:t>
      </w:r>
      <w:r w:rsidRPr="009633FB">
        <w:rPr>
          <w:bCs/>
          <w:lang w:val="en-GB"/>
        </w:rPr>
        <w:t xml:space="preserve">. CFA showed an acceptable fit for the two/factor structural solution, high values of RMSEA and SRMS should be noticed (CFI = 0.91; TLI = 0.90; RMSEA = 0.09, 90% CI: 0.08-0.10; SRMR = 0.09; </w:t>
      </w:r>
      <w:r w:rsidRPr="009633FB">
        <w:rPr>
          <w:bCs/>
          <w:i/>
          <w:iCs/>
          <w:lang w:val="en-GB"/>
        </w:rPr>
        <w:t>X</w:t>
      </w:r>
      <w:r w:rsidRPr="009633FB">
        <w:rPr>
          <w:bCs/>
          <w:lang w:val="en-GB"/>
        </w:rPr>
        <w:t>²(166) = 999.24; p&lt;0.00) and acceptable internal consistency coefficients for both individualizing (α = 0.73; ω=0.74) and binding (α = 0.82; ω=0.82) foundations were found within the sample. For each factor, final scores, and the mean as a cut-off point were employed to create high- and low-value groups.</w:t>
      </w:r>
      <w:r w:rsidR="00BA637E" w:rsidRPr="00BA637E">
        <w:rPr>
          <w:bCs/>
        </w:rPr>
        <w:t xml:space="preserve"> </w:t>
      </w:r>
    </w:p>
    <w:p w14:paraId="7B72E030" w14:textId="5D5C7C73" w:rsidR="002A1733" w:rsidRPr="00BA637E" w:rsidRDefault="002A1733" w:rsidP="005F6D0F">
      <w:pPr>
        <w:pStyle w:val="Prrafocomn"/>
        <w:ind w:firstLine="0"/>
        <w:rPr>
          <w:bCs/>
        </w:rPr>
      </w:pPr>
    </w:p>
    <w:p w14:paraId="0513FB0F" w14:textId="4400747A" w:rsidR="00714485" w:rsidRPr="00A2611C" w:rsidRDefault="00A2611C" w:rsidP="00471F54">
      <w:pPr>
        <w:pStyle w:val="SubtituloInterno"/>
        <w:rPr>
          <w:bCs/>
          <w:iCs/>
          <w:lang w:val="en-US"/>
        </w:rPr>
      </w:pPr>
      <w:r w:rsidRPr="00A2611C">
        <w:rPr>
          <w:bCs/>
          <w:iCs/>
          <w:lang w:val="en-US"/>
        </w:rPr>
        <w:lastRenderedPageBreak/>
        <w:t>Procedure</w:t>
      </w:r>
    </w:p>
    <w:p w14:paraId="336B59F5" w14:textId="77777777" w:rsidR="005F6D0F" w:rsidRPr="005F6D0F" w:rsidRDefault="005F6D0F" w:rsidP="005F6D0F">
      <w:pPr>
        <w:pStyle w:val="Prrafocomn"/>
        <w:rPr>
          <w:bCs/>
          <w:lang w:val="en-GB"/>
        </w:rPr>
      </w:pPr>
      <w:r w:rsidRPr="005F6D0F">
        <w:rPr>
          <w:bCs/>
          <w:lang w:val="en-GB"/>
        </w:rPr>
        <w:t>A pilot study (</w:t>
      </w:r>
      <w:r w:rsidRPr="005F6D0F">
        <w:rPr>
          <w:bCs/>
          <w:i/>
          <w:lang w:val="en-GB"/>
        </w:rPr>
        <w:t xml:space="preserve">n </w:t>
      </w:r>
      <w:r w:rsidRPr="005F6D0F">
        <w:rPr>
          <w:bCs/>
          <w:lang w:val="en-GB"/>
        </w:rPr>
        <w:t xml:space="preserve">= 25) was carried out to verify that all instructions and items were clear and understandable. Feedback provided during this initial phase allowed us to confirm that all items were easily understood and that no further clarifications or corrections were needed. Instruments were presented on </w:t>
      </w:r>
      <w:r w:rsidRPr="005F6D0F">
        <w:rPr>
          <w:bCs/>
          <w:i/>
          <w:lang w:val="en-GB"/>
        </w:rPr>
        <w:t>Google Forms</w:t>
      </w:r>
      <w:r w:rsidRPr="005F6D0F">
        <w:rPr>
          <w:bCs/>
          <w:lang w:val="en-GB"/>
        </w:rPr>
        <w:t>, and official data collection started with an open call for participation on social media platforms (Facebook and Instagram), specifying that people aged between 18- and 30 years old living in La Paz or El Alto cities could participate. For submitting the questionnaire, all questions needed to be answered to avoid missing data. After the survey, a message to encourage participants to share the link with family and friends who meet age and location criteria was presented. Data were collected between September and October 2020.</w:t>
      </w:r>
    </w:p>
    <w:p w14:paraId="64550EC9" w14:textId="10FAA444" w:rsidR="005F6D0F" w:rsidRPr="005F6D0F" w:rsidRDefault="005F6D0F" w:rsidP="005F6D0F">
      <w:pPr>
        <w:pStyle w:val="SubtituloInterno"/>
        <w:rPr>
          <w:bCs/>
          <w:iCs/>
          <w:lang w:val="en-US"/>
        </w:rPr>
      </w:pPr>
      <w:r w:rsidRPr="005F6D0F">
        <w:rPr>
          <w:bCs/>
          <w:lang w:val="en-GB" w:eastAsia="es-ES_tradnl"/>
        </w:rPr>
        <w:t>Ethical considerations</w:t>
      </w:r>
    </w:p>
    <w:p w14:paraId="6A931AE1" w14:textId="3FFAF35A" w:rsidR="00714485" w:rsidRDefault="005F6D0F" w:rsidP="005F6D0F">
      <w:pPr>
        <w:pStyle w:val="Prrafocomn"/>
        <w:ind w:firstLine="720"/>
        <w:rPr>
          <w:bCs/>
          <w:lang w:val="en-GB"/>
        </w:rPr>
      </w:pPr>
      <w:r w:rsidRPr="005F6D0F">
        <w:rPr>
          <w:bCs/>
          <w:lang w:val="en-GB"/>
        </w:rPr>
        <w:tab/>
        <w:t xml:space="preserve">Ethical approval was not required due to the study design and the anonymity of the participants. However, informed consent was required for taking part in the study. Additionally, to guarantee ethical standards, and based on the American Psychological Association’s Ethical Principles of Psychologists and Code of Conduct </w:t>
      </w:r>
      <w:r w:rsidRPr="005F6D0F">
        <w:rPr>
          <w:bCs/>
        </w:rPr>
        <w:t>(American Psychological Association, 2017)</w:t>
      </w:r>
      <w:r w:rsidRPr="005F6D0F">
        <w:rPr>
          <w:bCs/>
          <w:lang w:val="en-GB"/>
        </w:rPr>
        <w:t>, we specified - through the callout and the survey’s informed consent- that participation was voluntary, anonymous, and confidential, and that risks of any type were associated with the participation.</w:t>
      </w:r>
    </w:p>
    <w:p w14:paraId="39DA20B5" w14:textId="286EE831" w:rsidR="005F6D0F" w:rsidRPr="005F6D0F" w:rsidRDefault="005F6D0F" w:rsidP="005F6D0F">
      <w:pPr>
        <w:pStyle w:val="SubtituloInterno"/>
        <w:rPr>
          <w:bCs/>
          <w:iCs/>
          <w:lang w:val="en-US"/>
        </w:rPr>
      </w:pPr>
      <w:r w:rsidRPr="005F6D0F">
        <w:rPr>
          <w:bCs/>
          <w:lang w:val="en-GB" w:eastAsia="es-ES_tradnl"/>
        </w:rPr>
        <w:t>Data analysis</w:t>
      </w:r>
    </w:p>
    <w:p w14:paraId="00258A29" w14:textId="77777777" w:rsidR="005F6D0F" w:rsidRPr="005F6D0F" w:rsidRDefault="005F6D0F" w:rsidP="005F6D0F">
      <w:pPr>
        <w:pStyle w:val="Prrafocomn"/>
        <w:rPr>
          <w:bCs/>
          <w:lang w:val="en-GB"/>
        </w:rPr>
      </w:pPr>
      <w:r w:rsidRPr="005F6D0F">
        <w:rPr>
          <w:bCs/>
          <w:lang w:val="en-GB"/>
        </w:rPr>
        <w:t xml:space="preserve">Descriptive statistics (mean, standard deviation, median, minimum and maximum points) were calculated for each scale and subscale. Subsequently, bivariate and partial correlations were performed between the dependent variable (self-control), the independent variables (moral identity, binding, and individualizing foundations) and age. Despite the total score of self-control originating from ordinal data, several authors defend the fact that it can be subjected to parametric analysis if: a) Likert- type scale has no less than 5 points and b) if kurtosis and skewness for the total scores are no higher than 1 or lesser than -1 </w:t>
      </w:r>
      <w:r w:rsidRPr="005F6D0F">
        <w:rPr>
          <w:bCs/>
        </w:rPr>
        <w:t>(</w:t>
      </w:r>
      <w:proofErr w:type="spellStart"/>
      <w:r w:rsidRPr="005F6D0F">
        <w:rPr>
          <w:bCs/>
        </w:rPr>
        <w:t>Barbaranelli</w:t>
      </w:r>
      <w:proofErr w:type="spellEnd"/>
      <w:r w:rsidRPr="005F6D0F">
        <w:rPr>
          <w:bCs/>
        </w:rPr>
        <w:t xml:space="preserve">, 2003; </w:t>
      </w:r>
      <w:proofErr w:type="spellStart"/>
      <w:r w:rsidRPr="005F6D0F">
        <w:rPr>
          <w:bCs/>
        </w:rPr>
        <w:t>Carifio</w:t>
      </w:r>
      <w:proofErr w:type="spellEnd"/>
      <w:r w:rsidRPr="005F6D0F">
        <w:rPr>
          <w:bCs/>
        </w:rPr>
        <w:t xml:space="preserve"> &amp; Perla, 2008)</w:t>
      </w:r>
      <w:r w:rsidRPr="005F6D0F">
        <w:rPr>
          <w:bCs/>
          <w:lang w:val="en-GB"/>
        </w:rPr>
        <w:t xml:space="preserve">. Under such an argument, our exploratory analysis showed that 5% trimmed mean and median had similar values (39.27 and 39.00 respectively); and the skewness (0.12) and kurtosis (0.06) were within the </w:t>
      </w:r>
      <w:r w:rsidRPr="005F6D0F">
        <w:rPr>
          <w:bCs/>
          <w:lang w:val="en-GB"/>
        </w:rPr>
        <w:lastRenderedPageBreak/>
        <w:t xml:space="preserve">accepted range to suggest that our dependent variable could be treated as relatively normal distributed and allowed us to proceed with further analysis. </w:t>
      </w:r>
    </w:p>
    <w:p w14:paraId="3B320888" w14:textId="77777777" w:rsidR="005F6D0F" w:rsidRPr="005F6D0F" w:rsidRDefault="005F6D0F" w:rsidP="005F6D0F">
      <w:pPr>
        <w:pStyle w:val="Prrafocomn"/>
        <w:rPr>
          <w:bCs/>
          <w:lang w:val="en-GB"/>
        </w:rPr>
      </w:pPr>
      <w:r w:rsidRPr="005F6D0F">
        <w:rPr>
          <w:bCs/>
          <w:lang w:val="en-GB"/>
        </w:rPr>
        <w:t xml:space="preserve">To explore differences in self-control scores based on each independent variable, </w:t>
      </w:r>
      <w:r w:rsidRPr="005F6D0F">
        <w:rPr>
          <w:bCs/>
          <w:i/>
          <w:iCs/>
          <w:lang w:val="en-GB"/>
        </w:rPr>
        <w:t>t</w:t>
      </w:r>
      <w:r w:rsidRPr="005F6D0F">
        <w:rPr>
          <w:bCs/>
          <w:lang w:val="en-GB"/>
        </w:rPr>
        <w:t xml:space="preserve">-test scores and their effect sizes were calculated, including a </w:t>
      </w:r>
      <w:proofErr w:type="spellStart"/>
      <w:r w:rsidRPr="005F6D0F">
        <w:rPr>
          <w:bCs/>
          <w:lang w:val="en-GB"/>
        </w:rPr>
        <w:t>Levene’s</w:t>
      </w:r>
      <w:proofErr w:type="spellEnd"/>
      <w:r w:rsidRPr="005F6D0F">
        <w:rPr>
          <w:bCs/>
          <w:lang w:val="en-GB"/>
        </w:rPr>
        <w:t xml:space="preserve"> test for checking for homogeneity of variance; when this assumption was violated, the nonparametric U de Mann-Whitney test was preferred. Finally, a two-way analysis of covariance (ANCOVA) was calculated after checking for the statistical assumptions of linearity, homogeneity, independence of observations and normally distributed residuals. The model included the three independent variables, their possible interactions, and age as a covariate. To facilitate interpretation, marginal means of self-control were also estimated based on low- and high-level groups of the independent variables. Additionally, a confirmatory factor analysis for each measure with unweighted least squares (ULS) as the estimation method was performed and pairwise missing data handling. Statistical significance was based on a </w:t>
      </w:r>
      <w:r w:rsidRPr="005F6D0F">
        <w:rPr>
          <w:bCs/>
          <w:i/>
          <w:iCs/>
          <w:lang w:val="en-GB"/>
        </w:rPr>
        <w:t>p</w:t>
      </w:r>
      <w:r w:rsidRPr="005F6D0F">
        <w:rPr>
          <w:bCs/>
          <w:lang w:val="en-GB"/>
        </w:rPr>
        <w:t>-value &lt;.05, and correlation and effect sizes were interpreted based on the criteria provided by Cohen (2013). All data analysis was performed in IBM SPSS V.26 and JASP V.0.19.0.0.</w:t>
      </w:r>
    </w:p>
    <w:p w14:paraId="6F711A20" w14:textId="5CAA554E" w:rsidR="008565A0" w:rsidRPr="005F6D0F" w:rsidRDefault="00A2611C" w:rsidP="005F6D0F">
      <w:pPr>
        <w:pStyle w:val="Ttulosinternos"/>
        <w:rPr>
          <w:lang w:val="en-US"/>
        </w:rPr>
      </w:pPr>
      <w:r w:rsidRPr="00A2611C">
        <w:rPr>
          <w:lang w:val="en-US"/>
        </w:rPr>
        <w:t>Results</w:t>
      </w:r>
    </w:p>
    <w:p w14:paraId="7709143B" w14:textId="56A113A0" w:rsidR="00FA19B4" w:rsidRDefault="005F6D0F" w:rsidP="002A1733">
      <w:pPr>
        <w:pStyle w:val="Prrafocomn"/>
        <w:spacing w:line="360" w:lineRule="exact"/>
        <w:ind w:firstLine="709"/>
        <w:rPr>
          <w:bCs/>
          <w:lang w:val="en-GB"/>
        </w:rPr>
      </w:pPr>
      <w:r w:rsidRPr="005F6D0F">
        <w:rPr>
          <w:bCs/>
          <w:lang w:val="en-GB"/>
        </w:rPr>
        <w:t>Descriptive statistics for each variable and the coefficients for their respective bivariate correlations are presented in Table 2. As may be noticed, participants got higher mean scores for individualizing foundations compared to binding foundations, and the three independent variables showed a negatively skewed distribution, reflecting a tendency for higher values. When referring to the bivariate correlations, all independent variables and age were significantly and positively related to self-control, suggesting that higher values of each independent variable were related to higher values of self-control; moral identity had the higher correlation coefficient (</w:t>
      </w:r>
      <w:r w:rsidRPr="005F6D0F">
        <w:rPr>
          <w:bCs/>
          <w:i/>
          <w:iCs/>
          <w:lang w:val="en-GB"/>
        </w:rPr>
        <w:t>r</w:t>
      </w:r>
      <w:r w:rsidRPr="005F6D0F">
        <w:rPr>
          <w:bCs/>
          <w:lang w:val="en-GB"/>
        </w:rPr>
        <w:t xml:space="preserve">=0.21; </w:t>
      </w:r>
      <w:r w:rsidRPr="005F6D0F">
        <w:rPr>
          <w:bCs/>
          <w:i/>
          <w:iCs/>
          <w:lang w:val="en-GB"/>
        </w:rPr>
        <w:t>p</w:t>
      </w:r>
      <w:r w:rsidRPr="005F6D0F">
        <w:rPr>
          <w:bCs/>
          <w:lang w:val="en-GB"/>
        </w:rPr>
        <w:t>&lt;.01), and individualizing foundations had the lowest but still significant correlation (</w:t>
      </w:r>
      <w:r w:rsidRPr="005F6D0F">
        <w:rPr>
          <w:bCs/>
          <w:i/>
          <w:iCs/>
          <w:lang w:val="en-GB"/>
        </w:rPr>
        <w:t>r</w:t>
      </w:r>
      <w:r w:rsidRPr="005F6D0F">
        <w:rPr>
          <w:bCs/>
          <w:lang w:val="en-GB"/>
        </w:rPr>
        <w:t xml:space="preserve">=0.09; </w:t>
      </w:r>
      <w:r w:rsidRPr="005F6D0F">
        <w:rPr>
          <w:bCs/>
          <w:i/>
          <w:iCs/>
          <w:lang w:val="en-GB"/>
        </w:rPr>
        <w:t>p</w:t>
      </w:r>
      <w:r w:rsidRPr="005F6D0F">
        <w:rPr>
          <w:bCs/>
          <w:lang w:val="en-GB"/>
        </w:rPr>
        <w:t>&lt;.05). As obtained coefficients may be considered low or weak according to some authors (Cohen, 2013; Schober et al., 2018), partial correlations were employed to make sure that the obtained significant relations were not due to “indirect between-attribute interactions of other attributes not being tested” (Zhang, 2015, pp. 65). After controlling for the other variables, the results of each correlation remained significant.</w:t>
      </w:r>
    </w:p>
    <w:p w14:paraId="524BFCF0" w14:textId="77777777" w:rsidR="005F6D0F" w:rsidRDefault="005F6D0F" w:rsidP="005F6D0F">
      <w:pPr>
        <w:widowControl w:val="0"/>
        <w:autoSpaceDE w:val="0"/>
        <w:autoSpaceDN w:val="0"/>
        <w:spacing w:line="360" w:lineRule="auto"/>
        <w:rPr>
          <w:b/>
          <w:bCs/>
          <w:i/>
          <w:iCs/>
          <w:sz w:val="20"/>
          <w:szCs w:val="20"/>
          <w:lang w:val="en-GB" w:eastAsia="en-US"/>
        </w:rPr>
      </w:pPr>
    </w:p>
    <w:p w14:paraId="1A271FBD" w14:textId="77777777" w:rsidR="005F6D0F" w:rsidRDefault="005F6D0F" w:rsidP="005F6D0F">
      <w:pPr>
        <w:widowControl w:val="0"/>
        <w:autoSpaceDE w:val="0"/>
        <w:autoSpaceDN w:val="0"/>
        <w:spacing w:line="360" w:lineRule="auto"/>
        <w:rPr>
          <w:b/>
          <w:bCs/>
          <w:i/>
          <w:iCs/>
          <w:sz w:val="20"/>
          <w:szCs w:val="20"/>
          <w:lang w:val="en-GB" w:eastAsia="en-US"/>
        </w:rPr>
      </w:pPr>
    </w:p>
    <w:p w14:paraId="3D437922" w14:textId="77777777" w:rsidR="005F6D0F" w:rsidRDefault="005F6D0F" w:rsidP="005F6D0F">
      <w:pPr>
        <w:widowControl w:val="0"/>
        <w:autoSpaceDE w:val="0"/>
        <w:autoSpaceDN w:val="0"/>
        <w:spacing w:line="360" w:lineRule="auto"/>
        <w:rPr>
          <w:b/>
          <w:bCs/>
          <w:i/>
          <w:iCs/>
          <w:sz w:val="20"/>
          <w:szCs w:val="20"/>
          <w:lang w:val="en-GB" w:eastAsia="en-US"/>
        </w:rPr>
      </w:pPr>
    </w:p>
    <w:p w14:paraId="517F18C1" w14:textId="77777777" w:rsidR="005F6D0F" w:rsidRDefault="005F6D0F" w:rsidP="005F6D0F">
      <w:pPr>
        <w:widowControl w:val="0"/>
        <w:autoSpaceDE w:val="0"/>
        <w:autoSpaceDN w:val="0"/>
        <w:spacing w:line="360" w:lineRule="auto"/>
        <w:rPr>
          <w:b/>
          <w:bCs/>
          <w:i/>
          <w:iCs/>
          <w:sz w:val="20"/>
          <w:szCs w:val="20"/>
          <w:lang w:val="en-GB" w:eastAsia="en-US"/>
        </w:rPr>
      </w:pPr>
    </w:p>
    <w:p w14:paraId="0862053E" w14:textId="6F0A7FBE" w:rsidR="005F6D0F" w:rsidRPr="005F6D0F" w:rsidRDefault="005F6D0F" w:rsidP="005F6D0F">
      <w:pPr>
        <w:widowControl w:val="0"/>
        <w:autoSpaceDE w:val="0"/>
        <w:autoSpaceDN w:val="0"/>
        <w:spacing w:line="360" w:lineRule="auto"/>
        <w:rPr>
          <w:b/>
          <w:bCs/>
          <w:iCs/>
          <w:spacing w:val="-1"/>
          <w:szCs w:val="20"/>
          <w:lang w:val="en-GB" w:eastAsia="en-US"/>
        </w:rPr>
      </w:pPr>
      <w:r w:rsidRPr="005F6D0F">
        <w:rPr>
          <w:b/>
          <w:bCs/>
          <w:iCs/>
          <w:szCs w:val="20"/>
          <w:lang w:val="en-GB" w:eastAsia="en-US"/>
        </w:rPr>
        <w:lastRenderedPageBreak/>
        <w:t>Table</w:t>
      </w:r>
      <w:r w:rsidRPr="005F6D0F">
        <w:rPr>
          <w:b/>
          <w:bCs/>
          <w:iCs/>
          <w:spacing w:val="-2"/>
          <w:szCs w:val="20"/>
          <w:lang w:val="en-GB" w:eastAsia="en-US"/>
        </w:rPr>
        <w:t xml:space="preserve"> </w:t>
      </w:r>
      <w:r w:rsidRPr="005F6D0F">
        <w:rPr>
          <w:b/>
          <w:bCs/>
          <w:iCs/>
          <w:szCs w:val="20"/>
          <w:lang w:val="en-GB" w:eastAsia="en-US"/>
        </w:rPr>
        <w:t>2</w:t>
      </w:r>
    </w:p>
    <w:p w14:paraId="61F0B19A" w14:textId="77777777" w:rsidR="005F6D0F" w:rsidRPr="005F6D0F" w:rsidRDefault="005F6D0F" w:rsidP="005F6D0F">
      <w:pPr>
        <w:widowControl w:val="0"/>
        <w:autoSpaceDE w:val="0"/>
        <w:autoSpaceDN w:val="0"/>
        <w:spacing w:line="360" w:lineRule="auto"/>
        <w:rPr>
          <w:i/>
          <w:szCs w:val="20"/>
          <w:lang w:val="en-GB" w:eastAsia="en-US"/>
        </w:rPr>
      </w:pPr>
      <w:r w:rsidRPr="005F6D0F">
        <w:rPr>
          <w:i/>
          <w:szCs w:val="20"/>
          <w:lang w:val="en-GB" w:eastAsia="en-US"/>
        </w:rPr>
        <w:t>Descriptive</w:t>
      </w:r>
      <w:r w:rsidRPr="005F6D0F">
        <w:rPr>
          <w:i/>
          <w:spacing w:val="-3"/>
          <w:szCs w:val="20"/>
          <w:lang w:val="en-GB" w:eastAsia="en-US"/>
        </w:rPr>
        <w:t xml:space="preserve"> </w:t>
      </w:r>
      <w:r w:rsidRPr="005F6D0F">
        <w:rPr>
          <w:i/>
          <w:szCs w:val="20"/>
          <w:lang w:val="en-GB" w:eastAsia="en-US"/>
        </w:rPr>
        <w:t>Statistics</w:t>
      </w:r>
      <w:r w:rsidRPr="005F6D0F">
        <w:rPr>
          <w:i/>
          <w:spacing w:val="1"/>
          <w:szCs w:val="20"/>
          <w:lang w:val="en-GB" w:eastAsia="en-US"/>
        </w:rPr>
        <w:t xml:space="preserve"> </w:t>
      </w:r>
      <w:r w:rsidRPr="005F6D0F">
        <w:rPr>
          <w:i/>
          <w:szCs w:val="20"/>
          <w:lang w:val="en-GB" w:eastAsia="en-US"/>
        </w:rPr>
        <w:t>and bivariate correlations</w:t>
      </w:r>
    </w:p>
    <w:tbl>
      <w:tblPr>
        <w:tblStyle w:val="Tablaconcuadrcula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711"/>
        <w:gridCol w:w="615"/>
        <w:gridCol w:w="1109"/>
        <w:gridCol w:w="1023"/>
        <w:gridCol w:w="792"/>
        <w:gridCol w:w="790"/>
        <w:gridCol w:w="651"/>
        <w:gridCol w:w="651"/>
        <w:gridCol w:w="601"/>
      </w:tblGrid>
      <w:tr w:rsidR="005F6D0F" w:rsidRPr="005F6D0F" w14:paraId="285FBBB3" w14:textId="77777777" w:rsidTr="005F6D0F">
        <w:trPr>
          <w:trHeight w:val="432"/>
        </w:trPr>
        <w:tc>
          <w:tcPr>
            <w:tcW w:w="845" w:type="pct"/>
            <w:tcBorders>
              <w:top w:val="single" w:sz="4" w:space="0" w:color="auto"/>
              <w:bottom w:val="single" w:sz="4" w:space="0" w:color="auto"/>
            </w:tcBorders>
            <w:hideMark/>
          </w:tcPr>
          <w:p w14:paraId="74501FB7" w14:textId="77777777" w:rsidR="005F6D0F" w:rsidRPr="005F6D0F" w:rsidRDefault="005F6D0F" w:rsidP="005F6D0F">
            <w:pPr>
              <w:widowControl w:val="0"/>
              <w:autoSpaceDE w:val="0"/>
              <w:autoSpaceDN w:val="0"/>
              <w:rPr>
                <w:b/>
                <w:bCs/>
                <w:szCs w:val="24"/>
                <w:lang w:val="en-GB" w:eastAsia="en-US"/>
              </w:rPr>
            </w:pPr>
            <w:r w:rsidRPr="005F6D0F">
              <w:rPr>
                <w:b/>
                <w:bCs/>
                <w:szCs w:val="24"/>
                <w:lang w:val="en-GB" w:eastAsia="en-US"/>
              </w:rPr>
              <w:t> </w:t>
            </w:r>
          </w:p>
        </w:tc>
        <w:tc>
          <w:tcPr>
            <w:tcW w:w="416" w:type="pct"/>
            <w:tcBorders>
              <w:top w:val="single" w:sz="4" w:space="0" w:color="auto"/>
              <w:bottom w:val="single" w:sz="4" w:space="0" w:color="auto"/>
            </w:tcBorders>
            <w:hideMark/>
          </w:tcPr>
          <w:p w14:paraId="40DD9D2D"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M</w:t>
            </w:r>
          </w:p>
        </w:tc>
        <w:tc>
          <w:tcPr>
            <w:tcW w:w="394" w:type="pct"/>
            <w:tcBorders>
              <w:top w:val="single" w:sz="4" w:space="0" w:color="auto"/>
              <w:bottom w:val="single" w:sz="4" w:space="0" w:color="auto"/>
            </w:tcBorders>
            <w:hideMark/>
          </w:tcPr>
          <w:p w14:paraId="10E39E31"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SD</w:t>
            </w:r>
          </w:p>
        </w:tc>
        <w:tc>
          <w:tcPr>
            <w:tcW w:w="604" w:type="pct"/>
            <w:tcBorders>
              <w:top w:val="single" w:sz="4" w:space="0" w:color="auto"/>
              <w:bottom w:val="single" w:sz="4" w:space="0" w:color="auto"/>
            </w:tcBorders>
            <w:hideMark/>
          </w:tcPr>
          <w:p w14:paraId="07388549"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Skewness</w:t>
            </w:r>
          </w:p>
        </w:tc>
        <w:tc>
          <w:tcPr>
            <w:tcW w:w="581" w:type="pct"/>
            <w:tcBorders>
              <w:top w:val="single" w:sz="4" w:space="0" w:color="auto"/>
              <w:bottom w:val="single" w:sz="4" w:space="0" w:color="auto"/>
            </w:tcBorders>
            <w:hideMark/>
          </w:tcPr>
          <w:p w14:paraId="1E5DFFF0"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Kurtosis</w:t>
            </w:r>
          </w:p>
        </w:tc>
        <w:tc>
          <w:tcPr>
            <w:tcW w:w="498" w:type="pct"/>
            <w:tcBorders>
              <w:top w:val="single" w:sz="4" w:space="0" w:color="auto"/>
              <w:bottom w:val="single" w:sz="4" w:space="0" w:color="auto"/>
            </w:tcBorders>
            <w:hideMark/>
          </w:tcPr>
          <w:p w14:paraId="1730596E"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1</w:t>
            </w:r>
          </w:p>
        </w:tc>
        <w:tc>
          <w:tcPr>
            <w:tcW w:w="497" w:type="pct"/>
            <w:tcBorders>
              <w:top w:val="single" w:sz="4" w:space="0" w:color="auto"/>
              <w:bottom w:val="single" w:sz="4" w:space="0" w:color="auto"/>
            </w:tcBorders>
            <w:hideMark/>
          </w:tcPr>
          <w:p w14:paraId="34E39020"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2</w:t>
            </w:r>
          </w:p>
        </w:tc>
        <w:tc>
          <w:tcPr>
            <w:tcW w:w="415" w:type="pct"/>
            <w:tcBorders>
              <w:top w:val="single" w:sz="4" w:space="0" w:color="auto"/>
              <w:bottom w:val="single" w:sz="4" w:space="0" w:color="auto"/>
            </w:tcBorders>
            <w:hideMark/>
          </w:tcPr>
          <w:p w14:paraId="191CFA30"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3</w:t>
            </w:r>
          </w:p>
        </w:tc>
        <w:tc>
          <w:tcPr>
            <w:tcW w:w="415" w:type="pct"/>
            <w:tcBorders>
              <w:top w:val="single" w:sz="4" w:space="0" w:color="auto"/>
              <w:bottom w:val="single" w:sz="4" w:space="0" w:color="auto"/>
            </w:tcBorders>
            <w:hideMark/>
          </w:tcPr>
          <w:p w14:paraId="07B6BFC2"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4</w:t>
            </w:r>
          </w:p>
        </w:tc>
        <w:tc>
          <w:tcPr>
            <w:tcW w:w="335" w:type="pct"/>
            <w:tcBorders>
              <w:top w:val="single" w:sz="4" w:space="0" w:color="auto"/>
              <w:bottom w:val="single" w:sz="4" w:space="0" w:color="auto"/>
            </w:tcBorders>
            <w:hideMark/>
          </w:tcPr>
          <w:p w14:paraId="08E7316C" w14:textId="77777777" w:rsidR="005F6D0F" w:rsidRPr="005F6D0F" w:rsidRDefault="005F6D0F" w:rsidP="005F6D0F">
            <w:pPr>
              <w:widowControl w:val="0"/>
              <w:autoSpaceDE w:val="0"/>
              <w:autoSpaceDN w:val="0"/>
              <w:jc w:val="center"/>
              <w:rPr>
                <w:b/>
                <w:bCs/>
                <w:szCs w:val="24"/>
                <w:lang w:val="en-GB" w:eastAsia="en-US"/>
              </w:rPr>
            </w:pPr>
            <w:r w:rsidRPr="005F6D0F">
              <w:rPr>
                <w:b/>
                <w:bCs/>
                <w:szCs w:val="24"/>
                <w:lang w:val="en-GB" w:eastAsia="en-US"/>
              </w:rPr>
              <w:t>5</w:t>
            </w:r>
          </w:p>
        </w:tc>
      </w:tr>
      <w:tr w:rsidR="005F6D0F" w:rsidRPr="005F6D0F" w14:paraId="47C2135E" w14:textId="77777777" w:rsidTr="005F6D0F">
        <w:trPr>
          <w:trHeight w:val="432"/>
        </w:trPr>
        <w:tc>
          <w:tcPr>
            <w:tcW w:w="845" w:type="pct"/>
            <w:tcBorders>
              <w:top w:val="single" w:sz="4" w:space="0" w:color="auto"/>
            </w:tcBorders>
            <w:hideMark/>
          </w:tcPr>
          <w:p w14:paraId="7BB09618" w14:textId="77777777" w:rsidR="005F6D0F" w:rsidRPr="005F6D0F" w:rsidRDefault="005F6D0F" w:rsidP="005F6D0F">
            <w:pPr>
              <w:widowControl w:val="0"/>
              <w:autoSpaceDE w:val="0"/>
              <w:autoSpaceDN w:val="0"/>
              <w:rPr>
                <w:szCs w:val="24"/>
                <w:lang w:val="en-GB" w:eastAsia="en-US"/>
              </w:rPr>
            </w:pPr>
            <w:r w:rsidRPr="005F6D0F">
              <w:rPr>
                <w:szCs w:val="24"/>
                <w:lang w:val="en-GB" w:eastAsia="en-US"/>
              </w:rPr>
              <w:t>Self-control (1)</w:t>
            </w:r>
          </w:p>
        </w:tc>
        <w:tc>
          <w:tcPr>
            <w:tcW w:w="416" w:type="pct"/>
            <w:tcBorders>
              <w:top w:val="single" w:sz="4" w:space="0" w:color="auto"/>
            </w:tcBorders>
            <w:hideMark/>
          </w:tcPr>
          <w:p w14:paraId="407B0F47"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3.03</w:t>
            </w:r>
          </w:p>
        </w:tc>
        <w:tc>
          <w:tcPr>
            <w:tcW w:w="394" w:type="pct"/>
            <w:tcBorders>
              <w:top w:val="single" w:sz="4" w:space="0" w:color="auto"/>
            </w:tcBorders>
            <w:hideMark/>
          </w:tcPr>
          <w:p w14:paraId="4C05FAAC"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0.58</w:t>
            </w:r>
          </w:p>
        </w:tc>
        <w:tc>
          <w:tcPr>
            <w:tcW w:w="604" w:type="pct"/>
            <w:tcBorders>
              <w:top w:val="single" w:sz="4" w:space="0" w:color="auto"/>
            </w:tcBorders>
            <w:hideMark/>
          </w:tcPr>
          <w:p w14:paraId="1C6E7732"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0.11</w:t>
            </w:r>
          </w:p>
        </w:tc>
        <w:tc>
          <w:tcPr>
            <w:tcW w:w="581" w:type="pct"/>
            <w:tcBorders>
              <w:top w:val="single" w:sz="4" w:space="0" w:color="auto"/>
            </w:tcBorders>
            <w:noWrap/>
            <w:hideMark/>
          </w:tcPr>
          <w:p w14:paraId="54DF836B"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0.06</w:t>
            </w:r>
          </w:p>
        </w:tc>
        <w:tc>
          <w:tcPr>
            <w:tcW w:w="498" w:type="pct"/>
            <w:tcBorders>
              <w:top w:val="single" w:sz="4" w:space="0" w:color="auto"/>
            </w:tcBorders>
            <w:noWrap/>
            <w:hideMark/>
          </w:tcPr>
          <w:p w14:paraId="1DC179F0"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1.00</w:t>
            </w:r>
          </w:p>
        </w:tc>
        <w:tc>
          <w:tcPr>
            <w:tcW w:w="497" w:type="pct"/>
            <w:tcBorders>
              <w:top w:val="single" w:sz="4" w:space="0" w:color="auto"/>
            </w:tcBorders>
            <w:noWrap/>
            <w:hideMark/>
          </w:tcPr>
          <w:p w14:paraId="226FAC67" w14:textId="77777777" w:rsidR="005F6D0F" w:rsidRPr="005F6D0F" w:rsidRDefault="005F6D0F" w:rsidP="005F6D0F">
            <w:pPr>
              <w:widowControl w:val="0"/>
              <w:autoSpaceDE w:val="0"/>
              <w:autoSpaceDN w:val="0"/>
              <w:jc w:val="center"/>
              <w:rPr>
                <w:szCs w:val="24"/>
                <w:lang w:val="en-GB" w:eastAsia="en-US"/>
              </w:rPr>
            </w:pPr>
          </w:p>
        </w:tc>
        <w:tc>
          <w:tcPr>
            <w:tcW w:w="415" w:type="pct"/>
            <w:tcBorders>
              <w:top w:val="single" w:sz="4" w:space="0" w:color="auto"/>
            </w:tcBorders>
            <w:noWrap/>
            <w:hideMark/>
          </w:tcPr>
          <w:p w14:paraId="3135B872" w14:textId="77777777" w:rsidR="005F6D0F" w:rsidRPr="005F6D0F" w:rsidRDefault="005F6D0F" w:rsidP="005F6D0F">
            <w:pPr>
              <w:widowControl w:val="0"/>
              <w:autoSpaceDE w:val="0"/>
              <w:autoSpaceDN w:val="0"/>
              <w:jc w:val="center"/>
              <w:rPr>
                <w:szCs w:val="24"/>
                <w:lang w:val="en-GB" w:eastAsia="en-US"/>
              </w:rPr>
            </w:pPr>
          </w:p>
        </w:tc>
        <w:tc>
          <w:tcPr>
            <w:tcW w:w="415" w:type="pct"/>
            <w:tcBorders>
              <w:top w:val="single" w:sz="4" w:space="0" w:color="auto"/>
            </w:tcBorders>
            <w:noWrap/>
            <w:hideMark/>
          </w:tcPr>
          <w:p w14:paraId="74F1BCC3" w14:textId="77777777" w:rsidR="005F6D0F" w:rsidRPr="005F6D0F" w:rsidRDefault="005F6D0F" w:rsidP="005F6D0F">
            <w:pPr>
              <w:widowControl w:val="0"/>
              <w:autoSpaceDE w:val="0"/>
              <w:autoSpaceDN w:val="0"/>
              <w:jc w:val="center"/>
              <w:rPr>
                <w:szCs w:val="24"/>
                <w:lang w:val="en-GB" w:eastAsia="en-US"/>
              </w:rPr>
            </w:pPr>
          </w:p>
        </w:tc>
        <w:tc>
          <w:tcPr>
            <w:tcW w:w="335" w:type="pct"/>
            <w:tcBorders>
              <w:top w:val="single" w:sz="4" w:space="0" w:color="auto"/>
            </w:tcBorders>
            <w:noWrap/>
            <w:hideMark/>
          </w:tcPr>
          <w:p w14:paraId="78E36C63" w14:textId="77777777" w:rsidR="005F6D0F" w:rsidRPr="005F6D0F" w:rsidRDefault="005F6D0F" w:rsidP="005F6D0F">
            <w:pPr>
              <w:widowControl w:val="0"/>
              <w:autoSpaceDE w:val="0"/>
              <w:autoSpaceDN w:val="0"/>
              <w:jc w:val="center"/>
              <w:rPr>
                <w:szCs w:val="24"/>
                <w:lang w:val="en-GB" w:eastAsia="en-US"/>
              </w:rPr>
            </w:pPr>
          </w:p>
        </w:tc>
      </w:tr>
      <w:tr w:rsidR="005F6D0F" w:rsidRPr="005F6D0F" w14:paraId="11D55D4B" w14:textId="77777777" w:rsidTr="005F6D0F">
        <w:trPr>
          <w:trHeight w:val="432"/>
        </w:trPr>
        <w:tc>
          <w:tcPr>
            <w:tcW w:w="845" w:type="pct"/>
            <w:hideMark/>
          </w:tcPr>
          <w:p w14:paraId="7B6DCB4C" w14:textId="77777777" w:rsidR="005F6D0F" w:rsidRPr="005F6D0F" w:rsidRDefault="005F6D0F" w:rsidP="005F6D0F">
            <w:pPr>
              <w:widowControl w:val="0"/>
              <w:autoSpaceDE w:val="0"/>
              <w:autoSpaceDN w:val="0"/>
              <w:rPr>
                <w:szCs w:val="24"/>
                <w:lang w:val="en-GB" w:eastAsia="en-US"/>
              </w:rPr>
            </w:pPr>
            <w:r w:rsidRPr="005F6D0F">
              <w:rPr>
                <w:szCs w:val="24"/>
                <w:lang w:val="en-GB" w:eastAsia="en-US"/>
              </w:rPr>
              <w:t>Age (2)</w:t>
            </w:r>
          </w:p>
        </w:tc>
        <w:tc>
          <w:tcPr>
            <w:tcW w:w="416" w:type="pct"/>
            <w:noWrap/>
            <w:hideMark/>
          </w:tcPr>
          <w:p w14:paraId="3E1D0DC2"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22.87</w:t>
            </w:r>
          </w:p>
        </w:tc>
        <w:tc>
          <w:tcPr>
            <w:tcW w:w="394" w:type="pct"/>
            <w:noWrap/>
            <w:hideMark/>
          </w:tcPr>
          <w:p w14:paraId="7BA59BB9"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2.66</w:t>
            </w:r>
          </w:p>
        </w:tc>
        <w:tc>
          <w:tcPr>
            <w:tcW w:w="604" w:type="pct"/>
            <w:noWrap/>
            <w:hideMark/>
          </w:tcPr>
          <w:p w14:paraId="1B53F6A7"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0.67</w:t>
            </w:r>
          </w:p>
        </w:tc>
        <w:tc>
          <w:tcPr>
            <w:tcW w:w="581" w:type="pct"/>
            <w:noWrap/>
            <w:hideMark/>
          </w:tcPr>
          <w:p w14:paraId="7F2A349D"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0.28</w:t>
            </w:r>
          </w:p>
        </w:tc>
        <w:tc>
          <w:tcPr>
            <w:tcW w:w="498" w:type="pct"/>
            <w:noWrap/>
            <w:hideMark/>
          </w:tcPr>
          <w:p w14:paraId="113163F9"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.13</w:t>
            </w:r>
            <w:r w:rsidRPr="005F6D0F">
              <w:rPr>
                <w:szCs w:val="24"/>
                <w:vertAlign w:val="superscript"/>
                <w:lang w:val="en-GB" w:eastAsia="en-US"/>
              </w:rPr>
              <w:t>**</w:t>
            </w:r>
          </w:p>
        </w:tc>
        <w:tc>
          <w:tcPr>
            <w:tcW w:w="497" w:type="pct"/>
            <w:noWrap/>
            <w:hideMark/>
          </w:tcPr>
          <w:p w14:paraId="2ED50187"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1.00</w:t>
            </w:r>
          </w:p>
        </w:tc>
        <w:tc>
          <w:tcPr>
            <w:tcW w:w="415" w:type="pct"/>
            <w:noWrap/>
            <w:hideMark/>
          </w:tcPr>
          <w:p w14:paraId="3CA8691E" w14:textId="77777777" w:rsidR="005F6D0F" w:rsidRPr="005F6D0F" w:rsidRDefault="005F6D0F" w:rsidP="005F6D0F">
            <w:pPr>
              <w:widowControl w:val="0"/>
              <w:autoSpaceDE w:val="0"/>
              <w:autoSpaceDN w:val="0"/>
              <w:jc w:val="center"/>
              <w:rPr>
                <w:szCs w:val="24"/>
                <w:lang w:val="en-GB" w:eastAsia="en-US"/>
              </w:rPr>
            </w:pPr>
          </w:p>
        </w:tc>
        <w:tc>
          <w:tcPr>
            <w:tcW w:w="415" w:type="pct"/>
            <w:noWrap/>
            <w:hideMark/>
          </w:tcPr>
          <w:p w14:paraId="23D56BE8" w14:textId="77777777" w:rsidR="005F6D0F" w:rsidRPr="005F6D0F" w:rsidRDefault="005F6D0F" w:rsidP="005F6D0F">
            <w:pPr>
              <w:widowControl w:val="0"/>
              <w:autoSpaceDE w:val="0"/>
              <w:autoSpaceDN w:val="0"/>
              <w:jc w:val="center"/>
              <w:rPr>
                <w:szCs w:val="24"/>
                <w:lang w:val="en-GB" w:eastAsia="en-US"/>
              </w:rPr>
            </w:pPr>
          </w:p>
        </w:tc>
        <w:tc>
          <w:tcPr>
            <w:tcW w:w="335" w:type="pct"/>
            <w:noWrap/>
            <w:hideMark/>
          </w:tcPr>
          <w:p w14:paraId="4D996C1C" w14:textId="77777777" w:rsidR="005F6D0F" w:rsidRPr="005F6D0F" w:rsidRDefault="005F6D0F" w:rsidP="005F6D0F">
            <w:pPr>
              <w:widowControl w:val="0"/>
              <w:autoSpaceDE w:val="0"/>
              <w:autoSpaceDN w:val="0"/>
              <w:jc w:val="center"/>
              <w:rPr>
                <w:szCs w:val="24"/>
                <w:lang w:val="en-GB" w:eastAsia="en-US"/>
              </w:rPr>
            </w:pPr>
          </w:p>
        </w:tc>
      </w:tr>
      <w:tr w:rsidR="005F6D0F" w:rsidRPr="005F6D0F" w14:paraId="581E3B0B" w14:textId="77777777" w:rsidTr="005F6D0F">
        <w:trPr>
          <w:trHeight w:val="432"/>
        </w:trPr>
        <w:tc>
          <w:tcPr>
            <w:tcW w:w="845" w:type="pct"/>
            <w:hideMark/>
          </w:tcPr>
          <w:p w14:paraId="4168C809" w14:textId="77777777" w:rsidR="005F6D0F" w:rsidRPr="005F6D0F" w:rsidRDefault="005F6D0F" w:rsidP="005F6D0F">
            <w:pPr>
              <w:widowControl w:val="0"/>
              <w:autoSpaceDE w:val="0"/>
              <w:autoSpaceDN w:val="0"/>
              <w:rPr>
                <w:szCs w:val="24"/>
                <w:lang w:val="en-GB" w:eastAsia="en-US"/>
              </w:rPr>
            </w:pPr>
            <w:r w:rsidRPr="005F6D0F">
              <w:rPr>
                <w:szCs w:val="24"/>
                <w:lang w:val="en-GB" w:eastAsia="en-US"/>
              </w:rPr>
              <w:t>Moral identity (3)</w:t>
            </w:r>
          </w:p>
        </w:tc>
        <w:tc>
          <w:tcPr>
            <w:tcW w:w="416" w:type="pct"/>
            <w:noWrap/>
            <w:hideMark/>
          </w:tcPr>
          <w:p w14:paraId="6BCEC72D"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4.95</w:t>
            </w:r>
          </w:p>
        </w:tc>
        <w:tc>
          <w:tcPr>
            <w:tcW w:w="394" w:type="pct"/>
            <w:noWrap/>
            <w:hideMark/>
          </w:tcPr>
          <w:p w14:paraId="76BBF53E"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0.87</w:t>
            </w:r>
          </w:p>
        </w:tc>
        <w:tc>
          <w:tcPr>
            <w:tcW w:w="604" w:type="pct"/>
            <w:noWrap/>
            <w:hideMark/>
          </w:tcPr>
          <w:p w14:paraId="23BC3AF2"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-0.50</w:t>
            </w:r>
          </w:p>
        </w:tc>
        <w:tc>
          <w:tcPr>
            <w:tcW w:w="581" w:type="pct"/>
            <w:noWrap/>
            <w:hideMark/>
          </w:tcPr>
          <w:p w14:paraId="072E0D4A"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0.51</w:t>
            </w:r>
          </w:p>
        </w:tc>
        <w:tc>
          <w:tcPr>
            <w:tcW w:w="498" w:type="pct"/>
            <w:noWrap/>
            <w:hideMark/>
          </w:tcPr>
          <w:p w14:paraId="0CC08C47"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.21</w:t>
            </w:r>
            <w:r w:rsidRPr="005F6D0F">
              <w:rPr>
                <w:szCs w:val="24"/>
                <w:vertAlign w:val="superscript"/>
                <w:lang w:val="en-GB" w:eastAsia="en-US"/>
              </w:rPr>
              <w:t>**</w:t>
            </w:r>
          </w:p>
        </w:tc>
        <w:tc>
          <w:tcPr>
            <w:tcW w:w="497" w:type="pct"/>
            <w:noWrap/>
            <w:hideMark/>
          </w:tcPr>
          <w:p w14:paraId="51D242B4"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-0.04</w:t>
            </w:r>
          </w:p>
        </w:tc>
        <w:tc>
          <w:tcPr>
            <w:tcW w:w="415" w:type="pct"/>
            <w:noWrap/>
            <w:hideMark/>
          </w:tcPr>
          <w:p w14:paraId="0A55D51A"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1.00</w:t>
            </w:r>
          </w:p>
        </w:tc>
        <w:tc>
          <w:tcPr>
            <w:tcW w:w="415" w:type="pct"/>
            <w:noWrap/>
            <w:hideMark/>
          </w:tcPr>
          <w:p w14:paraId="19DCF487" w14:textId="77777777" w:rsidR="005F6D0F" w:rsidRPr="005F6D0F" w:rsidRDefault="005F6D0F" w:rsidP="005F6D0F">
            <w:pPr>
              <w:widowControl w:val="0"/>
              <w:autoSpaceDE w:val="0"/>
              <w:autoSpaceDN w:val="0"/>
              <w:jc w:val="center"/>
              <w:rPr>
                <w:szCs w:val="24"/>
                <w:lang w:val="en-GB" w:eastAsia="en-US"/>
              </w:rPr>
            </w:pPr>
          </w:p>
        </w:tc>
        <w:tc>
          <w:tcPr>
            <w:tcW w:w="335" w:type="pct"/>
            <w:noWrap/>
            <w:hideMark/>
          </w:tcPr>
          <w:p w14:paraId="4C9DADB8" w14:textId="77777777" w:rsidR="005F6D0F" w:rsidRPr="005F6D0F" w:rsidRDefault="005F6D0F" w:rsidP="005F6D0F">
            <w:pPr>
              <w:widowControl w:val="0"/>
              <w:autoSpaceDE w:val="0"/>
              <w:autoSpaceDN w:val="0"/>
              <w:jc w:val="center"/>
              <w:rPr>
                <w:szCs w:val="24"/>
                <w:lang w:val="en-GB" w:eastAsia="en-US"/>
              </w:rPr>
            </w:pPr>
          </w:p>
        </w:tc>
      </w:tr>
      <w:tr w:rsidR="005F6D0F" w:rsidRPr="005F6D0F" w14:paraId="41735798" w14:textId="77777777" w:rsidTr="005F6D0F">
        <w:trPr>
          <w:trHeight w:val="646"/>
        </w:trPr>
        <w:tc>
          <w:tcPr>
            <w:tcW w:w="845" w:type="pct"/>
            <w:tcBorders>
              <w:bottom w:val="nil"/>
            </w:tcBorders>
            <w:hideMark/>
          </w:tcPr>
          <w:p w14:paraId="1ACBEE9D" w14:textId="77777777" w:rsidR="005F6D0F" w:rsidRPr="005F6D0F" w:rsidRDefault="005F6D0F" w:rsidP="005F6D0F">
            <w:pPr>
              <w:widowControl w:val="0"/>
              <w:autoSpaceDE w:val="0"/>
              <w:autoSpaceDN w:val="0"/>
              <w:rPr>
                <w:szCs w:val="24"/>
                <w:lang w:val="en-GB" w:eastAsia="en-US"/>
              </w:rPr>
            </w:pPr>
            <w:r w:rsidRPr="005F6D0F">
              <w:rPr>
                <w:szCs w:val="24"/>
                <w:lang w:val="en-GB" w:eastAsia="en-US"/>
              </w:rPr>
              <w:t>Individualizing foundations (4)</w:t>
            </w:r>
          </w:p>
        </w:tc>
        <w:tc>
          <w:tcPr>
            <w:tcW w:w="416" w:type="pct"/>
            <w:tcBorders>
              <w:bottom w:val="nil"/>
            </w:tcBorders>
            <w:noWrap/>
            <w:hideMark/>
          </w:tcPr>
          <w:p w14:paraId="1C8DB9CE"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5.18</w:t>
            </w:r>
          </w:p>
        </w:tc>
        <w:tc>
          <w:tcPr>
            <w:tcW w:w="394" w:type="pct"/>
            <w:tcBorders>
              <w:bottom w:val="nil"/>
            </w:tcBorders>
            <w:noWrap/>
            <w:hideMark/>
          </w:tcPr>
          <w:p w14:paraId="041DD33B"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0.58</w:t>
            </w:r>
          </w:p>
        </w:tc>
        <w:tc>
          <w:tcPr>
            <w:tcW w:w="604" w:type="pct"/>
            <w:tcBorders>
              <w:bottom w:val="nil"/>
            </w:tcBorders>
            <w:noWrap/>
            <w:hideMark/>
          </w:tcPr>
          <w:p w14:paraId="073D252D"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-1.01</w:t>
            </w:r>
          </w:p>
        </w:tc>
        <w:tc>
          <w:tcPr>
            <w:tcW w:w="581" w:type="pct"/>
            <w:tcBorders>
              <w:bottom w:val="nil"/>
            </w:tcBorders>
            <w:noWrap/>
            <w:hideMark/>
          </w:tcPr>
          <w:p w14:paraId="4FC7DF4D"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1.41</w:t>
            </w:r>
          </w:p>
        </w:tc>
        <w:tc>
          <w:tcPr>
            <w:tcW w:w="498" w:type="pct"/>
            <w:tcBorders>
              <w:bottom w:val="nil"/>
            </w:tcBorders>
            <w:noWrap/>
            <w:hideMark/>
          </w:tcPr>
          <w:p w14:paraId="41CE7067"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.09</w:t>
            </w:r>
            <w:r w:rsidRPr="005F6D0F">
              <w:rPr>
                <w:szCs w:val="24"/>
                <w:vertAlign w:val="superscript"/>
                <w:lang w:val="en-GB" w:eastAsia="en-US"/>
              </w:rPr>
              <w:t>*</w:t>
            </w:r>
          </w:p>
        </w:tc>
        <w:tc>
          <w:tcPr>
            <w:tcW w:w="497" w:type="pct"/>
            <w:tcBorders>
              <w:bottom w:val="nil"/>
            </w:tcBorders>
            <w:noWrap/>
            <w:hideMark/>
          </w:tcPr>
          <w:p w14:paraId="27BAFAAF"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-0.03</w:t>
            </w:r>
          </w:p>
        </w:tc>
        <w:tc>
          <w:tcPr>
            <w:tcW w:w="415" w:type="pct"/>
            <w:tcBorders>
              <w:bottom w:val="nil"/>
            </w:tcBorders>
            <w:noWrap/>
            <w:hideMark/>
          </w:tcPr>
          <w:p w14:paraId="4B2FC831"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.48</w:t>
            </w:r>
            <w:r w:rsidRPr="005F6D0F">
              <w:rPr>
                <w:szCs w:val="24"/>
                <w:vertAlign w:val="superscript"/>
                <w:lang w:val="en-GB" w:eastAsia="en-US"/>
              </w:rPr>
              <w:t>**</w:t>
            </w:r>
          </w:p>
        </w:tc>
        <w:tc>
          <w:tcPr>
            <w:tcW w:w="415" w:type="pct"/>
            <w:tcBorders>
              <w:bottom w:val="nil"/>
            </w:tcBorders>
            <w:noWrap/>
            <w:hideMark/>
          </w:tcPr>
          <w:p w14:paraId="031FD79F"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1.00</w:t>
            </w:r>
          </w:p>
        </w:tc>
        <w:tc>
          <w:tcPr>
            <w:tcW w:w="335" w:type="pct"/>
            <w:tcBorders>
              <w:bottom w:val="nil"/>
            </w:tcBorders>
            <w:noWrap/>
            <w:hideMark/>
          </w:tcPr>
          <w:p w14:paraId="779F9DBD" w14:textId="77777777" w:rsidR="005F6D0F" w:rsidRPr="005F6D0F" w:rsidRDefault="005F6D0F" w:rsidP="005F6D0F">
            <w:pPr>
              <w:widowControl w:val="0"/>
              <w:autoSpaceDE w:val="0"/>
              <w:autoSpaceDN w:val="0"/>
              <w:jc w:val="center"/>
              <w:rPr>
                <w:szCs w:val="24"/>
                <w:lang w:val="en-GB" w:eastAsia="en-US"/>
              </w:rPr>
            </w:pPr>
          </w:p>
        </w:tc>
      </w:tr>
      <w:tr w:rsidR="005F6D0F" w:rsidRPr="005F6D0F" w14:paraId="444ADC20" w14:textId="77777777" w:rsidTr="005F6D0F">
        <w:trPr>
          <w:trHeight w:val="432"/>
        </w:trPr>
        <w:tc>
          <w:tcPr>
            <w:tcW w:w="845" w:type="pct"/>
            <w:tcBorders>
              <w:top w:val="nil"/>
              <w:bottom w:val="single" w:sz="4" w:space="0" w:color="auto"/>
            </w:tcBorders>
            <w:hideMark/>
          </w:tcPr>
          <w:p w14:paraId="00F43D69" w14:textId="77777777" w:rsidR="005F6D0F" w:rsidRPr="005F6D0F" w:rsidRDefault="005F6D0F" w:rsidP="005F6D0F">
            <w:pPr>
              <w:widowControl w:val="0"/>
              <w:autoSpaceDE w:val="0"/>
              <w:autoSpaceDN w:val="0"/>
              <w:rPr>
                <w:szCs w:val="24"/>
                <w:lang w:val="en-GB" w:eastAsia="en-US"/>
              </w:rPr>
            </w:pPr>
            <w:r w:rsidRPr="005F6D0F">
              <w:rPr>
                <w:szCs w:val="24"/>
                <w:lang w:val="en-GB" w:eastAsia="en-US"/>
              </w:rPr>
              <w:t>Binding foundations (5)</w:t>
            </w:r>
          </w:p>
        </w:tc>
        <w:tc>
          <w:tcPr>
            <w:tcW w:w="416" w:type="pct"/>
            <w:tcBorders>
              <w:top w:val="nil"/>
              <w:bottom w:val="single" w:sz="4" w:space="0" w:color="auto"/>
            </w:tcBorders>
            <w:noWrap/>
            <w:hideMark/>
          </w:tcPr>
          <w:p w14:paraId="34E49ACB"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4.17</w:t>
            </w:r>
          </w:p>
        </w:tc>
        <w:tc>
          <w:tcPr>
            <w:tcW w:w="394" w:type="pct"/>
            <w:tcBorders>
              <w:top w:val="nil"/>
              <w:bottom w:val="single" w:sz="4" w:space="0" w:color="auto"/>
            </w:tcBorders>
            <w:noWrap/>
            <w:hideMark/>
          </w:tcPr>
          <w:p w14:paraId="411339AF"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0.80</w:t>
            </w:r>
          </w:p>
        </w:tc>
        <w:tc>
          <w:tcPr>
            <w:tcW w:w="604" w:type="pct"/>
            <w:tcBorders>
              <w:top w:val="nil"/>
              <w:bottom w:val="single" w:sz="4" w:space="0" w:color="auto"/>
            </w:tcBorders>
            <w:noWrap/>
            <w:hideMark/>
          </w:tcPr>
          <w:p w14:paraId="1998CF0C"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-0.28</w:t>
            </w:r>
          </w:p>
        </w:tc>
        <w:tc>
          <w:tcPr>
            <w:tcW w:w="581" w:type="pct"/>
            <w:tcBorders>
              <w:top w:val="nil"/>
              <w:bottom w:val="single" w:sz="4" w:space="0" w:color="auto"/>
            </w:tcBorders>
            <w:noWrap/>
            <w:hideMark/>
          </w:tcPr>
          <w:p w14:paraId="164BC0B3"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0.36</w:t>
            </w:r>
          </w:p>
        </w:tc>
        <w:tc>
          <w:tcPr>
            <w:tcW w:w="498" w:type="pct"/>
            <w:tcBorders>
              <w:top w:val="nil"/>
              <w:bottom w:val="single" w:sz="4" w:space="0" w:color="auto"/>
            </w:tcBorders>
            <w:noWrap/>
            <w:hideMark/>
          </w:tcPr>
          <w:p w14:paraId="732C557C"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.18</w:t>
            </w:r>
            <w:r w:rsidRPr="005F6D0F">
              <w:rPr>
                <w:szCs w:val="24"/>
                <w:vertAlign w:val="superscript"/>
                <w:lang w:val="en-GB" w:eastAsia="en-US"/>
              </w:rPr>
              <w:t>**</w:t>
            </w:r>
          </w:p>
        </w:tc>
        <w:tc>
          <w:tcPr>
            <w:tcW w:w="497" w:type="pct"/>
            <w:tcBorders>
              <w:top w:val="nil"/>
              <w:bottom w:val="single" w:sz="4" w:space="0" w:color="auto"/>
            </w:tcBorders>
            <w:noWrap/>
            <w:hideMark/>
          </w:tcPr>
          <w:p w14:paraId="06D87AAC"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0.07</w:t>
            </w:r>
          </w:p>
        </w:tc>
        <w:tc>
          <w:tcPr>
            <w:tcW w:w="415" w:type="pct"/>
            <w:tcBorders>
              <w:top w:val="nil"/>
              <w:bottom w:val="single" w:sz="4" w:space="0" w:color="auto"/>
            </w:tcBorders>
            <w:noWrap/>
            <w:hideMark/>
          </w:tcPr>
          <w:p w14:paraId="39E6DF71"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.42</w:t>
            </w:r>
            <w:r w:rsidRPr="005F6D0F">
              <w:rPr>
                <w:szCs w:val="24"/>
                <w:vertAlign w:val="superscript"/>
                <w:lang w:val="en-GB" w:eastAsia="en-US"/>
              </w:rPr>
              <w:t>**</w:t>
            </w:r>
          </w:p>
        </w:tc>
        <w:tc>
          <w:tcPr>
            <w:tcW w:w="415" w:type="pct"/>
            <w:tcBorders>
              <w:top w:val="nil"/>
              <w:bottom w:val="single" w:sz="4" w:space="0" w:color="auto"/>
            </w:tcBorders>
            <w:noWrap/>
            <w:hideMark/>
          </w:tcPr>
          <w:p w14:paraId="6916CC6A"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.39</w:t>
            </w:r>
            <w:r w:rsidRPr="005F6D0F">
              <w:rPr>
                <w:szCs w:val="24"/>
                <w:vertAlign w:val="superscript"/>
                <w:lang w:val="en-GB" w:eastAsia="en-US"/>
              </w:rPr>
              <w:t>**</w:t>
            </w:r>
          </w:p>
        </w:tc>
        <w:tc>
          <w:tcPr>
            <w:tcW w:w="335" w:type="pct"/>
            <w:tcBorders>
              <w:top w:val="nil"/>
              <w:bottom w:val="single" w:sz="4" w:space="0" w:color="auto"/>
            </w:tcBorders>
            <w:noWrap/>
            <w:hideMark/>
          </w:tcPr>
          <w:p w14:paraId="2AACDA99" w14:textId="77777777" w:rsidR="005F6D0F" w:rsidRPr="005F6D0F" w:rsidRDefault="005F6D0F" w:rsidP="005F6D0F">
            <w:pPr>
              <w:widowControl w:val="0"/>
              <w:autoSpaceDE w:val="0"/>
              <w:autoSpaceDN w:val="0"/>
              <w:jc w:val="center"/>
              <w:rPr>
                <w:szCs w:val="24"/>
                <w:lang w:val="en-GB" w:eastAsia="en-US"/>
              </w:rPr>
            </w:pPr>
            <w:r w:rsidRPr="005F6D0F">
              <w:rPr>
                <w:szCs w:val="24"/>
                <w:lang w:val="en-GB" w:eastAsia="en-US"/>
              </w:rPr>
              <w:t>1.00</w:t>
            </w:r>
          </w:p>
        </w:tc>
      </w:tr>
    </w:tbl>
    <w:tbl>
      <w:tblPr>
        <w:tblW w:w="8647" w:type="dxa"/>
        <w:tblLook w:val="04A0" w:firstRow="1" w:lastRow="0" w:firstColumn="1" w:lastColumn="0" w:noHBand="0" w:noVBand="1"/>
      </w:tblPr>
      <w:tblGrid>
        <w:gridCol w:w="8647"/>
      </w:tblGrid>
      <w:tr w:rsidR="005F6D0F" w:rsidRPr="00BF171A" w14:paraId="14DF636D" w14:textId="77777777" w:rsidTr="00783E7F">
        <w:trPr>
          <w:trHeight w:val="432"/>
        </w:trPr>
        <w:tc>
          <w:tcPr>
            <w:tcW w:w="8647" w:type="dxa"/>
            <w:tcBorders>
              <w:top w:val="nil"/>
              <w:left w:val="nil"/>
              <w:bottom w:val="nil"/>
            </w:tcBorders>
          </w:tcPr>
          <w:p w14:paraId="06EB887A" w14:textId="201D20D8" w:rsidR="005F6D0F" w:rsidRPr="005F6D0F" w:rsidRDefault="005F6D0F" w:rsidP="00783E7F">
            <w:pPr>
              <w:ind w:right="603"/>
              <w:rPr>
                <w:color w:val="000000"/>
                <w:sz w:val="22"/>
                <w:lang w:val="en-GB" w:eastAsia="en-US"/>
              </w:rPr>
            </w:pPr>
            <w:r w:rsidRPr="005F6D0F">
              <w:rPr>
                <w:i/>
                <w:color w:val="000000"/>
                <w:sz w:val="22"/>
                <w:lang w:val="en-GB" w:eastAsia="en-US"/>
              </w:rPr>
              <w:t>Nota.</w:t>
            </w:r>
            <w:r w:rsidRPr="005F6D0F">
              <w:rPr>
                <w:color w:val="000000"/>
                <w:sz w:val="22"/>
                <w:lang w:val="en-GB" w:eastAsia="en-US"/>
              </w:rPr>
              <w:t xml:space="preserve"> **= Correlation is significant at the 0.01 level (2-tailed); *= Correlation is</w:t>
            </w:r>
            <w:r w:rsidR="00783E7F">
              <w:rPr>
                <w:color w:val="000000"/>
                <w:sz w:val="22"/>
                <w:lang w:val="en-GB" w:eastAsia="en-US"/>
              </w:rPr>
              <w:t xml:space="preserve"> </w:t>
            </w:r>
            <w:r w:rsidRPr="005F6D0F">
              <w:rPr>
                <w:color w:val="000000"/>
                <w:sz w:val="22"/>
                <w:lang w:val="en-GB" w:eastAsia="en-US"/>
              </w:rPr>
              <w:t>significant at the 0.05 level (2-tailed).</w:t>
            </w:r>
          </w:p>
        </w:tc>
      </w:tr>
    </w:tbl>
    <w:p w14:paraId="39BFB062" w14:textId="77777777" w:rsidR="005F6D0F" w:rsidRPr="005F6D0F" w:rsidRDefault="005F6D0F" w:rsidP="005F6D0F">
      <w:pPr>
        <w:pStyle w:val="Prrafocomn"/>
        <w:spacing w:line="440" w:lineRule="exact"/>
        <w:rPr>
          <w:lang w:val="en-GB"/>
        </w:rPr>
      </w:pPr>
      <w:r w:rsidRPr="005F6D0F">
        <w:rPr>
          <w:lang w:val="en-GB"/>
        </w:rPr>
        <w:t>When assuming equal variances, the t-test analysis showed significant differences in the self-control scores between participants with high (</w:t>
      </w:r>
      <w:r w:rsidRPr="005F6D0F">
        <w:rPr>
          <w:i/>
          <w:iCs/>
          <w:lang w:val="en-GB"/>
        </w:rPr>
        <w:t xml:space="preserve">M </w:t>
      </w:r>
      <w:r w:rsidRPr="005F6D0F">
        <w:rPr>
          <w:lang w:val="en-GB"/>
        </w:rPr>
        <w:t xml:space="preserve">= 40.78; </w:t>
      </w:r>
      <w:r w:rsidRPr="005F6D0F">
        <w:rPr>
          <w:i/>
          <w:iCs/>
          <w:lang w:val="en-GB"/>
        </w:rPr>
        <w:t>SD</w:t>
      </w:r>
      <w:r w:rsidRPr="005F6D0F">
        <w:rPr>
          <w:lang w:val="en-GB"/>
        </w:rPr>
        <w:t xml:space="preserve"> = 7.35) and low (</w:t>
      </w:r>
      <w:r w:rsidRPr="005F6D0F">
        <w:rPr>
          <w:i/>
          <w:iCs/>
          <w:lang w:val="en-GB"/>
        </w:rPr>
        <w:t>M</w:t>
      </w:r>
      <w:r w:rsidRPr="005F6D0F">
        <w:rPr>
          <w:lang w:val="en-GB"/>
        </w:rPr>
        <w:t xml:space="preserve"> = 38.06; </w:t>
      </w:r>
      <w:r w:rsidRPr="005F6D0F">
        <w:rPr>
          <w:i/>
          <w:iCs/>
          <w:lang w:val="en-GB"/>
        </w:rPr>
        <w:t>SD</w:t>
      </w:r>
      <w:r w:rsidRPr="005F6D0F">
        <w:rPr>
          <w:lang w:val="en-GB"/>
        </w:rPr>
        <w:t xml:space="preserve"> = 7.41) values of moral identity (</w:t>
      </w:r>
      <w:r w:rsidRPr="005F6D0F">
        <w:rPr>
          <w:i/>
          <w:iCs/>
          <w:lang w:val="en-GB"/>
        </w:rPr>
        <w:t xml:space="preserve">t </w:t>
      </w:r>
      <w:r w:rsidRPr="005F6D0F">
        <w:rPr>
          <w:lang w:val="en-GB"/>
        </w:rPr>
        <w:t xml:space="preserve">= 4.61; </w:t>
      </w:r>
      <w:r w:rsidRPr="005F6D0F">
        <w:rPr>
          <w:i/>
          <w:iCs/>
          <w:lang w:val="en-GB"/>
        </w:rPr>
        <w:t>p</w:t>
      </w:r>
      <w:r w:rsidRPr="005F6D0F">
        <w:rPr>
          <w:lang w:val="en-GB"/>
        </w:rPr>
        <w:t xml:space="preserve"> &lt;.01;</w:t>
      </w:r>
      <w:r w:rsidRPr="005F6D0F">
        <w:rPr>
          <w:i/>
          <w:iCs/>
          <w:lang w:val="en-GB"/>
        </w:rPr>
        <w:t xml:space="preserve"> d</w:t>
      </w:r>
      <w:r w:rsidRPr="005F6D0F">
        <w:rPr>
          <w:lang w:val="en-GB"/>
        </w:rPr>
        <w:t xml:space="preserve"> = .38). Similarly, high- (</w:t>
      </w:r>
      <w:r w:rsidRPr="005F6D0F">
        <w:rPr>
          <w:i/>
          <w:iCs/>
          <w:lang w:val="en-GB"/>
        </w:rPr>
        <w:t xml:space="preserve">M </w:t>
      </w:r>
      <w:r w:rsidRPr="005F6D0F">
        <w:rPr>
          <w:lang w:val="en-GB"/>
        </w:rPr>
        <w:t>= 40.49;</w:t>
      </w:r>
      <w:r w:rsidRPr="005F6D0F">
        <w:rPr>
          <w:i/>
          <w:iCs/>
          <w:lang w:val="en-GB"/>
        </w:rPr>
        <w:t xml:space="preserve"> SD</w:t>
      </w:r>
      <w:r w:rsidRPr="005F6D0F">
        <w:rPr>
          <w:lang w:val="en-GB"/>
        </w:rPr>
        <w:t xml:space="preserve"> = 7.33) and low- (</w:t>
      </w:r>
      <w:r w:rsidRPr="005F6D0F">
        <w:rPr>
          <w:i/>
          <w:iCs/>
          <w:lang w:val="en-GB"/>
        </w:rPr>
        <w:t xml:space="preserve">M </w:t>
      </w:r>
      <w:r w:rsidRPr="005F6D0F">
        <w:rPr>
          <w:lang w:val="en-GB"/>
        </w:rPr>
        <w:t>= 38.28;</w:t>
      </w:r>
      <w:r w:rsidRPr="005F6D0F">
        <w:rPr>
          <w:i/>
          <w:iCs/>
          <w:lang w:val="en-GB"/>
        </w:rPr>
        <w:t xml:space="preserve"> SD</w:t>
      </w:r>
      <w:r w:rsidRPr="005F6D0F">
        <w:rPr>
          <w:lang w:val="en-GB"/>
        </w:rPr>
        <w:t xml:space="preserve"> = 7.52) values of binding foundations showed significant differences in self-control scores (</w:t>
      </w:r>
      <w:r w:rsidRPr="005F6D0F">
        <w:rPr>
          <w:i/>
          <w:iCs/>
          <w:lang w:val="en-GB"/>
        </w:rPr>
        <w:t xml:space="preserve">t </w:t>
      </w:r>
      <w:r w:rsidRPr="005F6D0F">
        <w:rPr>
          <w:lang w:val="en-GB"/>
        </w:rPr>
        <w:t xml:space="preserve">= 3.71; </w:t>
      </w:r>
      <w:r w:rsidRPr="005F6D0F">
        <w:rPr>
          <w:i/>
          <w:iCs/>
          <w:lang w:val="en-GB"/>
        </w:rPr>
        <w:t>p</w:t>
      </w:r>
      <w:r w:rsidRPr="005F6D0F">
        <w:rPr>
          <w:lang w:val="en-GB"/>
        </w:rPr>
        <w:t xml:space="preserve"> &lt;.01;</w:t>
      </w:r>
      <w:r w:rsidRPr="005F6D0F">
        <w:rPr>
          <w:i/>
          <w:iCs/>
          <w:lang w:val="en-GB"/>
        </w:rPr>
        <w:t xml:space="preserve"> d</w:t>
      </w:r>
      <w:r w:rsidRPr="005F6D0F">
        <w:rPr>
          <w:lang w:val="en-GB"/>
        </w:rPr>
        <w:t xml:space="preserve"> = .30). Notice that the Cohen’s </w:t>
      </w:r>
      <w:r w:rsidRPr="005F6D0F">
        <w:rPr>
          <w:i/>
          <w:iCs/>
          <w:lang w:val="en-GB"/>
        </w:rPr>
        <w:t>d</w:t>
      </w:r>
      <w:r w:rsidRPr="005F6D0F">
        <w:rPr>
          <w:lang w:val="en-GB"/>
        </w:rPr>
        <w:t xml:space="preserve"> effect sizes for moral identity and binding foundations are interpreted as moderate to low. Since homogeneity of variances was not met (</w:t>
      </w:r>
      <w:r w:rsidRPr="005F6D0F">
        <w:rPr>
          <w:i/>
          <w:iCs/>
          <w:lang w:val="en-GB"/>
        </w:rPr>
        <w:t>F</w:t>
      </w:r>
      <w:r w:rsidRPr="005F6D0F">
        <w:rPr>
          <w:lang w:val="en-GB"/>
        </w:rPr>
        <w:t xml:space="preserve"> = 10.69; </w:t>
      </w:r>
      <w:r w:rsidRPr="005F6D0F">
        <w:rPr>
          <w:i/>
          <w:iCs/>
          <w:lang w:val="en-GB"/>
        </w:rPr>
        <w:t xml:space="preserve">p </w:t>
      </w:r>
      <w:r w:rsidRPr="005F6D0F">
        <w:rPr>
          <w:lang w:val="en-GB"/>
        </w:rPr>
        <w:t>&lt; .01) the Mann-Whitney test pointed out that self-control scores did not significantly differ between participants with low (Mean rank: 305.75) and high levels (Mean rank: 322.54) of individualizing foundations (</w:t>
      </w:r>
      <w:r w:rsidRPr="005F6D0F">
        <w:rPr>
          <w:i/>
          <w:iCs/>
          <w:lang w:val="en-GB"/>
        </w:rPr>
        <w:t xml:space="preserve">Z </w:t>
      </w:r>
      <w:r w:rsidRPr="005F6D0F">
        <w:rPr>
          <w:lang w:val="en-GB"/>
        </w:rPr>
        <w:t>= 1.16</w:t>
      </w:r>
      <w:r w:rsidRPr="005F6D0F">
        <w:rPr>
          <w:i/>
          <w:iCs/>
          <w:lang w:val="en-GB"/>
        </w:rPr>
        <w:t>, p</w:t>
      </w:r>
      <w:r w:rsidRPr="005F6D0F">
        <w:rPr>
          <w:lang w:val="en-GB"/>
        </w:rPr>
        <w:t xml:space="preserve"> = .246).</w:t>
      </w:r>
    </w:p>
    <w:p w14:paraId="09DE7FD0" w14:textId="77777777" w:rsidR="005F6D0F" w:rsidRPr="005F6D0F" w:rsidRDefault="005F6D0F" w:rsidP="005F6D0F">
      <w:pPr>
        <w:pStyle w:val="Prrafocomn"/>
        <w:spacing w:line="440" w:lineRule="exact"/>
        <w:rPr>
          <w:lang w:val="en-GB"/>
        </w:rPr>
      </w:pPr>
      <w:r w:rsidRPr="005F6D0F">
        <w:rPr>
          <w:lang w:val="en-GB"/>
        </w:rPr>
        <w:t>Finally, when assuming equal variances (</w:t>
      </w:r>
      <w:r w:rsidRPr="005F6D0F">
        <w:rPr>
          <w:i/>
          <w:iCs/>
          <w:lang w:val="en-GB"/>
        </w:rPr>
        <w:t>F</w:t>
      </w:r>
      <w:r w:rsidRPr="005F6D0F">
        <w:rPr>
          <w:vertAlign w:val="subscript"/>
          <w:lang w:val="en-GB"/>
        </w:rPr>
        <w:t>7</w:t>
      </w:r>
      <w:r w:rsidRPr="005F6D0F">
        <w:rPr>
          <w:lang w:val="en-GB"/>
        </w:rPr>
        <w:t xml:space="preserve">=1.30; </w:t>
      </w:r>
      <w:r w:rsidRPr="005F6D0F">
        <w:rPr>
          <w:i/>
          <w:iCs/>
          <w:lang w:val="en-GB"/>
        </w:rPr>
        <w:t>p</w:t>
      </w:r>
      <w:r w:rsidRPr="005F6D0F">
        <w:rPr>
          <w:lang w:val="en-GB"/>
        </w:rPr>
        <w:t>=0.25), the ANCOVA model pointed out that, groups based on moral identity (</w:t>
      </w:r>
      <w:r w:rsidRPr="005F6D0F">
        <w:rPr>
          <w:i/>
          <w:iCs/>
          <w:lang w:val="en-GB"/>
        </w:rPr>
        <w:t>F</w:t>
      </w:r>
      <w:r w:rsidRPr="005F6D0F">
        <w:rPr>
          <w:vertAlign w:val="subscript"/>
          <w:lang w:val="en-GB"/>
        </w:rPr>
        <w:t>1</w:t>
      </w:r>
      <w:r w:rsidRPr="005F6D0F">
        <w:rPr>
          <w:lang w:val="en-GB"/>
        </w:rPr>
        <w:t xml:space="preserve">=12.11; </w:t>
      </w:r>
      <w:r w:rsidRPr="005F6D0F">
        <w:rPr>
          <w:i/>
          <w:iCs/>
          <w:lang w:val="en-GB"/>
        </w:rPr>
        <w:t>p</w:t>
      </w:r>
      <w:r w:rsidRPr="005F6D0F">
        <w:rPr>
          <w:lang w:val="en-GB"/>
        </w:rPr>
        <w:t xml:space="preserve">&lt;0.001; </w:t>
      </w:r>
      <w:r w:rsidRPr="005F6D0F">
        <w:rPr>
          <w:i/>
          <w:lang w:val="en-GB"/>
        </w:rPr>
        <w:t>η</w:t>
      </w:r>
      <w:r w:rsidRPr="005F6D0F">
        <w:rPr>
          <w:lang w:val="en-GB"/>
        </w:rPr>
        <w:t>2=.02) and binding foundations values (</w:t>
      </w:r>
      <w:r w:rsidRPr="005F6D0F">
        <w:rPr>
          <w:i/>
          <w:iCs/>
          <w:lang w:val="en-GB"/>
        </w:rPr>
        <w:t>F</w:t>
      </w:r>
      <w:r w:rsidRPr="005F6D0F">
        <w:rPr>
          <w:vertAlign w:val="subscript"/>
          <w:lang w:val="en-GB"/>
        </w:rPr>
        <w:t>1</w:t>
      </w:r>
      <w:r w:rsidRPr="005F6D0F">
        <w:rPr>
          <w:lang w:val="en-GB"/>
        </w:rPr>
        <w:t xml:space="preserve">=3.99; </w:t>
      </w:r>
      <w:r w:rsidRPr="005F6D0F">
        <w:rPr>
          <w:i/>
          <w:iCs/>
          <w:lang w:val="en-GB"/>
        </w:rPr>
        <w:t>p</w:t>
      </w:r>
      <w:r w:rsidRPr="005F6D0F">
        <w:rPr>
          <w:lang w:val="en-GB"/>
        </w:rPr>
        <w:t>&lt;0.05:</w:t>
      </w:r>
      <w:r w:rsidRPr="005F6D0F">
        <w:rPr>
          <w:i/>
          <w:lang w:val="en-GB"/>
        </w:rPr>
        <w:t xml:space="preserve"> η</w:t>
      </w:r>
      <w:r w:rsidRPr="005F6D0F">
        <w:rPr>
          <w:lang w:val="en-GB"/>
        </w:rPr>
        <w:t>2=.01) showed statistically significant differences on self-control when taking age as a covariate, which also had a significant effect in the dependent variable scores age (</w:t>
      </w:r>
      <w:r w:rsidRPr="005F6D0F">
        <w:rPr>
          <w:i/>
          <w:iCs/>
          <w:lang w:val="en-GB"/>
        </w:rPr>
        <w:t>F</w:t>
      </w:r>
      <w:r w:rsidRPr="005F6D0F">
        <w:rPr>
          <w:vertAlign w:val="subscript"/>
          <w:lang w:val="en-GB"/>
        </w:rPr>
        <w:t>1</w:t>
      </w:r>
      <w:r w:rsidRPr="005F6D0F">
        <w:rPr>
          <w:lang w:val="en-GB"/>
        </w:rPr>
        <w:t xml:space="preserve">=13.88; </w:t>
      </w:r>
      <w:r w:rsidRPr="005F6D0F">
        <w:rPr>
          <w:i/>
          <w:iCs/>
          <w:lang w:val="en-GB"/>
        </w:rPr>
        <w:t>p</w:t>
      </w:r>
      <w:r w:rsidRPr="005F6D0F">
        <w:rPr>
          <w:lang w:val="en-GB"/>
        </w:rPr>
        <w:t>&lt;0.001;</w:t>
      </w:r>
      <w:r w:rsidRPr="005F6D0F">
        <w:rPr>
          <w:i/>
          <w:lang w:val="en-GB"/>
        </w:rPr>
        <w:t xml:space="preserve"> η</w:t>
      </w:r>
      <w:r w:rsidRPr="005F6D0F">
        <w:rPr>
          <w:lang w:val="en-GB"/>
        </w:rPr>
        <w:t>2=0.02). Individualizing foundations showed no significant differences in self-control scores (</w:t>
      </w:r>
      <w:r w:rsidRPr="005F6D0F">
        <w:rPr>
          <w:i/>
          <w:iCs/>
          <w:lang w:val="en-GB"/>
        </w:rPr>
        <w:t>F</w:t>
      </w:r>
      <w:r w:rsidRPr="005F6D0F">
        <w:rPr>
          <w:vertAlign w:val="subscript"/>
          <w:lang w:val="en-GB"/>
        </w:rPr>
        <w:t>1</w:t>
      </w:r>
      <w:r w:rsidRPr="005F6D0F">
        <w:rPr>
          <w:lang w:val="en-GB"/>
        </w:rPr>
        <w:t xml:space="preserve">=0.15; </w:t>
      </w:r>
      <w:r w:rsidRPr="005F6D0F">
        <w:rPr>
          <w:i/>
          <w:iCs/>
          <w:lang w:val="en-GB"/>
        </w:rPr>
        <w:t>p</w:t>
      </w:r>
      <w:r w:rsidRPr="005F6D0F">
        <w:rPr>
          <w:lang w:val="en-GB"/>
        </w:rPr>
        <w:t xml:space="preserve">=0.49). Effect sizes pointed out that the independent variables that showed statistical significance when introduced in the model had a small effect size among the sample (Cohen, 2013). </w:t>
      </w:r>
    </w:p>
    <w:p w14:paraId="30A2F9BF" w14:textId="77777777" w:rsidR="005F6D0F" w:rsidRDefault="005F6D0F" w:rsidP="005F6D0F">
      <w:pPr>
        <w:pStyle w:val="Prrafocomn"/>
        <w:spacing w:line="440" w:lineRule="exact"/>
        <w:rPr>
          <w:lang w:val="en-GB"/>
        </w:rPr>
      </w:pPr>
      <w:r w:rsidRPr="005F6D0F">
        <w:rPr>
          <w:lang w:val="en-GB"/>
        </w:rPr>
        <w:t>Additionally, the only significant interaction found included the three independent variables (</w:t>
      </w:r>
      <w:r w:rsidRPr="005F6D0F">
        <w:rPr>
          <w:i/>
          <w:iCs/>
          <w:lang w:val="en-GB"/>
        </w:rPr>
        <w:t>F</w:t>
      </w:r>
      <w:r w:rsidRPr="005F6D0F">
        <w:rPr>
          <w:vertAlign w:val="subscript"/>
          <w:lang w:val="en-GB"/>
        </w:rPr>
        <w:t>1</w:t>
      </w:r>
      <w:r w:rsidRPr="005F6D0F">
        <w:rPr>
          <w:lang w:val="en-GB"/>
        </w:rPr>
        <w:t xml:space="preserve">=4.91; </w:t>
      </w:r>
      <w:r w:rsidRPr="005F6D0F">
        <w:rPr>
          <w:i/>
          <w:iCs/>
          <w:lang w:val="en-GB"/>
        </w:rPr>
        <w:t>p</w:t>
      </w:r>
      <w:r w:rsidRPr="005F6D0F">
        <w:rPr>
          <w:lang w:val="en-GB"/>
        </w:rPr>
        <w:t xml:space="preserve">&lt;.05; </w:t>
      </w:r>
      <w:r w:rsidRPr="005F6D0F">
        <w:rPr>
          <w:i/>
          <w:lang w:val="en-GB"/>
        </w:rPr>
        <w:t>η</w:t>
      </w:r>
      <w:r w:rsidRPr="005F6D0F">
        <w:rPr>
          <w:lang w:val="en-GB"/>
        </w:rPr>
        <w:t xml:space="preserve">2=.01). This interaction is reflected in Table 3 and the fact </w:t>
      </w:r>
      <w:r w:rsidRPr="005F6D0F">
        <w:rPr>
          <w:lang w:val="en-GB"/>
        </w:rPr>
        <w:lastRenderedPageBreak/>
        <w:t>that the highest marginal mean was exhibited by participants with high moral identity, high individualizing foundations and high binding foundations (</w:t>
      </w:r>
      <w:r w:rsidRPr="005F6D0F">
        <w:rPr>
          <w:i/>
          <w:iCs/>
          <w:lang w:val="en-GB"/>
        </w:rPr>
        <w:t>M</w:t>
      </w:r>
      <w:r w:rsidRPr="005F6D0F">
        <w:rPr>
          <w:lang w:val="en-GB"/>
        </w:rPr>
        <w:t xml:space="preserve">=3.26, </w:t>
      </w:r>
      <w:r w:rsidRPr="005F6D0F">
        <w:rPr>
          <w:i/>
          <w:iCs/>
          <w:lang w:val="en-GB"/>
        </w:rPr>
        <w:t>SE</w:t>
      </w:r>
      <w:r w:rsidRPr="005F6D0F">
        <w:rPr>
          <w:lang w:val="en-GB"/>
        </w:rPr>
        <w:t>=0.05, 95%</w:t>
      </w:r>
      <w:r w:rsidRPr="005F6D0F">
        <w:rPr>
          <w:i/>
          <w:iCs/>
          <w:lang w:val="en-GB"/>
        </w:rPr>
        <w:t>CI</w:t>
      </w:r>
      <w:r w:rsidRPr="005F6D0F">
        <w:rPr>
          <w:lang w:val="en-GB"/>
        </w:rPr>
        <w:t xml:space="preserve"> [3.16, 3.36]); and that in all the cases, the combination of groups of high levels of any of the two moral foundations and moral identity predicts higher self-control marginal means. Additionally, the lack of effect of individualizing foundations on its own on self-control is reflected in the lowest marginal mean among participants with high levels of individualizing foundations but low levels of the other two variables (</w:t>
      </w:r>
      <w:r w:rsidRPr="005F6D0F">
        <w:rPr>
          <w:i/>
          <w:iCs/>
          <w:lang w:val="en-GB"/>
        </w:rPr>
        <w:t>M</w:t>
      </w:r>
      <w:r w:rsidRPr="005F6D0F">
        <w:rPr>
          <w:lang w:val="en-GB"/>
        </w:rPr>
        <w:t xml:space="preserve">=2.83, </w:t>
      </w:r>
      <w:r w:rsidRPr="005F6D0F">
        <w:rPr>
          <w:i/>
          <w:iCs/>
          <w:lang w:val="en-GB"/>
        </w:rPr>
        <w:t>SE</w:t>
      </w:r>
      <w:r w:rsidRPr="005F6D0F">
        <w:rPr>
          <w:lang w:val="en-GB"/>
        </w:rPr>
        <w:t>=0.07, 95%</w:t>
      </w:r>
      <w:r w:rsidRPr="005F6D0F">
        <w:rPr>
          <w:i/>
          <w:iCs/>
          <w:lang w:val="en-GB"/>
        </w:rPr>
        <w:t>CI</w:t>
      </w:r>
      <w:r w:rsidRPr="005F6D0F">
        <w:rPr>
          <w:lang w:val="en-GB"/>
        </w:rPr>
        <w:t xml:space="preserve"> [2.69, 2.98]).</w:t>
      </w:r>
    </w:p>
    <w:p w14:paraId="3051CC49" w14:textId="1DC498BA" w:rsidR="005F6D0F" w:rsidRPr="005F6D0F" w:rsidRDefault="005F6D0F" w:rsidP="005F6D0F">
      <w:pPr>
        <w:pStyle w:val="Prrafocomn"/>
        <w:spacing w:line="440" w:lineRule="exact"/>
        <w:ind w:firstLine="0"/>
        <w:rPr>
          <w:lang w:val="en-GB"/>
        </w:rPr>
      </w:pPr>
      <w:r w:rsidRPr="005F6D0F">
        <w:rPr>
          <w:b/>
          <w:bCs/>
          <w:iCs/>
          <w:color w:val="0D0F1A"/>
          <w:lang w:val="en-GB"/>
        </w:rPr>
        <w:t>Table 3</w:t>
      </w:r>
    </w:p>
    <w:p w14:paraId="0165368C" w14:textId="54CCB196" w:rsidR="005F6D0F" w:rsidRPr="005F6D0F" w:rsidRDefault="005F6D0F" w:rsidP="00B86C3D">
      <w:pPr>
        <w:widowControl w:val="0"/>
        <w:tabs>
          <w:tab w:val="left" w:pos="284"/>
        </w:tabs>
        <w:autoSpaceDE w:val="0"/>
        <w:autoSpaceDN w:val="0"/>
        <w:spacing w:before="120"/>
        <w:rPr>
          <w:i/>
          <w:color w:val="0D0F1A"/>
          <w:lang w:val="en-GB"/>
        </w:rPr>
      </w:pPr>
      <w:r w:rsidRPr="005F6D0F">
        <w:rPr>
          <w:i/>
          <w:color w:val="0D0F1A"/>
          <w:lang w:val="en-GB"/>
        </w:rPr>
        <w:t>Estimated marginal means of self-control scores based on high and low levels of the independent variables when introducing age as a covariate</w:t>
      </w:r>
      <w:r w:rsidRPr="005F6D0F">
        <w:rPr>
          <w:rFonts w:eastAsiaTheme="minorHAnsi"/>
          <w:i/>
          <w:lang w:val="en-GB"/>
        </w:rPr>
        <w:fldChar w:fldCharType="begin"/>
      </w:r>
      <w:r w:rsidRPr="005F6D0F">
        <w:rPr>
          <w:i/>
          <w:lang w:val="en-GB"/>
        </w:rPr>
        <w:instrText xml:space="preserve"> LINK Excel.Sheet.12 "C:\\Users\\Dayanne\\Desktop\\Self-control moralization\\Comentaries.xlsx" "Sheet4!R4C2:R13C8" \a \f 4 \h  \* MERGEFORMAT </w:instrText>
      </w:r>
      <w:r w:rsidRPr="005F6D0F">
        <w:rPr>
          <w:rFonts w:eastAsiaTheme="minorHAnsi"/>
          <w:i/>
          <w:lang w:val="en-GB"/>
        </w:rPr>
        <w:fldChar w:fldCharType="separate"/>
      </w:r>
    </w:p>
    <w:tbl>
      <w:tblPr>
        <w:tblW w:w="8505" w:type="dxa"/>
        <w:tblBorders>
          <w:top w:val="single" w:sz="4" w:space="0" w:color="auto"/>
          <w:bottom w:val="single" w:sz="4" w:space="0" w:color="auto"/>
        </w:tblBorders>
        <w:tblLayout w:type="fixed"/>
        <w:tblLook w:val="04A0" w:firstRow="1" w:lastRow="0" w:firstColumn="1" w:lastColumn="0" w:noHBand="0" w:noVBand="1"/>
      </w:tblPr>
      <w:tblGrid>
        <w:gridCol w:w="1391"/>
        <w:gridCol w:w="1777"/>
        <w:gridCol w:w="1510"/>
        <w:gridCol w:w="1276"/>
        <w:gridCol w:w="886"/>
        <w:gridCol w:w="957"/>
        <w:gridCol w:w="708"/>
      </w:tblGrid>
      <w:tr w:rsidR="005F6D0F" w:rsidRPr="005F6D0F" w14:paraId="097F0C7E" w14:textId="77777777" w:rsidTr="00B86C3D">
        <w:trPr>
          <w:trHeight w:val="410"/>
        </w:trPr>
        <w:tc>
          <w:tcPr>
            <w:tcW w:w="1391" w:type="dxa"/>
            <w:vMerge w:val="restart"/>
            <w:tcBorders>
              <w:top w:val="single" w:sz="4" w:space="0" w:color="auto"/>
              <w:bottom w:val="nil"/>
            </w:tcBorders>
            <w:shd w:val="clear" w:color="auto" w:fill="auto"/>
            <w:vAlign w:val="center"/>
            <w:hideMark/>
          </w:tcPr>
          <w:p w14:paraId="22EA527B" w14:textId="77777777" w:rsidR="005F6D0F" w:rsidRPr="005F6D0F" w:rsidRDefault="005F6D0F" w:rsidP="005F6D0F">
            <w:pPr>
              <w:jc w:val="center"/>
              <w:rPr>
                <w:b/>
                <w:bCs/>
                <w:color w:val="000000"/>
                <w:lang w:val="en-GB"/>
              </w:rPr>
            </w:pPr>
            <w:r w:rsidRPr="005F6D0F">
              <w:rPr>
                <w:b/>
                <w:bCs/>
                <w:color w:val="000000"/>
                <w:lang w:val="en-GB"/>
              </w:rPr>
              <w:t>Moral Identity (MI)</w:t>
            </w:r>
          </w:p>
        </w:tc>
        <w:tc>
          <w:tcPr>
            <w:tcW w:w="1777" w:type="dxa"/>
            <w:vMerge w:val="restart"/>
            <w:tcBorders>
              <w:top w:val="single" w:sz="4" w:space="0" w:color="auto"/>
              <w:bottom w:val="nil"/>
            </w:tcBorders>
            <w:shd w:val="clear" w:color="auto" w:fill="auto"/>
            <w:vAlign w:val="center"/>
            <w:hideMark/>
          </w:tcPr>
          <w:p w14:paraId="126B0650" w14:textId="77777777" w:rsidR="005F6D0F" w:rsidRPr="005F6D0F" w:rsidRDefault="005F6D0F" w:rsidP="005F6D0F">
            <w:pPr>
              <w:jc w:val="center"/>
              <w:rPr>
                <w:b/>
                <w:bCs/>
                <w:color w:val="000000"/>
                <w:lang w:val="en-GB"/>
              </w:rPr>
            </w:pPr>
            <w:r w:rsidRPr="005F6D0F">
              <w:rPr>
                <w:b/>
                <w:bCs/>
                <w:color w:val="000000"/>
                <w:lang w:val="en-GB"/>
              </w:rPr>
              <w:t>Individualizing foundations (IF)</w:t>
            </w:r>
          </w:p>
        </w:tc>
        <w:tc>
          <w:tcPr>
            <w:tcW w:w="1510" w:type="dxa"/>
            <w:vMerge w:val="restart"/>
            <w:tcBorders>
              <w:top w:val="single" w:sz="4" w:space="0" w:color="auto"/>
              <w:bottom w:val="nil"/>
            </w:tcBorders>
            <w:shd w:val="clear" w:color="auto" w:fill="auto"/>
            <w:vAlign w:val="center"/>
            <w:hideMark/>
          </w:tcPr>
          <w:p w14:paraId="2EDDF0EF" w14:textId="77777777" w:rsidR="005F6D0F" w:rsidRPr="005F6D0F" w:rsidRDefault="005F6D0F" w:rsidP="005F6D0F">
            <w:pPr>
              <w:jc w:val="center"/>
              <w:rPr>
                <w:b/>
                <w:bCs/>
                <w:color w:val="000000"/>
                <w:lang w:val="en-GB"/>
              </w:rPr>
            </w:pPr>
            <w:r w:rsidRPr="005F6D0F">
              <w:rPr>
                <w:b/>
                <w:bCs/>
                <w:color w:val="000000"/>
                <w:lang w:val="en-GB"/>
              </w:rPr>
              <w:t>Binding Foundations (BF)</w:t>
            </w:r>
          </w:p>
        </w:tc>
        <w:tc>
          <w:tcPr>
            <w:tcW w:w="1276" w:type="dxa"/>
            <w:vMerge w:val="restart"/>
            <w:tcBorders>
              <w:top w:val="single" w:sz="4" w:space="0" w:color="auto"/>
              <w:bottom w:val="nil"/>
            </w:tcBorders>
            <w:shd w:val="clear" w:color="auto" w:fill="auto"/>
            <w:vAlign w:val="center"/>
            <w:hideMark/>
          </w:tcPr>
          <w:p w14:paraId="1370D60F" w14:textId="77777777" w:rsidR="005F6D0F" w:rsidRPr="005F6D0F" w:rsidRDefault="005F6D0F" w:rsidP="005F6D0F">
            <w:pPr>
              <w:jc w:val="center"/>
              <w:rPr>
                <w:b/>
                <w:bCs/>
                <w:color w:val="000000"/>
                <w:lang w:val="en-GB"/>
              </w:rPr>
            </w:pPr>
            <w:r w:rsidRPr="005F6D0F">
              <w:rPr>
                <w:b/>
                <w:bCs/>
                <w:color w:val="000000"/>
                <w:lang w:val="en-GB"/>
              </w:rPr>
              <w:t>Marginal Mean</w:t>
            </w:r>
          </w:p>
        </w:tc>
        <w:tc>
          <w:tcPr>
            <w:tcW w:w="1843" w:type="dxa"/>
            <w:gridSpan w:val="2"/>
            <w:tcBorders>
              <w:top w:val="single" w:sz="4" w:space="0" w:color="auto"/>
              <w:bottom w:val="nil"/>
            </w:tcBorders>
            <w:shd w:val="clear" w:color="auto" w:fill="auto"/>
            <w:vAlign w:val="center"/>
            <w:hideMark/>
          </w:tcPr>
          <w:p w14:paraId="6AD0B562" w14:textId="77777777" w:rsidR="005F6D0F" w:rsidRPr="005F6D0F" w:rsidRDefault="005F6D0F" w:rsidP="005F6D0F">
            <w:pPr>
              <w:jc w:val="center"/>
              <w:rPr>
                <w:b/>
                <w:bCs/>
                <w:color w:val="000000"/>
                <w:lang w:val="en-GB"/>
              </w:rPr>
            </w:pPr>
            <w:r w:rsidRPr="005F6D0F">
              <w:rPr>
                <w:b/>
                <w:bCs/>
                <w:color w:val="000000"/>
                <w:lang w:val="en-GB"/>
              </w:rPr>
              <w:t>95% CI</w:t>
            </w:r>
          </w:p>
        </w:tc>
        <w:tc>
          <w:tcPr>
            <w:tcW w:w="708" w:type="dxa"/>
            <w:vMerge w:val="restart"/>
            <w:tcBorders>
              <w:top w:val="single" w:sz="4" w:space="0" w:color="auto"/>
              <w:bottom w:val="nil"/>
            </w:tcBorders>
            <w:shd w:val="clear" w:color="auto" w:fill="auto"/>
            <w:vAlign w:val="center"/>
            <w:hideMark/>
          </w:tcPr>
          <w:p w14:paraId="63CB4E13" w14:textId="77777777" w:rsidR="005F6D0F" w:rsidRPr="005F6D0F" w:rsidRDefault="005F6D0F" w:rsidP="005F6D0F">
            <w:pPr>
              <w:jc w:val="center"/>
              <w:rPr>
                <w:b/>
                <w:bCs/>
                <w:color w:val="000000"/>
                <w:lang w:val="en-GB"/>
              </w:rPr>
            </w:pPr>
            <w:r w:rsidRPr="005F6D0F">
              <w:rPr>
                <w:b/>
                <w:bCs/>
                <w:color w:val="000000"/>
                <w:lang w:val="en-GB"/>
              </w:rPr>
              <w:t>SE</w:t>
            </w:r>
          </w:p>
        </w:tc>
      </w:tr>
      <w:tr w:rsidR="005F6D0F" w:rsidRPr="005F6D0F" w14:paraId="648275CE" w14:textId="77777777" w:rsidTr="00B86C3D">
        <w:trPr>
          <w:trHeight w:val="411"/>
        </w:trPr>
        <w:tc>
          <w:tcPr>
            <w:tcW w:w="1391" w:type="dxa"/>
            <w:vMerge/>
            <w:tcBorders>
              <w:top w:val="nil"/>
              <w:bottom w:val="single" w:sz="4" w:space="0" w:color="auto"/>
            </w:tcBorders>
            <w:vAlign w:val="center"/>
            <w:hideMark/>
          </w:tcPr>
          <w:p w14:paraId="6A0EEC3A" w14:textId="77777777" w:rsidR="005F6D0F" w:rsidRPr="005F6D0F" w:rsidRDefault="005F6D0F" w:rsidP="005F6D0F">
            <w:pPr>
              <w:jc w:val="center"/>
              <w:rPr>
                <w:b/>
                <w:bCs/>
                <w:color w:val="000000"/>
                <w:lang w:val="en-GB"/>
              </w:rPr>
            </w:pPr>
          </w:p>
        </w:tc>
        <w:tc>
          <w:tcPr>
            <w:tcW w:w="1777" w:type="dxa"/>
            <w:vMerge/>
            <w:tcBorders>
              <w:top w:val="nil"/>
              <w:bottom w:val="single" w:sz="4" w:space="0" w:color="auto"/>
            </w:tcBorders>
            <w:vAlign w:val="center"/>
            <w:hideMark/>
          </w:tcPr>
          <w:p w14:paraId="59895E96" w14:textId="77777777" w:rsidR="005F6D0F" w:rsidRPr="005F6D0F" w:rsidRDefault="005F6D0F" w:rsidP="005F6D0F">
            <w:pPr>
              <w:jc w:val="center"/>
              <w:rPr>
                <w:b/>
                <w:bCs/>
                <w:color w:val="000000"/>
                <w:lang w:val="en-GB"/>
              </w:rPr>
            </w:pPr>
          </w:p>
        </w:tc>
        <w:tc>
          <w:tcPr>
            <w:tcW w:w="1510" w:type="dxa"/>
            <w:vMerge/>
            <w:tcBorders>
              <w:top w:val="nil"/>
              <w:bottom w:val="single" w:sz="4" w:space="0" w:color="auto"/>
            </w:tcBorders>
            <w:vAlign w:val="center"/>
            <w:hideMark/>
          </w:tcPr>
          <w:p w14:paraId="05FE8174" w14:textId="77777777" w:rsidR="005F6D0F" w:rsidRPr="005F6D0F" w:rsidRDefault="005F6D0F" w:rsidP="005F6D0F">
            <w:pPr>
              <w:jc w:val="center"/>
              <w:rPr>
                <w:b/>
                <w:bCs/>
                <w:color w:val="000000"/>
                <w:lang w:val="en-GB"/>
              </w:rPr>
            </w:pPr>
          </w:p>
        </w:tc>
        <w:tc>
          <w:tcPr>
            <w:tcW w:w="1276" w:type="dxa"/>
            <w:vMerge/>
            <w:tcBorders>
              <w:top w:val="nil"/>
              <w:bottom w:val="single" w:sz="4" w:space="0" w:color="auto"/>
            </w:tcBorders>
            <w:vAlign w:val="center"/>
            <w:hideMark/>
          </w:tcPr>
          <w:p w14:paraId="0FB8F445" w14:textId="77777777" w:rsidR="005F6D0F" w:rsidRPr="005F6D0F" w:rsidRDefault="005F6D0F" w:rsidP="005F6D0F">
            <w:pPr>
              <w:rPr>
                <w:b/>
                <w:bCs/>
                <w:color w:val="000000"/>
                <w:lang w:val="en-GB"/>
              </w:rPr>
            </w:pPr>
          </w:p>
        </w:tc>
        <w:tc>
          <w:tcPr>
            <w:tcW w:w="886" w:type="dxa"/>
            <w:tcBorders>
              <w:top w:val="nil"/>
              <w:bottom w:val="single" w:sz="4" w:space="0" w:color="auto"/>
            </w:tcBorders>
            <w:shd w:val="clear" w:color="auto" w:fill="auto"/>
            <w:vAlign w:val="center"/>
            <w:hideMark/>
          </w:tcPr>
          <w:p w14:paraId="457FA63A" w14:textId="77777777" w:rsidR="005F6D0F" w:rsidRPr="005F6D0F" w:rsidRDefault="005F6D0F" w:rsidP="005F6D0F">
            <w:pPr>
              <w:jc w:val="center"/>
              <w:rPr>
                <w:b/>
                <w:bCs/>
                <w:color w:val="000000"/>
                <w:lang w:val="en-GB"/>
              </w:rPr>
            </w:pPr>
            <w:r w:rsidRPr="005F6D0F">
              <w:rPr>
                <w:b/>
                <w:bCs/>
                <w:color w:val="000000"/>
                <w:lang w:val="en-GB"/>
              </w:rPr>
              <w:t>Lower</w:t>
            </w:r>
          </w:p>
        </w:tc>
        <w:tc>
          <w:tcPr>
            <w:tcW w:w="957" w:type="dxa"/>
            <w:tcBorders>
              <w:top w:val="nil"/>
              <w:bottom w:val="single" w:sz="4" w:space="0" w:color="auto"/>
            </w:tcBorders>
            <w:shd w:val="clear" w:color="auto" w:fill="auto"/>
            <w:vAlign w:val="center"/>
            <w:hideMark/>
          </w:tcPr>
          <w:p w14:paraId="4D18CA86" w14:textId="77777777" w:rsidR="005F6D0F" w:rsidRPr="005F6D0F" w:rsidRDefault="005F6D0F" w:rsidP="005F6D0F">
            <w:pPr>
              <w:jc w:val="center"/>
              <w:rPr>
                <w:b/>
                <w:bCs/>
                <w:color w:val="000000"/>
                <w:lang w:val="en-GB"/>
              </w:rPr>
            </w:pPr>
            <w:r w:rsidRPr="005F6D0F">
              <w:rPr>
                <w:b/>
                <w:bCs/>
                <w:color w:val="000000"/>
                <w:lang w:val="en-GB"/>
              </w:rPr>
              <w:t>Upper</w:t>
            </w:r>
          </w:p>
        </w:tc>
        <w:tc>
          <w:tcPr>
            <w:tcW w:w="708" w:type="dxa"/>
            <w:vMerge/>
            <w:tcBorders>
              <w:top w:val="nil"/>
              <w:bottom w:val="single" w:sz="4" w:space="0" w:color="auto"/>
            </w:tcBorders>
            <w:vAlign w:val="center"/>
            <w:hideMark/>
          </w:tcPr>
          <w:p w14:paraId="4B1E4D26" w14:textId="77777777" w:rsidR="005F6D0F" w:rsidRPr="005F6D0F" w:rsidRDefault="005F6D0F" w:rsidP="005F6D0F">
            <w:pPr>
              <w:rPr>
                <w:b/>
                <w:bCs/>
                <w:color w:val="000000"/>
                <w:lang w:val="en-GB"/>
              </w:rPr>
            </w:pPr>
          </w:p>
        </w:tc>
      </w:tr>
      <w:tr w:rsidR="005F6D0F" w:rsidRPr="005F6D0F" w14:paraId="41791D61" w14:textId="77777777" w:rsidTr="00B86C3D">
        <w:trPr>
          <w:trHeight w:val="411"/>
        </w:trPr>
        <w:tc>
          <w:tcPr>
            <w:tcW w:w="1391" w:type="dxa"/>
            <w:tcBorders>
              <w:top w:val="single" w:sz="4" w:space="0" w:color="auto"/>
            </w:tcBorders>
            <w:shd w:val="clear" w:color="auto" w:fill="auto"/>
            <w:vAlign w:val="center"/>
            <w:hideMark/>
          </w:tcPr>
          <w:p w14:paraId="7BEE5937" w14:textId="77777777" w:rsidR="005F6D0F" w:rsidRPr="005F6D0F" w:rsidRDefault="005F6D0F" w:rsidP="005F6D0F">
            <w:pPr>
              <w:ind w:firstLineChars="100" w:firstLine="240"/>
              <w:jc w:val="center"/>
              <w:rPr>
                <w:color w:val="000000"/>
                <w:lang w:val="en-GB"/>
              </w:rPr>
            </w:pPr>
            <w:r w:rsidRPr="005F6D0F">
              <w:rPr>
                <w:color w:val="000000"/>
                <w:lang w:val="en-GB"/>
              </w:rPr>
              <w:t>Low MI</w:t>
            </w:r>
          </w:p>
        </w:tc>
        <w:tc>
          <w:tcPr>
            <w:tcW w:w="1777" w:type="dxa"/>
            <w:tcBorders>
              <w:top w:val="single" w:sz="4" w:space="0" w:color="auto"/>
            </w:tcBorders>
            <w:shd w:val="clear" w:color="auto" w:fill="auto"/>
            <w:vAlign w:val="center"/>
            <w:hideMark/>
          </w:tcPr>
          <w:p w14:paraId="01E19D14" w14:textId="77777777" w:rsidR="005F6D0F" w:rsidRPr="005F6D0F" w:rsidRDefault="005F6D0F" w:rsidP="005F6D0F">
            <w:pPr>
              <w:ind w:firstLineChars="100" w:firstLine="240"/>
              <w:jc w:val="center"/>
              <w:rPr>
                <w:color w:val="000000"/>
                <w:lang w:val="en-GB"/>
              </w:rPr>
            </w:pPr>
            <w:r w:rsidRPr="005F6D0F">
              <w:rPr>
                <w:color w:val="000000"/>
                <w:lang w:val="en-GB"/>
              </w:rPr>
              <w:t>Low IF</w:t>
            </w:r>
          </w:p>
        </w:tc>
        <w:tc>
          <w:tcPr>
            <w:tcW w:w="1510" w:type="dxa"/>
            <w:tcBorders>
              <w:top w:val="single" w:sz="4" w:space="0" w:color="auto"/>
            </w:tcBorders>
            <w:shd w:val="clear" w:color="auto" w:fill="auto"/>
            <w:vAlign w:val="center"/>
            <w:hideMark/>
          </w:tcPr>
          <w:p w14:paraId="4753B2C0" w14:textId="77777777" w:rsidR="005F6D0F" w:rsidRPr="005F6D0F" w:rsidRDefault="005F6D0F" w:rsidP="005F6D0F">
            <w:pPr>
              <w:ind w:firstLineChars="100" w:firstLine="240"/>
              <w:jc w:val="center"/>
              <w:rPr>
                <w:color w:val="000000"/>
                <w:lang w:val="en-GB"/>
              </w:rPr>
            </w:pPr>
            <w:r w:rsidRPr="005F6D0F">
              <w:rPr>
                <w:color w:val="000000"/>
                <w:lang w:val="en-GB"/>
              </w:rPr>
              <w:t>Low BF</w:t>
            </w:r>
          </w:p>
        </w:tc>
        <w:tc>
          <w:tcPr>
            <w:tcW w:w="1276" w:type="dxa"/>
            <w:tcBorders>
              <w:top w:val="single" w:sz="4" w:space="0" w:color="auto"/>
            </w:tcBorders>
            <w:shd w:val="clear" w:color="auto" w:fill="auto"/>
            <w:vAlign w:val="center"/>
            <w:hideMark/>
          </w:tcPr>
          <w:p w14:paraId="70FD4937" w14:textId="77777777" w:rsidR="005F6D0F" w:rsidRPr="005F6D0F" w:rsidRDefault="005F6D0F" w:rsidP="005F6D0F">
            <w:pPr>
              <w:jc w:val="center"/>
              <w:rPr>
                <w:color w:val="000000"/>
                <w:lang w:val="en-GB"/>
              </w:rPr>
            </w:pPr>
            <w:r w:rsidRPr="005F6D0F">
              <w:rPr>
                <w:color w:val="000000"/>
                <w:lang w:val="en-GB"/>
              </w:rPr>
              <w:t>2.92</w:t>
            </w:r>
          </w:p>
        </w:tc>
        <w:tc>
          <w:tcPr>
            <w:tcW w:w="886" w:type="dxa"/>
            <w:tcBorders>
              <w:top w:val="single" w:sz="4" w:space="0" w:color="auto"/>
            </w:tcBorders>
            <w:shd w:val="clear" w:color="auto" w:fill="auto"/>
            <w:vAlign w:val="center"/>
            <w:hideMark/>
          </w:tcPr>
          <w:p w14:paraId="3FEEAF2D" w14:textId="77777777" w:rsidR="005F6D0F" w:rsidRPr="005F6D0F" w:rsidRDefault="005F6D0F" w:rsidP="005F6D0F">
            <w:pPr>
              <w:jc w:val="center"/>
              <w:rPr>
                <w:color w:val="000000"/>
                <w:lang w:val="en-GB"/>
              </w:rPr>
            </w:pPr>
            <w:r w:rsidRPr="005F6D0F">
              <w:rPr>
                <w:color w:val="000000"/>
                <w:lang w:val="en-GB"/>
              </w:rPr>
              <w:t>2.83</w:t>
            </w:r>
          </w:p>
        </w:tc>
        <w:tc>
          <w:tcPr>
            <w:tcW w:w="957" w:type="dxa"/>
            <w:tcBorders>
              <w:top w:val="single" w:sz="4" w:space="0" w:color="auto"/>
            </w:tcBorders>
            <w:shd w:val="clear" w:color="auto" w:fill="auto"/>
            <w:vAlign w:val="center"/>
            <w:hideMark/>
          </w:tcPr>
          <w:p w14:paraId="42C33647" w14:textId="77777777" w:rsidR="005F6D0F" w:rsidRPr="005F6D0F" w:rsidRDefault="005F6D0F" w:rsidP="005F6D0F">
            <w:pPr>
              <w:jc w:val="center"/>
              <w:rPr>
                <w:color w:val="000000"/>
                <w:lang w:val="en-GB"/>
              </w:rPr>
            </w:pPr>
            <w:r w:rsidRPr="005F6D0F">
              <w:rPr>
                <w:color w:val="000000"/>
                <w:lang w:val="en-GB"/>
              </w:rPr>
              <w:t>3.00</w:t>
            </w:r>
          </w:p>
        </w:tc>
        <w:tc>
          <w:tcPr>
            <w:tcW w:w="708" w:type="dxa"/>
            <w:tcBorders>
              <w:top w:val="single" w:sz="4" w:space="0" w:color="auto"/>
            </w:tcBorders>
            <w:shd w:val="clear" w:color="auto" w:fill="auto"/>
            <w:vAlign w:val="center"/>
            <w:hideMark/>
          </w:tcPr>
          <w:p w14:paraId="56060EF8" w14:textId="77777777" w:rsidR="005F6D0F" w:rsidRPr="005F6D0F" w:rsidRDefault="005F6D0F" w:rsidP="005F6D0F">
            <w:pPr>
              <w:jc w:val="center"/>
              <w:rPr>
                <w:color w:val="000000"/>
                <w:lang w:val="en-GB"/>
              </w:rPr>
            </w:pPr>
            <w:r w:rsidRPr="005F6D0F">
              <w:rPr>
                <w:color w:val="000000"/>
                <w:lang w:val="en-GB"/>
              </w:rPr>
              <w:t>0.04</w:t>
            </w:r>
          </w:p>
        </w:tc>
      </w:tr>
      <w:tr w:rsidR="005F6D0F" w:rsidRPr="005F6D0F" w14:paraId="2C1FB52C" w14:textId="77777777" w:rsidTr="00B86C3D">
        <w:trPr>
          <w:trHeight w:val="411"/>
        </w:trPr>
        <w:tc>
          <w:tcPr>
            <w:tcW w:w="1391" w:type="dxa"/>
            <w:shd w:val="clear" w:color="auto" w:fill="auto"/>
            <w:vAlign w:val="center"/>
            <w:hideMark/>
          </w:tcPr>
          <w:p w14:paraId="5E68F18C" w14:textId="77777777" w:rsidR="005F6D0F" w:rsidRPr="005F6D0F" w:rsidRDefault="005F6D0F" w:rsidP="005F6D0F">
            <w:pPr>
              <w:ind w:firstLineChars="100" w:firstLine="240"/>
              <w:jc w:val="center"/>
              <w:rPr>
                <w:color w:val="000000"/>
                <w:lang w:val="en-GB"/>
              </w:rPr>
            </w:pPr>
            <w:r w:rsidRPr="005F6D0F">
              <w:rPr>
                <w:color w:val="000000"/>
                <w:lang w:val="en-GB"/>
              </w:rPr>
              <w:t>High MI</w:t>
            </w:r>
          </w:p>
        </w:tc>
        <w:tc>
          <w:tcPr>
            <w:tcW w:w="1777" w:type="dxa"/>
            <w:shd w:val="clear" w:color="auto" w:fill="auto"/>
            <w:vAlign w:val="center"/>
            <w:hideMark/>
          </w:tcPr>
          <w:p w14:paraId="7B07637E" w14:textId="77777777" w:rsidR="005F6D0F" w:rsidRPr="005F6D0F" w:rsidRDefault="005F6D0F" w:rsidP="005F6D0F">
            <w:pPr>
              <w:ind w:firstLineChars="100" w:firstLine="240"/>
              <w:jc w:val="center"/>
              <w:rPr>
                <w:color w:val="000000"/>
                <w:lang w:val="en-GB"/>
              </w:rPr>
            </w:pPr>
            <w:r w:rsidRPr="005F6D0F">
              <w:rPr>
                <w:color w:val="000000"/>
                <w:lang w:val="en-GB"/>
              </w:rPr>
              <w:t>Low IF</w:t>
            </w:r>
          </w:p>
        </w:tc>
        <w:tc>
          <w:tcPr>
            <w:tcW w:w="1510" w:type="dxa"/>
            <w:shd w:val="clear" w:color="auto" w:fill="auto"/>
            <w:vAlign w:val="center"/>
            <w:hideMark/>
          </w:tcPr>
          <w:p w14:paraId="6580DE98" w14:textId="77777777" w:rsidR="005F6D0F" w:rsidRPr="005F6D0F" w:rsidRDefault="005F6D0F" w:rsidP="005F6D0F">
            <w:pPr>
              <w:ind w:firstLineChars="100" w:firstLine="240"/>
              <w:jc w:val="center"/>
              <w:rPr>
                <w:color w:val="000000"/>
                <w:lang w:val="en-GB"/>
              </w:rPr>
            </w:pPr>
            <w:r w:rsidRPr="005F6D0F">
              <w:rPr>
                <w:color w:val="000000"/>
                <w:lang w:val="en-GB"/>
              </w:rPr>
              <w:t>Low BF</w:t>
            </w:r>
          </w:p>
        </w:tc>
        <w:tc>
          <w:tcPr>
            <w:tcW w:w="1276" w:type="dxa"/>
            <w:shd w:val="clear" w:color="auto" w:fill="auto"/>
            <w:vAlign w:val="center"/>
            <w:hideMark/>
          </w:tcPr>
          <w:p w14:paraId="1BE856F2" w14:textId="77777777" w:rsidR="005F6D0F" w:rsidRPr="005F6D0F" w:rsidRDefault="005F6D0F" w:rsidP="005F6D0F">
            <w:pPr>
              <w:jc w:val="center"/>
              <w:rPr>
                <w:color w:val="000000"/>
                <w:lang w:val="en-GB"/>
              </w:rPr>
            </w:pPr>
            <w:r w:rsidRPr="005F6D0F">
              <w:rPr>
                <w:color w:val="000000"/>
                <w:lang w:val="en-GB"/>
              </w:rPr>
              <w:t>3.12</w:t>
            </w:r>
          </w:p>
        </w:tc>
        <w:tc>
          <w:tcPr>
            <w:tcW w:w="886" w:type="dxa"/>
            <w:shd w:val="clear" w:color="auto" w:fill="auto"/>
            <w:vAlign w:val="center"/>
            <w:hideMark/>
          </w:tcPr>
          <w:p w14:paraId="3B5C40B4" w14:textId="77777777" w:rsidR="005F6D0F" w:rsidRPr="005F6D0F" w:rsidRDefault="005F6D0F" w:rsidP="005F6D0F">
            <w:pPr>
              <w:jc w:val="center"/>
              <w:rPr>
                <w:color w:val="000000"/>
                <w:lang w:val="en-GB"/>
              </w:rPr>
            </w:pPr>
            <w:r w:rsidRPr="005F6D0F">
              <w:rPr>
                <w:color w:val="000000"/>
                <w:lang w:val="en-GB"/>
              </w:rPr>
              <w:t>2.96</w:t>
            </w:r>
          </w:p>
        </w:tc>
        <w:tc>
          <w:tcPr>
            <w:tcW w:w="957" w:type="dxa"/>
            <w:shd w:val="clear" w:color="auto" w:fill="auto"/>
            <w:vAlign w:val="center"/>
            <w:hideMark/>
          </w:tcPr>
          <w:p w14:paraId="5D2B1B78" w14:textId="77777777" w:rsidR="005F6D0F" w:rsidRPr="005F6D0F" w:rsidRDefault="005F6D0F" w:rsidP="005F6D0F">
            <w:pPr>
              <w:jc w:val="center"/>
              <w:rPr>
                <w:color w:val="000000"/>
                <w:lang w:val="en-GB"/>
              </w:rPr>
            </w:pPr>
            <w:r w:rsidRPr="005F6D0F">
              <w:rPr>
                <w:color w:val="000000"/>
                <w:lang w:val="en-GB"/>
              </w:rPr>
              <w:t>3.27</w:t>
            </w:r>
          </w:p>
        </w:tc>
        <w:tc>
          <w:tcPr>
            <w:tcW w:w="708" w:type="dxa"/>
            <w:shd w:val="clear" w:color="auto" w:fill="auto"/>
            <w:vAlign w:val="center"/>
            <w:hideMark/>
          </w:tcPr>
          <w:p w14:paraId="59C9C1E1" w14:textId="77777777" w:rsidR="005F6D0F" w:rsidRPr="005F6D0F" w:rsidRDefault="005F6D0F" w:rsidP="005F6D0F">
            <w:pPr>
              <w:jc w:val="center"/>
              <w:rPr>
                <w:color w:val="000000"/>
                <w:lang w:val="en-GB"/>
              </w:rPr>
            </w:pPr>
            <w:r w:rsidRPr="005F6D0F">
              <w:rPr>
                <w:color w:val="000000"/>
                <w:lang w:val="en-GB"/>
              </w:rPr>
              <w:t>0.08</w:t>
            </w:r>
          </w:p>
        </w:tc>
      </w:tr>
      <w:tr w:rsidR="005F6D0F" w:rsidRPr="005F6D0F" w14:paraId="66A76DB6" w14:textId="77777777" w:rsidTr="00B86C3D">
        <w:trPr>
          <w:trHeight w:val="411"/>
        </w:trPr>
        <w:tc>
          <w:tcPr>
            <w:tcW w:w="1391" w:type="dxa"/>
            <w:shd w:val="clear" w:color="auto" w:fill="auto"/>
            <w:vAlign w:val="center"/>
            <w:hideMark/>
          </w:tcPr>
          <w:p w14:paraId="57762A0E" w14:textId="77777777" w:rsidR="005F6D0F" w:rsidRPr="005F6D0F" w:rsidRDefault="005F6D0F" w:rsidP="005F6D0F">
            <w:pPr>
              <w:ind w:firstLineChars="100" w:firstLine="240"/>
              <w:jc w:val="center"/>
              <w:rPr>
                <w:color w:val="000000"/>
                <w:lang w:val="en-GB"/>
              </w:rPr>
            </w:pPr>
            <w:r w:rsidRPr="005F6D0F">
              <w:rPr>
                <w:color w:val="000000"/>
                <w:lang w:val="en-GB"/>
              </w:rPr>
              <w:t>Low MI</w:t>
            </w:r>
          </w:p>
        </w:tc>
        <w:tc>
          <w:tcPr>
            <w:tcW w:w="1777" w:type="dxa"/>
            <w:shd w:val="clear" w:color="auto" w:fill="auto"/>
            <w:vAlign w:val="center"/>
            <w:hideMark/>
          </w:tcPr>
          <w:p w14:paraId="6B384974" w14:textId="77777777" w:rsidR="005F6D0F" w:rsidRPr="005F6D0F" w:rsidRDefault="005F6D0F" w:rsidP="005F6D0F">
            <w:pPr>
              <w:ind w:firstLineChars="100" w:firstLine="240"/>
              <w:jc w:val="center"/>
              <w:rPr>
                <w:color w:val="000000"/>
                <w:lang w:val="en-GB"/>
              </w:rPr>
            </w:pPr>
            <w:r w:rsidRPr="005F6D0F">
              <w:rPr>
                <w:color w:val="000000"/>
                <w:lang w:val="en-GB"/>
              </w:rPr>
              <w:t>High IF</w:t>
            </w:r>
          </w:p>
        </w:tc>
        <w:tc>
          <w:tcPr>
            <w:tcW w:w="1510" w:type="dxa"/>
            <w:shd w:val="clear" w:color="auto" w:fill="auto"/>
            <w:vAlign w:val="center"/>
            <w:hideMark/>
          </w:tcPr>
          <w:p w14:paraId="6966D655" w14:textId="77777777" w:rsidR="005F6D0F" w:rsidRPr="005F6D0F" w:rsidRDefault="005F6D0F" w:rsidP="005F6D0F">
            <w:pPr>
              <w:ind w:firstLineChars="100" w:firstLine="240"/>
              <w:jc w:val="center"/>
              <w:rPr>
                <w:color w:val="000000"/>
                <w:lang w:val="en-GB"/>
              </w:rPr>
            </w:pPr>
            <w:r w:rsidRPr="005F6D0F">
              <w:rPr>
                <w:color w:val="000000"/>
                <w:lang w:val="en-GB"/>
              </w:rPr>
              <w:t>Low BF</w:t>
            </w:r>
          </w:p>
        </w:tc>
        <w:tc>
          <w:tcPr>
            <w:tcW w:w="1276" w:type="dxa"/>
            <w:shd w:val="clear" w:color="auto" w:fill="auto"/>
            <w:vAlign w:val="center"/>
            <w:hideMark/>
          </w:tcPr>
          <w:p w14:paraId="29396A00" w14:textId="77777777" w:rsidR="005F6D0F" w:rsidRPr="005F6D0F" w:rsidRDefault="005F6D0F" w:rsidP="005F6D0F">
            <w:pPr>
              <w:jc w:val="center"/>
              <w:rPr>
                <w:color w:val="000000"/>
                <w:lang w:val="en-GB"/>
              </w:rPr>
            </w:pPr>
            <w:r w:rsidRPr="005F6D0F">
              <w:rPr>
                <w:color w:val="000000"/>
                <w:lang w:val="en-GB"/>
              </w:rPr>
              <w:t>2.83</w:t>
            </w:r>
          </w:p>
        </w:tc>
        <w:tc>
          <w:tcPr>
            <w:tcW w:w="886" w:type="dxa"/>
            <w:shd w:val="clear" w:color="auto" w:fill="auto"/>
            <w:vAlign w:val="center"/>
            <w:hideMark/>
          </w:tcPr>
          <w:p w14:paraId="1AA443CA" w14:textId="77777777" w:rsidR="005F6D0F" w:rsidRPr="005F6D0F" w:rsidRDefault="005F6D0F" w:rsidP="005F6D0F">
            <w:pPr>
              <w:jc w:val="center"/>
              <w:rPr>
                <w:color w:val="000000"/>
                <w:lang w:val="en-GB"/>
              </w:rPr>
            </w:pPr>
            <w:r w:rsidRPr="005F6D0F">
              <w:rPr>
                <w:color w:val="000000"/>
                <w:lang w:val="en-GB"/>
              </w:rPr>
              <w:t>2.69</w:t>
            </w:r>
          </w:p>
        </w:tc>
        <w:tc>
          <w:tcPr>
            <w:tcW w:w="957" w:type="dxa"/>
            <w:shd w:val="clear" w:color="auto" w:fill="auto"/>
            <w:vAlign w:val="center"/>
            <w:hideMark/>
          </w:tcPr>
          <w:p w14:paraId="2AC9624B" w14:textId="77777777" w:rsidR="005F6D0F" w:rsidRPr="005F6D0F" w:rsidRDefault="005F6D0F" w:rsidP="005F6D0F">
            <w:pPr>
              <w:jc w:val="center"/>
              <w:rPr>
                <w:color w:val="000000"/>
                <w:lang w:val="en-GB"/>
              </w:rPr>
            </w:pPr>
            <w:r w:rsidRPr="005F6D0F">
              <w:rPr>
                <w:color w:val="000000"/>
                <w:lang w:val="en-GB"/>
              </w:rPr>
              <w:t>2.98</w:t>
            </w:r>
          </w:p>
        </w:tc>
        <w:tc>
          <w:tcPr>
            <w:tcW w:w="708" w:type="dxa"/>
            <w:shd w:val="clear" w:color="auto" w:fill="auto"/>
            <w:vAlign w:val="center"/>
            <w:hideMark/>
          </w:tcPr>
          <w:p w14:paraId="0ACC9CC8" w14:textId="77777777" w:rsidR="005F6D0F" w:rsidRPr="005F6D0F" w:rsidRDefault="005F6D0F" w:rsidP="005F6D0F">
            <w:pPr>
              <w:jc w:val="center"/>
              <w:rPr>
                <w:color w:val="000000"/>
                <w:lang w:val="en-GB"/>
              </w:rPr>
            </w:pPr>
            <w:r w:rsidRPr="005F6D0F">
              <w:rPr>
                <w:color w:val="000000"/>
                <w:lang w:val="en-GB"/>
              </w:rPr>
              <w:t>0.07</w:t>
            </w:r>
          </w:p>
        </w:tc>
      </w:tr>
      <w:tr w:rsidR="005F6D0F" w:rsidRPr="005F6D0F" w14:paraId="36873B5E" w14:textId="77777777" w:rsidTr="00B86C3D">
        <w:trPr>
          <w:trHeight w:val="410"/>
        </w:trPr>
        <w:tc>
          <w:tcPr>
            <w:tcW w:w="1391" w:type="dxa"/>
            <w:shd w:val="clear" w:color="auto" w:fill="auto"/>
            <w:vAlign w:val="center"/>
            <w:hideMark/>
          </w:tcPr>
          <w:p w14:paraId="4028BCC7" w14:textId="77777777" w:rsidR="005F6D0F" w:rsidRPr="005F6D0F" w:rsidRDefault="005F6D0F" w:rsidP="005F6D0F">
            <w:pPr>
              <w:ind w:firstLineChars="100" w:firstLine="240"/>
              <w:jc w:val="center"/>
              <w:rPr>
                <w:color w:val="000000"/>
                <w:lang w:val="en-GB"/>
              </w:rPr>
            </w:pPr>
            <w:r w:rsidRPr="005F6D0F">
              <w:rPr>
                <w:color w:val="000000"/>
                <w:lang w:val="en-GB"/>
              </w:rPr>
              <w:t>High MI</w:t>
            </w:r>
          </w:p>
        </w:tc>
        <w:tc>
          <w:tcPr>
            <w:tcW w:w="1777" w:type="dxa"/>
            <w:shd w:val="clear" w:color="auto" w:fill="auto"/>
            <w:vAlign w:val="center"/>
            <w:hideMark/>
          </w:tcPr>
          <w:p w14:paraId="75DEFA14" w14:textId="77777777" w:rsidR="005F6D0F" w:rsidRPr="005F6D0F" w:rsidRDefault="005F6D0F" w:rsidP="005F6D0F">
            <w:pPr>
              <w:ind w:firstLineChars="100" w:firstLine="240"/>
              <w:jc w:val="center"/>
              <w:rPr>
                <w:color w:val="000000"/>
                <w:lang w:val="en-GB"/>
              </w:rPr>
            </w:pPr>
            <w:r w:rsidRPr="005F6D0F">
              <w:rPr>
                <w:color w:val="000000"/>
                <w:lang w:val="en-GB"/>
              </w:rPr>
              <w:t>High IF</w:t>
            </w:r>
          </w:p>
        </w:tc>
        <w:tc>
          <w:tcPr>
            <w:tcW w:w="1510" w:type="dxa"/>
            <w:shd w:val="clear" w:color="auto" w:fill="auto"/>
            <w:vAlign w:val="center"/>
            <w:hideMark/>
          </w:tcPr>
          <w:p w14:paraId="062CBEAA" w14:textId="77777777" w:rsidR="005F6D0F" w:rsidRPr="005F6D0F" w:rsidRDefault="005F6D0F" w:rsidP="005F6D0F">
            <w:pPr>
              <w:ind w:firstLineChars="100" w:firstLine="240"/>
              <w:jc w:val="center"/>
              <w:rPr>
                <w:color w:val="000000"/>
                <w:lang w:val="en-GB"/>
              </w:rPr>
            </w:pPr>
            <w:r w:rsidRPr="005F6D0F">
              <w:rPr>
                <w:color w:val="000000"/>
                <w:lang w:val="en-GB"/>
              </w:rPr>
              <w:t>Low BF</w:t>
            </w:r>
          </w:p>
        </w:tc>
        <w:tc>
          <w:tcPr>
            <w:tcW w:w="1276" w:type="dxa"/>
            <w:shd w:val="clear" w:color="auto" w:fill="auto"/>
            <w:vAlign w:val="center"/>
            <w:hideMark/>
          </w:tcPr>
          <w:p w14:paraId="7D9B3AB9" w14:textId="77777777" w:rsidR="005F6D0F" w:rsidRPr="005F6D0F" w:rsidRDefault="005F6D0F" w:rsidP="005F6D0F">
            <w:pPr>
              <w:jc w:val="center"/>
              <w:rPr>
                <w:color w:val="000000"/>
                <w:lang w:val="en-GB"/>
              </w:rPr>
            </w:pPr>
            <w:r w:rsidRPr="005F6D0F">
              <w:rPr>
                <w:color w:val="000000"/>
                <w:lang w:val="en-GB"/>
              </w:rPr>
              <w:t>2.98</w:t>
            </w:r>
          </w:p>
        </w:tc>
        <w:tc>
          <w:tcPr>
            <w:tcW w:w="886" w:type="dxa"/>
            <w:shd w:val="clear" w:color="auto" w:fill="auto"/>
            <w:vAlign w:val="center"/>
            <w:hideMark/>
          </w:tcPr>
          <w:p w14:paraId="4728C989" w14:textId="77777777" w:rsidR="005F6D0F" w:rsidRPr="005F6D0F" w:rsidRDefault="005F6D0F" w:rsidP="005F6D0F">
            <w:pPr>
              <w:jc w:val="center"/>
              <w:rPr>
                <w:color w:val="000000"/>
                <w:lang w:val="en-GB"/>
              </w:rPr>
            </w:pPr>
            <w:r w:rsidRPr="005F6D0F">
              <w:rPr>
                <w:color w:val="000000"/>
                <w:lang w:val="en-GB"/>
              </w:rPr>
              <w:t>2.84</w:t>
            </w:r>
          </w:p>
        </w:tc>
        <w:tc>
          <w:tcPr>
            <w:tcW w:w="957" w:type="dxa"/>
            <w:shd w:val="clear" w:color="auto" w:fill="auto"/>
            <w:vAlign w:val="center"/>
            <w:hideMark/>
          </w:tcPr>
          <w:p w14:paraId="02C87034" w14:textId="77777777" w:rsidR="005F6D0F" w:rsidRPr="005F6D0F" w:rsidRDefault="005F6D0F" w:rsidP="005F6D0F">
            <w:pPr>
              <w:jc w:val="center"/>
              <w:rPr>
                <w:color w:val="000000"/>
                <w:lang w:val="en-GB"/>
              </w:rPr>
            </w:pPr>
            <w:r w:rsidRPr="005F6D0F">
              <w:rPr>
                <w:color w:val="000000"/>
                <w:lang w:val="en-GB"/>
              </w:rPr>
              <w:t>3.13</w:t>
            </w:r>
          </w:p>
        </w:tc>
        <w:tc>
          <w:tcPr>
            <w:tcW w:w="708" w:type="dxa"/>
            <w:shd w:val="clear" w:color="auto" w:fill="auto"/>
            <w:vAlign w:val="center"/>
            <w:hideMark/>
          </w:tcPr>
          <w:p w14:paraId="5E852FCA" w14:textId="77777777" w:rsidR="005F6D0F" w:rsidRPr="005F6D0F" w:rsidRDefault="005F6D0F" w:rsidP="005F6D0F">
            <w:pPr>
              <w:jc w:val="center"/>
              <w:rPr>
                <w:color w:val="000000"/>
                <w:lang w:val="en-GB"/>
              </w:rPr>
            </w:pPr>
            <w:r w:rsidRPr="005F6D0F">
              <w:rPr>
                <w:color w:val="000000"/>
                <w:lang w:val="en-GB"/>
              </w:rPr>
              <w:t>0.08</w:t>
            </w:r>
          </w:p>
        </w:tc>
      </w:tr>
      <w:tr w:rsidR="005F6D0F" w:rsidRPr="005F6D0F" w14:paraId="5920DAD0" w14:textId="77777777" w:rsidTr="00B86C3D">
        <w:trPr>
          <w:trHeight w:val="411"/>
        </w:trPr>
        <w:tc>
          <w:tcPr>
            <w:tcW w:w="1391" w:type="dxa"/>
            <w:shd w:val="clear" w:color="auto" w:fill="auto"/>
            <w:vAlign w:val="center"/>
            <w:hideMark/>
          </w:tcPr>
          <w:p w14:paraId="7CFD4D9A" w14:textId="77777777" w:rsidR="005F6D0F" w:rsidRPr="005F6D0F" w:rsidRDefault="005F6D0F" w:rsidP="005F6D0F">
            <w:pPr>
              <w:ind w:firstLineChars="100" w:firstLine="240"/>
              <w:jc w:val="center"/>
              <w:rPr>
                <w:color w:val="000000"/>
                <w:lang w:val="en-GB"/>
              </w:rPr>
            </w:pPr>
            <w:r w:rsidRPr="005F6D0F">
              <w:rPr>
                <w:color w:val="000000"/>
                <w:lang w:val="en-GB"/>
              </w:rPr>
              <w:t>Low MI</w:t>
            </w:r>
          </w:p>
        </w:tc>
        <w:tc>
          <w:tcPr>
            <w:tcW w:w="1777" w:type="dxa"/>
            <w:shd w:val="clear" w:color="auto" w:fill="auto"/>
            <w:vAlign w:val="center"/>
            <w:hideMark/>
          </w:tcPr>
          <w:p w14:paraId="1C96FF97" w14:textId="77777777" w:rsidR="005F6D0F" w:rsidRPr="005F6D0F" w:rsidRDefault="005F6D0F" w:rsidP="005F6D0F">
            <w:pPr>
              <w:ind w:firstLineChars="100" w:firstLine="240"/>
              <w:jc w:val="center"/>
              <w:rPr>
                <w:color w:val="000000"/>
                <w:lang w:val="en-GB"/>
              </w:rPr>
            </w:pPr>
            <w:r w:rsidRPr="005F6D0F">
              <w:rPr>
                <w:color w:val="000000"/>
                <w:lang w:val="en-GB"/>
              </w:rPr>
              <w:t>Low IF</w:t>
            </w:r>
          </w:p>
        </w:tc>
        <w:tc>
          <w:tcPr>
            <w:tcW w:w="1510" w:type="dxa"/>
            <w:shd w:val="clear" w:color="auto" w:fill="auto"/>
            <w:vAlign w:val="center"/>
            <w:hideMark/>
          </w:tcPr>
          <w:p w14:paraId="67D7F408" w14:textId="77777777" w:rsidR="005F6D0F" w:rsidRPr="005F6D0F" w:rsidRDefault="005F6D0F" w:rsidP="005F6D0F">
            <w:pPr>
              <w:ind w:firstLineChars="100" w:firstLine="240"/>
              <w:jc w:val="center"/>
              <w:rPr>
                <w:color w:val="000000"/>
                <w:lang w:val="en-GB"/>
              </w:rPr>
            </w:pPr>
            <w:r w:rsidRPr="005F6D0F">
              <w:rPr>
                <w:color w:val="000000"/>
                <w:lang w:val="en-GB"/>
              </w:rPr>
              <w:t>High BF</w:t>
            </w:r>
          </w:p>
        </w:tc>
        <w:tc>
          <w:tcPr>
            <w:tcW w:w="1276" w:type="dxa"/>
            <w:shd w:val="clear" w:color="auto" w:fill="auto"/>
            <w:vAlign w:val="center"/>
            <w:hideMark/>
          </w:tcPr>
          <w:p w14:paraId="62B9CF3D" w14:textId="77777777" w:rsidR="005F6D0F" w:rsidRPr="005F6D0F" w:rsidRDefault="005F6D0F" w:rsidP="005F6D0F">
            <w:pPr>
              <w:jc w:val="center"/>
              <w:rPr>
                <w:color w:val="000000"/>
                <w:lang w:val="en-GB"/>
              </w:rPr>
            </w:pPr>
            <w:r w:rsidRPr="005F6D0F">
              <w:rPr>
                <w:color w:val="000000"/>
                <w:lang w:val="en-GB"/>
              </w:rPr>
              <w:t>3.05</w:t>
            </w:r>
          </w:p>
        </w:tc>
        <w:tc>
          <w:tcPr>
            <w:tcW w:w="886" w:type="dxa"/>
            <w:shd w:val="clear" w:color="auto" w:fill="auto"/>
            <w:vAlign w:val="center"/>
            <w:hideMark/>
          </w:tcPr>
          <w:p w14:paraId="0D504C6D" w14:textId="77777777" w:rsidR="005F6D0F" w:rsidRPr="005F6D0F" w:rsidRDefault="005F6D0F" w:rsidP="005F6D0F">
            <w:pPr>
              <w:jc w:val="center"/>
              <w:rPr>
                <w:color w:val="000000"/>
                <w:lang w:val="en-GB"/>
              </w:rPr>
            </w:pPr>
            <w:r w:rsidRPr="005F6D0F">
              <w:rPr>
                <w:color w:val="000000"/>
                <w:lang w:val="en-GB"/>
              </w:rPr>
              <w:t>2.92</w:t>
            </w:r>
          </w:p>
        </w:tc>
        <w:tc>
          <w:tcPr>
            <w:tcW w:w="957" w:type="dxa"/>
            <w:shd w:val="clear" w:color="auto" w:fill="auto"/>
            <w:vAlign w:val="center"/>
            <w:hideMark/>
          </w:tcPr>
          <w:p w14:paraId="5C90AF56" w14:textId="77777777" w:rsidR="005F6D0F" w:rsidRPr="005F6D0F" w:rsidRDefault="005F6D0F" w:rsidP="005F6D0F">
            <w:pPr>
              <w:jc w:val="center"/>
              <w:rPr>
                <w:color w:val="000000"/>
                <w:lang w:val="en-GB"/>
              </w:rPr>
            </w:pPr>
            <w:r w:rsidRPr="005F6D0F">
              <w:rPr>
                <w:color w:val="000000"/>
                <w:lang w:val="en-GB"/>
              </w:rPr>
              <w:t>3.19</w:t>
            </w:r>
          </w:p>
        </w:tc>
        <w:tc>
          <w:tcPr>
            <w:tcW w:w="708" w:type="dxa"/>
            <w:shd w:val="clear" w:color="auto" w:fill="auto"/>
            <w:vAlign w:val="center"/>
            <w:hideMark/>
          </w:tcPr>
          <w:p w14:paraId="35A369DC" w14:textId="77777777" w:rsidR="005F6D0F" w:rsidRPr="005F6D0F" w:rsidRDefault="005F6D0F" w:rsidP="005F6D0F">
            <w:pPr>
              <w:jc w:val="center"/>
              <w:rPr>
                <w:color w:val="000000"/>
                <w:lang w:val="en-GB"/>
              </w:rPr>
            </w:pPr>
            <w:r w:rsidRPr="005F6D0F">
              <w:rPr>
                <w:color w:val="000000"/>
                <w:lang w:val="en-GB"/>
              </w:rPr>
              <w:t>0.07</w:t>
            </w:r>
          </w:p>
        </w:tc>
      </w:tr>
      <w:tr w:rsidR="005F6D0F" w:rsidRPr="005F6D0F" w14:paraId="352276AF" w14:textId="77777777" w:rsidTr="00B86C3D">
        <w:trPr>
          <w:trHeight w:val="411"/>
        </w:trPr>
        <w:tc>
          <w:tcPr>
            <w:tcW w:w="1391" w:type="dxa"/>
            <w:shd w:val="clear" w:color="auto" w:fill="auto"/>
            <w:vAlign w:val="center"/>
            <w:hideMark/>
          </w:tcPr>
          <w:p w14:paraId="5C7738C0" w14:textId="77777777" w:rsidR="005F6D0F" w:rsidRPr="005F6D0F" w:rsidRDefault="005F6D0F" w:rsidP="005F6D0F">
            <w:pPr>
              <w:ind w:firstLineChars="100" w:firstLine="240"/>
              <w:jc w:val="center"/>
              <w:rPr>
                <w:color w:val="000000"/>
                <w:lang w:val="en-GB"/>
              </w:rPr>
            </w:pPr>
            <w:r w:rsidRPr="005F6D0F">
              <w:rPr>
                <w:color w:val="000000"/>
                <w:lang w:val="en-GB"/>
              </w:rPr>
              <w:t>High MI</w:t>
            </w:r>
          </w:p>
        </w:tc>
        <w:tc>
          <w:tcPr>
            <w:tcW w:w="1777" w:type="dxa"/>
            <w:shd w:val="clear" w:color="auto" w:fill="auto"/>
            <w:vAlign w:val="center"/>
            <w:hideMark/>
          </w:tcPr>
          <w:p w14:paraId="64C8F9C3" w14:textId="77777777" w:rsidR="005F6D0F" w:rsidRPr="005F6D0F" w:rsidRDefault="005F6D0F" w:rsidP="005F6D0F">
            <w:pPr>
              <w:ind w:firstLineChars="100" w:firstLine="240"/>
              <w:jc w:val="center"/>
              <w:rPr>
                <w:color w:val="000000"/>
                <w:lang w:val="en-GB"/>
              </w:rPr>
            </w:pPr>
            <w:r w:rsidRPr="005F6D0F">
              <w:rPr>
                <w:color w:val="000000"/>
                <w:lang w:val="en-GB"/>
              </w:rPr>
              <w:t>Low IF</w:t>
            </w:r>
          </w:p>
        </w:tc>
        <w:tc>
          <w:tcPr>
            <w:tcW w:w="1510" w:type="dxa"/>
            <w:shd w:val="clear" w:color="auto" w:fill="auto"/>
            <w:vAlign w:val="center"/>
            <w:hideMark/>
          </w:tcPr>
          <w:p w14:paraId="0D2289C8" w14:textId="77777777" w:rsidR="005F6D0F" w:rsidRPr="005F6D0F" w:rsidRDefault="005F6D0F" w:rsidP="005F6D0F">
            <w:pPr>
              <w:ind w:firstLineChars="100" w:firstLine="240"/>
              <w:jc w:val="center"/>
              <w:rPr>
                <w:color w:val="000000"/>
                <w:lang w:val="en-GB"/>
              </w:rPr>
            </w:pPr>
            <w:r w:rsidRPr="005F6D0F">
              <w:rPr>
                <w:color w:val="000000"/>
                <w:lang w:val="en-GB"/>
              </w:rPr>
              <w:t>High BF</w:t>
            </w:r>
          </w:p>
        </w:tc>
        <w:tc>
          <w:tcPr>
            <w:tcW w:w="1276" w:type="dxa"/>
            <w:shd w:val="clear" w:color="auto" w:fill="auto"/>
            <w:vAlign w:val="center"/>
            <w:hideMark/>
          </w:tcPr>
          <w:p w14:paraId="010C6C44" w14:textId="77777777" w:rsidR="005F6D0F" w:rsidRPr="005F6D0F" w:rsidRDefault="005F6D0F" w:rsidP="005F6D0F">
            <w:pPr>
              <w:jc w:val="center"/>
              <w:rPr>
                <w:color w:val="000000"/>
                <w:lang w:val="en-GB"/>
              </w:rPr>
            </w:pPr>
            <w:r w:rsidRPr="005F6D0F">
              <w:rPr>
                <w:color w:val="000000"/>
                <w:lang w:val="en-GB"/>
              </w:rPr>
              <w:t>3.03</w:t>
            </w:r>
          </w:p>
        </w:tc>
        <w:tc>
          <w:tcPr>
            <w:tcW w:w="886" w:type="dxa"/>
            <w:shd w:val="clear" w:color="auto" w:fill="auto"/>
            <w:vAlign w:val="center"/>
            <w:hideMark/>
          </w:tcPr>
          <w:p w14:paraId="54A21F6E" w14:textId="77777777" w:rsidR="005F6D0F" w:rsidRPr="005F6D0F" w:rsidRDefault="005F6D0F" w:rsidP="005F6D0F">
            <w:pPr>
              <w:jc w:val="center"/>
              <w:rPr>
                <w:color w:val="000000"/>
                <w:lang w:val="en-GB"/>
              </w:rPr>
            </w:pPr>
            <w:r w:rsidRPr="005F6D0F">
              <w:rPr>
                <w:color w:val="000000"/>
                <w:lang w:val="en-GB"/>
              </w:rPr>
              <w:t>2.88</w:t>
            </w:r>
          </w:p>
        </w:tc>
        <w:tc>
          <w:tcPr>
            <w:tcW w:w="957" w:type="dxa"/>
            <w:shd w:val="clear" w:color="auto" w:fill="auto"/>
            <w:vAlign w:val="center"/>
            <w:hideMark/>
          </w:tcPr>
          <w:p w14:paraId="6A9C97AD" w14:textId="77777777" w:rsidR="005F6D0F" w:rsidRPr="005F6D0F" w:rsidRDefault="005F6D0F" w:rsidP="005F6D0F">
            <w:pPr>
              <w:jc w:val="center"/>
              <w:rPr>
                <w:color w:val="000000"/>
                <w:lang w:val="en-GB"/>
              </w:rPr>
            </w:pPr>
            <w:r w:rsidRPr="005F6D0F">
              <w:rPr>
                <w:color w:val="000000"/>
                <w:lang w:val="en-GB"/>
              </w:rPr>
              <w:t>3.17</w:t>
            </w:r>
          </w:p>
        </w:tc>
        <w:tc>
          <w:tcPr>
            <w:tcW w:w="708" w:type="dxa"/>
            <w:shd w:val="clear" w:color="auto" w:fill="auto"/>
            <w:vAlign w:val="center"/>
            <w:hideMark/>
          </w:tcPr>
          <w:p w14:paraId="1473AF8D" w14:textId="77777777" w:rsidR="005F6D0F" w:rsidRPr="005F6D0F" w:rsidRDefault="005F6D0F" w:rsidP="005F6D0F">
            <w:pPr>
              <w:jc w:val="center"/>
              <w:rPr>
                <w:color w:val="000000"/>
                <w:lang w:val="en-GB"/>
              </w:rPr>
            </w:pPr>
            <w:r w:rsidRPr="005F6D0F">
              <w:rPr>
                <w:color w:val="000000"/>
                <w:lang w:val="en-GB"/>
              </w:rPr>
              <w:t>0.07</w:t>
            </w:r>
          </w:p>
        </w:tc>
      </w:tr>
      <w:tr w:rsidR="005F6D0F" w:rsidRPr="005F6D0F" w14:paraId="22FB8B91" w14:textId="77777777" w:rsidTr="00B86C3D">
        <w:trPr>
          <w:trHeight w:val="411"/>
        </w:trPr>
        <w:tc>
          <w:tcPr>
            <w:tcW w:w="1391" w:type="dxa"/>
            <w:shd w:val="clear" w:color="auto" w:fill="auto"/>
            <w:vAlign w:val="center"/>
            <w:hideMark/>
          </w:tcPr>
          <w:p w14:paraId="062FF5D6" w14:textId="77777777" w:rsidR="005F6D0F" w:rsidRPr="005F6D0F" w:rsidRDefault="005F6D0F" w:rsidP="005F6D0F">
            <w:pPr>
              <w:ind w:firstLineChars="100" w:firstLine="240"/>
              <w:jc w:val="center"/>
              <w:rPr>
                <w:color w:val="000000"/>
                <w:lang w:val="en-GB"/>
              </w:rPr>
            </w:pPr>
            <w:r w:rsidRPr="005F6D0F">
              <w:rPr>
                <w:color w:val="000000"/>
                <w:lang w:val="en-GB"/>
              </w:rPr>
              <w:t>Low MI</w:t>
            </w:r>
          </w:p>
        </w:tc>
        <w:tc>
          <w:tcPr>
            <w:tcW w:w="1777" w:type="dxa"/>
            <w:shd w:val="clear" w:color="auto" w:fill="auto"/>
            <w:vAlign w:val="center"/>
            <w:hideMark/>
          </w:tcPr>
          <w:p w14:paraId="78F6D98C" w14:textId="77777777" w:rsidR="005F6D0F" w:rsidRPr="005F6D0F" w:rsidRDefault="005F6D0F" w:rsidP="005F6D0F">
            <w:pPr>
              <w:ind w:firstLineChars="100" w:firstLine="240"/>
              <w:jc w:val="center"/>
              <w:rPr>
                <w:color w:val="000000"/>
                <w:lang w:val="en-GB"/>
              </w:rPr>
            </w:pPr>
            <w:r w:rsidRPr="005F6D0F">
              <w:rPr>
                <w:color w:val="000000"/>
                <w:lang w:val="en-GB"/>
              </w:rPr>
              <w:t>High IF</w:t>
            </w:r>
          </w:p>
        </w:tc>
        <w:tc>
          <w:tcPr>
            <w:tcW w:w="1510" w:type="dxa"/>
            <w:shd w:val="clear" w:color="auto" w:fill="auto"/>
            <w:vAlign w:val="center"/>
            <w:hideMark/>
          </w:tcPr>
          <w:p w14:paraId="3104C2A7" w14:textId="77777777" w:rsidR="005F6D0F" w:rsidRPr="005F6D0F" w:rsidRDefault="005F6D0F" w:rsidP="005F6D0F">
            <w:pPr>
              <w:ind w:firstLineChars="100" w:firstLine="240"/>
              <w:jc w:val="center"/>
              <w:rPr>
                <w:color w:val="000000"/>
                <w:lang w:val="en-GB"/>
              </w:rPr>
            </w:pPr>
            <w:r w:rsidRPr="005F6D0F">
              <w:rPr>
                <w:color w:val="000000"/>
                <w:lang w:val="en-GB"/>
              </w:rPr>
              <w:t>High BF</w:t>
            </w:r>
          </w:p>
        </w:tc>
        <w:tc>
          <w:tcPr>
            <w:tcW w:w="1276" w:type="dxa"/>
            <w:shd w:val="clear" w:color="auto" w:fill="auto"/>
            <w:vAlign w:val="center"/>
            <w:hideMark/>
          </w:tcPr>
          <w:p w14:paraId="1EAC3EA3" w14:textId="77777777" w:rsidR="005F6D0F" w:rsidRPr="005F6D0F" w:rsidRDefault="005F6D0F" w:rsidP="005F6D0F">
            <w:pPr>
              <w:jc w:val="center"/>
              <w:rPr>
                <w:color w:val="000000"/>
                <w:lang w:val="en-GB"/>
              </w:rPr>
            </w:pPr>
            <w:r w:rsidRPr="005F6D0F">
              <w:rPr>
                <w:color w:val="000000"/>
                <w:lang w:val="en-GB"/>
              </w:rPr>
              <w:t>2.90</w:t>
            </w:r>
          </w:p>
        </w:tc>
        <w:tc>
          <w:tcPr>
            <w:tcW w:w="886" w:type="dxa"/>
            <w:shd w:val="clear" w:color="auto" w:fill="auto"/>
            <w:vAlign w:val="center"/>
            <w:hideMark/>
          </w:tcPr>
          <w:p w14:paraId="50EBAF02" w14:textId="77777777" w:rsidR="005F6D0F" w:rsidRPr="005F6D0F" w:rsidRDefault="005F6D0F" w:rsidP="005F6D0F">
            <w:pPr>
              <w:jc w:val="center"/>
              <w:rPr>
                <w:color w:val="000000"/>
                <w:lang w:val="en-GB"/>
              </w:rPr>
            </w:pPr>
            <w:r w:rsidRPr="005F6D0F">
              <w:rPr>
                <w:color w:val="000000"/>
                <w:lang w:val="en-GB"/>
              </w:rPr>
              <w:t>2.74</w:t>
            </w:r>
          </w:p>
        </w:tc>
        <w:tc>
          <w:tcPr>
            <w:tcW w:w="957" w:type="dxa"/>
            <w:shd w:val="clear" w:color="auto" w:fill="auto"/>
            <w:vAlign w:val="center"/>
            <w:hideMark/>
          </w:tcPr>
          <w:p w14:paraId="7CA5B79D" w14:textId="77777777" w:rsidR="005F6D0F" w:rsidRPr="005F6D0F" w:rsidRDefault="005F6D0F" w:rsidP="005F6D0F">
            <w:pPr>
              <w:jc w:val="center"/>
              <w:rPr>
                <w:color w:val="000000"/>
                <w:lang w:val="en-GB"/>
              </w:rPr>
            </w:pPr>
            <w:r w:rsidRPr="005F6D0F">
              <w:rPr>
                <w:color w:val="000000"/>
                <w:lang w:val="en-GB"/>
              </w:rPr>
              <w:t>3.06</w:t>
            </w:r>
          </w:p>
        </w:tc>
        <w:tc>
          <w:tcPr>
            <w:tcW w:w="708" w:type="dxa"/>
            <w:shd w:val="clear" w:color="auto" w:fill="auto"/>
            <w:vAlign w:val="center"/>
            <w:hideMark/>
          </w:tcPr>
          <w:p w14:paraId="7C8204B5" w14:textId="77777777" w:rsidR="005F6D0F" w:rsidRPr="005F6D0F" w:rsidRDefault="005F6D0F" w:rsidP="005F6D0F">
            <w:pPr>
              <w:jc w:val="center"/>
              <w:rPr>
                <w:color w:val="000000"/>
                <w:lang w:val="en-GB"/>
              </w:rPr>
            </w:pPr>
            <w:r w:rsidRPr="005F6D0F">
              <w:rPr>
                <w:color w:val="000000"/>
                <w:lang w:val="en-GB"/>
              </w:rPr>
              <w:t>0.08</w:t>
            </w:r>
          </w:p>
        </w:tc>
      </w:tr>
      <w:tr w:rsidR="005F6D0F" w:rsidRPr="005F6D0F" w14:paraId="68E53E88" w14:textId="77777777" w:rsidTr="00B86C3D">
        <w:trPr>
          <w:trHeight w:val="411"/>
        </w:trPr>
        <w:tc>
          <w:tcPr>
            <w:tcW w:w="1391" w:type="dxa"/>
            <w:shd w:val="clear" w:color="auto" w:fill="auto"/>
            <w:vAlign w:val="center"/>
            <w:hideMark/>
          </w:tcPr>
          <w:p w14:paraId="2725FE3D" w14:textId="77777777" w:rsidR="005F6D0F" w:rsidRPr="005F6D0F" w:rsidRDefault="005F6D0F" w:rsidP="005F6D0F">
            <w:pPr>
              <w:ind w:firstLineChars="100" w:firstLine="240"/>
              <w:jc w:val="center"/>
              <w:rPr>
                <w:color w:val="000000"/>
                <w:lang w:val="en-GB"/>
              </w:rPr>
            </w:pPr>
            <w:r w:rsidRPr="005F6D0F">
              <w:rPr>
                <w:color w:val="000000"/>
                <w:lang w:val="en-GB"/>
              </w:rPr>
              <w:t>High MI</w:t>
            </w:r>
          </w:p>
        </w:tc>
        <w:tc>
          <w:tcPr>
            <w:tcW w:w="1777" w:type="dxa"/>
            <w:shd w:val="clear" w:color="auto" w:fill="auto"/>
            <w:vAlign w:val="center"/>
            <w:hideMark/>
          </w:tcPr>
          <w:p w14:paraId="7797255A" w14:textId="77777777" w:rsidR="005F6D0F" w:rsidRPr="005F6D0F" w:rsidRDefault="005F6D0F" w:rsidP="005F6D0F">
            <w:pPr>
              <w:ind w:firstLineChars="100" w:firstLine="240"/>
              <w:jc w:val="center"/>
              <w:rPr>
                <w:color w:val="000000"/>
                <w:lang w:val="en-GB"/>
              </w:rPr>
            </w:pPr>
            <w:r w:rsidRPr="005F6D0F">
              <w:rPr>
                <w:color w:val="000000"/>
                <w:lang w:val="en-GB"/>
              </w:rPr>
              <w:t>High IF</w:t>
            </w:r>
          </w:p>
        </w:tc>
        <w:tc>
          <w:tcPr>
            <w:tcW w:w="1510" w:type="dxa"/>
            <w:shd w:val="clear" w:color="auto" w:fill="auto"/>
            <w:vAlign w:val="center"/>
            <w:hideMark/>
          </w:tcPr>
          <w:p w14:paraId="7C80DA90" w14:textId="77777777" w:rsidR="005F6D0F" w:rsidRPr="005F6D0F" w:rsidRDefault="005F6D0F" w:rsidP="005F6D0F">
            <w:pPr>
              <w:ind w:firstLineChars="100" w:firstLine="240"/>
              <w:jc w:val="center"/>
              <w:rPr>
                <w:color w:val="000000"/>
                <w:lang w:val="en-GB"/>
              </w:rPr>
            </w:pPr>
            <w:r w:rsidRPr="005F6D0F">
              <w:rPr>
                <w:color w:val="000000"/>
                <w:lang w:val="en-GB"/>
              </w:rPr>
              <w:t>High BF</w:t>
            </w:r>
          </w:p>
        </w:tc>
        <w:tc>
          <w:tcPr>
            <w:tcW w:w="1276" w:type="dxa"/>
            <w:shd w:val="clear" w:color="auto" w:fill="auto"/>
            <w:vAlign w:val="center"/>
            <w:hideMark/>
          </w:tcPr>
          <w:p w14:paraId="764DC3AA" w14:textId="77777777" w:rsidR="005F6D0F" w:rsidRPr="005F6D0F" w:rsidRDefault="005F6D0F" w:rsidP="005F6D0F">
            <w:pPr>
              <w:jc w:val="center"/>
              <w:rPr>
                <w:color w:val="000000"/>
                <w:lang w:val="en-GB"/>
              </w:rPr>
            </w:pPr>
            <w:r w:rsidRPr="005F6D0F">
              <w:rPr>
                <w:color w:val="000000"/>
                <w:lang w:val="en-GB"/>
              </w:rPr>
              <w:t>3.26</w:t>
            </w:r>
          </w:p>
        </w:tc>
        <w:tc>
          <w:tcPr>
            <w:tcW w:w="886" w:type="dxa"/>
            <w:shd w:val="clear" w:color="auto" w:fill="auto"/>
            <w:vAlign w:val="center"/>
            <w:hideMark/>
          </w:tcPr>
          <w:p w14:paraId="20584C9E" w14:textId="77777777" w:rsidR="005F6D0F" w:rsidRPr="005F6D0F" w:rsidRDefault="005F6D0F" w:rsidP="005F6D0F">
            <w:pPr>
              <w:jc w:val="center"/>
              <w:rPr>
                <w:color w:val="000000"/>
                <w:lang w:val="en-GB"/>
              </w:rPr>
            </w:pPr>
            <w:r w:rsidRPr="005F6D0F">
              <w:rPr>
                <w:color w:val="000000"/>
                <w:lang w:val="en-GB"/>
              </w:rPr>
              <w:t>3.16</w:t>
            </w:r>
          </w:p>
        </w:tc>
        <w:tc>
          <w:tcPr>
            <w:tcW w:w="957" w:type="dxa"/>
            <w:shd w:val="clear" w:color="auto" w:fill="auto"/>
            <w:vAlign w:val="center"/>
            <w:hideMark/>
          </w:tcPr>
          <w:p w14:paraId="7680069D" w14:textId="77777777" w:rsidR="005F6D0F" w:rsidRPr="005F6D0F" w:rsidRDefault="005F6D0F" w:rsidP="005F6D0F">
            <w:pPr>
              <w:jc w:val="center"/>
              <w:rPr>
                <w:color w:val="000000"/>
                <w:lang w:val="en-GB"/>
              </w:rPr>
            </w:pPr>
            <w:r w:rsidRPr="005F6D0F">
              <w:rPr>
                <w:color w:val="000000"/>
                <w:lang w:val="en-GB"/>
              </w:rPr>
              <w:t>3.36</w:t>
            </w:r>
          </w:p>
        </w:tc>
        <w:tc>
          <w:tcPr>
            <w:tcW w:w="708" w:type="dxa"/>
            <w:shd w:val="clear" w:color="auto" w:fill="auto"/>
            <w:vAlign w:val="center"/>
            <w:hideMark/>
          </w:tcPr>
          <w:p w14:paraId="288A9E3C" w14:textId="77777777" w:rsidR="005F6D0F" w:rsidRPr="005F6D0F" w:rsidRDefault="005F6D0F" w:rsidP="005F6D0F">
            <w:pPr>
              <w:jc w:val="center"/>
              <w:rPr>
                <w:color w:val="000000"/>
                <w:lang w:val="en-GB"/>
              </w:rPr>
            </w:pPr>
            <w:r w:rsidRPr="005F6D0F">
              <w:rPr>
                <w:color w:val="000000"/>
                <w:lang w:val="en-GB"/>
              </w:rPr>
              <w:t>0.05</w:t>
            </w:r>
          </w:p>
        </w:tc>
      </w:tr>
    </w:tbl>
    <w:p w14:paraId="2F09582F" w14:textId="1488E143" w:rsidR="00B86C3D" w:rsidRPr="004A5F57" w:rsidRDefault="005F6D0F" w:rsidP="00B86C3D">
      <w:pPr>
        <w:pStyle w:val="Ttulosinternos"/>
        <w:rPr>
          <w:lang w:val="en-US"/>
        </w:rPr>
      </w:pPr>
      <w:r w:rsidRPr="005F6D0F">
        <w:rPr>
          <w:color w:val="0D0F1A"/>
          <w:lang w:val="en-GB"/>
        </w:rPr>
        <w:fldChar w:fldCharType="end"/>
      </w:r>
      <w:r w:rsidR="00B86C3D" w:rsidRPr="00B86C3D">
        <w:t xml:space="preserve"> </w:t>
      </w:r>
      <w:r w:rsidR="00B86C3D" w:rsidRPr="004A5F57">
        <w:rPr>
          <w:lang w:val="en-US"/>
        </w:rPr>
        <w:t>Discussion</w:t>
      </w:r>
    </w:p>
    <w:p w14:paraId="3C83F49E" w14:textId="77777777" w:rsidR="00B86C3D" w:rsidRPr="00B86C3D" w:rsidRDefault="00B86C3D" w:rsidP="00B86C3D">
      <w:pPr>
        <w:pStyle w:val="Prrafocomn"/>
        <w:tabs>
          <w:tab w:val="left" w:pos="2700"/>
        </w:tabs>
        <w:spacing w:line="440" w:lineRule="exact"/>
        <w:rPr>
          <w:lang w:val="en-GB"/>
        </w:rPr>
      </w:pPr>
      <w:r w:rsidRPr="00B86C3D">
        <w:rPr>
          <w:lang w:val="en-GB"/>
        </w:rPr>
        <w:t xml:space="preserve">Self-control moralization implies that self-control failure or success depends on the individual’s assessment of behavioural consequences and the resolution of a goal conflict in terms of moral judgment, measured by moral foundations and identity in this study. Therefore, self-control stops being an individual preference, and its evaluation is based on what is considered morally correct </w:t>
      </w:r>
      <w:r w:rsidRPr="00B86C3D">
        <w:t>(Mooijman et al., 2020; Silver &amp; Silver, 2021)</w:t>
      </w:r>
      <w:r w:rsidRPr="00B86C3D">
        <w:rPr>
          <w:lang w:val="en-GB"/>
        </w:rPr>
        <w:t xml:space="preserve">. Supporting the first hypothesis of the study, our findings suggest that participants who showed higher levels of moral identity tended to show higher self-control over their behaviour. Literature suggests that high levels of moral identity imply looking for consistency between moral thinking and moral </w:t>
      </w:r>
      <w:proofErr w:type="spellStart"/>
      <w:r w:rsidRPr="00B86C3D">
        <w:rPr>
          <w:lang w:val="en-GB"/>
        </w:rPr>
        <w:t>behavior</w:t>
      </w:r>
      <w:proofErr w:type="spellEnd"/>
      <w:r w:rsidRPr="00B86C3D">
        <w:rPr>
          <w:lang w:val="en-GB"/>
        </w:rPr>
        <w:t>; and reducing chances for self-</w:t>
      </w:r>
      <w:r w:rsidRPr="00B86C3D">
        <w:rPr>
          <w:lang w:val="en-GB"/>
        </w:rPr>
        <w:lastRenderedPageBreak/>
        <w:t xml:space="preserve">control failure </w:t>
      </w:r>
      <w:r w:rsidRPr="00B86C3D">
        <w:t>(Aquino &amp; Reed, 2002; Bandura, 2014; Wikström &amp; Svensson, 2010)</w:t>
      </w:r>
      <w:r w:rsidRPr="00B86C3D">
        <w:rPr>
          <w:lang w:val="en-GB"/>
        </w:rPr>
        <w:t xml:space="preserve">, and theoretical approaches like the Identity-Value-Model </w:t>
      </w:r>
      <w:r w:rsidRPr="00B86C3D">
        <w:t>(Berkman et al., 2017)</w:t>
      </w:r>
      <w:r w:rsidRPr="00B86C3D">
        <w:rPr>
          <w:lang w:val="en-GB"/>
        </w:rPr>
        <w:t xml:space="preserve"> highlight the role of the identity and self-core for orienting behaviour through cognition, motivation and core values that might facilitate solving the conflict of consequences implied in the process of moralizing self-control.</w:t>
      </w:r>
    </w:p>
    <w:p w14:paraId="2D4C380D" w14:textId="77777777" w:rsidR="00B86C3D" w:rsidRPr="00B86C3D" w:rsidRDefault="00B86C3D" w:rsidP="00B86C3D">
      <w:pPr>
        <w:pStyle w:val="Prrafocomn"/>
        <w:tabs>
          <w:tab w:val="left" w:pos="2700"/>
        </w:tabs>
        <w:spacing w:line="440" w:lineRule="exact"/>
        <w:rPr>
          <w:lang w:val="en-GB"/>
        </w:rPr>
      </w:pPr>
      <w:r w:rsidRPr="00B86C3D">
        <w:rPr>
          <w:lang w:val="en-GB"/>
        </w:rPr>
        <w:t xml:space="preserve">On the other hand, despite some studies such as the one performed by Silver &amp; Silver (2019) found that individualizing foundations have a more important role than binding foundations, no supporting evidence allowed us to reject the second null hypothesis. However, one point may be noticed: moral foundations were related to each other and between groups of binding and individualizing. Therefore, they are not contrary or exclusive categories </w:t>
      </w:r>
      <w:r w:rsidRPr="00B86C3D">
        <w:t>(Graham et al., 2011; Haidt &amp; Joseph, 2004)</w:t>
      </w:r>
      <w:r w:rsidRPr="00B86C3D">
        <w:rPr>
          <w:lang w:val="en-GB"/>
        </w:rPr>
        <w:t xml:space="preserve">. In addition, individualizing foundations and self-control are normally contrasted from a theoretical perspective: self-control implies having to sacrifice freedom and individual welfare – both valuable when talking about individualizing foundations - in favour of the greater good in the long run </w:t>
      </w:r>
      <w:r w:rsidRPr="00B86C3D">
        <w:t>(Berkman et al., 2017; Duckworth &amp; Gross, 2024)</w:t>
      </w:r>
      <w:r w:rsidRPr="00B86C3D">
        <w:rPr>
          <w:lang w:val="en-GB"/>
        </w:rPr>
        <w:t xml:space="preserve">, and having to suppress selfish impulses that are contrary to social order maintenance and group preservation </w:t>
      </w:r>
      <w:r w:rsidRPr="00B86C3D">
        <w:t>(</w:t>
      </w:r>
      <w:proofErr w:type="spellStart"/>
      <w:r w:rsidRPr="00B86C3D">
        <w:t>Rozin</w:t>
      </w:r>
      <w:proofErr w:type="spellEnd"/>
      <w:r w:rsidRPr="00B86C3D">
        <w:t xml:space="preserve"> et al., 1997)</w:t>
      </w:r>
      <w:r w:rsidRPr="00B86C3D">
        <w:rPr>
          <w:lang w:val="en-GB"/>
        </w:rPr>
        <w:t xml:space="preserve">. This perspective of self-control also serves as an explanation for rejecting the third null hypothesis: the low- and high levels of binding foundations had different self-control scores among the participants. This finding is consistent with previous studies that suggest that the motivation to maintain or increase collective welfare is important for controlling one´s behaviour </w:t>
      </w:r>
      <w:r w:rsidRPr="00B86C3D">
        <w:t xml:space="preserve">(Li et al., 2021; </w:t>
      </w:r>
      <w:proofErr w:type="spellStart"/>
      <w:r w:rsidRPr="00B86C3D">
        <w:t>Mooijman</w:t>
      </w:r>
      <w:proofErr w:type="spellEnd"/>
      <w:r w:rsidRPr="00B86C3D">
        <w:t xml:space="preserve"> et al., 2018)</w:t>
      </w:r>
      <w:r w:rsidRPr="00B86C3D">
        <w:rPr>
          <w:lang w:val="en-GB"/>
        </w:rPr>
        <w:t xml:space="preserve">. Morality is an expression of the species that motivates its members to prioritize the long-term welfare of the group over their own </w:t>
      </w:r>
      <w:r w:rsidRPr="00B86C3D">
        <w:t>(Schloss, 2017)</w:t>
      </w:r>
      <w:r w:rsidRPr="00B86C3D">
        <w:rPr>
          <w:lang w:val="en-GB"/>
        </w:rPr>
        <w:t xml:space="preserve">, encouraging them to control their behaviour according to the consequences that will fit communal goals; favouring self-control from young ages in collectivistic societies, with previous evidence signalling a positive correlation between self-control and binding values, but a negative correlation with individualizing values </w:t>
      </w:r>
      <w:r w:rsidRPr="00B86C3D">
        <w:t>(Li et al., 2018)</w:t>
      </w:r>
      <w:r w:rsidRPr="00B86C3D">
        <w:rPr>
          <w:lang w:val="en-GB"/>
        </w:rPr>
        <w:t xml:space="preserve">. These moral mandates exert an effect on emotional, cognitive, and motivational levels to make effective self-control possible </w:t>
      </w:r>
      <w:r w:rsidRPr="00B86C3D">
        <w:t>(Hofmann et al., 2018; Xie et al., 2019; Zahn et al., 2020)</w:t>
      </w:r>
      <w:r w:rsidRPr="00B86C3D">
        <w:rPr>
          <w:lang w:val="en-GB"/>
        </w:rPr>
        <w:t xml:space="preserve">. </w:t>
      </w:r>
    </w:p>
    <w:p w14:paraId="29196563" w14:textId="11A24B08" w:rsidR="004E4C29" w:rsidRPr="00E65941" w:rsidRDefault="00B86C3D" w:rsidP="00E65941">
      <w:pPr>
        <w:pStyle w:val="Prrafocomn"/>
        <w:tabs>
          <w:tab w:val="left" w:pos="2700"/>
        </w:tabs>
        <w:spacing w:line="440" w:lineRule="exact"/>
        <w:rPr>
          <w:lang w:val="en-GB"/>
        </w:rPr>
      </w:pPr>
      <w:r w:rsidRPr="00B86C3D">
        <w:rPr>
          <w:lang w:val="en-GB"/>
        </w:rPr>
        <w:t xml:space="preserve">Nowadays, self-control is one of the processes that has received significant attention within psychology and other sciences; hoping that by its increase or failure </w:t>
      </w:r>
      <w:r w:rsidRPr="00B86C3D">
        <w:rPr>
          <w:lang w:val="en-GB"/>
        </w:rPr>
        <w:lastRenderedPageBreak/>
        <w:t xml:space="preserve">reduction, diverse individual and social challenges may be solved </w:t>
      </w:r>
      <w:r w:rsidRPr="00B86C3D">
        <w:t>(Canet Juric et al., 2016)</w:t>
      </w:r>
      <w:r w:rsidRPr="00B86C3D">
        <w:rPr>
          <w:lang w:val="en-GB"/>
        </w:rPr>
        <w:t xml:space="preserve">. Therefore, our findings provide new evidence for filling some of the gaps concerning how moral identity, binding, and individualizing foundations act individually and interact over self-control during young adulthood. The evidence supporting the hypotheses of significant interactions between the moral identity and both types of moral foundations (individualizing and binding) help to clarify findings by previous authors (Silver </w:t>
      </w:r>
      <w:r w:rsidRPr="00B86C3D">
        <w:t>&amp; Silver, 2021; Li et al., 2018; Joosten et al., 2015</w:t>
      </w:r>
      <w:r w:rsidRPr="00B86C3D">
        <w:rPr>
          <w:lang w:val="en-GB"/>
        </w:rPr>
        <w:t xml:space="preserve">), providing a useful insight to address the social and health effects of low self-control, considering the developmental implications of young adulthood and the situational, social and cultural environment in which motivational conflicts are evoked </w:t>
      </w:r>
      <w:r w:rsidRPr="00B86C3D">
        <w:t>(Hofmann, 2024)</w:t>
      </w:r>
      <w:r w:rsidRPr="00B86C3D">
        <w:rPr>
          <w:lang w:val="en-GB"/>
        </w:rPr>
        <w:t>. We expect this effort may serve as a background to future s</w:t>
      </w:r>
      <w:r w:rsidR="00D97D9F">
        <w:rPr>
          <w:lang w:val="en-GB"/>
        </w:rPr>
        <w:t xml:space="preserve">tudies, applications, and </w:t>
      </w:r>
      <w:r w:rsidRPr="00B86C3D">
        <w:rPr>
          <w:lang w:val="en-GB"/>
        </w:rPr>
        <w:t xml:space="preserve">profound reflections on the incidence of morality on behavioural control both at the individual and societal levels. </w:t>
      </w:r>
    </w:p>
    <w:p w14:paraId="5D5DD8D0" w14:textId="568137FF" w:rsidR="00E65941" w:rsidRPr="00E65941" w:rsidRDefault="00E65941" w:rsidP="00E65941">
      <w:pPr>
        <w:pStyle w:val="Ttulosinternos"/>
        <w:rPr>
          <w:lang w:val="en-US"/>
        </w:rPr>
      </w:pPr>
      <w:r w:rsidRPr="00E65941">
        <w:rPr>
          <w:lang w:val="en-GB"/>
        </w:rPr>
        <w:t>Conclusion</w:t>
      </w:r>
    </w:p>
    <w:p w14:paraId="7453827E" w14:textId="63A52D7A" w:rsidR="00E65941" w:rsidRPr="00E65941" w:rsidRDefault="00E65941" w:rsidP="00E65941">
      <w:pPr>
        <w:pStyle w:val="Prrafocomn"/>
        <w:rPr>
          <w:lang w:val="en-GB"/>
        </w:rPr>
      </w:pPr>
      <w:r w:rsidRPr="00E65941">
        <w:rPr>
          <w:lang w:val="en-GB"/>
        </w:rPr>
        <w:t xml:space="preserve">The present study aimed to explore whether self-control scores showed a significant difference based on high and low levels of moral identity and preferences for binding and individualizing foundations among a young adult sample. Our findings suggest that high and low levels of moral identity and binding foundation have a significant effect on self-control scores. These findings are consistent with existing literature. To date, there is evidence that conceives moral identity </w:t>
      </w:r>
      <w:r w:rsidRPr="00E65941">
        <w:t>(Gino et al., 2011; Joosten et al., 2015)</w:t>
      </w:r>
      <w:r w:rsidRPr="00E65941">
        <w:rPr>
          <w:lang w:val="en-GB"/>
        </w:rPr>
        <w:t xml:space="preserve"> and moral foundations </w:t>
      </w:r>
      <w:r w:rsidRPr="00E65941">
        <w:t xml:space="preserve">(Li et al., 2018; </w:t>
      </w:r>
      <w:proofErr w:type="spellStart"/>
      <w:r w:rsidRPr="00E65941">
        <w:t>Mooijman</w:t>
      </w:r>
      <w:proofErr w:type="spellEnd"/>
      <w:r w:rsidRPr="00E65941">
        <w:t xml:space="preserve"> et al., 2018; Silver &amp; Silver, 2021)</w:t>
      </w:r>
      <w:r w:rsidRPr="00E65941">
        <w:rPr>
          <w:lang w:val="en-GB"/>
        </w:rPr>
        <w:t xml:space="preserve"> as variables capable of modifying self-control. Additionally, we found that age and an interaction between moral identity, binding and individual foundations also i</w:t>
      </w:r>
      <w:r w:rsidR="00D97D9F">
        <w:rPr>
          <w:lang w:val="en-GB"/>
        </w:rPr>
        <w:t>mplied significant differences i</w:t>
      </w:r>
      <w:r w:rsidRPr="00E65941">
        <w:rPr>
          <w:lang w:val="en-GB"/>
        </w:rPr>
        <w:t xml:space="preserve">n self-control scores. </w:t>
      </w:r>
    </w:p>
    <w:p w14:paraId="42C2214C" w14:textId="77777777" w:rsidR="00E65941" w:rsidRPr="00E65941" w:rsidRDefault="00E65941" w:rsidP="00E65941">
      <w:pPr>
        <w:pStyle w:val="Prrafocomn"/>
        <w:rPr>
          <w:lang w:val="en-GB"/>
        </w:rPr>
      </w:pPr>
      <w:r w:rsidRPr="00E65941">
        <w:rPr>
          <w:lang w:val="en-GB"/>
        </w:rPr>
        <w:t xml:space="preserve">Although the small to moderate effect sizes obtained could lead to underestimations about the percentage of self-control variance that could be explained by the independent variables </w:t>
      </w:r>
      <w:r w:rsidRPr="00E65941">
        <w:t>(Funder &amp; Ozer, 2019)</w:t>
      </w:r>
      <w:r w:rsidRPr="00E65941">
        <w:rPr>
          <w:lang w:val="en-GB"/>
        </w:rPr>
        <w:t xml:space="preserve">, a small effect size is not trivial at all </w:t>
      </w:r>
      <w:r w:rsidRPr="00E65941">
        <w:t xml:space="preserve">(Sullivan &amp; </w:t>
      </w:r>
      <w:proofErr w:type="spellStart"/>
      <w:r w:rsidRPr="00E65941">
        <w:t>Feinn</w:t>
      </w:r>
      <w:proofErr w:type="spellEnd"/>
      <w:r w:rsidRPr="00E65941">
        <w:t>, 2012</w:t>
      </w:r>
      <w:r w:rsidRPr="00E65941">
        <w:rPr>
          <w:lang w:val="en-GB"/>
        </w:rPr>
        <w:t xml:space="preserve">. As Abelson </w:t>
      </w:r>
      <w:r w:rsidRPr="00E65941">
        <w:t>(1985)</w:t>
      </w:r>
      <w:r w:rsidRPr="00E65941">
        <w:rPr>
          <w:lang w:val="en-GB"/>
        </w:rPr>
        <w:t xml:space="preserve"> stated, a difference with a small effect size could become maximized over time or could carry significant consequences when it becomes a joint effect of many individuals at a given time. Therefore, results may be interpreted with caution and unbiased.</w:t>
      </w:r>
    </w:p>
    <w:p w14:paraId="2C842E76" w14:textId="77777777" w:rsidR="00E65941" w:rsidRPr="00E65941" w:rsidRDefault="00E65941" w:rsidP="00E65941">
      <w:pPr>
        <w:pStyle w:val="Prrafocomn"/>
        <w:rPr>
          <w:lang w:val="en-GB"/>
        </w:rPr>
      </w:pPr>
      <w:r w:rsidRPr="00E65941">
        <w:rPr>
          <w:lang w:val="en-GB"/>
        </w:rPr>
        <w:t>Regarding some limitations of the study, causal interpretations of the results should be taken cautiously</w:t>
      </w:r>
      <w:r w:rsidRPr="00E65941">
        <w:t xml:space="preserve">; although the theoretical framework of self-control </w:t>
      </w:r>
      <w:r w:rsidRPr="00E65941">
        <w:lastRenderedPageBreak/>
        <w:t>moralization claims a cause-effect relationship between moral variables and self-control, the cross-sectional nature of the current work cannot confirm a one-direction relationship. Further studies should aim to collect longitudinal data to clarify if the temporal changes in moral identity and moral foundations account for self-control score variations during young adulthood</w:t>
      </w:r>
      <w:r w:rsidRPr="00E65941">
        <w:rPr>
          <w:lang w:val="en-GB"/>
        </w:rPr>
        <w:t xml:space="preserve">. Moreover, it must be noticed that collected data corresponded to a non-probabilistic and convenience sample in one region of Bolivia, therefore, results may be not representative of the general population of young adults. </w:t>
      </w:r>
    </w:p>
    <w:p w14:paraId="2D1AF32D" w14:textId="6C69B2A4" w:rsidR="004E4C29" w:rsidRPr="004E4C29" w:rsidRDefault="00E65941" w:rsidP="00E65941">
      <w:pPr>
        <w:pStyle w:val="Prrafocomn"/>
      </w:pPr>
      <w:r w:rsidRPr="00E65941">
        <w:rPr>
          <w:lang w:val="en-GB"/>
        </w:rPr>
        <w:t>Additionally, there is no evidence of previous employment of the MFQ in this geographical context, and despite trying to guarantee reliability based on statistical techniques in this study, more psychometric exploration is needed to validate the binding-individualizing foundation's structure aiming to improve the current model fit indices. Finally, being that a general self-control measure was employed, we encourage further studies to include specific measures for moralized self-control behaviours in the future and to control for additional moral and sociocultural variables, to clarify relationships and increase effect sizes.</w:t>
      </w:r>
    </w:p>
    <w:p w14:paraId="01C54B13" w14:textId="629CB783" w:rsidR="003A1180" w:rsidRPr="004E4C29" w:rsidRDefault="003A1180" w:rsidP="005A12F4">
      <w:pPr>
        <w:pStyle w:val="Prrafocomn"/>
        <w:spacing w:line="440" w:lineRule="exact"/>
        <w:ind w:firstLine="709"/>
      </w:pPr>
      <w:r w:rsidRPr="004E4C29">
        <w:rPr>
          <w:lang w:eastAsia="en-US"/>
        </w:rPr>
        <w:br w:type="page"/>
      </w:r>
    </w:p>
    <w:p w14:paraId="66876945" w14:textId="586D2DCC" w:rsidR="003A1180" w:rsidRPr="00D97D9F" w:rsidRDefault="008A2B96" w:rsidP="00225541">
      <w:pPr>
        <w:pStyle w:val="Ttulosinternos"/>
        <w:rPr>
          <w:lang w:val="en-US"/>
        </w:rPr>
      </w:pPr>
      <w:r w:rsidRPr="00D97D9F">
        <w:rPr>
          <w:lang w:val="en-US"/>
        </w:rPr>
        <w:lastRenderedPageBreak/>
        <w:t>References</w:t>
      </w:r>
    </w:p>
    <w:p w14:paraId="21DADCF3" w14:textId="16E1DC6C" w:rsidR="00334D48" w:rsidRPr="00334D48" w:rsidRDefault="00334D48" w:rsidP="00334D48">
      <w:pPr>
        <w:pStyle w:val="Referencias"/>
        <w:spacing w:line="360" w:lineRule="auto"/>
        <w:rPr>
          <w:highlight w:val="white"/>
        </w:rPr>
      </w:pPr>
      <w:r w:rsidRPr="00334D48">
        <w:rPr>
          <w:highlight w:val="white"/>
        </w:rPr>
        <w:t xml:space="preserve">Abelson, R. P. (1985). A variance explanation paradox: When a little is a lot. </w:t>
      </w:r>
      <w:r w:rsidRPr="00334D48">
        <w:rPr>
          <w:i/>
          <w:iCs/>
          <w:highlight w:val="white"/>
        </w:rPr>
        <w:t>Psychological Bulletin</w:t>
      </w:r>
      <w:r w:rsidRPr="00334D48">
        <w:rPr>
          <w:highlight w:val="white"/>
        </w:rPr>
        <w:t xml:space="preserve">, </w:t>
      </w:r>
      <w:r w:rsidRPr="00334D48">
        <w:rPr>
          <w:i/>
          <w:iCs/>
          <w:highlight w:val="white"/>
        </w:rPr>
        <w:t>97</w:t>
      </w:r>
      <w:r w:rsidRPr="00334D48">
        <w:rPr>
          <w:highlight w:val="white"/>
        </w:rPr>
        <w:t xml:space="preserve">(1), 129. </w:t>
      </w:r>
      <w:hyperlink r:id="rId17" w:history="1">
        <w:r w:rsidRPr="003D1D8F">
          <w:rPr>
            <w:rStyle w:val="Hipervnculo"/>
            <w:highlight w:val="white"/>
          </w:rPr>
          <w:t>https://psycnet.apa.org/fulltext/1985-11199-001.html</w:t>
        </w:r>
      </w:hyperlink>
      <w:r>
        <w:rPr>
          <w:highlight w:val="white"/>
        </w:rPr>
        <w:t xml:space="preserve"> </w:t>
      </w:r>
    </w:p>
    <w:p w14:paraId="645B0E19" w14:textId="3815EE01" w:rsidR="00334D48" w:rsidRPr="00334D48" w:rsidRDefault="00334D48" w:rsidP="00334D48">
      <w:pPr>
        <w:pStyle w:val="Referencias"/>
        <w:spacing w:line="360" w:lineRule="auto"/>
        <w:rPr>
          <w:highlight w:val="white"/>
        </w:rPr>
      </w:pPr>
      <w:r w:rsidRPr="00334D48">
        <w:rPr>
          <w:highlight w:val="white"/>
        </w:rPr>
        <w:t xml:space="preserve">American Psychological Association. (2017). </w:t>
      </w:r>
      <w:r w:rsidRPr="00334D48">
        <w:rPr>
          <w:i/>
          <w:iCs/>
          <w:highlight w:val="white"/>
        </w:rPr>
        <w:t>Ethical principles of psychologists and code of conduct</w:t>
      </w:r>
      <w:r w:rsidRPr="00334D48">
        <w:rPr>
          <w:highlight w:val="white"/>
        </w:rPr>
        <w:t xml:space="preserve">. </w:t>
      </w:r>
      <w:hyperlink r:id="rId18" w:history="1">
        <w:r w:rsidRPr="003D1D8F">
          <w:rPr>
            <w:rStyle w:val="Hipervnculo"/>
            <w:highlight w:val="white"/>
          </w:rPr>
          <w:t>https://www.apa.org/ethics/code</w:t>
        </w:r>
      </w:hyperlink>
      <w:r>
        <w:rPr>
          <w:highlight w:val="white"/>
        </w:rPr>
        <w:t xml:space="preserve"> </w:t>
      </w:r>
    </w:p>
    <w:p w14:paraId="1438BB4A" w14:textId="77777777" w:rsidR="00334D48" w:rsidRPr="00334D48" w:rsidRDefault="00334D48" w:rsidP="00334D48">
      <w:pPr>
        <w:pStyle w:val="Referencias"/>
        <w:spacing w:line="360" w:lineRule="auto"/>
        <w:rPr>
          <w:highlight w:val="white"/>
        </w:rPr>
      </w:pPr>
      <w:r w:rsidRPr="00334D48">
        <w:rPr>
          <w:highlight w:val="white"/>
        </w:rPr>
        <w:t xml:space="preserve">Anderson, D. J., &amp; </w:t>
      </w:r>
      <w:proofErr w:type="spellStart"/>
      <w:r w:rsidRPr="00334D48">
        <w:rPr>
          <w:highlight w:val="white"/>
        </w:rPr>
        <w:t>Krettenauer</w:t>
      </w:r>
      <w:proofErr w:type="spellEnd"/>
      <w:r w:rsidRPr="00334D48">
        <w:rPr>
          <w:highlight w:val="white"/>
        </w:rPr>
        <w:t xml:space="preserve">, T. (2021). Connectedness to nature and pro-environmental </w:t>
      </w:r>
      <w:proofErr w:type="spellStart"/>
      <w:r w:rsidRPr="00334D48">
        <w:rPr>
          <w:highlight w:val="white"/>
        </w:rPr>
        <w:t>behaviour</w:t>
      </w:r>
      <w:proofErr w:type="spellEnd"/>
      <w:r w:rsidRPr="00334D48">
        <w:rPr>
          <w:highlight w:val="white"/>
        </w:rPr>
        <w:t xml:space="preserve"> from early adolescence to adulthood: A comparison of urban and rural </w:t>
      </w:r>
      <w:proofErr w:type="spellStart"/>
      <w:r w:rsidRPr="00334D48">
        <w:rPr>
          <w:highlight w:val="white"/>
        </w:rPr>
        <w:t>canada</w:t>
      </w:r>
      <w:proofErr w:type="spellEnd"/>
      <w:r w:rsidRPr="00334D48">
        <w:rPr>
          <w:highlight w:val="white"/>
        </w:rPr>
        <w:t xml:space="preserve">. </w:t>
      </w:r>
      <w:r w:rsidRPr="00334D48">
        <w:rPr>
          <w:i/>
          <w:iCs/>
          <w:highlight w:val="white"/>
        </w:rPr>
        <w:t>Sustainability</w:t>
      </w:r>
      <w:r w:rsidRPr="00334D48">
        <w:rPr>
          <w:highlight w:val="white"/>
        </w:rPr>
        <w:t xml:space="preserve">, </w:t>
      </w:r>
      <w:r w:rsidRPr="00334D48">
        <w:rPr>
          <w:i/>
          <w:iCs/>
          <w:highlight w:val="white"/>
        </w:rPr>
        <w:t>13</w:t>
      </w:r>
      <w:r w:rsidRPr="00334D48">
        <w:rPr>
          <w:highlight w:val="white"/>
        </w:rPr>
        <w:t>(7), 3655.</w:t>
      </w:r>
    </w:p>
    <w:p w14:paraId="5F75B011" w14:textId="551B7C45" w:rsidR="00334D48" w:rsidRPr="00334D48" w:rsidRDefault="00334D48" w:rsidP="00334D48">
      <w:pPr>
        <w:pStyle w:val="Referencias"/>
        <w:spacing w:line="360" w:lineRule="auto"/>
        <w:rPr>
          <w:highlight w:val="white"/>
        </w:rPr>
      </w:pPr>
      <w:r w:rsidRPr="00334D48">
        <w:rPr>
          <w:highlight w:val="white"/>
        </w:rPr>
        <w:t xml:space="preserve">Andrade, F. C., &amp; Hoyle, R. H. (2023). A synthesis and meta-analysis of the relationship between trait self-control and healthier practices in physical activity, eating, and sleep domains. </w:t>
      </w:r>
      <w:r w:rsidRPr="00334D48">
        <w:rPr>
          <w:i/>
          <w:iCs/>
          <w:highlight w:val="white"/>
        </w:rPr>
        <w:t>Personality and Individual Differences</w:t>
      </w:r>
      <w:r w:rsidRPr="00334D48">
        <w:rPr>
          <w:highlight w:val="white"/>
        </w:rPr>
        <w:t xml:space="preserve">, </w:t>
      </w:r>
      <w:r w:rsidRPr="00334D48">
        <w:rPr>
          <w:i/>
          <w:iCs/>
          <w:highlight w:val="white"/>
        </w:rPr>
        <w:t>205</w:t>
      </w:r>
      <w:r w:rsidRPr="00334D48">
        <w:rPr>
          <w:highlight w:val="white"/>
        </w:rPr>
        <w:t xml:space="preserve">, 112095. </w:t>
      </w:r>
      <w:hyperlink r:id="rId19" w:history="1">
        <w:r w:rsidRPr="003D1D8F">
          <w:rPr>
            <w:rStyle w:val="Hipervnculo"/>
            <w:highlight w:val="white"/>
          </w:rPr>
          <w:t>https://doi.org/10.1016/j.paid.2023.112095</w:t>
        </w:r>
      </w:hyperlink>
      <w:r>
        <w:rPr>
          <w:highlight w:val="white"/>
        </w:rPr>
        <w:t xml:space="preserve"> </w:t>
      </w:r>
    </w:p>
    <w:p w14:paraId="40F06021" w14:textId="182649FB" w:rsidR="00334D48" w:rsidRPr="00334D48" w:rsidRDefault="00334D48" w:rsidP="00334D48">
      <w:pPr>
        <w:pStyle w:val="Referencias"/>
        <w:spacing w:line="360" w:lineRule="auto"/>
        <w:rPr>
          <w:highlight w:val="white"/>
        </w:rPr>
      </w:pPr>
      <w:r w:rsidRPr="00334D48">
        <w:rPr>
          <w:highlight w:val="white"/>
        </w:rPr>
        <w:t xml:space="preserve">Aquino, K., Freeman, D., Reed II, A., Lim, V. K. G., &amp; </w:t>
      </w:r>
      <w:proofErr w:type="spellStart"/>
      <w:r w:rsidRPr="00334D48">
        <w:rPr>
          <w:highlight w:val="white"/>
        </w:rPr>
        <w:t>Felps</w:t>
      </w:r>
      <w:proofErr w:type="spellEnd"/>
      <w:r w:rsidRPr="00334D48">
        <w:rPr>
          <w:highlight w:val="white"/>
        </w:rPr>
        <w:t xml:space="preserve">, W. (2009). Testing a social-cognitive model of moral behavior: The interactive influence of situations and moral identity centrality. </w:t>
      </w:r>
      <w:r w:rsidRPr="00334D48">
        <w:rPr>
          <w:i/>
          <w:iCs/>
          <w:highlight w:val="white"/>
        </w:rPr>
        <w:t>Journal of Personality and Social Psychology</w:t>
      </w:r>
      <w:r w:rsidRPr="00334D48">
        <w:rPr>
          <w:highlight w:val="white"/>
        </w:rPr>
        <w:t xml:space="preserve">, </w:t>
      </w:r>
      <w:r w:rsidRPr="00334D48">
        <w:rPr>
          <w:i/>
          <w:iCs/>
          <w:highlight w:val="white"/>
        </w:rPr>
        <w:t>97</w:t>
      </w:r>
      <w:r>
        <w:rPr>
          <w:highlight w:val="white"/>
        </w:rPr>
        <w:t>(1), 123-</w:t>
      </w:r>
      <w:r w:rsidRPr="00334D48">
        <w:rPr>
          <w:highlight w:val="white"/>
        </w:rPr>
        <w:t xml:space="preserve">141. </w:t>
      </w:r>
      <w:hyperlink r:id="rId20" w:history="1">
        <w:r w:rsidRPr="003D1D8F">
          <w:rPr>
            <w:rStyle w:val="Hipervnculo"/>
            <w:highlight w:val="white"/>
          </w:rPr>
          <w:t>https://doi.org/10.1037/a0015406</w:t>
        </w:r>
      </w:hyperlink>
      <w:r>
        <w:rPr>
          <w:highlight w:val="white"/>
        </w:rPr>
        <w:t xml:space="preserve"> </w:t>
      </w:r>
    </w:p>
    <w:p w14:paraId="60A4B7AA" w14:textId="54199849" w:rsidR="00334D48" w:rsidRPr="00334D48" w:rsidRDefault="00334D48" w:rsidP="00334D48">
      <w:pPr>
        <w:pStyle w:val="Referencias"/>
        <w:spacing w:line="360" w:lineRule="auto"/>
        <w:rPr>
          <w:highlight w:val="white"/>
        </w:rPr>
      </w:pPr>
      <w:r w:rsidRPr="00334D48">
        <w:rPr>
          <w:highlight w:val="white"/>
        </w:rPr>
        <w:t xml:space="preserve">Aquino, K., &amp; Reed, A. I. (2002). The self-importance of moral identity. </w:t>
      </w:r>
      <w:r w:rsidRPr="00334D48">
        <w:rPr>
          <w:i/>
          <w:iCs/>
          <w:highlight w:val="white"/>
        </w:rPr>
        <w:t>Journal of Personality and Social Psychology</w:t>
      </w:r>
      <w:r w:rsidRPr="00334D48">
        <w:rPr>
          <w:highlight w:val="white"/>
        </w:rPr>
        <w:t xml:space="preserve">, </w:t>
      </w:r>
      <w:r w:rsidRPr="00334D48">
        <w:rPr>
          <w:i/>
          <w:iCs/>
          <w:highlight w:val="white"/>
        </w:rPr>
        <w:t>83</w:t>
      </w:r>
      <w:r>
        <w:rPr>
          <w:highlight w:val="white"/>
        </w:rPr>
        <w:t>(6), 1423-</w:t>
      </w:r>
      <w:r w:rsidRPr="00334D48">
        <w:rPr>
          <w:highlight w:val="white"/>
        </w:rPr>
        <w:t xml:space="preserve">1440. </w:t>
      </w:r>
      <w:hyperlink r:id="rId21" w:history="1">
        <w:r w:rsidRPr="003D1D8F">
          <w:rPr>
            <w:rStyle w:val="Hipervnculo"/>
            <w:highlight w:val="white"/>
          </w:rPr>
          <w:t>https://doi.org/10.1037/0022-3514.83.6.1423</w:t>
        </w:r>
      </w:hyperlink>
      <w:r>
        <w:rPr>
          <w:highlight w:val="white"/>
        </w:rPr>
        <w:t xml:space="preserve"> </w:t>
      </w:r>
    </w:p>
    <w:p w14:paraId="2A26E141" w14:textId="194213D7" w:rsidR="00334D48" w:rsidRPr="00334D48" w:rsidRDefault="00334D48" w:rsidP="00334D48">
      <w:pPr>
        <w:pStyle w:val="Referencias"/>
        <w:spacing w:line="360" w:lineRule="auto"/>
        <w:rPr>
          <w:highlight w:val="white"/>
        </w:rPr>
      </w:pPr>
      <w:r w:rsidRPr="00334D48">
        <w:rPr>
          <w:highlight w:val="white"/>
        </w:rPr>
        <w:t xml:space="preserve">Bandura, A. (2014). Social cognitive theory of moral thought and action. In </w:t>
      </w:r>
      <w:r w:rsidRPr="00334D48">
        <w:rPr>
          <w:i/>
          <w:iCs/>
          <w:highlight w:val="white"/>
        </w:rPr>
        <w:t>Handbook of moral behavior and development</w:t>
      </w:r>
      <w:r>
        <w:rPr>
          <w:highlight w:val="white"/>
        </w:rPr>
        <w:t xml:space="preserve"> (pp. 45-</w:t>
      </w:r>
      <w:r w:rsidRPr="00334D48">
        <w:rPr>
          <w:highlight w:val="white"/>
        </w:rPr>
        <w:t xml:space="preserve">103). Psychology press. </w:t>
      </w:r>
      <w:hyperlink r:id="rId22" w:history="1">
        <w:r w:rsidRPr="003D1D8F">
          <w:rPr>
            <w:rStyle w:val="Hipervnculo"/>
            <w:highlight w:val="white"/>
          </w:rPr>
          <w:t>https://www.taylorfrancis.com/chapters/edit/10.4324/9781315807294-8/social-cognitive-theory-moral-thought-action-albert-bandura</w:t>
        </w:r>
      </w:hyperlink>
      <w:r>
        <w:rPr>
          <w:highlight w:val="white"/>
        </w:rPr>
        <w:t xml:space="preserve"> </w:t>
      </w:r>
    </w:p>
    <w:p w14:paraId="309C550E" w14:textId="765BBD2C" w:rsidR="00334D48" w:rsidRPr="00334D48" w:rsidRDefault="00334D48" w:rsidP="00334D48">
      <w:pPr>
        <w:pStyle w:val="Referencias"/>
        <w:spacing w:line="360" w:lineRule="auto"/>
        <w:rPr>
          <w:highlight w:val="white"/>
        </w:rPr>
      </w:pPr>
      <w:proofErr w:type="spellStart"/>
      <w:r w:rsidRPr="00334D48">
        <w:rPr>
          <w:highlight w:val="white"/>
        </w:rPr>
        <w:t>Barbaranelli</w:t>
      </w:r>
      <w:proofErr w:type="spellEnd"/>
      <w:r w:rsidRPr="00334D48">
        <w:rPr>
          <w:highlight w:val="white"/>
        </w:rPr>
        <w:t xml:space="preserve">, C. (2003). </w:t>
      </w:r>
      <w:proofErr w:type="spellStart"/>
      <w:r w:rsidRPr="00334D48">
        <w:rPr>
          <w:highlight w:val="white"/>
        </w:rPr>
        <w:t>AnalisideiDati</w:t>
      </w:r>
      <w:proofErr w:type="spellEnd"/>
      <w:r w:rsidRPr="00334D48">
        <w:rPr>
          <w:highlight w:val="white"/>
        </w:rPr>
        <w:t xml:space="preserve">. </w:t>
      </w:r>
      <w:proofErr w:type="spellStart"/>
      <w:r w:rsidRPr="00334D48">
        <w:rPr>
          <w:highlight w:val="white"/>
        </w:rPr>
        <w:t>Tecniche</w:t>
      </w:r>
      <w:proofErr w:type="spellEnd"/>
      <w:r w:rsidRPr="00334D48">
        <w:rPr>
          <w:highlight w:val="white"/>
        </w:rPr>
        <w:t xml:space="preserve"> Multivariate per la </w:t>
      </w:r>
      <w:proofErr w:type="spellStart"/>
      <w:r w:rsidRPr="00334D48">
        <w:rPr>
          <w:highlight w:val="white"/>
        </w:rPr>
        <w:t>RicercaPsicologica</w:t>
      </w:r>
      <w:proofErr w:type="spellEnd"/>
      <w:r w:rsidRPr="00334D48">
        <w:rPr>
          <w:highlight w:val="white"/>
        </w:rPr>
        <w:t xml:space="preserve"> e </w:t>
      </w:r>
      <w:proofErr w:type="spellStart"/>
      <w:r w:rsidRPr="00334D48">
        <w:rPr>
          <w:highlight w:val="white"/>
        </w:rPr>
        <w:t>Sociale</w:t>
      </w:r>
      <w:proofErr w:type="spellEnd"/>
      <w:r w:rsidRPr="00334D48">
        <w:rPr>
          <w:highlight w:val="white"/>
        </w:rPr>
        <w:t xml:space="preserve">, Milano: LED </w:t>
      </w:r>
      <w:proofErr w:type="spellStart"/>
      <w:r w:rsidRPr="00334D48">
        <w:rPr>
          <w:highlight w:val="white"/>
        </w:rPr>
        <w:t>Bentler</w:t>
      </w:r>
      <w:proofErr w:type="spellEnd"/>
      <w:r w:rsidRPr="00334D48">
        <w:rPr>
          <w:highlight w:val="white"/>
        </w:rPr>
        <w:t xml:space="preserve">, PM and Bonnet, DC (1980). Significance Tests and Goodness of Fit in the Analysis of Covariance Structures. </w:t>
      </w:r>
      <w:r w:rsidRPr="00334D48">
        <w:rPr>
          <w:i/>
          <w:iCs/>
          <w:highlight w:val="white"/>
        </w:rPr>
        <w:t>Psychological Bulletin</w:t>
      </w:r>
      <w:r w:rsidRPr="00334D48">
        <w:rPr>
          <w:highlight w:val="white"/>
        </w:rPr>
        <w:t xml:space="preserve">, </w:t>
      </w:r>
      <w:r w:rsidRPr="00334D48">
        <w:rPr>
          <w:i/>
          <w:iCs/>
          <w:highlight w:val="white"/>
        </w:rPr>
        <w:t>88</w:t>
      </w:r>
      <w:r>
        <w:rPr>
          <w:highlight w:val="white"/>
        </w:rPr>
        <w:t>(3), 588-</w:t>
      </w:r>
      <w:r w:rsidRPr="00334D48">
        <w:rPr>
          <w:highlight w:val="white"/>
        </w:rPr>
        <w:t>606.</w:t>
      </w:r>
    </w:p>
    <w:p w14:paraId="7877B6C6" w14:textId="0F04544B" w:rsidR="00334D48" w:rsidRPr="00334D48" w:rsidRDefault="00334D48" w:rsidP="00334D48">
      <w:pPr>
        <w:pStyle w:val="Referencias"/>
        <w:spacing w:line="360" w:lineRule="auto"/>
        <w:rPr>
          <w:highlight w:val="white"/>
        </w:rPr>
      </w:pPr>
      <w:r w:rsidRPr="00334D48">
        <w:rPr>
          <w:highlight w:val="white"/>
        </w:rPr>
        <w:t xml:space="preserve">Berkman, E. T., Livingston, J. L., &amp; Kahn, L. E. (2017). Finding the “self” in self-regulation: The identity-value model. </w:t>
      </w:r>
      <w:r w:rsidRPr="00334D48">
        <w:rPr>
          <w:i/>
          <w:iCs/>
          <w:highlight w:val="white"/>
        </w:rPr>
        <w:t>Psychological Inquiry</w:t>
      </w:r>
      <w:r w:rsidRPr="00334D48">
        <w:rPr>
          <w:highlight w:val="white"/>
        </w:rPr>
        <w:t xml:space="preserve">, </w:t>
      </w:r>
      <w:r w:rsidRPr="00334D48">
        <w:rPr>
          <w:i/>
          <w:iCs/>
          <w:highlight w:val="white"/>
        </w:rPr>
        <w:t>28</w:t>
      </w:r>
      <w:r>
        <w:rPr>
          <w:highlight w:val="white"/>
        </w:rPr>
        <w:t>(2-</w:t>
      </w:r>
      <w:r w:rsidRPr="00334D48">
        <w:rPr>
          <w:highlight w:val="white"/>
        </w:rPr>
        <w:t>3</w:t>
      </w:r>
      <w:r>
        <w:rPr>
          <w:highlight w:val="white"/>
        </w:rPr>
        <w:t>), 77-9</w:t>
      </w:r>
      <w:r w:rsidRPr="00334D48">
        <w:rPr>
          <w:highlight w:val="white"/>
        </w:rPr>
        <w:t xml:space="preserve">8. </w:t>
      </w:r>
      <w:hyperlink r:id="rId23" w:history="1">
        <w:r w:rsidRPr="003D1D8F">
          <w:rPr>
            <w:rStyle w:val="Hipervnculo"/>
            <w:highlight w:val="white"/>
          </w:rPr>
          <w:t>https://doi.org/10.1080/1047840X.2017.1323463</w:t>
        </w:r>
      </w:hyperlink>
      <w:r>
        <w:rPr>
          <w:highlight w:val="white"/>
        </w:rPr>
        <w:t xml:space="preserve"> </w:t>
      </w:r>
    </w:p>
    <w:p w14:paraId="23ABCF14" w14:textId="77777777" w:rsidR="00334D48" w:rsidRPr="00334D48" w:rsidRDefault="00334D48" w:rsidP="00334D48">
      <w:pPr>
        <w:pStyle w:val="Referencias"/>
        <w:spacing w:line="360" w:lineRule="auto"/>
        <w:rPr>
          <w:highlight w:val="white"/>
        </w:rPr>
      </w:pPr>
      <w:r w:rsidRPr="00334D48">
        <w:rPr>
          <w:highlight w:val="white"/>
        </w:rPr>
        <w:t xml:space="preserve">Blasi, A. (1994). Moral identity: It’s role in moral functioning (Vol. 2). </w:t>
      </w:r>
      <w:r w:rsidRPr="00334D48">
        <w:rPr>
          <w:i/>
          <w:iCs/>
          <w:highlight w:val="white"/>
        </w:rPr>
        <w:t>New York, NY: Garland</w:t>
      </w:r>
      <w:r w:rsidRPr="00334D48">
        <w:rPr>
          <w:highlight w:val="white"/>
        </w:rPr>
        <w:t>.</w:t>
      </w:r>
    </w:p>
    <w:p w14:paraId="11340391" w14:textId="2D9115EA" w:rsidR="00334D48" w:rsidRPr="00334D48" w:rsidRDefault="00334D48" w:rsidP="00334D48">
      <w:pPr>
        <w:pStyle w:val="Referencias"/>
        <w:spacing w:line="360" w:lineRule="auto"/>
        <w:rPr>
          <w:highlight w:val="white"/>
          <w:lang w:val="es-ES"/>
        </w:rPr>
      </w:pPr>
      <w:r w:rsidRPr="00334D48">
        <w:rPr>
          <w:highlight w:val="white"/>
        </w:rPr>
        <w:lastRenderedPageBreak/>
        <w:t xml:space="preserve">Canet Juric, L., </w:t>
      </w:r>
      <w:proofErr w:type="spellStart"/>
      <w:r w:rsidRPr="00334D48">
        <w:rPr>
          <w:highlight w:val="white"/>
        </w:rPr>
        <w:t>Introzzi</w:t>
      </w:r>
      <w:proofErr w:type="spellEnd"/>
      <w:r w:rsidRPr="00334D48">
        <w:rPr>
          <w:highlight w:val="white"/>
        </w:rPr>
        <w:t xml:space="preserve">, I. M., Andrés, M. L., &amp; </w:t>
      </w:r>
      <w:proofErr w:type="spellStart"/>
      <w:r w:rsidRPr="00334D48">
        <w:rPr>
          <w:highlight w:val="white"/>
        </w:rPr>
        <w:t>Stelzer</w:t>
      </w:r>
      <w:proofErr w:type="spellEnd"/>
      <w:r w:rsidRPr="00334D48">
        <w:rPr>
          <w:highlight w:val="white"/>
        </w:rPr>
        <w:t xml:space="preserve">, F. (2016). </w:t>
      </w:r>
      <w:r w:rsidRPr="00334D48">
        <w:rPr>
          <w:i/>
          <w:iCs/>
          <w:highlight w:val="white"/>
          <w:lang w:val="es-ES"/>
        </w:rPr>
        <w:t>La contribución de las Funciones Ejecutivas a la autorregulación</w:t>
      </w:r>
      <w:r w:rsidRPr="00334D48">
        <w:rPr>
          <w:highlight w:val="white"/>
          <w:lang w:val="es-ES"/>
        </w:rPr>
        <w:t xml:space="preserve">. </w:t>
      </w:r>
      <w:r w:rsidR="00000000">
        <w:fldChar w:fldCharType="begin"/>
      </w:r>
      <w:r w:rsidR="00000000" w:rsidRPr="00BF171A">
        <w:rPr>
          <w:lang w:val="es-AR"/>
        </w:rPr>
        <w:instrText>HYPERLINK "https://doi.org/10.7714/CNPS/10.2.206"</w:instrText>
      </w:r>
      <w:r w:rsidR="00000000">
        <w:fldChar w:fldCharType="separate"/>
      </w:r>
      <w:r w:rsidRPr="003D1D8F">
        <w:rPr>
          <w:rStyle w:val="Hipervnculo"/>
          <w:highlight w:val="white"/>
          <w:lang w:val="es-ES"/>
        </w:rPr>
        <w:t>https://doi.org/10.7714/CNPS/10.2.206</w:t>
      </w:r>
      <w:r w:rsidR="00000000">
        <w:rPr>
          <w:rStyle w:val="Hipervnculo"/>
          <w:highlight w:val="white"/>
          <w:lang w:val="es-ES"/>
        </w:rPr>
        <w:fldChar w:fldCharType="end"/>
      </w:r>
      <w:r>
        <w:rPr>
          <w:highlight w:val="white"/>
          <w:lang w:val="es-ES"/>
        </w:rPr>
        <w:t xml:space="preserve"> </w:t>
      </w:r>
    </w:p>
    <w:p w14:paraId="1379883A" w14:textId="7F8F88BA" w:rsidR="00334D48" w:rsidRPr="00334D48" w:rsidRDefault="00334D48" w:rsidP="00334D48">
      <w:pPr>
        <w:pStyle w:val="Referencias"/>
        <w:spacing w:line="360" w:lineRule="auto"/>
        <w:rPr>
          <w:highlight w:val="white"/>
        </w:rPr>
      </w:pPr>
      <w:proofErr w:type="spellStart"/>
      <w:r w:rsidRPr="00334D48">
        <w:rPr>
          <w:highlight w:val="white"/>
        </w:rPr>
        <w:t>Carifio</w:t>
      </w:r>
      <w:proofErr w:type="spellEnd"/>
      <w:r w:rsidRPr="00334D48">
        <w:rPr>
          <w:highlight w:val="white"/>
        </w:rPr>
        <w:t xml:space="preserve">, J., &amp; Perla, R. (2008). Resolving the 50-year debate around using and misusing Likert scales. </w:t>
      </w:r>
      <w:r w:rsidRPr="00334D48">
        <w:rPr>
          <w:i/>
          <w:iCs/>
          <w:highlight w:val="white"/>
        </w:rPr>
        <w:t>Medical Education</w:t>
      </w:r>
      <w:r w:rsidRPr="00334D48">
        <w:rPr>
          <w:highlight w:val="white"/>
        </w:rPr>
        <w:t xml:space="preserve">, </w:t>
      </w:r>
      <w:r w:rsidRPr="00334D48">
        <w:rPr>
          <w:i/>
          <w:iCs/>
          <w:highlight w:val="white"/>
        </w:rPr>
        <w:t>42</w:t>
      </w:r>
      <w:r>
        <w:rPr>
          <w:highlight w:val="white"/>
        </w:rPr>
        <w:t>(12), 1150-</w:t>
      </w:r>
      <w:r w:rsidRPr="00334D48">
        <w:rPr>
          <w:highlight w:val="white"/>
        </w:rPr>
        <w:t xml:space="preserve">1152. </w:t>
      </w:r>
      <w:hyperlink r:id="rId24" w:history="1">
        <w:r w:rsidRPr="003D1D8F">
          <w:rPr>
            <w:rStyle w:val="Hipervnculo"/>
            <w:highlight w:val="white"/>
          </w:rPr>
          <w:t>https://doi.org/10.1111/j.1365-2923.2008.03172.x</w:t>
        </w:r>
      </w:hyperlink>
      <w:r>
        <w:rPr>
          <w:highlight w:val="white"/>
        </w:rPr>
        <w:t xml:space="preserve"> </w:t>
      </w:r>
    </w:p>
    <w:p w14:paraId="386BD58A" w14:textId="3F74CD69" w:rsidR="00334D48" w:rsidRPr="00334D48" w:rsidRDefault="00334D48" w:rsidP="00334D48">
      <w:pPr>
        <w:pStyle w:val="Referencias"/>
        <w:spacing w:line="360" w:lineRule="auto"/>
        <w:rPr>
          <w:highlight w:val="white"/>
        </w:rPr>
      </w:pPr>
      <w:r w:rsidRPr="00334D48">
        <w:rPr>
          <w:highlight w:val="white"/>
        </w:rPr>
        <w:t xml:space="preserve">Cobb-Clark, D. A., </w:t>
      </w:r>
      <w:proofErr w:type="spellStart"/>
      <w:r w:rsidRPr="00334D48">
        <w:rPr>
          <w:highlight w:val="white"/>
        </w:rPr>
        <w:t>Dahmann</w:t>
      </w:r>
      <w:proofErr w:type="spellEnd"/>
      <w:r w:rsidRPr="00334D48">
        <w:rPr>
          <w:highlight w:val="white"/>
        </w:rPr>
        <w:t xml:space="preserve">, S. C., </w:t>
      </w:r>
      <w:proofErr w:type="spellStart"/>
      <w:r w:rsidRPr="00334D48">
        <w:rPr>
          <w:highlight w:val="white"/>
        </w:rPr>
        <w:t>Kamhöfer</w:t>
      </w:r>
      <w:proofErr w:type="spellEnd"/>
      <w:r w:rsidRPr="00334D48">
        <w:rPr>
          <w:highlight w:val="white"/>
        </w:rPr>
        <w:t xml:space="preserve">, D. A., &amp; </w:t>
      </w:r>
      <w:proofErr w:type="spellStart"/>
      <w:r w:rsidRPr="00334D48">
        <w:rPr>
          <w:highlight w:val="white"/>
        </w:rPr>
        <w:t>Schildberg-Hörisch</w:t>
      </w:r>
      <w:proofErr w:type="spellEnd"/>
      <w:r w:rsidRPr="00334D48">
        <w:rPr>
          <w:highlight w:val="white"/>
        </w:rPr>
        <w:t xml:space="preserve">, H. (2023). Self-control and unhealthy body weight: The role of impulsivity and restraint. </w:t>
      </w:r>
      <w:r w:rsidRPr="00334D48">
        <w:rPr>
          <w:i/>
          <w:iCs/>
          <w:highlight w:val="white"/>
        </w:rPr>
        <w:t>Economics &amp; Human Biology</w:t>
      </w:r>
      <w:r w:rsidRPr="00334D48">
        <w:rPr>
          <w:highlight w:val="white"/>
        </w:rPr>
        <w:t xml:space="preserve">, </w:t>
      </w:r>
      <w:r w:rsidRPr="00334D48">
        <w:rPr>
          <w:i/>
          <w:iCs/>
          <w:highlight w:val="white"/>
        </w:rPr>
        <w:t>50</w:t>
      </w:r>
      <w:r w:rsidRPr="00334D48">
        <w:rPr>
          <w:highlight w:val="white"/>
        </w:rPr>
        <w:t xml:space="preserve">, 101263. </w:t>
      </w:r>
      <w:hyperlink r:id="rId25" w:history="1">
        <w:r w:rsidRPr="003D1D8F">
          <w:rPr>
            <w:rStyle w:val="Hipervnculo"/>
            <w:highlight w:val="white"/>
          </w:rPr>
          <w:t>https://doi.org/10.1016/j.ehb.2023.101263</w:t>
        </w:r>
      </w:hyperlink>
      <w:r>
        <w:rPr>
          <w:highlight w:val="white"/>
        </w:rPr>
        <w:t xml:space="preserve"> </w:t>
      </w:r>
    </w:p>
    <w:p w14:paraId="1BEBD904" w14:textId="13A39DE6" w:rsidR="00334D48" w:rsidRPr="00334D48" w:rsidRDefault="00334D48" w:rsidP="00334D48">
      <w:pPr>
        <w:pStyle w:val="Referencias"/>
        <w:spacing w:line="360" w:lineRule="auto"/>
        <w:rPr>
          <w:highlight w:val="white"/>
          <w:lang w:val="es-ES"/>
        </w:rPr>
      </w:pPr>
      <w:r w:rsidRPr="00334D48">
        <w:rPr>
          <w:highlight w:val="white"/>
        </w:rPr>
        <w:t xml:space="preserve">del Valle, M. V., Galli, J. I., </w:t>
      </w:r>
      <w:proofErr w:type="spellStart"/>
      <w:r w:rsidRPr="00334D48">
        <w:rPr>
          <w:highlight w:val="white"/>
        </w:rPr>
        <w:t>Urquijo</w:t>
      </w:r>
      <w:proofErr w:type="spellEnd"/>
      <w:r w:rsidRPr="00334D48">
        <w:rPr>
          <w:highlight w:val="white"/>
        </w:rPr>
        <w:t xml:space="preserve">, S., &amp; Juric, L. C. (2019). </w:t>
      </w:r>
      <w:r w:rsidRPr="00334D48">
        <w:rPr>
          <w:highlight w:val="white"/>
          <w:lang w:val="es-ES"/>
        </w:rPr>
        <w:t xml:space="preserve">Adaptación al español de la Escala de Autocontrol y de la Escala de Autocontrol-Abreviada y evidencias de validez en población universitaria. </w:t>
      </w:r>
      <w:r w:rsidRPr="00334D48">
        <w:rPr>
          <w:i/>
          <w:iCs/>
          <w:highlight w:val="white"/>
          <w:lang w:val="es-ES"/>
        </w:rPr>
        <w:t>Revista Argentina de Ciencias del Comportamiento</w:t>
      </w:r>
      <w:r w:rsidRPr="00334D48">
        <w:rPr>
          <w:highlight w:val="white"/>
          <w:lang w:val="es-ES"/>
        </w:rPr>
        <w:t xml:space="preserve">, </w:t>
      </w:r>
      <w:r w:rsidRPr="00334D48">
        <w:rPr>
          <w:i/>
          <w:iCs/>
          <w:highlight w:val="white"/>
          <w:lang w:val="es-ES"/>
        </w:rPr>
        <w:t>11</w:t>
      </w:r>
      <w:r w:rsidRPr="00334D48">
        <w:rPr>
          <w:highlight w:val="white"/>
          <w:lang w:val="es-ES"/>
        </w:rPr>
        <w:t xml:space="preserve">(2), </w:t>
      </w:r>
      <w:proofErr w:type="spellStart"/>
      <w:r w:rsidRPr="00334D48">
        <w:rPr>
          <w:highlight w:val="white"/>
          <w:lang w:val="es-ES"/>
        </w:rPr>
        <w:t>Article</w:t>
      </w:r>
      <w:proofErr w:type="spellEnd"/>
      <w:r w:rsidRPr="00334D48">
        <w:rPr>
          <w:highlight w:val="white"/>
          <w:lang w:val="es-ES"/>
        </w:rPr>
        <w:t xml:space="preserve"> 2. </w:t>
      </w:r>
      <w:r w:rsidR="00000000">
        <w:fldChar w:fldCharType="begin"/>
      </w:r>
      <w:r w:rsidR="00000000" w:rsidRPr="00BF171A">
        <w:rPr>
          <w:lang w:val="es-AR"/>
        </w:rPr>
        <w:instrText>HYPERLINK "https://doi.org/10.32348/1852.4206.v11.n2.23413"</w:instrText>
      </w:r>
      <w:r w:rsidR="00000000">
        <w:fldChar w:fldCharType="separate"/>
      </w:r>
      <w:r w:rsidRPr="003D1D8F">
        <w:rPr>
          <w:rStyle w:val="Hipervnculo"/>
          <w:highlight w:val="white"/>
          <w:lang w:val="es-ES"/>
        </w:rPr>
        <w:t>https://doi.org/10.32348/1852.4206.v11.n2.23413</w:t>
      </w:r>
      <w:r w:rsidR="00000000">
        <w:rPr>
          <w:rStyle w:val="Hipervnculo"/>
          <w:highlight w:val="white"/>
          <w:lang w:val="es-ES"/>
        </w:rPr>
        <w:fldChar w:fldCharType="end"/>
      </w:r>
      <w:r>
        <w:rPr>
          <w:highlight w:val="white"/>
          <w:lang w:val="es-ES"/>
        </w:rPr>
        <w:t xml:space="preserve"> </w:t>
      </w:r>
    </w:p>
    <w:p w14:paraId="41F125AD" w14:textId="33FDFD73" w:rsidR="00334D48" w:rsidRPr="00334D48" w:rsidRDefault="00334D48" w:rsidP="00334D48">
      <w:pPr>
        <w:pStyle w:val="Referencias"/>
        <w:spacing w:line="360" w:lineRule="auto"/>
        <w:rPr>
          <w:highlight w:val="white"/>
        </w:rPr>
      </w:pPr>
      <w:r w:rsidRPr="00334D48">
        <w:rPr>
          <w:highlight w:val="white"/>
        </w:rPr>
        <w:t xml:space="preserve">Doğruyol, B., </w:t>
      </w:r>
      <w:proofErr w:type="spellStart"/>
      <w:r w:rsidRPr="00334D48">
        <w:rPr>
          <w:highlight w:val="white"/>
        </w:rPr>
        <w:t>Alper</w:t>
      </w:r>
      <w:proofErr w:type="spellEnd"/>
      <w:r w:rsidRPr="00334D48">
        <w:rPr>
          <w:highlight w:val="white"/>
        </w:rPr>
        <w:t xml:space="preserve">, S., &amp; Yilmaz, O. (2019). The five-factor model of the moral foundations theory is stable across WEIRD and non-WEIRD cultures. </w:t>
      </w:r>
      <w:r w:rsidRPr="00334D48">
        <w:rPr>
          <w:i/>
          <w:iCs/>
          <w:highlight w:val="white"/>
        </w:rPr>
        <w:t>Personality and Individual Differences</w:t>
      </w:r>
      <w:r w:rsidRPr="00334D48">
        <w:rPr>
          <w:highlight w:val="white"/>
        </w:rPr>
        <w:t xml:space="preserve">, </w:t>
      </w:r>
      <w:r w:rsidRPr="00334D48">
        <w:rPr>
          <w:i/>
          <w:iCs/>
          <w:highlight w:val="white"/>
        </w:rPr>
        <w:t>151</w:t>
      </w:r>
      <w:r w:rsidRPr="00334D48">
        <w:rPr>
          <w:highlight w:val="white"/>
        </w:rPr>
        <w:t xml:space="preserve">, 109547. </w:t>
      </w:r>
      <w:hyperlink r:id="rId26" w:history="1">
        <w:r w:rsidRPr="003D1D8F">
          <w:rPr>
            <w:rStyle w:val="Hipervnculo"/>
            <w:highlight w:val="white"/>
          </w:rPr>
          <w:t>https://doi.org/10.1016/j.paid.2019.109547</w:t>
        </w:r>
      </w:hyperlink>
      <w:r>
        <w:rPr>
          <w:highlight w:val="white"/>
        </w:rPr>
        <w:t xml:space="preserve"> </w:t>
      </w:r>
    </w:p>
    <w:p w14:paraId="5B3F32AA" w14:textId="4C9B3E72" w:rsidR="00334D48" w:rsidRPr="00334D48" w:rsidRDefault="00334D48" w:rsidP="00334D48">
      <w:pPr>
        <w:pStyle w:val="Referencias"/>
        <w:spacing w:line="360" w:lineRule="auto"/>
        <w:rPr>
          <w:highlight w:val="white"/>
        </w:rPr>
      </w:pPr>
      <w:r w:rsidRPr="00334D48">
        <w:rPr>
          <w:highlight w:val="white"/>
        </w:rPr>
        <w:t xml:space="preserve">Duckworth, A. L., &amp; Gross, J. J. (2024). Self-control. In </w:t>
      </w:r>
      <w:r w:rsidRPr="00334D48">
        <w:rPr>
          <w:i/>
          <w:iCs/>
          <w:highlight w:val="white"/>
        </w:rPr>
        <w:t>Handbook of emotion regulation, 3rd ed</w:t>
      </w:r>
      <w:r>
        <w:rPr>
          <w:highlight w:val="white"/>
        </w:rPr>
        <w:t xml:space="preserve"> (pp. 250-</w:t>
      </w:r>
      <w:r w:rsidRPr="00334D48">
        <w:rPr>
          <w:highlight w:val="white"/>
        </w:rPr>
        <w:t>257). The Guilford Press.</w:t>
      </w:r>
    </w:p>
    <w:p w14:paraId="22879547" w14:textId="4493FC78" w:rsidR="00334D48" w:rsidRPr="00334D48" w:rsidRDefault="00334D48" w:rsidP="00334D48">
      <w:pPr>
        <w:pStyle w:val="Referencias"/>
        <w:spacing w:line="360" w:lineRule="auto"/>
        <w:rPr>
          <w:highlight w:val="white"/>
        </w:rPr>
      </w:pPr>
      <w:r w:rsidRPr="00334D48">
        <w:rPr>
          <w:highlight w:val="white"/>
        </w:rPr>
        <w:t xml:space="preserve">Funder, D. C., &amp; Ozer, D. J. (2019). Evaluating Effect Size in Psychological Research: Sense and Nonsense. </w:t>
      </w:r>
      <w:r w:rsidRPr="00334D48">
        <w:rPr>
          <w:i/>
          <w:iCs/>
          <w:highlight w:val="white"/>
        </w:rPr>
        <w:t>Advances in Methods and Practices in Psychological Science</w:t>
      </w:r>
      <w:r w:rsidRPr="00334D48">
        <w:rPr>
          <w:highlight w:val="white"/>
        </w:rPr>
        <w:t xml:space="preserve">, </w:t>
      </w:r>
      <w:r w:rsidRPr="00334D48">
        <w:rPr>
          <w:i/>
          <w:iCs/>
          <w:highlight w:val="white"/>
        </w:rPr>
        <w:t>2</w:t>
      </w:r>
      <w:r>
        <w:rPr>
          <w:highlight w:val="white"/>
        </w:rPr>
        <w:t>(2), 156-</w:t>
      </w:r>
      <w:r w:rsidRPr="00334D48">
        <w:rPr>
          <w:highlight w:val="white"/>
        </w:rPr>
        <w:t xml:space="preserve">168. </w:t>
      </w:r>
      <w:hyperlink r:id="rId27" w:history="1">
        <w:r w:rsidRPr="003D1D8F">
          <w:rPr>
            <w:rStyle w:val="Hipervnculo"/>
            <w:highlight w:val="white"/>
          </w:rPr>
          <w:t>https://doi.org/10.1177/2515245919847202</w:t>
        </w:r>
      </w:hyperlink>
      <w:r>
        <w:rPr>
          <w:highlight w:val="white"/>
        </w:rPr>
        <w:t xml:space="preserve"> </w:t>
      </w:r>
    </w:p>
    <w:p w14:paraId="46767F63" w14:textId="15734C28" w:rsidR="00334D48" w:rsidRPr="00334D48" w:rsidRDefault="00334D48" w:rsidP="00334D48">
      <w:pPr>
        <w:pStyle w:val="Referencias"/>
        <w:spacing w:line="360" w:lineRule="auto"/>
        <w:rPr>
          <w:highlight w:val="white"/>
        </w:rPr>
      </w:pPr>
      <w:r w:rsidRPr="00334D48">
        <w:rPr>
          <w:highlight w:val="white"/>
          <w:lang w:val="es-ES"/>
        </w:rPr>
        <w:t xml:space="preserve">Garrido, S. J., Morán, V., Azpilicueta, A. E., Cortez, F., </w:t>
      </w:r>
      <w:proofErr w:type="spellStart"/>
      <w:r w:rsidRPr="00334D48">
        <w:rPr>
          <w:highlight w:val="white"/>
          <w:lang w:val="es-ES"/>
        </w:rPr>
        <w:t>Arbach</w:t>
      </w:r>
      <w:proofErr w:type="spellEnd"/>
      <w:r w:rsidRPr="00334D48">
        <w:rPr>
          <w:highlight w:val="white"/>
          <w:lang w:val="es-ES"/>
        </w:rPr>
        <w:t xml:space="preserve">, K., &amp; Cupani, M. (2018). Análisis de Modelos Rivales Unidimensionales y Bidimensionales de la Escala Breve de Autocontrol en Estudiantes Universitarios Argentinos. </w:t>
      </w:r>
      <w:r w:rsidRPr="00334D48">
        <w:rPr>
          <w:i/>
          <w:iCs/>
          <w:highlight w:val="white"/>
        </w:rPr>
        <w:t>Psicodebate</w:t>
      </w:r>
      <w:r w:rsidRPr="00334D48">
        <w:rPr>
          <w:highlight w:val="white"/>
        </w:rPr>
        <w:t xml:space="preserve">, </w:t>
      </w:r>
      <w:r w:rsidRPr="00334D48">
        <w:rPr>
          <w:i/>
          <w:iCs/>
          <w:highlight w:val="white"/>
        </w:rPr>
        <w:t>18</w:t>
      </w:r>
      <w:r w:rsidRPr="00334D48">
        <w:rPr>
          <w:highlight w:val="white"/>
        </w:rPr>
        <w:t xml:space="preserve">(2), Article 2. </w:t>
      </w:r>
      <w:hyperlink r:id="rId28" w:history="1">
        <w:r w:rsidRPr="003D1D8F">
          <w:rPr>
            <w:rStyle w:val="Hipervnculo"/>
            <w:highlight w:val="white"/>
          </w:rPr>
          <w:t>https://doi.org/10.18682/pd.v18i2.745</w:t>
        </w:r>
      </w:hyperlink>
      <w:r>
        <w:rPr>
          <w:highlight w:val="white"/>
        </w:rPr>
        <w:t xml:space="preserve"> </w:t>
      </w:r>
    </w:p>
    <w:p w14:paraId="4B01D474" w14:textId="732B1714" w:rsidR="00334D48" w:rsidRPr="00334D48" w:rsidRDefault="00334D48" w:rsidP="00334D48">
      <w:pPr>
        <w:pStyle w:val="Referencias"/>
        <w:spacing w:line="360" w:lineRule="auto"/>
        <w:rPr>
          <w:highlight w:val="white"/>
        </w:rPr>
      </w:pPr>
      <w:r w:rsidRPr="00334D48">
        <w:rPr>
          <w:highlight w:val="white"/>
        </w:rPr>
        <w:t xml:space="preserve">Gino, F., Schweitzer, M. E., Mead, N. L., &amp; </w:t>
      </w:r>
      <w:proofErr w:type="spellStart"/>
      <w:r w:rsidRPr="00334D48">
        <w:rPr>
          <w:highlight w:val="white"/>
        </w:rPr>
        <w:t>Ariely</w:t>
      </w:r>
      <w:proofErr w:type="spellEnd"/>
      <w:r w:rsidRPr="00334D48">
        <w:rPr>
          <w:highlight w:val="white"/>
        </w:rPr>
        <w:t xml:space="preserve">, D. (2011). Unable to resist temptation: How self-control depletion promotes unethical behavior. </w:t>
      </w:r>
      <w:r w:rsidRPr="00334D48">
        <w:rPr>
          <w:i/>
          <w:iCs/>
          <w:highlight w:val="white"/>
        </w:rPr>
        <w:t>Organizational Behavior and Human Decision Processes</w:t>
      </w:r>
      <w:r w:rsidRPr="00334D48">
        <w:rPr>
          <w:highlight w:val="white"/>
        </w:rPr>
        <w:t xml:space="preserve">, </w:t>
      </w:r>
      <w:r w:rsidRPr="00334D48">
        <w:rPr>
          <w:i/>
          <w:iCs/>
          <w:highlight w:val="white"/>
        </w:rPr>
        <w:t>115</w:t>
      </w:r>
      <w:r>
        <w:rPr>
          <w:highlight w:val="white"/>
        </w:rPr>
        <w:t>(2), 191-</w:t>
      </w:r>
      <w:r w:rsidRPr="00334D48">
        <w:rPr>
          <w:highlight w:val="white"/>
        </w:rPr>
        <w:t xml:space="preserve">203. </w:t>
      </w:r>
      <w:hyperlink r:id="rId29" w:history="1">
        <w:r w:rsidRPr="003D1D8F">
          <w:rPr>
            <w:rStyle w:val="Hipervnculo"/>
            <w:highlight w:val="white"/>
          </w:rPr>
          <w:t>https://doi.org/10.1016/j.obhdp.2011.03.001</w:t>
        </w:r>
      </w:hyperlink>
      <w:r>
        <w:rPr>
          <w:highlight w:val="white"/>
        </w:rPr>
        <w:t xml:space="preserve"> </w:t>
      </w:r>
    </w:p>
    <w:p w14:paraId="204037AA" w14:textId="67F94D65" w:rsidR="00334D48" w:rsidRPr="00334D48" w:rsidRDefault="00334D48" w:rsidP="00334D48">
      <w:pPr>
        <w:pStyle w:val="Referencias"/>
        <w:spacing w:line="360" w:lineRule="auto"/>
        <w:rPr>
          <w:highlight w:val="white"/>
        </w:rPr>
      </w:pPr>
      <w:r w:rsidRPr="00334D48">
        <w:rPr>
          <w:highlight w:val="white"/>
        </w:rPr>
        <w:t xml:space="preserve">Graham, J., Haidt, J., </w:t>
      </w:r>
      <w:proofErr w:type="spellStart"/>
      <w:r w:rsidRPr="00334D48">
        <w:rPr>
          <w:highlight w:val="white"/>
        </w:rPr>
        <w:t>Koleva</w:t>
      </w:r>
      <w:proofErr w:type="spellEnd"/>
      <w:r w:rsidRPr="00334D48">
        <w:rPr>
          <w:highlight w:val="white"/>
        </w:rPr>
        <w:t xml:space="preserve">, S., </w:t>
      </w:r>
      <w:proofErr w:type="spellStart"/>
      <w:r w:rsidRPr="00334D48">
        <w:rPr>
          <w:highlight w:val="white"/>
        </w:rPr>
        <w:t>Motyl</w:t>
      </w:r>
      <w:proofErr w:type="spellEnd"/>
      <w:r w:rsidRPr="00334D48">
        <w:rPr>
          <w:highlight w:val="white"/>
        </w:rPr>
        <w:t xml:space="preserve">, M., Iyer, R., Wojcik, S. P., &amp; Ditto, P. H. (2013). Moral foundations theory: The pragmatic validity of moral pluralism. In </w:t>
      </w:r>
      <w:r w:rsidRPr="00334D48">
        <w:rPr>
          <w:i/>
          <w:iCs/>
          <w:highlight w:val="white"/>
        </w:rPr>
        <w:t xml:space="preserve">Advances </w:t>
      </w:r>
      <w:r w:rsidRPr="00334D48">
        <w:rPr>
          <w:i/>
          <w:iCs/>
          <w:highlight w:val="white"/>
        </w:rPr>
        <w:lastRenderedPageBreak/>
        <w:t>in experimental social psychology</w:t>
      </w:r>
      <w:r>
        <w:rPr>
          <w:highlight w:val="white"/>
        </w:rPr>
        <w:t xml:space="preserve"> (Vol. 47, pp. 55-</w:t>
      </w:r>
      <w:r w:rsidRPr="00334D48">
        <w:rPr>
          <w:highlight w:val="white"/>
        </w:rPr>
        <w:t xml:space="preserve">130). Elsevier. </w:t>
      </w:r>
      <w:hyperlink r:id="rId30" w:history="1">
        <w:r w:rsidRPr="003D1D8F">
          <w:rPr>
            <w:rStyle w:val="Hipervnculo"/>
            <w:highlight w:val="white"/>
          </w:rPr>
          <w:t>https://www.sciencedirect.com/science/article/pii/B9780124072367000024</w:t>
        </w:r>
      </w:hyperlink>
      <w:r>
        <w:rPr>
          <w:highlight w:val="white"/>
        </w:rPr>
        <w:t xml:space="preserve"> </w:t>
      </w:r>
    </w:p>
    <w:p w14:paraId="5AA44036" w14:textId="4FA2B87B" w:rsidR="00334D48" w:rsidRPr="00334D48" w:rsidRDefault="00334D48" w:rsidP="00334D48">
      <w:pPr>
        <w:pStyle w:val="Referencias"/>
        <w:spacing w:line="360" w:lineRule="auto"/>
        <w:rPr>
          <w:highlight w:val="white"/>
        </w:rPr>
      </w:pPr>
      <w:r w:rsidRPr="00334D48">
        <w:rPr>
          <w:highlight w:val="white"/>
        </w:rPr>
        <w:t xml:space="preserve">Graham, J., </w:t>
      </w:r>
      <w:proofErr w:type="spellStart"/>
      <w:r w:rsidRPr="00334D48">
        <w:rPr>
          <w:highlight w:val="white"/>
        </w:rPr>
        <w:t>Nosek</w:t>
      </w:r>
      <w:proofErr w:type="spellEnd"/>
      <w:r w:rsidRPr="00334D48">
        <w:rPr>
          <w:highlight w:val="white"/>
        </w:rPr>
        <w:t xml:space="preserve">, B. A., Haidt, J., Iyer, R., </w:t>
      </w:r>
      <w:proofErr w:type="spellStart"/>
      <w:r w:rsidRPr="00334D48">
        <w:rPr>
          <w:highlight w:val="white"/>
        </w:rPr>
        <w:t>Koleva</w:t>
      </w:r>
      <w:proofErr w:type="spellEnd"/>
      <w:r w:rsidRPr="00334D48">
        <w:rPr>
          <w:highlight w:val="white"/>
        </w:rPr>
        <w:t xml:space="preserve">, S., &amp; Ditto, P. H. (2011). Mapping the moral domain. </w:t>
      </w:r>
      <w:r w:rsidRPr="00334D48">
        <w:rPr>
          <w:i/>
          <w:iCs/>
          <w:highlight w:val="white"/>
        </w:rPr>
        <w:t>Journal of Personality and Social Psychology</w:t>
      </w:r>
      <w:r w:rsidRPr="00334D48">
        <w:rPr>
          <w:highlight w:val="white"/>
        </w:rPr>
        <w:t xml:space="preserve">, </w:t>
      </w:r>
      <w:r w:rsidRPr="00334D48">
        <w:rPr>
          <w:i/>
          <w:iCs/>
          <w:highlight w:val="white"/>
        </w:rPr>
        <w:t>101</w:t>
      </w:r>
      <w:r>
        <w:rPr>
          <w:highlight w:val="white"/>
        </w:rPr>
        <w:t>(2), 366-</w:t>
      </w:r>
      <w:r w:rsidRPr="00334D48">
        <w:rPr>
          <w:highlight w:val="white"/>
        </w:rPr>
        <w:t xml:space="preserve">385. </w:t>
      </w:r>
      <w:hyperlink r:id="rId31" w:history="1">
        <w:r w:rsidRPr="003D1D8F">
          <w:rPr>
            <w:rStyle w:val="Hipervnculo"/>
            <w:highlight w:val="white"/>
          </w:rPr>
          <w:t>https://doi.org/10.1037/a0021847</w:t>
        </w:r>
      </w:hyperlink>
      <w:r>
        <w:rPr>
          <w:highlight w:val="white"/>
        </w:rPr>
        <w:t xml:space="preserve"> </w:t>
      </w:r>
    </w:p>
    <w:p w14:paraId="6A402E15" w14:textId="5BC8E124" w:rsidR="00334D48" w:rsidRPr="00334D48" w:rsidRDefault="00334D48" w:rsidP="00334D48">
      <w:pPr>
        <w:pStyle w:val="Referencias"/>
        <w:spacing w:line="360" w:lineRule="auto"/>
        <w:rPr>
          <w:highlight w:val="white"/>
        </w:rPr>
      </w:pPr>
      <w:r w:rsidRPr="00334D48">
        <w:rPr>
          <w:highlight w:val="white"/>
        </w:rPr>
        <w:t xml:space="preserve">Haidt, J. (2013). Moral psychology for the twenty-first century. </w:t>
      </w:r>
      <w:r w:rsidRPr="00334D48">
        <w:rPr>
          <w:i/>
          <w:iCs/>
          <w:highlight w:val="white"/>
        </w:rPr>
        <w:t>Journal of Moral Education</w:t>
      </w:r>
      <w:r w:rsidRPr="00334D48">
        <w:rPr>
          <w:highlight w:val="white"/>
        </w:rPr>
        <w:t xml:space="preserve">, </w:t>
      </w:r>
      <w:r w:rsidRPr="00334D48">
        <w:rPr>
          <w:i/>
          <w:iCs/>
          <w:highlight w:val="white"/>
        </w:rPr>
        <w:t>42</w:t>
      </w:r>
      <w:r>
        <w:rPr>
          <w:highlight w:val="white"/>
        </w:rPr>
        <w:t>(3), 281-</w:t>
      </w:r>
      <w:r w:rsidRPr="00334D48">
        <w:rPr>
          <w:highlight w:val="white"/>
        </w:rPr>
        <w:t xml:space="preserve">297. </w:t>
      </w:r>
      <w:hyperlink r:id="rId32" w:history="1">
        <w:r w:rsidRPr="003D1D8F">
          <w:rPr>
            <w:rStyle w:val="Hipervnculo"/>
            <w:highlight w:val="white"/>
          </w:rPr>
          <w:t>https://doi.org/10.1080/03057240.2013.817327</w:t>
        </w:r>
      </w:hyperlink>
      <w:r>
        <w:rPr>
          <w:highlight w:val="white"/>
        </w:rPr>
        <w:t xml:space="preserve"> </w:t>
      </w:r>
    </w:p>
    <w:p w14:paraId="3B34CCFF" w14:textId="4729A1C6" w:rsidR="00334D48" w:rsidRPr="00334D48" w:rsidRDefault="00334D48" w:rsidP="00334D48">
      <w:pPr>
        <w:pStyle w:val="Referencias"/>
        <w:spacing w:line="360" w:lineRule="auto"/>
        <w:rPr>
          <w:highlight w:val="white"/>
        </w:rPr>
      </w:pPr>
      <w:r w:rsidRPr="00334D48">
        <w:rPr>
          <w:highlight w:val="white"/>
        </w:rPr>
        <w:t xml:space="preserve">Haidt, J., &amp; Graham, J. (2007). When Morality Opposes Justice: Conservatives Have Moral Intuitions that Liberals may not Recognize. </w:t>
      </w:r>
      <w:r w:rsidRPr="00334D48">
        <w:rPr>
          <w:i/>
          <w:iCs/>
          <w:highlight w:val="white"/>
        </w:rPr>
        <w:t>Social Justice Research</w:t>
      </w:r>
      <w:r w:rsidRPr="00334D48">
        <w:rPr>
          <w:highlight w:val="white"/>
        </w:rPr>
        <w:t xml:space="preserve">, </w:t>
      </w:r>
      <w:r w:rsidRPr="00334D48">
        <w:rPr>
          <w:i/>
          <w:iCs/>
          <w:highlight w:val="white"/>
        </w:rPr>
        <w:t>20</w:t>
      </w:r>
      <w:r>
        <w:rPr>
          <w:highlight w:val="white"/>
        </w:rPr>
        <w:t>(1), 98-</w:t>
      </w:r>
      <w:r w:rsidRPr="00334D48">
        <w:rPr>
          <w:highlight w:val="white"/>
        </w:rPr>
        <w:t xml:space="preserve">116. </w:t>
      </w:r>
      <w:hyperlink r:id="rId33" w:history="1">
        <w:r w:rsidRPr="003D1D8F">
          <w:rPr>
            <w:rStyle w:val="Hipervnculo"/>
            <w:highlight w:val="white"/>
          </w:rPr>
          <w:t>https://doi.org/10.1007/s11211-007-0034-z</w:t>
        </w:r>
      </w:hyperlink>
      <w:r>
        <w:rPr>
          <w:highlight w:val="white"/>
        </w:rPr>
        <w:t xml:space="preserve"> </w:t>
      </w:r>
    </w:p>
    <w:p w14:paraId="73A925A8" w14:textId="04A51DF1" w:rsidR="00334D48" w:rsidRPr="00334D48" w:rsidRDefault="00334D48" w:rsidP="00334D48">
      <w:pPr>
        <w:pStyle w:val="Referencias"/>
        <w:spacing w:line="360" w:lineRule="auto"/>
        <w:rPr>
          <w:highlight w:val="white"/>
        </w:rPr>
      </w:pPr>
      <w:r w:rsidRPr="00334D48">
        <w:rPr>
          <w:highlight w:val="white"/>
        </w:rPr>
        <w:t xml:space="preserve">Haidt, J., &amp; Joseph, C. (2004). Intuitive ethics: How innately prepared intuitions generate culturally variable virtues. </w:t>
      </w:r>
      <w:r w:rsidRPr="00334D48">
        <w:rPr>
          <w:i/>
          <w:iCs/>
          <w:highlight w:val="white"/>
        </w:rPr>
        <w:t>Daedalus</w:t>
      </w:r>
      <w:r w:rsidRPr="00334D48">
        <w:rPr>
          <w:highlight w:val="white"/>
        </w:rPr>
        <w:t xml:space="preserve">, </w:t>
      </w:r>
      <w:r w:rsidRPr="00334D48">
        <w:rPr>
          <w:i/>
          <w:iCs/>
          <w:highlight w:val="white"/>
        </w:rPr>
        <w:t>133</w:t>
      </w:r>
      <w:r>
        <w:rPr>
          <w:highlight w:val="white"/>
        </w:rPr>
        <w:t>(4), 55-</w:t>
      </w:r>
      <w:r w:rsidRPr="00334D48">
        <w:rPr>
          <w:highlight w:val="white"/>
        </w:rPr>
        <w:t xml:space="preserve">66. </w:t>
      </w:r>
      <w:hyperlink r:id="rId34" w:history="1">
        <w:r w:rsidRPr="003D1D8F">
          <w:rPr>
            <w:rStyle w:val="Hipervnculo"/>
            <w:highlight w:val="white"/>
          </w:rPr>
          <w:t>https://doi.org/10.1162/0011526042365555</w:t>
        </w:r>
      </w:hyperlink>
      <w:r>
        <w:rPr>
          <w:highlight w:val="white"/>
        </w:rPr>
        <w:t xml:space="preserve"> </w:t>
      </w:r>
    </w:p>
    <w:p w14:paraId="3B1681C3" w14:textId="0AC9127C" w:rsidR="00334D48" w:rsidRPr="00334D48" w:rsidRDefault="00334D48" w:rsidP="00334D48">
      <w:pPr>
        <w:pStyle w:val="Referencias"/>
        <w:spacing w:line="360" w:lineRule="auto"/>
        <w:rPr>
          <w:highlight w:val="white"/>
        </w:rPr>
      </w:pPr>
      <w:r w:rsidRPr="00334D48">
        <w:rPr>
          <w:highlight w:val="white"/>
        </w:rPr>
        <w:t xml:space="preserve">Hardee, J. E., Phaneuf, C., Cope, L., Zucker, R., </w:t>
      </w:r>
      <w:proofErr w:type="spellStart"/>
      <w:r w:rsidRPr="00334D48">
        <w:rPr>
          <w:highlight w:val="white"/>
        </w:rPr>
        <w:t>Gearhardt</w:t>
      </w:r>
      <w:proofErr w:type="spellEnd"/>
      <w:r w:rsidRPr="00334D48">
        <w:rPr>
          <w:highlight w:val="white"/>
        </w:rPr>
        <w:t xml:space="preserve">, A., &amp; Heitzeg, M. (2020). Neural correlates of inhibitory control in youth with symptoms of food addiction. </w:t>
      </w:r>
      <w:r w:rsidRPr="00334D48">
        <w:rPr>
          <w:i/>
          <w:iCs/>
          <w:highlight w:val="white"/>
        </w:rPr>
        <w:t>Appetite</w:t>
      </w:r>
      <w:r w:rsidRPr="00334D48">
        <w:rPr>
          <w:highlight w:val="white"/>
        </w:rPr>
        <w:t xml:space="preserve">, </w:t>
      </w:r>
      <w:r w:rsidRPr="00334D48">
        <w:rPr>
          <w:i/>
          <w:iCs/>
          <w:highlight w:val="white"/>
        </w:rPr>
        <w:t>148</w:t>
      </w:r>
      <w:r w:rsidRPr="00334D48">
        <w:rPr>
          <w:highlight w:val="white"/>
        </w:rPr>
        <w:t xml:space="preserve">, 104578. </w:t>
      </w:r>
      <w:hyperlink r:id="rId35" w:history="1">
        <w:r w:rsidRPr="003D1D8F">
          <w:rPr>
            <w:rStyle w:val="Hipervnculo"/>
            <w:highlight w:val="white"/>
          </w:rPr>
          <w:t>https://doi.org/10.1016/j.appet.2019.104578</w:t>
        </w:r>
      </w:hyperlink>
      <w:r>
        <w:rPr>
          <w:highlight w:val="white"/>
        </w:rPr>
        <w:t xml:space="preserve"> </w:t>
      </w:r>
    </w:p>
    <w:p w14:paraId="697CE6AF" w14:textId="7B028475" w:rsidR="00334D48" w:rsidRPr="00334D48" w:rsidRDefault="00334D48" w:rsidP="00334D48">
      <w:pPr>
        <w:pStyle w:val="Referencias"/>
        <w:spacing w:line="360" w:lineRule="auto"/>
        <w:rPr>
          <w:highlight w:val="white"/>
        </w:rPr>
      </w:pPr>
      <w:r w:rsidRPr="00334D48">
        <w:rPr>
          <w:highlight w:val="white"/>
        </w:rPr>
        <w:t xml:space="preserve">Hofmann, W. (2024). Going beyond the individual level in self-control research. </w:t>
      </w:r>
      <w:r w:rsidRPr="00334D48">
        <w:rPr>
          <w:i/>
          <w:iCs/>
          <w:highlight w:val="white"/>
        </w:rPr>
        <w:t>Nature Reviews Psychology</w:t>
      </w:r>
      <w:r w:rsidRPr="00334D48">
        <w:rPr>
          <w:highlight w:val="white"/>
        </w:rPr>
        <w:t xml:space="preserve">, </w:t>
      </w:r>
      <w:r w:rsidRPr="00334D48">
        <w:rPr>
          <w:i/>
          <w:iCs/>
          <w:highlight w:val="white"/>
        </w:rPr>
        <w:t>3</w:t>
      </w:r>
      <w:r>
        <w:rPr>
          <w:highlight w:val="white"/>
        </w:rPr>
        <w:t>(1), 56-</w:t>
      </w:r>
      <w:r w:rsidRPr="00334D48">
        <w:rPr>
          <w:highlight w:val="white"/>
        </w:rPr>
        <w:t xml:space="preserve">66. </w:t>
      </w:r>
      <w:hyperlink r:id="rId36" w:history="1">
        <w:r w:rsidRPr="003D1D8F">
          <w:rPr>
            <w:rStyle w:val="Hipervnculo"/>
            <w:highlight w:val="white"/>
          </w:rPr>
          <w:t>https://doi.org/10.1038/s44159-023-00256-y</w:t>
        </w:r>
      </w:hyperlink>
      <w:r>
        <w:rPr>
          <w:highlight w:val="white"/>
        </w:rPr>
        <w:t xml:space="preserve"> </w:t>
      </w:r>
    </w:p>
    <w:p w14:paraId="77AAC766" w14:textId="66B8FC60" w:rsidR="00334D48" w:rsidRPr="00334D48" w:rsidRDefault="00334D48" w:rsidP="00334D48">
      <w:pPr>
        <w:pStyle w:val="Referencias"/>
        <w:spacing w:line="360" w:lineRule="auto"/>
        <w:rPr>
          <w:highlight w:val="white"/>
          <w:lang w:val="es-ES"/>
        </w:rPr>
      </w:pPr>
      <w:r w:rsidRPr="00334D48">
        <w:rPr>
          <w:highlight w:val="white"/>
        </w:rPr>
        <w:t xml:space="preserve">Hofmann, W., Meindl, P., </w:t>
      </w:r>
      <w:proofErr w:type="spellStart"/>
      <w:r w:rsidRPr="00334D48">
        <w:rPr>
          <w:highlight w:val="white"/>
        </w:rPr>
        <w:t>Mooijman</w:t>
      </w:r>
      <w:proofErr w:type="spellEnd"/>
      <w:r w:rsidRPr="00334D48">
        <w:rPr>
          <w:highlight w:val="white"/>
        </w:rPr>
        <w:t xml:space="preserve">, M., &amp; Graham, J. (2018). Morality and Self-Control: How They Are Intertwined and Where They Differ. </w:t>
      </w:r>
      <w:proofErr w:type="spellStart"/>
      <w:r w:rsidRPr="00334D48">
        <w:rPr>
          <w:i/>
          <w:iCs/>
          <w:highlight w:val="white"/>
          <w:lang w:val="es-ES"/>
        </w:rPr>
        <w:t>Current</w:t>
      </w:r>
      <w:proofErr w:type="spellEnd"/>
      <w:r w:rsidRPr="00334D48">
        <w:rPr>
          <w:i/>
          <w:iCs/>
          <w:highlight w:val="white"/>
          <w:lang w:val="es-ES"/>
        </w:rPr>
        <w:t xml:space="preserve"> </w:t>
      </w:r>
      <w:proofErr w:type="spellStart"/>
      <w:r w:rsidRPr="00334D48">
        <w:rPr>
          <w:i/>
          <w:iCs/>
          <w:highlight w:val="white"/>
          <w:lang w:val="es-ES"/>
        </w:rPr>
        <w:t>Directions</w:t>
      </w:r>
      <w:proofErr w:type="spellEnd"/>
      <w:r w:rsidRPr="00334D48">
        <w:rPr>
          <w:i/>
          <w:iCs/>
          <w:highlight w:val="white"/>
          <w:lang w:val="es-ES"/>
        </w:rPr>
        <w:t xml:space="preserve"> in </w:t>
      </w:r>
      <w:proofErr w:type="spellStart"/>
      <w:r w:rsidRPr="00334D48">
        <w:rPr>
          <w:i/>
          <w:iCs/>
          <w:highlight w:val="white"/>
          <w:lang w:val="es-ES"/>
        </w:rPr>
        <w:t>Psychological</w:t>
      </w:r>
      <w:proofErr w:type="spellEnd"/>
      <w:r w:rsidRPr="00334D48">
        <w:rPr>
          <w:i/>
          <w:iCs/>
          <w:highlight w:val="white"/>
          <w:lang w:val="es-ES"/>
        </w:rPr>
        <w:t xml:space="preserve"> </w:t>
      </w:r>
      <w:proofErr w:type="spellStart"/>
      <w:r w:rsidRPr="00334D48">
        <w:rPr>
          <w:i/>
          <w:iCs/>
          <w:highlight w:val="white"/>
          <w:lang w:val="es-ES"/>
        </w:rPr>
        <w:t>Science</w:t>
      </w:r>
      <w:proofErr w:type="spellEnd"/>
      <w:r w:rsidRPr="00334D48">
        <w:rPr>
          <w:highlight w:val="white"/>
          <w:lang w:val="es-ES"/>
        </w:rPr>
        <w:t xml:space="preserve">, </w:t>
      </w:r>
      <w:r w:rsidRPr="00334D48">
        <w:rPr>
          <w:i/>
          <w:iCs/>
          <w:highlight w:val="white"/>
          <w:lang w:val="es-ES"/>
        </w:rPr>
        <w:t>27</w:t>
      </w:r>
      <w:r>
        <w:rPr>
          <w:highlight w:val="white"/>
          <w:lang w:val="es-ES"/>
        </w:rPr>
        <w:t>(4), 286-</w:t>
      </w:r>
      <w:r w:rsidRPr="00334D48">
        <w:rPr>
          <w:highlight w:val="white"/>
          <w:lang w:val="es-ES"/>
        </w:rPr>
        <w:t xml:space="preserve">291. </w:t>
      </w:r>
      <w:r w:rsidR="00000000">
        <w:fldChar w:fldCharType="begin"/>
      </w:r>
      <w:r w:rsidR="00000000" w:rsidRPr="00BF171A">
        <w:rPr>
          <w:lang w:val="es-AR"/>
        </w:rPr>
        <w:instrText>HYPERLINK "https://doi.org/10.1177/0963721418759317"</w:instrText>
      </w:r>
      <w:r w:rsidR="00000000">
        <w:fldChar w:fldCharType="separate"/>
      </w:r>
      <w:r w:rsidRPr="003D1D8F">
        <w:rPr>
          <w:rStyle w:val="Hipervnculo"/>
          <w:highlight w:val="white"/>
          <w:lang w:val="es-ES"/>
        </w:rPr>
        <w:t>https://doi.org/10.1177/0963721418759317</w:t>
      </w:r>
      <w:r w:rsidR="00000000">
        <w:rPr>
          <w:rStyle w:val="Hipervnculo"/>
          <w:highlight w:val="white"/>
          <w:lang w:val="es-ES"/>
        </w:rPr>
        <w:fldChar w:fldCharType="end"/>
      </w:r>
      <w:r>
        <w:rPr>
          <w:highlight w:val="white"/>
          <w:lang w:val="es-ES"/>
        </w:rPr>
        <w:t xml:space="preserve"> </w:t>
      </w:r>
    </w:p>
    <w:p w14:paraId="6DB08F9C" w14:textId="0014B384" w:rsidR="00334D48" w:rsidRPr="00334D48" w:rsidRDefault="00334D48" w:rsidP="00334D48">
      <w:pPr>
        <w:pStyle w:val="Referencias"/>
        <w:spacing w:line="360" w:lineRule="auto"/>
        <w:rPr>
          <w:highlight w:val="white"/>
        </w:rPr>
      </w:pPr>
      <w:r w:rsidRPr="00334D48">
        <w:rPr>
          <w:highlight w:val="white"/>
          <w:lang w:val="es-ES"/>
        </w:rPr>
        <w:t xml:space="preserve">Instituto Nacional de </w:t>
      </w:r>
      <w:proofErr w:type="spellStart"/>
      <w:r w:rsidRPr="00334D48">
        <w:rPr>
          <w:highlight w:val="white"/>
          <w:lang w:val="es-ES"/>
        </w:rPr>
        <w:t>Estadisticas</w:t>
      </w:r>
      <w:proofErr w:type="spellEnd"/>
      <w:r w:rsidRPr="00334D48">
        <w:rPr>
          <w:highlight w:val="white"/>
          <w:lang w:val="es-ES"/>
        </w:rPr>
        <w:t>. (</w:t>
      </w:r>
      <w:proofErr w:type="spellStart"/>
      <w:r w:rsidRPr="00334D48">
        <w:rPr>
          <w:highlight w:val="white"/>
          <w:lang w:val="es-ES"/>
        </w:rPr>
        <w:t>n.d</w:t>
      </w:r>
      <w:proofErr w:type="spellEnd"/>
      <w:r w:rsidRPr="00334D48">
        <w:rPr>
          <w:highlight w:val="white"/>
          <w:lang w:val="es-ES"/>
        </w:rPr>
        <w:t xml:space="preserve">.). Proyecciones de Población, Revisión 2020. </w:t>
      </w:r>
      <w:r w:rsidRPr="00334D48">
        <w:rPr>
          <w:i/>
          <w:iCs/>
          <w:highlight w:val="white"/>
        </w:rPr>
        <w:t>INE</w:t>
      </w:r>
      <w:r w:rsidRPr="00334D48">
        <w:rPr>
          <w:highlight w:val="white"/>
        </w:rPr>
        <w:t xml:space="preserve">. Retrieved July 30, 2024, from </w:t>
      </w:r>
      <w:hyperlink r:id="rId37" w:history="1">
        <w:r w:rsidRPr="003D1D8F">
          <w:rPr>
            <w:rStyle w:val="Hipervnculo"/>
            <w:highlight w:val="white"/>
          </w:rPr>
          <w:t>https://www.ine.gob.bo/index.php/censos-y-proyecciones-de-poblacion-sociales/</w:t>
        </w:r>
      </w:hyperlink>
      <w:r>
        <w:rPr>
          <w:highlight w:val="white"/>
        </w:rPr>
        <w:t xml:space="preserve"> </w:t>
      </w:r>
    </w:p>
    <w:p w14:paraId="298241BE" w14:textId="23A29626" w:rsidR="00334D48" w:rsidRPr="00334D48" w:rsidRDefault="00334D48" w:rsidP="00334D48">
      <w:pPr>
        <w:pStyle w:val="Referencias"/>
        <w:spacing w:line="360" w:lineRule="auto"/>
        <w:rPr>
          <w:highlight w:val="white"/>
        </w:rPr>
      </w:pPr>
      <w:r w:rsidRPr="00334D48">
        <w:rPr>
          <w:highlight w:val="white"/>
        </w:rPr>
        <w:t xml:space="preserve">Inzlicht, M., &amp; Berkman, E. (2015). Six Questions for the Resource Model of Control (and Some Answers). </w:t>
      </w:r>
      <w:r w:rsidRPr="00334D48">
        <w:rPr>
          <w:i/>
          <w:iCs/>
          <w:highlight w:val="white"/>
        </w:rPr>
        <w:t>Social and Personality Psychology Compass</w:t>
      </w:r>
      <w:r w:rsidRPr="00334D48">
        <w:rPr>
          <w:highlight w:val="white"/>
        </w:rPr>
        <w:t xml:space="preserve">, </w:t>
      </w:r>
      <w:r w:rsidRPr="00334D48">
        <w:rPr>
          <w:i/>
          <w:iCs/>
          <w:highlight w:val="white"/>
        </w:rPr>
        <w:t>9</w:t>
      </w:r>
      <w:r>
        <w:rPr>
          <w:highlight w:val="white"/>
        </w:rPr>
        <w:t>(10), 511-</w:t>
      </w:r>
      <w:r w:rsidRPr="00334D48">
        <w:rPr>
          <w:highlight w:val="white"/>
        </w:rPr>
        <w:t xml:space="preserve">524. </w:t>
      </w:r>
      <w:hyperlink r:id="rId38" w:history="1">
        <w:r w:rsidRPr="003D1D8F">
          <w:rPr>
            <w:rStyle w:val="Hipervnculo"/>
            <w:highlight w:val="white"/>
          </w:rPr>
          <w:t>https://doi.org/10.1111/spc3.12200</w:t>
        </w:r>
      </w:hyperlink>
      <w:r>
        <w:rPr>
          <w:highlight w:val="white"/>
        </w:rPr>
        <w:t xml:space="preserve"> </w:t>
      </w:r>
    </w:p>
    <w:p w14:paraId="0520E96C" w14:textId="525DA8EF" w:rsidR="00334D48" w:rsidRPr="00334D48" w:rsidRDefault="00334D48" w:rsidP="00334D48">
      <w:pPr>
        <w:pStyle w:val="Referencias"/>
        <w:spacing w:line="360" w:lineRule="auto"/>
        <w:rPr>
          <w:highlight w:val="white"/>
        </w:rPr>
      </w:pPr>
      <w:r w:rsidRPr="00334D48">
        <w:rPr>
          <w:highlight w:val="white"/>
        </w:rPr>
        <w:t xml:space="preserve">Joosten, A., </w:t>
      </w:r>
      <w:proofErr w:type="spellStart"/>
      <w:r w:rsidRPr="00334D48">
        <w:rPr>
          <w:highlight w:val="white"/>
        </w:rPr>
        <w:t>Dijke</w:t>
      </w:r>
      <w:proofErr w:type="spellEnd"/>
      <w:r w:rsidRPr="00334D48">
        <w:rPr>
          <w:highlight w:val="white"/>
        </w:rPr>
        <w:t xml:space="preserve">, M. van, </w:t>
      </w:r>
      <w:proofErr w:type="spellStart"/>
      <w:r w:rsidRPr="00334D48">
        <w:rPr>
          <w:highlight w:val="white"/>
        </w:rPr>
        <w:t>Hiel</w:t>
      </w:r>
      <w:proofErr w:type="spellEnd"/>
      <w:r w:rsidRPr="00334D48">
        <w:rPr>
          <w:highlight w:val="white"/>
        </w:rPr>
        <w:t xml:space="preserve">, A. V., &amp; Cremer, D. D. (2015). Out of Control!? How Loss of Self-Control Influences Prosocial Behavior: The Role of Power and Moral Values. </w:t>
      </w:r>
      <w:r w:rsidRPr="00334D48">
        <w:rPr>
          <w:i/>
          <w:iCs/>
          <w:highlight w:val="white"/>
        </w:rPr>
        <w:t>PLOS ONE</w:t>
      </w:r>
      <w:r w:rsidRPr="00334D48">
        <w:rPr>
          <w:highlight w:val="white"/>
        </w:rPr>
        <w:t xml:space="preserve">, </w:t>
      </w:r>
      <w:r w:rsidRPr="00334D48">
        <w:rPr>
          <w:i/>
          <w:iCs/>
          <w:highlight w:val="white"/>
        </w:rPr>
        <w:t>10</w:t>
      </w:r>
      <w:r w:rsidRPr="00334D48">
        <w:rPr>
          <w:highlight w:val="white"/>
        </w:rPr>
        <w:t xml:space="preserve">(5), e0126377. </w:t>
      </w:r>
      <w:hyperlink r:id="rId39" w:history="1">
        <w:r w:rsidRPr="003D1D8F">
          <w:rPr>
            <w:rStyle w:val="Hipervnculo"/>
            <w:highlight w:val="white"/>
          </w:rPr>
          <w:t>https://doi.org/10.1371/journal.pone.0126377</w:t>
        </w:r>
      </w:hyperlink>
      <w:r>
        <w:rPr>
          <w:highlight w:val="white"/>
        </w:rPr>
        <w:t xml:space="preserve"> </w:t>
      </w:r>
    </w:p>
    <w:p w14:paraId="5AA78E14" w14:textId="599D80AC" w:rsidR="00334D48" w:rsidRPr="00334D48" w:rsidRDefault="00334D48" w:rsidP="00334D48">
      <w:pPr>
        <w:pStyle w:val="Referencias"/>
        <w:spacing w:line="360" w:lineRule="auto"/>
        <w:rPr>
          <w:highlight w:val="white"/>
        </w:rPr>
      </w:pPr>
      <w:r w:rsidRPr="00334D48">
        <w:rPr>
          <w:highlight w:val="white"/>
        </w:rPr>
        <w:t xml:space="preserve">Kim, Y., Richards, J. S., &amp; </w:t>
      </w:r>
      <w:proofErr w:type="spellStart"/>
      <w:r w:rsidRPr="00334D48">
        <w:rPr>
          <w:highlight w:val="white"/>
        </w:rPr>
        <w:t>Oldehinkel</w:t>
      </w:r>
      <w:proofErr w:type="spellEnd"/>
      <w:r w:rsidRPr="00334D48">
        <w:rPr>
          <w:highlight w:val="white"/>
        </w:rPr>
        <w:t xml:space="preserve">, A. J. (2022). Self-control, Mental Health Problems, and Family Functioning in Adolescence and Young Adulthood: </w:t>
      </w:r>
      <w:r w:rsidRPr="00334D48">
        <w:rPr>
          <w:highlight w:val="white"/>
        </w:rPr>
        <w:lastRenderedPageBreak/>
        <w:t xml:space="preserve">Between-person Differences and Within-person Effects. </w:t>
      </w:r>
      <w:r w:rsidRPr="00334D48">
        <w:rPr>
          <w:i/>
          <w:iCs/>
          <w:highlight w:val="white"/>
        </w:rPr>
        <w:t>Journal of Youth and Adolescence</w:t>
      </w:r>
      <w:r w:rsidRPr="00334D48">
        <w:rPr>
          <w:highlight w:val="white"/>
        </w:rPr>
        <w:t xml:space="preserve">, </w:t>
      </w:r>
      <w:r w:rsidRPr="00334D48">
        <w:rPr>
          <w:i/>
          <w:iCs/>
          <w:highlight w:val="white"/>
        </w:rPr>
        <w:t>51</w:t>
      </w:r>
      <w:r>
        <w:rPr>
          <w:highlight w:val="white"/>
        </w:rPr>
        <w:t>(6), 1181-</w:t>
      </w:r>
      <w:r w:rsidRPr="00334D48">
        <w:rPr>
          <w:highlight w:val="white"/>
        </w:rPr>
        <w:t xml:space="preserve">1195. </w:t>
      </w:r>
      <w:hyperlink r:id="rId40" w:history="1">
        <w:r w:rsidRPr="003D1D8F">
          <w:rPr>
            <w:rStyle w:val="Hipervnculo"/>
            <w:highlight w:val="white"/>
          </w:rPr>
          <w:t>https://doi.org/10.1007/s10964-021-01564-3</w:t>
        </w:r>
      </w:hyperlink>
      <w:r>
        <w:rPr>
          <w:highlight w:val="white"/>
        </w:rPr>
        <w:t xml:space="preserve"> </w:t>
      </w:r>
    </w:p>
    <w:p w14:paraId="690277CB" w14:textId="6A5BF575" w:rsidR="00334D48" w:rsidRPr="00334D48" w:rsidRDefault="00334D48" w:rsidP="00334D48">
      <w:pPr>
        <w:pStyle w:val="Referencias"/>
        <w:spacing w:line="360" w:lineRule="auto"/>
        <w:rPr>
          <w:highlight w:val="white"/>
        </w:rPr>
      </w:pPr>
      <w:proofErr w:type="spellStart"/>
      <w:r w:rsidRPr="00334D48">
        <w:rPr>
          <w:highlight w:val="white"/>
        </w:rPr>
        <w:t>Krettenauer</w:t>
      </w:r>
      <w:proofErr w:type="spellEnd"/>
      <w:r w:rsidRPr="00334D48">
        <w:rPr>
          <w:highlight w:val="white"/>
        </w:rPr>
        <w:t xml:space="preserve">, T. (2022). Development of moral identity: From the age of responsibility to adult maturity. </w:t>
      </w:r>
      <w:r w:rsidRPr="00334D48">
        <w:rPr>
          <w:i/>
          <w:iCs/>
          <w:highlight w:val="white"/>
        </w:rPr>
        <w:t>Developmental Review</w:t>
      </w:r>
      <w:r w:rsidRPr="00334D48">
        <w:rPr>
          <w:highlight w:val="white"/>
        </w:rPr>
        <w:t xml:space="preserve">, </w:t>
      </w:r>
      <w:r w:rsidRPr="00334D48">
        <w:rPr>
          <w:i/>
          <w:iCs/>
          <w:highlight w:val="white"/>
        </w:rPr>
        <w:t>65</w:t>
      </w:r>
      <w:r w:rsidRPr="00334D48">
        <w:rPr>
          <w:highlight w:val="white"/>
        </w:rPr>
        <w:t xml:space="preserve">, 101036. </w:t>
      </w:r>
      <w:hyperlink r:id="rId41" w:history="1">
        <w:r w:rsidRPr="003D1D8F">
          <w:rPr>
            <w:rStyle w:val="Hipervnculo"/>
            <w:highlight w:val="white"/>
          </w:rPr>
          <w:t>https://www.sciencedirect.com/science/article/pii/S0273229722000260</w:t>
        </w:r>
      </w:hyperlink>
      <w:r>
        <w:rPr>
          <w:highlight w:val="white"/>
        </w:rPr>
        <w:t xml:space="preserve"> </w:t>
      </w:r>
    </w:p>
    <w:p w14:paraId="1EBAA17B" w14:textId="6C0256D5" w:rsidR="00334D48" w:rsidRPr="00334D48" w:rsidRDefault="00334D48" w:rsidP="00334D48">
      <w:pPr>
        <w:pStyle w:val="Referencias"/>
        <w:spacing w:line="360" w:lineRule="auto"/>
        <w:rPr>
          <w:highlight w:val="white"/>
        </w:rPr>
      </w:pPr>
      <w:r w:rsidRPr="00334D48">
        <w:rPr>
          <w:highlight w:val="white"/>
        </w:rPr>
        <w:t xml:space="preserve">Li, J.-B., </w:t>
      </w:r>
      <w:proofErr w:type="spellStart"/>
      <w:r w:rsidRPr="00334D48">
        <w:rPr>
          <w:highlight w:val="white"/>
        </w:rPr>
        <w:t>Vazsonyi</w:t>
      </w:r>
      <w:proofErr w:type="spellEnd"/>
      <w:r w:rsidRPr="00334D48">
        <w:rPr>
          <w:highlight w:val="white"/>
        </w:rPr>
        <w:t xml:space="preserve">, A. T., &amp; Dou, K. (2018). Is individualism-collectivism associated with self-control? Evidence from Chinese and U.S. samples. </w:t>
      </w:r>
      <w:r w:rsidRPr="00334D48">
        <w:rPr>
          <w:i/>
          <w:iCs/>
          <w:highlight w:val="white"/>
        </w:rPr>
        <w:t>PLOS ONE</w:t>
      </w:r>
      <w:r w:rsidRPr="00334D48">
        <w:rPr>
          <w:highlight w:val="white"/>
        </w:rPr>
        <w:t xml:space="preserve">, </w:t>
      </w:r>
      <w:r w:rsidRPr="00334D48">
        <w:rPr>
          <w:i/>
          <w:iCs/>
          <w:highlight w:val="white"/>
        </w:rPr>
        <w:t>13</w:t>
      </w:r>
      <w:r w:rsidRPr="00334D48">
        <w:rPr>
          <w:highlight w:val="white"/>
        </w:rPr>
        <w:t xml:space="preserve">(12), e0208541. </w:t>
      </w:r>
      <w:hyperlink r:id="rId42" w:history="1">
        <w:r w:rsidRPr="003D1D8F">
          <w:rPr>
            <w:rStyle w:val="Hipervnculo"/>
            <w:highlight w:val="white"/>
          </w:rPr>
          <w:t>https://doi.org/10.1371/journal.pone.0208541</w:t>
        </w:r>
      </w:hyperlink>
      <w:r>
        <w:rPr>
          <w:highlight w:val="white"/>
        </w:rPr>
        <w:t xml:space="preserve"> </w:t>
      </w:r>
    </w:p>
    <w:p w14:paraId="78D1B363" w14:textId="4DBDF330" w:rsidR="00334D48" w:rsidRPr="00334D48" w:rsidRDefault="00334D48" w:rsidP="00334D48">
      <w:pPr>
        <w:pStyle w:val="Referencias"/>
        <w:spacing w:line="360" w:lineRule="auto"/>
        <w:rPr>
          <w:highlight w:val="white"/>
        </w:rPr>
      </w:pPr>
      <w:r w:rsidRPr="00334D48">
        <w:rPr>
          <w:highlight w:val="white"/>
        </w:rPr>
        <w:t xml:space="preserve">Li, S., Ren, P., Chiu, M. M., Wang, C., &amp; Lei, H. (2021). The Relationship Between Self-Control and Internet Addiction Among Students: A Meta-Analysis. </w:t>
      </w:r>
      <w:r w:rsidRPr="00334D48">
        <w:rPr>
          <w:i/>
          <w:iCs/>
          <w:highlight w:val="white"/>
        </w:rPr>
        <w:t>Frontiers in Psychology</w:t>
      </w:r>
      <w:r w:rsidRPr="00334D48">
        <w:rPr>
          <w:highlight w:val="white"/>
        </w:rPr>
        <w:t xml:space="preserve">, </w:t>
      </w:r>
      <w:r w:rsidRPr="00334D48">
        <w:rPr>
          <w:i/>
          <w:iCs/>
          <w:highlight w:val="white"/>
        </w:rPr>
        <w:t>12</w:t>
      </w:r>
      <w:r w:rsidRPr="00334D48">
        <w:rPr>
          <w:highlight w:val="white"/>
        </w:rPr>
        <w:t xml:space="preserve">. </w:t>
      </w:r>
      <w:hyperlink r:id="rId43" w:history="1">
        <w:r w:rsidRPr="003D1D8F">
          <w:rPr>
            <w:rStyle w:val="Hipervnculo"/>
            <w:highlight w:val="white"/>
          </w:rPr>
          <w:t>https://doi.org/10.3389/fpsyg.2021.735755</w:t>
        </w:r>
      </w:hyperlink>
      <w:r>
        <w:rPr>
          <w:highlight w:val="white"/>
        </w:rPr>
        <w:t xml:space="preserve"> </w:t>
      </w:r>
    </w:p>
    <w:p w14:paraId="1FDBD6A7" w14:textId="5F748EE5" w:rsidR="00334D48" w:rsidRPr="00334D48" w:rsidRDefault="00334D48" w:rsidP="00334D48">
      <w:pPr>
        <w:pStyle w:val="Referencias"/>
        <w:spacing w:line="360" w:lineRule="auto"/>
        <w:rPr>
          <w:highlight w:val="white"/>
        </w:rPr>
      </w:pPr>
      <w:r w:rsidRPr="00334D48">
        <w:rPr>
          <w:highlight w:val="white"/>
        </w:rPr>
        <w:t xml:space="preserve">Lindner, C., Nagy, G., &amp; </w:t>
      </w:r>
      <w:proofErr w:type="spellStart"/>
      <w:r w:rsidRPr="00334D48">
        <w:rPr>
          <w:highlight w:val="white"/>
        </w:rPr>
        <w:t>Retelsdorf</w:t>
      </w:r>
      <w:proofErr w:type="spellEnd"/>
      <w:r w:rsidRPr="00334D48">
        <w:rPr>
          <w:highlight w:val="white"/>
        </w:rPr>
        <w:t xml:space="preserve">, J. (2015). The dimensionality of the Brief Self-Control Scale—An evaluation of unidimensional and multidimensional applications. </w:t>
      </w:r>
      <w:r w:rsidRPr="00334D48">
        <w:rPr>
          <w:i/>
          <w:iCs/>
          <w:highlight w:val="white"/>
        </w:rPr>
        <w:t>Personality and Individual Differences</w:t>
      </w:r>
      <w:r w:rsidRPr="00334D48">
        <w:rPr>
          <w:highlight w:val="white"/>
        </w:rPr>
        <w:t xml:space="preserve">, </w:t>
      </w:r>
      <w:r w:rsidRPr="00334D48">
        <w:rPr>
          <w:i/>
          <w:iCs/>
          <w:highlight w:val="white"/>
        </w:rPr>
        <w:t>86</w:t>
      </w:r>
      <w:r>
        <w:rPr>
          <w:highlight w:val="white"/>
        </w:rPr>
        <w:t>, 465-</w:t>
      </w:r>
      <w:r w:rsidRPr="00334D48">
        <w:rPr>
          <w:highlight w:val="white"/>
        </w:rPr>
        <w:t xml:space="preserve">473. </w:t>
      </w:r>
      <w:hyperlink r:id="rId44" w:history="1">
        <w:r w:rsidRPr="003D1D8F">
          <w:rPr>
            <w:rStyle w:val="Hipervnculo"/>
            <w:highlight w:val="white"/>
          </w:rPr>
          <w:t>https://doi.org/10.1016/j.paid.2015.07.006</w:t>
        </w:r>
      </w:hyperlink>
      <w:r>
        <w:rPr>
          <w:highlight w:val="white"/>
        </w:rPr>
        <w:t xml:space="preserve"> </w:t>
      </w:r>
    </w:p>
    <w:p w14:paraId="4FC6778B" w14:textId="233B3420" w:rsidR="00334D48" w:rsidRPr="00334D48" w:rsidRDefault="00334D48" w:rsidP="00334D48">
      <w:pPr>
        <w:pStyle w:val="Referencias"/>
        <w:spacing w:line="360" w:lineRule="auto"/>
        <w:rPr>
          <w:highlight w:val="white"/>
        </w:rPr>
      </w:pPr>
      <w:proofErr w:type="spellStart"/>
      <w:r w:rsidRPr="00334D48">
        <w:rPr>
          <w:highlight w:val="white"/>
        </w:rPr>
        <w:t>Mooijman</w:t>
      </w:r>
      <w:proofErr w:type="spellEnd"/>
      <w:r w:rsidRPr="00334D48">
        <w:rPr>
          <w:highlight w:val="white"/>
        </w:rPr>
        <w:t xml:space="preserve">, M., Meindl, P., &amp; Graham, J. (2020). Moralizing Self-Control. In A. R. Mele (Ed.), </w:t>
      </w:r>
      <w:r w:rsidRPr="00334D48">
        <w:rPr>
          <w:i/>
          <w:iCs/>
          <w:highlight w:val="white"/>
        </w:rPr>
        <w:t>Surrounding Self-Control</w:t>
      </w:r>
      <w:r w:rsidRPr="00334D48">
        <w:rPr>
          <w:highlight w:val="white"/>
        </w:rPr>
        <w:t xml:space="preserve"> (p. 0). Oxford University Press. </w:t>
      </w:r>
      <w:hyperlink r:id="rId45" w:history="1">
        <w:r w:rsidRPr="003D1D8F">
          <w:rPr>
            <w:rStyle w:val="Hipervnculo"/>
            <w:highlight w:val="white"/>
          </w:rPr>
          <w:t>https://doi.org/10.1093/oso/9780197500941.003.0014</w:t>
        </w:r>
      </w:hyperlink>
      <w:r>
        <w:rPr>
          <w:highlight w:val="white"/>
        </w:rPr>
        <w:t xml:space="preserve"> </w:t>
      </w:r>
    </w:p>
    <w:p w14:paraId="0BE4F627" w14:textId="7F98B9A8" w:rsidR="00334D48" w:rsidRPr="00334D48" w:rsidRDefault="00334D48" w:rsidP="00334D48">
      <w:pPr>
        <w:pStyle w:val="Referencias"/>
        <w:spacing w:line="360" w:lineRule="auto"/>
        <w:rPr>
          <w:highlight w:val="white"/>
        </w:rPr>
      </w:pPr>
      <w:proofErr w:type="spellStart"/>
      <w:r w:rsidRPr="00334D48">
        <w:rPr>
          <w:highlight w:val="white"/>
        </w:rPr>
        <w:t>Mooijman</w:t>
      </w:r>
      <w:proofErr w:type="spellEnd"/>
      <w:r w:rsidRPr="00334D48">
        <w:rPr>
          <w:highlight w:val="white"/>
        </w:rPr>
        <w:t xml:space="preserve">, M., Meindl, P., </w:t>
      </w:r>
      <w:proofErr w:type="spellStart"/>
      <w:r w:rsidRPr="00334D48">
        <w:rPr>
          <w:highlight w:val="white"/>
        </w:rPr>
        <w:t>Oyserman</w:t>
      </w:r>
      <w:proofErr w:type="spellEnd"/>
      <w:r w:rsidRPr="00334D48">
        <w:rPr>
          <w:highlight w:val="white"/>
        </w:rPr>
        <w:t xml:space="preserve">, D., Monterosso, J., </w:t>
      </w:r>
      <w:proofErr w:type="spellStart"/>
      <w:r w:rsidRPr="00334D48">
        <w:rPr>
          <w:highlight w:val="white"/>
        </w:rPr>
        <w:t>Dehghani</w:t>
      </w:r>
      <w:proofErr w:type="spellEnd"/>
      <w:r w:rsidRPr="00334D48">
        <w:rPr>
          <w:highlight w:val="white"/>
        </w:rPr>
        <w:t xml:space="preserve">, M., Doris, J. M., &amp; Graham, J. (2018). Resisting temptation for the good of the group: Binding moral values and the moralization of self-control. </w:t>
      </w:r>
      <w:r w:rsidRPr="00334D48">
        <w:rPr>
          <w:i/>
          <w:iCs/>
          <w:highlight w:val="white"/>
        </w:rPr>
        <w:t>Journal of Personality and Social Psychology</w:t>
      </w:r>
      <w:r w:rsidRPr="00334D48">
        <w:rPr>
          <w:highlight w:val="white"/>
        </w:rPr>
        <w:t xml:space="preserve">, </w:t>
      </w:r>
      <w:r w:rsidRPr="00334D48">
        <w:rPr>
          <w:i/>
          <w:iCs/>
          <w:highlight w:val="white"/>
        </w:rPr>
        <w:t>115</w:t>
      </w:r>
      <w:r>
        <w:rPr>
          <w:highlight w:val="white"/>
        </w:rPr>
        <w:t>(3), 585-</w:t>
      </w:r>
      <w:r w:rsidRPr="00334D48">
        <w:rPr>
          <w:highlight w:val="white"/>
        </w:rPr>
        <w:t xml:space="preserve">599. </w:t>
      </w:r>
      <w:hyperlink r:id="rId46" w:history="1">
        <w:r w:rsidRPr="003D1D8F">
          <w:rPr>
            <w:rStyle w:val="Hipervnculo"/>
            <w:highlight w:val="white"/>
          </w:rPr>
          <w:t>https://doi.org/10.1037/pspp0000149</w:t>
        </w:r>
      </w:hyperlink>
      <w:r>
        <w:rPr>
          <w:highlight w:val="white"/>
        </w:rPr>
        <w:t xml:space="preserve"> </w:t>
      </w:r>
    </w:p>
    <w:p w14:paraId="69C3E3CC" w14:textId="6C9E0B6A" w:rsidR="00334D48" w:rsidRPr="00D97D9F" w:rsidRDefault="00334D48" w:rsidP="00334D48">
      <w:pPr>
        <w:pStyle w:val="Referencias"/>
        <w:spacing w:line="360" w:lineRule="auto"/>
        <w:rPr>
          <w:highlight w:val="white"/>
        </w:rPr>
      </w:pPr>
      <w:r w:rsidRPr="00334D48">
        <w:rPr>
          <w:highlight w:val="white"/>
        </w:rPr>
        <w:t xml:space="preserve">Olivera La Rosa, A., &amp; Saldarriaga, L. (2017). </w:t>
      </w:r>
      <w:r w:rsidRPr="00334D48">
        <w:rPr>
          <w:i/>
          <w:iCs/>
          <w:highlight w:val="white"/>
          <w:lang w:val="es-ES"/>
        </w:rPr>
        <w:t>Fundaciones Morales en Colombia y su Relación con Actitudes Sexistas</w:t>
      </w:r>
      <w:r w:rsidRPr="00334D48">
        <w:rPr>
          <w:highlight w:val="white"/>
          <w:lang w:val="es-ES"/>
        </w:rPr>
        <w:t xml:space="preserve">. </w:t>
      </w:r>
      <w:r w:rsidR="00000000">
        <w:fldChar w:fldCharType="begin"/>
      </w:r>
      <w:r w:rsidR="00000000" w:rsidRPr="00BF171A">
        <w:rPr>
          <w:lang w:val="es-AR"/>
        </w:rPr>
        <w:instrText>HYPERLINK "https://doi.org/10.13140/RG.2.2.30982.27203"</w:instrText>
      </w:r>
      <w:r w:rsidR="00000000">
        <w:fldChar w:fldCharType="separate"/>
      </w:r>
      <w:r w:rsidRPr="00D97D9F">
        <w:rPr>
          <w:rStyle w:val="Hipervnculo"/>
          <w:highlight w:val="white"/>
        </w:rPr>
        <w:t>https://doi.org/10.13140/RG.2.2.30982.27203</w:t>
      </w:r>
      <w:r w:rsidR="00000000">
        <w:rPr>
          <w:rStyle w:val="Hipervnculo"/>
          <w:highlight w:val="white"/>
        </w:rPr>
        <w:fldChar w:fldCharType="end"/>
      </w:r>
      <w:r w:rsidRPr="00D97D9F">
        <w:rPr>
          <w:highlight w:val="white"/>
        </w:rPr>
        <w:t xml:space="preserve"> </w:t>
      </w:r>
    </w:p>
    <w:p w14:paraId="1B06FAB4" w14:textId="43EE7C60" w:rsidR="00334D48" w:rsidRPr="00334D48" w:rsidRDefault="00334D48" w:rsidP="00334D48">
      <w:pPr>
        <w:pStyle w:val="Referencias"/>
        <w:spacing w:line="360" w:lineRule="auto"/>
        <w:rPr>
          <w:highlight w:val="white"/>
        </w:rPr>
      </w:pPr>
      <w:r w:rsidRPr="00334D48">
        <w:rPr>
          <w:highlight w:val="white"/>
        </w:rPr>
        <w:t xml:space="preserve">Pennington, C. R., Monk, R. L., Qureshi, A. W., &amp; Heim, D. (2019). Alcohol belongs here: Assessing alcohol-related inhibitory control with a contextual go/no-go task. </w:t>
      </w:r>
      <w:r w:rsidRPr="00334D48">
        <w:rPr>
          <w:i/>
          <w:iCs/>
          <w:highlight w:val="white"/>
        </w:rPr>
        <w:t>Experimental and Clinical Psychopharmacology</w:t>
      </w:r>
      <w:r w:rsidRPr="00334D48">
        <w:rPr>
          <w:highlight w:val="white"/>
        </w:rPr>
        <w:t xml:space="preserve">, </w:t>
      </w:r>
      <w:r w:rsidRPr="00334D48">
        <w:rPr>
          <w:i/>
          <w:iCs/>
          <w:highlight w:val="white"/>
        </w:rPr>
        <w:t>27</w:t>
      </w:r>
      <w:r>
        <w:rPr>
          <w:highlight w:val="white"/>
        </w:rPr>
        <w:t>(5), 455-</w:t>
      </w:r>
      <w:r w:rsidRPr="00334D48">
        <w:rPr>
          <w:highlight w:val="white"/>
        </w:rPr>
        <w:t xml:space="preserve">465. </w:t>
      </w:r>
      <w:hyperlink r:id="rId47" w:history="1">
        <w:r w:rsidRPr="003D1D8F">
          <w:rPr>
            <w:rStyle w:val="Hipervnculo"/>
            <w:highlight w:val="white"/>
          </w:rPr>
          <w:t>https://doi.org/10.1037/pha0000256</w:t>
        </w:r>
      </w:hyperlink>
      <w:r>
        <w:rPr>
          <w:highlight w:val="white"/>
        </w:rPr>
        <w:t xml:space="preserve"> </w:t>
      </w:r>
    </w:p>
    <w:p w14:paraId="75CC8CF3" w14:textId="4977460B" w:rsidR="00334D48" w:rsidRPr="00334D48" w:rsidRDefault="00334D48" w:rsidP="00334D48">
      <w:pPr>
        <w:pStyle w:val="Referencias"/>
        <w:spacing w:line="360" w:lineRule="auto"/>
        <w:rPr>
          <w:highlight w:val="white"/>
        </w:rPr>
      </w:pPr>
      <w:proofErr w:type="spellStart"/>
      <w:r w:rsidRPr="00334D48">
        <w:rPr>
          <w:highlight w:val="white"/>
        </w:rPr>
        <w:t>Pilarska</w:t>
      </w:r>
      <w:proofErr w:type="spellEnd"/>
      <w:r w:rsidRPr="00334D48">
        <w:rPr>
          <w:highlight w:val="white"/>
        </w:rPr>
        <w:t xml:space="preserve">, A., &amp; Baumeister, R. F. (2018). Psychometric properties and correlates of the Polish version of the Self-Control Scale (SCS). In </w:t>
      </w:r>
      <w:r w:rsidRPr="00334D48">
        <w:rPr>
          <w:i/>
          <w:iCs/>
          <w:highlight w:val="white"/>
        </w:rPr>
        <w:t>Polish Psychological Bulletin</w:t>
      </w:r>
      <w:r w:rsidRPr="00334D48">
        <w:rPr>
          <w:highlight w:val="white"/>
        </w:rPr>
        <w:t xml:space="preserve"> (Vol. 49, Issue No 1: Motivation and Social Perception: Theory and Practice). Committee for Psychological Science PAS. </w:t>
      </w:r>
      <w:hyperlink r:id="rId48" w:history="1">
        <w:r w:rsidRPr="003D1D8F">
          <w:rPr>
            <w:rStyle w:val="Hipervnculo"/>
            <w:highlight w:val="white"/>
          </w:rPr>
          <w:t>https://doi.org/10.24425/119476</w:t>
        </w:r>
      </w:hyperlink>
      <w:r>
        <w:rPr>
          <w:highlight w:val="white"/>
        </w:rPr>
        <w:t xml:space="preserve"> </w:t>
      </w:r>
    </w:p>
    <w:p w14:paraId="43484402" w14:textId="798DD6B2" w:rsidR="00334D48" w:rsidRPr="00334D48" w:rsidRDefault="00334D48" w:rsidP="00334D48">
      <w:pPr>
        <w:pStyle w:val="Referencias"/>
        <w:spacing w:line="360" w:lineRule="auto"/>
        <w:rPr>
          <w:highlight w:val="white"/>
        </w:rPr>
      </w:pPr>
      <w:r w:rsidRPr="00334D48">
        <w:rPr>
          <w:highlight w:val="white"/>
        </w:rPr>
        <w:lastRenderedPageBreak/>
        <w:t xml:space="preserve">Robson, D. A., Allen, M. S., &amp; Howard, S. J. (2020). Self-regulation in childhood as a predictor of future outcomes: A meta-analytic review. </w:t>
      </w:r>
      <w:r w:rsidRPr="00334D48">
        <w:rPr>
          <w:i/>
          <w:iCs/>
          <w:highlight w:val="white"/>
        </w:rPr>
        <w:t>Psychological Bulletin</w:t>
      </w:r>
      <w:r w:rsidRPr="00334D48">
        <w:rPr>
          <w:highlight w:val="white"/>
        </w:rPr>
        <w:t xml:space="preserve">, </w:t>
      </w:r>
      <w:r w:rsidRPr="00334D48">
        <w:rPr>
          <w:i/>
          <w:iCs/>
          <w:highlight w:val="white"/>
        </w:rPr>
        <w:t>146</w:t>
      </w:r>
      <w:r w:rsidRPr="00334D48">
        <w:rPr>
          <w:highlight w:val="white"/>
        </w:rPr>
        <w:t xml:space="preserve">(4), 324. </w:t>
      </w:r>
      <w:hyperlink r:id="rId49" w:history="1">
        <w:r w:rsidRPr="003D1D8F">
          <w:rPr>
            <w:rStyle w:val="Hipervnculo"/>
            <w:highlight w:val="white"/>
          </w:rPr>
          <w:t>https://psycnet.apa.org/fulltext/2020-00476-001.html</w:t>
        </w:r>
      </w:hyperlink>
      <w:r>
        <w:rPr>
          <w:highlight w:val="white"/>
        </w:rPr>
        <w:t xml:space="preserve"> </w:t>
      </w:r>
    </w:p>
    <w:p w14:paraId="4665D2C6" w14:textId="1592EE23" w:rsidR="00334D48" w:rsidRPr="00334D48" w:rsidRDefault="00334D48" w:rsidP="00334D48">
      <w:pPr>
        <w:pStyle w:val="Referencias"/>
        <w:spacing w:line="360" w:lineRule="auto"/>
        <w:rPr>
          <w:highlight w:val="white"/>
        </w:rPr>
      </w:pPr>
      <w:proofErr w:type="spellStart"/>
      <w:r w:rsidRPr="00334D48">
        <w:rPr>
          <w:highlight w:val="white"/>
        </w:rPr>
        <w:t>Rozin</w:t>
      </w:r>
      <w:proofErr w:type="spellEnd"/>
      <w:r w:rsidRPr="00334D48">
        <w:rPr>
          <w:highlight w:val="white"/>
        </w:rPr>
        <w:t xml:space="preserve">, P. (1999). The Process of Moralization. </w:t>
      </w:r>
      <w:r w:rsidRPr="00334D48">
        <w:rPr>
          <w:i/>
          <w:iCs/>
          <w:highlight w:val="white"/>
        </w:rPr>
        <w:t>Psychological Science</w:t>
      </w:r>
      <w:r w:rsidRPr="00334D48">
        <w:rPr>
          <w:highlight w:val="white"/>
        </w:rPr>
        <w:t xml:space="preserve">, </w:t>
      </w:r>
      <w:r w:rsidRPr="00334D48">
        <w:rPr>
          <w:i/>
          <w:iCs/>
          <w:highlight w:val="white"/>
        </w:rPr>
        <w:t>10</w:t>
      </w:r>
      <w:r>
        <w:rPr>
          <w:highlight w:val="white"/>
        </w:rPr>
        <w:t>(3), 218-</w:t>
      </w:r>
      <w:r w:rsidRPr="00334D48">
        <w:rPr>
          <w:highlight w:val="white"/>
        </w:rPr>
        <w:t xml:space="preserve">221. </w:t>
      </w:r>
      <w:hyperlink r:id="rId50" w:history="1">
        <w:r w:rsidRPr="003D1D8F">
          <w:rPr>
            <w:rStyle w:val="Hipervnculo"/>
            <w:highlight w:val="white"/>
          </w:rPr>
          <w:t>https://doi.org/10.1111/1467-9280.00139</w:t>
        </w:r>
      </w:hyperlink>
      <w:r>
        <w:rPr>
          <w:highlight w:val="white"/>
        </w:rPr>
        <w:t xml:space="preserve"> </w:t>
      </w:r>
    </w:p>
    <w:p w14:paraId="4B53CBCC" w14:textId="58AFF1E3" w:rsidR="00334D48" w:rsidRPr="00334D48" w:rsidRDefault="00334D48" w:rsidP="00334D48">
      <w:pPr>
        <w:pStyle w:val="Referencias"/>
        <w:spacing w:line="360" w:lineRule="auto"/>
        <w:rPr>
          <w:highlight w:val="white"/>
        </w:rPr>
      </w:pPr>
      <w:proofErr w:type="spellStart"/>
      <w:r w:rsidRPr="00334D48">
        <w:rPr>
          <w:highlight w:val="white"/>
        </w:rPr>
        <w:t>Rozin</w:t>
      </w:r>
      <w:proofErr w:type="spellEnd"/>
      <w:r w:rsidRPr="00334D48">
        <w:rPr>
          <w:highlight w:val="white"/>
        </w:rPr>
        <w:t xml:space="preserve">, P., </w:t>
      </w:r>
      <w:proofErr w:type="spellStart"/>
      <w:r w:rsidRPr="00334D48">
        <w:rPr>
          <w:highlight w:val="white"/>
        </w:rPr>
        <w:t>Markwith</w:t>
      </w:r>
      <w:proofErr w:type="spellEnd"/>
      <w:r w:rsidRPr="00334D48">
        <w:rPr>
          <w:highlight w:val="white"/>
        </w:rPr>
        <w:t xml:space="preserve">, M., &amp; </w:t>
      </w:r>
      <w:proofErr w:type="spellStart"/>
      <w:r w:rsidRPr="00334D48">
        <w:rPr>
          <w:highlight w:val="white"/>
        </w:rPr>
        <w:t>Stoess</w:t>
      </w:r>
      <w:proofErr w:type="spellEnd"/>
      <w:r w:rsidRPr="00334D48">
        <w:rPr>
          <w:highlight w:val="white"/>
        </w:rPr>
        <w:t xml:space="preserve">, C. (1997). Moralization and Becoming a Vegetarian: The Transformation of Preferences </w:t>
      </w:r>
      <w:proofErr w:type="gramStart"/>
      <w:r w:rsidRPr="00334D48">
        <w:rPr>
          <w:highlight w:val="white"/>
        </w:rPr>
        <w:t>Into</w:t>
      </w:r>
      <w:proofErr w:type="gramEnd"/>
      <w:r w:rsidRPr="00334D48">
        <w:rPr>
          <w:highlight w:val="white"/>
        </w:rPr>
        <w:t xml:space="preserve"> Values and the Recruitment of Disgust. </w:t>
      </w:r>
      <w:r w:rsidRPr="00334D48">
        <w:rPr>
          <w:i/>
          <w:iCs/>
          <w:highlight w:val="white"/>
        </w:rPr>
        <w:t>Psychological Science</w:t>
      </w:r>
      <w:r w:rsidRPr="00334D48">
        <w:rPr>
          <w:highlight w:val="white"/>
        </w:rPr>
        <w:t xml:space="preserve">, </w:t>
      </w:r>
      <w:r w:rsidRPr="00334D48">
        <w:rPr>
          <w:i/>
          <w:iCs/>
          <w:highlight w:val="white"/>
        </w:rPr>
        <w:t>8</w:t>
      </w:r>
      <w:r>
        <w:rPr>
          <w:highlight w:val="white"/>
        </w:rPr>
        <w:t>(2), 67-</w:t>
      </w:r>
      <w:r w:rsidRPr="00334D48">
        <w:rPr>
          <w:highlight w:val="white"/>
        </w:rPr>
        <w:t xml:space="preserve">73. </w:t>
      </w:r>
      <w:hyperlink r:id="rId51" w:history="1">
        <w:r w:rsidRPr="003D1D8F">
          <w:rPr>
            <w:rStyle w:val="Hipervnculo"/>
            <w:highlight w:val="white"/>
          </w:rPr>
          <w:t>https://doi.org/10.1111/j.1467-9280.1997.tb00685.x</w:t>
        </w:r>
      </w:hyperlink>
      <w:r>
        <w:rPr>
          <w:highlight w:val="white"/>
        </w:rPr>
        <w:t xml:space="preserve"> </w:t>
      </w:r>
    </w:p>
    <w:p w14:paraId="68BE3117" w14:textId="39044524" w:rsidR="00334D48" w:rsidRPr="00334D48" w:rsidRDefault="00334D48" w:rsidP="00334D48">
      <w:pPr>
        <w:pStyle w:val="Referencias"/>
        <w:spacing w:line="360" w:lineRule="auto"/>
        <w:rPr>
          <w:highlight w:val="white"/>
        </w:rPr>
      </w:pPr>
      <w:r w:rsidRPr="00334D48">
        <w:rPr>
          <w:highlight w:val="white"/>
        </w:rPr>
        <w:t xml:space="preserve">Schloss, J. P. (2017). Darwinian Explanations of Morality: Accounting for the Normal but not the Normative. In </w:t>
      </w:r>
      <w:r w:rsidRPr="00334D48">
        <w:rPr>
          <w:i/>
          <w:iCs/>
          <w:highlight w:val="white"/>
        </w:rPr>
        <w:t>Understanding Moral Sentiments</w:t>
      </w:r>
      <w:r>
        <w:rPr>
          <w:highlight w:val="white"/>
        </w:rPr>
        <w:t xml:space="preserve"> (pp. 81-</w:t>
      </w:r>
      <w:r w:rsidRPr="00334D48">
        <w:rPr>
          <w:highlight w:val="white"/>
        </w:rPr>
        <w:t xml:space="preserve">122). Routledge. </w:t>
      </w:r>
      <w:hyperlink r:id="rId52" w:history="1">
        <w:r w:rsidRPr="003D1D8F">
          <w:rPr>
            <w:rStyle w:val="Hipervnculo"/>
            <w:highlight w:val="white"/>
          </w:rPr>
          <w:t>https://www.taylorfrancis.com/chapters/edit/10.4324/9781351296281-6/darwinian-explanations-morality-accounting-normal-normative-jeffrey-schloss</w:t>
        </w:r>
      </w:hyperlink>
      <w:r>
        <w:rPr>
          <w:highlight w:val="white"/>
        </w:rPr>
        <w:t xml:space="preserve"> </w:t>
      </w:r>
    </w:p>
    <w:p w14:paraId="636E3358" w14:textId="3E6EDB81" w:rsidR="00334D48" w:rsidRPr="00334D48" w:rsidRDefault="00334D48" w:rsidP="00334D48">
      <w:pPr>
        <w:pStyle w:val="Referencias"/>
        <w:spacing w:line="360" w:lineRule="auto"/>
        <w:rPr>
          <w:highlight w:val="white"/>
        </w:rPr>
      </w:pPr>
      <w:r w:rsidRPr="00334D48">
        <w:rPr>
          <w:highlight w:val="white"/>
          <w:lang w:val="pt-BR"/>
        </w:rPr>
        <w:t xml:space="preserve">Silver, E., &amp; Silver, J. R. (2021). </w:t>
      </w:r>
      <w:r w:rsidRPr="00334D48">
        <w:rPr>
          <w:highlight w:val="white"/>
        </w:rPr>
        <w:t xml:space="preserve">Morality and Self-Control: The Role of Binding and Individualizing Moral Motives. </w:t>
      </w:r>
      <w:r w:rsidRPr="00334D48">
        <w:rPr>
          <w:i/>
          <w:iCs/>
          <w:highlight w:val="white"/>
        </w:rPr>
        <w:t>Deviant Behavior</w:t>
      </w:r>
      <w:r w:rsidRPr="00334D48">
        <w:rPr>
          <w:highlight w:val="white"/>
        </w:rPr>
        <w:t xml:space="preserve">, </w:t>
      </w:r>
      <w:r w:rsidRPr="00334D48">
        <w:rPr>
          <w:i/>
          <w:iCs/>
          <w:highlight w:val="white"/>
        </w:rPr>
        <w:t>42</w:t>
      </w:r>
      <w:r>
        <w:rPr>
          <w:highlight w:val="white"/>
        </w:rPr>
        <w:t>(3), 366-</w:t>
      </w:r>
      <w:r w:rsidRPr="00334D48">
        <w:rPr>
          <w:highlight w:val="white"/>
        </w:rPr>
        <w:t xml:space="preserve">385. </w:t>
      </w:r>
      <w:hyperlink r:id="rId53" w:history="1">
        <w:r w:rsidRPr="003D1D8F">
          <w:rPr>
            <w:rStyle w:val="Hipervnculo"/>
            <w:highlight w:val="white"/>
          </w:rPr>
          <w:t>https://doi.org/10.1080/01639625.2019.1678580</w:t>
        </w:r>
      </w:hyperlink>
      <w:r>
        <w:rPr>
          <w:highlight w:val="white"/>
        </w:rPr>
        <w:t xml:space="preserve"> </w:t>
      </w:r>
    </w:p>
    <w:p w14:paraId="15B497B4" w14:textId="52E345CE" w:rsidR="00334D48" w:rsidRPr="00334D48" w:rsidRDefault="00334D48" w:rsidP="00334D48">
      <w:pPr>
        <w:pStyle w:val="Referencias"/>
        <w:spacing w:line="360" w:lineRule="auto"/>
        <w:rPr>
          <w:highlight w:val="white"/>
        </w:rPr>
      </w:pPr>
      <w:r w:rsidRPr="00334D48">
        <w:rPr>
          <w:highlight w:val="white"/>
        </w:rPr>
        <w:t xml:space="preserve">Skinner, B. F. (1953). Some contributions of an experimental analysis of behavior to psychology as a whole. </w:t>
      </w:r>
      <w:r w:rsidRPr="00334D48">
        <w:rPr>
          <w:i/>
          <w:iCs/>
          <w:highlight w:val="white"/>
        </w:rPr>
        <w:t>American Psychologist</w:t>
      </w:r>
      <w:r w:rsidRPr="00334D48">
        <w:rPr>
          <w:highlight w:val="white"/>
        </w:rPr>
        <w:t xml:space="preserve">, </w:t>
      </w:r>
      <w:r w:rsidRPr="00334D48">
        <w:rPr>
          <w:i/>
          <w:iCs/>
          <w:highlight w:val="white"/>
        </w:rPr>
        <w:t>8</w:t>
      </w:r>
      <w:r w:rsidRPr="00334D48">
        <w:rPr>
          <w:highlight w:val="white"/>
        </w:rPr>
        <w:t xml:space="preserve">(2), 69. </w:t>
      </w:r>
      <w:hyperlink r:id="rId54" w:history="1">
        <w:r w:rsidRPr="003D1D8F">
          <w:rPr>
            <w:rStyle w:val="Hipervnculo"/>
            <w:highlight w:val="white"/>
          </w:rPr>
          <w:t>https://psycnet.apa.org/journals/amp/8/2/69/</w:t>
        </w:r>
      </w:hyperlink>
      <w:r>
        <w:rPr>
          <w:highlight w:val="white"/>
        </w:rPr>
        <w:t xml:space="preserve"> </w:t>
      </w:r>
    </w:p>
    <w:p w14:paraId="4C2C9AF9" w14:textId="159CE1DE" w:rsidR="00334D48" w:rsidRPr="00334D48" w:rsidRDefault="00334D48" w:rsidP="00334D48">
      <w:pPr>
        <w:pStyle w:val="Referencias"/>
        <w:spacing w:line="360" w:lineRule="auto"/>
        <w:rPr>
          <w:highlight w:val="white"/>
          <w:lang w:val="es-ES"/>
        </w:rPr>
      </w:pPr>
      <w:r w:rsidRPr="00BF171A">
        <w:rPr>
          <w:highlight w:val="white"/>
        </w:rPr>
        <w:t xml:space="preserve">Skinner, B. F. (1982). </w:t>
      </w:r>
      <w:r w:rsidRPr="00334D48">
        <w:rPr>
          <w:i/>
          <w:iCs/>
          <w:highlight w:val="white"/>
          <w:lang w:val="es-ES"/>
        </w:rPr>
        <w:t>Reflexiones sobre conductismo y sociedad</w:t>
      </w:r>
      <w:r w:rsidRPr="00334D48">
        <w:rPr>
          <w:highlight w:val="white"/>
          <w:lang w:val="es-ES"/>
        </w:rPr>
        <w:t xml:space="preserve">. Trillas México, DF. </w:t>
      </w:r>
      <w:r w:rsidR="00000000">
        <w:fldChar w:fldCharType="begin"/>
      </w:r>
      <w:r w:rsidR="00000000" w:rsidRPr="00BF171A">
        <w:rPr>
          <w:lang w:val="es-AR"/>
        </w:rPr>
        <w:instrText>HYPERLINK "https://conductitlan.org.mx/02_bfskinner/skinner/3.%20reflexiones_conductismo_sociedad_skinner.pdf"</w:instrText>
      </w:r>
      <w:r w:rsidR="00000000">
        <w:fldChar w:fldCharType="separate"/>
      </w:r>
      <w:r w:rsidRPr="003D1D8F">
        <w:rPr>
          <w:rStyle w:val="Hipervnculo"/>
          <w:highlight w:val="white"/>
          <w:lang w:val="es-ES"/>
        </w:rPr>
        <w:t>https://conductitlan.org.mx/02_bfskinner/skinner/3.%20reflexiones_conductismo_sociedad_skinner.pdf</w:t>
      </w:r>
      <w:r w:rsidR="00000000">
        <w:rPr>
          <w:rStyle w:val="Hipervnculo"/>
          <w:highlight w:val="white"/>
          <w:lang w:val="es-ES"/>
        </w:rPr>
        <w:fldChar w:fldCharType="end"/>
      </w:r>
      <w:r>
        <w:rPr>
          <w:highlight w:val="white"/>
          <w:lang w:val="es-ES"/>
        </w:rPr>
        <w:t xml:space="preserve"> </w:t>
      </w:r>
    </w:p>
    <w:p w14:paraId="66422057" w14:textId="69770056" w:rsidR="00334D48" w:rsidRPr="00334D48" w:rsidRDefault="00334D48" w:rsidP="00334D48">
      <w:pPr>
        <w:pStyle w:val="Referencias"/>
        <w:spacing w:line="360" w:lineRule="auto"/>
        <w:rPr>
          <w:highlight w:val="white"/>
        </w:rPr>
      </w:pPr>
      <w:r w:rsidRPr="00334D48">
        <w:rPr>
          <w:highlight w:val="white"/>
        </w:rPr>
        <w:t xml:space="preserve">Sullivan, G. M., &amp; </w:t>
      </w:r>
      <w:proofErr w:type="spellStart"/>
      <w:r w:rsidRPr="00334D48">
        <w:rPr>
          <w:highlight w:val="white"/>
        </w:rPr>
        <w:t>Feinn</w:t>
      </w:r>
      <w:proofErr w:type="spellEnd"/>
      <w:r w:rsidRPr="00334D48">
        <w:rPr>
          <w:highlight w:val="white"/>
        </w:rPr>
        <w:t xml:space="preserve">, R. (2012). Using Effect Size—Or Why the P Value Is Not Enough. </w:t>
      </w:r>
      <w:r w:rsidRPr="00334D48">
        <w:rPr>
          <w:i/>
          <w:iCs/>
          <w:highlight w:val="white"/>
        </w:rPr>
        <w:t>Journal of Graduate Medical Education</w:t>
      </w:r>
      <w:r w:rsidRPr="00334D48">
        <w:rPr>
          <w:highlight w:val="white"/>
        </w:rPr>
        <w:t xml:space="preserve">, </w:t>
      </w:r>
      <w:r w:rsidRPr="00334D48">
        <w:rPr>
          <w:i/>
          <w:iCs/>
          <w:highlight w:val="white"/>
        </w:rPr>
        <w:t>4</w:t>
      </w:r>
      <w:r>
        <w:rPr>
          <w:highlight w:val="white"/>
        </w:rPr>
        <w:t>(3), 279-</w:t>
      </w:r>
      <w:r w:rsidRPr="00334D48">
        <w:rPr>
          <w:highlight w:val="white"/>
        </w:rPr>
        <w:t xml:space="preserve">282. </w:t>
      </w:r>
      <w:hyperlink r:id="rId55" w:history="1">
        <w:r w:rsidRPr="003D1D8F">
          <w:rPr>
            <w:rStyle w:val="Hipervnculo"/>
            <w:highlight w:val="white"/>
          </w:rPr>
          <w:t>https://doi.org/10.4300/JGME-D-12-00156.1</w:t>
        </w:r>
      </w:hyperlink>
      <w:r>
        <w:rPr>
          <w:highlight w:val="white"/>
        </w:rPr>
        <w:t xml:space="preserve"> </w:t>
      </w:r>
    </w:p>
    <w:p w14:paraId="11DF9A4D" w14:textId="6EBE8FB5" w:rsidR="00334D48" w:rsidRPr="00334D48" w:rsidRDefault="00334D48" w:rsidP="00334D48">
      <w:pPr>
        <w:pStyle w:val="Referencias"/>
        <w:spacing w:line="360" w:lineRule="auto"/>
        <w:rPr>
          <w:highlight w:val="white"/>
        </w:rPr>
      </w:pPr>
      <w:r w:rsidRPr="00334D48">
        <w:rPr>
          <w:highlight w:val="white"/>
        </w:rPr>
        <w:t xml:space="preserve">Tangney, J. P., Boone, A. L., &amp; Baumeister, R. F. (2018). High self-control predicts good adjustment, less pathology, better grades, and interpersonal success. In </w:t>
      </w:r>
      <w:r w:rsidRPr="00334D48">
        <w:rPr>
          <w:i/>
          <w:iCs/>
          <w:highlight w:val="white"/>
        </w:rPr>
        <w:t>Self-regulation and self-control</w:t>
      </w:r>
      <w:r>
        <w:rPr>
          <w:highlight w:val="white"/>
        </w:rPr>
        <w:t xml:space="preserve"> (pp. 173-</w:t>
      </w:r>
      <w:r w:rsidRPr="00334D48">
        <w:rPr>
          <w:highlight w:val="white"/>
        </w:rPr>
        <w:t xml:space="preserve">212). Routledge. </w:t>
      </w:r>
      <w:hyperlink r:id="rId56" w:history="1">
        <w:r w:rsidRPr="003D1D8F">
          <w:rPr>
            <w:rStyle w:val="Hipervnculo"/>
            <w:highlight w:val="white"/>
          </w:rPr>
          <w:t>https://www.taylorfrancis.com/chapters/edit/10.4324/9781315175775-5/high-self-control-predicts-good-adjustment-less-pathology-better-grades-interpersonal-success-june-tangney-angie-luzio-boone-roy-baumeister</w:t>
        </w:r>
      </w:hyperlink>
      <w:r>
        <w:rPr>
          <w:highlight w:val="white"/>
        </w:rPr>
        <w:t xml:space="preserve"> </w:t>
      </w:r>
    </w:p>
    <w:p w14:paraId="4A2F36A4" w14:textId="23A51E30" w:rsidR="00334D48" w:rsidRPr="00334D48" w:rsidRDefault="00334D48" w:rsidP="00334D48">
      <w:pPr>
        <w:pStyle w:val="Referencias"/>
        <w:spacing w:line="360" w:lineRule="auto"/>
        <w:rPr>
          <w:highlight w:val="white"/>
        </w:rPr>
      </w:pPr>
      <w:r w:rsidRPr="00334D48">
        <w:rPr>
          <w:highlight w:val="white"/>
        </w:rPr>
        <w:t xml:space="preserve">Wikström, P.-O. H., &amp; Svensson, R. (2010). When does self-control matter? The interaction between morality and self-control in crime causation. </w:t>
      </w:r>
      <w:r w:rsidRPr="00334D48">
        <w:rPr>
          <w:i/>
          <w:iCs/>
          <w:highlight w:val="white"/>
        </w:rPr>
        <w:t xml:space="preserve">European </w:t>
      </w:r>
      <w:r w:rsidRPr="00334D48">
        <w:rPr>
          <w:i/>
          <w:iCs/>
          <w:highlight w:val="white"/>
        </w:rPr>
        <w:lastRenderedPageBreak/>
        <w:t>Journal of Criminology</w:t>
      </w:r>
      <w:r w:rsidRPr="00334D48">
        <w:rPr>
          <w:highlight w:val="white"/>
        </w:rPr>
        <w:t xml:space="preserve">, </w:t>
      </w:r>
      <w:r w:rsidRPr="00334D48">
        <w:rPr>
          <w:i/>
          <w:iCs/>
          <w:highlight w:val="white"/>
        </w:rPr>
        <w:t>7</w:t>
      </w:r>
      <w:r>
        <w:rPr>
          <w:highlight w:val="white"/>
        </w:rPr>
        <w:t>(5), 395-</w:t>
      </w:r>
      <w:r w:rsidRPr="00334D48">
        <w:rPr>
          <w:highlight w:val="white"/>
        </w:rPr>
        <w:t xml:space="preserve">410. </w:t>
      </w:r>
      <w:hyperlink r:id="rId57" w:history="1">
        <w:r w:rsidRPr="003D1D8F">
          <w:rPr>
            <w:rStyle w:val="Hipervnculo"/>
            <w:highlight w:val="white"/>
          </w:rPr>
          <w:t>https://doi.org/10.1177/1477370810372132</w:t>
        </w:r>
      </w:hyperlink>
      <w:r>
        <w:rPr>
          <w:highlight w:val="white"/>
        </w:rPr>
        <w:t xml:space="preserve"> </w:t>
      </w:r>
    </w:p>
    <w:p w14:paraId="1050140A" w14:textId="05F456C9" w:rsidR="00334D48" w:rsidRPr="00334D48" w:rsidRDefault="00334D48" w:rsidP="00334D48">
      <w:pPr>
        <w:pStyle w:val="Referencias"/>
        <w:spacing w:line="360" w:lineRule="auto"/>
        <w:rPr>
          <w:highlight w:val="white"/>
        </w:rPr>
      </w:pPr>
      <w:r w:rsidRPr="00334D48">
        <w:rPr>
          <w:highlight w:val="white"/>
        </w:rPr>
        <w:t xml:space="preserve">Wu, C.C., Wu, W.-H., &amp; </w:t>
      </w:r>
      <w:proofErr w:type="spellStart"/>
      <w:r w:rsidRPr="00334D48">
        <w:rPr>
          <w:highlight w:val="white"/>
        </w:rPr>
        <w:t>Chiou</w:t>
      </w:r>
      <w:proofErr w:type="spellEnd"/>
      <w:r w:rsidRPr="00334D48">
        <w:rPr>
          <w:highlight w:val="white"/>
        </w:rPr>
        <w:t xml:space="preserve">, W.-B. (2017). Construing Morality at High versus Low Levels Induces Better Self-control, Leading to Moral Acts. </w:t>
      </w:r>
      <w:r w:rsidRPr="00334D48">
        <w:rPr>
          <w:i/>
          <w:iCs/>
          <w:highlight w:val="white"/>
        </w:rPr>
        <w:t>Frontiers in Psychology</w:t>
      </w:r>
      <w:r w:rsidRPr="00334D48">
        <w:rPr>
          <w:highlight w:val="white"/>
        </w:rPr>
        <w:t xml:space="preserve">, </w:t>
      </w:r>
      <w:r w:rsidRPr="00334D48">
        <w:rPr>
          <w:i/>
          <w:iCs/>
          <w:highlight w:val="white"/>
        </w:rPr>
        <w:t>8</w:t>
      </w:r>
      <w:r w:rsidRPr="00334D48">
        <w:rPr>
          <w:highlight w:val="white"/>
        </w:rPr>
        <w:t xml:space="preserve">. </w:t>
      </w:r>
      <w:hyperlink r:id="rId58" w:history="1">
        <w:r w:rsidRPr="003D1D8F">
          <w:rPr>
            <w:rStyle w:val="Hipervnculo"/>
            <w:highlight w:val="white"/>
          </w:rPr>
          <w:t>https://doi.org/10.3389/fpsyg.2017.01041</w:t>
        </w:r>
      </w:hyperlink>
      <w:r>
        <w:rPr>
          <w:highlight w:val="white"/>
        </w:rPr>
        <w:t xml:space="preserve"> </w:t>
      </w:r>
    </w:p>
    <w:p w14:paraId="6B1D6AAB" w14:textId="51BEB739" w:rsidR="00334D48" w:rsidRPr="00334D48" w:rsidRDefault="00334D48" w:rsidP="00334D48">
      <w:pPr>
        <w:pStyle w:val="Referencias"/>
        <w:spacing w:line="360" w:lineRule="auto"/>
        <w:rPr>
          <w:highlight w:val="white"/>
        </w:rPr>
      </w:pPr>
      <w:r w:rsidRPr="00334D48">
        <w:rPr>
          <w:highlight w:val="white"/>
        </w:rPr>
        <w:t xml:space="preserve">Xie, C., </w:t>
      </w:r>
      <w:proofErr w:type="spellStart"/>
      <w:r w:rsidRPr="00334D48">
        <w:rPr>
          <w:highlight w:val="white"/>
        </w:rPr>
        <w:t>Bagozzi</w:t>
      </w:r>
      <w:proofErr w:type="spellEnd"/>
      <w:r w:rsidRPr="00334D48">
        <w:rPr>
          <w:highlight w:val="white"/>
        </w:rPr>
        <w:t xml:space="preserve">, R. P., &amp; </w:t>
      </w:r>
      <w:proofErr w:type="spellStart"/>
      <w:r w:rsidRPr="00334D48">
        <w:rPr>
          <w:highlight w:val="white"/>
        </w:rPr>
        <w:t>Grønhaug</w:t>
      </w:r>
      <w:proofErr w:type="spellEnd"/>
      <w:r w:rsidRPr="00334D48">
        <w:rPr>
          <w:highlight w:val="white"/>
        </w:rPr>
        <w:t xml:space="preserve">, K. (2019). The impact of corporate social responsibility on consumer brand advocacy: The role of moral emotions, attitudes, and individual differences. </w:t>
      </w:r>
      <w:r w:rsidRPr="00334D48">
        <w:rPr>
          <w:i/>
          <w:iCs/>
          <w:highlight w:val="white"/>
        </w:rPr>
        <w:t>Journal of Business Research</w:t>
      </w:r>
      <w:r w:rsidRPr="00334D48">
        <w:rPr>
          <w:highlight w:val="white"/>
        </w:rPr>
        <w:t xml:space="preserve">, </w:t>
      </w:r>
      <w:r w:rsidRPr="00334D48">
        <w:rPr>
          <w:i/>
          <w:iCs/>
          <w:highlight w:val="white"/>
        </w:rPr>
        <w:t>95</w:t>
      </w:r>
      <w:r>
        <w:rPr>
          <w:highlight w:val="white"/>
        </w:rPr>
        <w:t>, 514-</w:t>
      </w:r>
      <w:r w:rsidRPr="00334D48">
        <w:rPr>
          <w:highlight w:val="white"/>
        </w:rPr>
        <w:t xml:space="preserve">530. </w:t>
      </w:r>
      <w:hyperlink r:id="rId59" w:history="1">
        <w:r w:rsidRPr="003D1D8F">
          <w:rPr>
            <w:rStyle w:val="Hipervnculo"/>
            <w:highlight w:val="white"/>
          </w:rPr>
          <w:t>https://doi.org/10.1016/j.jbusres.2018.07.043</w:t>
        </w:r>
      </w:hyperlink>
      <w:r>
        <w:rPr>
          <w:highlight w:val="white"/>
        </w:rPr>
        <w:t xml:space="preserve"> </w:t>
      </w:r>
    </w:p>
    <w:p w14:paraId="6292144F" w14:textId="13789D04" w:rsidR="00334D48" w:rsidRPr="00334D48" w:rsidRDefault="00334D48" w:rsidP="00334D48">
      <w:pPr>
        <w:pStyle w:val="Referencias"/>
        <w:spacing w:line="360" w:lineRule="auto"/>
        <w:rPr>
          <w:highlight w:val="white"/>
        </w:rPr>
      </w:pPr>
      <w:r w:rsidRPr="00334D48">
        <w:rPr>
          <w:highlight w:val="white"/>
        </w:rPr>
        <w:t xml:space="preserve">Zahn, R., de Oliveira-Souza, R., &amp; Moll, J. (2020). Moral Motivation and the Basal Forebrain. </w:t>
      </w:r>
      <w:r w:rsidRPr="00334D48">
        <w:rPr>
          <w:i/>
          <w:iCs/>
          <w:highlight w:val="white"/>
        </w:rPr>
        <w:t>Neuroscience &amp; Biobehavioral Reviews</w:t>
      </w:r>
      <w:r w:rsidRPr="00334D48">
        <w:rPr>
          <w:highlight w:val="white"/>
        </w:rPr>
        <w:t xml:space="preserve">, </w:t>
      </w:r>
      <w:r w:rsidRPr="00334D48">
        <w:rPr>
          <w:i/>
          <w:iCs/>
          <w:highlight w:val="white"/>
        </w:rPr>
        <w:t>108</w:t>
      </w:r>
      <w:r>
        <w:rPr>
          <w:highlight w:val="white"/>
        </w:rPr>
        <w:t>, 207-</w:t>
      </w:r>
      <w:r w:rsidRPr="00334D48">
        <w:rPr>
          <w:highlight w:val="white"/>
        </w:rPr>
        <w:t xml:space="preserve">217. </w:t>
      </w:r>
      <w:hyperlink r:id="rId60" w:history="1">
        <w:r w:rsidRPr="003D1D8F">
          <w:rPr>
            <w:rStyle w:val="Hipervnculo"/>
            <w:highlight w:val="white"/>
          </w:rPr>
          <w:t>https://doi.org/10.1016/j.neubiorev.2019.10.022</w:t>
        </w:r>
      </w:hyperlink>
      <w:r>
        <w:rPr>
          <w:highlight w:val="white"/>
        </w:rPr>
        <w:t xml:space="preserve"> </w:t>
      </w:r>
    </w:p>
    <w:p w14:paraId="19221403" w14:textId="2E898112" w:rsidR="00334D48" w:rsidRPr="00334D48" w:rsidRDefault="00334D48" w:rsidP="00334D48">
      <w:pPr>
        <w:pStyle w:val="Referencias"/>
        <w:spacing w:line="360" w:lineRule="auto"/>
        <w:rPr>
          <w:highlight w:val="white"/>
        </w:rPr>
      </w:pPr>
      <w:proofErr w:type="spellStart"/>
      <w:r w:rsidRPr="00334D48">
        <w:rPr>
          <w:highlight w:val="white"/>
        </w:rPr>
        <w:t>Zakharin</w:t>
      </w:r>
      <w:proofErr w:type="spellEnd"/>
      <w:r w:rsidRPr="00334D48">
        <w:rPr>
          <w:highlight w:val="white"/>
        </w:rPr>
        <w:t xml:space="preserve">, M., &amp; Bates, T. C. (2021). Remapping the foundations of morality: Well-fitting structural model of the Moral Foundations Questionnaire. </w:t>
      </w:r>
      <w:r w:rsidRPr="00334D48">
        <w:rPr>
          <w:i/>
          <w:iCs/>
          <w:highlight w:val="white"/>
        </w:rPr>
        <w:t>PLOS ONE</w:t>
      </w:r>
      <w:r w:rsidRPr="00334D48">
        <w:rPr>
          <w:highlight w:val="white"/>
        </w:rPr>
        <w:t xml:space="preserve">, </w:t>
      </w:r>
      <w:r w:rsidRPr="00334D48">
        <w:rPr>
          <w:i/>
          <w:iCs/>
          <w:highlight w:val="white"/>
        </w:rPr>
        <w:t>16</w:t>
      </w:r>
      <w:r w:rsidRPr="00334D48">
        <w:rPr>
          <w:highlight w:val="white"/>
        </w:rPr>
        <w:t xml:space="preserve">(10), e0258910. </w:t>
      </w:r>
      <w:hyperlink r:id="rId61" w:history="1">
        <w:r w:rsidRPr="003D1D8F">
          <w:rPr>
            <w:rStyle w:val="Hipervnculo"/>
            <w:highlight w:val="white"/>
          </w:rPr>
          <w:t>https://doi.org/10.1371/journal.pone.0258910</w:t>
        </w:r>
      </w:hyperlink>
      <w:r>
        <w:rPr>
          <w:highlight w:val="white"/>
        </w:rPr>
        <w:t xml:space="preserve"> </w:t>
      </w:r>
    </w:p>
    <w:p w14:paraId="4B666D7D" w14:textId="77777777" w:rsidR="00334D48" w:rsidRPr="00334D48" w:rsidRDefault="00334D48" w:rsidP="00334D48">
      <w:pPr>
        <w:pStyle w:val="Referencias"/>
        <w:spacing w:line="360" w:lineRule="auto"/>
        <w:rPr>
          <w:highlight w:val="white"/>
        </w:rPr>
      </w:pPr>
      <w:r w:rsidRPr="00334D48">
        <w:rPr>
          <w:highlight w:val="white"/>
        </w:rPr>
        <w:t xml:space="preserve">Zhang, W. (2015). Calculation and statistic test of partial correlation of general correlation measures. </w:t>
      </w:r>
      <w:proofErr w:type="spellStart"/>
      <w:r w:rsidRPr="00334D48">
        <w:rPr>
          <w:i/>
          <w:iCs/>
          <w:highlight w:val="white"/>
        </w:rPr>
        <w:t>Selforganizology</w:t>
      </w:r>
      <w:proofErr w:type="spellEnd"/>
      <w:r w:rsidRPr="00334D48">
        <w:rPr>
          <w:highlight w:val="white"/>
        </w:rPr>
        <w:t>,</w:t>
      </w:r>
      <w:r w:rsidRPr="00334D48">
        <w:rPr>
          <w:i/>
          <w:highlight w:val="white"/>
        </w:rPr>
        <w:tab/>
        <w:t>2</w:t>
      </w:r>
      <w:r w:rsidRPr="00334D48">
        <w:rPr>
          <w:highlight w:val="white"/>
        </w:rPr>
        <w:t>(4),</w:t>
      </w:r>
      <w:r w:rsidRPr="00334D48">
        <w:rPr>
          <w:highlight w:val="white"/>
        </w:rPr>
        <w:tab/>
        <w:t xml:space="preserve">65-77. http://www.iaees.org/publications/journals/selforganizology/online•version.asp </w:t>
      </w:r>
    </w:p>
    <w:p w14:paraId="3C496DF4" w14:textId="34A8573F" w:rsidR="00147EED" w:rsidRPr="00750D6C" w:rsidRDefault="00334D48" w:rsidP="00334D48">
      <w:pPr>
        <w:pStyle w:val="Referencias"/>
        <w:spacing w:line="360" w:lineRule="auto"/>
      </w:pPr>
      <w:r w:rsidRPr="00334D48">
        <w:rPr>
          <w:highlight w:val="white"/>
        </w:rPr>
        <w:t>Zondervan-</w:t>
      </w:r>
      <w:proofErr w:type="spellStart"/>
      <w:r w:rsidRPr="00334D48">
        <w:rPr>
          <w:highlight w:val="white"/>
        </w:rPr>
        <w:t>Zwijnenburg</w:t>
      </w:r>
      <w:proofErr w:type="spellEnd"/>
      <w:r w:rsidRPr="00334D48">
        <w:rPr>
          <w:highlight w:val="white"/>
        </w:rPr>
        <w:t xml:space="preserve">, M. A. J., Richards, J. S., </w:t>
      </w:r>
      <w:proofErr w:type="spellStart"/>
      <w:r w:rsidRPr="00334D48">
        <w:rPr>
          <w:highlight w:val="white"/>
        </w:rPr>
        <w:t>Kevenaar</w:t>
      </w:r>
      <w:proofErr w:type="spellEnd"/>
      <w:r w:rsidRPr="00334D48">
        <w:rPr>
          <w:highlight w:val="white"/>
        </w:rPr>
        <w:t xml:space="preserve">, S. T., Becht, A. I., </w:t>
      </w:r>
      <w:proofErr w:type="spellStart"/>
      <w:r w:rsidRPr="00334D48">
        <w:rPr>
          <w:highlight w:val="white"/>
        </w:rPr>
        <w:t>Hoijtink</w:t>
      </w:r>
      <w:proofErr w:type="spellEnd"/>
      <w:r w:rsidRPr="00334D48">
        <w:rPr>
          <w:highlight w:val="white"/>
        </w:rPr>
        <w:t xml:space="preserve">, H. J. A., </w:t>
      </w:r>
      <w:proofErr w:type="spellStart"/>
      <w:r w:rsidRPr="00334D48">
        <w:rPr>
          <w:highlight w:val="white"/>
        </w:rPr>
        <w:t>Oldehinkel</w:t>
      </w:r>
      <w:proofErr w:type="spellEnd"/>
      <w:r w:rsidRPr="00334D48">
        <w:rPr>
          <w:highlight w:val="white"/>
        </w:rPr>
        <w:t xml:space="preserve">, A. J., </w:t>
      </w:r>
      <w:proofErr w:type="spellStart"/>
      <w:r w:rsidRPr="00334D48">
        <w:rPr>
          <w:highlight w:val="white"/>
        </w:rPr>
        <w:t>Branje</w:t>
      </w:r>
      <w:proofErr w:type="spellEnd"/>
      <w:r w:rsidRPr="00334D48">
        <w:rPr>
          <w:highlight w:val="white"/>
        </w:rPr>
        <w:t xml:space="preserve">, S., </w:t>
      </w:r>
      <w:proofErr w:type="spellStart"/>
      <w:r w:rsidRPr="00334D48">
        <w:rPr>
          <w:highlight w:val="white"/>
        </w:rPr>
        <w:t>Meeus</w:t>
      </w:r>
      <w:proofErr w:type="spellEnd"/>
      <w:r w:rsidRPr="00334D48">
        <w:rPr>
          <w:highlight w:val="white"/>
        </w:rPr>
        <w:t xml:space="preserve">, W., &amp; </w:t>
      </w:r>
      <w:proofErr w:type="spellStart"/>
      <w:r w:rsidRPr="00334D48">
        <w:rPr>
          <w:highlight w:val="white"/>
        </w:rPr>
        <w:t>Boomsma</w:t>
      </w:r>
      <w:proofErr w:type="spellEnd"/>
      <w:r w:rsidRPr="00334D48">
        <w:rPr>
          <w:highlight w:val="white"/>
        </w:rPr>
        <w:t xml:space="preserve">, D. I. (2020). Robust longitudinal multi-cohort results: The development of self-control during adolescence. </w:t>
      </w:r>
      <w:r w:rsidRPr="00334D48">
        <w:rPr>
          <w:i/>
          <w:iCs/>
          <w:highlight w:val="white"/>
        </w:rPr>
        <w:t>Developmental Cognitive Neuroscience</w:t>
      </w:r>
      <w:r w:rsidRPr="00334D48">
        <w:rPr>
          <w:highlight w:val="white"/>
        </w:rPr>
        <w:t xml:space="preserve">, </w:t>
      </w:r>
      <w:r w:rsidRPr="00334D48">
        <w:rPr>
          <w:i/>
          <w:iCs/>
          <w:highlight w:val="white"/>
        </w:rPr>
        <w:t>45</w:t>
      </w:r>
      <w:r w:rsidRPr="00334D48">
        <w:rPr>
          <w:highlight w:val="white"/>
        </w:rPr>
        <w:t xml:space="preserve">, 100817. </w:t>
      </w:r>
      <w:hyperlink r:id="rId62" w:history="1">
        <w:r w:rsidRPr="003D1D8F">
          <w:rPr>
            <w:rStyle w:val="Hipervnculo"/>
            <w:highlight w:val="white"/>
          </w:rPr>
          <w:t>https://doi.org/10.1016/j.dcn.2020.100817</w:t>
        </w:r>
      </w:hyperlink>
      <w:r>
        <w:t xml:space="preserve"> </w:t>
      </w:r>
    </w:p>
    <w:p w14:paraId="082F801D" w14:textId="77777777" w:rsidR="00537714" w:rsidRDefault="00147EED" w:rsidP="003507BC">
      <w:pPr>
        <w:shd w:val="clear" w:color="auto" w:fill="FFFFFF"/>
        <w:spacing w:line="260" w:lineRule="exact"/>
        <w:jc w:val="right"/>
        <w:rPr>
          <w:lang w:val="en-US"/>
        </w:rPr>
      </w:pPr>
      <w:r w:rsidRPr="00750D6C">
        <w:rPr>
          <w:lang w:val="en-US"/>
        </w:rPr>
        <w:tab/>
      </w:r>
    </w:p>
    <w:p w14:paraId="4E4CDB4E" w14:textId="6C008A92" w:rsidR="00147EED" w:rsidRPr="00334D48" w:rsidRDefault="00147EED" w:rsidP="005A12F4">
      <w:pPr>
        <w:shd w:val="clear" w:color="auto" w:fill="FFFFFF"/>
        <w:spacing w:line="260" w:lineRule="exact"/>
        <w:jc w:val="right"/>
        <w:rPr>
          <w:i/>
          <w:iCs/>
          <w:sz w:val="20"/>
          <w:szCs w:val="20"/>
          <w:lang w:val="en-US"/>
        </w:rPr>
      </w:pPr>
      <w:r w:rsidRPr="008A2B96">
        <w:rPr>
          <w:i/>
          <w:iCs/>
          <w:sz w:val="20"/>
          <w:szCs w:val="20"/>
          <w:lang w:val="en-US"/>
        </w:rPr>
        <w:t xml:space="preserve">Received: </w:t>
      </w:r>
      <w:r w:rsidR="00EE7C83" w:rsidRPr="00EE7C83">
        <w:rPr>
          <w:i/>
          <w:iCs/>
          <w:sz w:val="20"/>
          <w:szCs w:val="20"/>
          <w:lang w:val="en-US"/>
        </w:rPr>
        <w:t>2022-08-31</w:t>
      </w:r>
    </w:p>
    <w:p w14:paraId="312A8921" w14:textId="07895D3F" w:rsidR="00147EED" w:rsidRPr="00334D48" w:rsidRDefault="00147EED" w:rsidP="003507BC">
      <w:pPr>
        <w:shd w:val="clear" w:color="auto" w:fill="FFFFFF"/>
        <w:spacing w:line="260" w:lineRule="exact"/>
        <w:jc w:val="right"/>
        <w:rPr>
          <w:i/>
          <w:iCs/>
          <w:sz w:val="20"/>
          <w:szCs w:val="20"/>
          <w:lang w:val="en-US" w:eastAsia="es-ES_tradnl"/>
        </w:rPr>
      </w:pPr>
      <w:r w:rsidRPr="008A2B96">
        <w:rPr>
          <w:i/>
          <w:iCs/>
          <w:sz w:val="20"/>
          <w:szCs w:val="20"/>
          <w:lang w:val="en-US"/>
        </w:rPr>
        <w:t xml:space="preserve">Accepted: </w:t>
      </w:r>
      <w:r w:rsidR="00EE7C83" w:rsidRPr="00EE7C83">
        <w:rPr>
          <w:i/>
          <w:iCs/>
          <w:sz w:val="20"/>
          <w:szCs w:val="20"/>
          <w:lang w:val="en-US"/>
        </w:rPr>
        <w:t>2024-07-31</w:t>
      </w:r>
    </w:p>
    <w:sectPr w:rsidR="00147EED" w:rsidRPr="00334D48" w:rsidSect="00686DA9">
      <w:headerReference w:type="even" r:id="rId63"/>
      <w:headerReference w:type="default" r:id="rId64"/>
      <w:footerReference w:type="even" r:id="rId65"/>
      <w:footerReference w:type="default" r:id="rId6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B7E0" w14:textId="77777777" w:rsidR="00873433" w:rsidRDefault="00873433" w:rsidP="00C413D4">
      <w:r>
        <w:separator/>
      </w:r>
    </w:p>
  </w:endnote>
  <w:endnote w:type="continuationSeparator" w:id="0">
    <w:p w14:paraId="4D94D170" w14:textId="77777777" w:rsidR="00873433" w:rsidRDefault="0087343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Arial MT">
    <w:altName w:val="Arial"/>
    <w:panose1 w:val="020B0604020202020204"/>
    <w:charset w:val="01"/>
    <w:family w:val="swiss"/>
    <w:pitch w:val="variable"/>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0BBDA211" w:rsidR="00604EB5" w:rsidRDefault="00604EB5"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97D9F">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604EB5" w:rsidRDefault="00604E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35BA474" w:rsidR="00604EB5" w:rsidRDefault="00604EB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97D9F">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604EB5" w:rsidRDefault="00604E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DC93B0" w14:textId="77777777" w:rsidR="00873433" w:rsidRDefault="00873433" w:rsidP="00C413D4">
      <w:r>
        <w:separator/>
      </w:r>
    </w:p>
  </w:footnote>
  <w:footnote w:type="continuationSeparator" w:id="0">
    <w:p w14:paraId="39B96DEC" w14:textId="77777777" w:rsidR="00873433" w:rsidRDefault="00873433" w:rsidP="00C413D4">
      <w:r>
        <w:continuationSeparator/>
      </w:r>
    </w:p>
  </w:footnote>
  <w:footnote w:id="1">
    <w:p w14:paraId="5E153EE6" w14:textId="5AFFACF8" w:rsidR="00604EB5" w:rsidRPr="005E205D" w:rsidRDefault="00604EB5" w:rsidP="00D67E11">
      <w:pPr>
        <w:pStyle w:val="Body"/>
        <w:jc w:val="both"/>
        <w:rPr>
          <w:rStyle w:val="Hipervnculo"/>
          <w:rFonts w:ascii="Times" w:hAnsi="Times"/>
          <w:b/>
          <w:bCs/>
          <w:color w:val="000000"/>
          <w:sz w:val="16"/>
          <w:szCs w:val="16"/>
          <w:u w:val="none"/>
          <w:lang w:val="en-GB"/>
        </w:rPr>
      </w:pPr>
      <w:r w:rsidRPr="00AB2CE6">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proofErr w:type="spellStart"/>
      <w:r w:rsidRPr="008912A7">
        <w:rPr>
          <w:rFonts w:ascii="Times" w:hAnsi="Times"/>
          <w:b/>
          <w:bCs/>
          <w:sz w:val="16"/>
          <w:szCs w:val="16"/>
          <w:lang w:val="en-US"/>
        </w:rPr>
        <w:t>Dayanne</w:t>
      </w:r>
      <w:proofErr w:type="spellEnd"/>
      <w:r w:rsidRPr="008912A7">
        <w:rPr>
          <w:rFonts w:ascii="Times" w:hAnsi="Times"/>
          <w:b/>
          <w:bCs/>
          <w:sz w:val="16"/>
          <w:szCs w:val="16"/>
          <w:lang w:val="en-US"/>
        </w:rPr>
        <w:t xml:space="preserve"> Orellana</w:t>
      </w:r>
      <w:r>
        <w:rPr>
          <w:rFonts w:ascii="Times" w:hAnsi="Times"/>
          <w:b/>
          <w:bCs/>
          <w:sz w:val="16"/>
          <w:szCs w:val="16"/>
          <w:lang w:val="en-US"/>
        </w:rPr>
        <w:t xml:space="preserve">: </w:t>
      </w:r>
      <w:hyperlink r:id="rId1" w:history="1">
        <w:r>
          <w:rPr>
            <w:rStyle w:val="Hipervnculo"/>
            <w:sz w:val="16"/>
            <w:szCs w:val="16"/>
            <w:lang w:val="en-GB"/>
          </w:rPr>
          <w:t>dayaorellana@gmail.com</w:t>
        </w:r>
      </w:hyperlink>
      <w:r>
        <w:rPr>
          <w:sz w:val="16"/>
          <w:szCs w:val="16"/>
          <w:lang w:val="en-GB"/>
        </w:rPr>
        <w:t xml:space="preserve"> </w:t>
      </w:r>
    </w:p>
  </w:footnote>
  <w:footnote w:id="2">
    <w:p w14:paraId="48D08775" w14:textId="0C7E0935" w:rsidR="00604EB5" w:rsidRPr="008931F4" w:rsidRDefault="00604EB5" w:rsidP="008931F4">
      <w:pPr>
        <w:pStyle w:val="Textonotapie"/>
        <w:rPr>
          <w:sz w:val="16"/>
          <w:lang w:val="es-ES"/>
        </w:rPr>
      </w:pPr>
      <w:r w:rsidRPr="008931F4">
        <w:rPr>
          <w:rStyle w:val="Refdenotaalpie"/>
          <w:b/>
          <w:sz w:val="18"/>
        </w:rPr>
        <w:footnoteRef/>
      </w:r>
      <w:r w:rsidRPr="008931F4">
        <w:rPr>
          <w:b/>
          <w:sz w:val="18"/>
          <w:lang w:val="es-ES"/>
        </w:rPr>
        <w:t xml:space="preserve"> </w:t>
      </w:r>
      <w:r w:rsidRPr="008931F4">
        <w:rPr>
          <w:sz w:val="16"/>
          <w:lang w:val="es-ES"/>
        </w:rPr>
        <w:t>Instituto de Investigaciones en Ciencias del Com</w:t>
      </w:r>
      <w:r>
        <w:rPr>
          <w:sz w:val="16"/>
          <w:lang w:val="es-ES"/>
        </w:rPr>
        <w:t>portamiento (IICC)</w:t>
      </w:r>
      <w:r w:rsidRPr="008931F4">
        <w:rPr>
          <w:sz w:val="16"/>
          <w:lang w:val="es-ES"/>
        </w:rPr>
        <w:t>.</w:t>
      </w:r>
    </w:p>
  </w:footnote>
  <w:footnote w:id="3">
    <w:p w14:paraId="5CF62E97" w14:textId="0717B24D" w:rsidR="00604EB5" w:rsidRPr="008931F4" w:rsidRDefault="00604EB5">
      <w:pPr>
        <w:pStyle w:val="Textonotapie"/>
        <w:rPr>
          <w:lang w:val="es-ES"/>
        </w:rPr>
      </w:pPr>
      <w:r w:rsidRPr="008931F4">
        <w:rPr>
          <w:rStyle w:val="Refdenotaalpie"/>
          <w:b/>
          <w:sz w:val="18"/>
        </w:rPr>
        <w:footnoteRef/>
      </w:r>
      <w:r w:rsidRPr="008931F4">
        <w:rPr>
          <w:b/>
          <w:sz w:val="18"/>
          <w:lang w:val="es-ES"/>
        </w:rPr>
        <w:t xml:space="preserve"> </w:t>
      </w:r>
      <w:r w:rsidRPr="008931F4">
        <w:rPr>
          <w:sz w:val="16"/>
          <w:lang w:val="es-ES"/>
        </w:rPr>
        <w:t>Unidad de Inve</w:t>
      </w:r>
      <w:r>
        <w:rPr>
          <w:sz w:val="16"/>
          <w:lang w:val="es-ES"/>
        </w:rPr>
        <w:t>stigación Experimental (UIE)</w:t>
      </w:r>
      <w:r w:rsidRPr="008931F4">
        <w:rPr>
          <w:sz w:val="16"/>
          <w:lang w:val="es-ES"/>
        </w:rPr>
        <w:t>.</w:t>
      </w:r>
    </w:p>
  </w:footnote>
  <w:footnote w:id="4">
    <w:p w14:paraId="379CAF8A" w14:textId="4BF91772" w:rsidR="00604EB5" w:rsidRPr="00CC7D22" w:rsidRDefault="00604EB5" w:rsidP="00D67E11">
      <w:pPr>
        <w:pStyle w:val="Textonotapie"/>
        <w:jc w:val="both"/>
        <w:rPr>
          <w:lang w:val="en-US"/>
        </w:rPr>
      </w:pPr>
      <w:r w:rsidRPr="00AB2CE6">
        <w:rPr>
          <w:b/>
          <w:bCs/>
          <w:color w:val="222222"/>
          <w:u w:color="222222"/>
          <w:bdr w:val="nil"/>
          <w:vertAlign w:val="superscript"/>
          <w:lang w:val="es-AR"/>
          <w14:textOutline w14:w="0" w14:cap="flat" w14:cmpd="sng" w14:algn="ctr">
            <w14:noFill/>
            <w14:prstDash w14:val="solid"/>
            <w14:bevel/>
          </w14:textOutline>
        </w:rPr>
        <w:footnoteRef/>
      </w:r>
      <w:r w:rsidRPr="001E55FA">
        <w:rPr>
          <w:b/>
          <w:bCs/>
          <w:color w:val="222222"/>
          <w:u w:color="222222"/>
          <w:bdr w:val="nil"/>
          <w:vertAlign w:val="superscript"/>
          <w:lang w:val="en-US"/>
          <w14:textOutline w14:w="0" w14:cap="flat" w14:cmpd="sng" w14:algn="ctr">
            <w14:noFill/>
            <w14:prstDash w14:val="solid"/>
            <w14:bevel/>
          </w14:textOutline>
        </w:rPr>
        <w:t xml:space="preserve"> </w:t>
      </w:r>
      <w:r>
        <w:rPr>
          <w:b/>
          <w:bCs/>
          <w:i/>
          <w:iCs/>
          <w:sz w:val="16"/>
          <w:szCs w:val="16"/>
          <w:lang w:val="en-US"/>
        </w:rPr>
        <w:t>Conflicts of Interest</w:t>
      </w:r>
      <w:r>
        <w:rPr>
          <w:b/>
          <w:bCs/>
          <w:sz w:val="16"/>
          <w:szCs w:val="16"/>
          <w:lang w:val="en-US"/>
        </w:rPr>
        <w:t>:</w:t>
      </w:r>
      <w:r>
        <w:rPr>
          <w:sz w:val="16"/>
          <w:szCs w:val="16"/>
          <w:lang w:val="en-US"/>
        </w:rPr>
        <w:t xml:space="preserve"> The authors declare that the research was conducted in the absence of any commercial or financial relationships that could be construed as a potential conflict of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7FB80" w14:textId="01302AB5" w:rsidR="00604EB5" w:rsidRPr="00F811E1" w:rsidRDefault="00604EB5" w:rsidP="00F811E1">
    <w:pPr>
      <w:pStyle w:val="Encabezado"/>
      <w:jc w:val="center"/>
      <w:rPr>
        <w:rFonts w:ascii="Times" w:hAnsi="Times" w:cs="Times New Roman (Body CS)"/>
        <w:b/>
        <w:bCs/>
        <w:smallCaps/>
        <w:sz w:val="20"/>
        <w:szCs w:val="20"/>
        <w:lang w:val="es-AR"/>
      </w:rPr>
    </w:pPr>
    <w:r>
      <w:rPr>
        <w:rFonts w:ascii="Times" w:hAnsi="Times" w:cs="Times New Roman (Body CS)"/>
        <w:b/>
        <w:bCs/>
        <w:smallCaps/>
        <w:sz w:val="20"/>
        <w:szCs w:val="20"/>
        <w:lang w:val="es-AR"/>
      </w:rPr>
      <w:t xml:space="preserve">Orellana, &amp; </w:t>
    </w:r>
    <w:r w:rsidRPr="00F811E1">
      <w:rPr>
        <w:rFonts w:ascii="Times" w:hAnsi="Times" w:cs="Times New Roman (Body CS)"/>
        <w:b/>
        <w:bCs/>
        <w:smallCaps/>
        <w:sz w:val="20"/>
        <w:szCs w:val="20"/>
        <w:lang w:val="es-AR"/>
      </w:rPr>
      <w:t>Roth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D2C52" w14:textId="77777777" w:rsidR="00604EB5" w:rsidRDefault="00604EB5"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10A1A25D" w:rsidR="00604EB5" w:rsidRDefault="00604EB5" w:rsidP="00C413D4">
    <w:pPr>
      <w:pStyle w:val="Encabezado"/>
      <w:jc w:val="right"/>
      <w:rPr>
        <w:rFonts w:ascii="Times" w:hAnsi="Times"/>
        <w:i/>
        <w:sz w:val="18"/>
        <w:szCs w:val="18"/>
        <w:lang w:val="es-ES"/>
      </w:rPr>
    </w:pPr>
    <w:r>
      <w:rPr>
        <w:rFonts w:ascii="Times" w:hAnsi="Times"/>
        <w:i/>
        <w:sz w:val="18"/>
        <w:szCs w:val="18"/>
        <w:lang w:val="es-ES"/>
      </w:rPr>
      <w:t>2024, Vol., 58, No. 2, e1842</w:t>
    </w:r>
  </w:p>
  <w:p w14:paraId="1AAB67EA" w14:textId="77777777" w:rsidR="00604EB5" w:rsidRDefault="00604E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B57AA2"/>
    <w:multiLevelType w:val="hybridMultilevel"/>
    <w:tmpl w:val="D938C7E8"/>
    <w:lvl w:ilvl="0" w:tplc="2C88D0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28320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354"/>
    <w:rsid w:val="00001EB7"/>
    <w:rsid w:val="00002215"/>
    <w:rsid w:val="0000650C"/>
    <w:rsid w:val="000079B1"/>
    <w:rsid w:val="000104E5"/>
    <w:rsid w:val="00012352"/>
    <w:rsid w:val="000134B3"/>
    <w:rsid w:val="00020341"/>
    <w:rsid w:val="000378AF"/>
    <w:rsid w:val="00043604"/>
    <w:rsid w:val="0005428C"/>
    <w:rsid w:val="000547D8"/>
    <w:rsid w:val="00056CA1"/>
    <w:rsid w:val="00063302"/>
    <w:rsid w:val="00063582"/>
    <w:rsid w:val="000636EC"/>
    <w:rsid w:val="00064F18"/>
    <w:rsid w:val="00067898"/>
    <w:rsid w:val="000715BB"/>
    <w:rsid w:val="000733FA"/>
    <w:rsid w:val="00075F71"/>
    <w:rsid w:val="000815D5"/>
    <w:rsid w:val="000928CA"/>
    <w:rsid w:val="00094513"/>
    <w:rsid w:val="000A22C8"/>
    <w:rsid w:val="000A323A"/>
    <w:rsid w:val="000A6ECE"/>
    <w:rsid w:val="000B01FD"/>
    <w:rsid w:val="000B1FE0"/>
    <w:rsid w:val="000B32F6"/>
    <w:rsid w:val="000B42A6"/>
    <w:rsid w:val="000B6BFA"/>
    <w:rsid w:val="000D111A"/>
    <w:rsid w:val="000D6953"/>
    <w:rsid w:val="000E2E0B"/>
    <w:rsid w:val="000E6C79"/>
    <w:rsid w:val="000E759A"/>
    <w:rsid w:val="000F56BA"/>
    <w:rsid w:val="000F5A4E"/>
    <w:rsid w:val="001001E7"/>
    <w:rsid w:val="00100487"/>
    <w:rsid w:val="001006DE"/>
    <w:rsid w:val="00103F70"/>
    <w:rsid w:val="00105D4F"/>
    <w:rsid w:val="00106780"/>
    <w:rsid w:val="001127D1"/>
    <w:rsid w:val="001253E7"/>
    <w:rsid w:val="001264AC"/>
    <w:rsid w:val="00136F83"/>
    <w:rsid w:val="001444E3"/>
    <w:rsid w:val="0014506C"/>
    <w:rsid w:val="0014510D"/>
    <w:rsid w:val="00146254"/>
    <w:rsid w:val="001465A7"/>
    <w:rsid w:val="00147EED"/>
    <w:rsid w:val="00151604"/>
    <w:rsid w:val="001537BA"/>
    <w:rsid w:val="00153CA7"/>
    <w:rsid w:val="001565EE"/>
    <w:rsid w:val="00156C30"/>
    <w:rsid w:val="00157647"/>
    <w:rsid w:val="00160E3C"/>
    <w:rsid w:val="00166DA0"/>
    <w:rsid w:val="00167A76"/>
    <w:rsid w:val="00171E35"/>
    <w:rsid w:val="001721EB"/>
    <w:rsid w:val="00173AA9"/>
    <w:rsid w:val="001761E7"/>
    <w:rsid w:val="00180590"/>
    <w:rsid w:val="0018535A"/>
    <w:rsid w:val="00191CBC"/>
    <w:rsid w:val="0019293F"/>
    <w:rsid w:val="001941FE"/>
    <w:rsid w:val="00194839"/>
    <w:rsid w:val="001949C9"/>
    <w:rsid w:val="00197853"/>
    <w:rsid w:val="001A2835"/>
    <w:rsid w:val="001A3023"/>
    <w:rsid w:val="001A4444"/>
    <w:rsid w:val="001A695F"/>
    <w:rsid w:val="001C41E9"/>
    <w:rsid w:val="001C4490"/>
    <w:rsid w:val="001C4E1C"/>
    <w:rsid w:val="001C7D0A"/>
    <w:rsid w:val="001D354F"/>
    <w:rsid w:val="001D4F48"/>
    <w:rsid w:val="001E0A61"/>
    <w:rsid w:val="001E1F5C"/>
    <w:rsid w:val="001E1F61"/>
    <w:rsid w:val="001E4251"/>
    <w:rsid w:val="001E4CD1"/>
    <w:rsid w:val="001E55FA"/>
    <w:rsid w:val="001F36D0"/>
    <w:rsid w:val="001F7920"/>
    <w:rsid w:val="001F7BA0"/>
    <w:rsid w:val="001F7DA4"/>
    <w:rsid w:val="002012E8"/>
    <w:rsid w:val="00201E32"/>
    <w:rsid w:val="00203EC7"/>
    <w:rsid w:val="00207437"/>
    <w:rsid w:val="002100AC"/>
    <w:rsid w:val="0021014C"/>
    <w:rsid w:val="00213397"/>
    <w:rsid w:val="00220223"/>
    <w:rsid w:val="00222862"/>
    <w:rsid w:val="00225541"/>
    <w:rsid w:val="00226282"/>
    <w:rsid w:val="002334D9"/>
    <w:rsid w:val="0023574D"/>
    <w:rsid w:val="00236AEF"/>
    <w:rsid w:val="00240895"/>
    <w:rsid w:val="00246BCD"/>
    <w:rsid w:val="00246D04"/>
    <w:rsid w:val="00247BDE"/>
    <w:rsid w:val="0025179C"/>
    <w:rsid w:val="002561F2"/>
    <w:rsid w:val="00256492"/>
    <w:rsid w:val="00257D49"/>
    <w:rsid w:val="002624E0"/>
    <w:rsid w:val="002666C8"/>
    <w:rsid w:val="00271502"/>
    <w:rsid w:val="00272605"/>
    <w:rsid w:val="002779D4"/>
    <w:rsid w:val="00287B47"/>
    <w:rsid w:val="00290C92"/>
    <w:rsid w:val="002927D7"/>
    <w:rsid w:val="00293DDA"/>
    <w:rsid w:val="00294547"/>
    <w:rsid w:val="0029543C"/>
    <w:rsid w:val="00295FF8"/>
    <w:rsid w:val="002A0D91"/>
    <w:rsid w:val="002A1733"/>
    <w:rsid w:val="002A2C68"/>
    <w:rsid w:val="002B04BE"/>
    <w:rsid w:val="002B307F"/>
    <w:rsid w:val="002B7F65"/>
    <w:rsid w:val="002C1EB1"/>
    <w:rsid w:val="002C60F5"/>
    <w:rsid w:val="002C7DF0"/>
    <w:rsid w:val="002D0207"/>
    <w:rsid w:val="002D1053"/>
    <w:rsid w:val="002D5827"/>
    <w:rsid w:val="002D6B30"/>
    <w:rsid w:val="002E2011"/>
    <w:rsid w:val="002E2799"/>
    <w:rsid w:val="002E5EA3"/>
    <w:rsid w:val="002E6BEF"/>
    <w:rsid w:val="002E6EC1"/>
    <w:rsid w:val="002F070D"/>
    <w:rsid w:val="002F0CE9"/>
    <w:rsid w:val="002F257B"/>
    <w:rsid w:val="002F38C8"/>
    <w:rsid w:val="00302C5C"/>
    <w:rsid w:val="003128A7"/>
    <w:rsid w:val="00315976"/>
    <w:rsid w:val="003164A5"/>
    <w:rsid w:val="00333677"/>
    <w:rsid w:val="00334D48"/>
    <w:rsid w:val="00340FA8"/>
    <w:rsid w:val="0034107D"/>
    <w:rsid w:val="00342F6D"/>
    <w:rsid w:val="003507BC"/>
    <w:rsid w:val="00350F12"/>
    <w:rsid w:val="00351BE1"/>
    <w:rsid w:val="00354AA6"/>
    <w:rsid w:val="003664A7"/>
    <w:rsid w:val="00366950"/>
    <w:rsid w:val="00367B6E"/>
    <w:rsid w:val="00367C23"/>
    <w:rsid w:val="0037284D"/>
    <w:rsid w:val="0037597F"/>
    <w:rsid w:val="003839C1"/>
    <w:rsid w:val="00384E6B"/>
    <w:rsid w:val="0039161E"/>
    <w:rsid w:val="00392A78"/>
    <w:rsid w:val="00393ECF"/>
    <w:rsid w:val="003A1180"/>
    <w:rsid w:val="003A7DA9"/>
    <w:rsid w:val="003B2D88"/>
    <w:rsid w:val="003B3A06"/>
    <w:rsid w:val="003B4EFF"/>
    <w:rsid w:val="003C2CEE"/>
    <w:rsid w:val="003C4AA4"/>
    <w:rsid w:val="003C53B0"/>
    <w:rsid w:val="003C628B"/>
    <w:rsid w:val="003D1DE2"/>
    <w:rsid w:val="003D75C9"/>
    <w:rsid w:val="003E7618"/>
    <w:rsid w:val="003F0308"/>
    <w:rsid w:val="003F1F0B"/>
    <w:rsid w:val="00403B8B"/>
    <w:rsid w:val="00406054"/>
    <w:rsid w:val="004071D5"/>
    <w:rsid w:val="0041371A"/>
    <w:rsid w:val="00414BBB"/>
    <w:rsid w:val="00415451"/>
    <w:rsid w:val="00417776"/>
    <w:rsid w:val="00420DE6"/>
    <w:rsid w:val="00432090"/>
    <w:rsid w:val="00433376"/>
    <w:rsid w:val="004411CE"/>
    <w:rsid w:val="00441E83"/>
    <w:rsid w:val="00444BAD"/>
    <w:rsid w:val="00447E89"/>
    <w:rsid w:val="00462135"/>
    <w:rsid w:val="00462BA7"/>
    <w:rsid w:val="00464F73"/>
    <w:rsid w:val="00465507"/>
    <w:rsid w:val="00471F54"/>
    <w:rsid w:val="0047234C"/>
    <w:rsid w:val="00475708"/>
    <w:rsid w:val="00476CF4"/>
    <w:rsid w:val="00482F3F"/>
    <w:rsid w:val="0048423C"/>
    <w:rsid w:val="00491015"/>
    <w:rsid w:val="00491D3A"/>
    <w:rsid w:val="00493400"/>
    <w:rsid w:val="004A1D0F"/>
    <w:rsid w:val="004A206F"/>
    <w:rsid w:val="004A26F0"/>
    <w:rsid w:val="004A5F57"/>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4C29"/>
    <w:rsid w:val="004E5581"/>
    <w:rsid w:val="004E5D4A"/>
    <w:rsid w:val="004F27B1"/>
    <w:rsid w:val="004F7121"/>
    <w:rsid w:val="004F75E9"/>
    <w:rsid w:val="00502DE8"/>
    <w:rsid w:val="00507543"/>
    <w:rsid w:val="00513E4D"/>
    <w:rsid w:val="005209EF"/>
    <w:rsid w:val="00527A99"/>
    <w:rsid w:val="0053418A"/>
    <w:rsid w:val="00537714"/>
    <w:rsid w:val="00541F7B"/>
    <w:rsid w:val="0054384D"/>
    <w:rsid w:val="00552412"/>
    <w:rsid w:val="005544E5"/>
    <w:rsid w:val="00557E28"/>
    <w:rsid w:val="00564CD9"/>
    <w:rsid w:val="00565DA0"/>
    <w:rsid w:val="00582881"/>
    <w:rsid w:val="00585FC4"/>
    <w:rsid w:val="0059034C"/>
    <w:rsid w:val="00590387"/>
    <w:rsid w:val="00591A0D"/>
    <w:rsid w:val="00595C9D"/>
    <w:rsid w:val="00596803"/>
    <w:rsid w:val="005A0ADC"/>
    <w:rsid w:val="005A12F4"/>
    <w:rsid w:val="005A32E2"/>
    <w:rsid w:val="005B5455"/>
    <w:rsid w:val="005C5113"/>
    <w:rsid w:val="005C627F"/>
    <w:rsid w:val="005C68DE"/>
    <w:rsid w:val="005D0E10"/>
    <w:rsid w:val="005D3031"/>
    <w:rsid w:val="005D52B2"/>
    <w:rsid w:val="005E00FF"/>
    <w:rsid w:val="005E205D"/>
    <w:rsid w:val="005E3D7A"/>
    <w:rsid w:val="005E5A6C"/>
    <w:rsid w:val="005F2766"/>
    <w:rsid w:val="005F5A5D"/>
    <w:rsid w:val="005F6D0F"/>
    <w:rsid w:val="00604EB5"/>
    <w:rsid w:val="0061019C"/>
    <w:rsid w:val="006111A2"/>
    <w:rsid w:val="00623C7A"/>
    <w:rsid w:val="006250A6"/>
    <w:rsid w:val="00625A9A"/>
    <w:rsid w:val="0063089C"/>
    <w:rsid w:val="00633E2D"/>
    <w:rsid w:val="006348EE"/>
    <w:rsid w:val="00644037"/>
    <w:rsid w:val="006515FB"/>
    <w:rsid w:val="0065510C"/>
    <w:rsid w:val="00660D5E"/>
    <w:rsid w:val="00661016"/>
    <w:rsid w:val="006619C0"/>
    <w:rsid w:val="006643C3"/>
    <w:rsid w:val="0066703D"/>
    <w:rsid w:val="0067054D"/>
    <w:rsid w:val="0067304D"/>
    <w:rsid w:val="00673CB0"/>
    <w:rsid w:val="00676735"/>
    <w:rsid w:val="006802D2"/>
    <w:rsid w:val="006840BE"/>
    <w:rsid w:val="006845CB"/>
    <w:rsid w:val="00686DA9"/>
    <w:rsid w:val="006927E3"/>
    <w:rsid w:val="00693B61"/>
    <w:rsid w:val="00694FF4"/>
    <w:rsid w:val="006969C1"/>
    <w:rsid w:val="00697A99"/>
    <w:rsid w:val="006A07C0"/>
    <w:rsid w:val="006A0F85"/>
    <w:rsid w:val="006A0FB1"/>
    <w:rsid w:val="006A1BA2"/>
    <w:rsid w:val="006A23D2"/>
    <w:rsid w:val="006B0812"/>
    <w:rsid w:val="006B2988"/>
    <w:rsid w:val="006B4DA3"/>
    <w:rsid w:val="006B67C9"/>
    <w:rsid w:val="006B740C"/>
    <w:rsid w:val="006C2146"/>
    <w:rsid w:val="006C21BC"/>
    <w:rsid w:val="006C34E9"/>
    <w:rsid w:val="006D0B2B"/>
    <w:rsid w:val="006D1F88"/>
    <w:rsid w:val="006D330D"/>
    <w:rsid w:val="006E0173"/>
    <w:rsid w:val="006E0541"/>
    <w:rsid w:val="006E1236"/>
    <w:rsid w:val="006E4870"/>
    <w:rsid w:val="006F51A0"/>
    <w:rsid w:val="006F5633"/>
    <w:rsid w:val="006F7E7E"/>
    <w:rsid w:val="00700620"/>
    <w:rsid w:val="00705B8A"/>
    <w:rsid w:val="00714485"/>
    <w:rsid w:val="00715EFB"/>
    <w:rsid w:val="00720420"/>
    <w:rsid w:val="00722A5B"/>
    <w:rsid w:val="00724F5C"/>
    <w:rsid w:val="00727BD0"/>
    <w:rsid w:val="00732778"/>
    <w:rsid w:val="00732EF8"/>
    <w:rsid w:val="00734F22"/>
    <w:rsid w:val="00737F3E"/>
    <w:rsid w:val="00741238"/>
    <w:rsid w:val="007421EE"/>
    <w:rsid w:val="00742E4A"/>
    <w:rsid w:val="00743177"/>
    <w:rsid w:val="007444EE"/>
    <w:rsid w:val="0074640C"/>
    <w:rsid w:val="00746FB3"/>
    <w:rsid w:val="00750D6C"/>
    <w:rsid w:val="00753223"/>
    <w:rsid w:val="00754227"/>
    <w:rsid w:val="00770AE4"/>
    <w:rsid w:val="00772128"/>
    <w:rsid w:val="007741C9"/>
    <w:rsid w:val="007757C7"/>
    <w:rsid w:val="00781E79"/>
    <w:rsid w:val="00783E7F"/>
    <w:rsid w:val="007848F7"/>
    <w:rsid w:val="00785339"/>
    <w:rsid w:val="007858E4"/>
    <w:rsid w:val="00795D57"/>
    <w:rsid w:val="007A015E"/>
    <w:rsid w:val="007A462B"/>
    <w:rsid w:val="007A7C7C"/>
    <w:rsid w:val="007B5DA8"/>
    <w:rsid w:val="007B686A"/>
    <w:rsid w:val="007B6A7D"/>
    <w:rsid w:val="007C07C7"/>
    <w:rsid w:val="007C1F01"/>
    <w:rsid w:val="007C4A34"/>
    <w:rsid w:val="007C5CB5"/>
    <w:rsid w:val="007D0BA9"/>
    <w:rsid w:val="007D22E8"/>
    <w:rsid w:val="007D6A4D"/>
    <w:rsid w:val="007D7E6B"/>
    <w:rsid w:val="007E1038"/>
    <w:rsid w:val="007E129F"/>
    <w:rsid w:val="007E4C07"/>
    <w:rsid w:val="007F2F33"/>
    <w:rsid w:val="007F3115"/>
    <w:rsid w:val="007F38FD"/>
    <w:rsid w:val="007F3B72"/>
    <w:rsid w:val="007F5FDB"/>
    <w:rsid w:val="00800313"/>
    <w:rsid w:val="00802DB3"/>
    <w:rsid w:val="00804C60"/>
    <w:rsid w:val="0081083B"/>
    <w:rsid w:val="008114AC"/>
    <w:rsid w:val="008148CC"/>
    <w:rsid w:val="00814EE3"/>
    <w:rsid w:val="008204EF"/>
    <w:rsid w:val="008212B4"/>
    <w:rsid w:val="008225BA"/>
    <w:rsid w:val="0082341F"/>
    <w:rsid w:val="0082531B"/>
    <w:rsid w:val="00840AC4"/>
    <w:rsid w:val="00845659"/>
    <w:rsid w:val="008547C7"/>
    <w:rsid w:val="008565A0"/>
    <w:rsid w:val="00861A27"/>
    <w:rsid w:val="00861D2F"/>
    <w:rsid w:val="00872EFD"/>
    <w:rsid w:val="00873433"/>
    <w:rsid w:val="00876D90"/>
    <w:rsid w:val="00886B3C"/>
    <w:rsid w:val="00887460"/>
    <w:rsid w:val="008912A7"/>
    <w:rsid w:val="00891C98"/>
    <w:rsid w:val="008931F4"/>
    <w:rsid w:val="00894630"/>
    <w:rsid w:val="00897638"/>
    <w:rsid w:val="008A0FFC"/>
    <w:rsid w:val="008A2B96"/>
    <w:rsid w:val="008B0F10"/>
    <w:rsid w:val="008B1447"/>
    <w:rsid w:val="008B19BA"/>
    <w:rsid w:val="008B251F"/>
    <w:rsid w:val="008B4B3A"/>
    <w:rsid w:val="008B5E31"/>
    <w:rsid w:val="008C0DE4"/>
    <w:rsid w:val="008C0E7E"/>
    <w:rsid w:val="008C0EB9"/>
    <w:rsid w:val="008C15A4"/>
    <w:rsid w:val="008C26F9"/>
    <w:rsid w:val="008C3A89"/>
    <w:rsid w:val="008C409A"/>
    <w:rsid w:val="008C5B2C"/>
    <w:rsid w:val="008C60E1"/>
    <w:rsid w:val="008D2794"/>
    <w:rsid w:val="008D4ADD"/>
    <w:rsid w:val="008D509E"/>
    <w:rsid w:val="008D6A06"/>
    <w:rsid w:val="008E17AF"/>
    <w:rsid w:val="008E2DA6"/>
    <w:rsid w:val="008E54A6"/>
    <w:rsid w:val="008E5E6A"/>
    <w:rsid w:val="008F4B8A"/>
    <w:rsid w:val="009014AC"/>
    <w:rsid w:val="0090320C"/>
    <w:rsid w:val="009032D5"/>
    <w:rsid w:val="00903DEB"/>
    <w:rsid w:val="00922B3A"/>
    <w:rsid w:val="00923438"/>
    <w:rsid w:val="00923446"/>
    <w:rsid w:val="009246B9"/>
    <w:rsid w:val="009401BC"/>
    <w:rsid w:val="00943B5C"/>
    <w:rsid w:val="009446F0"/>
    <w:rsid w:val="00950BD4"/>
    <w:rsid w:val="0095579B"/>
    <w:rsid w:val="009633FB"/>
    <w:rsid w:val="00964CC6"/>
    <w:rsid w:val="009703F5"/>
    <w:rsid w:val="00970D91"/>
    <w:rsid w:val="00971421"/>
    <w:rsid w:val="00986BF6"/>
    <w:rsid w:val="00990AFE"/>
    <w:rsid w:val="00993315"/>
    <w:rsid w:val="009A0192"/>
    <w:rsid w:val="009A22B9"/>
    <w:rsid w:val="009A5FA1"/>
    <w:rsid w:val="009B3E5E"/>
    <w:rsid w:val="009B4D60"/>
    <w:rsid w:val="009C307F"/>
    <w:rsid w:val="009C43B4"/>
    <w:rsid w:val="009C4CF0"/>
    <w:rsid w:val="009D2551"/>
    <w:rsid w:val="009D71FD"/>
    <w:rsid w:val="009F3E43"/>
    <w:rsid w:val="009F58C4"/>
    <w:rsid w:val="009F7B75"/>
    <w:rsid w:val="00A03605"/>
    <w:rsid w:val="00A03E89"/>
    <w:rsid w:val="00A07982"/>
    <w:rsid w:val="00A114D6"/>
    <w:rsid w:val="00A12C89"/>
    <w:rsid w:val="00A13797"/>
    <w:rsid w:val="00A15339"/>
    <w:rsid w:val="00A234ED"/>
    <w:rsid w:val="00A249E5"/>
    <w:rsid w:val="00A2611C"/>
    <w:rsid w:val="00A411A9"/>
    <w:rsid w:val="00A457D0"/>
    <w:rsid w:val="00A516C7"/>
    <w:rsid w:val="00A61B22"/>
    <w:rsid w:val="00A64E60"/>
    <w:rsid w:val="00A67967"/>
    <w:rsid w:val="00A70AE3"/>
    <w:rsid w:val="00A72239"/>
    <w:rsid w:val="00A80283"/>
    <w:rsid w:val="00A85C05"/>
    <w:rsid w:val="00A95630"/>
    <w:rsid w:val="00A97C99"/>
    <w:rsid w:val="00AA735D"/>
    <w:rsid w:val="00AB1AC5"/>
    <w:rsid w:val="00AB277A"/>
    <w:rsid w:val="00AB2CE6"/>
    <w:rsid w:val="00AB3BF6"/>
    <w:rsid w:val="00AB45ED"/>
    <w:rsid w:val="00AB5679"/>
    <w:rsid w:val="00AC0182"/>
    <w:rsid w:val="00AC3E22"/>
    <w:rsid w:val="00AC590B"/>
    <w:rsid w:val="00AC6029"/>
    <w:rsid w:val="00AC7994"/>
    <w:rsid w:val="00AD09AE"/>
    <w:rsid w:val="00AD0AE0"/>
    <w:rsid w:val="00AD3238"/>
    <w:rsid w:val="00AD374A"/>
    <w:rsid w:val="00AE2924"/>
    <w:rsid w:val="00AE48D4"/>
    <w:rsid w:val="00AE6BFD"/>
    <w:rsid w:val="00AF2008"/>
    <w:rsid w:val="00AF2B1C"/>
    <w:rsid w:val="00B054C8"/>
    <w:rsid w:val="00B06283"/>
    <w:rsid w:val="00B07ECE"/>
    <w:rsid w:val="00B105AD"/>
    <w:rsid w:val="00B114CD"/>
    <w:rsid w:val="00B114F3"/>
    <w:rsid w:val="00B11B2F"/>
    <w:rsid w:val="00B12740"/>
    <w:rsid w:val="00B2208A"/>
    <w:rsid w:val="00B35B61"/>
    <w:rsid w:val="00B42559"/>
    <w:rsid w:val="00B44BB1"/>
    <w:rsid w:val="00B461DC"/>
    <w:rsid w:val="00B511FB"/>
    <w:rsid w:val="00B5244C"/>
    <w:rsid w:val="00B52DF1"/>
    <w:rsid w:val="00B546B7"/>
    <w:rsid w:val="00B5485E"/>
    <w:rsid w:val="00B56D7D"/>
    <w:rsid w:val="00B60E75"/>
    <w:rsid w:val="00B613AC"/>
    <w:rsid w:val="00B628F1"/>
    <w:rsid w:val="00B6329B"/>
    <w:rsid w:val="00B63E3C"/>
    <w:rsid w:val="00B6522A"/>
    <w:rsid w:val="00B67695"/>
    <w:rsid w:val="00B7158B"/>
    <w:rsid w:val="00B73881"/>
    <w:rsid w:val="00B74BFD"/>
    <w:rsid w:val="00B74D71"/>
    <w:rsid w:val="00B74FCC"/>
    <w:rsid w:val="00B75E4E"/>
    <w:rsid w:val="00B75E90"/>
    <w:rsid w:val="00B775DB"/>
    <w:rsid w:val="00B821DD"/>
    <w:rsid w:val="00B83BA0"/>
    <w:rsid w:val="00B845A1"/>
    <w:rsid w:val="00B86C3D"/>
    <w:rsid w:val="00B87BAC"/>
    <w:rsid w:val="00B92519"/>
    <w:rsid w:val="00B934E6"/>
    <w:rsid w:val="00B958C9"/>
    <w:rsid w:val="00B9678D"/>
    <w:rsid w:val="00BA0C30"/>
    <w:rsid w:val="00BA0F75"/>
    <w:rsid w:val="00BA3FA7"/>
    <w:rsid w:val="00BA41EF"/>
    <w:rsid w:val="00BA637E"/>
    <w:rsid w:val="00BA6E73"/>
    <w:rsid w:val="00BA79C8"/>
    <w:rsid w:val="00BB0D13"/>
    <w:rsid w:val="00BB50C1"/>
    <w:rsid w:val="00BB521A"/>
    <w:rsid w:val="00BC1671"/>
    <w:rsid w:val="00BC2AFB"/>
    <w:rsid w:val="00BC3980"/>
    <w:rsid w:val="00BC764F"/>
    <w:rsid w:val="00BD0BD1"/>
    <w:rsid w:val="00BD26F5"/>
    <w:rsid w:val="00BD2994"/>
    <w:rsid w:val="00BD3521"/>
    <w:rsid w:val="00BE1FBF"/>
    <w:rsid w:val="00BE399B"/>
    <w:rsid w:val="00BF171A"/>
    <w:rsid w:val="00BF2953"/>
    <w:rsid w:val="00BF6532"/>
    <w:rsid w:val="00BF6737"/>
    <w:rsid w:val="00BF6A48"/>
    <w:rsid w:val="00C01611"/>
    <w:rsid w:val="00C02FC7"/>
    <w:rsid w:val="00C06D6D"/>
    <w:rsid w:val="00C12A53"/>
    <w:rsid w:val="00C14765"/>
    <w:rsid w:val="00C2267F"/>
    <w:rsid w:val="00C413D4"/>
    <w:rsid w:val="00C45E73"/>
    <w:rsid w:val="00C51A35"/>
    <w:rsid w:val="00C51C25"/>
    <w:rsid w:val="00C55B07"/>
    <w:rsid w:val="00C57D5C"/>
    <w:rsid w:val="00C672C3"/>
    <w:rsid w:val="00C71414"/>
    <w:rsid w:val="00C7239B"/>
    <w:rsid w:val="00C86D23"/>
    <w:rsid w:val="00C92787"/>
    <w:rsid w:val="00C97DF0"/>
    <w:rsid w:val="00CA4236"/>
    <w:rsid w:val="00CA4688"/>
    <w:rsid w:val="00CB3863"/>
    <w:rsid w:val="00CB62C5"/>
    <w:rsid w:val="00CC05DE"/>
    <w:rsid w:val="00CC4527"/>
    <w:rsid w:val="00CC7D22"/>
    <w:rsid w:val="00CD3708"/>
    <w:rsid w:val="00CF3DAF"/>
    <w:rsid w:val="00CF44A4"/>
    <w:rsid w:val="00CF4B56"/>
    <w:rsid w:val="00CF5D21"/>
    <w:rsid w:val="00D10390"/>
    <w:rsid w:val="00D10976"/>
    <w:rsid w:val="00D13238"/>
    <w:rsid w:val="00D14026"/>
    <w:rsid w:val="00D15214"/>
    <w:rsid w:val="00D224FA"/>
    <w:rsid w:val="00D33385"/>
    <w:rsid w:val="00D347EE"/>
    <w:rsid w:val="00D43347"/>
    <w:rsid w:val="00D441A1"/>
    <w:rsid w:val="00D45408"/>
    <w:rsid w:val="00D553C9"/>
    <w:rsid w:val="00D5546B"/>
    <w:rsid w:val="00D600FE"/>
    <w:rsid w:val="00D609BB"/>
    <w:rsid w:val="00D63FEC"/>
    <w:rsid w:val="00D66387"/>
    <w:rsid w:val="00D67E11"/>
    <w:rsid w:val="00D70EF7"/>
    <w:rsid w:val="00D75AC7"/>
    <w:rsid w:val="00D763CF"/>
    <w:rsid w:val="00D806AD"/>
    <w:rsid w:val="00D94A3F"/>
    <w:rsid w:val="00D95614"/>
    <w:rsid w:val="00D97D9F"/>
    <w:rsid w:val="00DA1097"/>
    <w:rsid w:val="00DA1867"/>
    <w:rsid w:val="00DA59E6"/>
    <w:rsid w:val="00DA5C0E"/>
    <w:rsid w:val="00DA67C5"/>
    <w:rsid w:val="00DA7481"/>
    <w:rsid w:val="00DA759A"/>
    <w:rsid w:val="00DB239D"/>
    <w:rsid w:val="00DB4880"/>
    <w:rsid w:val="00DB61EA"/>
    <w:rsid w:val="00DB7F40"/>
    <w:rsid w:val="00DB7F55"/>
    <w:rsid w:val="00DC0A8F"/>
    <w:rsid w:val="00DC34A0"/>
    <w:rsid w:val="00DC3DA7"/>
    <w:rsid w:val="00DD4D7B"/>
    <w:rsid w:val="00DD6159"/>
    <w:rsid w:val="00DD7D52"/>
    <w:rsid w:val="00DE1119"/>
    <w:rsid w:val="00DE1400"/>
    <w:rsid w:val="00DE6465"/>
    <w:rsid w:val="00DF29D2"/>
    <w:rsid w:val="00DF37F2"/>
    <w:rsid w:val="00DF799A"/>
    <w:rsid w:val="00E04437"/>
    <w:rsid w:val="00E07DEA"/>
    <w:rsid w:val="00E16C65"/>
    <w:rsid w:val="00E20108"/>
    <w:rsid w:val="00E22318"/>
    <w:rsid w:val="00E24012"/>
    <w:rsid w:val="00E24283"/>
    <w:rsid w:val="00E2493C"/>
    <w:rsid w:val="00E26D7E"/>
    <w:rsid w:val="00E272F5"/>
    <w:rsid w:val="00E31885"/>
    <w:rsid w:val="00E32976"/>
    <w:rsid w:val="00E3741F"/>
    <w:rsid w:val="00E4068E"/>
    <w:rsid w:val="00E43535"/>
    <w:rsid w:val="00E51EA2"/>
    <w:rsid w:val="00E5202D"/>
    <w:rsid w:val="00E52901"/>
    <w:rsid w:val="00E53313"/>
    <w:rsid w:val="00E62B05"/>
    <w:rsid w:val="00E65941"/>
    <w:rsid w:val="00E70B5F"/>
    <w:rsid w:val="00E72E8C"/>
    <w:rsid w:val="00E74675"/>
    <w:rsid w:val="00E76958"/>
    <w:rsid w:val="00E7723C"/>
    <w:rsid w:val="00E81056"/>
    <w:rsid w:val="00E82CE6"/>
    <w:rsid w:val="00E8359E"/>
    <w:rsid w:val="00E92FE9"/>
    <w:rsid w:val="00E93526"/>
    <w:rsid w:val="00E976E9"/>
    <w:rsid w:val="00E97D42"/>
    <w:rsid w:val="00EA2F07"/>
    <w:rsid w:val="00EA541A"/>
    <w:rsid w:val="00EA59EE"/>
    <w:rsid w:val="00EB10D8"/>
    <w:rsid w:val="00EB1572"/>
    <w:rsid w:val="00EB4DC6"/>
    <w:rsid w:val="00EC5657"/>
    <w:rsid w:val="00EC6B8F"/>
    <w:rsid w:val="00ED0CF5"/>
    <w:rsid w:val="00ED194B"/>
    <w:rsid w:val="00ED7BBA"/>
    <w:rsid w:val="00EE0656"/>
    <w:rsid w:val="00EE0F35"/>
    <w:rsid w:val="00EE37DB"/>
    <w:rsid w:val="00EE7C83"/>
    <w:rsid w:val="00EF7170"/>
    <w:rsid w:val="00F07162"/>
    <w:rsid w:val="00F07D24"/>
    <w:rsid w:val="00F12770"/>
    <w:rsid w:val="00F157E5"/>
    <w:rsid w:val="00F17BC5"/>
    <w:rsid w:val="00F2312F"/>
    <w:rsid w:val="00F25DD5"/>
    <w:rsid w:val="00F27CB5"/>
    <w:rsid w:val="00F31F4A"/>
    <w:rsid w:val="00F327B6"/>
    <w:rsid w:val="00F35267"/>
    <w:rsid w:val="00F3641B"/>
    <w:rsid w:val="00F42476"/>
    <w:rsid w:val="00F43549"/>
    <w:rsid w:val="00F4526C"/>
    <w:rsid w:val="00F51115"/>
    <w:rsid w:val="00F65680"/>
    <w:rsid w:val="00F70FFE"/>
    <w:rsid w:val="00F7184A"/>
    <w:rsid w:val="00F746C5"/>
    <w:rsid w:val="00F811DD"/>
    <w:rsid w:val="00F811E1"/>
    <w:rsid w:val="00F824D6"/>
    <w:rsid w:val="00F904F7"/>
    <w:rsid w:val="00F92967"/>
    <w:rsid w:val="00FA19B4"/>
    <w:rsid w:val="00FA7CFE"/>
    <w:rsid w:val="00FB1095"/>
    <w:rsid w:val="00FB1587"/>
    <w:rsid w:val="00FC099C"/>
    <w:rsid w:val="00FC66DA"/>
    <w:rsid w:val="00FD2956"/>
    <w:rsid w:val="00FD2D27"/>
    <w:rsid w:val="00FD2D62"/>
    <w:rsid w:val="00FE0717"/>
    <w:rsid w:val="00FE2EFA"/>
    <w:rsid w:val="00FE31A3"/>
    <w:rsid w:val="00FE75FC"/>
    <w:rsid w:val="00FF00FF"/>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487"/>
    <w:rPr>
      <w:rFonts w:ascii="Times New Roman" w:eastAsia="Times New Roman" w:hAnsi="Times New Roman" w:cs="Times New Roman"/>
      <w:lang w:val="es-AR" w:eastAsia="es-MX"/>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lang w:val="es-ES_tradnl" w:eastAsia="es-ES_tradnl"/>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uiPriority w:val="1"/>
    <w:qFormat/>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uiPriority w:val="1"/>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lang w:val="es-ES_tradnl" w:eastAsia="es-ES_tradnl"/>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lang w:val="es-ES_tradnl" w:eastAsia="es-ES_tradnl"/>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eastAsia="es-ES_tradnl"/>
    </w:rPr>
  </w:style>
  <w:style w:type="paragraph" w:customStyle="1" w:styleId="Notaalpie1erapgina">
    <w:name w:val="Nota al pie 1era página"/>
    <w:basedOn w:val="Normal"/>
    <w:qFormat/>
    <w:rsid w:val="00B87BAC"/>
    <w:rPr>
      <w:rFonts w:ascii="Times" w:hAnsi="Times"/>
      <w:sz w:val="16"/>
      <w:szCs w:val="16"/>
      <w:lang w:val="pt-BR" w:eastAsia="es-ES_tradnl"/>
    </w:rPr>
  </w:style>
  <w:style w:type="paragraph" w:customStyle="1" w:styleId="Palabrasclave">
    <w:name w:val="Palabras clave"/>
    <w:basedOn w:val="Normal"/>
    <w:qFormat/>
    <w:rsid w:val="00B87BAC"/>
    <w:pPr>
      <w:jc w:val="both"/>
    </w:pPr>
    <w:rPr>
      <w:bCs/>
      <w:sz w:val="20"/>
      <w:szCs w:val="20"/>
      <w:lang w:val="es-ES_tradnl" w:eastAsia="es-ES_tradnl"/>
    </w:rPr>
  </w:style>
  <w:style w:type="paragraph" w:customStyle="1" w:styleId="Prrafocomn">
    <w:name w:val="Párrafo común"/>
    <w:basedOn w:val="Normal"/>
    <w:qFormat/>
    <w:rsid w:val="00B87BAC"/>
    <w:pPr>
      <w:spacing w:line="360" w:lineRule="auto"/>
      <w:ind w:firstLine="708"/>
      <w:contextualSpacing/>
      <w:jc w:val="both"/>
    </w:pPr>
    <w:rPr>
      <w:lang w:val="en-US" w:eastAsia="es-ES_tradnl"/>
    </w:rPr>
  </w:style>
  <w:style w:type="paragraph" w:customStyle="1" w:styleId="RecibidoAceptado">
    <w:name w:val="Recibido/Aceptado"/>
    <w:basedOn w:val="Normal"/>
    <w:qFormat/>
    <w:rsid w:val="00B87BAC"/>
    <w:pPr>
      <w:shd w:val="clear" w:color="auto" w:fill="FFFFFF"/>
      <w:jc w:val="right"/>
    </w:pPr>
    <w:rPr>
      <w:i/>
      <w:iCs/>
      <w:sz w:val="20"/>
      <w:szCs w:val="20"/>
      <w:lang w:val="pt-BR" w:eastAsia="es-ES_tradnl"/>
    </w:rPr>
  </w:style>
  <w:style w:type="paragraph" w:customStyle="1" w:styleId="Referencias">
    <w:name w:val="Referencias"/>
    <w:basedOn w:val="Normal"/>
    <w:qFormat/>
    <w:rsid w:val="00B87BAC"/>
    <w:pPr>
      <w:ind w:left="720" w:hanging="720"/>
      <w:jc w:val="both"/>
    </w:pPr>
    <w:rPr>
      <w:lang w:val="en-US" w:eastAsia="es-ES_tradnl"/>
    </w:rPr>
  </w:style>
  <w:style w:type="paragraph" w:customStyle="1" w:styleId="Resumen">
    <w:name w:val="Resumen"/>
    <w:basedOn w:val="Normal"/>
    <w:autoRedefine/>
    <w:qFormat/>
    <w:rsid w:val="008C5B2C"/>
    <w:pPr>
      <w:jc w:val="both"/>
    </w:pPr>
    <w:rPr>
      <w:sz w:val="20"/>
      <w:szCs w:val="20"/>
      <w:lang w:val="en-US" w:eastAsia="es-ES_tradnl"/>
    </w:rPr>
  </w:style>
  <w:style w:type="paragraph" w:customStyle="1" w:styleId="Titulodeartculo">
    <w:name w:val="Titulo de artículo"/>
    <w:basedOn w:val="Normal"/>
    <w:link w:val="TitulodeartculoCar"/>
    <w:autoRedefine/>
    <w:qFormat/>
    <w:rsid w:val="002B04BE"/>
    <w:pPr>
      <w:jc w:val="center"/>
      <w:outlineLvl w:val="0"/>
    </w:pPr>
    <w:rPr>
      <w:b/>
      <w:noProof/>
      <w:sz w:val="36"/>
      <w:szCs w:val="36"/>
      <w:lang w:val="es-ES_tradnl" w:eastAsia="es-ES_tradnl"/>
    </w:rPr>
  </w:style>
  <w:style w:type="character" w:customStyle="1" w:styleId="TitulodeartculoCar">
    <w:name w:val="Titulo de artículo Car"/>
    <w:basedOn w:val="Fuentedeprrafopredeter"/>
    <w:link w:val="Titulodeartculo"/>
    <w:rsid w:val="002B04BE"/>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eastAsia="es-ES_tradnl"/>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eastAsia="es-ES_tradnl"/>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eastAsia="es-ES_tradnl"/>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225541"/>
    <w:pPr>
      <w:spacing w:before="100" w:beforeAutospacing="1" w:after="100" w:afterAutospacing="1"/>
      <w:jc w:val="center"/>
      <w:outlineLvl w:val="0"/>
    </w:pPr>
    <w:rPr>
      <w:b/>
      <w:bCs/>
      <w:iCs/>
      <w:lang w:val="es" w:eastAsia="es-ES_tradnl"/>
    </w:rPr>
  </w:style>
  <w:style w:type="character" w:customStyle="1" w:styleId="TtulosinternosCar">
    <w:name w:val="Títulos internos Car"/>
    <w:basedOn w:val="Fuentedeprrafopredeter"/>
    <w:link w:val="Ttulosinternos"/>
    <w:rsid w:val="00225541"/>
    <w:rPr>
      <w:rFonts w:ascii="Times New Roman" w:eastAsia="Times New Roman" w:hAnsi="Times New Roman" w:cs="Times New Roman"/>
      <w:b/>
      <w:bCs/>
      <w:iCs/>
      <w:lang w:val="es" w:eastAsia="es-ES_tradnl"/>
    </w:rPr>
  </w:style>
  <w:style w:type="paragraph" w:customStyle="1" w:styleId="SubtituloInterno">
    <w:name w:val="Subtitulo Interno"/>
    <w:basedOn w:val="Normal"/>
    <w:link w:val="SubtituloInternoCar"/>
    <w:autoRedefine/>
    <w:qFormat/>
    <w:rsid w:val="00471F54"/>
    <w:pPr>
      <w:spacing w:before="100" w:beforeAutospacing="1" w:after="100" w:afterAutospacing="1" w:line="360" w:lineRule="auto"/>
      <w:contextualSpacing/>
      <w:outlineLvl w:val="1"/>
    </w:pPr>
    <w:rPr>
      <w:b/>
      <w:i/>
      <w:lang w:val="es-ES_tradnl" w:eastAsia="en-US"/>
    </w:rPr>
  </w:style>
  <w:style w:type="paragraph" w:styleId="Bibliografa">
    <w:name w:val="Bibliography"/>
    <w:basedOn w:val="Normal"/>
    <w:next w:val="Normal"/>
    <w:uiPriority w:val="37"/>
    <w:semiHidden/>
    <w:unhideWhenUsed/>
    <w:rsid w:val="00F4526C"/>
    <w:rPr>
      <w:lang w:val="es-ES_tradnl" w:eastAsia="es-ES_tradnl"/>
    </w:rPr>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rPr>
      <w:lang w:val="es-ES_tradnl" w:eastAsia="es-ES_tradnl"/>
    </w:r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rPr>
      <w:lang w:val="es-ES_tradnl" w:eastAsia="es-ES_tradnl"/>
    </w:r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471F54"/>
    <w:rPr>
      <w:rFonts w:ascii="Times New Roman" w:eastAsia="Times New Roman" w:hAnsi="Times New Roman" w:cs="Times New Roman"/>
      <w:b/>
      <w:i/>
      <w:lang w:val="es-ES_tradnl"/>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eastAsia="es-ES_tradnl"/>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table" w:customStyle="1" w:styleId="SimplesTabela21">
    <w:name w:val="Simples Tabela 21"/>
    <w:basedOn w:val="Tablanormal"/>
    <w:uiPriority w:val="42"/>
    <w:rsid w:val="009A0192"/>
    <w:rPr>
      <w:rFonts w:ascii="Arial" w:eastAsia="Arial" w:hAnsi="Arial" w:cs="Arial"/>
      <w:sz w:val="22"/>
      <w:szCs w:val="22"/>
      <w:lang w:val="pt-BR" w:eastAsia="pt-B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8">
    <w:name w:val="Tabela de Lista 6 Colorida8"/>
    <w:basedOn w:val="Tablanormal"/>
    <w:uiPriority w:val="51"/>
    <w:rsid w:val="00E43535"/>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1Clara1">
    <w:name w:val="Tabela de Lista 1 Clara1"/>
    <w:basedOn w:val="Tablanormal"/>
    <w:uiPriority w:val="46"/>
    <w:rsid w:val="00E43535"/>
    <w:rPr>
      <w:sz w:val="22"/>
      <w:szCs w:val="22"/>
      <w:lang w:val="pt-P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lanormal"/>
    <w:next w:val="Tablanormal"/>
    <w:uiPriority w:val="51"/>
    <w:rsid w:val="001941FE"/>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11">
    <w:name w:val="Tabela de Lista 6 Colorida11"/>
    <w:basedOn w:val="Tablanormal"/>
    <w:next w:val="Tablanormal"/>
    <w:uiPriority w:val="51"/>
    <w:rsid w:val="00750D6C"/>
    <w:rPr>
      <w:color w:val="000000" w:themeColor="text1"/>
      <w:sz w:val="22"/>
      <w:szCs w:val="22"/>
      <w:lang w:val="pt-P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1C7D0A"/>
    <w:pPr>
      <w:ind w:firstLine="284"/>
      <w:jc w:val="both"/>
    </w:pPr>
    <w:rPr>
      <w:rFonts w:ascii="Calibri" w:eastAsia="Calibri" w:hAnsi="Calibri" w:cs="Times New Roman"/>
      <w:sz w:val="22"/>
      <w:szCs w:val="22"/>
      <w:lang w:val="es-MX"/>
    </w:rPr>
  </w:style>
  <w:style w:type="paragraph" w:customStyle="1" w:styleId="Subtitulo2">
    <w:name w:val="Subtitulo 2"/>
    <w:basedOn w:val="SubtituloInterno1"/>
    <w:qFormat/>
    <w:rsid w:val="001264AC"/>
    <w:rPr>
      <w:b/>
    </w:rPr>
  </w:style>
  <w:style w:type="table" w:customStyle="1" w:styleId="Tablaconcuadrcula8">
    <w:name w:val="Tabla con cuadrícula8"/>
    <w:basedOn w:val="Tablanormal"/>
    <w:next w:val="Tablaconcuadrcula"/>
    <w:uiPriority w:val="39"/>
    <w:rsid w:val="005F6D0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82810">
      <w:bodyDiv w:val="1"/>
      <w:marLeft w:val="0"/>
      <w:marRight w:val="0"/>
      <w:marTop w:val="0"/>
      <w:marBottom w:val="0"/>
      <w:divBdr>
        <w:top w:val="none" w:sz="0" w:space="0" w:color="auto"/>
        <w:left w:val="none" w:sz="0" w:space="0" w:color="auto"/>
        <w:bottom w:val="none" w:sz="0" w:space="0" w:color="auto"/>
        <w:right w:val="none" w:sz="0" w:space="0" w:color="auto"/>
      </w:divBdr>
    </w:div>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33522336">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183131736">
      <w:bodyDiv w:val="1"/>
      <w:marLeft w:val="0"/>
      <w:marRight w:val="0"/>
      <w:marTop w:val="0"/>
      <w:marBottom w:val="0"/>
      <w:divBdr>
        <w:top w:val="none" w:sz="0" w:space="0" w:color="auto"/>
        <w:left w:val="none" w:sz="0" w:space="0" w:color="auto"/>
        <w:bottom w:val="none" w:sz="0" w:space="0" w:color="auto"/>
        <w:right w:val="none" w:sz="0" w:space="0" w:color="auto"/>
      </w:divBdr>
    </w:div>
    <w:div w:id="210773966">
      <w:bodyDiv w:val="1"/>
      <w:marLeft w:val="0"/>
      <w:marRight w:val="0"/>
      <w:marTop w:val="0"/>
      <w:marBottom w:val="0"/>
      <w:divBdr>
        <w:top w:val="none" w:sz="0" w:space="0" w:color="auto"/>
        <w:left w:val="none" w:sz="0" w:space="0" w:color="auto"/>
        <w:bottom w:val="none" w:sz="0" w:space="0" w:color="auto"/>
        <w:right w:val="none" w:sz="0" w:space="0" w:color="auto"/>
      </w:divBdr>
      <w:divsChild>
        <w:div w:id="1446848900">
          <w:marLeft w:val="0"/>
          <w:marRight w:val="0"/>
          <w:marTop w:val="0"/>
          <w:marBottom w:val="0"/>
          <w:divBdr>
            <w:top w:val="none" w:sz="0" w:space="0" w:color="auto"/>
            <w:left w:val="none" w:sz="0" w:space="0" w:color="auto"/>
            <w:bottom w:val="none" w:sz="0" w:space="0" w:color="auto"/>
            <w:right w:val="none" w:sz="0" w:space="0" w:color="auto"/>
          </w:divBdr>
          <w:divsChild>
            <w:div w:id="880173529">
              <w:marLeft w:val="0"/>
              <w:marRight w:val="0"/>
              <w:marTop w:val="0"/>
              <w:marBottom w:val="0"/>
              <w:divBdr>
                <w:top w:val="none" w:sz="0" w:space="0" w:color="auto"/>
                <w:left w:val="none" w:sz="0" w:space="0" w:color="auto"/>
                <w:bottom w:val="none" w:sz="0" w:space="0" w:color="auto"/>
                <w:right w:val="none" w:sz="0" w:space="0" w:color="auto"/>
              </w:divBdr>
            </w:div>
          </w:divsChild>
        </w:div>
        <w:div w:id="285507036">
          <w:marLeft w:val="0"/>
          <w:marRight w:val="0"/>
          <w:marTop w:val="0"/>
          <w:marBottom w:val="0"/>
          <w:divBdr>
            <w:top w:val="none" w:sz="0" w:space="0" w:color="auto"/>
            <w:left w:val="none" w:sz="0" w:space="0" w:color="auto"/>
            <w:bottom w:val="none" w:sz="0" w:space="0" w:color="auto"/>
            <w:right w:val="none" w:sz="0" w:space="0" w:color="auto"/>
          </w:divBdr>
          <w:divsChild>
            <w:div w:id="13930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459625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3503711">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5269779">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6696">
      <w:bodyDiv w:val="1"/>
      <w:marLeft w:val="0"/>
      <w:marRight w:val="0"/>
      <w:marTop w:val="0"/>
      <w:marBottom w:val="0"/>
      <w:divBdr>
        <w:top w:val="none" w:sz="0" w:space="0" w:color="auto"/>
        <w:left w:val="none" w:sz="0" w:space="0" w:color="auto"/>
        <w:bottom w:val="none" w:sz="0" w:space="0" w:color="auto"/>
        <w:right w:val="none" w:sz="0" w:space="0" w:color="auto"/>
      </w:divBdr>
    </w:div>
    <w:div w:id="665977060">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23212720">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72284384">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3083469">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46934601">
      <w:bodyDiv w:val="1"/>
      <w:marLeft w:val="0"/>
      <w:marRight w:val="0"/>
      <w:marTop w:val="0"/>
      <w:marBottom w:val="0"/>
      <w:divBdr>
        <w:top w:val="none" w:sz="0" w:space="0" w:color="auto"/>
        <w:left w:val="none" w:sz="0" w:space="0" w:color="auto"/>
        <w:bottom w:val="none" w:sz="0" w:space="0" w:color="auto"/>
        <w:right w:val="none" w:sz="0" w:space="0" w:color="auto"/>
      </w:divBdr>
    </w:div>
    <w:div w:id="96346284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3647455">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21550255">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00693062">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46636382">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3505529">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25549377">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088068026">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paid.2019.109547" TargetMode="External"/><Relationship Id="rId21" Type="http://schemas.openxmlformats.org/officeDocument/2006/relationships/hyperlink" Target="https://doi.org/10.1037/0022-3514.83.6.1423" TargetMode="External"/><Relationship Id="rId34" Type="http://schemas.openxmlformats.org/officeDocument/2006/relationships/hyperlink" Target="https://doi.org/10.1162/0011526042365555" TargetMode="External"/><Relationship Id="rId42" Type="http://schemas.openxmlformats.org/officeDocument/2006/relationships/hyperlink" Target="https://doi.org/10.1371/journal.pone.0208541" TargetMode="External"/><Relationship Id="rId47" Type="http://schemas.openxmlformats.org/officeDocument/2006/relationships/hyperlink" Target="https://doi.org/10.1037/pha0000256" TargetMode="External"/><Relationship Id="rId50" Type="http://schemas.openxmlformats.org/officeDocument/2006/relationships/hyperlink" Target="https://doi.org/10.1111/1467-9280.00139" TargetMode="External"/><Relationship Id="rId55" Type="http://schemas.openxmlformats.org/officeDocument/2006/relationships/hyperlink" Target="https://doi.org/10.4300/JGME-D-12-00156.1" TargetMode="External"/><Relationship Id="rId63" Type="http://schemas.openxmlformats.org/officeDocument/2006/relationships/header" Target="head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16/j.obhdp.2011.03.001" TargetMode="External"/><Relationship Id="rId11" Type="http://schemas.openxmlformats.org/officeDocument/2006/relationships/hyperlink" Target="https://orcid.org/0000-0002-2146-1653" TargetMode="External"/><Relationship Id="rId24" Type="http://schemas.openxmlformats.org/officeDocument/2006/relationships/hyperlink" Target="https://doi.org/10.1111/j.1365-2923.2008.03172.x" TargetMode="External"/><Relationship Id="rId32" Type="http://schemas.openxmlformats.org/officeDocument/2006/relationships/hyperlink" Target="https://doi.org/10.1080/03057240.2013.817327" TargetMode="External"/><Relationship Id="rId37" Type="http://schemas.openxmlformats.org/officeDocument/2006/relationships/hyperlink" Target="https://www.ine.gob.bo/index.php/censos-y-proyecciones-de-poblacion-sociales/" TargetMode="External"/><Relationship Id="rId40" Type="http://schemas.openxmlformats.org/officeDocument/2006/relationships/hyperlink" Target="https://doi.org/10.1007/s10964-021-01564-3" TargetMode="External"/><Relationship Id="rId45" Type="http://schemas.openxmlformats.org/officeDocument/2006/relationships/hyperlink" Target="https://doi.org/10.1093/oso/9780197500941.003.0014" TargetMode="External"/><Relationship Id="rId53" Type="http://schemas.openxmlformats.org/officeDocument/2006/relationships/hyperlink" Target="https://doi.org/10.1080/01639625.2019.1678580" TargetMode="External"/><Relationship Id="rId58" Type="http://schemas.openxmlformats.org/officeDocument/2006/relationships/hyperlink" Target="https://doi.org/10.3389/fpsyg.2017.01041" TargetMode="External"/><Relationship Id="rId66"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371/journal.pone.0258910" TargetMode="External"/><Relationship Id="rId19" Type="http://schemas.openxmlformats.org/officeDocument/2006/relationships/hyperlink" Target="https://doi.org/10.1016/j.paid.2023.112095" TargetMode="External"/><Relationship Id="rId14" Type="http://schemas.openxmlformats.org/officeDocument/2006/relationships/hyperlink" Target="https://sipsych.org/" TargetMode="External"/><Relationship Id="rId22" Type="http://schemas.openxmlformats.org/officeDocument/2006/relationships/hyperlink" Target="https://www.taylorfrancis.com/chapters/edit/10.4324/9781315807294-8/social-cognitive-theory-moral-thought-action-albert-bandura" TargetMode="External"/><Relationship Id="rId27" Type="http://schemas.openxmlformats.org/officeDocument/2006/relationships/hyperlink" Target="https://doi.org/10.1177/2515245919847202" TargetMode="External"/><Relationship Id="rId30" Type="http://schemas.openxmlformats.org/officeDocument/2006/relationships/hyperlink" Target="https://www.sciencedirect.com/science/article/pii/B9780124072367000024" TargetMode="External"/><Relationship Id="rId35" Type="http://schemas.openxmlformats.org/officeDocument/2006/relationships/hyperlink" Target="https://doi.org/10.1016/j.appet.2019.104578" TargetMode="External"/><Relationship Id="rId43" Type="http://schemas.openxmlformats.org/officeDocument/2006/relationships/hyperlink" Target="https://doi.org/10.3389/fpsyg.2021.735755" TargetMode="External"/><Relationship Id="rId48" Type="http://schemas.openxmlformats.org/officeDocument/2006/relationships/hyperlink" Target="https://doi.org/10.24425/119476" TargetMode="External"/><Relationship Id="rId56" Type="http://schemas.openxmlformats.org/officeDocument/2006/relationships/hyperlink" Target="https://www.taylorfrancis.com/chapters/edit/10.4324/9781315175775-5/high-self-control-predicts-good-adjustment-less-pathology-better-grades-interpersonal-success-june-tangney-angie-luzio-boone-roy-baumeister" TargetMode="External"/><Relationship Id="rId64" Type="http://schemas.openxmlformats.org/officeDocument/2006/relationships/header" Target="header2.xml"/><Relationship Id="rId8" Type="http://schemas.openxmlformats.org/officeDocument/2006/relationships/hyperlink" Target="https://doi.org/10.30849/ripijp.v58i2.1842" TargetMode="External"/><Relationship Id="rId51" Type="http://schemas.openxmlformats.org/officeDocument/2006/relationships/hyperlink" Target="https://doi.org/10.1111/j.1467-9280.1997.tb00685.x"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psycnet.apa.org/fulltext/1985-11199-001.html" TargetMode="External"/><Relationship Id="rId25" Type="http://schemas.openxmlformats.org/officeDocument/2006/relationships/hyperlink" Target="https://doi.org/10.1016/j.ehb.2023.101263" TargetMode="External"/><Relationship Id="rId33" Type="http://schemas.openxmlformats.org/officeDocument/2006/relationships/hyperlink" Target="https://doi.org/10.1007/s11211-007-0034-z" TargetMode="External"/><Relationship Id="rId38" Type="http://schemas.openxmlformats.org/officeDocument/2006/relationships/hyperlink" Target="https://doi.org/10.1111/spc3.12200" TargetMode="External"/><Relationship Id="rId46" Type="http://schemas.openxmlformats.org/officeDocument/2006/relationships/hyperlink" Target="https://doi.org/10.1037/pspp0000149" TargetMode="External"/><Relationship Id="rId59" Type="http://schemas.openxmlformats.org/officeDocument/2006/relationships/hyperlink" Target="https://doi.org/10.1016/j.jbusres.2018.07.043" TargetMode="External"/><Relationship Id="rId67" Type="http://schemas.openxmlformats.org/officeDocument/2006/relationships/fontTable" Target="fontTable.xml"/><Relationship Id="rId20" Type="http://schemas.openxmlformats.org/officeDocument/2006/relationships/hyperlink" Target="https://doi.org/10.1037/a0015406" TargetMode="External"/><Relationship Id="rId41" Type="http://schemas.openxmlformats.org/officeDocument/2006/relationships/hyperlink" Target="https://www.sciencedirect.com/science/article/pii/S0273229722000260" TargetMode="External"/><Relationship Id="rId54" Type="http://schemas.openxmlformats.org/officeDocument/2006/relationships/hyperlink" Target="https://psycnet.apa.org/journals/amp/8/2/69/" TargetMode="External"/><Relationship Id="rId62" Type="http://schemas.openxmlformats.org/officeDocument/2006/relationships/hyperlink" Target="https://doi.org/10.1016/j.dcn.2020.10081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80/1047840X.2017.1323463" TargetMode="External"/><Relationship Id="rId28" Type="http://schemas.openxmlformats.org/officeDocument/2006/relationships/hyperlink" Target="https://doi.org/10.18682/pd.v18i2.745" TargetMode="External"/><Relationship Id="rId36" Type="http://schemas.openxmlformats.org/officeDocument/2006/relationships/hyperlink" Target="https://doi.org/10.1038/s44159-023-00256-y" TargetMode="External"/><Relationship Id="rId49" Type="http://schemas.openxmlformats.org/officeDocument/2006/relationships/hyperlink" Target="https://psycnet.apa.org/fulltext/2020-00476-001.html" TargetMode="External"/><Relationship Id="rId57" Type="http://schemas.openxmlformats.org/officeDocument/2006/relationships/hyperlink" Target="https://doi.org/10.1177/1477370810372132" TargetMode="External"/><Relationship Id="rId10" Type="http://schemas.openxmlformats.org/officeDocument/2006/relationships/image" Target="media/image1.png"/><Relationship Id="rId31" Type="http://schemas.openxmlformats.org/officeDocument/2006/relationships/hyperlink" Target="https://doi.org/10.1037/a0021847" TargetMode="External"/><Relationship Id="rId44" Type="http://schemas.openxmlformats.org/officeDocument/2006/relationships/hyperlink" Target="https://doi.org/10.1016/j.paid.2015.07.006" TargetMode="External"/><Relationship Id="rId52" Type="http://schemas.openxmlformats.org/officeDocument/2006/relationships/hyperlink" Target="https://www.taylorfrancis.com/chapters/edit/10.4324/9781351296281-6/darwinian-explanations-morality-accounting-normal-normative-jeffrey-schloss" TargetMode="External"/><Relationship Id="rId60" Type="http://schemas.openxmlformats.org/officeDocument/2006/relationships/hyperlink" Target="https://doi.org/10.1016/j.neubiorev.2019.10.022"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30849/ripijp.v57i2.1715" TargetMode="External"/><Relationship Id="rId13" Type="http://schemas.openxmlformats.org/officeDocument/2006/relationships/hyperlink" Target="http://orcid.org/0000-0003-1909-2462" TargetMode="External"/><Relationship Id="rId18" Type="http://schemas.openxmlformats.org/officeDocument/2006/relationships/hyperlink" Target="https://www.apa.org/ethics/code" TargetMode="External"/><Relationship Id="rId39" Type="http://schemas.openxmlformats.org/officeDocument/2006/relationships/hyperlink" Target="https://doi.org/10.1371/journal.pone.012637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dayaorellana@gmail.com?subject=RIP/IJP:Self-Control%20Moralization:%20The%20Role%20of%20Moral%20Identity%20and%20Moral%20Foundations%20in%20a%20Young%20Adults%20Samp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DD9C3-962C-4D90-ABE5-143A8367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19</Pages>
  <Words>7160</Words>
  <Characters>39386</Characters>
  <Application>Microsoft Office Word</Application>
  <DocSecurity>0</DocSecurity>
  <Lines>328</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16</cp:revision>
  <cp:lastPrinted>2020-05-06T22:26:00Z</cp:lastPrinted>
  <dcterms:created xsi:type="dcterms:W3CDTF">2024-08-27T22:37:00Z</dcterms:created>
  <dcterms:modified xsi:type="dcterms:W3CDTF">2024-09-05T23:20:00Z</dcterms:modified>
</cp:coreProperties>
</file>