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920A" w14:textId="77777777" w:rsidR="00A61FD4" w:rsidRPr="00BD4653" w:rsidRDefault="00A61FD4" w:rsidP="00A61FD4">
      <w:pPr>
        <w:spacing w:line="360" w:lineRule="auto"/>
        <w:ind w:left="3876" w:firstLine="1080"/>
        <w:jc w:val="both"/>
        <w:rPr>
          <w:rFonts w:eastAsia="MS Mincho"/>
          <w:lang w:val="en-GB"/>
        </w:rPr>
      </w:pPr>
      <w:r w:rsidRPr="00BD4653">
        <w:rPr>
          <w:rFonts w:eastAsia="MS Mincho"/>
          <w:noProof/>
          <w:lang w:eastAsia="pt-PT"/>
        </w:rPr>
        <w:drawing>
          <wp:inline distT="0" distB="0" distL="0" distR="0" wp14:anchorId="31086DA1" wp14:editId="2B62798E">
            <wp:extent cx="920115" cy="462915"/>
            <wp:effectExtent l="19050" t="0" r="0" b="0"/>
            <wp:docPr id="3" name="Imagem 3" descr="UM-EP- Só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EP- Só LOGO"/>
                    <pic:cNvPicPr>
                      <a:picLocks noChangeAspect="1" noChangeArrowheads="1"/>
                    </pic:cNvPicPr>
                  </pic:nvPicPr>
                  <pic:blipFill>
                    <a:blip r:embed="rId10" cstate="print"/>
                    <a:srcRect/>
                    <a:stretch>
                      <a:fillRect/>
                    </a:stretch>
                  </pic:blipFill>
                  <pic:spPr bwMode="auto">
                    <a:xfrm>
                      <a:off x="0" y="0"/>
                      <a:ext cx="920115" cy="462915"/>
                    </a:xfrm>
                    <a:prstGeom prst="rect">
                      <a:avLst/>
                    </a:prstGeom>
                    <a:noFill/>
                    <a:ln w="9525">
                      <a:noFill/>
                      <a:miter lim="800000"/>
                      <a:headEnd/>
                      <a:tailEnd/>
                    </a:ln>
                  </pic:spPr>
                </pic:pic>
              </a:graphicData>
            </a:graphic>
          </wp:inline>
        </w:drawing>
      </w:r>
    </w:p>
    <w:p w14:paraId="57917262" w14:textId="6110F136" w:rsidR="00A61FD4" w:rsidRPr="00BD4653" w:rsidRDefault="00A61FD4" w:rsidP="00A61FD4">
      <w:pPr>
        <w:jc w:val="both"/>
        <w:rPr>
          <w:rFonts w:eastAsia="MS Mincho"/>
        </w:rPr>
      </w:pPr>
      <w:r w:rsidRPr="00BD4653">
        <w:rPr>
          <w:rFonts w:eastAsia="MS Mincho"/>
          <w:lang w:val="en-GB"/>
        </w:rPr>
        <w:tab/>
      </w:r>
      <w:r w:rsidRPr="00BD4653">
        <w:rPr>
          <w:rFonts w:eastAsia="MS Mincho"/>
        </w:rPr>
        <w:t>Campus de Gualtar</w:t>
      </w:r>
      <w:r w:rsidRPr="00BD4653">
        <w:rPr>
          <w:rFonts w:eastAsia="MS Mincho"/>
        </w:rPr>
        <w:tab/>
      </w:r>
      <w:r w:rsidRPr="00BD4653">
        <w:rPr>
          <w:rFonts w:eastAsia="MS Mincho"/>
        </w:rPr>
        <w:tab/>
      </w:r>
      <w:r w:rsidRPr="00BD4653">
        <w:rPr>
          <w:rFonts w:eastAsia="MS Mincho"/>
        </w:rPr>
        <w:tab/>
        <w:t xml:space="preserve">       </w:t>
      </w:r>
      <w:r w:rsidR="009A6B8C" w:rsidRPr="00BD4653">
        <w:rPr>
          <w:rFonts w:eastAsia="MS Mincho"/>
        </w:rPr>
        <w:t>Universidade do Minho</w:t>
      </w:r>
    </w:p>
    <w:p w14:paraId="01DDF0E6" w14:textId="13F8BE51" w:rsidR="00A61FD4" w:rsidRPr="00BD4653" w:rsidRDefault="00A61FD4" w:rsidP="00A61FD4">
      <w:pPr>
        <w:ind w:left="708"/>
        <w:jc w:val="both"/>
        <w:rPr>
          <w:rFonts w:eastAsia="MS Mincho"/>
        </w:rPr>
      </w:pPr>
      <w:r w:rsidRPr="00BD4653">
        <w:rPr>
          <w:rFonts w:eastAsia="MS Mincho"/>
        </w:rPr>
        <w:t xml:space="preserve">4710-057 Braga </w:t>
      </w:r>
      <w:r w:rsidRPr="00BD4653">
        <w:rPr>
          <w:rFonts w:eastAsia="MS Mincho"/>
        </w:rPr>
        <w:tab/>
      </w:r>
      <w:r w:rsidRPr="00BD4653">
        <w:rPr>
          <w:rFonts w:eastAsia="MS Mincho"/>
        </w:rPr>
        <w:tab/>
      </w:r>
      <w:r w:rsidRPr="00BD4653">
        <w:rPr>
          <w:rFonts w:eastAsia="MS Mincho"/>
        </w:rPr>
        <w:tab/>
        <w:t xml:space="preserve">       </w:t>
      </w:r>
      <w:r w:rsidR="009A6B8C" w:rsidRPr="00BD4653">
        <w:rPr>
          <w:rFonts w:eastAsia="MS Mincho"/>
        </w:rPr>
        <w:t>Escola de Psicologia</w:t>
      </w:r>
    </w:p>
    <w:p w14:paraId="3A6F4C1F" w14:textId="77777777" w:rsidR="00A61FD4" w:rsidRPr="00BD4653" w:rsidRDefault="00A61FD4" w:rsidP="00A61FD4">
      <w:pPr>
        <w:ind w:left="708"/>
        <w:jc w:val="both"/>
        <w:rPr>
          <w:rFonts w:eastAsia="MS Mincho"/>
        </w:rPr>
      </w:pPr>
      <w:r w:rsidRPr="00BD4653">
        <w:rPr>
          <w:rFonts w:eastAsia="MS Mincho"/>
        </w:rPr>
        <w:t>Portugal</w:t>
      </w:r>
    </w:p>
    <w:p w14:paraId="5AC80D51" w14:textId="76B22A9B" w:rsidR="00A61FD4" w:rsidRPr="00BD4653" w:rsidRDefault="00A61FD4" w:rsidP="00A61FD4">
      <w:pPr>
        <w:rPr>
          <w:rFonts w:eastAsia="MS Mincho"/>
        </w:rPr>
      </w:pPr>
      <w:r w:rsidRPr="00BD4653">
        <w:rPr>
          <w:rFonts w:eastAsia="MS Mincho"/>
        </w:rPr>
        <w:tab/>
      </w:r>
      <w:r w:rsidRPr="00BD4653">
        <w:rPr>
          <w:rFonts w:eastAsia="MS Mincho"/>
        </w:rPr>
        <w:tab/>
      </w:r>
      <w:r w:rsidRPr="00BD4653">
        <w:rPr>
          <w:rFonts w:eastAsia="MS Mincho"/>
        </w:rPr>
        <w:tab/>
      </w:r>
      <w:r w:rsidRPr="00BD4653">
        <w:rPr>
          <w:rFonts w:eastAsia="MS Mincho"/>
        </w:rPr>
        <w:tab/>
      </w:r>
      <w:r w:rsidRPr="00BD4653">
        <w:rPr>
          <w:rFonts w:eastAsia="MS Mincho"/>
        </w:rPr>
        <w:tab/>
      </w:r>
      <w:r w:rsidRPr="00BD4653">
        <w:rPr>
          <w:rFonts w:eastAsia="MS Mincho"/>
        </w:rPr>
        <w:tab/>
      </w:r>
      <w:r w:rsidRPr="00BD4653">
        <w:rPr>
          <w:rFonts w:eastAsia="MS Mincho"/>
        </w:rPr>
        <w:tab/>
      </w:r>
      <w:r w:rsidRPr="00BD4653">
        <w:rPr>
          <w:rFonts w:eastAsia="MS Mincho"/>
        </w:rPr>
        <w:tab/>
      </w:r>
      <w:r w:rsidRPr="00BD4653">
        <w:rPr>
          <w:rFonts w:eastAsia="MS Mincho"/>
        </w:rPr>
        <w:tab/>
        <w:t xml:space="preserve">Braga, </w:t>
      </w:r>
      <w:r w:rsidR="00450CC7">
        <w:rPr>
          <w:rFonts w:eastAsia="MS Mincho"/>
        </w:rPr>
        <w:t>13-09-2022</w:t>
      </w:r>
    </w:p>
    <w:p w14:paraId="47B3B4EA" w14:textId="4C9D00BD" w:rsidR="00A61FD4" w:rsidRPr="00BD4653" w:rsidRDefault="00A61FD4" w:rsidP="00A61FD4">
      <w:pPr>
        <w:rPr>
          <w:rFonts w:eastAsia="MS Mincho"/>
        </w:rPr>
      </w:pPr>
    </w:p>
    <w:p w14:paraId="563CC4E6" w14:textId="77777777" w:rsidR="00F27DD4" w:rsidRPr="00BD4653" w:rsidRDefault="00F27DD4" w:rsidP="00F27DD4">
      <w:pPr>
        <w:pStyle w:val="Ttulo1"/>
        <w:spacing w:before="0"/>
        <w:rPr>
          <w:rFonts w:eastAsia="MS Mincho" w:cs="Times New Roman"/>
          <w:szCs w:val="24"/>
        </w:rPr>
      </w:pPr>
      <w:r w:rsidRPr="00BD4653">
        <w:rPr>
          <w:rFonts w:eastAsia="MS Mincho" w:cs="Times New Roman"/>
          <w:szCs w:val="24"/>
        </w:rPr>
        <w:t>Carta ao Editor</w:t>
      </w:r>
    </w:p>
    <w:p w14:paraId="745A9F77" w14:textId="77777777" w:rsidR="00F27DD4" w:rsidRPr="00BD4653" w:rsidRDefault="00F27DD4" w:rsidP="00F27DD4">
      <w:pPr>
        <w:rPr>
          <w:rFonts w:eastAsia="MS Mincho"/>
        </w:rPr>
      </w:pPr>
    </w:p>
    <w:p w14:paraId="53A4985B" w14:textId="5E296C34" w:rsidR="00F27DD4" w:rsidRPr="00BD4653" w:rsidRDefault="00F27DD4" w:rsidP="00F27DD4">
      <w:pPr>
        <w:ind w:firstLine="567"/>
        <w:rPr>
          <w:rFonts w:eastAsia="MS Mincho"/>
        </w:rPr>
      </w:pPr>
      <w:r w:rsidRPr="00BD4653">
        <w:rPr>
          <w:rFonts w:eastAsia="MS Mincho"/>
        </w:rPr>
        <w:t>Caro editor</w:t>
      </w:r>
      <w:r w:rsidR="00C9064E" w:rsidRPr="00BD4653">
        <w:rPr>
          <w:rFonts w:eastAsia="MS Mincho"/>
        </w:rPr>
        <w:t>,</w:t>
      </w:r>
    </w:p>
    <w:p w14:paraId="6C75CC46" w14:textId="7EC7EF63" w:rsidR="00F27DD4" w:rsidRPr="00BD4653" w:rsidRDefault="00F27DD4" w:rsidP="00E80555">
      <w:pPr>
        <w:ind w:firstLine="567"/>
        <w:rPr>
          <w:b/>
          <w:shd w:val="clear" w:color="auto" w:fill="FFFFFF"/>
        </w:rPr>
      </w:pPr>
      <w:r w:rsidRPr="00BD4653">
        <w:rPr>
          <w:rFonts w:eastAsia="MS Mincho"/>
        </w:rPr>
        <w:t>Estamos a submeter um documento empírico intitulado por “</w:t>
      </w:r>
      <w:r w:rsidR="00E80555" w:rsidRPr="00BD4653">
        <w:rPr>
          <w:b/>
          <w:i/>
          <w:iCs/>
          <w:shd w:val="clear" w:color="auto" w:fill="FFFFFF"/>
        </w:rPr>
        <w:t>Stress</w:t>
      </w:r>
      <w:r w:rsidR="00E80555" w:rsidRPr="00BD4653">
        <w:rPr>
          <w:b/>
          <w:shd w:val="clear" w:color="auto" w:fill="FFFFFF"/>
        </w:rPr>
        <w:t xml:space="preserve"> Académico e Avaliação Cognitiva em Estudantes: Relação com </w:t>
      </w:r>
      <w:proofErr w:type="spellStart"/>
      <w:r w:rsidR="00E80555" w:rsidRPr="00BD4653">
        <w:rPr>
          <w:b/>
          <w:i/>
          <w:iCs/>
          <w:shd w:val="clear" w:color="auto" w:fill="FFFFFF"/>
        </w:rPr>
        <w:t>Coping</w:t>
      </w:r>
      <w:proofErr w:type="spellEnd"/>
      <w:r w:rsidR="00E80555" w:rsidRPr="00BD4653">
        <w:rPr>
          <w:b/>
          <w:shd w:val="clear" w:color="auto" w:fill="FFFFFF"/>
        </w:rPr>
        <w:t xml:space="preserve"> e </w:t>
      </w:r>
      <w:r w:rsidR="00E80555" w:rsidRPr="00BD4653">
        <w:rPr>
          <w:b/>
          <w:i/>
          <w:iCs/>
          <w:shd w:val="clear" w:color="auto" w:fill="FFFFFF"/>
        </w:rPr>
        <w:t>Burnout</w:t>
      </w:r>
      <w:r w:rsidRPr="00BD4653">
        <w:rPr>
          <w:rFonts w:eastAsia="MS Mincho"/>
        </w:rPr>
        <w:t>” para vossa apreciação. A investigação seguiu as normas e, foi aprovada pela comissão de ética da universidade dos autores.</w:t>
      </w:r>
    </w:p>
    <w:p w14:paraId="7E2A84E0" w14:textId="612EB143" w:rsidR="00F27DD4" w:rsidRPr="00061386" w:rsidRDefault="00F27DD4" w:rsidP="00F27DD4">
      <w:pPr>
        <w:ind w:firstLine="567"/>
        <w:rPr>
          <w:rFonts w:eastAsia="MS Mincho"/>
        </w:rPr>
      </w:pPr>
      <w:r w:rsidRPr="00BD4653">
        <w:rPr>
          <w:rFonts w:eastAsia="MS Mincho"/>
        </w:rPr>
        <w:t xml:space="preserve">Este documento foi lido e aprovado pelos autores. </w:t>
      </w:r>
    </w:p>
    <w:p w14:paraId="4038717F" w14:textId="34031330" w:rsidR="00F27DD4" w:rsidRPr="00BD4653" w:rsidRDefault="00F27DD4" w:rsidP="00F27DD4">
      <w:pPr>
        <w:ind w:firstLine="567"/>
        <w:rPr>
          <w:rFonts w:eastAsia="MS Mincho"/>
        </w:rPr>
      </w:pPr>
      <w:r w:rsidRPr="00BD4653">
        <w:rPr>
          <w:rFonts w:eastAsia="MS Mincho"/>
        </w:rPr>
        <w:t xml:space="preserve">Os autores não possuem nenhum interesse financeiro ou qualquer conflito de interesses. Por fim, este é um trabalho original e, nenhuma parte deste estudo foi submetida ou publicada. </w:t>
      </w:r>
    </w:p>
    <w:p w14:paraId="5066F32C" w14:textId="77777777" w:rsidR="00F27DD4" w:rsidRPr="00BD4653" w:rsidRDefault="00F27DD4" w:rsidP="00F27DD4">
      <w:pPr>
        <w:jc w:val="both"/>
        <w:rPr>
          <w:rFonts w:eastAsia="MS Mincho"/>
        </w:rPr>
      </w:pPr>
    </w:p>
    <w:p w14:paraId="188BB741" w14:textId="77777777" w:rsidR="00F27DD4" w:rsidRPr="00BD4653" w:rsidRDefault="00F27DD4" w:rsidP="00F27DD4">
      <w:pPr>
        <w:rPr>
          <w:rFonts w:eastAsia="MS Mincho"/>
        </w:rPr>
      </w:pPr>
      <w:r w:rsidRPr="00BD4653">
        <w:rPr>
          <w:rFonts w:eastAsia="MS Mincho"/>
        </w:rPr>
        <w:tab/>
      </w:r>
      <w:r w:rsidRPr="00BD4653">
        <w:rPr>
          <w:rFonts w:eastAsia="MS Mincho"/>
        </w:rPr>
        <w:tab/>
      </w:r>
      <w:r w:rsidRPr="00BD4653">
        <w:rPr>
          <w:rFonts w:eastAsia="MS Mincho"/>
        </w:rPr>
        <w:tab/>
        <w:t>Atenciosamente,</w:t>
      </w:r>
    </w:p>
    <w:p w14:paraId="5D31BC22" w14:textId="77777777" w:rsidR="00B46636" w:rsidRPr="00BD4653" w:rsidRDefault="00B46636" w:rsidP="00B46636">
      <w:pPr>
        <w:rPr>
          <w:rFonts w:eastAsia="MS Mincho"/>
        </w:rPr>
      </w:pPr>
    </w:p>
    <w:p w14:paraId="3E324347" w14:textId="77777777" w:rsidR="00B46636" w:rsidRPr="00BD4653" w:rsidRDefault="00B46636" w:rsidP="00A61FD4">
      <w:pPr>
        <w:rPr>
          <w:rFonts w:eastAsia="MS Mincho"/>
        </w:rPr>
      </w:pPr>
    </w:p>
    <w:p w14:paraId="0B8E5366" w14:textId="77777777" w:rsidR="00A61FD4" w:rsidRPr="00BD4653" w:rsidRDefault="00A61FD4" w:rsidP="00A61FD4">
      <w:pPr>
        <w:spacing w:line="480" w:lineRule="auto"/>
        <w:rPr>
          <w:rFonts w:eastAsia="MS Mincho"/>
          <w:lang w:val="en-GB"/>
        </w:rPr>
      </w:pPr>
      <w:r w:rsidRPr="00BD4653">
        <w:rPr>
          <w:rFonts w:eastAsia="MS Mincho"/>
          <w:noProof/>
          <w:lang w:eastAsia="pt-PT"/>
        </w:rPr>
        <w:drawing>
          <wp:inline distT="0" distB="0" distL="0" distR="0" wp14:anchorId="7BDDFBAC" wp14:editId="0E0CF371">
            <wp:extent cx="755374" cy="448792"/>
            <wp:effectExtent l="0" t="0" r="6985" b="8890"/>
            <wp:docPr id="4" name="Imagem 4" descr="Assinatur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RG"/>
                    <pic:cNvPicPr>
                      <a:picLocks noChangeAspect="1" noChangeArrowheads="1"/>
                    </pic:cNvPicPr>
                  </pic:nvPicPr>
                  <pic:blipFill>
                    <a:blip r:embed="rId11" cstate="print"/>
                    <a:srcRect/>
                    <a:stretch>
                      <a:fillRect/>
                    </a:stretch>
                  </pic:blipFill>
                  <pic:spPr bwMode="auto">
                    <a:xfrm>
                      <a:off x="0" y="0"/>
                      <a:ext cx="771064" cy="458114"/>
                    </a:xfrm>
                    <a:prstGeom prst="rect">
                      <a:avLst/>
                    </a:prstGeom>
                    <a:noFill/>
                    <a:ln w="9525">
                      <a:noFill/>
                      <a:miter lim="800000"/>
                      <a:headEnd/>
                      <a:tailEnd/>
                    </a:ln>
                  </pic:spPr>
                </pic:pic>
              </a:graphicData>
            </a:graphic>
          </wp:inline>
        </w:drawing>
      </w:r>
      <w:r w:rsidRPr="00BD4653">
        <w:rPr>
          <w:rFonts w:eastAsia="MS Mincho"/>
          <w:lang w:val="en-GB"/>
        </w:rPr>
        <w:tab/>
      </w:r>
      <w:r w:rsidRPr="00BD4653">
        <w:rPr>
          <w:rFonts w:eastAsia="MS Mincho"/>
          <w:lang w:val="en-GB"/>
        </w:rPr>
        <w:tab/>
      </w:r>
      <w:r w:rsidRPr="00BD4653">
        <w:rPr>
          <w:rFonts w:eastAsia="MS Mincho"/>
          <w:lang w:val="en-GB"/>
        </w:rPr>
        <w:tab/>
      </w:r>
    </w:p>
    <w:p w14:paraId="6E22367C" w14:textId="77777777" w:rsidR="00A61FD4" w:rsidRPr="00BD4653" w:rsidRDefault="00A61FD4" w:rsidP="00A61FD4">
      <w:pPr>
        <w:jc w:val="both"/>
        <w:rPr>
          <w:rFonts w:eastAsia="MS Mincho"/>
          <w:lang w:val="en-GB"/>
        </w:rPr>
      </w:pPr>
      <w:r w:rsidRPr="00BD4653">
        <w:rPr>
          <w:rFonts w:eastAsia="MS Mincho"/>
          <w:lang w:val="en-GB"/>
        </w:rPr>
        <w:t xml:space="preserve">       A. Rui Gomes</w:t>
      </w:r>
    </w:p>
    <w:p w14:paraId="3191295C" w14:textId="77777777" w:rsidR="00A61FD4" w:rsidRPr="00BD4653" w:rsidRDefault="00A61FD4" w:rsidP="00A61FD4">
      <w:pPr>
        <w:jc w:val="both"/>
        <w:rPr>
          <w:rFonts w:eastAsia="MS Mincho"/>
          <w:lang w:val="en-GB"/>
        </w:rPr>
      </w:pPr>
      <w:r w:rsidRPr="00BD4653">
        <w:rPr>
          <w:rFonts w:eastAsia="MS Mincho"/>
          <w:lang w:val="en-GB"/>
        </w:rPr>
        <w:t xml:space="preserve"> University of Minho</w:t>
      </w:r>
      <w:r w:rsidRPr="00BD4653">
        <w:rPr>
          <w:rFonts w:eastAsia="MS Mincho"/>
          <w:lang w:val="en-GB"/>
        </w:rPr>
        <w:tab/>
      </w:r>
    </w:p>
    <w:p w14:paraId="28EC8112" w14:textId="77777777" w:rsidR="00A61FD4" w:rsidRPr="00BD4653" w:rsidRDefault="00A61FD4" w:rsidP="00A61FD4">
      <w:pPr>
        <w:ind w:firstLine="708"/>
        <w:jc w:val="both"/>
        <w:rPr>
          <w:rFonts w:eastAsia="MS Mincho"/>
        </w:rPr>
      </w:pPr>
      <w:r w:rsidRPr="00BD4653">
        <w:rPr>
          <w:rFonts w:eastAsia="MS Mincho"/>
        </w:rPr>
        <w:t>Portugal</w:t>
      </w:r>
    </w:p>
    <w:p w14:paraId="1420506E" w14:textId="77777777" w:rsidR="00A61FD4" w:rsidRPr="00BD4653" w:rsidRDefault="00A61FD4" w:rsidP="00A61FD4">
      <w:pPr>
        <w:jc w:val="both"/>
        <w:rPr>
          <w:rFonts w:eastAsia="MS Mincho"/>
        </w:rPr>
      </w:pPr>
    </w:p>
    <w:p w14:paraId="36BA4AFA" w14:textId="230CF015" w:rsidR="00A61FD4" w:rsidRPr="00061386" w:rsidRDefault="00061386" w:rsidP="00A61FD4">
      <w:pPr>
        <w:rPr>
          <w:rFonts w:eastAsia="MS Mincho"/>
          <w:b/>
        </w:rPr>
      </w:pPr>
      <w:proofErr w:type="spellStart"/>
      <w:r w:rsidRPr="00061386">
        <w:rPr>
          <w:rFonts w:eastAsia="MS Mincho"/>
          <w:b/>
        </w:rPr>
        <w:t>Contact</w:t>
      </w:r>
      <w:proofErr w:type="spellEnd"/>
    </w:p>
    <w:p w14:paraId="23DB2972" w14:textId="77777777" w:rsidR="00A61FD4" w:rsidRPr="00BD4653" w:rsidRDefault="00A61FD4" w:rsidP="00A61FD4">
      <w:pPr>
        <w:rPr>
          <w:rFonts w:eastAsia="MS Mincho"/>
        </w:rPr>
      </w:pPr>
      <w:r w:rsidRPr="00BD4653">
        <w:rPr>
          <w:rFonts w:eastAsia="MS Mincho"/>
        </w:rPr>
        <w:t>A. Rui Gomes</w:t>
      </w:r>
    </w:p>
    <w:p w14:paraId="29D1BEFA" w14:textId="77777777" w:rsidR="00A61FD4" w:rsidRPr="00BD4653" w:rsidRDefault="00A61FD4" w:rsidP="00A61FD4">
      <w:pPr>
        <w:jc w:val="both"/>
        <w:rPr>
          <w:rFonts w:eastAsia="MS Mincho"/>
        </w:rPr>
      </w:pPr>
      <w:r w:rsidRPr="00BD4653">
        <w:rPr>
          <w:rFonts w:eastAsia="MS Mincho"/>
        </w:rPr>
        <w:t>Universidade do Minho</w:t>
      </w:r>
    </w:p>
    <w:p w14:paraId="6E983803" w14:textId="77777777" w:rsidR="00A61FD4" w:rsidRPr="00BD4653" w:rsidRDefault="00A61FD4" w:rsidP="00A61FD4">
      <w:pPr>
        <w:jc w:val="both"/>
        <w:rPr>
          <w:rFonts w:eastAsia="MS Mincho"/>
        </w:rPr>
      </w:pPr>
      <w:r w:rsidRPr="00BD4653">
        <w:rPr>
          <w:rFonts w:eastAsia="MS Mincho"/>
        </w:rPr>
        <w:t>Escola de Psicologia</w:t>
      </w:r>
    </w:p>
    <w:p w14:paraId="60A9B7F6" w14:textId="77777777" w:rsidR="00A61FD4" w:rsidRPr="00BD4653" w:rsidRDefault="00A61FD4" w:rsidP="00A61FD4">
      <w:pPr>
        <w:jc w:val="both"/>
        <w:rPr>
          <w:rFonts w:eastAsia="MS Mincho"/>
        </w:rPr>
      </w:pPr>
      <w:r w:rsidRPr="00BD4653">
        <w:rPr>
          <w:rFonts w:eastAsia="MS Mincho"/>
        </w:rPr>
        <w:t>Campus de Gualtar</w:t>
      </w:r>
    </w:p>
    <w:p w14:paraId="6A032F5B" w14:textId="77777777" w:rsidR="00A61FD4" w:rsidRPr="00BD4653" w:rsidRDefault="00A61FD4" w:rsidP="00A61FD4">
      <w:pPr>
        <w:jc w:val="both"/>
        <w:rPr>
          <w:rFonts w:eastAsia="MS Mincho"/>
        </w:rPr>
      </w:pPr>
      <w:r w:rsidRPr="00BD4653">
        <w:rPr>
          <w:rFonts w:eastAsia="MS Mincho"/>
        </w:rPr>
        <w:t>4710-057 Braga</w:t>
      </w:r>
    </w:p>
    <w:p w14:paraId="173CB1D8" w14:textId="77777777" w:rsidR="00A61FD4" w:rsidRPr="00BD4653" w:rsidRDefault="00A61FD4" w:rsidP="00A61FD4">
      <w:pPr>
        <w:jc w:val="both"/>
        <w:rPr>
          <w:rFonts w:eastAsia="MS Mincho"/>
        </w:rPr>
      </w:pPr>
      <w:r w:rsidRPr="00BD4653">
        <w:rPr>
          <w:rFonts w:eastAsia="MS Mincho"/>
        </w:rPr>
        <w:t>Portugal</w:t>
      </w:r>
    </w:p>
    <w:p w14:paraId="0E7F61A5" w14:textId="77777777" w:rsidR="00A61FD4" w:rsidRPr="00BD4653" w:rsidRDefault="00A61FD4" w:rsidP="00A61FD4">
      <w:pPr>
        <w:jc w:val="both"/>
        <w:rPr>
          <w:rFonts w:eastAsia="MS Mincho"/>
        </w:rPr>
      </w:pPr>
      <w:proofErr w:type="spellStart"/>
      <w:r w:rsidRPr="00BD4653">
        <w:rPr>
          <w:rFonts w:eastAsia="MS Mincho"/>
        </w:rPr>
        <w:t>Telf</w:t>
      </w:r>
      <w:proofErr w:type="spellEnd"/>
      <w:r w:rsidRPr="00BD4653">
        <w:rPr>
          <w:rFonts w:eastAsia="MS Mincho"/>
        </w:rPr>
        <w:t>. +253.604.232</w:t>
      </w:r>
    </w:p>
    <w:p w14:paraId="47D1B6EE" w14:textId="77777777" w:rsidR="00A61FD4" w:rsidRPr="00BD4653" w:rsidRDefault="00A61FD4" w:rsidP="00A61FD4">
      <w:pPr>
        <w:jc w:val="both"/>
        <w:rPr>
          <w:rFonts w:eastAsia="MS Mincho"/>
        </w:rPr>
      </w:pPr>
      <w:r w:rsidRPr="00BD4653">
        <w:rPr>
          <w:rFonts w:eastAsia="MS Mincho"/>
        </w:rPr>
        <w:t>Fax: +253.604.224</w:t>
      </w:r>
    </w:p>
    <w:p w14:paraId="7D34309B" w14:textId="77777777" w:rsidR="000279B4" w:rsidRPr="00BD4653" w:rsidRDefault="00CD71C1" w:rsidP="00A61FD4">
      <w:pPr>
        <w:jc w:val="both"/>
        <w:rPr>
          <w:rFonts w:eastAsia="MS Mincho"/>
          <w:u w:val="single"/>
        </w:rPr>
      </w:pPr>
      <w:hyperlink r:id="rId12" w:history="1">
        <w:r w:rsidR="00A61FD4" w:rsidRPr="00BD4653">
          <w:rPr>
            <w:rFonts w:eastAsia="MS Mincho"/>
            <w:u w:val="single"/>
          </w:rPr>
          <w:t>rgomes@psi.uminho.pt</w:t>
        </w:r>
      </w:hyperlink>
    </w:p>
    <w:p w14:paraId="5363A6F2" w14:textId="4B224815" w:rsidR="00A61FD4" w:rsidRPr="00BD4653" w:rsidRDefault="00A61FD4" w:rsidP="00A61FD4">
      <w:pPr>
        <w:jc w:val="both"/>
        <w:rPr>
          <w:rFonts w:eastAsia="MS Mincho"/>
          <w:u w:val="single"/>
        </w:rPr>
      </w:pPr>
      <w:r w:rsidRPr="00BD4653">
        <w:rPr>
          <w:rFonts w:eastAsia="Calibri"/>
          <w:b/>
          <w:lang w:eastAsia="pt-PT"/>
        </w:rPr>
        <w:br w:type="page"/>
      </w:r>
    </w:p>
    <w:p w14:paraId="6A07C7D7" w14:textId="0BF8F8C1" w:rsidR="00C11306" w:rsidRPr="00BD4653" w:rsidRDefault="00623BDC" w:rsidP="00C11306">
      <w:pPr>
        <w:pStyle w:val="Ttulo1"/>
        <w:spacing w:line="240" w:lineRule="auto"/>
        <w:rPr>
          <w:rFonts w:eastAsia="Calibri" w:cs="Times New Roman"/>
          <w:szCs w:val="24"/>
          <w:lang w:eastAsia="pt-PT"/>
        </w:rPr>
      </w:pPr>
      <w:r w:rsidRPr="00BD4653">
        <w:rPr>
          <w:rFonts w:eastAsia="Calibri" w:cs="Times New Roman"/>
          <w:szCs w:val="24"/>
          <w:lang w:eastAsia="pt-PT"/>
        </w:rPr>
        <w:lastRenderedPageBreak/>
        <w:t>Página de Título</w:t>
      </w:r>
    </w:p>
    <w:p w14:paraId="728FF5C0" w14:textId="77777777" w:rsidR="00C11306" w:rsidRPr="00BD4653" w:rsidRDefault="00C11306" w:rsidP="00C11306">
      <w:pPr>
        <w:jc w:val="center"/>
        <w:rPr>
          <w:b/>
        </w:rPr>
      </w:pPr>
    </w:p>
    <w:p w14:paraId="68251FF7" w14:textId="0C388CFD" w:rsidR="00537312" w:rsidRPr="00BD4653" w:rsidRDefault="00537312" w:rsidP="00F27DD4">
      <w:pPr>
        <w:jc w:val="center"/>
        <w:rPr>
          <w:rFonts w:eastAsia="Calibri"/>
          <w:b/>
          <w:lang w:eastAsia="pt-PT"/>
        </w:rPr>
      </w:pPr>
      <w:r w:rsidRPr="00BD4653">
        <w:rPr>
          <w:rFonts w:eastAsia="Calibri"/>
          <w:b/>
          <w:lang w:eastAsia="pt-PT"/>
        </w:rPr>
        <w:t>Perfis de</w:t>
      </w:r>
      <w:r w:rsidR="00100B69" w:rsidRPr="00BD4653">
        <w:rPr>
          <w:rFonts w:eastAsia="Calibri"/>
          <w:b/>
          <w:lang w:eastAsia="pt-PT"/>
        </w:rPr>
        <w:t xml:space="preserve"> adaptação ao</w:t>
      </w:r>
      <w:r w:rsidRPr="00BD4653">
        <w:rPr>
          <w:rFonts w:eastAsia="Calibri"/>
          <w:b/>
          <w:lang w:eastAsia="pt-PT"/>
        </w:rPr>
        <w:t xml:space="preserve"> </w:t>
      </w:r>
      <w:r w:rsidRPr="00BD4653">
        <w:rPr>
          <w:rFonts w:eastAsia="Calibri"/>
          <w:b/>
          <w:i/>
          <w:lang w:eastAsia="pt-PT"/>
        </w:rPr>
        <w:t>stress</w:t>
      </w:r>
      <w:r w:rsidRPr="00BD4653">
        <w:rPr>
          <w:rFonts w:eastAsia="Calibri"/>
          <w:b/>
          <w:lang w:eastAsia="pt-PT"/>
        </w:rPr>
        <w:t xml:space="preserve"> em estudantes: </w:t>
      </w:r>
      <w:r w:rsidRPr="00BD4653">
        <w:rPr>
          <w:b/>
          <w:shd w:val="clear" w:color="auto" w:fill="FFFFFF"/>
        </w:rPr>
        <w:t xml:space="preserve">Relação com </w:t>
      </w:r>
      <w:proofErr w:type="spellStart"/>
      <w:r w:rsidR="00100B69" w:rsidRPr="00BD4653">
        <w:rPr>
          <w:b/>
          <w:i/>
          <w:shd w:val="clear" w:color="auto" w:fill="FFFFFF"/>
        </w:rPr>
        <w:t>c</w:t>
      </w:r>
      <w:r w:rsidRPr="00BD4653">
        <w:rPr>
          <w:b/>
          <w:i/>
          <w:shd w:val="clear" w:color="auto" w:fill="FFFFFF"/>
        </w:rPr>
        <w:t>oping</w:t>
      </w:r>
      <w:proofErr w:type="spellEnd"/>
      <w:r w:rsidRPr="00BD4653">
        <w:rPr>
          <w:b/>
          <w:shd w:val="clear" w:color="auto" w:fill="FFFFFF"/>
        </w:rPr>
        <w:t xml:space="preserve"> e </w:t>
      </w:r>
      <w:r w:rsidR="00100B69" w:rsidRPr="00BD4653">
        <w:rPr>
          <w:b/>
          <w:i/>
          <w:shd w:val="clear" w:color="auto" w:fill="FFFFFF"/>
        </w:rPr>
        <w:t>b</w:t>
      </w:r>
      <w:r w:rsidRPr="00BD4653">
        <w:rPr>
          <w:b/>
          <w:i/>
          <w:shd w:val="clear" w:color="auto" w:fill="FFFFFF"/>
        </w:rPr>
        <w:t>urnout</w:t>
      </w:r>
    </w:p>
    <w:p w14:paraId="3191ED27" w14:textId="77777777" w:rsidR="00537312" w:rsidRPr="00BD4653" w:rsidRDefault="00537312" w:rsidP="00F27DD4">
      <w:pPr>
        <w:jc w:val="center"/>
        <w:rPr>
          <w:rFonts w:eastAsia="Calibri"/>
          <w:b/>
          <w:lang w:eastAsia="pt-PT"/>
        </w:rPr>
      </w:pPr>
    </w:p>
    <w:p w14:paraId="3A27BC74" w14:textId="08694963" w:rsidR="00C11306" w:rsidRPr="00BD4653" w:rsidRDefault="00012B34" w:rsidP="00C11306">
      <w:pPr>
        <w:rPr>
          <w:i/>
        </w:rPr>
      </w:pPr>
      <w:r w:rsidRPr="00BD4653">
        <w:t>Título curto</w:t>
      </w:r>
      <w:r w:rsidR="00C11306" w:rsidRPr="00BD4653">
        <w:t xml:space="preserve">: </w:t>
      </w:r>
      <w:r w:rsidR="000E1613" w:rsidRPr="00BD4653">
        <w:rPr>
          <w:b/>
          <w:shd w:val="clear" w:color="auto" w:fill="FFFFFF"/>
        </w:rPr>
        <w:t xml:space="preserve">Stress </w:t>
      </w:r>
      <w:r w:rsidR="004761FD" w:rsidRPr="00BD4653">
        <w:rPr>
          <w:b/>
          <w:shd w:val="clear" w:color="auto" w:fill="FFFFFF"/>
        </w:rPr>
        <w:t xml:space="preserve">e </w:t>
      </w:r>
      <w:r w:rsidR="000E1613" w:rsidRPr="00BD4653">
        <w:rPr>
          <w:b/>
          <w:shd w:val="clear" w:color="auto" w:fill="FFFFFF"/>
        </w:rPr>
        <w:t>Avaliação Cognitiva</w:t>
      </w:r>
    </w:p>
    <w:p w14:paraId="2175910C" w14:textId="77777777" w:rsidR="00C11306" w:rsidRPr="00BD4653" w:rsidRDefault="00C11306" w:rsidP="00C11306"/>
    <w:p w14:paraId="364A4A35" w14:textId="588A5037" w:rsidR="00C11306" w:rsidRPr="00BD4653" w:rsidRDefault="00C11306" w:rsidP="00C11306">
      <w:pPr>
        <w:rPr>
          <w:b/>
        </w:rPr>
      </w:pPr>
      <w:r w:rsidRPr="00BD4653">
        <w:rPr>
          <w:b/>
        </w:rPr>
        <w:t>Aut</w:t>
      </w:r>
      <w:r w:rsidR="008B6835" w:rsidRPr="00BD4653">
        <w:rPr>
          <w:b/>
        </w:rPr>
        <w:t>ores</w:t>
      </w:r>
    </w:p>
    <w:p w14:paraId="4ED57B12" w14:textId="53643BB5" w:rsidR="00B46636" w:rsidRPr="00BD4653" w:rsidRDefault="00C11306" w:rsidP="00B46636">
      <w:r w:rsidRPr="00BD4653">
        <w:rPr>
          <w:b/>
        </w:rPr>
        <w:t>1.</w:t>
      </w:r>
      <w:r w:rsidRPr="00BD4653">
        <w:t xml:space="preserve"> </w:t>
      </w:r>
      <w:r w:rsidR="00920782" w:rsidRPr="00BD4653">
        <w:t>Ana Ribeiro</w:t>
      </w:r>
    </w:p>
    <w:p w14:paraId="0CDB1ABC" w14:textId="77777777" w:rsidR="00940DF2" w:rsidRPr="00BD4653" w:rsidRDefault="00B46636" w:rsidP="00B46636">
      <w:r w:rsidRPr="00BD4653">
        <w:t>Universidade do Minho, Escola de Psicologia. Portugal.</w:t>
      </w:r>
    </w:p>
    <w:p w14:paraId="1E8E0501" w14:textId="3066AF5A" w:rsidR="00B46636" w:rsidRPr="00BD4653" w:rsidRDefault="00CD71C1" w:rsidP="00B46636">
      <w:hyperlink r:id="rId13" w:history="1">
        <w:r w:rsidR="00537312" w:rsidRPr="00BD4653">
          <w:rPr>
            <w:rStyle w:val="Hiperligao"/>
          </w:rPr>
          <w:t>a85961@alunos.uminho.pt</w:t>
        </w:r>
      </w:hyperlink>
    </w:p>
    <w:p w14:paraId="66CF1407" w14:textId="1967BA6E" w:rsidR="00B46636" w:rsidRPr="00BD4653" w:rsidRDefault="00B46636" w:rsidP="00C11306">
      <w:proofErr w:type="spellStart"/>
      <w:r w:rsidRPr="00BD4653">
        <w:t>Orcid</w:t>
      </w:r>
      <w:proofErr w:type="spellEnd"/>
      <w:r w:rsidRPr="00BD4653">
        <w:t xml:space="preserve">: </w:t>
      </w:r>
      <w:r w:rsidR="00B430A7" w:rsidRPr="00BD4653">
        <w:t>https://orcid.org/0000-0001-9026-4357</w:t>
      </w:r>
    </w:p>
    <w:p w14:paraId="07D74A0F" w14:textId="77777777" w:rsidR="00B46636" w:rsidRPr="00BD4653" w:rsidRDefault="00B46636" w:rsidP="00C11306"/>
    <w:p w14:paraId="5B0DACB8" w14:textId="7346B6CC" w:rsidR="00C11306" w:rsidRPr="00BD4653" w:rsidRDefault="00B46636" w:rsidP="00C11306">
      <w:r w:rsidRPr="00BD4653">
        <w:rPr>
          <w:b/>
        </w:rPr>
        <w:t xml:space="preserve">2. </w:t>
      </w:r>
      <w:r w:rsidR="00C11306" w:rsidRPr="00BD4653">
        <w:t>A. Rui Gomes</w:t>
      </w:r>
    </w:p>
    <w:p w14:paraId="03B1C2F6" w14:textId="77777777" w:rsidR="00537312" w:rsidRPr="00BD4653" w:rsidRDefault="00012B34" w:rsidP="00C11306">
      <w:r w:rsidRPr="00BD4653">
        <w:t>Centro de Investigação de Psicologia</w:t>
      </w:r>
      <w:r w:rsidR="00C11306" w:rsidRPr="00BD4653">
        <w:t xml:space="preserve">. </w:t>
      </w:r>
      <w:r w:rsidRPr="00BD4653">
        <w:t>Escola de Psicologia</w:t>
      </w:r>
      <w:r w:rsidR="00C11306" w:rsidRPr="00BD4653">
        <w:t>. Universi</w:t>
      </w:r>
      <w:r w:rsidRPr="00BD4653">
        <w:t>dade</w:t>
      </w:r>
      <w:r w:rsidR="00C11306" w:rsidRPr="00BD4653">
        <w:t xml:space="preserve"> </w:t>
      </w:r>
      <w:r w:rsidRPr="00BD4653">
        <w:t>do</w:t>
      </w:r>
      <w:r w:rsidR="00C11306" w:rsidRPr="00BD4653">
        <w:t xml:space="preserve"> Minho. Portugal.</w:t>
      </w:r>
    </w:p>
    <w:p w14:paraId="36A7E40A" w14:textId="7F13B842" w:rsidR="00C11306" w:rsidRPr="00BD4653" w:rsidRDefault="00CD71C1" w:rsidP="00C11306">
      <w:hyperlink r:id="rId14" w:history="1">
        <w:r w:rsidR="00537312" w:rsidRPr="00BD4653">
          <w:rPr>
            <w:rStyle w:val="Hiperligao"/>
          </w:rPr>
          <w:t>rgomes@psi.uminho.pt</w:t>
        </w:r>
      </w:hyperlink>
      <w:r w:rsidR="00CD1E12" w:rsidRPr="00BD4653">
        <w:t xml:space="preserve"> </w:t>
      </w:r>
    </w:p>
    <w:p w14:paraId="61E41B43" w14:textId="77777777" w:rsidR="00C11306" w:rsidRPr="00BD4653" w:rsidRDefault="00C11306" w:rsidP="00C11306">
      <w:proofErr w:type="spellStart"/>
      <w:r w:rsidRPr="00BD4653">
        <w:t>Orcid</w:t>
      </w:r>
      <w:proofErr w:type="spellEnd"/>
      <w:r w:rsidRPr="00BD4653">
        <w:t>: https://orcid.org/0000-0002-6390-9866</w:t>
      </w:r>
    </w:p>
    <w:p w14:paraId="06F6CC0F" w14:textId="77777777" w:rsidR="00C11306" w:rsidRPr="00BD4653" w:rsidRDefault="00C11306" w:rsidP="00C11306"/>
    <w:p w14:paraId="772B67C2" w14:textId="799AF716" w:rsidR="00C11306" w:rsidRPr="00BD4653" w:rsidRDefault="00B46636" w:rsidP="00C11306">
      <w:r w:rsidRPr="00BD4653">
        <w:rPr>
          <w:b/>
        </w:rPr>
        <w:t>3.</w:t>
      </w:r>
      <w:r w:rsidRPr="00BD4653">
        <w:t xml:space="preserve"> </w:t>
      </w:r>
      <w:r w:rsidR="00C11306" w:rsidRPr="00BD4653">
        <w:t>Catarina Morais</w:t>
      </w:r>
    </w:p>
    <w:p w14:paraId="67AFAC25" w14:textId="77777777" w:rsidR="00537312" w:rsidRPr="00BD4653" w:rsidRDefault="00B46636" w:rsidP="00C11306">
      <w:pPr>
        <w:rPr>
          <w:lang w:eastAsia="pt-PT"/>
        </w:rPr>
      </w:pPr>
      <w:r w:rsidRPr="00BD4653">
        <w:rPr>
          <w:lang w:eastAsia="pt-PT"/>
        </w:rPr>
        <w:t xml:space="preserve">Centro de Investigação para o Desenvolvimento Humano. </w:t>
      </w:r>
      <w:r w:rsidR="00CD1E12" w:rsidRPr="00BD4653">
        <w:rPr>
          <w:lang w:eastAsia="pt-PT"/>
        </w:rPr>
        <w:t xml:space="preserve">Faculdade de Educação e Psicologia. </w:t>
      </w:r>
      <w:r w:rsidR="00C11306" w:rsidRPr="00BD4653">
        <w:rPr>
          <w:lang w:eastAsia="pt-PT"/>
        </w:rPr>
        <w:t>Universidade Católica Portuguesa. Portugal.</w:t>
      </w:r>
    </w:p>
    <w:p w14:paraId="57386387" w14:textId="13F52D16" w:rsidR="00C11306" w:rsidRPr="00BD4653" w:rsidRDefault="00CD71C1" w:rsidP="00C11306">
      <w:pPr>
        <w:rPr>
          <w:lang w:eastAsia="pt-PT"/>
        </w:rPr>
      </w:pPr>
      <w:hyperlink r:id="rId15" w:history="1">
        <w:r w:rsidR="00537312" w:rsidRPr="00BD4653">
          <w:rPr>
            <w:rStyle w:val="Hiperligao"/>
            <w:lang w:eastAsia="pt-PT"/>
          </w:rPr>
          <w:t>cmorais@porto.ucp.pt</w:t>
        </w:r>
      </w:hyperlink>
      <w:r w:rsidR="00C11306" w:rsidRPr="00BD4653">
        <w:rPr>
          <w:lang w:eastAsia="pt-PT"/>
        </w:rPr>
        <w:t xml:space="preserve"> </w:t>
      </w:r>
    </w:p>
    <w:p w14:paraId="294F1B2B" w14:textId="49FCABCE" w:rsidR="00C11306" w:rsidRPr="00BD4653" w:rsidRDefault="00CD1E12" w:rsidP="00C11306">
      <w:proofErr w:type="spellStart"/>
      <w:r w:rsidRPr="00BD4653">
        <w:t>Orcid</w:t>
      </w:r>
      <w:proofErr w:type="spellEnd"/>
      <w:r w:rsidRPr="00BD4653">
        <w:t xml:space="preserve">: </w:t>
      </w:r>
      <w:hyperlink r:id="rId16" w:history="1">
        <w:r w:rsidR="004808A2" w:rsidRPr="00BD4653">
          <w:rPr>
            <w:rStyle w:val="Hiperligao"/>
          </w:rPr>
          <w:t>https://orcid.org/0000-0002-9881-3514</w:t>
        </w:r>
      </w:hyperlink>
      <w:r w:rsidR="004808A2" w:rsidRPr="00BD4653">
        <w:t xml:space="preserve"> </w:t>
      </w:r>
    </w:p>
    <w:p w14:paraId="5C8B687F" w14:textId="77777777" w:rsidR="00CD1E12" w:rsidRPr="00BD4653" w:rsidRDefault="00CD1E12" w:rsidP="00C11306"/>
    <w:p w14:paraId="0D108F7C" w14:textId="016E1FF8" w:rsidR="00C11306" w:rsidRPr="00BD4653" w:rsidRDefault="00B46636" w:rsidP="00C11306">
      <w:r w:rsidRPr="00BD4653">
        <w:rPr>
          <w:b/>
        </w:rPr>
        <w:t xml:space="preserve">4. </w:t>
      </w:r>
      <w:r w:rsidR="00C11306" w:rsidRPr="00BD4653">
        <w:t>Liliana Fontes</w:t>
      </w:r>
    </w:p>
    <w:p w14:paraId="4DA6E90C" w14:textId="77777777" w:rsidR="00537312" w:rsidRPr="00BD4653" w:rsidRDefault="00CD1E12" w:rsidP="00CD1E12">
      <w:r w:rsidRPr="00BD4653">
        <w:t>Centro de Investigação de Psicologia. Adaptação, Rendimento e Desenvolvimento Humano. Escola de Psicologia. Universidade do Minho. Portugal.</w:t>
      </w:r>
    </w:p>
    <w:p w14:paraId="52516126" w14:textId="74B15B31" w:rsidR="00CD1E12" w:rsidRPr="00BD4653" w:rsidRDefault="00CD71C1" w:rsidP="00CD1E12">
      <w:hyperlink r:id="rId17" w:history="1">
        <w:r w:rsidR="00537312" w:rsidRPr="00BD4653">
          <w:rPr>
            <w:rStyle w:val="Hiperligao"/>
          </w:rPr>
          <w:t>liliana.magalhaes2@gmail.com</w:t>
        </w:r>
      </w:hyperlink>
      <w:r w:rsidR="00CD1E12" w:rsidRPr="00BD4653">
        <w:t xml:space="preserve"> </w:t>
      </w:r>
    </w:p>
    <w:p w14:paraId="3100652C" w14:textId="4194C8A3" w:rsidR="00CD1E12" w:rsidRPr="00BD4653" w:rsidRDefault="00CD1E12" w:rsidP="00CD1E12">
      <w:proofErr w:type="spellStart"/>
      <w:r w:rsidRPr="00BD4653">
        <w:t>Orcid</w:t>
      </w:r>
      <w:proofErr w:type="spellEnd"/>
      <w:r w:rsidRPr="00BD4653">
        <w:t xml:space="preserve">: </w:t>
      </w:r>
      <w:hyperlink r:id="rId18" w:history="1">
        <w:r w:rsidRPr="00BD4653">
          <w:rPr>
            <w:rStyle w:val="Hiperligao"/>
          </w:rPr>
          <w:t>https://orcid.org/0000-0002-6726-2254</w:t>
        </w:r>
      </w:hyperlink>
    </w:p>
    <w:p w14:paraId="4725F0D3" w14:textId="1F16C82F" w:rsidR="00C11306" w:rsidRPr="00BD4653" w:rsidRDefault="00C11306" w:rsidP="00C11306"/>
    <w:p w14:paraId="53B94DA0" w14:textId="64826466" w:rsidR="00E76DC3" w:rsidRPr="00BD4653" w:rsidRDefault="00E76DC3" w:rsidP="00E76DC3">
      <w:r w:rsidRPr="00BD4653">
        <w:rPr>
          <w:b/>
        </w:rPr>
        <w:t xml:space="preserve">5. </w:t>
      </w:r>
      <w:r w:rsidRPr="00BD4653">
        <w:t>Jacinta Sousa</w:t>
      </w:r>
    </w:p>
    <w:p w14:paraId="4AD4724E" w14:textId="77777777" w:rsidR="00537312" w:rsidRPr="00BD4653" w:rsidRDefault="00E76DC3" w:rsidP="00E76DC3">
      <w:r w:rsidRPr="00BD4653">
        <w:t>Centro de Investigação de Psicologia. Adaptação, Rendimento e Desenvolvimento Humano. Escola de Psicologia. Universidade do Minho. Portugal.</w:t>
      </w:r>
    </w:p>
    <w:p w14:paraId="6C211290" w14:textId="768A6152" w:rsidR="00E76DC3" w:rsidRPr="00BD4653" w:rsidRDefault="00CD71C1" w:rsidP="00E76DC3">
      <w:hyperlink r:id="rId19" w:history="1">
        <w:r w:rsidR="00537312" w:rsidRPr="00BD4653">
          <w:rPr>
            <w:rStyle w:val="Hiperligao"/>
          </w:rPr>
          <w:t>jacintamarlene@hotmail.com</w:t>
        </w:r>
      </w:hyperlink>
      <w:r w:rsidR="00F27DD4" w:rsidRPr="00BD4653">
        <w:t xml:space="preserve"> </w:t>
      </w:r>
    </w:p>
    <w:p w14:paraId="4BD21CCB" w14:textId="3FECABF1" w:rsidR="00E76DC3" w:rsidRPr="00BD4653" w:rsidRDefault="00E76DC3" w:rsidP="00E76DC3">
      <w:proofErr w:type="spellStart"/>
      <w:r w:rsidRPr="00BD4653">
        <w:t>Orcid</w:t>
      </w:r>
      <w:proofErr w:type="spellEnd"/>
      <w:r w:rsidRPr="00BD4653">
        <w:t xml:space="preserve">: </w:t>
      </w:r>
      <w:hyperlink r:id="rId20" w:history="1">
        <w:r w:rsidR="00762EB5" w:rsidRPr="00BD4653">
          <w:rPr>
            <w:rStyle w:val="Hiperligao"/>
          </w:rPr>
          <w:t>https://orcid.org/0000-0002-0491-2520</w:t>
        </w:r>
      </w:hyperlink>
      <w:r w:rsidR="00762EB5" w:rsidRPr="00BD4653">
        <w:t xml:space="preserve"> </w:t>
      </w:r>
    </w:p>
    <w:p w14:paraId="480A71B7" w14:textId="77777777" w:rsidR="00E76DC3" w:rsidRPr="00BD4653" w:rsidRDefault="00E76DC3" w:rsidP="00C11306"/>
    <w:p w14:paraId="1594B143" w14:textId="46DB11F5" w:rsidR="00C11306" w:rsidRPr="00BD4653" w:rsidRDefault="00C11306" w:rsidP="00C11306">
      <w:pPr>
        <w:jc w:val="both"/>
      </w:pPr>
      <w:r w:rsidRPr="00BD4653">
        <w:t>*</w:t>
      </w:r>
      <w:r w:rsidR="00537312" w:rsidRPr="00BD4653">
        <w:rPr>
          <w:b/>
        </w:rPr>
        <w:t>A</w:t>
      </w:r>
      <w:r w:rsidRPr="00BD4653">
        <w:rPr>
          <w:b/>
        </w:rPr>
        <w:t>ut</w:t>
      </w:r>
      <w:r w:rsidR="00537312" w:rsidRPr="00BD4653">
        <w:rPr>
          <w:b/>
        </w:rPr>
        <w:t>or correspondência</w:t>
      </w:r>
    </w:p>
    <w:p w14:paraId="04610C51" w14:textId="77777777" w:rsidR="00C11306" w:rsidRPr="00BD4653" w:rsidRDefault="00C11306" w:rsidP="00C11306">
      <w:pPr>
        <w:jc w:val="both"/>
        <w:rPr>
          <w:b/>
        </w:rPr>
      </w:pPr>
      <w:r w:rsidRPr="00BD4653">
        <w:t xml:space="preserve">Rui Gomes, Universidade do Minho, Escola de Psicologia, Campus de Gualtar, 4710-057 Braga, Portugal (e-mail: </w:t>
      </w:r>
      <w:hyperlink r:id="rId21" w:history="1">
        <w:r w:rsidRPr="00BD4653">
          <w:rPr>
            <w:rStyle w:val="Hiperligao"/>
          </w:rPr>
          <w:t>rgomes@psi.uminho.pt</w:t>
        </w:r>
      </w:hyperlink>
      <w:r w:rsidRPr="00BD4653">
        <w:t>).</w:t>
      </w:r>
    </w:p>
    <w:p w14:paraId="1A224304" w14:textId="77777777" w:rsidR="00C11306" w:rsidRPr="00BD4653" w:rsidRDefault="00C11306" w:rsidP="00C11306">
      <w:pPr>
        <w:rPr>
          <w:b/>
        </w:rPr>
      </w:pPr>
    </w:p>
    <w:p w14:paraId="2F719DC9" w14:textId="01501AA6" w:rsidR="00C11306" w:rsidRPr="00BD4653" w:rsidRDefault="00537312" w:rsidP="00C11306">
      <w:pPr>
        <w:rPr>
          <w:b/>
        </w:rPr>
      </w:pPr>
      <w:r w:rsidRPr="00BD4653">
        <w:rPr>
          <w:b/>
        </w:rPr>
        <w:t>Financiamento</w:t>
      </w:r>
    </w:p>
    <w:p w14:paraId="6CD4ED5F" w14:textId="77777777" w:rsidR="00537312" w:rsidRPr="00BD4653" w:rsidRDefault="00537312" w:rsidP="00537312">
      <w:r w:rsidRPr="00BD4653">
        <w:t>Este estudo foi realizado no Centro de Investigação em Psicologia (CIPsi/UM), Escola de Psicologia, Universidade do Minho, sendo suportado financeiramente pela Fundação para a Ciência e Tecnologia, através de fundos nacionais (UIDB/01662/2020).</w:t>
      </w:r>
    </w:p>
    <w:p w14:paraId="1E190DB6" w14:textId="77777777" w:rsidR="00C11306" w:rsidRPr="00BD4653" w:rsidRDefault="00C11306" w:rsidP="00C11306">
      <w:pPr>
        <w:rPr>
          <w:b/>
        </w:rPr>
      </w:pPr>
    </w:p>
    <w:p w14:paraId="422FAE9F" w14:textId="6D5B21CF" w:rsidR="00C11306" w:rsidRPr="00BD4653" w:rsidRDefault="0032232E" w:rsidP="00C11306">
      <w:pPr>
        <w:rPr>
          <w:bCs/>
        </w:rPr>
      </w:pPr>
      <w:r w:rsidRPr="00BD4653">
        <w:rPr>
          <w:b/>
        </w:rPr>
        <w:t>Conflito de interesses</w:t>
      </w:r>
    </w:p>
    <w:p w14:paraId="66F61203" w14:textId="7ADA3262" w:rsidR="00C11306" w:rsidRPr="00BD4653" w:rsidRDefault="0032232E" w:rsidP="00537312">
      <w:r w:rsidRPr="00BD4653">
        <w:t>Este documento nunca foi publicado antes e constituiu um artigo original. O(s) autor (</w:t>
      </w:r>
      <w:proofErr w:type="spellStart"/>
      <w:r w:rsidRPr="00BD4653">
        <w:t>es</w:t>
      </w:r>
      <w:proofErr w:type="spellEnd"/>
      <w:r w:rsidRPr="00BD4653">
        <w:t>) declara que não tem interesses competitivos.</w:t>
      </w:r>
    </w:p>
    <w:p w14:paraId="1E2CED83" w14:textId="2F592B18" w:rsidR="00092308" w:rsidRPr="00BD4653" w:rsidRDefault="00092308">
      <w:pPr>
        <w:rPr>
          <w:b/>
          <w:bCs/>
        </w:rPr>
      </w:pPr>
      <w:r w:rsidRPr="00BD4653">
        <w:rPr>
          <w:b/>
          <w:bCs/>
        </w:rPr>
        <w:br w:type="page"/>
      </w:r>
    </w:p>
    <w:p w14:paraId="0ECAA6CC" w14:textId="77777777" w:rsidR="00147C5D" w:rsidRDefault="00147C5D" w:rsidP="00147C5D">
      <w:pPr>
        <w:ind w:firstLine="708"/>
        <w:rPr>
          <w:rFonts w:eastAsia="Calibri"/>
          <w:b/>
          <w:lang w:eastAsia="pt-PT"/>
        </w:rPr>
        <w:sectPr w:rsidR="00147C5D" w:rsidSect="00147C5D">
          <w:headerReference w:type="default" r:id="rId22"/>
          <w:footerReference w:type="default" r:id="rId23"/>
          <w:headerReference w:type="first" r:id="rId24"/>
          <w:pgSz w:w="11906" w:h="16838"/>
          <w:pgMar w:top="1418" w:right="1418" w:bottom="1418" w:left="1418" w:header="709" w:footer="709" w:gutter="0"/>
          <w:pgNumType w:start="1"/>
          <w:cols w:space="708"/>
          <w:docGrid w:linePitch="360"/>
        </w:sectPr>
      </w:pPr>
    </w:p>
    <w:p w14:paraId="32A4CFE3" w14:textId="0CA870E0" w:rsidR="008B1738" w:rsidRPr="00BD4653" w:rsidRDefault="00100B69" w:rsidP="00147C5D">
      <w:pPr>
        <w:ind w:firstLine="708"/>
        <w:rPr>
          <w:rFonts w:eastAsia="Calibri"/>
          <w:b/>
          <w:lang w:eastAsia="pt-PT"/>
        </w:rPr>
      </w:pPr>
      <w:r w:rsidRPr="00BD4653">
        <w:rPr>
          <w:rFonts w:eastAsia="Calibri"/>
          <w:b/>
          <w:lang w:eastAsia="pt-PT"/>
        </w:rPr>
        <w:lastRenderedPageBreak/>
        <w:t xml:space="preserve">Perfis de adaptação ao </w:t>
      </w:r>
      <w:r w:rsidRPr="00BD4653">
        <w:rPr>
          <w:rFonts w:eastAsia="Calibri"/>
          <w:b/>
          <w:i/>
          <w:lang w:eastAsia="pt-PT"/>
        </w:rPr>
        <w:t>stress</w:t>
      </w:r>
      <w:r w:rsidRPr="00BD4653">
        <w:rPr>
          <w:rFonts w:eastAsia="Calibri"/>
          <w:b/>
          <w:lang w:eastAsia="pt-PT"/>
        </w:rPr>
        <w:t xml:space="preserve"> em estudantes: </w:t>
      </w:r>
      <w:r w:rsidRPr="00BD4653">
        <w:rPr>
          <w:b/>
          <w:shd w:val="clear" w:color="auto" w:fill="FFFFFF"/>
        </w:rPr>
        <w:t xml:space="preserve">Relação com </w:t>
      </w:r>
      <w:proofErr w:type="spellStart"/>
      <w:r w:rsidRPr="00BD4653">
        <w:rPr>
          <w:b/>
          <w:i/>
          <w:shd w:val="clear" w:color="auto" w:fill="FFFFFF"/>
        </w:rPr>
        <w:t>coping</w:t>
      </w:r>
      <w:proofErr w:type="spellEnd"/>
      <w:r w:rsidRPr="00BD4653">
        <w:rPr>
          <w:b/>
          <w:shd w:val="clear" w:color="auto" w:fill="FFFFFF"/>
        </w:rPr>
        <w:t xml:space="preserve"> e </w:t>
      </w:r>
      <w:r w:rsidRPr="00BD4653">
        <w:rPr>
          <w:b/>
          <w:i/>
          <w:shd w:val="clear" w:color="auto" w:fill="FFFFFF"/>
        </w:rPr>
        <w:t>burnout</w:t>
      </w:r>
    </w:p>
    <w:p w14:paraId="5736857C" w14:textId="77777777" w:rsidR="00100B69" w:rsidRPr="00BD4653" w:rsidRDefault="00100B69" w:rsidP="00F36814">
      <w:pPr>
        <w:spacing w:line="360" w:lineRule="auto"/>
        <w:jc w:val="center"/>
        <w:rPr>
          <w:rFonts w:eastAsia="Calibri"/>
          <w:b/>
          <w:lang w:eastAsia="pt-PT"/>
        </w:rPr>
      </w:pPr>
    </w:p>
    <w:p w14:paraId="77C80B28" w14:textId="77777777" w:rsidR="008B1738" w:rsidRPr="00BD4653" w:rsidRDefault="008B1738" w:rsidP="00F36814">
      <w:pPr>
        <w:spacing w:line="360" w:lineRule="auto"/>
        <w:jc w:val="center"/>
        <w:textAlignment w:val="baseline"/>
        <w:rPr>
          <w:lang w:eastAsia="pt-PT" w:bidi="he-IL"/>
        </w:rPr>
      </w:pPr>
      <w:r w:rsidRPr="00BD4653">
        <w:rPr>
          <w:b/>
          <w:bCs/>
          <w:lang w:eastAsia="pt-PT" w:bidi="he-IL"/>
        </w:rPr>
        <w:t>Resumo </w:t>
      </w:r>
      <w:r w:rsidRPr="00BD4653">
        <w:rPr>
          <w:lang w:eastAsia="pt-PT" w:bidi="he-IL"/>
        </w:rPr>
        <w:t>  </w:t>
      </w:r>
    </w:p>
    <w:p w14:paraId="5060F99D" w14:textId="2532907A" w:rsidR="008B1738" w:rsidRPr="00BE19B7" w:rsidRDefault="008B1738" w:rsidP="00F36814">
      <w:pPr>
        <w:spacing w:line="360" w:lineRule="auto"/>
        <w:textAlignment w:val="baseline"/>
        <w:rPr>
          <w:color w:val="000000"/>
          <w:lang w:eastAsia="pt-PT" w:bidi="he-IL"/>
        </w:rPr>
      </w:pPr>
      <w:r w:rsidRPr="00BD4653">
        <w:rPr>
          <w:color w:val="000000"/>
          <w:lang w:eastAsia="pt-PT" w:bidi="he-IL"/>
        </w:rPr>
        <w:t xml:space="preserve">Este estudo procurou compreender se diferentes perfis de </w:t>
      </w:r>
      <w:r w:rsidRPr="00BD4653">
        <w:rPr>
          <w:i/>
          <w:iCs/>
          <w:color w:val="000000"/>
          <w:lang w:eastAsia="pt-PT" w:bidi="he-IL"/>
        </w:rPr>
        <w:t>stress</w:t>
      </w:r>
      <w:r w:rsidRPr="00BD4653">
        <w:rPr>
          <w:color w:val="000000"/>
          <w:lang w:eastAsia="pt-PT" w:bidi="he-IL"/>
        </w:rPr>
        <w:t xml:space="preserve"> e avaliação cognitiva correspondiam a diferenças no </w:t>
      </w:r>
      <w:proofErr w:type="spellStart"/>
      <w:r w:rsidRPr="00BD4653">
        <w:rPr>
          <w:i/>
          <w:iCs/>
          <w:color w:val="000000"/>
          <w:lang w:eastAsia="pt-PT" w:bidi="he-IL"/>
        </w:rPr>
        <w:t>coping</w:t>
      </w:r>
      <w:proofErr w:type="spellEnd"/>
      <w:r w:rsidRPr="00BD4653">
        <w:rPr>
          <w:i/>
          <w:iCs/>
          <w:color w:val="000000"/>
          <w:lang w:eastAsia="pt-PT" w:bidi="he-IL"/>
        </w:rPr>
        <w:t xml:space="preserve"> </w:t>
      </w:r>
      <w:r w:rsidRPr="00BD4653">
        <w:rPr>
          <w:color w:val="000000"/>
          <w:lang w:eastAsia="pt-PT" w:bidi="he-IL"/>
        </w:rPr>
        <w:t xml:space="preserve">e </w:t>
      </w:r>
      <w:r w:rsidRPr="00BD4653">
        <w:rPr>
          <w:i/>
          <w:iCs/>
          <w:color w:val="000000"/>
          <w:lang w:eastAsia="pt-PT" w:bidi="he-IL"/>
        </w:rPr>
        <w:t xml:space="preserve">burnout </w:t>
      </w:r>
      <w:r w:rsidRPr="00BD4653">
        <w:rPr>
          <w:color w:val="000000"/>
          <w:lang w:eastAsia="pt-PT" w:bidi="he-IL"/>
        </w:rPr>
        <w:t>dos estudantes. A amostra inclui 547 estudantes</w:t>
      </w:r>
      <w:r w:rsidR="00BE19B7">
        <w:rPr>
          <w:color w:val="000000"/>
          <w:lang w:eastAsia="pt-PT" w:bidi="he-IL"/>
        </w:rPr>
        <w:t xml:space="preserve"> de quatro cursos universitários</w:t>
      </w:r>
      <w:r w:rsidRPr="00BD4653">
        <w:rPr>
          <w:color w:val="000000"/>
          <w:lang w:eastAsia="pt-PT" w:bidi="he-IL"/>
        </w:rPr>
        <w:t>, com idades entre os 17 e os 52 anos (</w:t>
      </w:r>
      <w:r w:rsidRPr="00BD4653">
        <w:rPr>
          <w:i/>
          <w:iCs/>
          <w:color w:val="000000"/>
          <w:lang w:eastAsia="pt-PT" w:bidi="he-IL"/>
        </w:rPr>
        <w:t xml:space="preserve">M </w:t>
      </w:r>
      <w:r w:rsidRPr="00BD4653">
        <w:rPr>
          <w:color w:val="000000"/>
          <w:lang w:eastAsia="pt-PT" w:bidi="he-IL"/>
        </w:rPr>
        <w:t>=</w:t>
      </w:r>
      <w:r w:rsidRPr="00BD4653">
        <w:rPr>
          <w:i/>
          <w:iCs/>
          <w:color w:val="000000"/>
          <w:lang w:eastAsia="pt-PT" w:bidi="he-IL"/>
        </w:rPr>
        <w:t xml:space="preserve"> </w:t>
      </w:r>
      <w:r w:rsidRPr="00BD4653">
        <w:rPr>
          <w:color w:val="000000"/>
          <w:lang w:eastAsia="pt-PT" w:bidi="he-IL"/>
        </w:rPr>
        <w:t xml:space="preserve">20.6; </w:t>
      </w:r>
      <w:r w:rsidRPr="00BD4653">
        <w:rPr>
          <w:i/>
          <w:iCs/>
          <w:color w:val="000000"/>
          <w:lang w:eastAsia="pt-PT" w:bidi="he-IL"/>
        </w:rPr>
        <w:t xml:space="preserve">DP </w:t>
      </w:r>
      <w:r w:rsidRPr="00BD4653">
        <w:rPr>
          <w:color w:val="000000"/>
          <w:lang w:eastAsia="pt-PT" w:bidi="he-IL"/>
        </w:rPr>
        <w:t xml:space="preserve">= 4.4). </w:t>
      </w:r>
      <w:r w:rsidR="00BE19B7">
        <w:rPr>
          <w:color w:val="000000"/>
          <w:lang w:eastAsia="pt-PT" w:bidi="he-IL"/>
        </w:rPr>
        <w:t xml:space="preserve">O protocolo de avaliação incluiu: </w:t>
      </w:r>
      <w:r w:rsidRPr="00BD4653">
        <w:rPr>
          <w:color w:val="000000"/>
          <w:lang w:eastAsia="pt-PT" w:bidi="he-IL"/>
        </w:rPr>
        <w:t xml:space="preserve">Escala de Avaliação Cognitiva, Questionário de </w:t>
      </w:r>
      <w:r w:rsidRPr="00BD4653">
        <w:rPr>
          <w:i/>
          <w:iCs/>
          <w:color w:val="000000"/>
          <w:lang w:eastAsia="pt-PT" w:bidi="he-IL"/>
        </w:rPr>
        <w:t>Stress</w:t>
      </w:r>
      <w:r w:rsidRPr="00BD4653">
        <w:rPr>
          <w:color w:val="000000"/>
          <w:lang w:eastAsia="pt-PT" w:bidi="he-IL"/>
        </w:rPr>
        <w:t xml:space="preserve"> em Estudantes, </w:t>
      </w:r>
      <w:r w:rsidRPr="00BD4653">
        <w:rPr>
          <w:color w:val="1E1919"/>
          <w:lang w:eastAsia="pt-PT" w:bidi="he-IL"/>
        </w:rPr>
        <w:t xml:space="preserve">Inventário de </w:t>
      </w:r>
      <w:proofErr w:type="spellStart"/>
      <w:r w:rsidRPr="00BD4653">
        <w:rPr>
          <w:i/>
          <w:iCs/>
          <w:color w:val="1E1919"/>
          <w:lang w:eastAsia="pt-PT" w:bidi="he-IL"/>
        </w:rPr>
        <w:t>Coping</w:t>
      </w:r>
      <w:proofErr w:type="spellEnd"/>
      <w:r w:rsidRPr="00BD4653">
        <w:rPr>
          <w:color w:val="1E1919"/>
          <w:lang w:eastAsia="pt-PT" w:bidi="he-IL"/>
        </w:rPr>
        <w:t xml:space="preserve">-Reduzido </w:t>
      </w:r>
      <w:r w:rsidRPr="00BD4653">
        <w:rPr>
          <w:color w:val="000000"/>
          <w:lang w:eastAsia="pt-PT" w:bidi="he-IL"/>
        </w:rPr>
        <w:t xml:space="preserve">e </w:t>
      </w:r>
      <w:r w:rsidRPr="00BD4653">
        <w:rPr>
          <w:color w:val="1E1919"/>
          <w:lang w:eastAsia="pt-PT" w:bidi="he-IL"/>
        </w:rPr>
        <w:t xml:space="preserve">Medida de </w:t>
      </w:r>
      <w:r w:rsidRPr="00BD4653">
        <w:rPr>
          <w:i/>
          <w:iCs/>
          <w:color w:val="1E1919"/>
          <w:lang w:eastAsia="pt-PT" w:bidi="he-IL"/>
        </w:rPr>
        <w:t>Burnout</w:t>
      </w:r>
      <w:r w:rsidRPr="00BD4653">
        <w:rPr>
          <w:color w:val="1E1919"/>
          <w:lang w:eastAsia="pt-PT" w:bidi="he-IL"/>
        </w:rPr>
        <w:t xml:space="preserve"> de </w:t>
      </w:r>
      <w:proofErr w:type="spellStart"/>
      <w:r w:rsidRPr="00BD4653">
        <w:rPr>
          <w:i/>
          <w:iCs/>
          <w:color w:val="1E1919"/>
          <w:lang w:eastAsia="pt-PT" w:bidi="he-IL"/>
        </w:rPr>
        <w:t>Shirom-Melamed</w:t>
      </w:r>
      <w:proofErr w:type="spellEnd"/>
      <w:r w:rsidRPr="00BD4653">
        <w:rPr>
          <w:color w:val="1E1919"/>
          <w:lang w:eastAsia="pt-PT" w:bidi="he-IL"/>
        </w:rPr>
        <w:t xml:space="preserve">. </w:t>
      </w:r>
      <w:r w:rsidRPr="00BD4653">
        <w:rPr>
          <w:color w:val="000000"/>
          <w:lang w:eastAsia="pt-PT" w:bidi="he-IL"/>
        </w:rPr>
        <w:t xml:space="preserve">Os resultados mostraram que o excesso de trabalho e a avaliação académica são as principais fontes de </w:t>
      </w:r>
      <w:r w:rsidRPr="00BD4653">
        <w:rPr>
          <w:i/>
          <w:iCs/>
          <w:color w:val="000000"/>
          <w:lang w:eastAsia="pt-PT" w:bidi="he-IL"/>
        </w:rPr>
        <w:t>stress</w:t>
      </w:r>
      <w:r w:rsidRPr="00BD4653">
        <w:rPr>
          <w:color w:val="000000"/>
          <w:lang w:eastAsia="pt-PT" w:bidi="he-IL"/>
        </w:rPr>
        <w:t>, verificando-se uma maior utilização de estratégias de</w:t>
      </w:r>
      <w:r w:rsidRPr="00BD4653">
        <w:rPr>
          <w:i/>
          <w:iCs/>
          <w:color w:val="000000"/>
          <w:lang w:eastAsia="pt-PT" w:bidi="he-IL"/>
        </w:rPr>
        <w:t xml:space="preserve"> </w:t>
      </w:r>
      <w:proofErr w:type="spellStart"/>
      <w:r w:rsidRPr="00BD4653">
        <w:rPr>
          <w:i/>
          <w:iCs/>
          <w:color w:val="000000"/>
          <w:lang w:eastAsia="pt-PT" w:bidi="he-IL"/>
        </w:rPr>
        <w:t>coping</w:t>
      </w:r>
      <w:proofErr w:type="spellEnd"/>
      <w:r w:rsidRPr="00BD4653">
        <w:rPr>
          <w:color w:val="000000"/>
          <w:lang w:eastAsia="pt-PT" w:bidi="he-IL"/>
        </w:rPr>
        <w:t xml:space="preserve"> adaptativas</w:t>
      </w:r>
      <w:r w:rsidR="00BE19B7">
        <w:rPr>
          <w:color w:val="000000"/>
          <w:lang w:eastAsia="pt-PT" w:bidi="he-IL"/>
        </w:rPr>
        <w:t>.</w:t>
      </w:r>
      <w:r w:rsidRPr="00BD4653">
        <w:rPr>
          <w:color w:val="000000"/>
          <w:lang w:eastAsia="pt-PT" w:bidi="he-IL"/>
        </w:rPr>
        <w:t xml:space="preserve"> Os estudantes com um perfil superior de </w:t>
      </w:r>
      <w:r w:rsidRPr="00BD4653">
        <w:rPr>
          <w:i/>
          <w:iCs/>
          <w:color w:val="000000"/>
          <w:lang w:eastAsia="pt-PT" w:bidi="he-IL"/>
        </w:rPr>
        <w:t>stress</w:t>
      </w:r>
      <w:r w:rsidRPr="00BD4653">
        <w:rPr>
          <w:color w:val="000000"/>
          <w:lang w:eastAsia="pt-PT" w:bidi="he-IL"/>
        </w:rPr>
        <w:t xml:space="preserve"> e com um perfil moderadamente positivo de avaliação cognitiva </w:t>
      </w:r>
      <w:r w:rsidR="00BE19B7">
        <w:rPr>
          <w:color w:val="000000"/>
          <w:lang w:eastAsia="pt-PT" w:bidi="he-IL"/>
        </w:rPr>
        <w:t>utilizaram</w:t>
      </w:r>
      <w:r w:rsidRPr="00BD4653">
        <w:rPr>
          <w:color w:val="000000"/>
          <w:lang w:eastAsia="pt-PT" w:bidi="he-IL"/>
        </w:rPr>
        <w:t xml:space="preserve"> estratégias de </w:t>
      </w:r>
      <w:proofErr w:type="spellStart"/>
      <w:r w:rsidRPr="00BD4653">
        <w:rPr>
          <w:i/>
          <w:iCs/>
          <w:color w:val="000000"/>
          <w:lang w:eastAsia="pt-PT" w:bidi="he-IL"/>
        </w:rPr>
        <w:t>coping</w:t>
      </w:r>
      <w:proofErr w:type="spellEnd"/>
      <w:r w:rsidRPr="00BD4653">
        <w:rPr>
          <w:color w:val="000000"/>
          <w:lang w:eastAsia="pt-PT" w:bidi="he-IL"/>
        </w:rPr>
        <w:t xml:space="preserve"> menos adaptativas e evidenciaram maiores níveis de </w:t>
      </w:r>
      <w:r w:rsidRPr="00BD4653">
        <w:rPr>
          <w:i/>
          <w:iCs/>
          <w:color w:val="000000"/>
          <w:lang w:eastAsia="pt-PT" w:bidi="he-IL"/>
        </w:rPr>
        <w:t>burnout</w:t>
      </w:r>
      <w:r w:rsidRPr="00BD4653">
        <w:rPr>
          <w:color w:val="000000"/>
          <w:lang w:eastAsia="pt-PT" w:bidi="he-IL"/>
        </w:rPr>
        <w:t>. Em síntese, é importante intervir sobre a capacidade d</w:t>
      </w:r>
      <w:r w:rsidR="00BE19B7">
        <w:rPr>
          <w:color w:val="000000"/>
          <w:lang w:eastAsia="pt-PT" w:bidi="he-IL"/>
        </w:rPr>
        <w:t xml:space="preserve">e </w:t>
      </w:r>
      <w:r w:rsidRPr="00BD4653">
        <w:rPr>
          <w:color w:val="000000"/>
          <w:lang w:eastAsia="pt-PT" w:bidi="he-IL"/>
        </w:rPr>
        <w:t xml:space="preserve">os estudantes gerirem o </w:t>
      </w:r>
      <w:r w:rsidRPr="00BD4653">
        <w:rPr>
          <w:i/>
          <w:iCs/>
          <w:color w:val="000000"/>
          <w:lang w:eastAsia="pt-PT" w:bidi="he-IL"/>
        </w:rPr>
        <w:t>stress</w:t>
      </w:r>
      <w:r w:rsidRPr="00BD4653">
        <w:rPr>
          <w:color w:val="000000"/>
          <w:lang w:eastAsia="pt-PT" w:bidi="he-IL"/>
        </w:rPr>
        <w:t xml:space="preserve"> e sobre o modo como avaliam a sua atividade de estudante. </w:t>
      </w:r>
    </w:p>
    <w:p w14:paraId="4875989D" w14:textId="77777777" w:rsidR="006238D2" w:rsidRDefault="006238D2" w:rsidP="00F36814">
      <w:pPr>
        <w:spacing w:line="360" w:lineRule="auto"/>
        <w:textAlignment w:val="baseline"/>
        <w:rPr>
          <w:i/>
          <w:iCs/>
          <w:lang w:eastAsia="pt-PT" w:bidi="he-IL"/>
        </w:rPr>
      </w:pPr>
    </w:p>
    <w:p w14:paraId="35F9DADC" w14:textId="76BCEA4E" w:rsidR="00FD335E" w:rsidRPr="00BD4653" w:rsidRDefault="008B1738" w:rsidP="00F36814">
      <w:pPr>
        <w:spacing w:line="360" w:lineRule="auto"/>
        <w:textAlignment w:val="baseline"/>
        <w:rPr>
          <w:i/>
          <w:iCs/>
          <w:lang w:eastAsia="pt-PT" w:bidi="he-IL"/>
        </w:rPr>
      </w:pPr>
      <w:r w:rsidRPr="00BD4653">
        <w:rPr>
          <w:i/>
          <w:iCs/>
          <w:lang w:eastAsia="pt-PT" w:bidi="he-IL"/>
        </w:rPr>
        <w:t>Palavras-chave:</w:t>
      </w:r>
      <w:r w:rsidRPr="00BD4653">
        <w:rPr>
          <w:lang w:eastAsia="pt-PT" w:bidi="he-IL"/>
        </w:rPr>
        <w:t xml:space="preserve"> </w:t>
      </w:r>
      <w:r w:rsidR="00BD4653" w:rsidRPr="00BD4653">
        <w:rPr>
          <w:lang w:eastAsia="pt-PT" w:bidi="he-IL"/>
        </w:rPr>
        <w:t xml:space="preserve">Avaliação Cognitiva; </w:t>
      </w:r>
      <w:r w:rsidR="00BD4653" w:rsidRPr="00BD4653">
        <w:rPr>
          <w:i/>
          <w:iCs/>
          <w:lang w:eastAsia="pt-PT" w:bidi="he-IL"/>
        </w:rPr>
        <w:t>Burnout</w:t>
      </w:r>
      <w:r w:rsidR="00BD4653" w:rsidRPr="00BD4653">
        <w:rPr>
          <w:lang w:eastAsia="pt-PT" w:bidi="he-IL"/>
        </w:rPr>
        <w:t xml:space="preserve">; </w:t>
      </w:r>
      <w:proofErr w:type="spellStart"/>
      <w:r w:rsidR="00BD4653" w:rsidRPr="00BD4653">
        <w:rPr>
          <w:i/>
          <w:iCs/>
          <w:lang w:eastAsia="pt-PT" w:bidi="he-IL"/>
        </w:rPr>
        <w:t>Coping</w:t>
      </w:r>
      <w:proofErr w:type="spellEnd"/>
      <w:r w:rsidR="00BD4653" w:rsidRPr="00BD4653">
        <w:rPr>
          <w:lang w:eastAsia="pt-PT" w:bidi="he-IL"/>
        </w:rPr>
        <w:t>; Estudantes Universitários</w:t>
      </w:r>
      <w:r w:rsidR="00BD4653" w:rsidRPr="00BD4653">
        <w:rPr>
          <w:i/>
          <w:iCs/>
          <w:lang w:eastAsia="pt-PT" w:bidi="he-IL"/>
        </w:rPr>
        <w:t>; Stress.</w:t>
      </w:r>
      <w:bookmarkStart w:id="0" w:name="_Toc105201995"/>
      <w:bookmarkStart w:id="1" w:name="_Toc105365188"/>
    </w:p>
    <w:p w14:paraId="756D1E5E" w14:textId="0B539DEC" w:rsidR="00100B69" w:rsidRPr="00BD4653" w:rsidRDefault="00100B69">
      <w:pPr>
        <w:rPr>
          <w:i/>
          <w:iCs/>
          <w:lang w:eastAsia="pt-PT" w:bidi="he-IL"/>
        </w:rPr>
      </w:pPr>
      <w:r w:rsidRPr="00BD4653">
        <w:rPr>
          <w:i/>
          <w:iCs/>
          <w:lang w:eastAsia="pt-PT" w:bidi="he-IL"/>
        </w:rPr>
        <w:br w:type="page"/>
      </w:r>
    </w:p>
    <w:p w14:paraId="5E6FD482" w14:textId="02932586" w:rsidR="00BD4653" w:rsidRPr="00BD4653" w:rsidRDefault="00A914D7" w:rsidP="00BD4653">
      <w:pPr>
        <w:spacing w:line="360" w:lineRule="auto"/>
        <w:jc w:val="center"/>
        <w:textAlignment w:val="baseline"/>
        <w:rPr>
          <w:b/>
          <w:bCs/>
          <w:color w:val="000000"/>
          <w:shd w:val="clear" w:color="auto" w:fill="FFFFFF"/>
          <w:lang w:val="en-GB" w:eastAsia="pt-PT" w:bidi="he-IL"/>
        </w:rPr>
      </w:pPr>
      <w:r>
        <w:rPr>
          <w:b/>
          <w:bCs/>
          <w:color w:val="000000"/>
          <w:shd w:val="clear" w:color="auto" w:fill="FFFFFF"/>
          <w:lang w:val="en-GB" w:eastAsia="pt-PT" w:bidi="he-IL"/>
        </w:rPr>
        <w:lastRenderedPageBreak/>
        <w:t>P</w:t>
      </w:r>
      <w:r w:rsidR="00BE19B7">
        <w:rPr>
          <w:b/>
          <w:bCs/>
          <w:color w:val="000000"/>
          <w:shd w:val="clear" w:color="auto" w:fill="FFFFFF"/>
          <w:lang w:val="en-GB" w:eastAsia="pt-PT" w:bidi="he-IL"/>
        </w:rPr>
        <w:t>rofiles</w:t>
      </w:r>
      <w:r>
        <w:rPr>
          <w:b/>
          <w:bCs/>
          <w:color w:val="000000"/>
          <w:shd w:val="clear" w:color="auto" w:fill="FFFFFF"/>
          <w:lang w:val="en-GB" w:eastAsia="pt-PT" w:bidi="he-IL"/>
        </w:rPr>
        <w:t xml:space="preserve"> of stress adaptation</w:t>
      </w:r>
      <w:r w:rsidR="00BD4653" w:rsidRPr="00BD4653">
        <w:rPr>
          <w:b/>
          <w:bCs/>
          <w:color w:val="000000"/>
          <w:shd w:val="clear" w:color="auto" w:fill="FFFFFF"/>
          <w:lang w:val="en-GB" w:eastAsia="pt-PT" w:bidi="he-IL"/>
        </w:rPr>
        <w:t xml:space="preserve"> in </w:t>
      </w:r>
      <w:r w:rsidR="00BE19B7">
        <w:rPr>
          <w:b/>
          <w:bCs/>
          <w:color w:val="000000"/>
          <w:shd w:val="clear" w:color="auto" w:fill="FFFFFF"/>
          <w:lang w:val="en-GB" w:eastAsia="pt-PT" w:bidi="he-IL"/>
        </w:rPr>
        <w:t>s</w:t>
      </w:r>
      <w:r w:rsidR="00BD4653" w:rsidRPr="00BD4653">
        <w:rPr>
          <w:b/>
          <w:bCs/>
          <w:color w:val="000000"/>
          <w:shd w:val="clear" w:color="auto" w:fill="FFFFFF"/>
          <w:lang w:val="en-GB" w:eastAsia="pt-PT" w:bidi="he-IL"/>
        </w:rPr>
        <w:t xml:space="preserve">tudents: Relations with </w:t>
      </w:r>
      <w:r w:rsidR="00BE19B7">
        <w:rPr>
          <w:b/>
          <w:bCs/>
          <w:color w:val="000000"/>
          <w:shd w:val="clear" w:color="auto" w:fill="FFFFFF"/>
          <w:lang w:val="en-GB" w:eastAsia="pt-PT" w:bidi="he-IL"/>
        </w:rPr>
        <w:t>c</w:t>
      </w:r>
      <w:r w:rsidR="00BD4653" w:rsidRPr="00BD4653">
        <w:rPr>
          <w:b/>
          <w:bCs/>
          <w:color w:val="000000"/>
          <w:shd w:val="clear" w:color="auto" w:fill="FFFFFF"/>
          <w:lang w:val="en-GB" w:eastAsia="pt-PT" w:bidi="he-IL"/>
        </w:rPr>
        <w:t xml:space="preserve">oping and </w:t>
      </w:r>
      <w:r w:rsidR="00BE19B7">
        <w:rPr>
          <w:b/>
          <w:bCs/>
          <w:color w:val="000000"/>
          <w:shd w:val="clear" w:color="auto" w:fill="FFFFFF"/>
          <w:lang w:val="en-GB" w:eastAsia="pt-PT" w:bidi="he-IL"/>
        </w:rPr>
        <w:t>b</w:t>
      </w:r>
      <w:r w:rsidR="00BD4653" w:rsidRPr="00BD4653">
        <w:rPr>
          <w:b/>
          <w:bCs/>
          <w:color w:val="000000"/>
          <w:shd w:val="clear" w:color="auto" w:fill="FFFFFF"/>
          <w:lang w:val="en-GB" w:eastAsia="pt-PT" w:bidi="he-IL"/>
        </w:rPr>
        <w:t>urnout</w:t>
      </w:r>
    </w:p>
    <w:p w14:paraId="03385699" w14:textId="77777777" w:rsidR="00BD4653" w:rsidRPr="00BD4653" w:rsidRDefault="00BD4653" w:rsidP="00BD4653">
      <w:pPr>
        <w:spacing w:line="360" w:lineRule="auto"/>
        <w:jc w:val="center"/>
        <w:textAlignment w:val="baseline"/>
        <w:rPr>
          <w:b/>
          <w:bCs/>
          <w:lang w:val="en-GB" w:eastAsia="pt-PT" w:bidi="he-IL"/>
        </w:rPr>
      </w:pPr>
      <w:r w:rsidRPr="00BD4653">
        <w:rPr>
          <w:b/>
          <w:bCs/>
          <w:lang w:val="en-GB"/>
        </w:rPr>
        <w:t>Abstract</w:t>
      </w:r>
    </w:p>
    <w:p w14:paraId="235ED71E" w14:textId="5E78AAF6" w:rsidR="00BD4653" w:rsidRPr="00BD4653" w:rsidRDefault="00BD4653" w:rsidP="00147C5D">
      <w:pPr>
        <w:spacing w:line="360" w:lineRule="auto"/>
        <w:textAlignment w:val="baseline"/>
        <w:rPr>
          <w:lang w:val="en-GB" w:eastAsia="pt-PT" w:bidi="he-IL"/>
        </w:rPr>
      </w:pPr>
      <w:r w:rsidRPr="00BD4653">
        <w:rPr>
          <w:lang w:val="en-GB" w:eastAsia="pt-PT" w:bidi="he-IL"/>
        </w:rPr>
        <w:t>The present</w:t>
      </w:r>
      <w:r w:rsidRPr="00BD4653">
        <w:rPr>
          <w:lang w:val="en" w:eastAsia="pt-PT" w:bidi="he-IL"/>
        </w:rPr>
        <w:t xml:space="preserve"> study analyzed whether different profiles of stress and cognitive appraisal corresponded to differences in students' coping and burnout.</w:t>
      </w:r>
      <w:r w:rsidRPr="00BD4653">
        <w:rPr>
          <w:lang w:val="en-GB" w:eastAsia="pt-PT" w:bidi="he-IL"/>
        </w:rPr>
        <w:t xml:space="preserve"> </w:t>
      </w:r>
      <w:r w:rsidRPr="00BD4653">
        <w:rPr>
          <w:lang w:val="en" w:eastAsia="pt-PT" w:bidi="he-IL"/>
        </w:rPr>
        <w:t xml:space="preserve">The sample included 547 students, 267 from </w:t>
      </w:r>
      <w:r w:rsidR="00BE19B7">
        <w:rPr>
          <w:lang w:val="en" w:eastAsia="pt-PT" w:bidi="he-IL"/>
        </w:rPr>
        <w:t>four university courses</w:t>
      </w:r>
      <w:r w:rsidRPr="00BD4653">
        <w:rPr>
          <w:lang w:val="en" w:eastAsia="pt-PT" w:bidi="he-IL"/>
        </w:rPr>
        <w:t>, aged between 17 and 52 years (</w:t>
      </w:r>
      <w:r w:rsidRPr="00BD4653">
        <w:rPr>
          <w:i/>
          <w:lang w:val="en" w:eastAsia="pt-PT" w:bidi="he-IL"/>
        </w:rPr>
        <w:t>M</w:t>
      </w:r>
      <w:r w:rsidRPr="00BD4653">
        <w:rPr>
          <w:lang w:val="en" w:eastAsia="pt-PT" w:bidi="he-IL"/>
        </w:rPr>
        <w:t xml:space="preserve"> = 20.6; </w:t>
      </w:r>
      <w:r w:rsidRPr="00BD4653">
        <w:rPr>
          <w:i/>
          <w:lang w:val="en" w:eastAsia="pt-PT" w:bidi="he-IL"/>
        </w:rPr>
        <w:t>SD</w:t>
      </w:r>
      <w:r w:rsidRPr="00BD4653">
        <w:rPr>
          <w:lang w:val="en" w:eastAsia="pt-PT" w:bidi="he-IL"/>
        </w:rPr>
        <w:t xml:space="preserve"> = 4.4). The following instruments were used: Primary and Secondary Cognitive Appraisal Scale, Stress Questionnaire for Students,</w:t>
      </w:r>
      <w:r w:rsidRPr="00BD4653">
        <w:rPr>
          <w:lang w:val="en-GB"/>
        </w:rPr>
        <w:t xml:space="preserve"> </w:t>
      </w:r>
      <w:r w:rsidR="00BD1CC4" w:rsidRPr="00BD1CC4">
        <w:rPr>
          <w:lang w:val="en" w:eastAsia="pt-PT" w:bidi="he-IL"/>
        </w:rPr>
        <w:t>Reduced Coping Inventory</w:t>
      </w:r>
      <w:r w:rsidRPr="00BD4653">
        <w:rPr>
          <w:lang w:val="en" w:eastAsia="pt-PT" w:bidi="he-IL"/>
        </w:rPr>
        <w:t xml:space="preserve">, and </w:t>
      </w:r>
      <w:proofErr w:type="spellStart"/>
      <w:r w:rsidRPr="00BD4653">
        <w:rPr>
          <w:lang w:val="en" w:eastAsia="pt-PT" w:bidi="he-IL"/>
        </w:rPr>
        <w:t>Shirom</w:t>
      </w:r>
      <w:proofErr w:type="spellEnd"/>
      <w:r w:rsidRPr="00BD4653">
        <w:rPr>
          <w:lang w:val="en" w:eastAsia="pt-PT" w:bidi="he-IL"/>
        </w:rPr>
        <w:t>-Melamed Burnout Measure. The results indicated that work overload and academic evaluation were the main sources of stress and that students used more frequently adaptive coping strategies to cope with stress. Students with a higher stress profile and a moderately positive cognitive appraisal profile used less adaptive coping strategies and experienced higher levels of burnout. In conclusion, it is important to intervene on students' ability to manage stress and on how they appraise academic activity.</w:t>
      </w:r>
    </w:p>
    <w:p w14:paraId="7ADB5EEC" w14:textId="77777777" w:rsidR="006238D2" w:rsidRDefault="006238D2" w:rsidP="00147C5D">
      <w:pPr>
        <w:spacing w:line="360" w:lineRule="auto"/>
        <w:textAlignment w:val="baseline"/>
        <w:rPr>
          <w:i/>
          <w:iCs/>
          <w:lang w:val="en" w:eastAsia="pt-PT" w:bidi="he-IL"/>
        </w:rPr>
      </w:pPr>
    </w:p>
    <w:p w14:paraId="086F61D6" w14:textId="626C96A0" w:rsidR="00BD4653" w:rsidRPr="00BD4653" w:rsidRDefault="00BD4653" w:rsidP="00147C5D">
      <w:pPr>
        <w:spacing w:line="360" w:lineRule="auto"/>
        <w:textAlignment w:val="baseline"/>
        <w:rPr>
          <w:lang w:val="en" w:eastAsia="pt-PT" w:bidi="he-IL"/>
        </w:rPr>
      </w:pPr>
      <w:r w:rsidRPr="00BD4653">
        <w:rPr>
          <w:i/>
          <w:iCs/>
          <w:lang w:val="en" w:eastAsia="pt-PT" w:bidi="he-IL"/>
        </w:rPr>
        <w:t>Keywords</w:t>
      </w:r>
      <w:r w:rsidRPr="00BD4653">
        <w:rPr>
          <w:lang w:val="en" w:eastAsia="pt-PT" w:bidi="he-IL"/>
        </w:rPr>
        <w:t xml:space="preserve">: </w:t>
      </w:r>
      <w:r w:rsidR="00BD1CC4">
        <w:rPr>
          <w:lang w:val="en" w:eastAsia="pt-PT" w:bidi="he-IL"/>
        </w:rPr>
        <w:t>B</w:t>
      </w:r>
      <w:r w:rsidRPr="00BD4653">
        <w:rPr>
          <w:lang w:val="en" w:eastAsia="pt-PT" w:bidi="he-IL"/>
        </w:rPr>
        <w:t xml:space="preserve">urnout, </w:t>
      </w:r>
      <w:r w:rsidR="00BD1CC4">
        <w:rPr>
          <w:lang w:val="en" w:eastAsia="pt-PT" w:bidi="he-IL"/>
        </w:rPr>
        <w:t>C</w:t>
      </w:r>
      <w:r w:rsidRPr="00BD4653">
        <w:rPr>
          <w:lang w:val="en" w:eastAsia="pt-PT" w:bidi="he-IL"/>
        </w:rPr>
        <w:t xml:space="preserve">ognitive appraisal, </w:t>
      </w:r>
      <w:r w:rsidR="00BD1CC4">
        <w:rPr>
          <w:lang w:val="en" w:eastAsia="pt-PT" w:bidi="he-IL"/>
        </w:rPr>
        <w:t>C</w:t>
      </w:r>
      <w:r w:rsidRPr="00BD4653">
        <w:rPr>
          <w:lang w:val="en" w:eastAsia="pt-PT" w:bidi="he-IL"/>
        </w:rPr>
        <w:t xml:space="preserve">oping, </w:t>
      </w:r>
      <w:r w:rsidR="00BD1CC4">
        <w:rPr>
          <w:lang w:val="en" w:eastAsia="pt-PT" w:bidi="he-IL"/>
        </w:rPr>
        <w:t>S</w:t>
      </w:r>
      <w:r w:rsidRPr="00BD4653">
        <w:rPr>
          <w:lang w:val="en" w:eastAsia="pt-PT" w:bidi="he-IL"/>
        </w:rPr>
        <w:t>tress</w:t>
      </w:r>
      <w:r w:rsidRPr="00BD4653">
        <w:rPr>
          <w:i/>
          <w:iCs/>
          <w:lang w:val="en" w:eastAsia="pt-PT" w:bidi="he-IL"/>
        </w:rPr>
        <w:t xml:space="preserve">, </w:t>
      </w:r>
      <w:r w:rsidR="00BD1CC4">
        <w:rPr>
          <w:lang w:val="en" w:eastAsia="pt-PT" w:bidi="he-IL"/>
        </w:rPr>
        <w:t>U</w:t>
      </w:r>
      <w:r w:rsidRPr="00BD4653">
        <w:rPr>
          <w:lang w:val="en" w:eastAsia="pt-PT" w:bidi="he-IL"/>
        </w:rPr>
        <w:t>niversity students.</w:t>
      </w:r>
      <w:r w:rsidRPr="00BD4653">
        <w:rPr>
          <w:i/>
          <w:iCs/>
          <w:lang w:val="en" w:eastAsia="pt-PT" w:bidi="he-IL"/>
        </w:rPr>
        <w:t xml:space="preserve"> </w:t>
      </w:r>
    </w:p>
    <w:p w14:paraId="21DE0B9A" w14:textId="77777777" w:rsidR="00BD4653" w:rsidRPr="00BD4653" w:rsidRDefault="00BD4653">
      <w:pPr>
        <w:rPr>
          <w:i/>
          <w:iCs/>
          <w:lang w:val="en" w:eastAsia="pt-PT" w:bidi="he-IL"/>
        </w:rPr>
      </w:pPr>
    </w:p>
    <w:p w14:paraId="15F88D1D" w14:textId="3928C6DE" w:rsidR="00BD1CC4" w:rsidRDefault="00BD1CC4">
      <w:pPr>
        <w:rPr>
          <w:i/>
          <w:iCs/>
          <w:lang w:val="en-GB" w:eastAsia="pt-PT" w:bidi="he-IL"/>
        </w:rPr>
      </w:pPr>
      <w:r>
        <w:rPr>
          <w:i/>
          <w:iCs/>
          <w:lang w:val="en-GB" w:eastAsia="pt-PT" w:bidi="he-IL"/>
        </w:rPr>
        <w:br w:type="page"/>
      </w:r>
    </w:p>
    <w:bookmarkEnd w:id="0"/>
    <w:bookmarkEnd w:id="1"/>
    <w:p w14:paraId="04B72C44" w14:textId="59C04C0D" w:rsidR="00BD1CC4" w:rsidRPr="00BD1CC4" w:rsidRDefault="00BD1CC4" w:rsidP="00BD1CC4">
      <w:pPr>
        <w:pStyle w:val="Ttulo1"/>
        <w:spacing w:before="0"/>
        <w:rPr>
          <w:rStyle w:val="normaltextrun"/>
          <w:rFonts w:cs="Times New Roman"/>
          <w:szCs w:val="24"/>
        </w:rPr>
      </w:pPr>
      <w:r w:rsidRPr="00BD1CC4">
        <w:rPr>
          <w:rFonts w:eastAsia="Calibri"/>
          <w:lang w:eastAsia="pt-PT"/>
        </w:rPr>
        <w:lastRenderedPageBreak/>
        <w:t xml:space="preserve">Perfis de adaptação ao </w:t>
      </w:r>
      <w:r w:rsidRPr="00BD1CC4">
        <w:rPr>
          <w:rFonts w:eastAsia="Calibri"/>
          <w:i/>
          <w:lang w:eastAsia="pt-PT"/>
        </w:rPr>
        <w:t>stress</w:t>
      </w:r>
      <w:r w:rsidRPr="00BD1CC4">
        <w:rPr>
          <w:rFonts w:eastAsia="Calibri"/>
          <w:lang w:eastAsia="pt-PT"/>
        </w:rPr>
        <w:t xml:space="preserve"> em estudantes: </w:t>
      </w:r>
      <w:r w:rsidRPr="00BD1CC4">
        <w:rPr>
          <w:shd w:val="clear" w:color="auto" w:fill="FFFFFF"/>
        </w:rPr>
        <w:t xml:space="preserve">Relação com </w:t>
      </w:r>
      <w:proofErr w:type="spellStart"/>
      <w:r w:rsidRPr="00BD1CC4">
        <w:rPr>
          <w:i/>
          <w:shd w:val="clear" w:color="auto" w:fill="FFFFFF"/>
        </w:rPr>
        <w:t>coping</w:t>
      </w:r>
      <w:proofErr w:type="spellEnd"/>
      <w:r w:rsidRPr="00BD1CC4">
        <w:rPr>
          <w:shd w:val="clear" w:color="auto" w:fill="FFFFFF"/>
        </w:rPr>
        <w:t xml:space="preserve"> e </w:t>
      </w:r>
      <w:r w:rsidRPr="00BD1CC4">
        <w:rPr>
          <w:i/>
          <w:shd w:val="clear" w:color="auto" w:fill="FFFFFF"/>
        </w:rPr>
        <w:t>burnout</w:t>
      </w:r>
    </w:p>
    <w:p w14:paraId="39318C86" w14:textId="077A951D" w:rsidR="008B1738" w:rsidRPr="00BD4653" w:rsidRDefault="008B1738" w:rsidP="0062051F">
      <w:pPr>
        <w:pStyle w:val="paragraph"/>
        <w:spacing w:before="0" w:beforeAutospacing="0" w:after="0" w:afterAutospacing="0" w:line="360" w:lineRule="auto"/>
        <w:ind w:firstLine="567"/>
        <w:textAlignment w:val="baseline"/>
      </w:pPr>
      <w:r w:rsidRPr="00BD4653">
        <w:rPr>
          <w:rStyle w:val="normaltextrun"/>
        </w:rPr>
        <w:t xml:space="preserve">O </w:t>
      </w:r>
      <w:r w:rsidRPr="00BD4653">
        <w:rPr>
          <w:rStyle w:val="normaltextrun"/>
          <w:i/>
          <w:iCs/>
        </w:rPr>
        <w:t xml:space="preserve">stress </w:t>
      </w:r>
      <w:r w:rsidRPr="00BD4653">
        <w:rPr>
          <w:rStyle w:val="normaltextrun"/>
        </w:rPr>
        <w:t>é intrínseco a vários contextos de vida e é transversal a pessoas de diferentes faixas etárias (</w:t>
      </w:r>
      <w:proofErr w:type="spellStart"/>
      <w:r w:rsidRPr="00BD4653">
        <w:rPr>
          <w:rStyle w:val="spellingerror"/>
        </w:rPr>
        <w:t>Abacar</w:t>
      </w:r>
      <w:proofErr w:type="spellEnd"/>
      <w:r w:rsidRPr="00BD4653">
        <w:rPr>
          <w:rStyle w:val="normaltextrun"/>
        </w:rPr>
        <w:t xml:space="preserve"> </w:t>
      </w:r>
      <w:proofErr w:type="spellStart"/>
      <w:r w:rsidRPr="00BD4653">
        <w:rPr>
          <w:rStyle w:val="spellingerror"/>
        </w:rPr>
        <w:t>et</w:t>
      </w:r>
      <w:proofErr w:type="spellEnd"/>
      <w:r w:rsidRPr="00BD4653">
        <w:rPr>
          <w:rStyle w:val="normaltextrun"/>
        </w:rPr>
        <w:t xml:space="preserve"> al., 2021), sendo entendido como uma condição que conjuga elementos fisiológicos e psicológicos e que resulta de um défice na perceção do indivíduo relativamente aos seus recursos para enfrentar a situação à qual está exposto (Lúcio </w:t>
      </w:r>
      <w:proofErr w:type="spellStart"/>
      <w:r w:rsidRPr="00BD4653">
        <w:rPr>
          <w:rStyle w:val="spellingerror"/>
        </w:rPr>
        <w:t>et</w:t>
      </w:r>
      <w:proofErr w:type="spellEnd"/>
      <w:r w:rsidRPr="00BD4653">
        <w:rPr>
          <w:rStyle w:val="normaltextrun"/>
        </w:rPr>
        <w:t xml:space="preserve"> al., 2019). Por outras palavras, quando as pessoas sentem que não têm competências e recursos suficientes para lidar com as exigências a que estão expostas, podem surgir disfunções no funcionamento humano (</w:t>
      </w:r>
      <w:proofErr w:type="spellStart"/>
      <w:r w:rsidRPr="00BD4653">
        <w:rPr>
          <w:rStyle w:val="spellingerror"/>
        </w:rPr>
        <w:t>Lazarus</w:t>
      </w:r>
      <w:proofErr w:type="spellEnd"/>
      <w:r w:rsidRPr="00BD4653">
        <w:rPr>
          <w:rStyle w:val="normaltextrun"/>
        </w:rPr>
        <w:t xml:space="preserve">, 1991). O mesmo acontece com os estudantes do ensino superior, considerando que a sua entrada neste ciclo de ensino representa um marco importante no seu ciclo de vida podendo estar associada a situações capazes de gerar </w:t>
      </w:r>
      <w:r w:rsidRPr="00BD4653">
        <w:rPr>
          <w:rStyle w:val="normaltextrun"/>
          <w:i/>
          <w:iCs/>
        </w:rPr>
        <w:t>stress</w:t>
      </w:r>
      <w:r w:rsidRPr="00BD4653">
        <w:rPr>
          <w:rStyle w:val="normaltextrun"/>
        </w:rPr>
        <w:t xml:space="preserve"> (</w:t>
      </w:r>
      <w:proofErr w:type="spellStart"/>
      <w:r w:rsidRPr="00BD4653">
        <w:rPr>
          <w:rStyle w:val="spellingerror"/>
        </w:rPr>
        <w:t>Regehr</w:t>
      </w:r>
      <w:proofErr w:type="spellEnd"/>
      <w:r w:rsidRPr="00BD4653">
        <w:rPr>
          <w:rStyle w:val="normaltextrun"/>
        </w:rPr>
        <w:t xml:space="preserve"> </w:t>
      </w:r>
      <w:proofErr w:type="spellStart"/>
      <w:r w:rsidRPr="00BD4653">
        <w:rPr>
          <w:rStyle w:val="spellingerror"/>
        </w:rPr>
        <w:t>et</w:t>
      </w:r>
      <w:proofErr w:type="spellEnd"/>
      <w:r w:rsidRPr="00BD4653">
        <w:rPr>
          <w:rStyle w:val="normaltextrun"/>
        </w:rPr>
        <w:t xml:space="preserve"> al., 2013; </w:t>
      </w:r>
      <w:proofErr w:type="spellStart"/>
      <w:r w:rsidRPr="00BD4653">
        <w:rPr>
          <w:rStyle w:val="spellingerror"/>
        </w:rPr>
        <w:t>Universities</w:t>
      </w:r>
      <w:proofErr w:type="spellEnd"/>
      <w:r w:rsidRPr="00BD4653">
        <w:rPr>
          <w:rStyle w:val="normaltextrun"/>
        </w:rPr>
        <w:t xml:space="preserve"> UK, 2015). Esta etapa exige uma adaptação a uma nova fase de vida, o que poderá afetar o desenvolvimento pessoal, afetivo, cognitivo, social e profissional dos estudantes (Lúcio </w:t>
      </w:r>
      <w:proofErr w:type="spellStart"/>
      <w:r w:rsidRPr="00BD4653">
        <w:rPr>
          <w:rStyle w:val="spellingerror"/>
        </w:rPr>
        <w:t>et</w:t>
      </w:r>
      <w:proofErr w:type="spellEnd"/>
      <w:r w:rsidRPr="00BD4653">
        <w:rPr>
          <w:rStyle w:val="normaltextrun"/>
        </w:rPr>
        <w:t xml:space="preserve"> al., 2019). A adaptação a este contexto pode gerar </w:t>
      </w:r>
      <w:r w:rsidRPr="00BD4653">
        <w:rPr>
          <w:rStyle w:val="normaltextrun"/>
          <w:i/>
          <w:iCs/>
        </w:rPr>
        <w:t>stress</w:t>
      </w:r>
      <w:r w:rsidRPr="00BD4653">
        <w:rPr>
          <w:rStyle w:val="normaltextrun"/>
        </w:rPr>
        <w:t xml:space="preserve"> e ansiedade e, dependendo da forma como o estudante lida com a situação, poderá acabar por interferir no desempenho académico (Araújo </w:t>
      </w:r>
      <w:proofErr w:type="spellStart"/>
      <w:r w:rsidRPr="00BD4653">
        <w:rPr>
          <w:rStyle w:val="spellingerror"/>
        </w:rPr>
        <w:t>et</w:t>
      </w:r>
      <w:proofErr w:type="spellEnd"/>
      <w:r w:rsidRPr="00BD4653">
        <w:rPr>
          <w:rStyle w:val="normaltextrun"/>
        </w:rPr>
        <w:t xml:space="preserve"> al., 2019; Casanova, 2021). </w:t>
      </w:r>
      <w:r w:rsidRPr="00BD4653">
        <w:rPr>
          <w:rStyle w:val="eop"/>
        </w:rPr>
        <w:t> </w:t>
      </w:r>
    </w:p>
    <w:p w14:paraId="3CE8CE91" w14:textId="46A83629" w:rsidR="008B1738" w:rsidRPr="00BD4653" w:rsidRDefault="008B1738" w:rsidP="0062051F">
      <w:pPr>
        <w:pStyle w:val="paragraph"/>
        <w:spacing w:before="0" w:beforeAutospacing="0" w:after="0" w:afterAutospacing="0" w:line="360" w:lineRule="auto"/>
        <w:ind w:firstLine="567"/>
        <w:textAlignment w:val="baseline"/>
      </w:pPr>
      <w:r w:rsidRPr="00BD4653">
        <w:rPr>
          <w:rStyle w:val="normaltextrun"/>
        </w:rPr>
        <w:t xml:space="preserve">Para uma melhor compreensão das reações a eventos </w:t>
      </w:r>
      <w:r w:rsidRPr="00BD4653">
        <w:rPr>
          <w:rStyle w:val="normaltextrun"/>
          <w:i/>
          <w:iCs/>
        </w:rPr>
        <w:t>stressantes</w:t>
      </w:r>
      <w:r w:rsidR="001409AE">
        <w:rPr>
          <w:rStyle w:val="normaltextrun"/>
          <w:i/>
          <w:iCs/>
        </w:rPr>
        <w:t>,</w:t>
      </w:r>
      <w:r w:rsidRPr="00BD4653">
        <w:rPr>
          <w:rStyle w:val="normaltextrun"/>
          <w:i/>
          <w:iCs/>
        </w:rPr>
        <w:t xml:space="preserve"> </w:t>
      </w:r>
      <w:r w:rsidRPr="00BD4653">
        <w:rPr>
          <w:rStyle w:val="normaltextrun"/>
        </w:rPr>
        <w:t xml:space="preserve">é essencial perceber o papel da avaliação cognitiva (Gomes, 2014). A avaliação cognitiva representa o processo através do qual o indivíduo avalia ou julga o significado pessoal que um evento </w:t>
      </w:r>
      <w:r w:rsidRPr="00BD4653">
        <w:rPr>
          <w:rStyle w:val="normaltextrun"/>
          <w:i/>
          <w:iCs/>
        </w:rPr>
        <w:t xml:space="preserve">stressante </w:t>
      </w:r>
      <w:r w:rsidRPr="00BD4653">
        <w:rPr>
          <w:rStyle w:val="normaltextrun"/>
        </w:rPr>
        <w:t>tem para si e qual a importância do mesmo para o seu bem-estar (</w:t>
      </w:r>
      <w:proofErr w:type="spellStart"/>
      <w:r w:rsidRPr="00BD4653">
        <w:rPr>
          <w:rStyle w:val="spellingerror"/>
        </w:rPr>
        <w:t>Lazarus</w:t>
      </w:r>
      <w:proofErr w:type="spellEnd"/>
      <w:r w:rsidRPr="00BD4653">
        <w:rPr>
          <w:rStyle w:val="normaltextrun"/>
        </w:rPr>
        <w:t xml:space="preserve"> &amp; </w:t>
      </w:r>
      <w:proofErr w:type="spellStart"/>
      <w:r w:rsidRPr="00BD4653">
        <w:rPr>
          <w:rStyle w:val="spellingerror"/>
        </w:rPr>
        <w:t>Folkman</w:t>
      </w:r>
      <w:proofErr w:type="spellEnd"/>
      <w:r w:rsidRPr="00BD4653">
        <w:rPr>
          <w:rStyle w:val="normaltextrun"/>
        </w:rPr>
        <w:t xml:space="preserve">, 1984). A avaliação cognitiva é constituída pela avaliação cognitiva primária, que consiste no modo como o indivíduo avalia a situação e a importância que lhe atribui e pela avaliação cognitiva secundária, que se foca nos recursos individuais de confronto que o indivíduo tem para lidar com o evento </w:t>
      </w:r>
      <w:proofErr w:type="spellStart"/>
      <w:r w:rsidRPr="00BD4653">
        <w:rPr>
          <w:rStyle w:val="spellingerror"/>
          <w:i/>
          <w:iCs/>
        </w:rPr>
        <w:t>stressor</w:t>
      </w:r>
      <w:proofErr w:type="spellEnd"/>
      <w:r w:rsidRPr="00BD4653">
        <w:rPr>
          <w:rStyle w:val="normaltextrun"/>
          <w:i/>
          <w:iCs/>
        </w:rPr>
        <w:t xml:space="preserve"> </w:t>
      </w:r>
      <w:r w:rsidRPr="00BD4653">
        <w:rPr>
          <w:rStyle w:val="normaltextrun"/>
        </w:rPr>
        <w:t xml:space="preserve">(Baganha </w:t>
      </w:r>
      <w:proofErr w:type="spellStart"/>
      <w:r w:rsidRPr="00BD4653">
        <w:rPr>
          <w:rStyle w:val="spellingerror"/>
        </w:rPr>
        <w:t>et</w:t>
      </w:r>
      <w:proofErr w:type="spellEnd"/>
      <w:r w:rsidRPr="00BD4653">
        <w:rPr>
          <w:rStyle w:val="normaltextrun"/>
        </w:rPr>
        <w:t xml:space="preserve"> al., 2016). A avaliação cognitiva primária indica até que ponto a situação de </w:t>
      </w:r>
      <w:r w:rsidRPr="00BD4653">
        <w:rPr>
          <w:rStyle w:val="normaltextrun"/>
          <w:i/>
          <w:iCs/>
        </w:rPr>
        <w:t>stress</w:t>
      </w:r>
      <w:r w:rsidRPr="00BD4653">
        <w:rPr>
          <w:rStyle w:val="normaltextrun"/>
        </w:rPr>
        <w:t xml:space="preserve"> é avaliada como desafiadora ou ameaçadora (Gomes </w:t>
      </w:r>
      <w:proofErr w:type="spellStart"/>
      <w:r w:rsidRPr="00BD4653">
        <w:rPr>
          <w:rStyle w:val="spellingerror"/>
        </w:rPr>
        <w:t>et</w:t>
      </w:r>
      <w:proofErr w:type="spellEnd"/>
      <w:r w:rsidRPr="00BD4653">
        <w:rPr>
          <w:rStyle w:val="normaltextrun"/>
        </w:rPr>
        <w:t xml:space="preserve"> al., 2016). avaliação cognitiva secundária, consiste numa avaliação global dos recursos de confronto do indivíduo para lidar com a situação </w:t>
      </w:r>
      <w:r w:rsidRPr="00BD4653">
        <w:rPr>
          <w:rStyle w:val="normaltextrun"/>
          <w:i/>
          <w:iCs/>
        </w:rPr>
        <w:t>stressante</w:t>
      </w:r>
      <w:r w:rsidRPr="00BD4653">
        <w:rPr>
          <w:rStyle w:val="normaltextrun"/>
        </w:rPr>
        <w:t xml:space="preserve"> (</w:t>
      </w:r>
      <w:proofErr w:type="spellStart"/>
      <w:r w:rsidRPr="00BD4653">
        <w:rPr>
          <w:rStyle w:val="spellingerror"/>
        </w:rPr>
        <w:t>Folkman</w:t>
      </w:r>
      <w:proofErr w:type="spellEnd"/>
      <w:r w:rsidRPr="00BD4653">
        <w:rPr>
          <w:rStyle w:val="normaltextrun"/>
        </w:rPr>
        <w:t xml:space="preserve"> &amp; </w:t>
      </w:r>
      <w:proofErr w:type="spellStart"/>
      <w:r w:rsidRPr="00BD4653">
        <w:rPr>
          <w:rStyle w:val="spellingerror"/>
        </w:rPr>
        <w:t>Lazarus</w:t>
      </w:r>
      <w:proofErr w:type="spellEnd"/>
      <w:r w:rsidRPr="00BD4653">
        <w:rPr>
          <w:rStyle w:val="normaltextrun"/>
        </w:rPr>
        <w:t xml:space="preserve">, 1985). </w:t>
      </w:r>
    </w:p>
    <w:p w14:paraId="6696FAD2" w14:textId="04F8149F" w:rsidR="008B1738" w:rsidRPr="00BD4653" w:rsidRDefault="008B1738" w:rsidP="0062051F">
      <w:pPr>
        <w:pStyle w:val="paragraph"/>
        <w:spacing w:before="0" w:beforeAutospacing="0" w:after="0" w:afterAutospacing="0" w:line="360" w:lineRule="auto"/>
        <w:ind w:firstLine="567"/>
        <w:textAlignment w:val="baseline"/>
      </w:pPr>
      <w:r w:rsidRPr="00BD4653">
        <w:rPr>
          <w:rStyle w:val="normaltextrun"/>
        </w:rPr>
        <w:t xml:space="preserve">Neste estudo, baseamo-nos nesta perspetiva transacional de adaptação ao </w:t>
      </w:r>
      <w:r w:rsidRPr="00BD4653">
        <w:rPr>
          <w:rStyle w:val="normaltextrun"/>
          <w:i/>
          <w:iCs/>
        </w:rPr>
        <w:t>stress</w:t>
      </w:r>
      <w:r w:rsidRPr="00BD4653">
        <w:rPr>
          <w:rStyle w:val="normaltextrun"/>
        </w:rPr>
        <w:t xml:space="preserve"> para compreender o modo como os estudantes universitários estão expostos ao </w:t>
      </w:r>
      <w:r w:rsidRPr="00BD4653">
        <w:rPr>
          <w:rStyle w:val="normaltextrun"/>
          <w:i/>
          <w:iCs/>
        </w:rPr>
        <w:t>stress</w:t>
      </w:r>
      <w:r w:rsidRPr="00BD4653">
        <w:rPr>
          <w:rStyle w:val="normaltextrun"/>
        </w:rPr>
        <w:t xml:space="preserve"> ocupacional, o modo como avaliam os </w:t>
      </w:r>
      <w:proofErr w:type="spellStart"/>
      <w:r w:rsidRPr="00BD4653">
        <w:rPr>
          <w:rStyle w:val="spellingerror"/>
          <w:i/>
          <w:iCs/>
        </w:rPr>
        <w:t>stressores</w:t>
      </w:r>
      <w:proofErr w:type="spellEnd"/>
      <w:r w:rsidRPr="00BD4653">
        <w:rPr>
          <w:rStyle w:val="normaltextrun"/>
          <w:i/>
          <w:iCs/>
        </w:rPr>
        <w:t xml:space="preserve"> </w:t>
      </w:r>
      <w:r w:rsidRPr="00BD4653">
        <w:rPr>
          <w:rStyle w:val="normaltextrun"/>
        </w:rPr>
        <w:t>académicos (</w:t>
      </w:r>
      <w:proofErr w:type="gramStart"/>
      <w:r w:rsidRPr="00BD4653">
        <w:rPr>
          <w:rStyle w:val="normaltextrun"/>
        </w:rPr>
        <w:t>avaliaç</w:t>
      </w:r>
      <w:r w:rsidR="001409AE">
        <w:rPr>
          <w:rStyle w:val="normaltextrun"/>
        </w:rPr>
        <w:t>ões</w:t>
      </w:r>
      <w:r w:rsidRPr="00BD4653">
        <w:rPr>
          <w:rStyle w:val="normaltextrun"/>
        </w:rPr>
        <w:t xml:space="preserve"> cognitiva</w:t>
      </w:r>
      <w:proofErr w:type="gramEnd"/>
      <w:r w:rsidRPr="00BD4653">
        <w:rPr>
          <w:rStyle w:val="normaltextrun"/>
        </w:rPr>
        <w:t xml:space="preserve"> primária</w:t>
      </w:r>
      <w:r w:rsidR="001409AE">
        <w:rPr>
          <w:rStyle w:val="normaltextrun"/>
        </w:rPr>
        <w:t xml:space="preserve"> e secundária</w:t>
      </w:r>
      <w:r w:rsidRPr="00BD4653">
        <w:rPr>
          <w:rStyle w:val="normaltextrun"/>
        </w:rPr>
        <w:t xml:space="preserve">), as estratégias específicas que utilizam para lidar com estes </w:t>
      </w:r>
      <w:proofErr w:type="spellStart"/>
      <w:r w:rsidRPr="00BD4653">
        <w:rPr>
          <w:rStyle w:val="spellingerror"/>
          <w:i/>
          <w:iCs/>
        </w:rPr>
        <w:t>stressores</w:t>
      </w:r>
      <w:proofErr w:type="spellEnd"/>
      <w:r w:rsidRPr="00BD4653">
        <w:rPr>
          <w:rStyle w:val="normaltextrun"/>
          <w:i/>
          <w:iCs/>
        </w:rPr>
        <w:t xml:space="preserve"> </w:t>
      </w:r>
      <w:r w:rsidRPr="00BD4653">
        <w:rPr>
          <w:rStyle w:val="normaltextrun"/>
        </w:rPr>
        <w:t xml:space="preserve">(estratégias de </w:t>
      </w:r>
      <w:proofErr w:type="spellStart"/>
      <w:r w:rsidRPr="00BD4653">
        <w:rPr>
          <w:rStyle w:val="normaltextrun"/>
          <w:i/>
        </w:rPr>
        <w:t>coping</w:t>
      </w:r>
      <w:proofErr w:type="spellEnd"/>
      <w:r w:rsidRPr="00BD4653">
        <w:rPr>
          <w:rStyle w:val="normaltextrun"/>
        </w:rPr>
        <w:t xml:space="preserve">) e o tipo de reações de </w:t>
      </w:r>
      <w:r w:rsidRPr="00BD4653">
        <w:rPr>
          <w:rStyle w:val="spellingerror"/>
          <w:i/>
          <w:iCs/>
        </w:rPr>
        <w:t>burnout</w:t>
      </w:r>
      <w:r w:rsidRPr="00BD4653">
        <w:rPr>
          <w:rStyle w:val="normaltextrun"/>
        </w:rPr>
        <w:t xml:space="preserve"> que podem experienciar na sua atividade. De um modo geral, a literatura sobre </w:t>
      </w:r>
      <w:r w:rsidRPr="00BD4653">
        <w:rPr>
          <w:rStyle w:val="normaltextrun"/>
          <w:i/>
          <w:iCs/>
        </w:rPr>
        <w:t xml:space="preserve">stress </w:t>
      </w:r>
      <w:r w:rsidRPr="00BD4653">
        <w:rPr>
          <w:rStyle w:val="normaltextrun"/>
        </w:rPr>
        <w:t>em estudantes universitários tem demonstrado que estes estão expostos a níveis acentuados de pressão e tensão e, por isso, podem evidenciar várias reações adversas, ao nível físico e psicológico (</w:t>
      </w:r>
      <w:proofErr w:type="spellStart"/>
      <w:r w:rsidRPr="00BD4653">
        <w:rPr>
          <w:rStyle w:val="normaltextrun"/>
        </w:rPr>
        <w:t>Denovan</w:t>
      </w:r>
      <w:proofErr w:type="spellEnd"/>
      <w:r w:rsidRPr="00BD4653">
        <w:rPr>
          <w:rStyle w:val="normaltextrun"/>
        </w:rPr>
        <w:t xml:space="preserve"> </w:t>
      </w:r>
      <w:proofErr w:type="spellStart"/>
      <w:r w:rsidRPr="00BD4653">
        <w:rPr>
          <w:rStyle w:val="normaltextrun"/>
        </w:rPr>
        <w:t>et</w:t>
      </w:r>
      <w:proofErr w:type="spellEnd"/>
      <w:r w:rsidRPr="00BD4653">
        <w:rPr>
          <w:rStyle w:val="normaltextrun"/>
        </w:rPr>
        <w:t xml:space="preserve"> al., 2019; Rana </w:t>
      </w:r>
      <w:proofErr w:type="spellStart"/>
      <w:r w:rsidRPr="00BD4653">
        <w:rPr>
          <w:rStyle w:val="normaltextrun"/>
        </w:rPr>
        <w:t>et</w:t>
      </w:r>
      <w:proofErr w:type="spellEnd"/>
      <w:r w:rsidRPr="00BD4653">
        <w:rPr>
          <w:rStyle w:val="normaltextrun"/>
        </w:rPr>
        <w:t xml:space="preserve"> al., 2019). </w:t>
      </w:r>
      <w:r w:rsidR="002718A7">
        <w:rPr>
          <w:rStyle w:val="normaltextrun"/>
        </w:rPr>
        <w:t xml:space="preserve">No entanto, </w:t>
      </w:r>
      <w:r w:rsidRPr="00BD4653">
        <w:rPr>
          <w:rStyle w:val="normaltextrun"/>
        </w:rPr>
        <w:t xml:space="preserve">ainda não </w:t>
      </w:r>
      <w:r w:rsidRPr="00BD4653">
        <w:rPr>
          <w:rStyle w:val="normaltextrun"/>
        </w:rPr>
        <w:lastRenderedPageBreak/>
        <w:t xml:space="preserve">há muita evidência sobre a possível combinação entre o </w:t>
      </w:r>
      <w:r w:rsidRPr="00BD4653">
        <w:rPr>
          <w:rStyle w:val="normaltextrun"/>
          <w:i/>
          <w:iCs/>
        </w:rPr>
        <w:t>stress</w:t>
      </w:r>
      <w:r w:rsidRPr="00BD4653">
        <w:rPr>
          <w:rStyle w:val="normaltextrun"/>
        </w:rPr>
        <w:t xml:space="preserve"> e a avaliação cognitiva, nomeadamente, sobre o facto de poderem corresponder a diferenças no modo como os estudantes lidam com o </w:t>
      </w:r>
      <w:r w:rsidRPr="00BD4653">
        <w:rPr>
          <w:rStyle w:val="normaltextrun"/>
          <w:i/>
          <w:iCs/>
        </w:rPr>
        <w:t>stress</w:t>
      </w:r>
      <w:r w:rsidRPr="00BD4653">
        <w:rPr>
          <w:rStyle w:val="normaltextrun"/>
        </w:rPr>
        <w:t xml:space="preserve"> (estratégias de </w:t>
      </w:r>
      <w:proofErr w:type="spellStart"/>
      <w:r w:rsidRPr="00BD4653">
        <w:rPr>
          <w:rStyle w:val="normaltextrun"/>
          <w:i/>
        </w:rPr>
        <w:t>coping</w:t>
      </w:r>
      <w:proofErr w:type="spellEnd"/>
      <w:r w:rsidRPr="00BD4653">
        <w:rPr>
          <w:rStyle w:val="normaltextrun"/>
        </w:rPr>
        <w:t xml:space="preserve">) e no tipo de reações que manifestam face ao </w:t>
      </w:r>
      <w:r w:rsidRPr="00BD4653">
        <w:rPr>
          <w:rStyle w:val="normaltextrun"/>
          <w:i/>
          <w:iCs/>
        </w:rPr>
        <w:t>stress</w:t>
      </w:r>
      <w:r w:rsidRPr="00BD4653">
        <w:rPr>
          <w:rStyle w:val="normaltextrun"/>
        </w:rPr>
        <w:t xml:space="preserve">, de que é exemplo a experiência de </w:t>
      </w:r>
      <w:r w:rsidRPr="00BD4653">
        <w:rPr>
          <w:rStyle w:val="spellingerror"/>
          <w:i/>
          <w:iCs/>
        </w:rPr>
        <w:t>burnout</w:t>
      </w:r>
      <w:r w:rsidRPr="00BD4653">
        <w:rPr>
          <w:rStyle w:val="normaltextrun"/>
        </w:rPr>
        <w:t xml:space="preserve">. O estudo destas relações é importante pois poderá fornecer informações relevantes sobre a forma como os estudantes avaliam, lidam e reagem ao </w:t>
      </w:r>
      <w:r w:rsidRPr="00BD4653">
        <w:rPr>
          <w:rStyle w:val="normaltextrun"/>
          <w:i/>
          <w:iCs/>
        </w:rPr>
        <w:t>stress</w:t>
      </w:r>
      <w:r w:rsidRPr="00BD4653">
        <w:rPr>
          <w:rStyle w:val="normaltextrun"/>
        </w:rPr>
        <w:t xml:space="preserve"> no meio académico. Neste sentido, este estudo partiu da definição de perfis de menor e maior perceção de </w:t>
      </w:r>
      <w:r w:rsidRPr="00BD4653">
        <w:rPr>
          <w:rStyle w:val="normaltextrun"/>
          <w:i/>
          <w:iCs/>
        </w:rPr>
        <w:t>stress</w:t>
      </w:r>
      <w:r w:rsidRPr="00BD4653">
        <w:rPr>
          <w:rStyle w:val="normaltextrun"/>
        </w:rPr>
        <w:t xml:space="preserve"> e de perfis de pior ou melhor avaliação cognitiva da atividade de estudante para explorar possíveis diferenças nas estratégias de </w:t>
      </w:r>
      <w:proofErr w:type="spellStart"/>
      <w:r w:rsidRPr="00BD4653">
        <w:rPr>
          <w:rStyle w:val="spellingerror"/>
          <w:i/>
          <w:iCs/>
        </w:rPr>
        <w:t>coping</w:t>
      </w:r>
      <w:proofErr w:type="spellEnd"/>
      <w:r w:rsidRPr="00BD4653">
        <w:rPr>
          <w:rStyle w:val="normaltextrun"/>
        </w:rPr>
        <w:t xml:space="preserve"> e n</w:t>
      </w:r>
      <w:r w:rsidR="001409AE">
        <w:rPr>
          <w:rStyle w:val="normaltextrun"/>
        </w:rPr>
        <w:t>a experiência de</w:t>
      </w:r>
      <w:r w:rsidRPr="00BD4653">
        <w:rPr>
          <w:rStyle w:val="normaltextrun"/>
        </w:rPr>
        <w:t xml:space="preserve"> </w:t>
      </w:r>
      <w:r w:rsidRPr="00BD4653">
        <w:rPr>
          <w:rStyle w:val="spellingerror"/>
          <w:i/>
          <w:iCs/>
        </w:rPr>
        <w:t>burnout</w:t>
      </w:r>
      <w:r w:rsidRPr="00BD4653">
        <w:rPr>
          <w:rStyle w:val="normaltextrun"/>
          <w:i/>
          <w:iCs/>
        </w:rPr>
        <w:t>.</w:t>
      </w:r>
      <w:r w:rsidRPr="00BD4653">
        <w:rPr>
          <w:rStyle w:val="normaltextrun"/>
        </w:rPr>
        <w:t xml:space="preserve"> Dito de forma mais simples, será que formas distintas de avaliar o</w:t>
      </w:r>
      <w:r w:rsidRPr="00BD4653">
        <w:rPr>
          <w:rStyle w:val="normaltextrun"/>
          <w:i/>
          <w:iCs/>
        </w:rPr>
        <w:t xml:space="preserve"> stress</w:t>
      </w:r>
      <w:r w:rsidRPr="00BD4653">
        <w:rPr>
          <w:rStyle w:val="normaltextrun"/>
        </w:rPr>
        <w:t xml:space="preserve"> e a atividade de estudante correspondem a diferenças no modo como os estudantes lidam com o </w:t>
      </w:r>
      <w:r w:rsidRPr="00BD4653">
        <w:rPr>
          <w:rStyle w:val="normaltextrun"/>
          <w:i/>
          <w:iCs/>
        </w:rPr>
        <w:t xml:space="preserve">stress </w:t>
      </w:r>
      <w:r w:rsidRPr="00BD4653">
        <w:rPr>
          <w:rStyle w:val="normaltextrun"/>
        </w:rPr>
        <w:t xml:space="preserve">e no modo como se sentem no dia a dia? </w:t>
      </w:r>
    </w:p>
    <w:p w14:paraId="00417783" w14:textId="0921514A" w:rsidR="008B1738" w:rsidRPr="00BD4653" w:rsidRDefault="008B1738" w:rsidP="0062051F">
      <w:pPr>
        <w:pStyle w:val="paragraph"/>
        <w:spacing w:before="0" w:beforeAutospacing="0" w:after="0" w:afterAutospacing="0" w:line="360" w:lineRule="auto"/>
        <w:ind w:firstLine="567"/>
        <w:textAlignment w:val="baseline"/>
      </w:pPr>
      <w:r w:rsidRPr="00BD4653">
        <w:rPr>
          <w:rStyle w:val="normaltextrun"/>
        </w:rPr>
        <w:t xml:space="preserve">Atendendo a estes aspetos, este estudo </w:t>
      </w:r>
      <w:r w:rsidR="001409AE">
        <w:t>a</w:t>
      </w:r>
      <w:r w:rsidRPr="00BD4653">
        <w:rPr>
          <w:rStyle w:val="normaltextrun"/>
        </w:rPr>
        <w:t xml:space="preserve">nalisa se diferentes perfis de </w:t>
      </w:r>
      <w:r w:rsidRPr="00BD4653">
        <w:rPr>
          <w:rStyle w:val="normaltextrun"/>
          <w:i/>
          <w:iCs/>
        </w:rPr>
        <w:t>stress</w:t>
      </w:r>
      <w:r w:rsidRPr="00BD4653">
        <w:rPr>
          <w:rStyle w:val="normaltextrun"/>
        </w:rPr>
        <w:t xml:space="preserve"> e de avaliação cognitiva correspondem a diferenças nas estratégias de </w:t>
      </w:r>
      <w:proofErr w:type="spellStart"/>
      <w:r w:rsidRPr="00BD4653">
        <w:rPr>
          <w:rStyle w:val="spellingerror"/>
          <w:i/>
          <w:iCs/>
        </w:rPr>
        <w:t>coping</w:t>
      </w:r>
      <w:proofErr w:type="spellEnd"/>
      <w:r w:rsidRPr="00BD4653">
        <w:rPr>
          <w:rStyle w:val="normaltextrun"/>
        </w:rPr>
        <w:t xml:space="preserve"> utilizadas pelos estudantes e na experiência de </w:t>
      </w:r>
      <w:r w:rsidRPr="00BD4653">
        <w:rPr>
          <w:rStyle w:val="spellingerror"/>
          <w:i/>
          <w:iCs/>
        </w:rPr>
        <w:t>burnout</w:t>
      </w:r>
      <w:r w:rsidRPr="00BD4653">
        <w:rPr>
          <w:rStyle w:val="normaltextrun"/>
          <w:i/>
          <w:iCs/>
        </w:rPr>
        <w:t>.</w:t>
      </w:r>
      <w:r w:rsidR="001409AE">
        <w:rPr>
          <w:rStyle w:val="normaltextrun"/>
        </w:rPr>
        <w:t xml:space="preserve"> </w:t>
      </w:r>
      <w:r w:rsidRPr="00BD4653">
        <w:rPr>
          <w:rStyle w:val="normaltextrun"/>
        </w:rPr>
        <w:t xml:space="preserve">Tendo por base </w:t>
      </w:r>
      <w:r w:rsidR="001409AE">
        <w:rPr>
          <w:rStyle w:val="normaltextrun"/>
        </w:rPr>
        <w:t>este objetivo</w:t>
      </w:r>
      <w:r w:rsidRPr="00BD4653">
        <w:rPr>
          <w:rStyle w:val="normaltextrun"/>
        </w:rPr>
        <w:t>, definiram-se as seguintes hipóteses:</w:t>
      </w:r>
    </w:p>
    <w:p w14:paraId="6A928FC3" w14:textId="77777777" w:rsidR="008B1738" w:rsidRPr="00BD4653" w:rsidRDefault="008B1738" w:rsidP="00BD1CC4">
      <w:pPr>
        <w:pStyle w:val="paragraph"/>
        <w:spacing w:before="0" w:beforeAutospacing="0" w:after="0" w:afterAutospacing="0" w:line="360" w:lineRule="auto"/>
        <w:ind w:left="555" w:hanging="555"/>
        <w:textAlignment w:val="baseline"/>
      </w:pPr>
      <w:r w:rsidRPr="00BD4653">
        <w:rPr>
          <w:rStyle w:val="normaltextrun"/>
        </w:rPr>
        <w:t xml:space="preserve">Hipótese 1: Perfis mais elevados de </w:t>
      </w:r>
      <w:r w:rsidRPr="00BD4653">
        <w:rPr>
          <w:rStyle w:val="normaltextrun"/>
          <w:i/>
          <w:iCs/>
        </w:rPr>
        <w:t>stress</w:t>
      </w:r>
      <w:r w:rsidRPr="00BD4653">
        <w:rPr>
          <w:rStyle w:val="normaltextrun"/>
        </w:rPr>
        <w:t xml:space="preserve"> na atividade de estudante correspondem à utilização de estratégias de </w:t>
      </w:r>
      <w:proofErr w:type="spellStart"/>
      <w:r w:rsidRPr="00BD4653">
        <w:rPr>
          <w:rStyle w:val="spellingerror"/>
          <w:i/>
          <w:iCs/>
        </w:rPr>
        <w:t>coping</w:t>
      </w:r>
      <w:proofErr w:type="spellEnd"/>
      <w:r w:rsidRPr="00BD4653">
        <w:rPr>
          <w:rStyle w:val="normaltextrun"/>
        </w:rPr>
        <w:t xml:space="preserve"> menos funcionais e a níveis de </w:t>
      </w:r>
      <w:r w:rsidRPr="00BD4653">
        <w:rPr>
          <w:rStyle w:val="spellingerror"/>
          <w:i/>
          <w:iCs/>
        </w:rPr>
        <w:t>burnout</w:t>
      </w:r>
      <w:r w:rsidRPr="00BD4653">
        <w:rPr>
          <w:rStyle w:val="normaltextrun"/>
          <w:i/>
          <w:iCs/>
        </w:rPr>
        <w:t xml:space="preserve"> </w:t>
      </w:r>
      <w:r w:rsidRPr="00BD4653">
        <w:rPr>
          <w:rStyle w:val="normaltextrun"/>
        </w:rPr>
        <w:t xml:space="preserve">mais elevados, por comparação a perfis menos elevados de </w:t>
      </w:r>
      <w:r w:rsidRPr="00BD4653">
        <w:rPr>
          <w:rStyle w:val="normaltextrun"/>
          <w:i/>
          <w:iCs/>
        </w:rPr>
        <w:t>stress</w:t>
      </w:r>
      <w:r w:rsidRPr="00BD4653">
        <w:rPr>
          <w:rStyle w:val="normaltextrun"/>
        </w:rPr>
        <w:t>;</w:t>
      </w:r>
      <w:r w:rsidRPr="00BD4653">
        <w:rPr>
          <w:rStyle w:val="eop"/>
        </w:rPr>
        <w:t> </w:t>
      </w:r>
    </w:p>
    <w:p w14:paraId="13A22E5F" w14:textId="77777777" w:rsidR="008B1738" w:rsidRPr="00BD4653" w:rsidRDefault="008B1738" w:rsidP="00BD1CC4">
      <w:pPr>
        <w:pStyle w:val="paragraph"/>
        <w:spacing w:before="0" w:beforeAutospacing="0" w:after="0" w:afterAutospacing="0" w:line="360" w:lineRule="auto"/>
        <w:ind w:left="555" w:hanging="555"/>
        <w:textAlignment w:val="baseline"/>
        <w:rPr>
          <w:rStyle w:val="normaltextrun"/>
        </w:rPr>
      </w:pPr>
      <w:r w:rsidRPr="00BD4653">
        <w:rPr>
          <w:rStyle w:val="normaltextrun"/>
        </w:rPr>
        <w:t xml:space="preserve">Hipótese 2: Perfis menos positivos de avaliação cognitiva da atividade de estudante correspondem à utilização de estratégias de </w:t>
      </w:r>
      <w:proofErr w:type="spellStart"/>
      <w:r w:rsidRPr="00BD4653">
        <w:rPr>
          <w:rStyle w:val="spellingerror"/>
          <w:i/>
          <w:iCs/>
        </w:rPr>
        <w:t>coping</w:t>
      </w:r>
      <w:proofErr w:type="spellEnd"/>
      <w:r w:rsidRPr="00BD4653">
        <w:rPr>
          <w:rStyle w:val="normaltextrun"/>
          <w:i/>
          <w:iCs/>
        </w:rPr>
        <w:t xml:space="preserve"> </w:t>
      </w:r>
      <w:r w:rsidRPr="00BD4653">
        <w:rPr>
          <w:rStyle w:val="normaltextrun"/>
        </w:rPr>
        <w:t xml:space="preserve">menos funcionais e a níveis de </w:t>
      </w:r>
      <w:r w:rsidRPr="00BD4653">
        <w:rPr>
          <w:rStyle w:val="spellingerror"/>
          <w:i/>
          <w:iCs/>
        </w:rPr>
        <w:t>burnout</w:t>
      </w:r>
      <w:r w:rsidRPr="00BD4653">
        <w:rPr>
          <w:rStyle w:val="normaltextrun"/>
        </w:rPr>
        <w:t xml:space="preserve"> mais elevados, por comparação a perfis mais positivos de avaliação cognitiva. </w:t>
      </w:r>
    </w:p>
    <w:p w14:paraId="660C546E" w14:textId="77777777" w:rsidR="00640A69" w:rsidRPr="00BD4653" w:rsidRDefault="00640A69" w:rsidP="00BD1CC4">
      <w:pPr>
        <w:spacing w:line="360" w:lineRule="auto"/>
        <w:ind w:left="567" w:hanging="567"/>
        <w:rPr>
          <w:color w:val="222222"/>
          <w:shd w:val="clear" w:color="auto" w:fill="FFFFFF"/>
        </w:rPr>
      </w:pPr>
    </w:p>
    <w:p w14:paraId="0B1C55BF" w14:textId="2295C0B8" w:rsidR="00194AAA" w:rsidRPr="00BD4653" w:rsidRDefault="00194AAA" w:rsidP="00BD1CC4">
      <w:pPr>
        <w:pStyle w:val="Ttulo1"/>
        <w:spacing w:before="0"/>
        <w:rPr>
          <w:rFonts w:cs="Times New Roman"/>
          <w:szCs w:val="24"/>
        </w:rPr>
      </w:pPr>
      <w:r w:rsidRPr="00BD4653">
        <w:rPr>
          <w:rFonts w:cs="Times New Roman"/>
          <w:szCs w:val="24"/>
        </w:rPr>
        <w:t>M</w:t>
      </w:r>
      <w:r w:rsidR="00AF107D" w:rsidRPr="00BD4653">
        <w:rPr>
          <w:rFonts w:cs="Times New Roman"/>
          <w:szCs w:val="24"/>
        </w:rPr>
        <w:t>étodo</w:t>
      </w:r>
    </w:p>
    <w:p w14:paraId="154E0946" w14:textId="77777777" w:rsidR="008B1738" w:rsidRPr="00BD4653" w:rsidRDefault="008B1738" w:rsidP="00BD1CC4">
      <w:pPr>
        <w:pStyle w:val="Ttulo2"/>
        <w:spacing w:before="0" w:line="360" w:lineRule="auto"/>
        <w:rPr>
          <w:rStyle w:val="eop"/>
          <w:rFonts w:ascii="Times New Roman" w:hAnsi="Times New Roman" w:cs="Times New Roman"/>
          <w:b/>
          <w:i/>
          <w:iCs/>
          <w:color w:val="auto"/>
          <w:sz w:val="24"/>
          <w:szCs w:val="24"/>
        </w:rPr>
      </w:pPr>
      <w:bookmarkStart w:id="2" w:name="_Toc105365190"/>
      <w:r w:rsidRPr="00BD4653">
        <w:rPr>
          <w:rStyle w:val="normaltextrun"/>
          <w:rFonts w:ascii="Times New Roman" w:hAnsi="Times New Roman" w:cs="Times New Roman"/>
          <w:b/>
          <w:i/>
          <w:iCs/>
          <w:color w:val="auto"/>
          <w:sz w:val="24"/>
          <w:szCs w:val="24"/>
        </w:rPr>
        <w:t>Participantes</w:t>
      </w:r>
      <w:bookmarkEnd w:id="2"/>
      <w:r w:rsidRPr="00BD4653">
        <w:rPr>
          <w:rStyle w:val="normaltextrun"/>
          <w:rFonts w:ascii="Times New Roman" w:hAnsi="Times New Roman" w:cs="Times New Roman"/>
          <w:b/>
          <w:i/>
          <w:iCs/>
          <w:color w:val="auto"/>
          <w:sz w:val="24"/>
          <w:szCs w:val="24"/>
        </w:rPr>
        <w:t> </w:t>
      </w:r>
      <w:r w:rsidRPr="00BD4653">
        <w:rPr>
          <w:rStyle w:val="eop"/>
          <w:rFonts w:ascii="Times New Roman" w:hAnsi="Times New Roman" w:cs="Times New Roman"/>
          <w:b/>
          <w:i/>
          <w:iCs/>
          <w:color w:val="auto"/>
          <w:sz w:val="24"/>
          <w:szCs w:val="24"/>
        </w:rPr>
        <w:t> </w:t>
      </w:r>
    </w:p>
    <w:p w14:paraId="548CE1DF" w14:textId="77777777" w:rsidR="00147C5D" w:rsidRDefault="008B1738" w:rsidP="00147C5D">
      <w:pPr>
        <w:pStyle w:val="paragraph"/>
        <w:spacing w:before="0" w:beforeAutospacing="0" w:after="0" w:afterAutospacing="0" w:line="360" w:lineRule="auto"/>
        <w:ind w:firstLine="567"/>
        <w:textAlignment w:val="baseline"/>
      </w:pPr>
      <w:r w:rsidRPr="00BD4653">
        <w:rPr>
          <w:rStyle w:val="normaltextrun"/>
        </w:rPr>
        <w:t xml:space="preserve">Neste estudo participaram </w:t>
      </w:r>
      <w:r w:rsidRPr="00BD4653">
        <w:t>556 estudantes, contudo este estudo é constituído por uma amostra de 547 estudantes, sendo 267 de Psicologia (48.8%), 62 de Direito (11.3%), 82 de Economia e Gestão (15%), 86 de Enfermagem (15.7%) e 50 de Fisioterapia (9.1%). A amostra integra 451 estudantes do sexo feminino (82.4%), 92 do sexo masculino (16.8%) e 4 que não revelaram o seu sexo (0.7%). A idade dos estudantes variou entre os 17 e os 52 anos (</w:t>
      </w:r>
      <w:r w:rsidRPr="00BD4653">
        <w:rPr>
          <w:i/>
        </w:rPr>
        <w:t>M</w:t>
      </w:r>
      <w:r w:rsidRPr="00BD4653">
        <w:t xml:space="preserve"> = 20.6; </w:t>
      </w:r>
      <w:r w:rsidRPr="00BD4653">
        <w:rPr>
          <w:i/>
        </w:rPr>
        <w:t>DP</w:t>
      </w:r>
      <w:r w:rsidRPr="00BD4653">
        <w:t xml:space="preserve"> = 4.4). Relativamente ao tipo de instituição, 234 frequentam o ensino privado (42.8%) e 313 o ensino público (57.2%). Considerando o ano do curso, 216 são do 1°ano de licenciatura (39.5%), 88 do 2°ano de licenciatura (16.1%), 162 do 3°ano de licenciatura (29.6%), 23 do 4°ano de licenciatura (4.2%), dois do 5°ano de licenciatura (0.4%), 37 do 1º ano de mestrado (6.8%) e 19 do 2º ano de mestrado (3.5%).  </w:t>
      </w:r>
      <w:bookmarkStart w:id="3" w:name="_Toc105201996"/>
      <w:bookmarkStart w:id="4" w:name="_Toc105365191"/>
    </w:p>
    <w:p w14:paraId="0C7589EB" w14:textId="71E0B501" w:rsidR="008B1738" w:rsidRPr="00147C5D" w:rsidRDefault="008B1738" w:rsidP="00147C5D">
      <w:pPr>
        <w:pStyle w:val="paragraph"/>
        <w:spacing w:before="0" w:beforeAutospacing="0" w:after="0" w:afterAutospacing="0" w:line="360" w:lineRule="auto"/>
        <w:textAlignment w:val="baseline"/>
        <w:rPr>
          <w:rStyle w:val="eop"/>
        </w:rPr>
      </w:pPr>
      <w:r w:rsidRPr="00BD4653">
        <w:rPr>
          <w:rStyle w:val="eop"/>
          <w:b/>
          <w:bCs/>
          <w:i/>
          <w:iCs/>
        </w:rPr>
        <w:lastRenderedPageBreak/>
        <w:t>Instrumentos</w:t>
      </w:r>
      <w:bookmarkEnd w:id="3"/>
      <w:bookmarkEnd w:id="4"/>
    </w:p>
    <w:p w14:paraId="69EF8EFF" w14:textId="77777777" w:rsidR="008B1738" w:rsidRPr="00A914D7" w:rsidRDefault="008B1738" w:rsidP="00A914D7">
      <w:pPr>
        <w:pStyle w:val="Ttulo3"/>
        <w:spacing w:before="0" w:line="360" w:lineRule="auto"/>
        <w:jc w:val="both"/>
        <w:rPr>
          <w:rStyle w:val="eop"/>
          <w:rFonts w:ascii="Times New Roman" w:hAnsi="Times New Roman" w:cs="Times New Roman"/>
          <w:b/>
          <w:i/>
          <w:color w:val="auto"/>
        </w:rPr>
      </w:pPr>
      <w:bookmarkStart w:id="5" w:name="_Toc105201998"/>
      <w:bookmarkStart w:id="6" w:name="_Toc105365193"/>
      <w:r w:rsidRPr="00A914D7">
        <w:rPr>
          <w:rStyle w:val="normaltextrun"/>
          <w:rFonts w:ascii="Times New Roman" w:hAnsi="Times New Roman" w:cs="Times New Roman"/>
          <w:b/>
          <w:i/>
          <w:color w:val="auto"/>
        </w:rPr>
        <w:t>Questionário</w:t>
      </w:r>
      <w:r w:rsidRPr="00A914D7">
        <w:rPr>
          <w:rStyle w:val="Ttulo3Carter"/>
          <w:rFonts w:ascii="Times New Roman" w:hAnsi="Times New Roman" w:cs="Times New Roman"/>
          <w:b/>
          <w:i/>
          <w:iCs/>
          <w:color w:val="auto"/>
        </w:rPr>
        <w:t xml:space="preserve"> de Stress em Estudantes</w:t>
      </w:r>
      <w:bookmarkEnd w:id="5"/>
      <w:bookmarkEnd w:id="6"/>
      <w:r w:rsidRPr="00A914D7">
        <w:rPr>
          <w:rStyle w:val="normaltextrun"/>
          <w:rFonts w:ascii="Times New Roman" w:hAnsi="Times New Roman" w:cs="Times New Roman"/>
          <w:b/>
          <w:bCs/>
          <w:i/>
          <w:color w:val="auto"/>
        </w:rPr>
        <w:t xml:space="preserve"> </w:t>
      </w:r>
      <w:r w:rsidRPr="00A914D7">
        <w:rPr>
          <w:rStyle w:val="normaltextrun"/>
          <w:rFonts w:ascii="Times New Roman" w:hAnsi="Times New Roman" w:cs="Times New Roman"/>
          <w:color w:val="auto"/>
        </w:rPr>
        <w:t xml:space="preserve">(QSE; Gomes </w:t>
      </w:r>
      <w:proofErr w:type="spellStart"/>
      <w:r w:rsidRPr="00A914D7">
        <w:rPr>
          <w:rStyle w:val="normaltextrun"/>
          <w:rFonts w:ascii="Times New Roman" w:hAnsi="Times New Roman" w:cs="Times New Roman"/>
          <w:color w:val="auto"/>
        </w:rPr>
        <w:t>et</w:t>
      </w:r>
      <w:proofErr w:type="spellEnd"/>
      <w:r w:rsidRPr="00A914D7">
        <w:rPr>
          <w:rStyle w:val="normaltextrun"/>
          <w:rFonts w:ascii="Times New Roman" w:hAnsi="Times New Roman" w:cs="Times New Roman"/>
          <w:color w:val="auto"/>
        </w:rPr>
        <w:t xml:space="preserve"> al., 2022)</w:t>
      </w:r>
    </w:p>
    <w:p w14:paraId="264DAB59" w14:textId="3C684F2E" w:rsidR="008B1738" w:rsidRPr="00BD4653" w:rsidRDefault="008B1738" w:rsidP="0062051F">
      <w:pPr>
        <w:pStyle w:val="paragraph"/>
        <w:spacing w:before="0" w:beforeAutospacing="0" w:after="0" w:afterAutospacing="0" w:line="360" w:lineRule="auto"/>
        <w:ind w:firstLine="567"/>
        <w:textAlignment w:val="baseline"/>
      </w:pPr>
      <w:r w:rsidRPr="00BD4653">
        <w:rPr>
          <w:rStyle w:val="normaltextrun"/>
        </w:rPr>
        <w:t xml:space="preserve">Este instrumento </w:t>
      </w:r>
      <w:r w:rsidR="0062051F">
        <w:rPr>
          <w:rStyle w:val="normaltextrun"/>
        </w:rPr>
        <w:t>inclui</w:t>
      </w:r>
      <w:r w:rsidRPr="00BD4653">
        <w:rPr>
          <w:rStyle w:val="normaltextrun"/>
        </w:rPr>
        <w:t xml:space="preserve"> 28 itens relacionados com possíveis fontes geradoras de</w:t>
      </w:r>
      <w:r w:rsidRPr="00BD4653">
        <w:rPr>
          <w:rStyle w:val="normaltextrun"/>
          <w:i/>
          <w:iCs/>
        </w:rPr>
        <w:t> stress</w:t>
      </w:r>
      <w:r w:rsidRPr="00BD4653">
        <w:rPr>
          <w:rStyle w:val="normaltextrun"/>
        </w:rPr>
        <w:t> associadas à atividade de estudante, respondidos numa escala tipo </w:t>
      </w:r>
      <w:proofErr w:type="spellStart"/>
      <w:r w:rsidRPr="00BD4653">
        <w:rPr>
          <w:rStyle w:val="spellingerror"/>
          <w:i/>
          <w:iCs/>
        </w:rPr>
        <w:t>Likert</w:t>
      </w:r>
      <w:proofErr w:type="spellEnd"/>
      <w:r w:rsidRPr="00BD4653">
        <w:rPr>
          <w:rStyle w:val="normaltextrun"/>
          <w:i/>
          <w:iCs/>
        </w:rPr>
        <w:t> </w:t>
      </w:r>
      <w:r w:rsidRPr="00BD4653">
        <w:rPr>
          <w:rStyle w:val="normaltextrun"/>
        </w:rPr>
        <w:t xml:space="preserve">de </w:t>
      </w:r>
      <w:r w:rsidR="0062051F">
        <w:rPr>
          <w:rStyle w:val="normaltextrun"/>
        </w:rPr>
        <w:t>cinco</w:t>
      </w:r>
      <w:r w:rsidRPr="00BD4653">
        <w:rPr>
          <w:rStyle w:val="normaltextrun"/>
        </w:rPr>
        <w:t xml:space="preserve"> pontos, desde 0 (</w:t>
      </w:r>
      <w:r w:rsidRPr="00BD4653">
        <w:rPr>
          <w:rStyle w:val="normaltextrun"/>
          <w:i/>
          <w:iCs/>
        </w:rPr>
        <w:t>Nenhum stress</w:t>
      </w:r>
      <w:r w:rsidRPr="00BD4653">
        <w:rPr>
          <w:rStyle w:val="normaltextrun"/>
        </w:rPr>
        <w:t>) até 4 (</w:t>
      </w:r>
      <w:r w:rsidRPr="00BD4653">
        <w:rPr>
          <w:rStyle w:val="normaltextrun"/>
          <w:i/>
          <w:iCs/>
        </w:rPr>
        <w:t>Elevado stress</w:t>
      </w:r>
      <w:r w:rsidRPr="00BD4653">
        <w:rPr>
          <w:rStyle w:val="normaltextrun"/>
        </w:rPr>
        <w:t>). </w:t>
      </w:r>
      <w:r w:rsidRPr="00BD4653">
        <w:rPr>
          <w:rStyle w:val="eop"/>
        </w:rPr>
        <w:t> </w:t>
      </w:r>
      <w:r w:rsidRPr="00BD4653">
        <w:rPr>
          <w:rStyle w:val="normaltextrun"/>
        </w:rPr>
        <w:t>Os itens são organizados em sete subescalas: (a) rendimento escolar:</w:t>
      </w:r>
      <w:r w:rsidRPr="00BD4653">
        <w:rPr>
          <w:rStyle w:val="normaltextrun"/>
          <w:i/>
          <w:iCs/>
        </w:rPr>
        <w:t xml:space="preserve"> stress</w:t>
      </w:r>
      <w:r w:rsidRPr="00BD4653">
        <w:rPr>
          <w:rStyle w:val="normaltextrun"/>
        </w:rPr>
        <w:t xml:space="preserve"> decorrente da possibilidade de um rendimento escolar abaixo do esperado pelo estudante </w:t>
      </w:r>
      <w:r w:rsidRPr="00BD4653">
        <w:t>(4 itens; α neste estudo = .88)</w:t>
      </w:r>
      <w:r w:rsidRPr="00BD4653">
        <w:rPr>
          <w:rStyle w:val="normaltextrun"/>
        </w:rPr>
        <w:t>; (</w:t>
      </w:r>
      <w:r w:rsidRPr="00BD4653">
        <w:rPr>
          <w:rStyle w:val="spellingerror"/>
        </w:rPr>
        <w:t>b</w:t>
      </w:r>
      <w:r w:rsidRPr="00BD4653">
        <w:rPr>
          <w:rStyle w:val="normaltextrun"/>
        </w:rPr>
        <w:t>) avaliação académica: </w:t>
      </w:r>
      <w:r w:rsidRPr="00BD4653">
        <w:rPr>
          <w:rStyle w:val="normaltextrun"/>
          <w:i/>
          <w:iCs/>
        </w:rPr>
        <w:t>stress</w:t>
      </w:r>
      <w:r w:rsidRPr="00BD4653">
        <w:rPr>
          <w:rStyle w:val="normaltextrun"/>
        </w:rPr>
        <w:t xml:space="preserve"> decorrente dos momentos de avaliação previstos no processo de ensino-aprendizagem </w:t>
      </w:r>
      <w:r w:rsidRPr="00BD4653">
        <w:t>(4 itens; α neste estudo = .75)</w:t>
      </w:r>
      <w:r w:rsidRPr="00BD4653">
        <w:rPr>
          <w:rStyle w:val="normaltextrun"/>
        </w:rPr>
        <w:t>; (</w:t>
      </w:r>
      <w:r w:rsidRPr="00BD4653">
        <w:rPr>
          <w:rStyle w:val="spellingerror"/>
        </w:rPr>
        <w:t>c</w:t>
      </w:r>
      <w:r w:rsidRPr="00BD4653">
        <w:rPr>
          <w:rStyle w:val="normaltextrun"/>
        </w:rPr>
        <w:t>) motivação: </w:t>
      </w:r>
      <w:r w:rsidRPr="00BD4653">
        <w:rPr>
          <w:rStyle w:val="normaltextrun"/>
          <w:i/>
          <w:iCs/>
        </w:rPr>
        <w:t>stress</w:t>
      </w:r>
      <w:r w:rsidRPr="00BD4653">
        <w:rPr>
          <w:rStyle w:val="normaltextrun"/>
        </w:rPr>
        <w:t xml:space="preserve"> decorrente da baixa motivação para se envolver nas atividades de estudo </w:t>
      </w:r>
      <w:r w:rsidRPr="00BD4653">
        <w:t>(4 itens; α neste estudo = .82)</w:t>
      </w:r>
      <w:r w:rsidRPr="00BD4653">
        <w:rPr>
          <w:rStyle w:val="normaltextrun"/>
        </w:rPr>
        <w:t>; (</w:t>
      </w:r>
      <w:r w:rsidRPr="00BD4653">
        <w:rPr>
          <w:rStyle w:val="spellingerror"/>
        </w:rPr>
        <w:t>d</w:t>
      </w:r>
      <w:r w:rsidRPr="00BD4653">
        <w:rPr>
          <w:rStyle w:val="normaltextrun"/>
        </w:rPr>
        <w:t>) aprendizagem: </w:t>
      </w:r>
      <w:r w:rsidRPr="00BD4653">
        <w:rPr>
          <w:rStyle w:val="normaltextrun"/>
          <w:i/>
          <w:iCs/>
        </w:rPr>
        <w:t>stress</w:t>
      </w:r>
      <w:r w:rsidRPr="00BD4653">
        <w:rPr>
          <w:rStyle w:val="normaltextrun"/>
        </w:rPr>
        <w:t xml:space="preserve"> decorrente da dificuldade em acompanhar o processo de ensino-aprendizagem </w:t>
      </w:r>
      <w:r w:rsidRPr="00BD4653">
        <w:t>(4 itens; α neste estudo = .90)</w:t>
      </w:r>
      <w:r w:rsidRPr="00BD4653">
        <w:rPr>
          <w:rStyle w:val="normaltextrun"/>
        </w:rPr>
        <w:t>; (e) excesso de trabalho: </w:t>
      </w:r>
      <w:r w:rsidRPr="00BD4653">
        <w:rPr>
          <w:rStyle w:val="normaltextrun"/>
          <w:i/>
          <w:iCs/>
        </w:rPr>
        <w:t>stress</w:t>
      </w:r>
      <w:r w:rsidRPr="00BD4653">
        <w:rPr>
          <w:rStyle w:val="normaltextrun"/>
        </w:rPr>
        <w:t xml:space="preserve"> decorrente do excesso de atividades e tarefas escolares </w:t>
      </w:r>
      <w:r w:rsidRPr="00BD4653">
        <w:t>(4 itens; α neste estudo = .91)</w:t>
      </w:r>
      <w:r w:rsidRPr="00BD4653">
        <w:rPr>
          <w:rStyle w:val="normaltextrun"/>
        </w:rPr>
        <w:t>; (f) expectativas futuras: </w:t>
      </w:r>
      <w:r w:rsidRPr="00BD4653">
        <w:rPr>
          <w:rStyle w:val="normaltextrun"/>
          <w:i/>
          <w:iCs/>
        </w:rPr>
        <w:t>stress</w:t>
      </w:r>
      <w:r w:rsidRPr="00BD4653">
        <w:rPr>
          <w:rStyle w:val="normaltextrun"/>
        </w:rPr>
        <w:t xml:space="preserve"> decorrente da descrença do estudante acerca da utilidade e interesse dos estudos para o seu futuro </w:t>
      </w:r>
      <w:r w:rsidRPr="00BD4653">
        <w:t>(4 itens; α neste estudo = .81)</w:t>
      </w:r>
      <w:r w:rsidRPr="00BD4653">
        <w:rPr>
          <w:rStyle w:val="normaltextrun"/>
        </w:rPr>
        <w:t>; e (</w:t>
      </w:r>
      <w:r w:rsidRPr="00BD4653">
        <w:rPr>
          <w:rStyle w:val="spellingerror"/>
        </w:rPr>
        <w:t>g</w:t>
      </w:r>
      <w:r w:rsidRPr="00BD4653">
        <w:rPr>
          <w:rStyle w:val="normaltextrun"/>
        </w:rPr>
        <w:t>) problemas financeiros: </w:t>
      </w:r>
      <w:r w:rsidRPr="00BD4653">
        <w:rPr>
          <w:rStyle w:val="normaltextrun"/>
          <w:i/>
          <w:iCs/>
        </w:rPr>
        <w:t>stress </w:t>
      </w:r>
      <w:r w:rsidRPr="00BD4653">
        <w:rPr>
          <w:rStyle w:val="normaltextrun"/>
        </w:rPr>
        <w:t xml:space="preserve">decorrente da inviabilidade de continuação dos estudos devido a dificuldades monetárias </w:t>
      </w:r>
      <w:r w:rsidRPr="00BD4653">
        <w:t>(4 itens; α neste estudo = .89)</w:t>
      </w:r>
      <w:r w:rsidRPr="00BD4653">
        <w:rPr>
          <w:rStyle w:val="normaltextrun"/>
        </w:rPr>
        <w:t>. </w:t>
      </w:r>
      <w:r w:rsidRPr="00BD4653">
        <w:t xml:space="preserve">O instrumento apresentou boas propriedades psicométricas neste estudo, </w:t>
      </w:r>
      <w:r w:rsidRPr="00BD4653">
        <w:rPr>
          <w:i/>
          <w:iCs/>
        </w:rPr>
        <w:t>χ</w:t>
      </w:r>
      <w:r w:rsidRPr="00BD4653">
        <w:rPr>
          <w:i/>
          <w:iCs/>
          <w:vertAlign w:val="superscript"/>
        </w:rPr>
        <w:t>2</w:t>
      </w:r>
      <w:r w:rsidRPr="00BD4653">
        <w:t xml:space="preserve"> (324) = 898.360, </w:t>
      </w:r>
      <w:r w:rsidRPr="00BD4653">
        <w:rPr>
          <w:i/>
          <w:iCs/>
        </w:rPr>
        <w:t>χ</w:t>
      </w:r>
      <w:r w:rsidRPr="00BD4653">
        <w:rPr>
          <w:i/>
          <w:iCs/>
          <w:vertAlign w:val="superscript"/>
        </w:rPr>
        <w:t>2</w:t>
      </w:r>
      <w:r w:rsidRPr="00BD4653">
        <w:t xml:space="preserve"> /</w:t>
      </w:r>
      <w:proofErr w:type="spellStart"/>
      <w:r w:rsidRPr="00BD4653">
        <w:t>df</w:t>
      </w:r>
      <w:proofErr w:type="spellEnd"/>
      <w:r w:rsidRPr="00BD4653">
        <w:t xml:space="preserve"> = 2.773, </w:t>
      </w:r>
      <w:r w:rsidRPr="00BD4653">
        <w:rPr>
          <w:i/>
          <w:iCs/>
        </w:rPr>
        <w:t>p</w:t>
      </w:r>
      <w:r w:rsidRPr="00BD4653">
        <w:t xml:space="preserve"> =.000; RMSEA = .057, 90% C.I. [.052; .061],</w:t>
      </w:r>
      <w:r w:rsidRPr="00BD4653">
        <w:rPr>
          <w:i/>
          <w:iCs/>
        </w:rPr>
        <w:t xml:space="preserve"> p</w:t>
      </w:r>
      <w:r w:rsidRPr="00BD4653">
        <w:t xml:space="preserve"> =.008; SRMR = .0534; CFI = .943; PCFI = .808; TLI = .933.</w:t>
      </w:r>
      <w:r w:rsidRPr="00BD4653">
        <w:rPr>
          <w:rStyle w:val="eop"/>
        </w:rPr>
        <w:t xml:space="preserve"> </w:t>
      </w:r>
    </w:p>
    <w:p w14:paraId="0CB33F97" w14:textId="58DF1E0E" w:rsidR="008B1738" w:rsidRPr="00A914D7" w:rsidRDefault="008B1738" w:rsidP="00A914D7">
      <w:pPr>
        <w:pStyle w:val="Ttulo3"/>
        <w:spacing w:before="0" w:line="360" w:lineRule="auto"/>
        <w:jc w:val="both"/>
        <w:rPr>
          <w:rStyle w:val="eop"/>
          <w:rFonts w:ascii="Times New Roman" w:hAnsi="Times New Roman" w:cs="Times New Roman"/>
          <w:b/>
          <w:i/>
          <w:iCs/>
          <w:color w:val="auto"/>
        </w:rPr>
      </w:pPr>
      <w:bookmarkStart w:id="7" w:name="_Toc105201999"/>
      <w:bookmarkStart w:id="8" w:name="_Toc105365194"/>
      <w:r w:rsidRPr="00A914D7">
        <w:rPr>
          <w:rStyle w:val="Ttulo3Carter"/>
          <w:rFonts w:ascii="Times New Roman" w:hAnsi="Times New Roman" w:cs="Times New Roman"/>
          <w:b/>
          <w:bCs/>
          <w:i/>
          <w:iCs/>
          <w:color w:val="auto"/>
        </w:rPr>
        <w:t>Escala de Avaliação Cognitiva</w:t>
      </w:r>
      <w:bookmarkEnd w:id="7"/>
      <w:bookmarkEnd w:id="8"/>
      <w:r w:rsidRPr="00A914D7">
        <w:rPr>
          <w:rStyle w:val="normaltextrun"/>
          <w:rFonts w:ascii="Times New Roman" w:hAnsi="Times New Roman" w:cs="Times New Roman"/>
          <w:b/>
          <w:bCs/>
          <w:i/>
          <w:iCs/>
          <w:color w:val="auto"/>
        </w:rPr>
        <w:t xml:space="preserve"> </w:t>
      </w:r>
      <w:r w:rsidRPr="00A914D7">
        <w:rPr>
          <w:rStyle w:val="normaltextrun"/>
          <w:rFonts w:ascii="Times New Roman" w:hAnsi="Times New Roman" w:cs="Times New Roman"/>
          <w:iCs/>
          <w:color w:val="auto"/>
        </w:rPr>
        <w:t>(EAC; Gomes &amp; Teixeira, 2016)</w:t>
      </w:r>
    </w:p>
    <w:p w14:paraId="539B378E" w14:textId="2A73B951" w:rsidR="008B1738" w:rsidRPr="00BD4653" w:rsidRDefault="008B1738" w:rsidP="00147C5D">
      <w:pPr>
        <w:pStyle w:val="paragraph"/>
        <w:spacing w:before="0" w:beforeAutospacing="0" w:after="0" w:afterAutospacing="0" w:line="360" w:lineRule="auto"/>
        <w:ind w:firstLine="567"/>
        <w:textAlignment w:val="baseline"/>
        <w:rPr>
          <w:iCs/>
        </w:rPr>
      </w:pPr>
      <w:r w:rsidRPr="00BD4653">
        <w:rPr>
          <w:rStyle w:val="normaltextrun"/>
          <w:iCs/>
        </w:rPr>
        <w:t>Este questionário destina-se avaliar os processos de avaliação cognitiva primária e secundária, tendo por base o modelo de </w:t>
      </w:r>
      <w:proofErr w:type="spellStart"/>
      <w:r w:rsidRPr="00BD4653">
        <w:rPr>
          <w:rStyle w:val="spellingerror"/>
          <w:iCs/>
        </w:rPr>
        <w:t>Lazarus</w:t>
      </w:r>
      <w:proofErr w:type="spellEnd"/>
      <w:r w:rsidRPr="00BD4653">
        <w:rPr>
          <w:rStyle w:val="spellingerror"/>
          <w:iCs/>
        </w:rPr>
        <w:t xml:space="preserve"> </w:t>
      </w:r>
      <w:r w:rsidRPr="00BD4653">
        <w:rPr>
          <w:rStyle w:val="normaltextrun"/>
          <w:iCs/>
        </w:rPr>
        <w:t>(1991) e adaptações propostas por Gomes (2014). Neste estudo, foi utilizada uma versão adaptada para o contexto académico dos estudantes.</w:t>
      </w:r>
      <w:r w:rsidRPr="00BD4653">
        <w:rPr>
          <w:rStyle w:val="eop"/>
          <w:iCs/>
        </w:rPr>
        <w:t> </w:t>
      </w:r>
      <w:r w:rsidRPr="00BD4653">
        <w:rPr>
          <w:rStyle w:val="normaltextrun"/>
          <w:iCs/>
        </w:rPr>
        <w:t>Os itens são respondidos numa escala tipo </w:t>
      </w:r>
      <w:proofErr w:type="spellStart"/>
      <w:r w:rsidRPr="00BD4653">
        <w:rPr>
          <w:rStyle w:val="spellingerror"/>
          <w:i/>
        </w:rPr>
        <w:t>Likert</w:t>
      </w:r>
      <w:proofErr w:type="spellEnd"/>
      <w:r w:rsidRPr="00BD4653">
        <w:rPr>
          <w:rStyle w:val="normaltextrun"/>
          <w:iCs/>
        </w:rPr>
        <w:t> de sete pontos, desde 0 (</w:t>
      </w:r>
      <w:r w:rsidRPr="00BD4653">
        <w:t xml:space="preserve">e.g. </w:t>
      </w:r>
      <w:r w:rsidRPr="00BD4653">
        <w:rPr>
          <w:rStyle w:val="normaltextrun"/>
          <w:iCs/>
        </w:rPr>
        <w:t xml:space="preserve"> </w:t>
      </w:r>
      <w:r w:rsidRPr="00BD4653">
        <w:rPr>
          <w:rStyle w:val="normaltextrun"/>
          <w:i/>
        </w:rPr>
        <w:t>Nada importante para mim</w:t>
      </w:r>
      <w:r w:rsidRPr="00BD4653">
        <w:rPr>
          <w:rStyle w:val="normaltextrun"/>
          <w:iCs/>
        </w:rPr>
        <w:t>) até 6 (</w:t>
      </w:r>
      <w:r w:rsidRPr="00BD4653">
        <w:t xml:space="preserve">e.g. </w:t>
      </w:r>
      <w:r w:rsidRPr="00BD4653">
        <w:rPr>
          <w:rStyle w:val="normaltextrun"/>
          <w:iCs/>
        </w:rPr>
        <w:t xml:space="preserve"> </w:t>
      </w:r>
      <w:r w:rsidRPr="00BD4653">
        <w:rPr>
          <w:rStyle w:val="normaltextrun"/>
          <w:i/>
        </w:rPr>
        <w:t>Muito importante para mim</w:t>
      </w:r>
      <w:r w:rsidRPr="00BD4653">
        <w:rPr>
          <w:rStyle w:val="normaltextrun"/>
          <w:iCs/>
        </w:rPr>
        <w:t xml:space="preserve">).  Assim sendo, a avaliação cognitiva primária é composta por três subescalas: (a) perceção de importância, onde o participante avalia o significado pessoal da atividade de estudante </w:t>
      </w:r>
      <w:r w:rsidRPr="00BD4653">
        <w:rPr>
          <w:iCs/>
        </w:rPr>
        <w:t>(3 itens; α neste estudo = .87)</w:t>
      </w:r>
      <w:r w:rsidRPr="00BD4653">
        <w:rPr>
          <w:rStyle w:val="normaltextrun"/>
          <w:iCs/>
        </w:rPr>
        <w:t>; (</w:t>
      </w:r>
      <w:r w:rsidRPr="00BD4653">
        <w:rPr>
          <w:rStyle w:val="spellingerror"/>
          <w:iCs/>
        </w:rPr>
        <w:t>b</w:t>
      </w:r>
      <w:r w:rsidRPr="00BD4653">
        <w:rPr>
          <w:rStyle w:val="normaltextrun"/>
          <w:iCs/>
        </w:rPr>
        <w:t xml:space="preserve">) perceção de ameaça, onde o participante avalia o potencial perturbador e negativo da atividade de estudante </w:t>
      </w:r>
      <w:r w:rsidRPr="00BD4653">
        <w:rPr>
          <w:iCs/>
        </w:rPr>
        <w:t>(3 itens; α neste estudo = .83)</w:t>
      </w:r>
      <w:r w:rsidRPr="00BD4653">
        <w:rPr>
          <w:rStyle w:val="normaltextrun"/>
          <w:iCs/>
        </w:rPr>
        <w:t>;</w:t>
      </w:r>
      <w:r w:rsidRPr="00BD4653">
        <w:rPr>
          <w:iCs/>
        </w:rPr>
        <w:t xml:space="preserve"> </w:t>
      </w:r>
      <w:r w:rsidRPr="00BD4653">
        <w:rPr>
          <w:rStyle w:val="normaltextrun"/>
          <w:iCs/>
        </w:rPr>
        <w:t>e (</w:t>
      </w:r>
      <w:r w:rsidRPr="00BD4653">
        <w:rPr>
          <w:rStyle w:val="spellingerror"/>
          <w:iCs/>
        </w:rPr>
        <w:t>c</w:t>
      </w:r>
      <w:r w:rsidRPr="00BD4653">
        <w:rPr>
          <w:rStyle w:val="normaltextrun"/>
          <w:iCs/>
        </w:rPr>
        <w:t xml:space="preserve">) perceção de desafio, onde o participante avalia o potencial estimulador e entusiasmante da atividade de estudante </w:t>
      </w:r>
      <w:r w:rsidRPr="00BD4653">
        <w:rPr>
          <w:iCs/>
        </w:rPr>
        <w:t>(3 itens; α neste estudo = .69)</w:t>
      </w:r>
      <w:r w:rsidRPr="00BD4653">
        <w:rPr>
          <w:rStyle w:val="normaltextrun"/>
          <w:iCs/>
        </w:rPr>
        <w:t xml:space="preserve">. </w:t>
      </w:r>
      <w:r w:rsidR="0062051F" w:rsidRPr="00F21F4D">
        <w:rPr>
          <w:rStyle w:val="normaltextrun"/>
          <w:rFonts w:asciiTheme="majorBidi" w:hAnsiTheme="majorBidi" w:cstheme="majorBidi"/>
          <w:iCs/>
        </w:rPr>
        <w:t>A avaliação cognitiva secundária é composta por duas subescalas: (</w:t>
      </w:r>
      <w:r w:rsidR="0062051F">
        <w:rPr>
          <w:rStyle w:val="normaltextrun"/>
          <w:rFonts w:asciiTheme="majorBidi" w:hAnsiTheme="majorBidi" w:cstheme="majorBidi"/>
          <w:iCs/>
        </w:rPr>
        <w:t>d</w:t>
      </w:r>
      <w:r w:rsidR="0062051F" w:rsidRPr="00F21F4D">
        <w:rPr>
          <w:rStyle w:val="normaltextrun"/>
          <w:rFonts w:asciiTheme="majorBidi" w:hAnsiTheme="majorBidi" w:cstheme="majorBidi"/>
          <w:iCs/>
        </w:rPr>
        <w:t>) perceção de confronto, onde o participante avalia os recursos pessoais que julga ter para lidar com as exigências do seu percurso escolar (</w:t>
      </w:r>
      <w:r w:rsidR="0062051F" w:rsidRPr="00F21F4D">
        <w:rPr>
          <w:rFonts w:asciiTheme="majorBidi" w:hAnsiTheme="majorBidi" w:cstheme="majorBidi"/>
          <w:iCs/>
        </w:rPr>
        <w:t>3 itens; α neste estudo = .84)</w:t>
      </w:r>
      <w:r w:rsidR="0062051F" w:rsidRPr="00F21F4D">
        <w:rPr>
          <w:rStyle w:val="normaltextrun"/>
          <w:rFonts w:asciiTheme="majorBidi" w:hAnsiTheme="majorBidi" w:cstheme="majorBidi"/>
          <w:iCs/>
        </w:rPr>
        <w:t>; e (</w:t>
      </w:r>
      <w:r w:rsidR="0062051F">
        <w:rPr>
          <w:rStyle w:val="spellingerror"/>
          <w:rFonts w:asciiTheme="majorBidi" w:hAnsiTheme="majorBidi" w:cstheme="majorBidi"/>
          <w:iCs/>
        </w:rPr>
        <w:t>e</w:t>
      </w:r>
      <w:r w:rsidR="0062051F" w:rsidRPr="00F21F4D">
        <w:rPr>
          <w:rStyle w:val="normaltextrun"/>
          <w:rFonts w:asciiTheme="majorBidi" w:hAnsiTheme="majorBidi" w:cstheme="majorBidi"/>
          <w:iCs/>
        </w:rPr>
        <w:t xml:space="preserve">) perceção de controle, onde o participante avalia o poder de decisão que julga ter sobre o </w:t>
      </w:r>
      <w:r w:rsidR="0062051F" w:rsidRPr="00F21F4D">
        <w:rPr>
          <w:rStyle w:val="normaltextrun"/>
          <w:rFonts w:asciiTheme="majorBidi" w:hAnsiTheme="majorBidi" w:cstheme="majorBidi"/>
          <w:iCs/>
        </w:rPr>
        <w:lastRenderedPageBreak/>
        <w:t>seu percurso escolar (</w:t>
      </w:r>
      <w:r w:rsidR="0062051F" w:rsidRPr="00F21F4D">
        <w:rPr>
          <w:rFonts w:asciiTheme="majorBidi" w:hAnsiTheme="majorBidi" w:cstheme="majorBidi"/>
          <w:iCs/>
        </w:rPr>
        <w:t>3 itens; α neste estudo = .69)</w:t>
      </w:r>
      <w:r w:rsidR="0062051F" w:rsidRPr="00F21F4D">
        <w:rPr>
          <w:rStyle w:val="normaltextrun"/>
          <w:rFonts w:asciiTheme="majorBidi" w:hAnsiTheme="majorBidi" w:cstheme="majorBidi"/>
          <w:iCs/>
        </w:rPr>
        <w:t>.</w:t>
      </w:r>
      <w:r w:rsidR="0062051F">
        <w:rPr>
          <w:rStyle w:val="normaltextrun"/>
          <w:rFonts w:asciiTheme="majorBidi" w:hAnsiTheme="majorBidi" w:cstheme="majorBidi"/>
          <w:iCs/>
        </w:rPr>
        <w:t xml:space="preserve"> </w:t>
      </w:r>
      <w:r w:rsidRPr="00BD4653">
        <w:rPr>
          <w:iCs/>
        </w:rPr>
        <w:t>Este instrumento apresentou boas propriedades psicométricas neste estudo, χ</w:t>
      </w:r>
      <w:r w:rsidRPr="00BD4653">
        <w:rPr>
          <w:iCs/>
          <w:vertAlign w:val="superscript"/>
        </w:rPr>
        <w:t>2</w:t>
      </w:r>
      <w:r w:rsidRPr="00BD4653">
        <w:rPr>
          <w:iCs/>
        </w:rPr>
        <w:t xml:space="preserve"> (80) = 254.38, χ</w:t>
      </w:r>
      <w:r w:rsidRPr="00BD4653">
        <w:rPr>
          <w:iCs/>
          <w:vertAlign w:val="superscript"/>
        </w:rPr>
        <w:t>2</w:t>
      </w:r>
      <w:r w:rsidRPr="00BD4653">
        <w:rPr>
          <w:iCs/>
        </w:rPr>
        <w:t xml:space="preserve"> /</w:t>
      </w:r>
      <w:proofErr w:type="spellStart"/>
      <w:r w:rsidRPr="00BD4653">
        <w:rPr>
          <w:iCs/>
        </w:rPr>
        <w:t>df</w:t>
      </w:r>
      <w:proofErr w:type="spellEnd"/>
      <w:r w:rsidRPr="00BD4653">
        <w:rPr>
          <w:iCs/>
        </w:rPr>
        <w:t xml:space="preserve"> = 3.18, p = .000; RMSEA = .062, 90% C.I. [.054; .071], p = .009; SRMR =. 0578; CFI = .957; PCFI = .729; TLI = .943.</w:t>
      </w:r>
      <w:r w:rsidRPr="00BD4653">
        <w:rPr>
          <w:rStyle w:val="eop"/>
          <w:iCs/>
        </w:rPr>
        <w:t xml:space="preserve"> </w:t>
      </w:r>
    </w:p>
    <w:p w14:paraId="04AF292B" w14:textId="77777777" w:rsidR="008B1738" w:rsidRPr="00A914D7" w:rsidRDefault="008B1738" w:rsidP="00147C5D">
      <w:pPr>
        <w:pStyle w:val="Ttulo3"/>
        <w:spacing w:before="0" w:line="360" w:lineRule="auto"/>
        <w:rPr>
          <w:rFonts w:ascii="Times New Roman" w:hAnsi="Times New Roman" w:cs="Times New Roman"/>
          <w:b/>
          <w:bCs/>
          <w:color w:val="auto"/>
        </w:rPr>
      </w:pPr>
      <w:bookmarkStart w:id="9" w:name="_Toc105202000"/>
      <w:bookmarkStart w:id="10" w:name="_Toc105365195"/>
      <w:r w:rsidRPr="00A914D7">
        <w:rPr>
          <w:rStyle w:val="Ttulo3Carter"/>
          <w:rFonts w:ascii="Times New Roman" w:hAnsi="Times New Roman" w:cs="Times New Roman"/>
          <w:b/>
          <w:bCs/>
          <w:i/>
          <w:iCs/>
          <w:color w:val="auto"/>
        </w:rPr>
        <w:t xml:space="preserve">Inventário de </w:t>
      </w:r>
      <w:proofErr w:type="spellStart"/>
      <w:r w:rsidRPr="00A914D7">
        <w:rPr>
          <w:rStyle w:val="Ttulo3Carter"/>
          <w:rFonts w:ascii="Times New Roman" w:hAnsi="Times New Roman" w:cs="Times New Roman"/>
          <w:b/>
          <w:bCs/>
          <w:i/>
          <w:iCs/>
          <w:color w:val="auto"/>
        </w:rPr>
        <w:t>Coping</w:t>
      </w:r>
      <w:proofErr w:type="spellEnd"/>
      <w:r w:rsidRPr="00A914D7">
        <w:rPr>
          <w:rStyle w:val="Ttulo3Carter"/>
          <w:rFonts w:ascii="Times New Roman" w:hAnsi="Times New Roman" w:cs="Times New Roman"/>
          <w:b/>
          <w:bCs/>
          <w:i/>
          <w:iCs/>
          <w:color w:val="auto"/>
        </w:rPr>
        <w:t xml:space="preserve"> - Reduzido</w:t>
      </w:r>
      <w:bookmarkEnd w:id="9"/>
      <w:bookmarkEnd w:id="10"/>
      <w:r w:rsidRPr="00A914D7">
        <w:rPr>
          <w:rStyle w:val="normaltextrun"/>
          <w:rFonts w:ascii="Times New Roman" w:hAnsi="Times New Roman" w:cs="Times New Roman"/>
          <w:b/>
          <w:bCs/>
          <w:iCs/>
          <w:color w:val="auto"/>
        </w:rPr>
        <w:t xml:space="preserve"> </w:t>
      </w:r>
      <w:r w:rsidRPr="00A914D7">
        <w:rPr>
          <w:rFonts w:ascii="Times New Roman" w:hAnsi="Times New Roman" w:cs="Times New Roman"/>
          <w:iCs/>
          <w:color w:val="auto"/>
        </w:rPr>
        <w:t>(</w:t>
      </w:r>
      <w:proofErr w:type="spellStart"/>
      <w:r w:rsidRPr="00A914D7">
        <w:rPr>
          <w:rFonts w:ascii="Times New Roman" w:hAnsi="Times New Roman" w:cs="Times New Roman"/>
          <w:i/>
          <w:color w:val="auto"/>
        </w:rPr>
        <w:t>Coping</w:t>
      </w:r>
      <w:proofErr w:type="spellEnd"/>
      <w:r w:rsidRPr="00A914D7">
        <w:rPr>
          <w:rFonts w:ascii="Times New Roman" w:hAnsi="Times New Roman" w:cs="Times New Roman"/>
          <w:iCs/>
          <w:color w:val="auto"/>
        </w:rPr>
        <w:t>–R</w:t>
      </w:r>
      <w:r w:rsidRPr="00A914D7">
        <w:rPr>
          <w:rFonts w:ascii="Times New Roman" w:hAnsi="Times New Roman" w:cs="Times New Roman"/>
          <w:color w:val="auto"/>
        </w:rPr>
        <w:t xml:space="preserve">; Desenvolvido por Gomes, 2017 a partir dos trabalhos de </w:t>
      </w:r>
      <w:proofErr w:type="spellStart"/>
      <w:r w:rsidRPr="00A914D7">
        <w:rPr>
          <w:rFonts w:ascii="Times New Roman" w:hAnsi="Times New Roman" w:cs="Times New Roman"/>
          <w:color w:val="auto"/>
        </w:rPr>
        <w:t>Carver</w:t>
      </w:r>
      <w:proofErr w:type="spellEnd"/>
      <w:r w:rsidRPr="00A914D7">
        <w:rPr>
          <w:rFonts w:ascii="Times New Roman" w:hAnsi="Times New Roman" w:cs="Times New Roman"/>
          <w:color w:val="auto"/>
        </w:rPr>
        <w:t xml:space="preserve"> </w:t>
      </w:r>
      <w:proofErr w:type="spellStart"/>
      <w:r w:rsidRPr="00A914D7">
        <w:rPr>
          <w:rFonts w:ascii="Times New Roman" w:hAnsi="Times New Roman" w:cs="Times New Roman"/>
          <w:color w:val="auto"/>
        </w:rPr>
        <w:t>et</w:t>
      </w:r>
      <w:proofErr w:type="spellEnd"/>
      <w:r w:rsidRPr="00A914D7">
        <w:rPr>
          <w:rFonts w:ascii="Times New Roman" w:hAnsi="Times New Roman" w:cs="Times New Roman"/>
          <w:color w:val="auto"/>
        </w:rPr>
        <w:t xml:space="preserve"> al., 1989; </w:t>
      </w:r>
      <w:proofErr w:type="spellStart"/>
      <w:r w:rsidRPr="00A914D7">
        <w:rPr>
          <w:rFonts w:ascii="Times New Roman" w:hAnsi="Times New Roman" w:cs="Times New Roman"/>
          <w:color w:val="auto"/>
        </w:rPr>
        <w:t>Carver</w:t>
      </w:r>
      <w:proofErr w:type="spellEnd"/>
      <w:r w:rsidRPr="00A914D7">
        <w:rPr>
          <w:rFonts w:ascii="Times New Roman" w:hAnsi="Times New Roman" w:cs="Times New Roman"/>
          <w:color w:val="auto"/>
        </w:rPr>
        <w:t xml:space="preserve"> &amp; </w:t>
      </w:r>
      <w:proofErr w:type="spellStart"/>
      <w:r w:rsidRPr="00A914D7">
        <w:rPr>
          <w:rFonts w:ascii="Times New Roman" w:hAnsi="Times New Roman" w:cs="Times New Roman"/>
          <w:color w:val="auto"/>
        </w:rPr>
        <w:t>Scheier</w:t>
      </w:r>
      <w:proofErr w:type="spellEnd"/>
      <w:r w:rsidRPr="00A914D7">
        <w:rPr>
          <w:rFonts w:ascii="Times New Roman" w:hAnsi="Times New Roman" w:cs="Times New Roman"/>
          <w:color w:val="auto"/>
        </w:rPr>
        <w:t>, 1994)</w:t>
      </w:r>
    </w:p>
    <w:p w14:paraId="76523432" w14:textId="61694622" w:rsidR="008B1738" w:rsidRPr="00BD4653" w:rsidRDefault="008B1738" w:rsidP="00147C5D">
      <w:pPr>
        <w:spacing w:line="360" w:lineRule="auto"/>
        <w:ind w:firstLine="567"/>
        <w:textAlignment w:val="baseline"/>
        <w:rPr>
          <w:rStyle w:val="Ttulo3Carter"/>
          <w:rFonts w:ascii="Times New Roman" w:eastAsia="Times New Roman" w:hAnsi="Times New Roman" w:cs="Times New Roman"/>
          <w:color w:val="auto"/>
        </w:rPr>
      </w:pPr>
      <w:r w:rsidRPr="00BD4653">
        <w:rPr>
          <w:lang w:eastAsia="pt-PT"/>
        </w:rPr>
        <w:t xml:space="preserve">Este questionário destina-se a avaliar as estratégias de confronto utilizadas pelos estudantes para lidar com o </w:t>
      </w:r>
      <w:r w:rsidRPr="00BD4653">
        <w:rPr>
          <w:i/>
          <w:iCs/>
          <w:lang w:eastAsia="pt-PT"/>
        </w:rPr>
        <w:t>stress</w:t>
      </w:r>
      <w:r w:rsidRPr="00BD4653">
        <w:rPr>
          <w:lang w:eastAsia="pt-PT"/>
        </w:rPr>
        <w:t xml:space="preserve"> na sua atividade. Este instrumento é composto por 16 itens respondidos numa escala tipo</w:t>
      </w:r>
      <w:r w:rsidRPr="00BD4653">
        <w:rPr>
          <w:i/>
          <w:iCs/>
          <w:lang w:eastAsia="pt-PT"/>
        </w:rPr>
        <w:t> </w:t>
      </w:r>
      <w:proofErr w:type="spellStart"/>
      <w:r w:rsidRPr="00BD4653">
        <w:rPr>
          <w:i/>
          <w:iCs/>
          <w:lang w:eastAsia="pt-PT"/>
        </w:rPr>
        <w:t>Likert</w:t>
      </w:r>
      <w:proofErr w:type="spellEnd"/>
      <w:r w:rsidRPr="00BD4653">
        <w:rPr>
          <w:i/>
          <w:iCs/>
          <w:lang w:eastAsia="pt-PT"/>
        </w:rPr>
        <w:t> </w:t>
      </w:r>
      <w:r w:rsidRPr="00BD4653">
        <w:rPr>
          <w:lang w:eastAsia="pt-PT"/>
        </w:rPr>
        <w:t>de cinco pontos, 1 (</w:t>
      </w:r>
      <w:r w:rsidRPr="00BD4653">
        <w:rPr>
          <w:i/>
          <w:iCs/>
          <w:lang w:eastAsia="pt-PT"/>
        </w:rPr>
        <w:t>Nunca utilizei</w:t>
      </w:r>
      <w:r w:rsidRPr="00BD4653">
        <w:rPr>
          <w:lang w:eastAsia="pt-PT"/>
        </w:rPr>
        <w:t>) a 5 (</w:t>
      </w:r>
      <w:r w:rsidRPr="00BD4653">
        <w:rPr>
          <w:i/>
          <w:iCs/>
          <w:lang w:eastAsia="pt-PT"/>
        </w:rPr>
        <w:t>Utilizei muitas vezes</w:t>
      </w:r>
      <w:r w:rsidRPr="00BD4653">
        <w:rPr>
          <w:lang w:eastAsia="pt-PT"/>
        </w:rPr>
        <w:t xml:space="preserve">), avaliando quatro domínios de confronto: (a) confronto ativo: </w:t>
      </w:r>
      <w:r w:rsidRPr="00BD4653">
        <w:t xml:space="preserve"> </w:t>
      </w:r>
      <w:r w:rsidRPr="00BD4653">
        <w:rPr>
          <w:lang w:eastAsia="pt-PT"/>
        </w:rPr>
        <w:t xml:space="preserve">ações diretas assumidas pela pessoa para resolver o problema em causa </w:t>
      </w:r>
      <w:r w:rsidRPr="00BD4653">
        <w:t>(4 itens; α neste estudo = .78)</w:t>
      </w:r>
      <w:r w:rsidRPr="00BD4653">
        <w:rPr>
          <w:lang w:eastAsia="pt-PT"/>
        </w:rPr>
        <w:t xml:space="preserve">; (b) humor: utilização de brincadeiras ou anedotas destinadas a retirar a carga negativa do problema </w:t>
      </w:r>
      <w:r w:rsidRPr="00BD4653">
        <w:t>(4 itens; α neste estudo = .94)</w:t>
      </w:r>
      <w:r w:rsidRPr="00BD4653">
        <w:rPr>
          <w:lang w:eastAsia="pt-PT"/>
        </w:rPr>
        <w:t xml:space="preserve">; (c) negação: utilização de pensamentos destinados a recusar a ocorrência do problema ou das suas potenciais consequências negativas </w:t>
      </w:r>
      <w:r w:rsidRPr="00BD4653">
        <w:t>(4 itens; α neste estudo = .82)</w:t>
      </w:r>
      <w:r w:rsidRPr="00BD4653">
        <w:rPr>
          <w:lang w:eastAsia="pt-PT"/>
        </w:rPr>
        <w:t xml:space="preserve">; e (d) apoio emocional: falar e partilhar o problema com outras pessoas no sentido de obter ajuda emocional </w:t>
      </w:r>
      <w:r w:rsidRPr="00BD4653">
        <w:t>(4 itens; α neste estudo = .93)</w:t>
      </w:r>
      <w:r w:rsidRPr="00BD4653">
        <w:rPr>
          <w:lang w:eastAsia="pt-PT"/>
        </w:rPr>
        <w:t xml:space="preserve">. </w:t>
      </w:r>
      <w:r w:rsidRPr="00BD4653">
        <w:t>O instrumento proposto mostrou boas propriedades psicométricas neste estudo,</w:t>
      </w:r>
      <w:r w:rsidRPr="00BD4653">
        <w:rPr>
          <w:i/>
          <w:iCs/>
          <w:lang w:eastAsia="pt-PT"/>
        </w:rPr>
        <w:t xml:space="preserve"> </w:t>
      </w:r>
      <w:r w:rsidRPr="00BD4653">
        <w:rPr>
          <w:i/>
          <w:iCs/>
        </w:rPr>
        <w:t>χ</w:t>
      </w:r>
      <w:r w:rsidRPr="00BD4653">
        <w:rPr>
          <w:i/>
          <w:iCs/>
          <w:vertAlign w:val="superscript"/>
        </w:rPr>
        <w:t>2</w:t>
      </w:r>
      <w:r w:rsidRPr="00BD4653">
        <w:t xml:space="preserve"> (96) = 252.998, </w:t>
      </w:r>
      <w:r w:rsidRPr="00BD4653">
        <w:rPr>
          <w:i/>
          <w:iCs/>
        </w:rPr>
        <w:t>χ</w:t>
      </w:r>
      <w:r w:rsidRPr="00BD4653">
        <w:rPr>
          <w:i/>
          <w:iCs/>
          <w:vertAlign w:val="superscript"/>
        </w:rPr>
        <w:t>2</w:t>
      </w:r>
      <w:r w:rsidRPr="00BD4653">
        <w:t xml:space="preserve"> /</w:t>
      </w:r>
      <w:proofErr w:type="spellStart"/>
      <w:r w:rsidRPr="00BD4653">
        <w:t>df</w:t>
      </w:r>
      <w:proofErr w:type="spellEnd"/>
      <w:r w:rsidRPr="00BD4653">
        <w:t xml:space="preserve"> = 2.635, </w:t>
      </w:r>
      <w:r w:rsidRPr="00BD4653">
        <w:rPr>
          <w:i/>
          <w:iCs/>
        </w:rPr>
        <w:t>p</w:t>
      </w:r>
      <w:r w:rsidRPr="00BD4653">
        <w:t xml:space="preserve"> = .000; RMSEA = .054, 90% C.I. [.046; .062], </w:t>
      </w:r>
      <w:r w:rsidRPr="00BD4653">
        <w:rPr>
          <w:i/>
          <w:iCs/>
        </w:rPr>
        <w:t>p</w:t>
      </w:r>
      <w:r w:rsidRPr="00BD4653">
        <w:t xml:space="preserve"> = .186; SRMR = .0425; CFI = .974; PCFI = .779; TLI = .967.</w:t>
      </w:r>
      <w:bookmarkStart w:id="11" w:name="_Toc105202001"/>
      <w:bookmarkStart w:id="12" w:name="_Toc105365196"/>
    </w:p>
    <w:p w14:paraId="4AA9636A" w14:textId="77777777" w:rsidR="008B1738" w:rsidRPr="00A914D7" w:rsidRDefault="008B1738" w:rsidP="00147C5D">
      <w:pPr>
        <w:pStyle w:val="Ttulo3"/>
        <w:spacing w:before="0" w:line="360" w:lineRule="auto"/>
        <w:rPr>
          <w:rStyle w:val="eop"/>
          <w:rFonts w:ascii="Times New Roman" w:hAnsi="Times New Roman" w:cs="Times New Roman"/>
          <w:color w:val="auto"/>
        </w:rPr>
      </w:pPr>
      <w:r w:rsidRPr="00A914D7">
        <w:rPr>
          <w:rStyle w:val="Ttulo3Carter"/>
          <w:rFonts w:ascii="Times New Roman" w:hAnsi="Times New Roman" w:cs="Times New Roman"/>
          <w:b/>
          <w:bCs/>
          <w:i/>
          <w:iCs/>
          <w:color w:val="auto"/>
        </w:rPr>
        <w:t xml:space="preserve">Medida de Burnout de </w:t>
      </w:r>
      <w:proofErr w:type="spellStart"/>
      <w:r w:rsidRPr="00A914D7">
        <w:rPr>
          <w:rStyle w:val="Ttulo3Carter"/>
          <w:rFonts w:ascii="Times New Roman" w:hAnsi="Times New Roman" w:cs="Times New Roman"/>
          <w:b/>
          <w:bCs/>
          <w:i/>
          <w:iCs/>
          <w:color w:val="auto"/>
        </w:rPr>
        <w:t>Shirom-Melamed</w:t>
      </w:r>
      <w:bookmarkEnd w:id="11"/>
      <w:bookmarkEnd w:id="12"/>
      <w:proofErr w:type="spellEnd"/>
      <w:r w:rsidRPr="00A914D7">
        <w:rPr>
          <w:rStyle w:val="normaltextrun"/>
          <w:rFonts w:ascii="Times New Roman" w:hAnsi="Times New Roman" w:cs="Times New Roman"/>
          <w:b/>
          <w:bCs/>
          <w:i/>
          <w:iCs/>
          <w:color w:val="auto"/>
        </w:rPr>
        <w:t xml:space="preserve"> </w:t>
      </w:r>
      <w:r w:rsidRPr="00A914D7">
        <w:rPr>
          <w:rStyle w:val="normaltextrun"/>
          <w:rFonts w:ascii="Times New Roman" w:hAnsi="Times New Roman" w:cs="Times New Roman"/>
          <w:iCs/>
          <w:color w:val="auto"/>
        </w:rPr>
        <w:t>(MBSM</w:t>
      </w:r>
      <w:r w:rsidRPr="00A914D7">
        <w:rPr>
          <w:rStyle w:val="normaltextrun"/>
          <w:rFonts w:ascii="Times New Roman" w:hAnsi="Times New Roman" w:cs="Times New Roman"/>
          <w:color w:val="auto"/>
        </w:rPr>
        <w:t xml:space="preserve">; </w:t>
      </w:r>
      <w:proofErr w:type="spellStart"/>
      <w:r w:rsidRPr="00A914D7">
        <w:rPr>
          <w:rStyle w:val="spellingerror"/>
          <w:rFonts w:ascii="Times New Roman" w:hAnsi="Times New Roman" w:cs="Times New Roman"/>
          <w:color w:val="auto"/>
        </w:rPr>
        <w:t>Shirom</w:t>
      </w:r>
      <w:proofErr w:type="spellEnd"/>
      <w:r w:rsidRPr="00A914D7">
        <w:rPr>
          <w:rStyle w:val="normaltextrun"/>
          <w:rFonts w:ascii="Times New Roman" w:hAnsi="Times New Roman" w:cs="Times New Roman"/>
          <w:color w:val="auto"/>
        </w:rPr>
        <w:t xml:space="preserve"> &amp; </w:t>
      </w:r>
      <w:proofErr w:type="spellStart"/>
      <w:r w:rsidRPr="00A914D7">
        <w:rPr>
          <w:rStyle w:val="spellingerror"/>
          <w:rFonts w:ascii="Times New Roman" w:hAnsi="Times New Roman" w:cs="Times New Roman"/>
          <w:color w:val="auto"/>
        </w:rPr>
        <w:t>Melamed</w:t>
      </w:r>
      <w:proofErr w:type="spellEnd"/>
      <w:r w:rsidRPr="00A914D7">
        <w:rPr>
          <w:rStyle w:val="normaltextrun"/>
          <w:rFonts w:ascii="Times New Roman" w:hAnsi="Times New Roman" w:cs="Times New Roman"/>
          <w:color w:val="auto"/>
        </w:rPr>
        <w:t xml:space="preserve">, 2006; </w:t>
      </w:r>
      <w:proofErr w:type="gramStart"/>
      <w:r w:rsidRPr="00A914D7">
        <w:rPr>
          <w:rStyle w:val="normaltextrun"/>
          <w:rFonts w:ascii="Times New Roman" w:hAnsi="Times New Roman" w:cs="Times New Roman"/>
          <w:color w:val="auto"/>
        </w:rPr>
        <w:t>Adaptado</w:t>
      </w:r>
      <w:proofErr w:type="gramEnd"/>
      <w:r w:rsidRPr="00A914D7">
        <w:rPr>
          <w:rStyle w:val="normaltextrun"/>
          <w:rFonts w:ascii="Times New Roman" w:hAnsi="Times New Roman" w:cs="Times New Roman"/>
          <w:color w:val="auto"/>
        </w:rPr>
        <w:t xml:space="preserve"> por </w:t>
      </w:r>
      <w:proofErr w:type="spellStart"/>
      <w:r w:rsidRPr="00A914D7">
        <w:rPr>
          <w:rStyle w:val="spellingerror"/>
          <w:rFonts w:ascii="Times New Roman" w:hAnsi="Times New Roman" w:cs="Times New Roman"/>
          <w:color w:val="auto"/>
        </w:rPr>
        <w:t>Simães</w:t>
      </w:r>
      <w:proofErr w:type="spellEnd"/>
      <w:r w:rsidRPr="00A914D7">
        <w:rPr>
          <w:rStyle w:val="normaltextrun"/>
          <w:rFonts w:ascii="Times New Roman" w:hAnsi="Times New Roman" w:cs="Times New Roman"/>
          <w:color w:val="auto"/>
        </w:rPr>
        <w:t xml:space="preserve"> </w:t>
      </w:r>
      <w:proofErr w:type="spellStart"/>
      <w:r w:rsidRPr="00A914D7">
        <w:rPr>
          <w:rStyle w:val="spellingerror"/>
          <w:rFonts w:ascii="Times New Roman" w:hAnsi="Times New Roman" w:cs="Times New Roman"/>
          <w:color w:val="auto"/>
        </w:rPr>
        <w:t>et</w:t>
      </w:r>
      <w:proofErr w:type="spellEnd"/>
      <w:r w:rsidRPr="00A914D7">
        <w:rPr>
          <w:rStyle w:val="normaltextrun"/>
          <w:rFonts w:ascii="Times New Roman" w:hAnsi="Times New Roman" w:cs="Times New Roman"/>
          <w:color w:val="auto"/>
        </w:rPr>
        <w:t xml:space="preserve"> al., 2021)</w:t>
      </w:r>
    </w:p>
    <w:p w14:paraId="5F57C015" w14:textId="77777777" w:rsidR="008B1738" w:rsidRPr="00BD4653" w:rsidRDefault="008B1738" w:rsidP="00147C5D">
      <w:pPr>
        <w:pStyle w:val="paragraph"/>
        <w:spacing w:before="0" w:beforeAutospacing="0" w:after="0" w:afterAutospacing="0" w:line="360" w:lineRule="auto"/>
        <w:ind w:firstLine="567"/>
        <w:textAlignment w:val="baseline"/>
      </w:pPr>
      <w:r w:rsidRPr="00BD4653">
        <w:rPr>
          <w:rStyle w:val="normaltextrun"/>
        </w:rPr>
        <w:t>Este questionário destina-se a avaliar os níveis de</w:t>
      </w:r>
      <w:r w:rsidRPr="00BD4653">
        <w:rPr>
          <w:rStyle w:val="normaltextrun"/>
          <w:i/>
          <w:iCs/>
        </w:rPr>
        <w:t xml:space="preserve"> </w:t>
      </w:r>
      <w:r w:rsidRPr="00BD4653">
        <w:rPr>
          <w:rStyle w:val="spellingerror"/>
          <w:i/>
          <w:iCs/>
        </w:rPr>
        <w:t>burnout</w:t>
      </w:r>
      <w:r w:rsidRPr="00BD4653">
        <w:rPr>
          <w:rStyle w:val="normaltextrun"/>
        </w:rPr>
        <w:t xml:space="preserve"> no contexto académico sendo composto por 14 itens respondidos numa escala tipo </w:t>
      </w:r>
      <w:proofErr w:type="spellStart"/>
      <w:r w:rsidRPr="00BD4653">
        <w:rPr>
          <w:rStyle w:val="spellingerror"/>
          <w:i/>
          <w:iCs/>
        </w:rPr>
        <w:t>Likert</w:t>
      </w:r>
      <w:proofErr w:type="spellEnd"/>
      <w:r w:rsidRPr="00BD4653">
        <w:rPr>
          <w:rStyle w:val="normaltextrun"/>
        </w:rPr>
        <w:t xml:space="preserve"> de sete pontos, 1 (</w:t>
      </w:r>
      <w:r w:rsidRPr="00BD4653">
        <w:rPr>
          <w:rStyle w:val="normaltextrun"/>
          <w:i/>
          <w:iCs/>
        </w:rPr>
        <w:t>Nunca ou quase nunca</w:t>
      </w:r>
      <w:r w:rsidRPr="00BD4653">
        <w:rPr>
          <w:rStyle w:val="normaltextrun"/>
        </w:rPr>
        <w:t>) a 7 (</w:t>
      </w:r>
      <w:r w:rsidRPr="00BD4653">
        <w:rPr>
          <w:rStyle w:val="normaltextrun"/>
          <w:i/>
          <w:iCs/>
        </w:rPr>
        <w:t>Sempre ou quase sempre</w:t>
      </w:r>
      <w:r w:rsidRPr="00BD4653">
        <w:rPr>
          <w:rStyle w:val="normaltextrun"/>
        </w:rPr>
        <w:t xml:space="preserve">). Os itens são divididos por três subescalas: (a) fadiga física: sentimentos de cansaço físico face ao trabalho, traduzindo-se por uma diminuição da energia física </w:t>
      </w:r>
      <w:r w:rsidRPr="00BD4653">
        <w:t>(6 itens; α neste estudo = .94)</w:t>
      </w:r>
      <w:r w:rsidRPr="00BD4653">
        <w:rPr>
          <w:rStyle w:val="normaltextrun"/>
        </w:rPr>
        <w:t>; (</w:t>
      </w:r>
      <w:r w:rsidRPr="00BD4653">
        <w:rPr>
          <w:rStyle w:val="spellingerror"/>
        </w:rPr>
        <w:t>b</w:t>
      </w:r>
      <w:r w:rsidRPr="00BD4653">
        <w:rPr>
          <w:rStyle w:val="normaltextrun"/>
        </w:rPr>
        <w:t xml:space="preserve">) fadiga cognitiva: sentimentos de desgaste cognitivo face ao trabalho, traduzindo-se por uma diminuição da capacidade de pensamento e concentração </w:t>
      </w:r>
      <w:r w:rsidRPr="00BD4653">
        <w:t>(5 itens; α neste estudo = .93)</w:t>
      </w:r>
      <w:r w:rsidRPr="00BD4653">
        <w:rPr>
          <w:rStyle w:val="normaltextrun"/>
        </w:rPr>
        <w:t xml:space="preserve"> e (</w:t>
      </w:r>
      <w:r w:rsidRPr="00BD4653">
        <w:rPr>
          <w:rStyle w:val="spellingerror"/>
        </w:rPr>
        <w:t>c</w:t>
      </w:r>
      <w:r w:rsidRPr="00BD4653">
        <w:rPr>
          <w:rStyle w:val="normaltextrun"/>
        </w:rPr>
        <w:t xml:space="preserve">) exaustão emocional: sentimentos de cansaço emocional face ao relacionamento com os outros traduzindo-se pela diminuição da cordialidade e sensibilidade face às necessidades das outras pessoas </w:t>
      </w:r>
      <w:r w:rsidRPr="00BD4653">
        <w:t>(3 itens; α neste estudo = .85)</w:t>
      </w:r>
      <w:r w:rsidRPr="00BD4653">
        <w:rPr>
          <w:rStyle w:val="normaltextrun"/>
        </w:rPr>
        <w:t xml:space="preserve">. </w:t>
      </w:r>
      <w:r w:rsidRPr="00BD4653">
        <w:t xml:space="preserve">Este instrumento apresentou boas propriedades psicométricas neste estudo, </w:t>
      </w:r>
      <w:r w:rsidRPr="00BD4653">
        <w:rPr>
          <w:i/>
          <w:iCs/>
        </w:rPr>
        <w:t>χ</w:t>
      </w:r>
      <w:r w:rsidRPr="00BD4653">
        <w:rPr>
          <w:i/>
          <w:iCs/>
          <w:vertAlign w:val="superscript"/>
        </w:rPr>
        <w:t>2</w:t>
      </w:r>
      <w:r w:rsidRPr="00BD4653">
        <w:rPr>
          <w:i/>
          <w:iCs/>
        </w:rPr>
        <w:t xml:space="preserve"> </w:t>
      </w:r>
      <w:r w:rsidRPr="00BD4653">
        <w:t xml:space="preserve">(70) = 162.39, </w:t>
      </w:r>
      <w:r w:rsidRPr="00BD4653">
        <w:rPr>
          <w:i/>
          <w:iCs/>
        </w:rPr>
        <w:t>χ</w:t>
      </w:r>
      <w:r w:rsidRPr="00BD4653">
        <w:rPr>
          <w:i/>
          <w:iCs/>
          <w:vertAlign w:val="superscript"/>
        </w:rPr>
        <w:t>2</w:t>
      </w:r>
      <w:r w:rsidRPr="00BD4653">
        <w:t xml:space="preserve"> /</w:t>
      </w:r>
      <w:proofErr w:type="spellStart"/>
      <w:r w:rsidRPr="00BD4653">
        <w:t>df</w:t>
      </w:r>
      <w:proofErr w:type="spellEnd"/>
      <w:r w:rsidRPr="00BD4653">
        <w:t xml:space="preserve"> = 2.320, </w:t>
      </w:r>
      <w:r w:rsidRPr="00BD4653">
        <w:rPr>
          <w:i/>
          <w:iCs/>
        </w:rPr>
        <w:t>p</w:t>
      </w:r>
      <w:r w:rsidRPr="00BD4653">
        <w:t xml:space="preserve"> =.000; RMSEA = .049, 90% C.I. [.039; .059], </w:t>
      </w:r>
      <w:r w:rsidRPr="00BD4653">
        <w:rPr>
          <w:i/>
          <w:iCs/>
        </w:rPr>
        <w:t xml:space="preserve">p </w:t>
      </w:r>
      <w:r w:rsidRPr="00BD4653">
        <w:t>= .567; SRMR = .0385; CFI = .986; PCFI = .758; TLI = .982.</w:t>
      </w:r>
    </w:p>
    <w:p w14:paraId="250167BB" w14:textId="77777777" w:rsidR="00086478" w:rsidRPr="00BD4653" w:rsidRDefault="00086478" w:rsidP="00147C5D">
      <w:pPr>
        <w:spacing w:line="360" w:lineRule="auto"/>
        <w:ind w:firstLine="567"/>
      </w:pPr>
    </w:p>
    <w:p w14:paraId="02632FA3" w14:textId="77777777" w:rsidR="008B1738" w:rsidRPr="00BD4653" w:rsidRDefault="008B1738" w:rsidP="00BD1CC4">
      <w:pPr>
        <w:pStyle w:val="Ttulo2"/>
        <w:spacing w:before="0" w:line="360" w:lineRule="auto"/>
        <w:jc w:val="both"/>
        <w:rPr>
          <w:rFonts w:ascii="Times New Roman" w:hAnsi="Times New Roman" w:cs="Times New Roman"/>
          <w:b/>
          <w:bCs/>
          <w:i/>
          <w:iCs/>
          <w:color w:val="auto"/>
          <w:sz w:val="24"/>
          <w:szCs w:val="24"/>
        </w:rPr>
      </w:pPr>
      <w:bookmarkStart w:id="13" w:name="_Toc105202002"/>
      <w:bookmarkStart w:id="14" w:name="_Toc105365197"/>
      <w:r w:rsidRPr="00BD4653">
        <w:rPr>
          <w:rStyle w:val="normaltextrun"/>
          <w:rFonts w:ascii="Times New Roman" w:hAnsi="Times New Roman" w:cs="Times New Roman"/>
          <w:b/>
          <w:bCs/>
          <w:i/>
          <w:iCs/>
          <w:color w:val="auto"/>
          <w:sz w:val="24"/>
          <w:szCs w:val="24"/>
        </w:rPr>
        <w:lastRenderedPageBreak/>
        <w:t>Procedimento</w:t>
      </w:r>
      <w:bookmarkEnd w:id="13"/>
      <w:bookmarkEnd w:id="14"/>
      <w:r w:rsidRPr="00BD4653">
        <w:rPr>
          <w:rStyle w:val="eop"/>
          <w:rFonts w:ascii="Times New Roman" w:hAnsi="Times New Roman" w:cs="Times New Roman"/>
          <w:b/>
          <w:bCs/>
          <w:i/>
          <w:iCs/>
          <w:color w:val="auto"/>
          <w:sz w:val="24"/>
          <w:szCs w:val="24"/>
        </w:rPr>
        <w:t> </w:t>
      </w:r>
    </w:p>
    <w:p w14:paraId="32274107" w14:textId="3382418D" w:rsidR="008B1738" w:rsidRDefault="008B1738" w:rsidP="0062051F">
      <w:pPr>
        <w:pStyle w:val="paragraph"/>
        <w:spacing w:before="0" w:beforeAutospacing="0" w:after="0" w:afterAutospacing="0" w:line="360" w:lineRule="auto"/>
        <w:ind w:firstLine="567"/>
        <w:textAlignment w:val="baseline"/>
        <w:rPr>
          <w:rStyle w:val="normaltextrun"/>
        </w:rPr>
      </w:pPr>
      <w:r w:rsidRPr="00BD4653">
        <w:rPr>
          <w:rStyle w:val="eop"/>
        </w:rPr>
        <w:t xml:space="preserve">Esta investigação iniciou com o </w:t>
      </w:r>
      <w:r w:rsidRPr="00BD4653">
        <w:rPr>
          <w:rStyle w:val="normaltextrun"/>
        </w:rPr>
        <w:t>pedido de aprovação à Comissão de Ética para a investigação em Ciências Sociais e Humanas da Universidade do Minho. Após a resposta favorável por parte da comissão (CEICSH 034/2019; ver Anexo), demos início à execução do plano de trabalhos. A primeira etapa consistiu na introdução dos instrumentos numa plataforma eletrónica (</w:t>
      </w:r>
      <w:r w:rsidRPr="00BD4653">
        <w:rPr>
          <w:rStyle w:val="spellingerror"/>
          <w:i/>
          <w:iCs/>
        </w:rPr>
        <w:t>Qualtrics</w:t>
      </w:r>
      <w:r w:rsidRPr="00BD4653">
        <w:rPr>
          <w:rStyle w:val="spellingerror"/>
        </w:rPr>
        <w:t>) que permitiu gerar uma ligação</w:t>
      </w:r>
      <w:r w:rsidRPr="00BD4653">
        <w:rPr>
          <w:rStyle w:val="spellingerror"/>
          <w:i/>
        </w:rPr>
        <w:t xml:space="preserve"> online</w:t>
      </w:r>
      <w:r w:rsidRPr="00BD4653">
        <w:rPr>
          <w:rStyle w:val="spellingerror"/>
        </w:rPr>
        <w:t xml:space="preserve"> para o preenchimento do protocolo de avaliação pelos participantes</w:t>
      </w:r>
      <w:r w:rsidRPr="00BD4653">
        <w:rPr>
          <w:rStyle w:val="normaltextrun"/>
        </w:rPr>
        <w:t>. A recolha de dados foi efetuada a meio do primeiro semestre do ano letivo 2021/22. Os estudantes, ao acederem à plataforma eletrónica, tinham informação acerca dos objetivos e caráter voluntário e anónimo da participação neste estudo, bem como o consentimento informado para os que decidiram integrar esta investigação.</w:t>
      </w:r>
    </w:p>
    <w:p w14:paraId="27198901" w14:textId="77777777" w:rsidR="00A914D7" w:rsidRPr="00BD4653" w:rsidRDefault="00A914D7" w:rsidP="00BD1CC4">
      <w:pPr>
        <w:pStyle w:val="paragraph"/>
        <w:spacing w:before="0" w:beforeAutospacing="0" w:after="0" w:afterAutospacing="0" w:line="360" w:lineRule="auto"/>
        <w:ind w:firstLine="709"/>
        <w:textAlignment w:val="baseline"/>
        <w:rPr>
          <w:rStyle w:val="normaltextrun"/>
        </w:rPr>
      </w:pPr>
    </w:p>
    <w:p w14:paraId="4BBC2DF7" w14:textId="77777777" w:rsidR="008B1738" w:rsidRPr="00BD4653" w:rsidRDefault="008B1738" w:rsidP="00BD1CC4">
      <w:pPr>
        <w:pStyle w:val="Ttulo1"/>
        <w:spacing w:before="0"/>
        <w:rPr>
          <w:rFonts w:cs="Times New Roman"/>
          <w:b w:val="0"/>
          <w:bCs/>
          <w:szCs w:val="24"/>
        </w:rPr>
      </w:pPr>
      <w:bookmarkStart w:id="15" w:name="_Toc105202003"/>
      <w:bookmarkStart w:id="16" w:name="_Toc105365198"/>
      <w:r w:rsidRPr="00BD4653">
        <w:rPr>
          <w:rStyle w:val="normaltextrun"/>
          <w:rFonts w:cs="Times New Roman"/>
          <w:bCs/>
          <w:szCs w:val="24"/>
        </w:rPr>
        <w:t>Resultados</w:t>
      </w:r>
      <w:bookmarkEnd w:id="15"/>
      <w:bookmarkEnd w:id="16"/>
    </w:p>
    <w:p w14:paraId="0D3C4376" w14:textId="77777777" w:rsidR="008B1738" w:rsidRPr="00BD4653" w:rsidRDefault="008B1738" w:rsidP="00BD1CC4">
      <w:pPr>
        <w:pStyle w:val="Ttulo2"/>
        <w:spacing w:before="0" w:line="360" w:lineRule="auto"/>
        <w:rPr>
          <w:rFonts w:ascii="Times New Roman" w:hAnsi="Times New Roman" w:cs="Times New Roman"/>
          <w:b/>
          <w:bCs/>
          <w:i/>
          <w:iCs/>
          <w:color w:val="auto"/>
          <w:sz w:val="24"/>
          <w:szCs w:val="24"/>
        </w:rPr>
      </w:pPr>
      <w:bookmarkStart w:id="17" w:name="_Toc105202004"/>
      <w:bookmarkStart w:id="18" w:name="_Toc105365199"/>
      <w:r w:rsidRPr="00BD4653">
        <w:rPr>
          <w:rFonts w:ascii="Times New Roman" w:hAnsi="Times New Roman" w:cs="Times New Roman"/>
          <w:b/>
          <w:bCs/>
          <w:i/>
          <w:iCs/>
          <w:color w:val="auto"/>
          <w:sz w:val="24"/>
          <w:szCs w:val="24"/>
        </w:rPr>
        <w:t>Procedimento de Análise de Dados</w:t>
      </w:r>
      <w:bookmarkEnd w:id="17"/>
      <w:bookmarkEnd w:id="18"/>
      <w:r w:rsidRPr="00BD4653">
        <w:rPr>
          <w:rFonts w:ascii="Times New Roman" w:hAnsi="Times New Roman" w:cs="Times New Roman"/>
          <w:b/>
          <w:bCs/>
          <w:i/>
          <w:iCs/>
          <w:color w:val="auto"/>
          <w:sz w:val="24"/>
          <w:szCs w:val="24"/>
        </w:rPr>
        <w:t> </w:t>
      </w:r>
    </w:p>
    <w:p w14:paraId="56A254B3" w14:textId="40DB848A" w:rsidR="008B1738" w:rsidRPr="0062051F" w:rsidRDefault="008B1738" w:rsidP="0062051F">
      <w:pPr>
        <w:spacing w:line="360" w:lineRule="auto"/>
        <w:ind w:firstLine="709"/>
        <w:textAlignment w:val="baseline"/>
        <w:rPr>
          <w:i/>
          <w:iCs/>
          <w:lang w:eastAsia="pt-PT" w:bidi="he-IL"/>
        </w:rPr>
      </w:pPr>
      <w:r w:rsidRPr="00BD4653">
        <w:rPr>
          <w:lang w:eastAsia="pt-PT" w:bidi="he-IL"/>
        </w:rPr>
        <w:t xml:space="preserve">A análise dos dados foi efetuada recorrendo aos </w:t>
      </w:r>
      <w:r w:rsidRPr="00BD4653">
        <w:rPr>
          <w:i/>
          <w:iCs/>
          <w:lang w:eastAsia="pt-PT" w:bidi="he-IL"/>
        </w:rPr>
        <w:t>softwares</w:t>
      </w:r>
      <w:r w:rsidRPr="00BD4653">
        <w:rPr>
          <w:lang w:eastAsia="pt-PT" w:bidi="he-IL"/>
        </w:rPr>
        <w:t xml:space="preserve"> </w:t>
      </w:r>
      <w:r w:rsidRPr="00BD4653">
        <w:rPr>
          <w:i/>
          <w:iCs/>
          <w:lang w:eastAsia="pt-PT" w:bidi="he-IL"/>
        </w:rPr>
        <w:t xml:space="preserve">IBM® SPSS® </w:t>
      </w:r>
      <w:r w:rsidRPr="00A914D7">
        <w:rPr>
          <w:iCs/>
          <w:lang w:eastAsia="pt-PT" w:bidi="he-IL"/>
        </w:rPr>
        <w:t xml:space="preserve">(versão 28.0), </w:t>
      </w:r>
      <w:r w:rsidRPr="00BD4653">
        <w:rPr>
          <w:i/>
          <w:iCs/>
          <w:lang w:eastAsia="pt-PT" w:bidi="he-IL"/>
        </w:rPr>
        <w:t xml:space="preserve">AMOS </w:t>
      </w:r>
      <w:r w:rsidRPr="00A914D7">
        <w:rPr>
          <w:iCs/>
          <w:lang w:eastAsia="pt-PT" w:bidi="he-IL"/>
        </w:rPr>
        <w:t>(versão 28.0)</w:t>
      </w:r>
      <w:r w:rsidRPr="00BD4653">
        <w:rPr>
          <w:i/>
          <w:iCs/>
          <w:lang w:eastAsia="pt-PT" w:bidi="he-IL"/>
        </w:rPr>
        <w:t xml:space="preserve"> e G*</w:t>
      </w:r>
      <w:proofErr w:type="spellStart"/>
      <w:r w:rsidRPr="00BD4653">
        <w:rPr>
          <w:i/>
          <w:iCs/>
          <w:lang w:eastAsia="pt-PT" w:bidi="he-IL"/>
        </w:rPr>
        <w:t>Power</w:t>
      </w:r>
      <w:proofErr w:type="spellEnd"/>
      <w:r w:rsidRPr="00BD4653">
        <w:rPr>
          <w:i/>
          <w:iCs/>
          <w:lang w:eastAsia="pt-PT" w:bidi="he-IL"/>
        </w:rPr>
        <w:t>.</w:t>
      </w:r>
      <w:r w:rsidR="0062051F">
        <w:rPr>
          <w:i/>
          <w:iCs/>
          <w:lang w:eastAsia="pt-PT" w:bidi="he-IL"/>
        </w:rPr>
        <w:t xml:space="preserve"> </w:t>
      </w:r>
      <w:r w:rsidRPr="00BD4653">
        <w:rPr>
          <w:rStyle w:val="normaltextrun"/>
        </w:rPr>
        <w:t xml:space="preserve">Começando pelo cálculo do tamanho da amostra necessária para estudo, foi usado o software </w:t>
      </w:r>
      <w:r w:rsidRPr="00BD4653">
        <w:rPr>
          <w:rStyle w:val="normaltextrun"/>
          <w:i/>
          <w:iCs/>
        </w:rPr>
        <w:t>G*</w:t>
      </w:r>
      <w:proofErr w:type="spellStart"/>
      <w:r w:rsidRPr="00BD4653">
        <w:rPr>
          <w:rStyle w:val="normaltextrun"/>
          <w:i/>
          <w:iCs/>
        </w:rPr>
        <w:t>Power</w:t>
      </w:r>
      <w:proofErr w:type="spellEnd"/>
      <w:r w:rsidRPr="00BD4653">
        <w:rPr>
          <w:rStyle w:val="normaltextrun"/>
        </w:rPr>
        <w:t>, o qual revelou ser necessária uma amostra mínima de 190 participantes, dado um tamanho de efeito médio de .30, alfa de .05 e poder estatístico de .80. Recorde-se que participaram n</w:t>
      </w:r>
      <w:r w:rsidRPr="00BD4653">
        <w:t>este estudo 556 estudantes, dos quais nove foram removidos por atribuírem uma baixa importância à sua atividade de estudante, ou seja, apresentaram valores inferiores ou iguais a dois pontos na subescala da “importância” da EAC, seguindo-se as indicações de “ponto de corte” sugeridas na literatura (ver Gomes, 2008).</w:t>
      </w:r>
    </w:p>
    <w:p w14:paraId="67C24D5C" w14:textId="4C94E917" w:rsidR="008B1738" w:rsidRDefault="00A914D7" w:rsidP="00BD1CC4">
      <w:pPr>
        <w:spacing w:line="360" w:lineRule="auto"/>
        <w:ind w:firstLine="709"/>
        <w:textAlignment w:val="baseline"/>
        <w:rPr>
          <w:lang w:eastAsia="pt-PT" w:bidi="he-IL"/>
        </w:rPr>
      </w:pPr>
      <w:r>
        <w:rPr>
          <w:lang w:eastAsia="pt-PT" w:bidi="he-IL"/>
        </w:rPr>
        <w:t>Após estes procedimentos</w:t>
      </w:r>
      <w:r w:rsidR="008B1738" w:rsidRPr="00BD4653">
        <w:rPr>
          <w:lang w:eastAsia="pt-PT" w:bidi="he-IL"/>
        </w:rPr>
        <w:t xml:space="preserve">, efetuaram-se um conjunto de procedimentos de análise. Assim, com base na amostra de 547 participantes, efetuou-se uma análise </w:t>
      </w:r>
      <w:r w:rsidR="008B1738" w:rsidRPr="00BD4653">
        <w:rPr>
          <w:i/>
          <w:iCs/>
          <w:lang w:eastAsia="pt-PT" w:bidi="he-IL"/>
        </w:rPr>
        <w:t xml:space="preserve">clusters </w:t>
      </w:r>
      <w:r w:rsidR="008B1738" w:rsidRPr="00BD4653">
        <w:rPr>
          <w:iCs/>
          <w:lang w:eastAsia="pt-PT" w:bidi="he-IL"/>
        </w:rPr>
        <w:t xml:space="preserve">destinada a criar </w:t>
      </w:r>
      <w:r w:rsidR="008B1738" w:rsidRPr="00BD4653">
        <w:rPr>
          <w:lang w:eastAsia="pt-PT" w:bidi="he-IL"/>
        </w:rPr>
        <w:t xml:space="preserve">dois perfis distintos, ao nível da experiência de </w:t>
      </w:r>
      <w:r w:rsidR="008B1738" w:rsidRPr="00BD4653">
        <w:rPr>
          <w:i/>
          <w:lang w:eastAsia="pt-PT" w:bidi="he-IL"/>
        </w:rPr>
        <w:t>stress</w:t>
      </w:r>
      <w:r w:rsidR="008B1738" w:rsidRPr="00BD4653">
        <w:rPr>
          <w:lang w:eastAsia="pt-PT" w:bidi="he-IL"/>
        </w:rPr>
        <w:t xml:space="preserve"> (considerando todos os fatores de </w:t>
      </w:r>
      <w:r w:rsidR="008B1738" w:rsidRPr="00BD4653">
        <w:rPr>
          <w:i/>
          <w:lang w:eastAsia="pt-PT" w:bidi="he-IL"/>
        </w:rPr>
        <w:t>stress</w:t>
      </w:r>
      <w:r w:rsidR="008B1738" w:rsidRPr="00BD4653">
        <w:rPr>
          <w:lang w:eastAsia="pt-PT" w:bidi="he-IL"/>
        </w:rPr>
        <w:t xml:space="preserve"> avaliados pelo QSE) e da avaliação cognitiva (considerando os quatro fatores da EAC relativos à ameaça, desafio, confronto e controle). No caso do </w:t>
      </w:r>
      <w:r w:rsidR="008B1738" w:rsidRPr="00BD4653">
        <w:rPr>
          <w:i/>
          <w:iCs/>
          <w:lang w:eastAsia="pt-PT" w:bidi="he-IL"/>
        </w:rPr>
        <w:t xml:space="preserve">stress, </w:t>
      </w:r>
      <w:r w:rsidR="008B1738" w:rsidRPr="00BD4653">
        <w:rPr>
          <w:lang w:eastAsia="pt-PT" w:bidi="he-IL"/>
        </w:rPr>
        <w:t xml:space="preserve">foram constituídos dois grupos, designados por “nível inferior de </w:t>
      </w:r>
      <w:r w:rsidR="008B1738" w:rsidRPr="00BD4653">
        <w:rPr>
          <w:i/>
          <w:iCs/>
          <w:lang w:eastAsia="pt-PT" w:bidi="he-IL"/>
        </w:rPr>
        <w:t xml:space="preserve">stress” </w:t>
      </w:r>
      <w:r w:rsidR="008B1738" w:rsidRPr="00BD4653">
        <w:rPr>
          <w:lang w:eastAsia="pt-PT" w:bidi="he-IL"/>
        </w:rPr>
        <w:t>(</w:t>
      </w:r>
      <w:r w:rsidR="008B1738" w:rsidRPr="00BD4653">
        <w:rPr>
          <w:i/>
          <w:iCs/>
          <w:lang w:eastAsia="pt-PT" w:bidi="he-IL"/>
        </w:rPr>
        <w:t xml:space="preserve">n = </w:t>
      </w:r>
      <w:r w:rsidR="008B1738" w:rsidRPr="00BD4653">
        <w:rPr>
          <w:lang w:eastAsia="pt-PT" w:bidi="he-IL"/>
        </w:rPr>
        <w:t xml:space="preserve">237) e “nível superior de </w:t>
      </w:r>
      <w:r w:rsidR="008B1738" w:rsidRPr="00BD4653">
        <w:rPr>
          <w:i/>
          <w:iCs/>
          <w:lang w:eastAsia="pt-PT" w:bidi="he-IL"/>
        </w:rPr>
        <w:t>stress”</w:t>
      </w:r>
      <w:r w:rsidR="008B1738" w:rsidRPr="00BD4653">
        <w:rPr>
          <w:lang w:eastAsia="pt-PT" w:bidi="he-IL"/>
        </w:rPr>
        <w:t xml:space="preserve"> (</w:t>
      </w:r>
      <w:r w:rsidR="008B1738" w:rsidRPr="00BD4653">
        <w:rPr>
          <w:i/>
          <w:iCs/>
          <w:lang w:eastAsia="pt-PT" w:bidi="he-IL"/>
        </w:rPr>
        <w:t>n</w:t>
      </w:r>
      <w:r w:rsidR="008B1738" w:rsidRPr="00BD4653">
        <w:rPr>
          <w:lang w:eastAsia="pt-PT" w:bidi="he-IL"/>
        </w:rPr>
        <w:t xml:space="preserve"> = 310). No perfil de avaliação cognitiva, os grupos foram designados por “perfil moderadamente positivo” de avaliação da atividade de estudante (</w:t>
      </w:r>
      <w:r w:rsidR="008B1738" w:rsidRPr="00BD4653">
        <w:rPr>
          <w:i/>
          <w:iCs/>
          <w:lang w:eastAsia="pt-PT" w:bidi="he-IL"/>
        </w:rPr>
        <w:t>n</w:t>
      </w:r>
      <w:r w:rsidR="008B1738" w:rsidRPr="00BD4653">
        <w:rPr>
          <w:lang w:eastAsia="pt-PT" w:bidi="he-IL"/>
        </w:rPr>
        <w:t xml:space="preserve"> = 253) e por “perfil muito positivo” de avaliação da atividade de estudante (</w:t>
      </w:r>
      <w:r w:rsidR="008B1738" w:rsidRPr="00BD4653">
        <w:rPr>
          <w:i/>
          <w:iCs/>
          <w:lang w:eastAsia="pt-PT" w:bidi="he-IL"/>
        </w:rPr>
        <w:t>n</w:t>
      </w:r>
      <w:r w:rsidR="008B1738" w:rsidRPr="00BD4653">
        <w:rPr>
          <w:lang w:eastAsia="pt-PT" w:bidi="he-IL"/>
        </w:rPr>
        <w:t xml:space="preserve"> = 294). De modo a perceber se as variáveis “curso”, “ano”, “tipo de instituição” e “sexo” possuíam uma distribuição semelhante nos perfis de </w:t>
      </w:r>
      <w:r w:rsidR="008B1738" w:rsidRPr="00BD4653">
        <w:rPr>
          <w:i/>
          <w:iCs/>
          <w:lang w:eastAsia="pt-PT" w:bidi="he-IL"/>
        </w:rPr>
        <w:t>stress</w:t>
      </w:r>
      <w:r w:rsidR="008B1738" w:rsidRPr="00BD4653">
        <w:rPr>
          <w:lang w:eastAsia="pt-PT" w:bidi="he-IL"/>
        </w:rPr>
        <w:t xml:space="preserve"> e de avaliação cognitiva, foi realizado o teste de qui-quadrado. O </w:t>
      </w:r>
      <w:r w:rsidR="008B1738" w:rsidRPr="00BD4653">
        <w:rPr>
          <w:lang w:eastAsia="pt-PT" w:bidi="he-IL"/>
        </w:rPr>
        <w:lastRenderedPageBreak/>
        <w:t xml:space="preserve">resultado deste teste revelou diferenças apenas </w:t>
      </w:r>
      <w:proofErr w:type="gramStart"/>
      <w:r w:rsidR="008B1738" w:rsidRPr="00BD4653">
        <w:rPr>
          <w:lang w:eastAsia="pt-PT" w:bidi="he-IL"/>
        </w:rPr>
        <w:t>na variável sexo</w:t>
      </w:r>
      <w:proofErr w:type="gramEnd"/>
      <w:r w:rsidR="008B1738" w:rsidRPr="00BD4653">
        <w:rPr>
          <w:lang w:eastAsia="pt-PT" w:bidi="he-IL"/>
        </w:rPr>
        <w:t>, sendo diferente a proporção de homens e mulheres em cada perfil de</w:t>
      </w:r>
      <w:r w:rsidR="008B1738" w:rsidRPr="00BD4653">
        <w:rPr>
          <w:i/>
          <w:iCs/>
          <w:lang w:eastAsia="pt-PT" w:bidi="he-IL"/>
        </w:rPr>
        <w:t xml:space="preserve"> stress</w:t>
      </w:r>
      <w:r w:rsidR="008B1738" w:rsidRPr="00BD4653">
        <w:rPr>
          <w:lang w:eastAsia="pt-PT" w:bidi="he-IL"/>
        </w:rPr>
        <w:t xml:space="preserve">, existindo uma maior proporção de estudantes do sexo feminino no perfil de nível superior de </w:t>
      </w:r>
      <w:r w:rsidR="008B1738" w:rsidRPr="00BD4653">
        <w:rPr>
          <w:i/>
          <w:iCs/>
          <w:lang w:eastAsia="pt-PT" w:bidi="he-IL"/>
        </w:rPr>
        <w:t xml:space="preserve">stress </w:t>
      </w:r>
      <w:r w:rsidR="008B1738" w:rsidRPr="00BD4653">
        <w:rPr>
          <w:lang w:eastAsia="pt-PT" w:bidi="he-IL"/>
        </w:rPr>
        <w:t>e uma maior proporção de estudantes do sexo masculino no perfil de nível inferior de s</w:t>
      </w:r>
      <w:r w:rsidR="008B1738" w:rsidRPr="00BD4653">
        <w:rPr>
          <w:i/>
          <w:iCs/>
          <w:lang w:eastAsia="pt-PT" w:bidi="he-IL"/>
        </w:rPr>
        <w:t>tress</w:t>
      </w:r>
      <w:r w:rsidR="008B1738" w:rsidRPr="00BD4653">
        <w:rPr>
          <w:lang w:eastAsia="pt-PT" w:bidi="he-IL"/>
        </w:rPr>
        <w:t xml:space="preserve">, </w:t>
      </w:r>
      <w:r w:rsidR="008B1738" w:rsidRPr="00BD4653">
        <w:rPr>
          <w:rFonts w:eastAsia="NewsGotT"/>
          <w:lang w:eastAsia="pt-PT" w:bidi="he-IL"/>
        </w:rPr>
        <w:t>(</w:t>
      </w:r>
      <w:r w:rsidR="008B1738" w:rsidRPr="00BD4653">
        <w:rPr>
          <w:i/>
          <w:iCs/>
        </w:rPr>
        <w:t>χ</w:t>
      </w:r>
      <w:r w:rsidR="008B1738" w:rsidRPr="00BD4653">
        <w:rPr>
          <w:i/>
          <w:iCs/>
          <w:vertAlign w:val="superscript"/>
        </w:rPr>
        <w:t>2</w:t>
      </w:r>
      <w:r w:rsidR="008B1738" w:rsidRPr="00BD4653">
        <w:rPr>
          <w:rFonts w:eastAsia="NewsGotT"/>
          <w:lang w:eastAsia="pt-PT" w:bidi="he-IL"/>
        </w:rPr>
        <w:t xml:space="preserve"> (2) = 23.74, </w:t>
      </w:r>
      <w:r w:rsidR="008B1738" w:rsidRPr="00BD4653">
        <w:rPr>
          <w:rFonts w:eastAsia="NewsGotT"/>
          <w:i/>
          <w:iCs/>
          <w:lang w:eastAsia="pt-PT" w:bidi="he-IL"/>
        </w:rPr>
        <w:t>p</w:t>
      </w:r>
      <w:r w:rsidR="008B1738" w:rsidRPr="00BD4653">
        <w:rPr>
          <w:rFonts w:eastAsia="NewsGotT"/>
          <w:lang w:eastAsia="pt-PT" w:bidi="he-IL"/>
        </w:rPr>
        <w:t xml:space="preserve"> &lt;.001)</w:t>
      </w:r>
      <w:r w:rsidR="008B1738" w:rsidRPr="00BD4653">
        <w:rPr>
          <w:lang w:eastAsia="pt-PT" w:bidi="he-IL"/>
        </w:rPr>
        <w:t xml:space="preserve">. Posteriormente, esta variável foi controlada nas análises da MANCOVA fatorial. Nas restantes variáveis não foram encontradas diferenças estatisticamente significativas. De seguida, analisou-se se os perfis de </w:t>
      </w:r>
      <w:r w:rsidR="008B1738" w:rsidRPr="00BD4653">
        <w:rPr>
          <w:i/>
          <w:iCs/>
          <w:lang w:eastAsia="pt-PT" w:bidi="he-IL"/>
        </w:rPr>
        <w:t>stress</w:t>
      </w:r>
      <w:r w:rsidR="008B1738" w:rsidRPr="00BD4653">
        <w:rPr>
          <w:lang w:eastAsia="pt-PT" w:bidi="he-IL"/>
        </w:rPr>
        <w:t xml:space="preserve"> e de avaliação cognitiva diferenciavam os grupos nestas duas dimensões, realizando-se </w:t>
      </w:r>
      <w:proofErr w:type="spellStart"/>
      <w:r w:rsidR="008B1738" w:rsidRPr="00BD4653">
        <w:rPr>
          <w:i/>
          <w:iCs/>
          <w:lang w:eastAsia="pt-PT" w:bidi="he-IL"/>
        </w:rPr>
        <w:t>teste-t</w:t>
      </w:r>
      <w:proofErr w:type="spellEnd"/>
      <w:r w:rsidR="008B1738" w:rsidRPr="00BD4653">
        <w:rPr>
          <w:lang w:eastAsia="pt-PT" w:bidi="he-IL"/>
        </w:rPr>
        <w:t xml:space="preserve"> para amostras independentes. Por fim, para analisar as diferenças entre os dois perfis de</w:t>
      </w:r>
      <w:r w:rsidR="008B1738" w:rsidRPr="00BD4653">
        <w:rPr>
          <w:i/>
          <w:iCs/>
          <w:lang w:eastAsia="pt-PT" w:bidi="he-IL"/>
        </w:rPr>
        <w:t xml:space="preserve"> stress</w:t>
      </w:r>
      <w:r w:rsidR="008B1738" w:rsidRPr="00BD4653">
        <w:rPr>
          <w:lang w:eastAsia="pt-PT" w:bidi="he-IL"/>
        </w:rPr>
        <w:t xml:space="preserve"> e avaliação cognitiva, foi realizada uma MANCOVA fatorial onde os perfis de </w:t>
      </w:r>
      <w:r w:rsidR="008B1738" w:rsidRPr="00BD4653">
        <w:rPr>
          <w:i/>
          <w:iCs/>
          <w:lang w:eastAsia="pt-PT" w:bidi="he-IL"/>
        </w:rPr>
        <w:t>stress</w:t>
      </w:r>
      <w:r w:rsidR="008B1738" w:rsidRPr="00BD4653">
        <w:rPr>
          <w:lang w:eastAsia="pt-PT" w:bidi="he-IL"/>
        </w:rPr>
        <w:t xml:space="preserve"> e de avaliação cognitiva foram as variáveis independentes e as dimensões do </w:t>
      </w:r>
      <w:proofErr w:type="spellStart"/>
      <w:r w:rsidR="008B1738" w:rsidRPr="00BD4653">
        <w:rPr>
          <w:i/>
          <w:iCs/>
          <w:lang w:eastAsia="pt-PT" w:bidi="he-IL"/>
        </w:rPr>
        <w:t>Coping</w:t>
      </w:r>
      <w:proofErr w:type="spellEnd"/>
      <w:r w:rsidR="008B1738" w:rsidRPr="00BD4653">
        <w:rPr>
          <w:i/>
          <w:iCs/>
          <w:lang w:eastAsia="pt-PT" w:bidi="he-IL"/>
        </w:rPr>
        <w:t>-R</w:t>
      </w:r>
      <w:r w:rsidR="008B1738" w:rsidRPr="00BD4653">
        <w:rPr>
          <w:lang w:eastAsia="pt-PT" w:bidi="he-IL"/>
        </w:rPr>
        <w:t xml:space="preserve"> e do </w:t>
      </w:r>
      <w:r w:rsidR="008B1738" w:rsidRPr="00BD4653">
        <w:rPr>
          <w:i/>
          <w:iCs/>
          <w:lang w:eastAsia="pt-PT" w:bidi="he-IL"/>
        </w:rPr>
        <w:t>Burnout</w:t>
      </w:r>
      <w:r w:rsidR="008B1738" w:rsidRPr="00BD4653">
        <w:rPr>
          <w:lang w:eastAsia="pt-PT" w:bidi="he-IL"/>
        </w:rPr>
        <w:t xml:space="preserve"> foram as variáveis dependentes. O objetivo desta análise foi perceber se os participantes que percecionavam a sua atividade de estudante como mais ou menos </w:t>
      </w:r>
      <w:r w:rsidR="008B1738" w:rsidRPr="00BD4653">
        <w:rPr>
          <w:i/>
          <w:iCs/>
          <w:lang w:eastAsia="pt-PT" w:bidi="he-IL"/>
        </w:rPr>
        <w:t>stressante</w:t>
      </w:r>
      <w:r w:rsidR="008B1738" w:rsidRPr="00BD4653">
        <w:rPr>
          <w:lang w:eastAsia="pt-PT" w:bidi="he-IL"/>
        </w:rPr>
        <w:t xml:space="preserve"> e com um perfil de avaliação cognitiva mais ou menos positivo apresentavam estratégias de</w:t>
      </w:r>
      <w:r w:rsidR="008B1738" w:rsidRPr="00BD4653">
        <w:rPr>
          <w:i/>
          <w:iCs/>
          <w:lang w:eastAsia="pt-PT" w:bidi="he-IL"/>
        </w:rPr>
        <w:t xml:space="preserve"> </w:t>
      </w:r>
      <w:proofErr w:type="spellStart"/>
      <w:r w:rsidR="008B1738" w:rsidRPr="00BD4653">
        <w:rPr>
          <w:i/>
          <w:iCs/>
          <w:lang w:eastAsia="pt-PT" w:bidi="he-IL"/>
        </w:rPr>
        <w:t>coping</w:t>
      </w:r>
      <w:proofErr w:type="spellEnd"/>
      <w:r w:rsidR="008B1738" w:rsidRPr="00BD4653">
        <w:rPr>
          <w:i/>
          <w:iCs/>
          <w:lang w:eastAsia="pt-PT" w:bidi="he-IL"/>
        </w:rPr>
        <w:t xml:space="preserve"> </w:t>
      </w:r>
      <w:r w:rsidR="008B1738" w:rsidRPr="00BD4653">
        <w:rPr>
          <w:iCs/>
          <w:lang w:eastAsia="pt-PT" w:bidi="he-IL"/>
        </w:rPr>
        <w:t xml:space="preserve">e </w:t>
      </w:r>
      <w:r w:rsidR="008B1738" w:rsidRPr="00BD4653">
        <w:rPr>
          <w:lang w:eastAsia="pt-PT" w:bidi="he-IL"/>
        </w:rPr>
        <w:t xml:space="preserve">níveis de </w:t>
      </w:r>
      <w:r w:rsidR="008B1738" w:rsidRPr="00BD4653">
        <w:rPr>
          <w:i/>
          <w:iCs/>
          <w:lang w:eastAsia="pt-PT" w:bidi="he-IL"/>
        </w:rPr>
        <w:t>burnout</w:t>
      </w:r>
      <w:r w:rsidR="008B1738" w:rsidRPr="00BD4653">
        <w:rPr>
          <w:lang w:eastAsia="pt-PT" w:bidi="he-IL"/>
        </w:rPr>
        <w:t xml:space="preserve"> distintos entre si. </w:t>
      </w:r>
    </w:p>
    <w:p w14:paraId="66768845" w14:textId="77777777" w:rsidR="00A914D7" w:rsidRPr="00BD4653" w:rsidRDefault="00A914D7" w:rsidP="0062051F">
      <w:pPr>
        <w:pStyle w:val="paragraph"/>
        <w:spacing w:before="0" w:beforeAutospacing="0" w:after="0" w:afterAutospacing="0" w:line="360" w:lineRule="auto"/>
        <w:textAlignment w:val="baseline"/>
      </w:pPr>
    </w:p>
    <w:p w14:paraId="4987FEA2" w14:textId="57291F1F" w:rsidR="000F4AB8" w:rsidRPr="00BD4653" w:rsidRDefault="000F4AB8" w:rsidP="00A914D7">
      <w:pPr>
        <w:pStyle w:val="paragraph"/>
        <w:spacing w:before="0" w:beforeAutospacing="0" w:after="0" w:afterAutospacing="0" w:line="360" w:lineRule="auto"/>
        <w:textAlignment w:val="baseline"/>
        <w:rPr>
          <w:b/>
          <w:bCs/>
          <w:i/>
          <w:iCs/>
        </w:rPr>
      </w:pPr>
      <w:bookmarkStart w:id="19" w:name="_Toc105202007"/>
      <w:bookmarkStart w:id="20" w:name="_Toc105365202"/>
      <w:r w:rsidRPr="00BD4653">
        <w:rPr>
          <w:b/>
          <w:bCs/>
          <w:i/>
          <w:iCs/>
        </w:rPr>
        <w:t xml:space="preserve">Diferenças no </w:t>
      </w:r>
      <w:proofErr w:type="spellStart"/>
      <w:r w:rsidRPr="00BD4653">
        <w:rPr>
          <w:b/>
          <w:bCs/>
          <w:i/>
          <w:iCs/>
        </w:rPr>
        <w:t>Coping</w:t>
      </w:r>
      <w:proofErr w:type="spellEnd"/>
      <w:r w:rsidRPr="00BD4653">
        <w:rPr>
          <w:b/>
          <w:bCs/>
          <w:i/>
          <w:iCs/>
        </w:rPr>
        <w:t xml:space="preserve"> e no Burnout em </w:t>
      </w:r>
      <w:r w:rsidR="00600668">
        <w:rPr>
          <w:b/>
          <w:bCs/>
          <w:i/>
          <w:iCs/>
        </w:rPr>
        <w:t>F</w:t>
      </w:r>
      <w:r w:rsidRPr="00BD4653">
        <w:rPr>
          <w:b/>
          <w:bCs/>
          <w:i/>
          <w:iCs/>
        </w:rPr>
        <w:t>unção do Stress e da Avaliação Cognitiva</w:t>
      </w:r>
      <w:bookmarkEnd w:id="19"/>
      <w:bookmarkEnd w:id="20"/>
      <w:r w:rsidRPr="00BD4653">
        <w:rPr>
          <w:b/>
          <w:bCs/>
          <w:i/>
          <w:iCs/>
        </w:rPr>
        <w:t xml:space="preserve"> </w:t>
      </w:r>
    </w:p>
    <w:p w14:paraId="0140717C" w14:textId="3E175AC0" w:rsidR="000F4AB8" w:rsidRPr="00BD4653" w:rsidRDefault="000F4AB8" w:rsidP="00BD1CC4">
      <w:pPr>
        <w:pStyle w:val="paragraph"/>
        <w:spacing w:before="0" w:beforeAutospacing="0" w:after="0" w:afterAutospacing="0" w:line="360" w:lineRule="auto"/>
        <w:ind w:firstLine="709"/>
        <w:textAlignment w:val="baseline"/>
      </w:pPr>
      <w:r w:rsidRPr="00BD4653">
        <w:rPr>
          <w:rStyle w:val="normaltextrun"/>
        </w:rPr>
        <w:t xml:space="preserve">Esta análise procurou verificar se estudantes com diferentes perfis de </w:t>
      </w:r>
      <w:r w:rsidRPr="00BD4653">
        <w:rPr>
          <w:rStyle w:val="normaltextrun"/>
          <w:i/>
          <w:iCs/>
        </w:rPr>
        <w:t>stress</w:t>
      </w:r>
      <w:r w:rsidRPr="00BD4653">
        <w:rPr>
          <w:rStyle w:val="normaltextrun"/>
        </w:rPr>
        <w:t xml:space="preserve"> e avaliação cognitiva percecionavam de modo distinto as estratégias de </w:t>
      </w:r>
      <w:proofErr w:type="spellStart"/>
      <w:r w:rsidRPr="00BD4653">
        <w:rPr>
          <w:rStyle w:val="normaltextrun"/>
          <w:i/>
          <w:iCs/>
        </w:rPr>
        <w:t>coping</w:t>
      </w:r>
      <w:proofErr w:type="spellEnd"/>
      <w:r w:rsidRPr="00BD4653">
        <w:rPr>
          <w:rStyle w:val="normaltextrun"/>
        </w:rPr>
        <w:t xml:space="preserve"> e o </w:t>
      </w:r>
      <w:r w:rsidRPr="00BD4653">
        <w:rPr>
          <w:rStyle w:val="normaltextrun"/>
          <w:i/>
          <w:iCs/>
        </w:rPr>
        <w:t>burnout</w:t>
      </w:r>
      <w:r w:rsidRPr="00BD4653">
        <w:rPr>
          <w:rStyle w:val="normaltextrun"/>
        </w:rPr>
        <w:t xml:space="preserve"> na atividade de estudante. Começámos por utilizar</w:t>
      </w:r>
      <w:r w:rsidR="00600668">
        <w:rPr>
          <w:rStyle w:val="normaltextrun"/>
        </w:rPr>
        <w:t xml:space="preserve"> um</w:t>
      </w:r>
      <w:r w:rsidRPr="00BD4653">
        <w:rPr>
          <w:rStyle w:val="normaltextrun"/>
        </w:rPr>
        <w:t xml:space="preserve"> </w:t>
      </w:r>
      <w:proofErr w:type="spellStart"/>
      <w:r w:rsidRPr="00BD4653">
        <w:rPr>
          <w:rStyle w:val="normaltextrun"/>
          <w:i/>
          <w:iCs/>
        </w:rPr>
        <w:t>teste-t</w:t>
      </w:r>
      <w:proofErr w:type="spellEnd"/>
      <w:r w:rsidRPr="00BD4653">
        <w:rPr>
          <w:rStyle w:val="normaltextrun"/>
        </w:rPr>
        <w:t xml:space="preserve"> para amostras independentes para verificar se os perfis criados diferenciavam os grupos nas respetivas dimensões de</w:t>
      </w:r>
      <w:r w:rsidRPr="00BD4653">
        <w:rPr>
          <w:rStyle w:val="normaltextrun"/>
          <w:i/>
        </w:rPr>
        <w:t xml:space="preserve"> stress</w:t>
      </w:r>
      <w:r w:rsidRPr="00BD4653">
        <w:rPr>
          <w:rStyle w:val="normaltextrun"/>
        </w:rPr>
        <w:t xml:space="preserve"> e avaliação cognitiva. Para as dimensões do </w:t>
      </w:r>
      <w:r w:rsidRPr="00BD4653">
        <w:rPr>
          <w:rStyle w:val="normaltextrun"/>
          <w:i/>
          <w:iCs/>
        </w:rPr>
        <w:t>stress</w:t>
      </w:r>
      <w:r w:rsidRPr="00BD4653">
        <w:rPr>
          <w:rStyle w:val="normaltextrun"/>
        </w:rPr>
        <w:t>, os resultados indicaram a existência de diferenças estatisticamente significativas no rendimento escolar</w:t>
      </w:r>
      <w:r w:rsidRPr="00BD4653">
        <w:rPr>
          <w:rStyle w:val="normaltextrun"/>
          <w:color w:val="000000" w:themeColor="text1"/>
        </w:rPr>
        <w:t xml:space="preserve">, na avaliação </w:t>
      </w:r>
      <w:r w:rsidRPr="00BD4653">
        <w:rPr>
          <w:rStyle w:val="normaltextrun"/>
        </w:rPr>
        <w:t>académica</w:t>
      </w:r>
      <w:r w:rsidRPr="00BD4653">
        <w:rPr>
          <w:rStyle w:val="normaltextrun"/>
          <w:color w:val="000000" w:themeColor="text1"/>
        </w:rPr>
        <w:t>, na motivação, na aprendizagem, no excesso de trabalho, nas experiências futuras e nos problemas financeiros. Tendo em consideração os valores médios destas variáveis, verificámos que os estudantes com um perfil de nível superior de</w:t>
      </w:r>
      <w:r w:rsidRPr="00BD4653">
        <w:rPr>
          <w:rStyle w:val="normaltextrun"/>
          <w:i/>
          <w:iCs/>
          <w:color w:val="000000" w:themeColor="text1"/>
        </w:rPr>
        <w:t xml:space="preserve"> stress </w:t>
      </w:r>
      <w:r w:rsidRPr="00BD4653">
        <w:rPr>
          <w:rStyle w:val="normaltextrun"/>
          <w:color w:val="000000" w:themeColor="text1"/>
        </w:rPr>
        <w:t xml:space="preserve">apresentaram valores médios mais elevados em todas as dimensões deste questionário (ver Tabela </w:t>
      </w:r>
      <w:r w:rsidR="00A914D7">
        <w:rPr>
          <w:rStyle w:val="normaltextrun"/>
          <w:color w:val="000000" w:themeColor="text1"/>
        </w:rPr>
        <w:t>1</w:t>
      </w:r>
      <w:r w:rsidRPr="00BD4653">
        <w:rPr>
          <w:rStyle w:val="normaltextrun"/>
          <w:color w:val="000000" w:themeColor="text1"/>
        </w:rPr>
        <w:t>). </w:t>
      </w:r>
      <w:r w:rsidRPr="00BD4653">
        <w:rPr>
          <w:rStyle w:val="normaltextrun"/>
        </w:rPr>
        <w:t>No que respeita à avaliação cognitiva, os resultados mostraram a existência de diferenças estatisticamente significativas entre os estudantes com um perfil moderadamente positivo e um perfil muito positivo na perceção de ameaça</w:t>
      </w:r>
      <w:r w:rsidRPr="00BD4653">
        <w:rPr>
          <w:rStyle w:val="normaltextrun"/>
          <w:color w:val="000000"/>
        </w:rPr>
        <w:t xml:space="preserve">, desafio, confronto e controle. Na perceção de ameaça, os estudantes com um perfil moderadamente positivo apresentaram valores médios superiores comparativamente aos estudantes com um perfil muito positivo. Para a perceção de desafio, confronto e controlo, os estudantes com um perfil moderadamente positivo apresentaram valores médios inferiores comparativamente aos estudantes com um </w:t>
      </w:r>
      <w:r w:rsidRPr="00BD4653">
        <w:rPr>
          <w:rStyle w:val="normaltextrun"/>
          <w:color w:val="000000"/>
        </w:rPr>
        <w:lastRenderedPageBreak/>
        <w:t xml:space="preserve">perfil muito positivo (ver Tabela </w:t>
      </w:r>
      <w:r w:rsidR="00A914D7">
        <w:rPr>
          <w:rStyle w:val="normaltextrun"/>
          <w:color w:val="000000"/>
        </w:rPr>
        <w:t>1</w:t>
      </w:r>
      <w:r w:rsidRPr="00BD4653">
        <w:rPr>
          <w:rStyle w:val="normaltextrun"/>
          <w:color w:val="000000"/>
        </w:rPr>
        <w:t>).</w:t>
      </w:r>
      <w:r w:rsidRPr="00BD4653">
        <w:rPr>
          <w:rStyle w:val="eop"/>
          <w:color w:val="000000"/>
        </w:rPr>
        <w:t xml:space="preserve"> Estes resultados indicaram que os perfis selecionados diferenciavam os grupos entre si, avançando-se, por isso, para as análises seguintes. </w:t>
      </w:r>
    </w:p>
    <w:p w14:paraId="204E535A" w14:textId="651F7E96" w:rsidR="000F4AB8" w:rsidRPr="00BD4653" w:rsidRDefault="000F4AB8" w:rsidP="00BD1CC4">
      <w:pPr>
        <w:pStyle w:val="paragraph"/>
        <w:spacing w:before="0" w:beforeAutospacing="0" w:after="0" w:afterAutospacing="0" w:line="360" w:lineRule="auto"/>
        <w:ind w:firstLine="709"/>
        <w:textAlignment w:val="baseline"/>
        <w:rPr>
          <w:rStyle w:val="normaltextrun"/>
        </w:rPr>
      </w:pPr>
      <w:r w:rsidRPr="00BD4653">
        <w:rPr>
          <w:rStyle w:val="normaltextrun"/>
        </w:rPr>
        <w:t xml:space="preserve">Assim, realizou-se uma </w:t>
      </w:r>
      <w:bookmarkStart w:id="21" w:name="_Hlk104974729"/>
      <w:r w:rsidRPr="00BD4653">
        <w:rPr>
          <w:rStyle w:val="normaltextrun"/>
        </w:rPr>
        <w:t xml:space="preserve">MANCOVA fatorial </w:t>
      </w:r>
      <w:bookmarkEnd w:id="21"/>
      <w:r w:rsidRPr="00BD4653">
        <w:rPr>
          <w:rStyle w:val="normaltextrun"/>
        </w:rPr>
        <w:t xml:space="preserve">(ver Tabela </w:t>
      </w:r>
      <w:r w:rsidR="00A914D7">
        <w:rPr>
          <w:rStyle w:val="normaltextrun"/>
        </w:rPr>
        <w:t>2</w:t>
      </w:r>
      <w:r w:rsidRPr="00BD4653">
        <w:rPr>
          <w:rStyle w:val="normaltextrun"/>
        </w:rPr>
        <w:t xml:space="preserve">), com o objetivo de investigar se existiam diferenças estatisticamente significativas nos níveis de </w:t>
      </w:r>
      <w:r w:rsidRPr="00BD4653">
        <w:rPr>
          <w:rStyle w:val="spellingerror"/>
          <w:i/>
          <w:iCs/>
        </w:rPr>
        <w:t>burnout</w:t>
      </w:r>
      <w:r w:rsidRPr="00BD4653">
        <w:rPr>
          <w:rStyle w:val="normaltextrun"/>
        </w:rPr>
        <w:t xml:space="preserve"> e nas estratégias de </w:t>
      </w:r>
      <w:proofErr w:type="spellStart"/>
      <w:r w:rsidRPr="00BD4653">
        <w:rPr>
          <w:rStyle w:val="spellingerror"/>
          <w:i/>
          <w:iCs/>
        </w:rPr>
        <w:t>coping</w:t>
      </w:r>
      <w:proofErr w:type="spellEnd"/>
      <w:r w:rsidRPr="00BD4653">
        <w:rPr>
          <w:rStyle w:val="normaltextrun"/>
        </w:rPr>
        <w:t xml:space="preserve"> entre estudantes com diferentes níveis de </w:t>
      </w:r>
      <w:r w:rsidRPr="00BD4653">
        <w:rPr>
          <w:rStyle w:val="normaltextrun"/>
          <w:i/>
          <w:iCs/>
        </w:rPr>
        <w:t xml:space="preserve">stress </w:t>
      </w:r>
      <w:r w:rsidRPr="00BD4653">
        <w:rPr>
          <w:rStyle w:val="normaltextrun"/>
        </w:rPr>
        <w:t xml:space="preserve">(nível inferior e nível superior de </w:t>
      </w:r>
      <w:r w:rsidRPr="00BD4653">
        <w:rPr>
          <w:rStyle w:val="normaltextrun"/>
          <w:i/>
          <w:iCs/>
        </w:rPr>
        <w:t>stress</w:t>
      </w:r>
      <w:r w:rsidRPr="00BD4653">
        <w:rPr>
          <w:rStyle w:val="normaltextrun"/>
        </w:rPr>
        <w:t>) e diferentes perfis de avaliação cognitiva (moderadamente positivo e muito positivo)</w:t>
      </w:r>
      <w:r w:rsidR="00600668">
        <w:rPr>
          <w:rStyle w:val="normaltextrun"/>
        </w:rPr>
        <w:t>,</w:t>
      </w:r>
      <w:r w:rsidRPr="00BD4653">
        <w:rPr>
          <w:rStyle w:val="normaltextrun"/>
        </w:rPr>
        <w:t xml:space="preserve"> </w:t>
      </w:r>
      <w:r w:rsidR="00600668">
        <w:rPr>
          <w:rStyle w:val="normaltextrun"/>
        </w:rPr>
        <w:t>controlando-se</w:t>
      </w:r>
      <w:r w:rsidRPr="00BD4653">
        <w:rPr>
          <w:rStyle w:val="normaltextrun"/>
        </w:rPr>
        <w:t xml:space="preserve"> a variável sexo dos participantes na análise das diferenças nos perfis de </w:t>
      </w:r>
      <w:r w:rsidRPr="00BD4653">
        <w:rPr>
          <w:rStyle w:val="normaltextrun"/>
          <w:i/>
          <w:iCs/>
        </w:rPr>
        <w:t>stress</w:t>
      </w:r>
      <w:r w:rsidR="00600668">
        <w:rPr>
          <w:rStyle w:val="normaltextrun"/>
          <w:i/>
          <w:iCs/>
        </w:rPr>
        <w:t xml:space="preserve">, </w:t>
      </w:r>
      <w:r w:rsidR="00600668">
        <w:rPr>
          <w:rStyle w:val="normaltextrun"/>
          <w:iCs/>
        </w:rPr>
        <w:t xml:space="preserve">dadas as associações verificadas com os perfis de </w:t>
      </w:r>
      <w:r w:rsidR="00600668" w:rsidRPr="00600668">
        <w:rPr>
          <w:rStyle w:val="normaltextrun"/>
          <w:i/>
          <w:iCs/>
        </w:rPr>
        <w:t>stress</w:t>
      </w:r>
      <w:r w:rsidR="00600668">
        <w:rPr>
          <w:rStyle w:val="normaltextrun"/>
          <w:iCs/>
        </w:rPr>
        <w:t xml:space="preserve"> e de avaliação cognitiva</w:t>
      </w:r>
      <w:r w:rsidRPr="00BD4653">
        <w:rPr>
          <w:rStyle w:val="normaltextrun"/>
        </w:rPr>
        <w:t xml:space="preserve">. </w:t>
      </w:r>
    </w:p>
    <w:p w14:paraId="77E06B1A" w14:textId="71834873" w:rsidR="000F4AB8" w:rsidRPr="00BD4653" w:rsidRDefault="00600668" w:rsidP="00BD1CC4">
      <w:pPr>
        <w:pStyle w:val="paragraph"/>
        <w:spacing w:before="0" w:beforeAutospacing="0" w:after="0" w:afterAutospacing="0" w:line="360" w:lineRule="auto"/>
        <w:ind w:firstLine="709"/>
        <w:textAlignment w:val="baseline"/>
        <w:rPr>
          <w:rStyle w:val="normaltextrun"/>
        </w:rPr>
      </w:pPr>
      <w:r>
        <w:rPr>
          <w:rStyle w:val="normaltextrun"/>
        </w:rPr>
        <w:t>O</w:t>
      </w:r>
      <w:r w:rsidRPr="00BD4653">
        <w:rPr>
          <w:rStyle w:val="normaltextrun"/>
        </w:rPr>
        <w:t xml:space="preserve">s resultados mostraram que o efeito da interação </w:t>
      </w:r>
      <w:r w:rsidR="000F4AB8" w:rsidRPr="00BD4653">
        <w:rPr>
          <w:rStyle w:val="normaltextrun"/>
        </w:rPr>
        <w:t xml:space="preserve">entre o </w:t>
      </w:r>
      <w:r w:rsidR="000F4AB8" w:rsidRPr="00BD4653">
        <w:rPr>
          <w:rStyle w:val="normaltextrun"/>
          <w:i/>
          <w:iCs/>
        </w:rPr>
        <w:t>stress</w:t>
      </w:r>
      <w:r w:rsidR="000F4AB8" w:rsidRPr="00BD4653">
        <w:rPr>
          <w:rStyle w:val="normaltextrun"/>
        </w:rPr>
        <w:t xml:space="preserve"> e a avaliação cognitiva não foi estatisticamente significativo para o </w:t>
      </w:r>
      <w:r w:rsidR="000F4AB8" w:rsidRPr="00BD4653">
        <w:rPr>
          <w:rStyle w:val="spellingerror"/>
          <w:i/>
          <w:iCs/>
        </w:rPr>
        <w:t>burnout</w:t>
      </w:r>
      <w:r w:rsidR="000F4AB8" w:rsidRPr="00BD4653">
        <w:rPr>
          <w:rStyle w:val="eop"/>
        </w:rPr>
        <w:t xml:space="preserve"> </w:t>
      </w:r>
      <w:r w:rsidR="000F4AB8" w:rsidRPr="00BD4653">
        <w:rPr>
          <w:rStyle w:val="normaltextrun"/>
        </w:rPr>
        <w:t>(</w:t>
      </w:r>
      <w:proofErr w:type="spellStart"/>
      <w:r w:rsidR="000F4AB8" w:rsidRPr="00BD4653">
        <w:t>wilks</w:t>
      </w:r>
      <w:proofErr w:type="spellEnd"/>
      <w:r w:rsidR="000F4AB8" w:rsidRPr="00BD4653">
        <w:t xml:space="preserve">’ </w:t>
      </w:r>
      <w:r w:rsidR="000F4AB8" w:rsidRPr="00BD4653">
        <w:rPr>
          <w:i/>
        </w:rPr>
        <w:t>λ</w:t>
      </w:r>
      <w:r w:rsidR="000F4AB8" w:rsidRPr="00BD4653">
        <w:t xml:space="preserve"> = .99, </w:t>
      </w:r>
      <w:r w:rsidR="000F4AB8" w:rsidRPr="00BD4653">
        <w:rPr>
          <w:i/>
        </w:rPr>
        <w:t xml:space="preserve">F </w:t>
      </w:r>
      <w:r w:rsidR="000F4AB8" w:rsidRPr="00BD4653">
        <w:t xml:space="preserve">(3, 540) = 2.05, </w:t>
      </w:r>
      <w:r w:rsidR="000F4AB8" w:rsidRPr="00BD4653">
        <w:rPr>
          <w:i/>
        </w:rPr>
        <w:t>p</w:t>
      </w:r>
      <w:r w:rsidR="000F4AB8" w:rsidRPr="00BD4653">
        <w:t xml:space="preserve"> = .106, </w:t>
      </w:r>
      <w:r w:rsidR="000F4AB8" w:rsidRPr="00BD4653">
        <w:rPr>
          <w:i/>
        </w:rPr>
        <w:t>ηp2</w:t>
      </w:r>
      <w:r w:rsidR="000F4AB8" w:rsidRPr="00BD4653">
        <w:t xml:space="preserve"> = .01</w:t>
      </w:r>
      <w:r w:rsidR="000F4AB8" w:rsidRPr="00BD4653">
        <w:rPr>
          <w:rStyle w:val="eop"/>
        </w:rPr>
        <w:t>)</w:t>
      </w:r>
      <w:r w:rsidR="000F4AB8" w:rsidRPr="00BD4653">
        <w:t xml:space="preserve"> </w:t>
      </w:r>
      <w:r w:rsidR="000F4AB8" w:rsidRPr="00BD4653">
        <w:rPr>
          <w:rStyle w:val="normaltextrun"/>
        </w:rPr>
        <w:t xml:space="preserve">nem para as estratégias de </w:t>
      </w:r>
      <w:proofErr w:type="spellStart"/>
      <w:r w:rsidR="000F4AB8" w:rsidRPr="00BD4653">
        <w:rPr>
          <w:rStyle w:val="spellingerror"/>
          <w:i/>
          <w:iCs/>
        </w:rPr>
        <w:t>coping</w:t>
      </w:r>
      <w:proofErr w:type="spellEnd"/>
      <w:r w:rsidR="000F4AB8" w:rsidRPr="00BD4653">
        <w:rPr>
          <w:rStyle w:val="spellingerror"/>
          <w:i/>
          <w:iCs/>
        </w:rPr>
        <w:t xml:space="preserve"> </w:t>
      </w:r>
      <w:r w:rsidR="000F4AB8" w:rsidRPr="00BD4653">
        <w:rPr>
          <w:rStyle w:val="eop"/>
        </w:rPr>
        <w:t>(</w:t>
      </w:r>
      <w:proofErr w:type="spellStart"/>
      <w:r w:rsidR="000F4AB8" w:rsidRPr="00BD4653">
        <w:t>wilks</w:t>
      </w:r>
      <w:proofErr w:type="spellEnd"/>
      <w:r w:rsidR="000F4AB8" w:rsidRPr="00BD4653">
        <w:t xml:space="preserve">’ λ = .96, </w:t>
      </w:r>
      <w:r w:rsidR="000F4AB8" w:rsidRPr="00BD4653">
        <w:rPr>
          <w:i/>
          <w:iCs/>
        </w:rPr>
        <w:t xml:space="preserve">F </w:t>
      </w:r>
      <w:r w:rsidR="000F4AB8" w:rsidRPr="00BD4653">
        <w:t xml:space="preserve">(4, 539) = 0.65, </w:t>
      </w:r>
      <w:r w:rsidR="000F4AB8" w:rsidRPr="00BD4653">
        <w:rPr>
          <w:i/>
          <w:iCs/>
        </w:rPr>
        <w:t>p</w:t>
      </w:r>
      <w:r w:rsidR="000F4AB8" w:rsidRPr="00BD4653">
        <w:t xml:space="preserve"> = .627, </w:t>
      </w:r>
      <w:r w:rsidR="000F4AB8" w:rsidRPr="00BD4653">
        <w:rPr>
          <w:i/>
          <w:iCs/>
        </w:rPr>
        <w:t>ηp2</w:t>
      </w:r>
      <w:r w:rsidR="000F4AB8" w:rsidRPr="00BD4653">
        <w:t xml:space="preserve"> = .01</w:t>
      </w:r>
      <w:r w:rsidR="000F4AB8" w:rsidRPr="00BD4653">
        <w:rPr>
          <w:rStyle w:val="eop"/>
        </w:rPr>
        <w:t xml:space="preserve">). Tendo por base estes resultados, foram analisados </w:t>
      </w:r>
      <w:r w:rsidR="000F4AB8" w:rsidRPr="00BD4653">
        <w:rPr>
          <w:rStyle w:val="normaltextrun"/>
        </w:rPr>
        <w:t xml:space="preserve">os efeitos principais para os perfis de </w:t>
      </w:r>
      <w:r w:rsidR="000F4AB8" w:rsidRPr="00BD4653">
        <w:rPr>
          <w:rStyle w:val="normaltextrun"/>
          <w:i/>
          <w:iCs/>
        </w:rPr>
        <w:t>stress</w:t>
      </w:r>
      <w:r w:rsidR="000F4AB8" w:rsidRPr="00BD4653">
        <w:rPr>
          <w:rStyle w:val="normaltextrun"/>
        </w:rPr>
        <w:t xml:space="preserve"> e para avaliação cognitiva.</w:t>
      </w:r>
    </w:p>
    <w:p w14:paraId="7779ADC1" w14:textId="55FBD97C" w:rsidR="000F4AB8" w:rsidRPr="00BD4653" w:rsidRDefault="000F4AB8" w:rsidP="00BD1CC4">
      <w:pPr>
        <w:pStyle w:val="paragraph"/>
        <w:spacing w:before="0" w:beforeAutospacing="0" w:after="0" w:afterAutospacing="0" w:line="360" w:lineRule="auto"/>
        <w:ind w:firstLine="709"/>
        <w:textAlignment w:val="baseline"/>
        <w:rPr>
          <w:rStyle w:val="normaltextrun"/>
          <w:rFonts w:eastAsia="Arial Unicode MS"/>
          <w:kern w:val="1"/>
          <w:lang w:eastAsia="ar-SA" w:bidi="ar-SA"/>
        </w:rPr>
      </w:pPr>
      <w:r w:rsidRPr="00BD4653">
        <w:rPr>
          <w:rStyle w:val="normaltextrun"/>
        </w:rPr>
        <w:t xml:space="preserve">Começando pelas diferenças em função dos perfis de </w:t>
      </w:r>
      <w:r w:rsidRPr="00BD4653">
        <w:rPr>
          <w:rStyle w:val="normaltextrun"/>
          <w:i/>
          <w:iCs/>
        </w:rPr>
        <w:t>stress</w:t>
      </w:r>
      <w:r w:rsidRPr="00BD4653">
        <w:rPr>
          <w:rStyle w:val="normaltextrun"/>
        </w:rPr>
        <w:t xml:space="preserve">, o resultado do efeito principal foi significativo em relação às estratégias de </w:t>
      </w:r>
      <w:proofErr w:type="spellStart"/>
      <w:r w:rsidRPr="00BD4653">
        <w:rPr>
          <w:rStyle w:val="spellingerror"/>
          <w:i/>
          <w:iCs/>
        </w:rPr>
        <w:t>coping</w:t>
      </w:r>
      <w:proofErr w:type="spellEnd"/>
      <w:r w:rsidRPr="00BD4653">
        <w:rPr>
          <w:rStyle w:val="spellingerror"/>
          <w:i/>
          <w:iCs/>
        </w:rPr>
        <w:t xml:space="preserve"> </w:t>
      </w:r>
      <w:r w:rsidRPr="00BD4653">
        <w:rPr>
          <w:rStyle w:val="spellingerror"/>
        </w:rPr>
        <w:t>(</w:t>
      </w:r>
      <w:proofErr w:type="spellStart"/>
      <w:r w:rsidRPr="00BD4653">
        <w:t>wilks</w:t>
      </w:r>
      <w:proofErr w:type="spellEnd"/>
      <w:r w:rsidRPr="00BD4653">
        <w:t xml:space="preserve">’ λ = .98, </w:t>
      </w:r>
      <w:r w:rsidRPr="00BD4653">
        <w:rPr>
          <w:i/>
          <w:iCs/>
        </w:rPr>
        <w:t xml:space="preserve">F </w:t>
      </w:r>
      <w:r w:rsidRPr="00BD4653">
        <w:t xml:space="preserve">(4, 539) = 2.20, </w:t>
      </w:r>
      <w:r w:rsidRPr="00BD4653">
        <w:rPr>
          <w:i/>
          <w:iCs/>
        </w:rPr>
        <w:t>p</w:t>
      </w:r>
      <w:r w:rsidRPr="00BD4653">
        <w:t xml:space="preserve"> = .067, </w:t>
      </w:r>
      <w:r w:rsidRPr="00BD4653">
        <w:rPr>
          <w:i/>
          <w:iCs/>
        </w:rPr>
        <w:t>ηp2</w:t>
      </w:r>
      <w:r w:rsidRPr="00BD4653">
        <w:t xml:space="preserve"> = .02</w:t>
      </w:r>
      <w:r w:rsidRPr="00BD4653">
        <w:rPr>
          <w:rStyle w:val="eop"/>
        </w:rPr>
        <w:t xml:space="preserve">), verificando-se um efeito significativo na estratégia de negação, em que os estudantes com o </w:t>
      </w:r>
      <w:r w:rsidRPr="00BD4653">
        <w:rPr>
          <w:rStyle w:val="normaltextrun"/>
        </w:rPr>
        <w:t>perfil de nível inferior de</w:t>
      </w:r>
      <w:r w:rsidRPr="00BD4653">
        <w:rPr>
          <w:rStyle w:val="normaltextrun"/>
          <w:i/>
          <w:iCs/>
        </w:rPr>
        <w:t xml:space="preserve"> stress </w:t>
      </w:r>
      <w:r w:rsidRPr="00BD4653">
        <w:rPr>
          <w:rStyle w:val="normaltextrun"/>
        </w:rPr>
        <w:t>apresentaram um valor médio de negação mais baixo comparativamente aos estudantes com perfil de nível superior de</w:t>
      </w:r>
      <w:r w:rsidRPr="00BD4653">
        <w:rPr>
          <w:rStyle w:val="normaltextrun"/>
          <w:i/>
          <w:iCs/>
        </w:rPr>
        <w:t xml:space="preserve"> stress</w:t>
      </w:r>
      <w:r w:rsidRPr="00BD4653">
        <w:rPr>
          <w:rStyle w:val="normaltextrun"/>
        </w:rPr>
        <w:t xml:space="preserve">. No caso do </w:t>
      </w:r>
      <w:r w:rsidRPr="00BD4653">
        <w:rPr>
          <w:rStyle w:val="normaltextrun"/>
          <w:i/>
        </w:rPr>
        <w:t>burnout</w:t>
      </w:r>
      <w:r w:rsidRPr="00BD4653">
        <w:rPr>
          <w:rStyle w:val="normaltextrun"/>
        </w:rPr>
        <w:t>, o resultado do efeito principal também foi significativo (</w:t>
      </w:r>
      <w:proofErr w:type="spellStart"/>
      <w:r w:rsidRPr="00BD4653">
        <w:t>Wilks</w:t>
      </w:r>
      <w:proofErr w:type="spellEnd"/>
      <w:r w:rsidRPr="00BD4653">
        <w:t xml:space="preserve">’ λ = .87, </w:t>
      </w:r>
      <w:r w:rsidRPr="00BD4653">
        <w:rPr>
          <w:i/>
          <w:iCs/>
        </w:rPr>
        <w:t xml:space="preserve">F </w:t>
      </w:r>
      <w:r w:rsidRPr="00BD4653">
        <w:t xml:space="preserve">(3, 540) = 26.93, </w:t>
      </w:r>
      <w:r w:rsidRPr="00BD4653">
        <w:rPr>
          <w:i/>
          <w:iCs/>
        </w:rPr>
        <w:t>p</w:t>
      </w:r>
      <w:r w:rsidRPr="00BD4653">
        <w:t xml:space="preserve"> = &lt;.001, </w:t>
      </w:r>
      <w:r w:rsidRPr="00BD4653">
        <w:rPr>
          <w:i/>
          <w:iCs/>
        </w:rPr>
        <w:t>ηp2</w:t>
      </w:r>
      <w:r w:rsidRPr="00BD4653">
        <w:t xml:space="preserve"> = .13</w:t>
      </w:r>
      <w:r w:rsidRPr="00BD4653">
        <w:rPr>
          <w:rStyle w:val="eop"/>
        </w:rPr>
        <w:t>), verificando-se um efeito significativo na fadiga física, na fadiga cognitiva e na exaustão emocional. Considerando os valores médios destas variáveis, constatou-se que os estudantes com o perfil inferior de</w:t>
      </w:r>
      <w:r w:rsidRPr="00BD4653">
        <w:rPr>
          <w:rStyle w:val="normaltextrun"/>
          <w:i/>
          <w:iCs/>
        </w:rPr>
        <w:t xml:space="preserve"> stress </w:t>
      </w:r>
      <w:r w:rsidRPr="00BD4653">
        <w:rPr>
          <w:rStyle w:val="normaltextrun"/>
        </w:rPr>
        <w:t>percecionaram níveis mais baixos de fadiga física, de fadiga cognitiva e exaustão emocional, comparativamente aos estudantes com o perfil de nível superior de</w:t>
      </w:r>
      <w:r w:rsidRPr="00BD4653">
        <w:rPr>
          <w:rStyle w:val="normaltextrun"/>
          <w:i/>
          <w:iCs/>
        </w:rPr>
        <w:t xml:space="preserve"> stress</w:t>
      </w:r>
      <w:r w:rsidRPr="00BD4653">
        <w:rPr>
          <w:rStyle w:val="normaltextrun"/>
        </w:rPr>
        <w:t xml:space="preserve">. </w:t>
      </w:r>
    </w:p>
    <w:p w14:paraId="647C7767" w14:textId="589E83D6" w:rsidR="007A7BFA" w:rsidRDefault="000F4AB8" w:rsidP="00BD1CC4">
      <w:pPr>
        <w:pStyle w:val="paragraph"/>
        <w:spacing w:before="0" w:beforeAutospacing="0" w:after="0" w:afterAutospacing="0" w:line="360" w:lineRule="auto"/>
        <w:ind w:firstLine="709"/>
        <w:textAlignment w:val="baseline"/>
        <w:rPr>
          <w:rStyle w:val="normaltextrun"/>
        </w:rPr>
      </w:pPr>
      <w:r w:rsidRPr="00BD4653">
        <w:rPr>
          <w:rStyle w:val="normaltextrun"/>
        </w:rPr>
        <w:t xml:space="preserve">Para os perfis de avaliação cognitiva, o resultado do efeito principal foi significativo para as estratégias de </w:t>
      </w:r>
      <w:proofErr w:type="spellStart"/>
      <w:r w:rsidRPr="00BD4653">
        <w:rPr>
          <w:rStyle w:val="spellingerror"/>
          <w:i/>
          <w:iCs/>
        </w:rPr>
        <w:t>coping</w:t>
      </w:r>
      <w:proofErr w:type="spellEnd"/>
      <w:r w:rsidRPr="00BD4653">
        <w:rPr>
          <w:rStyle w:val="spellingerror"/>
          <w:i/>
          <w:iCs/>
        </w:rPr>
        <w:t xml:space="preserve"> </w:t>
      </w:r>
      <w:r w:rsidRPr="00BD4653">
        <w:rPr>
          <w:rStyle w:val="normaltextrun"/>
        </w:rPr>
        <w:t>(</w:t>
      </w:r>
      <w:proofErr w:type="spellStart"/>
      <w:r w:rsidRPr="00BD4653">
        <w:t>wilks</w:t>
      </w:r>
      <w:proofErr w:type="spellEnd"/>
      <w:r w:rsidRPr="00BD4653">
        <w:t xml:space="preserve">’ λ = .95, </w:t>
      </w:r>
      <w:r w:rsidRPr="00BD4653">
        <w:rPr>
          <w:i/>
          <w:iCs/>
        </w:rPr>
        <w:t xml:space="preserve">F </w:t>
      </w:r>
      <w:r w:rsidRPr="00BD4653">
        <w:t xml:space="preserve">(4, 539) = 7.04 </w:t>
      </w:r>
      <w:r w:rsidRPr="00BD4653">
        <w:rPr>
          <w:i/>
          <w:iCs/>
        </w:rPr>
        <w:t>p</w:t>
      </w:r>
      <w:r w:rsidRPr="00BD4653">
        <w:t xml:space="preserve"> = &lt;.001, </w:t>
      </w:r>
      <w:r w:rsidRPr="00BD4653">
        <w:rPr>
          <w:i/>
          <w:iCs/>
        </w:rPr>
        <w:t>ηp2</w:t>
      </w:r>
      <w:r w:rsidRPr="00BD4653">
        <w:t xml:space="preserve"> = .05</w:t>
      </w:r>
      <w:r w:rsidRPr="00BD4653">
        <w:rPr>
          <w:rStyle w:val="spellingerror"/>
        </w:rPr>
        <w:t xml:space="preserve">), apresentando um efeito significativo na estratégia confronto ativo, em que os estudantes com um perfil moderadamente positivo apresentam um valor médio de confronto ativo mais baixo comparativamente aos estudantes com um perfil muito positivo. </w:t>
      </w:r>
      <w:r w:rsidRPr="00BD4653">
        <w:rPr>
          <w:rStyle w:val="normaltextrun"/>
        </w:rPr>
        <w:t xml:space="preserve">No caso do </w:t>
      </w:r>
      <w:r w:rsidRPr="00BD4653">
        <w:rPr>
          <w:rStyle w:val="normaltextrun"/>
          <w:i/>
        </w:rPr>
        <w:t>burnout</w:t>
      </w:r>
      <w:r w:rsidRPr="00BD4653">
        <w:rPr>
          <w:rStyle w:val="normaltextrun"/>
        </w:rPr>
        <w:t>, o resultado do efeito principal também foi significativo (</w:t>
      </w:r>
      <w:proofErr w:type="spellStart"/>
      <w:r w:rsidRPr="00BD4653">
        <w:t>wilks</w:t>
      </w:r>
      <w:proofErr w:type="spellEnd"/>
      <w:r w:rsidRPr="00BD4653">
        <w:t xml:space="preserve">’ λ = .87, </w:t>
      </w:r>
      <w:r w:rsidRPr="00BD4653">
        <w:rPr>
          <w:i/>
          <w:iCs/>
        </w:rPr>
        <w:t xml:space="preserve">F </w:t>
      </w:r>
      <w:r w:rsidRPr="00BD4653">
        <w:t xml:space="preserve">(3, 540) = 25.91, </w:t>
      </w:r>
      <w:r w:rsidRPr="00BD4653">
        <w:rPr>
          <w:i/>
          <w:iCs/>
        </w:rPr>
        <w:t>p</w:t>
      </w:r>
      <w:r w:rsidRPr="00BD4653">
        <w:t xml:space="preserve"> &lt;.001, </w:t>
      </w:r>
      <w:r w:rsidRPr="00BD4653">
        <w:rPr>
          <w:i/>
          <w:iCs/>
        </w:rPr>
        <w:t>ηp2</w:t>
      </w:r>
      <w:r w:rsidRPr="00BD4653">
        <w:t xml:space="preserve"> = .13</w:t>
      </w:r>
      <w:r w:rsidRPr="00BD4653">
        <w:rPr>
          <w:rStyle w:val="normaltextrun"/>
        </w:rPr>
        <w:t xml:space="preserve">), apresentando um efeito significativo na fadiga física, na fadiga cognitiva e na exaustão emocional. Os resultados mostraram que os estudantes com um perfil moderadamente positivo apresentaram níveis mais elevados de fadiga física, de fadiga </w:t>
      </w:r>
      <w:r w:rsidRPr="00BD4653">
        <w:rPr>
          <w:rStyle w:val="normaltextrun"/>
        </w:rPr>
        <w:lastRenderedPageBreak/>
        <w:t>cognitiva e de exaustão emocional comparativamente aos estudantes com um perfil muito positivo.</w:t>
      </w:r>
    </w:p>
    <w:p w14:paraId="54348B92" w14:textId="7EDB5047" w:rsidR="00147C5D" w:rsidRDefault="00147C5D" w:rsidP="00BD1CC4">
      <w:pPr>
        <w:pStyle w:val="paragraph"/>
        <w:spacing w:before="0" w:beforeAutospacing="0" w:after="0" w:afterAutospacing="0" w:line="360" w:lineRule="auto"/>
        <w:ind w:firstLine="709"/>
        <w:textAlignment w:val="baseline"/>
        <w:rPr>
          <w:rStyle w:val="normaltextrun"/>
        </w:rPr>
      </w:pPr>
    </w:p>
    <w:p w14:paraId="238EE2ED" w14:textId="77777777" w:rsidR="00147C5D" w:rsidRPr="00147C5D" w:rsidRDefault="00147C5D" w:rsidP="00147C5D">
      <w:pPr>
        <w:pStyle w:val="Legenda"/>
        <w:keepNext/>
        <w:spacing w:after="0" w:line="360" w:lineRule="auto"/>
        <w:rPr>
          <w:rFonts w:ascii="Times New Roman" w:hAnsi="Times New Roman" w:cs="Times New Roman"/>
          <w:b/>
          <w:bCs/>
          <w:i w:val="0"/>
          <w:iCs w:val="0"/>
          <w:color w:val="auto"/>
          <w:sz w:val="24"/>
          <w:szCs w:val="24"/>
        </w:rPr>
      </w:pPr>
      <w:r w:rsidRPr="00147C5D">
        <w:rPr>
          <w:rFonts w:ascii="Times New Roman" w:hAnsi="Times New Roman" w:cs="Times New Roman"/>
          <w:b/>
          <w:bCs/>
          <w:i w:val="0"/>
          <w:iCs w:val="0"/>
          <w:color w:val="auto"/>
          <w:sz w:val="24"/>
          <w:szCs w:val="24"/>
        </w:rPr>
        <w:t>Tabela 1</w:t>
      </w:r>
    </w:p>
    <w:p w14:paraId="3BA4650E" w14:textId="1F1E6663" w:rsidR="00147C5D" w:rsidRDefault="00147C5D" w:rsidP="00147C5D">
      <w:pPr>
        <w:pStyle w:val="Legenda"/>
        <w:keepNext/>
        <w:spacing w:after="0" w:line="360" w:lineRule="auto"/>
        <w:rPr>
          <w:rFonts w:ascii="Times New Roman" w:hAnsi="Times New Roman" w:cs="Times New Roman"/>
          <w:color w:val="auto"/>
          <w:sz w:val="24"/>
          <w:szCs w:val="24"/>
        </w:rPr>
      </w:pPr>
      <w:r w:rsidRPr="00BD4653">
        <w:rPr>
          <w:rFonts w:ascii="Times New Roman" w:hAnsi="Times New Roman" w:cs="Times New Roman"/>
          <w:color w:val="auto"/>
          <w:sz w:val="24"/>
          <w:szCs w:val="24"/>
        </w:rPr>
        <w:t xml:space="preserve">Diferenças no Stress e Avaliação Cognitiva em Função dos Perfis de Stress e Avaliação Cognitiva </w:t>
      </w:r>
    </w:p>
    <w:p w14:paraId="6C4AB2F0" w14:textId="08BF8C44" w:rsidR="00147C5D" w:rsidRDefault="00147C5D" w:rsidP="00147C5D">
      <w:pPr>
        <w:rPr>
          <w:lang w:eastAsia="en-US"/>
        </w:rPr>
      </w:pPr>
    </w:p>
    <w:tbl>
      <w:tblPr>
        <w:tblStyle w:val="TabelacomGrelha"/>
        <w:tblpPr w:leftFromText="141" w:rightFromText="141" w:vertAnchor="text" w:horzAnchor="margin" w:tblpY="70"/>
        <w:tblW w:w="5251" w:type="pct"/>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75"/>
        <w:gridCol w:w="1814"/>
        <w:gridCol w:w="1966"/>
        <w:gridCol w:w="2570"/>
      </w:tblGrid>
      <w:tr w:rsidR="00147C5D" w:rsidRPr="00BD4653" w14:paraId="03EB32F9" w14:textId="77777777" w:rsidTr="00280FD9">
        <w:trPr>
          <w:trHeight w:val="582"/>
        </w:trPr>
        <w:tc>
          <w:tcPr>
            <w:tcW w:w="1667" w:type="pct"/>
            <w:tcBorders>
              <w:bottom w:val="single" w:sz="4" w:space="0" w:color="auto"/>
            </w:tcBorders>
            <w:vAlign w:val="center"/>
          </w:tcPr>
          <w:p w14:paraId="5B6A854D" w14:textId="77777777" w:rsidR="00147C5D" w:rsidRPr="00BD4653" w:rsidRDefault="00147C5D" w:rsidP="00280FD9">
            <w:pPr>
              <w:spacing w:line="360" w:lineRule="auto"/>
              <w:jc w:val="center"/>
              <w:rPr>
                <w:rFonts w:eastAsiaTheme="minorHAnsi"/>
                <w:b/>
                <w:bCs/>
                <w:color w:val="000000"/>
                <w:lang w:val="en-GB" w:eastAsia="en-US"/>
              </w:rPr>
            </w:pPr>
            <w:r w:rsidRPr="00BD4653">
              <w:rPr>
                <w:rFonts w:eastAsiaTheme="minorHAnsi"/>
                <w:b/>
                <w:bCs/>
                <w:color w:val="000000"/>
                <w:lang w:eastAsia="en-US"/>
              </w:rPr>
              <w:t>Perfil de</w:t>
            </w:r>
            <w:r w:rsidRPr="00BD4653">
              <w:rPr>
                <w:rFonts w:eastAsiaTheme="minorHAnsi"/>
                <w:b/>
                <w:bCs/>
                <w:color w:val="000000"/>
                <w:lang w:val="en-GB" w:eastAsia="en-US"/>
              </w:rPr>
              <w:t xml:space="preserve"> </w:t>
            </w:r>
            <w:r w:rsidRPr="00BD4653">
              <w:rPr>
                <w:rFonts w:eastAsiaTheme="minorHAnsi"/>
                <w:b/>
                <w:bCs/>
                <w:i/>
                <w:iCs/>
                <w:color w:val="000000"/>
                <w:lang w:val="en-GB" w:eastAsia="en-US"/>
              </w:rPr>
              <w:t>stress</w:t>
            </w:r>
          </w:p>
        </w:tc>
        <w:tc>
          <w:tcPr>
            <w:tcW w:w="952" w:type="pct"/>
            <w:tcBorders>
              <w:bottom w:val="single" w:sz="4" w:space="0" w:color="auto"/>
            </w:tcBorders>
            <w:vAlign w:val="center"/>
          </w:tcPr>
          <w:p w14:paraId="2088CAEB" w14:textId="77777777" w:rsidR="00147C5D" w:rsidRPr="00BD4653" w:rsidRDefault="00147C5D" w:rsidP="00280FD9">
            <w:pPr>
              <w:spacing w:line="360" w:lineRule="auto"/>
              <w:jc w:val="center"/>
              <w:rPr>
                <w:b/>
                <w:bCs/>
                <w:lang w:eastAsia="pt-PT" w:bidi="he-IL"/>
              </w:rPr>
            </w:pPr>
            <w:r w:rsidRPr="00BD4653">
              <w:rPr>
                <w:b/>
                <w:bCs/>
                <w:lang w:eastAsia="pt-PT" w:bidi="he-IL"/>
              </w:rPr>
              <w:t xml:space="preserve">Nível inferior de </w:t>
            </w:r>
            <w:r w:rsidRPr="00BD4653">
              <w:rPr>
                <w:b/>
                <w:bCs/>
                <w:i/>
                <w:iCs/>
                <w:lang w:eastAsia="pt-PT" w:bidi="he-IL"/>
              </w:rPr>
              <w:t xml:space="preserve">stress </w:t>
            </w:r>
          </w:p>
          <w:p w14:paraId="3ADD5B15" w14:textId="77777777" w:rsidR="00147C5D" w:rsidRPr="00BD4653" w:rsidRDefault="00147C5D" w:rsidP="00280FD9">
            <w:pPr>
              <w:spacing w:line="360" w:lineRule="auto"/>
              <w:jc w:val="center"/>
              <w:rPr>
                <w:rFonts w:eastAsiaTheme="minorHAnsi"/>
                <w:color w:val="000000"/>
                <w:lang w:eastAsia="en-US"/>
              </w:rPr>
            </w:pPr>
            <w:r w:rsidRPr="00BD4653">
              <w:rPr>
                <w:rFonts w:eastAsiaTheme="minorHAnsi"/>
                <w:i/>
                <w:iCs/>
                <w:color w:val="000000"/>
                <w:lang w:eastAsia="en-US"/>
              </w:rPr>
              <w:t>n</w:t>
            </w:r>
            <w:r w:rsidRPr="00BD4653">
              <w:rPr>
                <w:rFonts w:eastAsiaTheme="minorHAnsi"/>
                <w:color w:val="000000"/>
                <w:lang w:eastAsia="en-US"/>
              </w:rPr>
              <w:t xml:space="preserve"> = 237</w:t>
            </w:r>
          </w:p>
        </w:tc>
        <w:tc>
          <w:tcPr>
            <w:tcW w:w="1032" w:type="pct"/>
            <w:tcBorders>
              <w:bottom w:val="single" w:sz="4" w:space="0" w:color="auto"/>
            </w:tcBorders>
            <w:vAlign w:val="center"/>
          </w:tcPr>
          <w:p w14:paraId="58FC19EE" w14:textId="77777777" w:rsidR="00147C5D" w:rsidRPr="00BD4653" w:rsidRDefault="00147C5D" w:rsidP="00280FD9">
            <w:pPr>
              <w:spacing w:line="360" w:lineRule="auto"/>
              <w:jc w:val="center"/>
              <w:rPr>
                <w:b/>
                <w:bCs/>
                <w:i/>
                <w:iCs/>
                <w:lang w:eastAsia="pt-PT"/>
              </w:rPr>
            </w:pPr>
            <w:r w:rsidRPr="00BD4653">
              <w:rPr>
                <w:b/>
                <w:bCs/>
                <w:lang w:eastAsia="pt-PT" w:bidi="he-IL"/>
              </w:rPr>
              <w:t xml:space="preserve">Nível superior de </w:t>
            </w:r>
            <w:r w:rsidRPr="00BD4653">
              <w:rPr>
                <w:b/>
                <w:bCs/>
                <w:i/>
                <w:iCs/>
                <w:lang w:eastAsia="pt-PT" w:bidi="he-IL"/>
              </w:rPr>
              <w:t>stress</w:t>
            </w:r>
          </w:p>
          <w:p w14:paraId="5A7BAF7A" w14:textId="77777777" w:rsidR="00147C5D" w:rsidRPr="00BD4653" w:rsidRDefault="00147C5D" w:rsidP="00280FD9">
            <w:pPr>
              <w:spacing w:line="360" w:lineRule="auto"/>
              <w:jc w:val="center"/>
              <w:rPr>
                <w:i/>
                <w:iCs/>
                <w:lang w:eastAsia="pt-PT"/>
              </w:rPr>
            </w:pPr>
            <w:r w:rsidRPr="00BD4653">
              <w:rPr>
                <w:rFonts w:eastAsiaTheme="minorHAnsi"/>
                <w:i/>
                <w:iCs/>
                <w:color w:val="000000"/>
                <w:lang w:eastAsia="en-US"/>
              </w:rPr>
              <w:t xml:space="preserve">n </w:t>
            </w:r>
            <w:r w:rsidRPr="00BD4653">
              <w:rPr>
                <w:rFonts w:eastAsiaTheme="minorHAnsi"/>
                <w:color w:val="000000"/>
                <w:lang w:eastAsia="en-US"/>
              </w:rPr>
              <w:t>= 310</w:t>
            </w:r>
          </w:p>
        </w:tc>
        <w:tc>
          <w:tcPr>
            <w:tcW w:w="1349" w:type="pct"/>
            <w:tcBorders>
              <w:bottom w:val="single" w:sz="4" w:space="0" w:color="auto"/>
            </w:tcBorders>
            <w:vAlign w:val="center"/>
          </w:tcPr>
          <w:p w14:paraId="5607CA5D" w14:textId="77777777" w:rsidR="00147C5D" w:rsidRPr="00BD4653" w:rsidRDefault="00147C5D" w:rsidP="00280FD9">
            <w:pPr>
              <w:spacing w:line="360" w:lineRule="auto"/>
              <w:jc w:val="center"/>
              <w:rPr>
                <w:rFonts w:eastAsiaTheme="minorHAnsi"/>
                <w:b/>
                <w:i/>
                <w:iCs/>
                <w:color w:val="000000"/>
                <w:lang w:val="en-GB" w:eastAsia="en-US"/>
              </w:rPr>
            </w:pPr>
            <w:r w:rsidRPr="00BD4653">
              <w:rPr>
                <w:rFonts w:eastAsiaTheme="minorHAnsi"/>
                <w:b/>
                <w:i/>
                <w:iCs/>
                <w:color w:val="000000"/>
                <w:lang w:val="en-GB" w:eastAsia="en-US"/>
              </w:rPr>
              <w:t>Teste-t</w:t>
            </w:r>
          </w:p>
        </w:tc>
      </w:tr>
      <w:tr w:rsidR="00147C5D" w:rsidRPr="00BD4653" w14:paraId="1E4BBEB9" w14:textId="77777777" w:rsidTr="00280FD9">
        <w:tc>
          <w:tcPr>
            <w:tcW w:w="1667" w:type="pct"/>
            <w:tcBorders>
              <w:top w:val="single" w:sz="4" w:space="0" w:color="auto"/>
            </w:tcBorders>
          </w:tcPr>
          <w:p w14:paraId="710F1E1F" w14:textId="77777777" w:rsidR="00147C5D" w:rsidRPr="00BD4653" w:rsidRDefault="00147C5D" w:rsidP="00280FD9">
            <w:pPr>
              <w:spacing w:line="360" w:lineRule="auto"/>
              <w:rPr>
                <w:rFonts w:eastAsiaTheme="minorHAnsi"/>
                <w:color w:val="000000"/>
                <w:lang w:val="en-GB" w:eastAsia="en-US"/>
              </w:rPr>
            </w:pPr>
            <w:r w:rsidRPr="00BD4653">
              <w:rPr>
                <w:rFonts w:eastAsiaTheme="minorHAnsi"/>
                <w:color w:val="000000"/>
                <w:lang w:eastAsia="en-US"/>
              </w:rPr>
              <w:t>Rendimento</w:t>
            </w:r>
            <w:r w:rsidRPr="00BD4653">
              <w:rPr>
                <w:rFonts w:eastAsiaTheme="minorHAnsi"/>
                <w:color w:val="000000"/>
                <w:lang w:val="en-GB" w:eastAsia="en-US"/>
              </w:rPr>
              <w:t xml:space="preserve"> escolar </w:t>
            </w:r>
          </w:p>
        </w:tc>
        <w:tc>
          <w:tcPr>
            <w:tcW w:w="952" w:type="pct"/>
            <w:tcBorders>
              <w:top w:val="single" w:sz="4" w:space="0" w:color="auto"/>
            </w:tcBorders>
          </w:tcPr>
          <w:p w14:paraId="6C0376C8"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2.4 (0.8)</w:t>
            </w:r>
          </w:p>
        </w:tc>
        <w:tc>
          <w:tcPr>
            <w:tcW w:w="1032" w:type="pct"/>
            <w:tcBorders>
              <w:top w:val="single" w:sz="4" w:space="0" w:color="auto"/>
            </w:tcBorders>
          </w:tcPr>
          <w:p w14:paraId="5BF0C9AB"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3.3 (0.6)</w:t>
            </w:r>
          </w:p>
        </w:tc>
        <w:tc>
          <w:tcPr>
            <w:tcW w:w="1349" w:type="pct"/>
            <w:tcBorders>
              <w:top w:val="single" w:sz="4" w:space="0" w:color="auto"/>
            </w:tcBorders>
          </w:tcPr>
          <w:p w14:paraId="3F759E6E"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(411) = -14.33,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41506F16" w14:textId="77777777" w:rsidTr="00280FD9">
        <w:tc>
          <w:tcPr>
            <w:tcW w:w="1667" w:type="pct"/>
          </w:tcPr>
          <w:p w14:paraId="5AE09419"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 xml:space="preserve">Avaliação académica </w:t>
            </w:r>
          </w:p>
        </w:tc>
        <w:tc>
          <w:tcPr>
            <w:tcW w:w="952" w:type="pct"/>
          </w:tcPr>
          <w:p w14:paraId="749E7B90"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2.4 (0.8)</w:t>
            </w:r>
          </w:p>
        </w:tc>
        <w:tc>
          <w:tcPr>
            <w:tcW w:w="1032" w:type="pct"/>
          </w:tcPr>
          <w:p w14:paraId="7EF74682"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3.4 (0.5)</w:t>
            </w:r>
          </w:p>
        </w:tc>
        <w:tc>
          <w:tcPr>
            <w:tcW w:w="1349" w:type="pct"/>
          </w:tcPr>
          <w:p w14:paraId="6F58EB86"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(373) = -17.15,</w:t>
            </w:r>
            <w:r w:rsidRPr="00BD4653">
              <w:rPr>
                <w:rFonts w:eastAsiaTheme="minorHAnsi"/>
                <w:i/>
                <w:iCs/>
                <w:color w:val="000000"/>
                <w:lang w:val="en-GB" w:eastAsia="en-US"/>
              </w:rPr>
              <w:t xml:space="preserve"> p</w:t>
            </w:r>
            <w:r w:rsidRPr="00BD4653">
              <w:rPr>
                <w:rFonts w:eastAsiaTheme="minorHAnsi"/>
                <w:color w:val="000000"/>
                <w:lang w:val="en-GB" w:eastAsia="en-US"/>
              </w:rPr>
              <w:t xml:space="preserve"> &lt; .001</w:t>
            </w:r>
          </w:p>
        </w:tc>
      </w:tr>
      <w:tr w:rsidR="00147C5D" w:rsidRPr="00BD4653" w14:paraId="7C9D5296" w14:textId="77777777" w:rsidTr="00280FD9">
        <w:tc>
          <w:tcPr>
            <w:tcW w:w="1667" w:type="pct"/>
          </w:tcPr>
          <w:p w14:paraId="45C27F20"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 xml:space="preserve">Motivação </w:t>
            </w:r>
          </w:p>
        </w:tc>
        <w:tc>
          <w:tcPr>
            <w:tcW w:w="952" w:type="pct"/>
          </w:tcPr>
          <w:p w14:paraId="5193CA30"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1.9 (0.8)</w:t>
            </w:r>
          </w:p>
        </w:tc>
        <w:tc>
          <w:tcPr>
            <w:tcW w:w="1032" w:type="pct"/>
          </w:tcPr>
          <w:p w14:paraId="2DC06BEE"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2.9 (0.7)</w:t>
            </w:r>
          </w:p>
        </w:tc>
        <w:tc>
          <w:tcPr>
            <w:tcW w:w="1349" w:type="pct"/>
          </w:tcPr>
          <w:p w14:paraId="49F950CB"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(458) = -15.88,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3E708505" w14:textId="77777777" w:rsidTr="00280FD9">
        <w:tc>
          <w:tcPr>
            <w:tcW w:w="1667" w:type="pct"/>
          </w:tcPr>
          <w:p w14:paraId="3A763256"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Aprendizagem</w:t>
            </w:r>
          </w:p>
        </w:tc>
        <w:tc>
          <w:tcPr>
            <w:tcW w:w="952" w:type="pct"/>
          </w:tcPr>
          <w:p w14:paraId="6375F22B"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2.2 (0.8)</w:t>
            </w:r>
          </w:p>
        </w:tc>
        <w:tc>
          <w:tcPr>
            <w:tcW w:w="1032" w:type="pct"/>
          </w:tcPr>
          <w:p w14:paraId="3ED84F29"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3.3 (0.6)</w:t>
            </w:r>
          </w:p>
        </w:tc>
        <w:tc>
          <w:tcPr>
            <w:tcW w:w="1349" w:type="pct"/>
          </w:tcPr>
          <w:p w14:paraId="0B61B52F"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(392) = -17.57,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49B97E7E" w14:textId="77777777" w:rsidTr="00280FD9">
        <w:tc>
          <w:tcPr>
            <w:tcW w:w="1667" w:type="pct"/>
          </w:tcPr>
          <w:p w14:paraId="7DABEC73"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Excesso de trabalho</w:t>
            </w:r>
          </w:p>
        </w:tc>
        <w:tc>
          <w:tcPr>
            <w:tcW w:w="952" w:type="pct"/>
          </w:tcPr>
          <w:p w14:paraId="479AFD99"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2.7 (0.8)</w:t>
            </w:r>
          </w:p>
        </w:tc>
        <w:tc>
          <w:tcPr>
            <w:tcW w:w="1032" w:type="pct"/>
          </w:tcPr>
          <w:p w14:paraId="1FFFC04F"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3.6 (0.6)</w:t>
            </w:r>
          </w:p>
        </w:tc>
        <w:tc>
          <w:tcPr>
            <w:tcW w:w="1349" w:type="pct"/>
          </w:tcPr>
          <w:p w14:paraId="3181557E"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(406) = -15.03,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7A9CA35A" w14:textId="77777777" w:rsidTr="00280FD9">
        <w:tc>
          <w:tcPr>
            <w:tcW w:w="1667" w:type="pct"/>
          </w:tcPr>
          <w:p w14:paraId="6C3678B2"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 xml:space="preserve">Expectativas futuras </w:t>
            </w:r>
          </w:p>
        </w:tc>
        <w:tc>
          <w:tcPr>
            <w:tcW w:w="952" w:type="pct"/>
          </w:tcPr>
          <w:p w14:paraId="00C1251A"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1.8 (0.9)</w:t>
            </w:r>
          </w:p>
        </w:tc>
        <w:tc>
          <w:tcPr>
            <w:tcW w:w="1032" w:type="pct"/>
          </w:tcPr>
          <w:p w14:paraId="0CB9013C"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3.0 (0.8)</w:t>
            </w:r>
          </w:p>
        </w:tc>
        <w:tc>
          <w:tcPr>
            <w:tcW w:w="1349" w:type="pct"/>
          </w:tcPr>
          <w:p w14:paraId="30710369"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(545) = -16.64,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690ABCEC" w14:textId="77777777" w:rsidTr="00280FD9">
        <w:tc>
          <w:tcPr>
            <w:tcW w:w="1667" w:type="pct"/>
            <w:tcBorders>
              <w:bottom w:val="single" w:sz="4" w:space="0" w:color="auto"/>
            </w:tcBorders>
          </w:tcPr>
          <w:p w14:paraId="6633B1D6"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 xml:space="preserve">Problemas financeiros </w:t>
            </w:r>
          </w:p>
        </w:tc>
        <w:tc>
          <w:tcPr>
            <w:tcW w:w="952" w:type="pct"/>
            <w:tcBorders>
              <w:bottom w:val="single" w:sz="4" w:space="0" w:color="auto"/>
            </w:tcBorders>
          </w:tcPr>
          <w:p w14:paraId="683A43D1"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1.3 (1.0)</w:t>
            </w:r>
          </w:p>
        </w:tc>
        <w:tc>
          <w:tcPr>
            <w:tcW w:w="1032" w:type="pct"/>
            <w:tcBorders>
              <w:bottom w:val="single" w:sz="4" w:space="0" w:color="auto"/>
            </w:tcBorders>
          </w:tcPr>
          <w:p w14:paraId="1E48AA67"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color w:val="000000"/>
                <w:lang w:val="en-GB" w:eastAsia="en-US"/>
              </w:rPr>
              <w:t>2.5 (1.0)</w:t>
            </w:r>
          </w:p>
        </w:tc>
        <w:tc>
          <w:tcPr>
            <w:tcW w:w="1349" w:type="pct"/>
            <w:tcBorders>
              <w:bottom w:val="single" w:sz="4" w:space="0" w:color="auto"/>
            </w:tcBorders>
          </w:tcPr>
          <w:p w14:paraId="64BE0676"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(545) = -13.36,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5FB5219F" w14:textId="77777777" w:rsidTr="00280FD9">
        <w:trPr>
          <w:trHeight w:val="594"/>
        </w:trPr>
        <w:tc>
          <w:tcPr>
            <w:tcW w:w="1667" w:type="pct"/>
            <w:tcBorders>
              <w:top w:val="single" w:sz="4" w:space="0" w:color="auto"/>
              <w:bottom w:val="single" w:sz="4" w:space="0" w:color="auto"/>
            </w:tcBorders>
            <w:vAlign w:val="center"/>
          </w:tcPr>
          <w:p w14:paraId="5BFEA4B1" w14:textId="77777777" w:rsidR="00147C5D" w:rsidRPr="00BD4653" w:rsidRDefault="00147C5D" w:rsidP="00280FD9">
            <w:pPr>
              <w:spacing w:line="360" w:lineRule="auto"/>
              <w:jc w:val="center"/>
              <w:rPr>
                <w:rFonts w:eastAsiaTheme="minorHAnsi"/>
                <w:b/>
                <w:bCs/>
                <w:color w:val="000000"/>
                <w:lang w:eastAsia="en-US"/>
              </w:rPr>
            </w:pPr>
            <w:r w:rsidRPr="00BD4653">
              <w:rPr>
                <w:rFonts w:eastAsiaTheme="minorHAnsi"/>
                <w:b/>
                <w:bCs/>
                <w:color w:val="000000"/>
                <w:lang w:eastAsia="en-US"/>
              </w:rPr>
              <w:t>Perfil de avaliação cognitiva</w:t>
            </w:r>
          </w:p>
        </w:tc>
        <w:tc>
          <w:tcPr>
            <w:tcW w:w="952" w:type="pct"/>
            <w:tcBorders>
              <w:top w:val="single" w:sz="4" w:space="0" w:color="auto"/>
              <w:bottom w:val="single" w:sz="4" w:space="0" w:color="auto"/>
            </w:tcBorders>
            <w:vAlign w:val="center"/>
          </w:tcPr>
          <w:p w14:paraId="5300F6E9" w14:textId="77777777" w:rsidR="00147C5D" w:rsidRPr="00BD4653" w:rsidRDefault="00147C5D" w:rsidP="00280FD9">
            <w:pPr>
              <w:widowControl w:val="0"/>
              <w:suppressAutoHyphens/>
              <w:spacing w:line="360" w:lineRule="auto"/>
              <w:jc w:val="center"/>
              <w:rPr>
                <w:rFonts w:eastAsia="Arial Unicode MS"/>
                <w:b/>
                <w:bCs/>
                <w:kern w:val="1"/>
                <w:lang w:eastAsia="ar-SA"/>
              </w:rPr>
            </w:pPr>
            <w:r w:rsidRPr="00BD4653">
              <w:rPr>
                <w:rFonts w:eastAsia="Arial Unicode MS"/>
                <w:b/>
                <w:bCs/>
                <w:kern w:val="1"/>
                <w:lang w:eastAsia="ar-SA"/>
              </w:rPr>
              <w:t>Moderadamente positivo</w:t>
            </w:r>
          </w:p>
          <w:p w14:paraId="670D35F6"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lang w:eastAsia="en-US"/>
              </w:rPr>
              <w:t>n</w:t>
            </w:r>
            <w:r w:rsidRPr="00BD4653">
              <w:rPr>
                <w:rFonts w:eastAsiaTheme="minorHAnsi"/>
                <w:lang w:eastAsia="en-US"/>
              </w:rPr>
              <w:t xml:space="preserve"> = 253</w:t>
            </w:r>
          </w:p>
        </w:tc>
        <w:tc>
          <w:tcPr>
            <w:tcW w:w="1032" w:type="pct"/>
            <w:tcBorders>
              <w:top w:val="single" w:sz="4" w:space="0" w:color="auto"/>
              <w:bottom w:val="single" w:sz="4" w:space="0" w:color="auto"/>
            </w:tcBorders>
            <w:vAlign w:val="center"/>
          </w:tcPr>
          <w:p w14:paraId="00DC1F19" w14:textId="77777777" w:rsidR="00147C5D" w:rsidRPr="00BD4653" w:rsidRDefault="00147C5D" w:rsidP="00280FD9">
            <w:pPr>
              <w:widowControl w:val="0"/>
              <w:suppressAutoHyphens/>
              <w:spacing w:line="360" w:lineRule="auto"/>
              <w:jc w:val="center"/>
              <w:rPr>
                <w:rFonts w:eastAsia="Arial Unicode MS"/>
                <w:b/>
                <w:bCs/>
                <w:kern w:val="1"/>
                <w:lang w:eastAsia="ar-SA"/>
              </w:rPr>
            </w:pPr>
            <w:r w:rsidRPr="00BD4653">
              <w:rPr>
                <w:rFonts w:eastAsia="Arial Unicode MS"/>
                <w:b/>
                <w:bCs/>
                <w:kern w:val="1"/>
                <w:lang w:eastAsia="ar-SA"/>
              </w:rPr>
              <w:t>Muito</w:t>
            </w:r>
          </w:p>
          <w:p w14:paraId="17A1B7CF" w14:textId="77777777" w:rsidR="00147C5D" w:rsidRPr="00BD4653" w:rsidRDefault="00147C5D" w:rsidP="00280FD9">
            <w:pPr>
              <w:widowControl w:val="0"/>
              <w:suppressAutoHyphens/>
              <w:spacing w:line="360" w:lineRule="auto"/>
              <w:jc w:val="center"/>
              <w:rPr>
                <w:rFonts w:eastAsia="Arial Unicode MS"/>
                <w:b/>
                <w:bCs/>
                <w:kern w:val="1"/>
                <w:lang w:eastAsia="ar-SA"/>
              </w:rPr>
            </w:pPr>
            <w:r w:rsidRPr="00BD4653">
              <w:rPr>
                <w:rFonts w:eastAsia="Arial Unicode MS"/>
                <w:b/>
                <w:bCs/>
                <w:kern w:val="1"/>
                <w:lang w:eastAsia="ar-SA"/>
              </w:rPr>
              <w:t>positivo</w:t>
            </w:r>
          </w:p>
          <w:p w14:paraId="32153CBE"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lang w:eastAsia="en-US"/>
              </w:rPr>
              <w:t>n</w:t>
            </w:r>
            <w:r w:rsidRPr="00BD4653">
              <w:rPr>
                <w:rFonts w:eastAsiaTheme="minorHAnsi"/>
                <w:lang w:eastAsia="en-US"/>
              </w:rPr>
              <w:t xml:space="preserve"> = 294</w:t>
            </w:r>
          </w:p>
        </w:tc>
        <w:tc>
          <w:tcPr>
            <w:tcW w:w="1349" w:type="pct"/>
            <w:tcBorders>
              <w:top w:val="single" w:sz="4" w:space="0" w:color="auto"/>
              <w:bottom w:val="single" w:sz="4" w:space="0" w:color="auto"/>
            </w:tcBorders>
            <w:vAlign w:val="center"/>
          </w:tcPr>
          <w:p w14:paraId="73C8215F" w14:textId="77777777" w:rsidR="00147C5D" w:rsidRPr="00BD4653" w:rsidRDefault="00147C5D" w:rsidP="00280FD9">
            <w:pPr>
              <w:spacing w:line="360" w:lineRule="auto"/>
              <w:jc w:val="center"/>
              <w:rPr>
                <w:rFonts w:eastAsiaTheme="minorHAnsi"/>
                <w:i/>
                <w:iCs/>
                <w:color w:val="000000"/>
                <w:lang w:val="en-GB" w:eastAsia="en-US"/>
              </w:rPr>
            </w:pPr>
            <w:r w:rsidRPr="00BD4653">
              <w:rPr>
                <w:rFonts w:eastAsiaTheme="minorHAnsi"/>
                <w:b/>
                <w:i/>
                <w:iCs/>
                <w:color w:val="000000"/>
                <w:lang w:val="en-GB" w:eastAsia="en-US"/>
              </w:rPr>
              <w:t>Teste-t</w:t>
            </w:r>
          </w:p>
        </w:tc>
      </w:tr>
      <w:tr w:rsidR="00147C5D" w:rsidRPr="00BD4653" w14:paraId="56CD0C8E" w14:textId="77777777" w:rsidTr="00280FD9">
        <w:tc>
          <w:tcPr>
            <w:tcW w:w="1667" w:type="pct"/>
            <w:tcBorders>
              <w:top w:val="single" w:sz="4" w:space="0" w:color="auto"/>
            </w:tcBorders>
          </w:tcPr>
          <w:p w14:paraId="42D7CCC5"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Ameaça</w:t>
            </w:r>
          </w:p>
        </w:tc>
        <w:tc>
          <w:tcPr>
            <w:tcW w:w="952" w:type="pct"/>
            <w:tcBorders>
              <w:top w:val="single" w:sz="4" w:space="0" w:color="auto"/>
            </w:tcBorders>
          </w:tcPr>
          <w:p w14:paraId="6BD76CA4"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3.5 (0.9)</w:t>
            </w:r>
          </w:p>
        </w:tc>
        <w:tc>
          <w:tcPr>
            <w:tcW w:w="1032" w:type="pct"/>
            <w:tcBorders>
              <w:top w:val="single" w:sz="4" w:space="0" w:color="auto"/>
            </w:tcBorders>
          </w:tcPr>
          <w:p w14:paraId="426FCFEE"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1.2 (0.9)</w:t>
            </w:r>
          </w:p>
        </w:tc>
        <w:tc>
          <w:tcPr>
            <w:tcW w:w="1349" w:type="pct"/>
            <w:tcBorders>
              <w:top w:val="single" w:sz="4" w:space="0" w:color="auto"/>
            </w:tcBorders>
          </w:tcPr>
          <w:p w14:paraId="5688BD25"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 xml:space="preserve">t </w:t>
            </w:r>
            <w:r w:rsidRPr="00BD4653">
              <w:rPr>
                <w:rFonts w:eastAsiaTheme="minorHAnsi"/>
                <w:color w:val="000000"/>
                <w:lang w:val="en-GB" w:eastAsia="en-US"/>
              </w:rPr>
              <w:t>(545) = -31.49,</w:t>
            </w:r>
            <w:r w:rsidRPr="00BD4653">
              <w:rPr>
                <w:rFonts w:eastAsiaTheme="minorHAnsi"/>
                <w:i/>
                <w:iCs/>
                <w:color w:val="000000"/>
                <w:lang w:val="en-GB" w:eastAsia="en-US"/>
              </w:rPr>
              <w:t xml:space="preserve"> p </w:t>
            </w:r>
            <w:r w:rsidRPr="00BD4653">
              <w:rPr>
                <w:rFonts w:eastAsiaTheme="minorHAnsi"/>
                <w:color w:val="000000"/>
                <w:lang w:val="en-GB" w:eastAsia="en-US"/>
              </w:rPr>
              <w:t>&lt; .001</w:t>
            </w:r>
          </w:p>
        </w:tc>
      </w:tr>
      <w:tr w:rsidR="00147C5D" w:rsidRPr="00BD4653" w14:paraId="4B6F0AD0" w14:textId="77777777" w:rsidTr="00280FD9">
        <w:tc>
          <w:tcPr>
            <w:tcW w:w="1667" w:type="pct"/>
          </w:tcPr>
          <w:p w14:paraId="136794CE"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Desafio</w:t>
            </w:r>
          </w:p>
        </w:tc>
        <w:tc>
          <w:tcPr>
            <w:tcW w:w="952" w:type="pct"/>
          </w:tcPr>
          <w:p w14:paraId="07C467EC"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4.0 (1.0)</w:t>
            </w:r>
          </w:p>
        </w:tc>
        <w:tc>
          <w:tcPr>
            <w:tcW w:w="1032" w:type="pct"/>
          </w:tcPr>
          <w:p w14:paraId="14D38E59"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4.8 (0.8)</w:t>
            </w:r>
          </w:p>
        </w:tc>
        <w:tc>
          <w:tcPr>
            <w:tcW w:w="1349" w:type="pct"/>
          </w:tcPr>
          <w:p w14:paraId="130895FF"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(545) = 10.19,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76B5E91D" w14:textId="77777777" w:rsidTr="00280FD9">
        <w:tc>
          <w:tcPr>
            <w:tcW w:w="1667" w:type="pct"/>
          </w:tcPr>
          <w:p w14:paraId="7DFEA9B9"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Confronto</w:t>
            </w:r>
          </w:p>
        </w:tc>
        <w:tc>
          <w:tcPr>
            <w:tcW w:w="952" w:type="pct"/>
          </w:tcPr>
          <w:p w14:paraId="2DC20815"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3.5 (0.9)</w:t>
            </w:r>
          </w:p>
        </w:tc>
        <w:tc>
          <w:tcPr>
            <w:tcW w:w="1032" w:type="pct"/>
          </w:tcPr>
          <w:p w14:paraId="07BCDA6F"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4.4 (0.8)</w:t>
            </w:r>
          </w:p>
        </w:tc>
        <w:tc>
          <w:tcPr>
            <w:tcW w:w="1349" w:type="pct"/>
          </w:tcPr>
          <w:p w14:paraId="73148EC4"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(545) = 12.04,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r w:rsidR="00147C5D" w:rsidRPr="00BD4653" w14:paraId="4122D134" w14:textId="77777777" w:rsidTr="00280FD9">
        <w:tc>
          <w:tcPr>
            <w:tcW w:w="1667" w:type="pct"/>
          </w:tcPr>
          <w:p w14:paraId="3BBCFDBD" w14:textId="77777777" w:rsidR="00147C5D" w:rsidRPr="00BD4653" w:rsidRDefault="00147C5D" w:rsidP="00280FD9">
            <w:pPr>
              <w:spacing w:line="360" w:lineRule="auto"/>
              <w:rPr>
                <w:rFonts w:eastAsiaTheme="minorHAnsi"/>
                <w:color w:val="000000"/>
                <w:lang w:eastAsia="en-US"/>
              </w:rPr>
            </w:pPr>
            <w:r w:rsidRPr="00BD4653">
              <w:rPr>
                <w:rFonts w:eastAsiaTheme="minorHAnsi"/>
                <w:color w:val="000000"/>
                <w:lang w:eastAsia="en-US"/>
              </w:rPr>
              <w:t xml:space="preserve">Controle </w:t>
            </w:r>
          </w:p>
        </w:tc>
        <w:tc>
          <w:tcPr>
            <w:tcW w:w="952" w:type="pct"/>
          </w:tcPr>
          <w:p w14:paraId="5C5F0D68"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4.0 (1.0)</w:t>
            </w:r>
          </w:p>
        </w:tc>
        <w:tc>
          <w:tcPr>
            <w:tcW w:w="1032" w:type="pct"/>
          </w:tcPr>
          <w:p w14:paraId="45922F24"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lang w:eastAsia="en-US"/>
              </w:rPr>
              <w:t>4.7 (0.8)</w:t>
            </w:r>
          </w:p>
        </w:tc>
        <w:tc>
          <w:tcPr>
            <w:tcW w:w="1349" w:type="pct"/>
          </w:tcPr>
          <w:p w14:paraId="1427422F" w14:textId="77777777" w:rsidR="00147C5D" w:rsidRPr="00BD4653" w:rsidRDefault="00147C5D" w:rsidP="00280FD9">
            <w:pPr>
              <w:spacing w:line="360" w:lineRule="auto"/>
              <w:jc w:val="center"/>
              <w:rPr>
                <w:rFonts w:eastAsiaTheme="minorHAnsi"/>
                <w:color w:val="000000"/>
                <w:lang w:val="en-GB" w:eastAsia="en-US"/>
              </w:rPr>
            </w:pPr>
            <w:r w:rsidRPr="00BD4653">
              <w:rPr>
                <w:rFonts w:eastAsiaTheme="minorHAnsi"/>
                <w:i/>
                <w:iCs/>
                <w:color w:val="000000"/>
                <w:lang w:val="en-GB" w:eastAsia="en-US"/>
              </w:rPr>
              <w:t>t</w:t>
            </w:r>
            <w:r w:rsidRPr="00BD4653">
              <w:rPr>
                <w:rFonts w:eastAsiaTheme="minorHAnsi"/>
                <w:color w:val="000000"/>
                <w:lang w:val="en-GB" w:eastAsia="en-US"/>
              </w:rPr>
              <w:t xml:space="preserve"> (484) = 9.49, </w:t>
            </w:r>
            <w:r w:rsidRPr="00BD4653">
              <w:rPr>
                <w:rFonts w:eastAsiaTheme="minorHAnsi"/>
                <w:i/>
                <w:iCs/>
                <w:color w:val="000000"/>
                <w:lang w:val="en-GB" w:eastAsia="en-US"/>
              </w:rPr>
              <w:t>p</w:t>
            </w:r>
            <w:r w:rsidRPr="00BD4653">
              <w:rPr>
                <w:rFonts w:eastAsiaTheme="minorHAnsi"/>
                <w:color w:val="000000"/>
                <w:lang w:val="en-GB" w:eastAsia="en-US"/>
              </w:rPr>
              <w:t xml:space="preserve"> &lt; .001</w:t>
            </w:r>
          </w:p>
        </w:tc>
      </w:tr>
    </w:tbl>
    <w:p w14:paraId="3774AF8C" w14:textId="5B2CB3B5" w:rsidR="00147C5D" w:rsidRDefault="00147C5D" w:rsidP="00147C5D">
      <w:pPr>
        <w:rPr>
          <w:lang w:eastAsia="en-US"/>
        </w:rPr>
      </w:pPr>
    </w:p>
    <w:p w14:paraId="5CF6FBB9" w14:textId="0A23C14D" w:rsidR="00147C5D" w:rsidRDefault="00147C5D" w:rsidP="00147C5D">
      <w:pPr>
        <w:rPr>
          <w:lang w:eastAsia="en-US"/>
        </w:rPr>
      </w:pPr>
    </w:p>
    <w:p w14:paraId="18BB5954" w14:textId="665EA163" w:rsidR="00147C5D" w:rsidRDefault="00147C5D" w:rsidP="00147C5D">
      <w:pPr>
        <w:rPr>
          <w:lang w:eastAsia="en-US"/>
        </w:rPr>
      </w:pPr>
    </w:p>
    <w:p w14:paraId="576243CE" w14:textId="6FD024CD" w:rsidR="00147C5D" w:rsidRDefault="00147C5D" w:rsidP="00147C5D">
      <w:pPr>
        <w:rPr>
          <w:lang w:eastAsia="en-US"/>
        </w:rPr>
      </w:pPr>
    </w:p>
    <w:p w14:paraId="1F20CD0D" w14:textId="486739DF" w:rsidR="00147C5D" w:rsidRDefault="00147C5D" w:rsidP="00147C5D">
      <w:pPr>
        <w:rPr>
          <w:lang w:eastAsia="en-US"/>
        </w:rPr>
      </w:pPr>
    </w:p>
    <w:p w14:paraId="3B240B29" w14:textId="70CCF3FD" w:rsidR="00147C5D" w:rsidRDefault="00147C5D" w:rsidP="00147C5D">
      <w:pPr>
        <w:rPr>
          <w:lang w:eastAsia="en-US"/>
        </w:rPr>
      </w:pPr>
    </w:p>
    <w:p w14:paraId="01B937C9" w14:textId="399DCBB3" w:rsidR="00147C5D" w:rsidRDefault="00147C5D" w:rsidP="00147C5D">
      <w:pPr>
        <w:rPr>
          <w:lang w:eastAsia="en-US"/>
        </w:rPr>
      </w:pPr>
    </w:p>
    <w:p w14:paraId="759C55E9" w14:textId="0998D238" w:rsidR="00147C5D" w:rsidRDefault="00147C5D" w:rsidP="00147C5D">
      <w:pPr>
        <w:rPr>
          <w:lang w:eastAsia="en-US"/>
        </w:rPr>
      </w:pPr>
    </w:p>
    <w:p w14:paraId="46C56A83" w14:textId="1E93F7F6" w:rsidR="00147C5D" w:rsidRDefault="00147C5D" w:rsidP="00147C5D">
      <w:pPr>
        <w:rPr>
          <w:lang w:eastAsia="en-US"/>
        </w:rPr>
      </w:pPr>
    </w:p>
    <w:p w14:paraId="2D9C6013" w14:textId="631E8C39" w:rsidR="00147C5D" w:rsidRDefault="00147C5D" w:rsidP="00147C5D">
      <w:pPr>
        <w:rPr>
          <w:lang w:eastAsia="en-US"/>
        </w:rPr>
      </w:pPr>
    </w:p>
    <w:p w14:paraId="25F63FF3" w14:textId="73000D90" w:rsidR="00147C5D" w:rsidRDefault="00147C5D" w:rsidP="00147C5D">
      <w:pPr>
        <w:rPr>
          <w:lang w:eastAsia="en-US"/>
        </w:rPr>
      </w:pPr>
    </w:p>
    <w:p w14:paraId="641547AB" w14:textId="1F6B5CCA" w:rsidR="00147C5D" w:rsidRDefault="00147C5D" w:rsidP="00147C5D">
      <w:pPr>
        <w:rPr>
          <w:lang w:eastAsia="en-US"/>
        </w:rPr>
      </w:pPr>
    </w:p>
    <w:p w14:paraId="74D379E9" w14:textId="6FF8D940" w:rsidR="00147C5D" w:rsidRDefault="00147C5D" w:rsidP="00147C5D">
      <w:pPr>
        <w:rPr>
          <w:lang w:eastAsia="en-US"/>
        </w:rPr>
      </w:pPr>
    </w:p>
    <w:p w14:paraId="38B364F6" w14:textId="5534FCD2" w:rsidR="00147C5D" w:rsidRDefault="00147C5D" w:rsidP="00147C5D">
      <w:pPr>
        <w:rPr>
          <w:lang w:eastAsia="en-US"/>
        </w:rPr>
      </w:pPr>
    </w:p>
    <w:p w14:paraId="5B07AEB7" w14:textId="77777777" w:rsidR="00147C5D" w:rsidRDefault="00147C5D" w:rsidP="00147C5D">
      <w:pPr>
        <w:pStyle w:val="Legenda"/>
        <w:keepNext/>
        <w:spacing w:after="0"/>
        <w:rPr>
          <w:rFonts w:ascii="Times New Roman" w:hAnsi="Times New Roman" w:cs="Times New Roman"/>
          <w:b/>
          <w:bCs/>
          <w:i w:val="0"/>
          <w:iCs w:val="0"/>
          <w:color w:val="auto"/>
          <w:sz w:val="24"/>
          <w:szCs w:val="24"/>
        </w:rPr>
        <w:sectPr w:rsidR="00147C5D" w:rsidSect="00147C5D">
          <w:headerReference w:type="default" r:id="rId25"/>
          <w:headerReference w:type="first" r:id="rId26"/>
          <w:pgSz w:w="11906" w:h="16838"/>
          <w:pgMar w:top="1418" w:right="1418" w:bottom="1418" w:left="1418" w:header="709" w:footer="709" w:gutter="0"/>
          <w:pgNumType w:start="1"/>
          <w:cols w:space="708"/>
          <w:docGrid w:linePitch="360"/>
        </w:sectPr>
      </w:pPr>
    </w:p>
    <w:p w14:paraId="48C54FE2" w14:textId="77777777" w:rsidR="00147C5D" w:rsidRPr="00147C5D" w:rsidRDefault="00147C5D" w:rsidP="00147C5D">
      <w:pPr>
        <w:pStyle w:val="Legenda"/>
        <w:keepNext/>
        <w:spacing w:after="0" w:line="360" w:lineRule="auto"/>
        <w:rPr>
          <w:rFonts w:ascii="Times New Roman" w:hAnsi="Times New Roman" w:cs="Times New Roman"/>
          <w:b/>
          <w:bCs/>
          <w:i w:val="0"/>
          <w:iCs w:val="0"/>
          <w:color w:val="auto"/>
          <w:sz w:val="24"/>
          <w:szCs w:val="24"/>
        </w:rPr>
      </w:pPr>
      <w:r w:rsidRPr="00147C5D">
        <w:rPr>
          <w:rFonts w:ascii="Times New Roman" w:hAnsi="Times New Roman" w:cs="Times New Roman"/>
          <w:b/>
          <w:bCs/>
          <w:i w:val="0"/>
          <w:iCs w:val="0"/>
          <w:color w:val="auto"/>
          <w:sz w:val="24"/>
          <w:szCs w:val="24"/>
        </w:rPr>
        <w:lastRenderedPageBreak/>
        <w:t>Tabela 2</w:t>
      </w:r>
    </w:p>
    <w:p w14:paraId="12ED87E0" w14:textId="0FA95ADD" w:rsidR="00147C5D" w:rsidRPr="00147C5D" w:rsidRDefault="00147C5D" w:rsidP="00147C5D">
      <w:pPr>
        <w:spacing w:line="360" w:lineRule="auto"/>
        <w:rPr>
          <w:i/>
          <w:iCs/>
        </w:rPr>
      </w:pPr>
      <w:r w:rsidRPr="00147C5D">
        <w:rPr>
          <w:i/>
          <w:iCs/>
        </w:rPr>
        <w:t xml:space="preserve">Diferenças no </w:t>
      </w:r>
      <w:proofErr w:type="spellStart"/>
      <w:r w:rsidRPr="00147C5D">
        <w:rPr>
          <w:i/>
          <w:iCs/>
        </w:rPr>
        <w:t>Coping</w:t>
      </w:r>
      <w:proofErr w:type="spellEnd"/>
      <w:r w:rsidRPr="00147C5D">
        <w:rPr>
          <w:i/>
          <w:iCs/>
        </w:rPr>
        <w:t xml:space="preserve"> e no Burnout em função dos Perfis de Stress e de Avaliação Cognitiva</w:t>
      </w:r>
    </w:p>
    <w:tbl>
      <w:tblPr>
        <w:tblStyle w:val="TabelacomGrelha"/>
        <w:tblpPr w:leftFromText="141" w:rightFromText="141" w:vertAnchor="page" w:horzAnchor="margin" w:tblpY="2509"/>
        <w:tblW w:w="14338" w:type="dxa"/>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0"/>
        <w:gridCol w:w="1416"/>
        <w:gridCol w:w="1422"/>
        <w:gridCol w:w="851"/>
        <w:gridCol w:w="561"/>
        <w:gridCol w:w="425"/>
        <w:gridCol w:w="283"/>
        <w:gridCol w:w="1705"/>
        <w:gridCol w:w="995"/>
        <w:gridCol w:w="139"/>
        <w:gridCol w:w="711"/>
        <w:gridCol w:w="140"/>
        <w:gridCol w:w="426"/>
        <w:gridCol w:w="425"/>
        <w:gridCol w:w="284"/>
        <w:gridCol w:w="425"/>
        <w:gridCol w:w="20"/>
        <w:gridCol w:w="548"/>
        <w:gridCol w:w="567"/>
        <w:gridCol w:w="39"/>
        <w:gridCol w:w="515"/>
        <w:gridCol w:w="12"/>
        <w:gridCol w:w="567"/>
        <w:gridCol w:w="22"/>
      </w:tblGrid>
      <w:tr w:rsidR="00147C5D" w:rsidRPr="00BD4653" w14:paraId="5174EC6C" w14:textId="77777777" w:rsidTr="00280FD9">
        <w:trPr>
          <w:gridAfter w:val="2"/>
          <w:wAfter w:w="589" w:type="dxa"/>
          <w:trHeight w:val="676"/>
        </w:trPr>
        <w:tc>
          <w:tcPr>
            <w:tcW w:w="1840" w:type="dxa"/>
            <w:vMerge w:val="restart"/>
          </w:tcPr>
          <w:p w14:paraId="7511FF0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p w14:paraId="4E71D8F5" w14:textId="77777777" w:rsidR="00147C5D" w:rsidRPr="00BD4653" w:rsidRDefault="00147C5D" w:rsidP="00280FD9">
            <w:pPr>
              <w:widowControl w:val="0"/>
              <w:suppressAutoHyphens/>
              <w:autoSpaceDE w:val="0"/>
              <w:autoSpaceDN w:val="0"/>
              <w:adjustRightInd w:val="0"/>
              <w:spacing w:line="360" w:lineRule="auto"/>
              <w:rPr>
                <w:rFonts w:eastAsia="Arial Unicode MS"/>
                <w:b/>
                <w:bCs/>
                <w:kern w:val="1"/>
                <w:lang w:eastAsia="ar-SA"/>
              </w:rPr>
            </w:pPr>
          </w:p>
          <w:p w14:paraId="009CFD0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b/>
                <w:bCs/>
                <w:kern w:val="1"/>
                <w:lang w:eastAsia="ar-SA"/>
              </w:rPr>
              <w:t>Dimensões</w:t>
            </w:r>
          </w:p>
        </w:tc>
        <w:tc>
          <w:tcPr>
            <w:tcW w:w="4675" w:type="dxa"/>
            <w:gridSpan w:val="5"/>
            <w:vAlign w:val="center"/>
          </w:tcPr>
          <w:p w14:paraId="21A2EC94"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kern w:val="1"/>
                <w:lang w:eastAsia="ar-SA"/>
              </w:rPr>
            </w:pPr>
            <w:r w:rsidRPr="00BD4653">
              <w:rPr>
                <w:rFonts w:eastAsia="Arial Unicode MS"/>
                <w:b/>
                <w:kern w:val="1"/>
                <w:lang w:eastAsia="ar-SA"/>
              </w:rPr>
              <w:t xml:space="preserve">Perfil de </w:t>
            </w:r>
            <w:r w:rsidRPr="00BD4653">
              <w:rPr>
                <w:rFonts w:eastAsia="Arial Unicode MS"/>
                <w:b/>
                <w:i/>
                <w:iCs/>
                <w:kern w:val="1"/>
                <w:lang w:eastAsia="ar-SA"/>
              </w:rPr>
              <w:t>stress</w:t>
            </w:r>
          </w:p>
        </w:tc>
        <w:tc>
          <w:tcPr>
            <w:tcW w:w="283" w:type="dxa"/>
            <w:vMerge w:val="restart"/>
          </w:tcPr>
          <w:p w14:paraId="025A9BC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kern w:val="1"/>
                <w:lang w:eastAsia="ar-SA"/>
              </w:rPr>
            </w:pPr>
          </w:p>
        </w:tc>
        <w:tc>
          <w:tcPr>
            <w:tcW w:w="4825" w:type="dxa"/>
            <w:gridSpan w:val="8"/>
            <w:tcBorders>
              <w:bottom w:val="nil"/>
            </w:tcBorders>
            <w:vAlign w:val="center"/>
          </w:tcPr>
          <w:p w14:paraId="6915B34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i/>
                <w:iCs/>
                <w:kern w:val="1"/>
                <w:lang w:eastAsia="ar-SA"/>
              </w:rPr>
            </w:pPr>
            <w:r w:rsidRPr="00BD4653">
              <w:rPr>
                <w:rFonts w:eastAsia="Arial Unicode MS"/>
                <w:b/>
                <w:kern w:val="1"/>
                <w:lang w:eastAsia="ar-SA"/>
              </w:rPr>
              <w:t>Perfil de avaliação cognitiva</w:t>
            </w:r>
          </w:p>
        </w:tc>
        <w:tc>
          <w:tcPr>
            <w:tcW w:w="2126" w:type="dxa"/>
            <w:gridSpan w:val="7"/>
            <w:vAlign w:val="center"/>
          </w:tcPr>
          <w:p w14:paraId="008BBEE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kern w:val="1"/>
                <w:lang w:eastAsia="ar-SA"/>
              </w:rPr>
            </w:pPr>
            <w:r w:rsidRPr="00BD4653">
              <w:rPr>
                <w:rFonts w:eastAsia="Arial Unicode MS"/>
                <w:b/>
                <w:bCs/>
                <w:kern w:val="1"/>
                <w:lang w:eastAsia="ar-SA"/>
              </w:rPr>
              <w:t>Interação</w:t>
            </w:r>
          </w:p>
          <w:p w14:paraId="0C270EF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i/>
                <w:iCs/>
                <w:kern w:val="1"/>
                <w:lang w:eastAsia="ar-SA"/>
              </w:rPr>
            </w:pPr>
            <w:r w:rsidRPr="00BD4653">
              <w:rPr>
                <w:rFonts w:eastAsia="Arial Unicode MS"/>
                <w:b/>
                <w:bCs/>
                <w:kern w:val="1"/>
                <w:lang w:eastAsia="ar-SA"/>
              </w:rPr>
              <w:t>(</w:t>
            </w:r>
            <w:r w:rsidRPr="00BD4653">
              <w:rPr>
                <w:rFonts w:eastAsia="Arial Unicode MS"/>
                <w:b/>
                <w:bCs/>
                <w:i/>
                <w:iCs/>
                <w:kern w:val="1"/>
                <w:lang w:eastAsia="ar-SA"/>
              </w:rPr>
              <w:t>Stress</w:t>
            </w:r>
            <w:r w:rsidRPr="00BD4653">
              <w:rPr>
                <w:rFonts w:eastAsia="Arial Unicode MS"/>
                <w:b/>
                <w:bCs/>
                <w:kern w:val="1"/>
                <w:lang w:eastAsia="ar-SA"/>
              </w:rPr>
              <w:t xml:space="preserve"> X EAC)</w:t>
            </w:r>
          </w:p>
        </w:tc>
      </w:tr>
      <w:tr w:rsidR="00147C5D" w:rsidRPr="00BD4653" w14:paraId="798EB13A" w14:textId="77777777" w:rsidTr="00280FD9">
        <w:trPr>
          <w:gridAfter w:val="3"/>
          <w:wAfter w:w="601" w:type="dxa"/>
        </w:trPr>
        <w:tc>
          <w:tcPr>
            <w:tcW w:w="1840" w:type="dxa"/>
            <w:vMerge/>
            <w:tcBorders>
              <w:bottom w:val="single" w:sz="4" w:space="0" w:color="auto"/>
            </w:tcBorders>
          </w:tcPr>
          <w:p w14:paraId="0D9ECB6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416" w:type="dxa"/>
            <w:tcBorders>
              <w:top w:val="single" w:sz="4" w:space="0" w:color="auto"/>
              <w:bottom w:val="single" w:sz="4" w:space="0" w:color="auto"/>
            </w:tcBorders>
          </w:tcPr>
          <w:p w14:paraId="1FEE209C" w14:textId="77777777" w:rsidR="00147C5D" w:rsidRPr="00BD4653" w:rsidRDefault="00147C5D" w:rsidP="00280FD9">
            <w:pPr>
              <w:widowControl w:val="0"/>
              <w:suppressAutoHyphens/>
              <w:spacing w:line="360" w:lineRule="auto"/>
              <w:jc w:val="center"/>
              <w:outlineLvl w:val="0"/>
              <w:rPr>
                <w:rFonts w:eastAsia="Arial Unicode MS"/>
                <w:b/>
                <w:bCs/>
                <w:iCs/>
                <w:kern w:val="1"/>
                <w:lang w:eastAsia="ar-SA"/>
              </w:rPr>
            </w:pPr>
            <w:r w:rsidRPr="00BD4653">
              <w:rPr>
                <w:rFonts w:eastAsia="Arial Unicode MS"/>
                <w:b/>
                <w:bCs/>
                <w:iCs/>
                <w:kern w:val="1"/>
                <w:lang w:eastAsia="ar-SA"/>
              </w:rPr>
              <w:t xml:space="preserve">Nível inferior de </w:t>
            </w:r>
            <w:r w:rsidRPr="00BD4653">
              <w:rPr>
                <w:rFonts w:eastAsia="Arial Unicode MS"/>
                <w:b/>
                <w:bCs/>
                <w:i/>
                <w:kern w:val="1"/>
                <w:lang w:eastAsia="ar-SA"/>
              </w:rPr>
              <w:t>stress</w:t>
            </w:r>
          </w:p>
          <w:p w14:paraId="0D65D39F" w14:textId="77777777" w:rsidR="00147C5D" w:rsidRPr="00BD4653" w:rsidRDefault="00147C5D" w:rsidP="00280FD9">
            <w:pPr>
              <w:widowControl w:val="0"/>
              <w:suppressAutoHyphens/>
              <w:spacing w:line="360" w:lineRule="auto"/>
              <w:jc w:val="center"/>
              <w:outlineLvl w:val="0"/>
              <w:rPr>
                <w:rFonts w:eastAsia="Arial Unicode MS"/>
                <w:b/>
                <w:bCs/>
                <w:kern w:val="1"/>
                <w:lang w:eastAsia="ar-SA"/>
              </w:rPr>
            </w:pPr>
            <w:r w:rsidRPr="00BD4653">
              <w:rPr>
                <w:rFonts w:eastAsia="Arial Unicode MS"/>
                <w:i/>
                <w:iCs/>
                <w:kern w:val="1"/>
                <w:lang w:eastAsia="ar-SA"/>
              </w:rPr>
              <w:t>M (DP)</w:t>
            </w:r>
          </w:p>
        </w:tc>
        <w:tc>
          <w:tcPr>
            <w:tcW w:w="1422" w:type="dxa"/>
            <w:tcBorders>
              <w:top w:val="single" w:sz="4" w:space="0" w:color="auto"/>
              <w:bottom w:val="single" w:sz="4" w:space="0" w:color="auto"/>
            </w:tcBorders>
          </w:tcPr>
          <w:p w14:paraId="1674312A" w14:textId="77777777" w:rsidR="00147C5D" w:rsidRPr="00BD4653" w:rsidRDefault="00147C5D" w:rsidP="00280FD9">
            <w:pPr>
              <w:widowControl w:val="0"/>
              <w:suppressAutoHyphens/>
              <w:spacing w:line="360" w:lineRule="auto"/>
              <w:jc w:val="center"/>
              <w:outlineLvl w:val="0"/>
              <w:rPr>
                <w:rFonts w:eastAsia="Arial Unicode MS"/>
                <w:b/>
                <w:bCs/>
                <w:kern w:val="1"/>
                <w:lang w:eastAsia="ar-SA"/>
              </w:rPr>
            </w:pPr>
            <w:r w:rsidRPr="00BD4653">
              <w:rPr>
                <w:rFonts w:eastAsia="Arial Unicode MS"/>
                <w:b/>
                <w:bCs/>
                <w:kern w:val="1"/>
                <w:lang w:eastAsia="ar-SA"/>
              </w:rPr>
              <w:t xml:space="preserve">Nível superior de </w:t>
            </w:r>
            <w:r w:rsidRPr="00BD4653">
              <w:rPr>
                <w:rFonts w:eastAsia="Arial Unicode MS"/>
                <w:b/>
                <w:bCs/>
                <w:i/>
                <w:iCs/>
                <w:kern w:val="1"/>
                <w:lang w:eastAsia="ar-SA"/>
              </w:rPr>
              <w:t>stress</w:t>
            </w:r>
          </w:p>
          <w:p w14:paraId="028EC6C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
                <w:iCs/>
                <w:kern w:val="1"/>
                <w:lang w:eastAsia="ar-SA"/>
              </w:rPr>
              <w:t>M (DP)</w:t>
            </w:r>
          </w:p>
        </w:tc>
        <w:tc>
          <w:tcPr>
            <w:tcW w:w="851" w:type="dxa"/>
            <w:tcBorders>
              <w:top w:val="single" w:sz="4" w:space="0" w:color="auto"/>
              <w:bottom w:val="single" w:sz="4" w:space="0" w:color="auto"/>
            </w:tcBorders>
            <w:vAlign w:val="bottom"/>
          </w:tcPr>
          <w:p w14:paraId="3A6D058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kern w:val="1"/>
                <w:lang w:eastAsia="ar-SA"/>
              </w:rPr>
            </w:pPr>
            <w:r w:rsidRPr="00BD4653">
              <w:rPr>
                <w:rFonts w:eastAsia="Arial Unicode MS"/>
                <w:bCs/>
                <w:i/>
                <w:kern w:val="1"/>
                <w:lang w:eastAsia="ar-SA"/>
              </w:rPr>
              <w:t xml:space="preserve">F </w:t>
            </w:r>
            <w:r w:rsidRPr="00BD4653">
              <w:rPr>
                <w:rFonts w:eastAsia="Arial Unicode MS"/>
                <w:bCs/>
                <w:iCs/>
                <w:kern w:val="1"/>
                <w:lang w:eastAsia="ar-SA"/>
              </w:rPr>
              <w:t>(1,542)</w:t>
            </w:r>
          </w:p>
        </w:tc>
        <w:tc>
          <w:tcPr>
            <w:tcW w:w="561" w:type="dxa"/>
            <w:tcBorders>
              <w:top w:val="single" w:sz="4" w:space="0" w:color="auto"/>
              <w:bottom w:val="single" w:sz="4" w:space="0" w:color="auto"/>
            </w:tcBorders>
            <w:vAlign w:val="bottom"/>
          </w:tcPr>
          <w:p w14:paraId="037902B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iCs/>
                <w:kern w:val="1"/>
                <w:lang w:eastAsia="ar-SA"/>
              </w:rPr>
            </w:pPr>
            <w:r w:rsidRPr="00BD4653">
              <w:rPr>
                <w:rFonts w:eastAsia="Arial Unicode MS"/>
                <w:bCs/>
                <w:i/>
                <w:iCs/>
                <w:kern w:val="1"/>
                <w:lang w:eastAsia="ar-SA"/>
              </w:rPr>
              <w:t>p</w:t>
            </w:r>
          </w:p>
        </w:tc>
        <w:tc>
          <w:tcPr>
            <w:tcW w:w="425" w:type="dxa"/>
            <w:tcBorders>
              <w:top w:val="single" w:sz="4" w:space="0" w:color="auto"/>
              <w:bottom w:val="single" w:sz="4" w:space="0" w:color="auto"/>
            </w:tcBorders>
            <w:vAlign w:val="bottom"/>
          </w:tcPr>
          <w:p w14:paraId="54697FE4"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iCs/>
                <w:kern w:val="1"/>
                <w:lang w:eastAsia="ar-SA"/>
              </w:rPr>
            </w:pPr>
            <w:r w:rsidRPr="00BD4653">
              <w:rPr>
                <w:rFonts w:eastAsia="Arial Unicode MS"/>
                <w:bCs/>
                <w:i/>
                <w:iCs/>
                <w:kern w:val="1"/>
                <w:lang w:eastAsia="ar-SA"/>
              </w:rPr>
              <w:t>ηp2</w:t>
            </w:r>
          </w:p>
        </w:tc>
        <w:tc>
          <w:tcPr>
            <w:tcW w:w="283" w:type="dxa"/>
            <w:vMerge/>
            <w:tcBorders>
              <w:top w:val="single" w:sz="4" w:space="0" w:color="auto"/>
              <w:bottom w:val="single" w:sz="4" w:space="0" w:color="auto"/>
            </w:tcBorders>
          </w:tcPr>
          <w:p w14:paraId="6E5C391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iCs/>
                <w:kern w:val="1"/>
                <w:lang w:eastAsia="ar-SA"/>
              </w:rPr>
            </w:pPr>
          </w:p>
        </w:tc>
        <w:tc>
          <w:tcPr>
            <w:tcW w:w="1705" w:type="dxa"/>
            <w:tcBorders>
              <w:top w:val="single" w:sz="4" w:space="0" w:color="auto"/>
              <w:bottom w:val="single" w:sz="4" w:space="0" w:color="auto"/>
            </w:tcBorders>
          </w:tcPr>
          <w:p w14:paraId="63085EA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iCs/>
                <w:kern w:val="1"/>
                <w:lang w:eastAsia="ar-SA"/>
              </w:rPr>
            </w:pPr>
            <w:r w:rsidRPr="00BD4653">
              <w:rPr>
                <w:rFonts w:eastAsia="Arial Unicode MS"/>
                <w:b/>
                <w:iCs/>
                <w:kern w:val="1"/>
                <w:lang w:eastAsia="ar-SA"/>
              </w:rPr>
              <w:t>Moderadamente positivo</w:t>
            </w:r>
          </w:p>
          <w:p w14:paraId="532451B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kern w:val="1"/>
                <w:lang w:eastAsia="ar-SA"/>
              </w:rPr>
            </w:pPr>
            <w:r w:rsidRPr="00BD4653">
              <w:rPr>
                <w:rFonts w:eastAsia="Arial Unicode MS"/>
                <w:bCs/>
                <w:i/>
                <w:kern w:val="1"/>
                <w:lang w:eastAsia="ar-SA"/>
              </w:rPr>
              <w:t>M (DP)</w:t>
            </w:r>
          </w:p>
        </w:tc>
        <w:tc>
          <w:tcPr>
            <w:tcW w:w="995" w:type="dxa"/>
            <w:tcBorders>
              <w:top w:val="single" w:sz="4" w:space="0" w:color="auto"/>
              <w:bottom w:val="single" w:sz="4" w:space="0" w:color="auto"/>
            </w:tcBorders>
          </w:tcPr>
          <w:p w14:paraId="3360790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iCs/>
                <w:kern w:val="1"/>
                <w:lang w:eastAsia="ar-SA"/>
              </w:rPr>
            </w:pPr>
            <w:r w:rsidRPr="00BD4653">
              <w:rPr>
                <w:rFonts w:eastAsia="Arial Unicode MS"/>
                <w:b/>
                <w:iCs/>
                <w:kern w:val="1"/>
                <w:lang w:eastAsia="ar-SA"/>
              </w:rPr>
              <w:t>Muito positivo</w:t>
            </w:r>
          </w:p>
          <w:p w14:paraId="1710ED2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kern w:val="1"/>
                <w:lang w:eastAsia="ar-SA"/>
              </w:rPr>
            </w:pPr>
            <w:r w:rsidRPr="00BD4653">
              <w:rPr>
                <w:rFonts w:eastAsia="Arial Unicode MS"/>
                <w:bCs/>
                <w:i/>
                <w:kern w:val="1"/>
                <w:lang w:eastAsia="ar-SA"/>
              </w:rPr>
              <w:t>M (DP)</w:t>
            </w:r>
          </w:p>
        </w:tc>
        <w:tc>
          <w:tcPr>
            <w:tcW w:w="850" w:type="dxa"/>
            <w:gridSpan w:val="2"/>
            <w:tcBorders>
              <w:top w:val="single" w:sz="4" w:space="0" w:color="auto"/>
              <w:bottom w:val="single" w:sz="4" w:space="0" w:color="auto"/>
            </w:tcBorders>
            <w:vAlign w:val="bottom"/>
          </w:tcPr>
          <w:p w14:paraId="7F6777B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kern w:val="1"/>
                <w:lang w:eastAsia="ar-SA"/>
              </w:rPr>
            </w:pPr>
            <w:r w:rsidRPr="00BD4653">
              <w:rPr>
                <w:rFonts w:eastAsia="Arial Unicode MS"/>
                <w:bCs/>
                <w:i/>
                <w:kern w:val="1"/>
                <w:lang w:eastAsia="ar-SA"/>
              </w:rPr>
              <w:t xml:space="preserve">F </w:t>
            </w:r>
            <w:r w:rsidRPr="00BD4653">
              <w:rPr>
                <w:rFonts w:eastAsia="Arial Unicode MS"/>
                <w:bCs/>
                <w:iCs/>
                <w:kern w:val="1"/>
                <w:lang w:eastAsia="ar-SA"/>
              </w:rPr>
              <w:t>(1,542)</w:t>
            </w:r>
          </w:p>
        </w:tc>
        <w:tc>
          <w:tcPr>
            <w:tcW w:w="566" w:type="dxa"/>
            <w:gridSpan w:val="2"/>
            <w:tcBorders>
              <w:top w:val="single" w:sz="4" w:space="0" w:color="auto"/>
              <w:bottom w:val="single" w:sz="4" w:space="0" w:color="auto"/>
            </w:tcBorders>
            <w:vAlign w:val="bottom"/>
          </w:tcPr>
          <w:p w14:paraId="3F68934D"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r w:rsidRPr="00BD4653">
              <w:rPr>
                <w:rFonts w:eastAsia="Arial Unicode MS"/>
                <w:bCs/>
                <w:i/>
                <w:iCs/>
                <w:kern w:val="1"/>
                <w:lang w:eastAsia="ar-SA"/>
              </w:rPr>
              <w:t>p</w:t>
            </w:r>
          </w:p>
        </w:tc>
        <w:tc>
          <w:tcPr>
            <w:tcW w:w="425" w:type="dxa"/>
            <w:tcBorders>
              <w:top w:val="single" w:sz="4" w:space="0" w:color="auto"/>
              <w:bottom w:val="single" w:sz="4" w:space="0" w:color="auto"/>
            </w:tcBorders>
            <w:vAlign w:val="bottom"/>
          </w:tcPr>
          <w:p w14:paraId="29E7D98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iCs/>
                <w:kern w:val="1"/>
                <w:lang w:eastAsia="ar-SA"/>
              </w:rPr>
            </w:pPr>
            <w:r w:rsidRPr="00BD4653">
              <w:rPr>
                <w:rFonts w:eastAsia="Arial Unicode MS"/>
                <w:bCs/>
                <w:i/>
                <w:iCs/>
                <w:kern w:val="1"/>
                <w:lang w:eastAsia="ar-SA"/>
              </w:rPr>
              <w:t>ηp2</w:t>
            </w:r>
          </w:p>
        </w:tc>
        <w:tc>
          <w:tcPr>
            <w:tcW w:w="284" w:type="dxa"/>
            <w:tcBorders>
              <w:top w:val="nil"/>
              <w:bottom w:val="single" w:sz="4" w:space="0" w:color="auto"/>
            </w:tcBorders>
            <w:vAlign w:val="bottom"/>
          </w:tcPr>
          <w:p w14:paraId="3E8FC5E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iCs/>
                <w:kern w:val="1"/>
                <w:lang w:eastAsia="ar-SA"/>
              </w:rPr>
            </w:pPr>
          </w:p>
        </w:tc>
        <w:tc>
          <w:tcPr>
            <w:tcW w:w="993" w:type="dxa"/>
            <w:gridSpan w:val="3"/>
            <w:tcBorders>
              <w:top w:val="single" w:sz="4" w:space="0" w:color="auto"/>
              <w:bottom w:val="single" w:sz="4" w:space="0" w:color="auto"/>
            </w:tcBorders>
            <w:vAlign w:val="bottom"/>
          </w:tcPr>
          <w:p w14:paraId="2CA76CC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iCs/>
                <w:kern w:val="1"/>
                <w:lang w:eastAsia="ar-SA"/>
              </w:rPr>
            </w:pPr>
            <w:r w:rsidRPr="00BD4653">
              <w:rPr>
                <w:rFonts w:eastAsia="Arial Unicode MS"/>
                <w:bCs/>
                <w:i/>
                <w:iCs/>
                <w:kern w:val="1"/>
                <w:lang w:eastAsia="ar-SA"/>
              </w:rPr>
              <w:t xml:space="preserve">F </w:t>
            </w:r>
            <w:r w:rsidRPr="00BD4653">
              <w:rPr>
                <w:rFonts w:eastAsia="Arial Unicode MS"/>
                <w:bCs/>
                <w:kern w:val="1"/>
                <w:lang w:eastAsia="ar-SA"/>
              </w:rPr>
              <w:t>(1,542)</w:t>
            </w:r>
          </w:p>
        </w:tc>
        <w:tc>
          <w:tcPr>
            <w:tcW w:w="567" w:type="dxa"/>
            <w:tcBorders>
              <w:top w:val="single" w:sz="4" w:space="0" w:color="auto"/>
              <w:bottom w:val="single" w:sz="4" w:space="0" w:color="auto"/>
            </w:tcBorders>
            <w:vAlign w:val="bottom"/>
          </w:tcPr>
          <w:p w14:paraId="2E04196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iCs/>
                <w:kern w:val="1"/>
                <w:lang w:eastAsia="ar-SA"/>
              </w:rPr>
            </w:pPr>
            <w:r w:rsidRPr="00BD4653">
              <w:rPr>
                <w:rFonts w:eastAsia="Arial Unicode MS"/>
                <w:bCs/>
                <w:i/>
                <w:iCs/>
                <w:kern w:val="1"/>
                <w:lang w:eastAsia="ar-SA"/>
              </w:rPr>
              <w:t>p</w:t>
            </w:r>
          </w:p>
        </w:tc>
        <w:tc>
          <w:tcPr>
            <w:tcW w:w="554" w:type="dxa"/>
            <w:gridSpan w:val="2"/>
            <w:tcBorders>
              <w:top w:val="single" w:sz="4" w:space="0" w:color="auto"/>
              <w:bottom w:val="single" w:sz="4" w:space="0" w:color="auto"/>
            </w:tcBorders>
            <w:vAlign w:val="bottom"/>
          </w:tcPr>
          <w:p w14:paraId="6E4F76D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
                <w:iCs/>
                <w:kern w:val="1"/>
                <w:lang w:eastAsia="ar-SA"/>
              </w:rPr>
            </w:pPr>
            <w:r w:rsidRPr="00BD4653">
              <w:rPr>
                <w:rFonts w:eastAsia="Arial Unicode MS"/>
                <w:bCs/>
                <w:i/>
                <w:iCs/>
                <w:kern w:val="1"/>
                <w:lang w:eastAsia="ar-SA"/>
              </w:rPr>
              <w:t>ηp2</w:t>
            </w:r>
          </w:p>
        </w:tc>
      </w:tr>
      <w:tr w:rsidR="00147C5D" w:rsidRPr="00BD4653" w14:paraId="1F21EB93" w14:textId="77777777" w:rsidTr="00280FD9">
        <w:trPr>
          <w:gridAfter w:val="3"/>
          <w:wAfter w:w="601" w:type="dxa"/>
        </w:trPr>
        <w:tc>
          <w:tcPr>
            <w:tcW w:w="1840" w:type="dxa"/>
            <w:tcBorders>
              <w:top w:val="single" w:sz="4" w:space="0" w:color="auto"/>
            </w:tcBorders>
          </w:tcPr>
          <w:p w14:paraId="7231F4FB" w14:textId="77777777" w:rsidR="00147C5D" w:rsidRPr="00BD4653" w:rsidRDefault="00147C5D" w:rsidP="00280FD9">
            <w:pPr>
              <w:widowControl w:val="0"/>
              <w:suppressAutoHyphens/>
              <w:autoSpaceDE w:val="0"/>
              <w:autoSpaceDN w:val="0"/>
              <w:adjustRightInd w:val="0"/>
              <w:spacing w:line="360" w:lineRule="auto"/>
              <w:rPr>
                <w:rFonts w:eastAsia="Arial Unicode MS"/>
                <w:kern w:val="1"/>
                <w:lang w:eastAsia="ar-SA"/>
              </w:rPr>
            </w:pPr>
            <w:proofErr w:type="spellStart"/>
            <w:r w:rsidRPr="00BD4653">
              <w:rPr>
                <w:rFonts w:eastAsia="Arial Unicode MS"/>
                <w:b/>
                <w:bCs/>
                <w:i/>
                <w:iCs/>
                <w:kern w:val="1"/>
                <w:position w:val="-6"/>
                <w:lang w:eastAsia="ar-SA"/>
              </w:rPr>
              <w:t>Coping</w:t>
            </w:r>
            <w:proofErr w:type="spellEnd"/>
            <w:r w:rsidRPr="00BD4653">
              <w:rPr>
                <w:rFonts w:eastAsia="Arial Unicode MS"/>
                <w:b/>
                <w:bCs/>
                <w:i/>
                <w:iCs/>
                <w:kern w:val="1"/>
                <w:position w:val="-6"/>
                <w:lang w:eastAsia="ar-SA"/>
              </w:rPr>
              <w:t>-</w:t>
            </w:r>
            <w:r w:rsidRPr="00BD4653">
              <w:rPr>
                <w:rFonts w:eastAsia="Arial Unicode MS"/>
                <w:b/>
                <w:bCs/>
                <w:kern w:val="1"/>
                <w:position w:val="-6"/>
                <w:lang w:eastAsia="ar-SA"/>
              </w:rPr>
              <w:t>R</w:t>
            </w:r>
          </w:p>
        </w:tc>
        <w:tc>
          <w:tcPr>
            <w:tcW w:w="1416" w:type="dxa"/>
            <w:tcBorders>
              <w:top w:val="single" w:sz="4" w:space="0" w:color="auto"/>
            </w:tcBorders>
          </w:tcPr>
          <w:p w14:paraId="01902538" w14:textId="77777777" w:rsidR="00147C5D" w:rsidRPr="00BD4653" w:rsidRDefault="00147C5D" w:rsidP="00280FD9">
            <w:pPr>
              <w:widowControl w:val="0"/>
              <w:suppressAutoHyphens/>
              <w:spacing w:line="360" w:lineRule="auto"/>
              <w:jc w:val="center"/>
              <w:outlineLvl w:val="0"/>
              <w:rPr>
                <w:rFonts w:eastAsia="Arial Unicode MS"/>
                <w:bCs/>
                <w:kern w:val="1"/>
                <w:highlight w:val="yellow"/>
                <w:lang w:eastAsia="ar-SA"/>
              </w:rPr>
            </w:pPr>
          </w:p>
        </w:tc>
        <w:tc>
          <w:tcPr>
            <w:tcW w:w="1422" w:type="dxa"/>
            <w:tcBorders>
              <w:top w:val="single" w:sz="4" w:space="0" w:color="auto"/>
            </w:tcBorders>
          </w:tcPr>
          <w:p w14:paraId="11F0755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p>
        </w:tc>
        <w:tc>
          <w:tcPr>
            <w:tcW w:w="851" w:type="dxa"/>
            <w:tcBorders>
              <w:top w:val="single" w:sz="4" w:space="0" w:color="auto"/>
            </w:tcBorders>
          </w:tcPr>
          <w:p w14:paraId="50D2539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561" w:type="dxa"/>
            <w:tcBorders>
              <w:top w:val="single" w:sz="4" w:space="0" w:color="auto"/>
            </w:tcBorders>
          </w:tcPr>
          <w:p w14:paraId="2FDD83B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425" w:type="dxa"/>
            <w:tcBorders>
              <w:top w:val="single" w:sz="4" w:space="0" w:color="auto"/>
            </w:tcBorders>
          </w:tcPr>
          <w:p w14:paraId="6011BF2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283" w:type="dxa"/>
            <w:tcBorders>
              <w:top w:val="single" w:sz="4" w:space="0" w:color="auto"/>
            </w:tcBorders>
          </w:tcPr>
          <w:p w14:paraId="23DFB25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Borders>
              <w:top w:val="single" w:sz="4" w:space="0" w:color="auto"/>
            </w:tcBorders>
          </w:tcPr>
          <w:p w14:paraId="57CA2FD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995" w:type="dxa"/>
            <w:tcBorders>
              <w:top w:val="single" w:sz="4" w:space="0" w:color="auto"/>
            </w:tcBorders>
          </w:tcPr>
          <w:p w14:paraId="029927D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850" w:type="dxa"/>
            <w:gridSpan w:val="2"/>
            <w:tcBorders>
              <w:top w:val="single" w:sz="4" w:space="0" w:color="auto"/>
            </w:tcBorders>
          </w:tcPr>
          <w:p w14:paraId="489A1E7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566" w:type="dxa"/>
            <w:gridSpan w:val="2"/>
            <w:tcBorders>
              <w:top w:val="single" w:sz="4" w:space="0" w:color="auto"/>
            </w:tcBorders>
          </w:tcPr>
          <w:p w14:paraId="5B8EF63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425" w:type="dxa"/>
            <w:tcBorders>
              <w:top w:val="single" w:sz="4" w:space="0" w:color="auto"/>
            </w:tcBorders>
          </w:tcPr>
          <w:p w14:paraId="1688CE6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284" w:type="dxa"/>
            <w:tcBorders>
              <w:top w:val="single" w:sz="4" w:space="0" w:color="auto"/>
            </w:tcBorders>
          </w:tcPr>
          <w:p w14:paraId="1962721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Borders>
              <w:top w:val="single" w:sz="4" w:space="0" w:color="auto"/>
            </w:tcBorders>
          </w:tcPr>
          <w:p w14:paraId="70C0038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567" w:type="dxa"/>
            <w:tcBorders>
              <w:top w:val="single" w:sz="4" w:space="0" w:color="auto"/>
            </w:tcBorders>
          </w:tcPr>
          <w:p w14:paraId="1153E86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554" w:type="dxa"/>
            <w:gridSpan w:val="2"/>
            <w:tcBorders>
              <w:top w:val="single" w:sz="4" w:space="0" w:color="auto"/>
            </w:tcBorders>
          </w:tcPr>
          <w:p w14:paraId="5B06637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Cs/>
                <w:kern w:val="1"/>
                <w:lang w:eastAsia="ar-SA"/>
              </w:rPr>
            </w:pPr>
          </w:p>
        </w:tc>
      </w:tr>
      <w:tr w:rsidR="00147C5D" w:rsidRPr="00BD4653" w14:paraId="2E4284AF" w14:textId="77777777" w:rsidTr="00280FD9">
        <w:trPr>
          <w:gridAfter w:val="3"/>
          <w:wAfter w:w="601" w:type="dxa"/>
        </w:trPr>
        <w:tc>
          <w:tcPr>
            <w:tcW w:w="1840" w:type="dxa"/>
          </w:tcPr>
          <w:p w14:paraId="7357341A" w14:textId="77777777" w:rsidR="00147C5D" w:rsidRPr="00BD4653" w:rsidRDefault="00147C5D" w:rsidP="00280FD9">
            <w:pPr>
              <w:widowControl w:val="0"/>
              <w:suppressAutoHyphens/>
              <w:autoSpaceDE w:val="0"/>
              <w:autoSpaceDN w:val="0"/>
              <w:adjustRightInd w:val="0"/>
              <w:spacing w:line="360" w:lineRule="auto"/>
              <w:rPr>
                <w:rFonts w:eastAsia="Arial Unicode MS"/>
                <w:bCs/>
                <w:kern w:val="1"/>
                <w:lang w:eastAsia="ar-SA"/>
              </w:rPr>
            </w:pPr>
            <w:r w:rsidRPr="00BD4653">
              <w:rPr>
                <w:rFonts w:eastAsia="Arial Unicode MS"/>
                <w:kern w:val="1"/>
                <w:position w:val="-6"/>
                <w:lang w:eastAsia="ar-SA"/>
              </w:rPr>
              <w:t>Confronto ativo</w:t>
            </w:r>
          </w:p>
        </w:tc>
        <w:tc>
          <w:tcPr>
            <w:tcW w:w="1416" w:type="dxa"/>
          </w:tcPr>
          <w:p w14:paraId="7376B12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3.3 (0.1)</w:t>
            </w:r>
          </w:p>
        </w:tc>
        <w:tc>
          <w:tcPr>
            <w:tcW w:w="1422" w:type="dxa"/>
          </w:tcPr>
          <w:p w14:paraId="2B76C14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3.2 (0.0)</w:t>
            </w:r>
          </w:p>
        </w:tc>
        <w:tc>
          <w:tcPr>
            <w:tcW w:w="851" w:type="dxa"/>
          </w:tcPr>
          <w:p w14:paraId="05E12C0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0.39</w:t>
            </w:r>
          </w:p>
        </w:tc>
        <w:tc>
          <w:tcPr>
            <w:tcW w:w="561" w:type="dxa"/>
          </w:tcPr>
          <w:p w14:paraId="2A63496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.531</w:t>
            </w:r>
          </w:p>
        </w:tc>
        <w:tc>
          <w:tcPr>
            <w:tcW w:w="425" w:type="dxa"/>
          </w:tcPr>
          <w:p w14:paraId="3E04097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.00</w:t>
            </w:r>
          </w:p>
        </w:tc>
        <w:tc>
          <w:tcPr>
            <w:tcW w:w="283" w:type="dxa"/>
          </w:tcPr>
          <w:p w14:paraId="3BEB657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50A0FE5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3.1 (0.1)</w:t>
            </w:r>
          </w:p>
        </w:tc>
        <w:tc>
          <w:tcPr>
            <w:tcW w:w="995" w:type="dxa"/>
          </w:tcPr>
          <w:p w14:paraId="4B49531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3.4 (0.0)</w:t>
            </w:r>
          </w:p>
        </w:tc>
        <w:tc>
          <w:tcPr>
            <w:tcW w:w="850" w:type="dxa"/>
            <w:gridSpan w:val="2"/>
          </w:tcPr>
          <w:p w14:paraId="5704DE1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24.31</w:t>
            </w:r>
          </w:p>
        </w:tc>
        <w:tc>
          <w:tcPr>
            <w:tcW w:w="566" w:type="dxa"/>
            <w:gridSpan w:val="2"/>
          </w:tcPr>
          <w:p w14:paraId="70C8D831"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641AC6B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.04</w:t>
            </w:r>
          </w:p>
        </w:tc>
        <w:tc>
          <w:tcPr>
            <w:tcW w:w="284" w:type="dxa"/>
          </w:tcPr>
          <w:p w14:paraId="7246182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0619301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0.18</w:t>
            </w:r>
          </w:p>
        </w:tc>
        <w:tc>
          <w:tcPr>
            <w:tcW w:w="567" w:type="dxa"/>
          </w:tcPr>
          <w:p w14:paraId="0F56A48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.669</w:t>
            </w:r>
          </w:p>
        </w:tc>
        <w:tc>
          <w:tcPr>
            <w:tcW w:w="554" w:type="dxa"/>
            <w:gridSpan w:val="2"/>
          </w:tcPr>
          <w:p w14:paraId="09F244B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Cs/>
                <w:kern w:val="1"/>
                <w:lang w:eastAsia="ar-SA"/>
              </w:rPr>
            </w:pPr>
            <w:r w:rsidRPr="00BD4653">
              <w:rPr>
                <w:rFonts w:eastAsia="Arial Unicode MS"/>
                <w:iCs/>
                <w:kern w:val="1"/>
                <w:lang w:eastAsia="ar-SA"/>
              </w:rPr>
              <w:t>.00</w:t>
            </w:r>
          </w:p>
        </w:tc>
      </w:tr>
      <w:tr w:rsidR="00147C5D" w:rsidRPr="00BD4653" w14:paraId="2A45016C" w14:textId="77777777" w:rsidTr="00280FD9">
        <w:trPr>
          <w:gridAfter w:val="3"/>
          <w:wAfter w:w="601" w:type="dxa"/>
        </w:trPr>
        <w:tc>
          <w:tcPr>
            <w:tcW w:w="1840" w:type="dxa"/>
          </w:tcPr>
          <w:p w14:paraId="48E8F881" w14:textId="77777777" w:rsidR="00147C5D" w:rsidRPr="00BD4653" w:rsidDel="00931810" w:rsidRDefault="00147C5D" w:rsidP="00280FD9">
            <w:pPr>
              <w:widowControl w:val="0"/>
              <w:suppressAutoHyphens/>
              <w:autoSpaceDE w:val="0"/>
              <w:autoSpaceDN w:val="0"/>
              <w:adjustRightInd w:val="0"/>
              <w:spacing w:line="360" w:lineRule="auto"/>
              <w:rPr>
                <w:rFonts w:eastAsia="Arial Unicode MS"/>
                <w:kern w:val="1"/>
                <w:position w:val="-6"/>
                <w:lang w:eastAsia="ar-SA"/>
              </w:rPr>
            </w:pPr>
            <w:r w:rsidRPr="00BD4653">
              <w:rPr>
                <w:rFonts w:eastAsia="Arial Unicode MS"/>
                <w:kern w:val="1"/>
                <w:position w:val="-6"/>
                <w:lang w:eastAsia="ar-SA"/>
              </w:rPr>
              <w:t>Negação</w:t>
            </w:r>
          </w:p>
        </w:tc>
        <w:tc>
          <w:tcPr>
            <w:tcW w:w="1416" w:type="dxa"/>
          </w:tcPr>
          <w:p w14:paraId="2C9238EB"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2.3 (0.1)</w:t>
            </w:r>
          </w:p>
        </w:tc>
        <w:tc>
          <w:tcPr>
            <w:tcW w:w="1422" w:type="dxa"/>
          </w:tcPr>
          <w:p w14:paraId="009E50DD"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2.5 (0.1)</w:t>
            </w:r>
          </w:p>
        </w:tc>
        <w:tc>
          <w:tcPr>
            <w:tcW w:w="851" w:type="dxa"/>
          </w:tcPr>
          <w:p w14:paraId="5490D852"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8.67</w:t>
            </w:r>
          </w:p>
        </w:tc>
        <w:tc>
          <w:tcPr>
            <w:tcW w:w="561" w:type="dxa"/>
          </w:tcPr>
          <w:p w14:paraId="53C797CF"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.003</w:t>
            </w:r>
          </w:p>
        </w:tc>
        <w:tc>
          <w:tcPr>
            <w:tcW w:w="425" w:type="dxa"/>
          </w:tcPr>
          <w:p w14:paraId="2B17B339"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.02</w:t>
            </w:r>
          </w:p>
        </w:tc>
        <w:tc>
          <w:tcPr>
            <w:tcW w:w="283" w:type="dxa"/>
          </w:tcPr>
          <w:p w14:paraId="47434F1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7C3D5CAC"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2.5 (0.1)</w:t>
            </w:r>
          </w:p>
        </w:tc>
        <w:tc>
          <w:tcPr>
            <w:tcW w:w="995" w:type="dxa"/>
          </w:tcPr>
          <w:p w14:paraId="59192B5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2.3 (0.1)</w:t>
            </w:r>
          </w:p>
        </w:tc>
        <w:tc>
          <w:tcPr>
            <w:tcW w:w="850" w:type="dxa"/>
            <w:gridSpan w:val="2"/>
          </w:tcPr>
          <w:p w14:paraId="35A0A85C"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1.65</w:t>
            </w:r>
          </w:p>
        </w:tc>
        <w:tc>
          <w:tcPr>
            <w:tcW w:w="566" w:type="dxa"/>
            <w:gridSpan w:val="2"/>
          </w:tcPr>
          <w:p w14:paraId="6F679FA5" w14:textId="77777777" w:rsidR="00147C5D" w:rsidRPr="00BD4653" w:rsidDel="00931810"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.200</w:t>
            </w:r>
          </w:p>
        </w:tc>
        <w:tc>
          <w:tcPr>
            <w:tcW w:w="425" w:type="dxa"/>
          </w:tcPr>
          <w:p w14:paraId="75646F0E"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w:t>
            </w:r>
          </w:p>
        </w:tc>
        <w:tc>
          <w:tcPr>
            <w:tcW w:w="284" w:type="dxa"/>
          </w:tcPr>
          <w:p w14:paraId="29055E8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4E073C6D"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0.18</w:t>
            </w:r>
          </w:p>
        </w:tc>
        <w:tc>
          <w:tcPr>
            <w:tcW w:w="567" w:type="dxa"/>
          </w:tcPr>
          <w:p w14:paraId="06A5F8F8"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.671</w:t>
            </w:r>
          </w:p>
        </w:tc>
        <w:tc>
          <w:tcPr>
            <w:tcW w:w="554" w:type="dxa"/>
            <w:gridSpan w:val="2"/>
          </w:tcPr>
          <w:p w14:paraId="284CEDA1" w14:textId="77777777" w:rsidR="00147C5D" w:rsidRPr="00BD4653" w:rsidDel="00931810"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w:t>
            </w:r>
          </w:p>
        </w:tc>
      </w:tr>
      <w:tr w:rsidR="00147C5D" w:rsidRPr="00BD4653" w14:paraId="44833EFC" w14:textId="77777777" w:rsidTr="00280FD9">
        <w:trPr>
          <w:gridAfter w:val="3"/>
          <w:wAfter w:w="601" w:type="dxa"/>
        </w:trPr>
        <w:tc>
          <w:tcPr>
            <w:tcW w:w="1840" w:type="dxa"/>
          </w:tcPr>
          <w:p w14:paraId="34544E19" w14:textId="77777777" w:rsidR="00147C5D" w:rsidRPr="00BD4653" w:rsidRDefault="00147C5D" w:rsidP="00280FD9">
            <w:pPr>
              <w:widowControl w:val="0"/>
              <w:suppressAutoHyphens/>
              <w:autoSpaceDE w:val="0"/>
              <w:autoSpaceDN w:val="0"/>
              <w:adjustRightInd w:val="0"/>
              <w:spacing w:line="360" w:lineRule="auto"/>
              <w:rPr>
                <w:rFonts w:eastAsia="Arial Unicode MS"/>
                <w:kern w:val="1"/>
                <w:position w:val="-6"/>
                <w:lang w:eastAsia="ar-SA"/>
              </w:rPr>
            </w:pPr>
            <w:r w:rsidRPr="00BD4653">
              <w:rPr>
                <w:rFonts w:eastAsia="Arial Unicode MS"/>
                <w:kern w:val="1"/>
                <w:position w:val="-6"/>
                <w:lang w:eastAsia="ar-SA"/>
              </w:rPr>
              <w:t>Humor</w:t>
            </w:r>
          </w:p>
        </w:tc>
        <w:tc>
          <w:tcPr>
            <w:tcW w:w="1416" w:type="dxa"/>
          </w:tcPr>
          <w:p w14:paraId="2144E1F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3.2 (0.1)</w:t>
            </w:r>
          </w:p>
        </w:tc>
        <w:tc>
          <w:tcPr>
            <w:tcW w:w="1422" w:type="dxa"/>
          </w:tcPr>
          <w:p w14:paraId="6A9D5BC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3.3 (0.1)</w:t>
            </w:r>
          </w:p>
        </w:tc>
        <w:tc>
          <w:tcPr>
            <w:tcW w:w="851" w:type="dxa"/>
          </w:tcPr>
          <w:p w14:paraId="31D6D11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1.67</w:t>
            </w:r>
          </w:p>
        </w:tc>
        <w:tc>
          <w:tcPr>
            <w:tcW w:w="561" w:type="dxa"/>
          </w:tcPr>
          <w:p w14:paraId="1920132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.197</w:t>
            </w:r>
          </w:p>
        </w:tc>
        <w:tc>
          <w:tcPr>
            <w:tcW w:w="425" w:type="dxa"/>
          </w:tcPr>
          <w:p w14:paraId="7E8AC68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w:t>
            </w:r>
          </w:p>
        </w:tc>
        <w:tc>
          <w:tcPr>
            <w:tcW w:w="283" w:type="dxa"/>
          </w:tcPr>
          <w:p w14:paraId="2CEF3EAD"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714442A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3.4 (0.1)</w:t>
            </w:r>
          </w:p>
        </w:tc>
        <w:tc>
          <w:tcPr>
            <w:tcW w:w="995" w:type="dxa"/>
          </w:tcPr>
          <w:p w14:paraId="62BD9EF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3.1 (0.1)</w:t>
            </w:r>
          </w:p>
        </w:tc>
        <w:tc>
          <w:tcPr>
            <w:tcW w:w="850" w:type="dxa"/>
            <w:gridSpan w:val="2"/>
          </w:tcPr>
          <w:p w14:paraId="1F8745B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3.87</w:t>
            </w:r>
          </w:p>
        </w:tc>
        <w:tc>
          <w:tcPr>
            <w:tcW w:w="566" w:type="dxa"/>
            <w:gridSpan w:val="2"/>
          </w:tcPr>
          <w:p w14:paraId="238A3FDE"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.050</w:t>
            </w:r>
          </w:p>
        </w:tc>
        <w:tc>
          <w:tcPr>
            <w:tcW w:w="425" w:type="dxa"/>
          </w:tcPr>
          <w:p w14:paraId="09C0FEF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.01</w:t>
            </w:r>
          </w:p>
        </w:tc>
        <w:tc>
          <w:tcPr>
            <w:tcW w:w="284" w:type="dxa"/>
          </w:tcPr>
          <w:p w14:paraId="4C012E7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6460F0B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0.02</w:t>
            </w:r>
          </w:p>
        </w:tc>
        <w:tc>
          <w:tcPr>
            <w:tcW w:w="567" w:type="dxa"/>
          </w:tcPr>
          <w:p w14:paraId="7600442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.900</w:t>
            </w:r>
          </w:p>
        </w:tc>
        <w:tc>
          <w:tcPr>
            <w:tcW w:w="554" w:type="dxa"/>
            <w:gridSpan w:val="2"/>
          </w:tcPr>
          <w:p w14:paraId="0343363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w:t>
            </w:r>
          </w:p>
        </w:tc>
      </w:tr>
      <w:tr w:rsidR="00147C5D" w:rsidRPr="00BD4653" w14:paraId="55084AA8" w14:textId="77777777" w:rsidTr="00280FD9">
        <w:trPr>
          <w:gridAfter w:val="3"/>
          <w:wAfter w:w="601" w:type="dxa"/>
        </w:trPr>
        <w:tc>
          <w:tcPr>
            <w:tcW w:w="1840" w:type="dxa"/>
          </w:tcPr>
          <w:p w14:paraId="7A141812" w14:textId="77777777" w:rsidR="00147C5D" w:rsidRPr="00BD4653" w:rsidRDefault="00147C5D" w:rsidP="00280FD9">
            <w:pPr>
              <w:widowControl w:val="0"/>
              <w:suppressAutoHyphens/>
              <w:autoSpaceDE w:val="0"/>
              <w:autoSpaceDN w:val="0"/>
              <w:adjustRightInd w:val="0"/>
              <w:spacing w:line="360" w:lineRule="auto"/>
              <w:rPr>
                <w:rFonts w:eastAsia="Arial Unicode MS"/>
                <w:kern w:val="1"/>
                <w:position w:val="-6"/>
                <w:lang w:eastAsia="ar-SA"/>
              </w:rPr>
            </w:pPr>
            <w:r w:rsidRPr="00BD4653">
              <w:rPr>
                <w:rFonts w:eastAsia="Arial Unicode MS"/>
                <w:kern w:val="1"/>
                <w:position w:val="-6"/>
                <w:lang w:eastAsia="ar-SA"/>
              </w:rPr>
              <w:t>Apoio emocional</w:t>
            </w:r>
          </w:p>
        </w:tc>
        <w:tc>
          <w:tcPr>
            <w:tcW w:w="1416" w:type="dxa"/>
          </w:tcPr>
          <w:p w14:paraId="6FEC692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3.5 (0.1)</w:t>
            </w:r>
          </w:p>
        </w:tc>
        <w:tc>
          <w:tcPr>
            <w:tcW w:w="1422" w:type="dxa"/>
          </w:tcPr>
          <w:p w14:paraId="5B8B6F8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3.4 (0.1)</w:t>
            </w:r>
          </w:p>
        </w:tc>
        <w:tc>
          <w:tcPr>
            <w:tcW w:w="851" w:type="dxa"/>
          </w:tcPr>
          <w:p w14:paraId="0F43B22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1.02</w:t>
            </w:r>
          </w:p>
        </w:tc>
        <w:tc>
          <w:tcPr>
            <w:tcW w:w="561" w:type="dxa"/>
          </w:tcPr>
          <w:p w14:paraId="3316E0B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.314</w:t>
            </w:r>
          </w:p>
        </w:tc>
        <w:tc>
          <w:tcPr>
            <w:tcW w:w="425" w:type="dxa"/>
          </w:tcPr>
          <w:p w14:paraId="0FB7455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.00</w:t>
            </w:r>
          </w:p>
        </w:tc>
        <w:tc>
          <w:tcPr>
            <w:tcW w:w="283" w:type="dxa"/>
          </w:tcPr>
          <w:p w14:paraId="04ECD0D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0C136EB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3.3 (0.1)</w:t>
            </w:r>
          </w:p>
        </w:tc>
        <w:tc>
          <w:tcPr>
            <w:tcW w:w="995" w:type="dxa"/>
          </w:tcPr>
          <w:p w14:paraId="608C24D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3.5 (0.1)</w:t>
            </w:r>
          </w:p>
        </w:tc>
        <w:tc>
          <w:tcPr>
            <w:tcW w:w="850" w:type="dxa"/>
            <w:gridSpan w:val="2"/>
          </w:tcPr>
          <w:p w14:paraId="7B6D762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3.78</w:t>
            </w:r>
          </w:p>
        </w:tc>
        <w:tc>
          <w:tcPr>
            <w:tcW w:w="566" w:type="dxa"/>
            <w:gridSpan w:val="2"/>
          </w:tcPr>
          <w:p w14:paraId="315AF5FC"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.052</w:t>
            </w:r>
          </w:p>
        </w:tc>
        <w:tc>
          <w:tcPr>
            <w:tcW w:w="425" w:type="dxa"/>
          </w:tcPr>
          <w:p w14:paraId="099B9E64"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.01</w:t>
            </w:r>
          </w:p>
        </w:tc>
        <w:tc>
          <w:tcPr>
            <w:tcW w:w="284" w:type="dxa"/>
          </w:tcPr>
          <w:p w14:paraId="32180DA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5FCFFF9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2.48</w:t>
            </w:r>
          </w:p>
        </w:tc>
        <w:tc>
          <w:tcPr>
            <w:tcW w:w="567" w:type="dxa"/>
          </w:tcPr>
          <w:p w14:paraId="498DAB8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.116</w:t>
            </w:r>
          </w:p>
        </w:tc>
        <w:tc>
          <w:tcPr>
            <w:tcW w:w="554" w:type="dxa"/>
            <w:gridSpan w:val="2"/>
          </w:tcPr>
          <w:p w14:paraId="5AFA728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.01</w:t>
            </w:r>
          </w:p>
        </w:tc>
      </w:tr>
      <w:tr w:rsidR="00147C5D" w:rsidRPr="00BD4653" w14:paraId="3F2B1AA4" w14:textId="77777777" w:rsidTr="00280FD9">
        <w:tc>
          <w:tcPr>
            <w:tcW w:w="1840" w:type="dxa"/>
          </w:tcPr>
          <w:p w14:paraId="3A24EFEA" w14:textId="77777777" w:rsidR="00147C5D" w:rsidRPr="00BD4653" w:rsidRDefault="00147C5D" w:rsidP="00280FD9">
            <w:pPr>
              <w:widowControl w:val="0"/>
              <w:suppressAutoHyphens/>
              <w:autoSpaceDE w:val="0"/>
              <w:autoSpaceDN w:val="0"/>
              <w:adjustRightInd w:val="0"/>
              <w:spacing w:line="360" w:lineRule="auto"/>
              <w:rPr>
                <w:rFonts w:eastAsia="Arial Unicode MS"/>
                <w:kern w:val="1"/>
                <w:lang w:eastAsia="ar-SA"/>
              </w:rPr>
            </w:pPr>
            <w:r w:rsidRPr="00BD4653">
              <w:rPr>
                <w:rFonts w:eastAsia="Arial Unicode MS"/>
                <w:b/>
                <w:kern w:val="1"/>
                <w:lang w:eastAsia="ar-SA"/>
              </w:rPr>
              <w:t>SMBM</w:t>
            </w:r>
          </w:p>
        </w:tc>
        <w:tc>
          <w:tcPr>
            <w:tcW w:w="1416" w:type="dxa"/>
          </w:tcPr>
          <w:p w14:paraId="3614B887" w14:textId="77777777" w:rsidR="00147C5D" w:rsidRPr="00BD4653" w:rsidRDefault="00147C5D" w:rsidP="00280FD9">
            <w:pPr>
              <w:widowControl w:val="0"/>
              <w:suppressAutoHyphens/>
              <w:spacing w:line="360" w:lineRule="auto"/>
              <w:jc w:val="center"/>
              <w:outlineLvl w:val="0"/>
              <w:rPr>
                <w:rFonts w:eastAsia="Arial Unicode MS"/>
                <w:b/>
                <w:bCs/>
                <w:kern w:val="1"/>
                <w:lang w:eastAsia="ar-SA"/>
              </w:rPr>
            </w:pPr>
          </w:p>
        </w:tc>
        <w:tc>
          <w:tcPr>
            <w:tcW w:w="1422" w:type="dxa"/>
          </w:tcPr>
          <w:p w14:paraId="53F7E8A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851" w:type="dxa"/>
          </w:tcPr>
          <w:p w14:paraId="68A6730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561" w:type="dxa"/>
          </w:tcPr>
          <w:p w14:paraId="54973A7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425" w:type="dxa"/>
          </w:tcPr>
          <w:p w14:paraId="48A9E0A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283" w:type="dxa"/>
          </w:tcPr>
          <w:p w14:paraId="381C848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2839" w:type="dxa"/>
            <w:gridSpan w:val="3"/>
          </w:tcPr>
          <w:p w14:paraId="3915977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851" w:type="dxa"/>
            <w:gridSpan w:val="2"/>
          </w:tcPr>
          <w:p w14:paraId="0C60C1A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851" w:type="dxa"/>
            <w:gridSpan w:val="2"/>
          </w:tcPr>
          <w:p w14:paraId="76F2864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709" w:type="dxa"/>
            <w:gridSpan w:val="2"/>
          </w:tcPr>
          <w:p w14:paraId="511529E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p>
        </w:tc>
        <w:tc>
          <w:tcPr>
            <w:tcW w:w="20" w:type="dxa"/>
          </w:tcPr>
          <w:p w14:paraId="33F4747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p>
        </w:tc>
        <w:tc>
          <w:tcPr>
            <w:tcW w:w="1154" w:type="dxa"/>
            <w:gridSpan w:val="3"/>
          </w:tcPr>
          <w:p w14:paraId="4425610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p>
        </w:tc>
        <w:tc>
          <w:tcPr>
            <w:tcW w:w="527" w:type="dxa"/>
            <w:gridSpan w:val="2"/>
          </w:tcPr>
          <w:p w14:paraId="6909562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p>
        </w:tc>
        <w:tc>
          <w:tcPr>
            <w:tcW w:w="567" w:type="dxa"/>
          </w:tcPr>
          <w:p w14:paraId="263A66D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
                <w:iCs/>
                <w:kern w:val="1"/>
                <w:lang w:eastAsia="ar-SA"/>
              </w:rPr>
            </w:pPr>
          </w:p>
        </w:tc>
        <w:tc>
          <w:tcPr>
            <w:tcW w:w="22" w:type="dxa"/>
          </w:tcPr>
          <w:p w14:paraId="29871B3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i/>
                <w:iCs/>
                <w:kern w:val="1"/>
                <w:lang w:eastAsia="ar-SA"/>
              </w:rPr>
            </w:pPr>
          </w:p>
        </w:tc>
      </w:tr>
      <w:tr w:rsidR="00147C5D" w:rsidRPr="00BD4653" w14:paraId="2659BC8B" w14:textId="77777777" w:rsidTr="00280FD9">
        <w:trPr>
          <w:gridAfter w:val="3"/>
          <w:wAfter w:w="601" w:type="dxa"/>
        </w:trPr>
        <w:tc>
          <w:tcPr>
            <w:tcW w:w="1840" w:type="dxa"/>
          </w:tcPr>
          <w:p w14:paraId="73A9D85F" w14:textId="77777777" w:rsidR="00147C5D" w:rsidRPr="00BD4653" w:rsidRDefault="00147C5D" w:rsidP="00280FD9">
            <w:pPr>
              <w:widowControl w:val="0"/>
              <w:suppressAutoHyphens/>
              <w:autoSpaceDE w:val="0"/>
              <w:autoSpaceDN w:val="0"/>
              <w:adjustRightInd w:val="0"/>
              <w:spacing w:line="360" w:lineRule="auto"/>
              <w:rPr>
                <w:rFonts w:eastAsia="Arial Unicode MS"/>
                <w:b/>
                <w:bCs/>
                <w:kern w:val="1"/>
                <w:lang w:eastAsia="ar-SA"/>
              </w:rPr>
            </w:pPr>
            <w:r w:rsidRPr="00BD4653">
              <w:rPr>
                <w:rFonts w:eastAsia="Arial Unicode MS"/>
                <w:kern w:val="1"/>
                <w:position w:val="-6"/>
                <w:lang w:eastAsia="ar-SA"/>
              </w:rPr>
              <w:t>Fadiga física</w:t>
            </w:r>
          </w:p>
        </w:tc>
        <w:tc>
          <w:tcPr>
            <w:tcW w:w="1416" w:type="dxa"/>
          </w:tcPr>
          <w:p w14:paraId="55DEA9B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4.7 (0.1)</w:t>
            </w:r>
          </w:p>
        </w:tc>
        <w:tc>
          <w:tcPr>
            <w:tcW w:w="1422" w:type="dxa"/>
          </w:tcPr>
          <w:p w14:paraId="5A21152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5.4(0.1)</w:t>
            </w:r>
          </w:p>
        </w:tc>
        <w:tc>
          <w:tcPr>
            <w:tcW w:w="851" w:type="dxa"/>
          </w:tcPr>
          <w:p w14:paraId="4235BDA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48.54</w:t>
            </w:r>
          </w:p>
        </w:tc>
        <w:tc>
          <w:tcPr>
            <w:tcW w:w="561" w:type="dxa"/>
          </w:tcPr>
          <w:p w14:paraId="22B8AD5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21DFCDD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.08</w:t>
            </w:r>
          </w:p>
        </w:tc>
        <w:tc>
          <w:tcPr>
            <w:tcW w:w="283" w:type="dxa"/>
          </w:tcPr>
          <w:p w14:paraId="21E93B2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0B90076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5.4 (0.1)</w:t>
            </w:r>
          </w:p>
        </w:tc>
        <w:tc>
          <w:tcPr>
            <w:tcW w:w="995" w:type="dxa"/>
          </w:tcPr>
          <w:p w14:paraId="2F792DB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4.6 (0.1)</w:t>
            </w:r>
          </w:p>
        </w:tc>
        <w:tc>
          <w:tcPr>
            <w:tcW w:w="850" w:type="dxa"/>
            <w:gridSpan w:val="2"/>
          </w:tcPr>
          <w:p w14:paraId="56DBDF3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62.77</w:t>
            </w:r>
          </w:p>
        </w:tc>
        <w:tc>
          <w:tcPr>
            <w:tcW w:w="566" w:type="dxa"/>
            <w:gridSpan w:val="2"/>
          </w:tcPr>
          <w:p w14:paraId="4C0FD025"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15B102FF"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.10</w:t>
            </w:r>
          </w:p>
        </w:tc>
        <w:tc>
          <w:tcPr>
            <w:tcW w:w="284" w:type="dxa"/>
          </w:tcPr>
          <w:p w14:paraId="42CCA529"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3FE8FC6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0.34</w:t>
            </w:r>
          </w:p>
        </w:tc>
        <w:tc>
          <w:tcPr>
            <w:tcW w:w="567" w:type="dxa"/>
          </w:tcPr>
          <w:p w14:paraId="68279B1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.563</w:t>
            </w:r>
          </w:p>
        </w:tc>
        <w:tc>
          <w:tcPr>
            <w:tcW w:w="554" w:type="dxa"/>
            <w:gridSpan w:val="2"/>
          </w:tcPr>
          <w:p w14:paraId="52767B0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iCs/>
                <w:kern w:val="1"/>
                <w:lang w:eastAsia="ar-SA"/>
              </w:rPr>
            </w:pPr>
            <w:r w:rsidRPr="00BD4653">
              <w:rPr>
                <w:rFonts w:eastAsia="Arial Unicode MS"/>
                <w:iCs/>
                <w:kern w:val="1"/>
                <w:lang w:eastAsia="ar-SA"/>
              </w:rPr>
              <w:t>.00</w:t>
            </w:r>
          </w:p>
        </w:tc>
      </w:tr>
      <w:tr w:rsidR="00147C5D" w:rsidRPr="00BD4653" w14:paraId="5B321BF2" w14:textId="77777777" w:rsidTr="00280FD9">
        <w:trPr>
          <w:gridAfter w:val="3"/>
          <w:wAfter w:w="601" w:type="dxa"/>
        </w:trPr>
        <w:tc>
          <w:tcPr>
            <w:tcW w:w="1840" w:type="dxa"/>
          </w:tcPr>
          <w:p w14:paraId="5BA2D88B" w14:textId="77777777" w:rsidR="00147C5D" w:rsidRPr="00BD4653" w:rsidRDefault="00147C5D" w:rsidP="00280FD9">
            <w:pPr>
              <w:widowControl w:val="0"/>
              <w:suppressAutoHyphens/>
              <w:autoSpaceDE w:val="0"/>
              <w:autoSpaceDN w:val="0"/>
              <w:adjustRightInd w:val="0"/>
              <w:spacing w:line="360" w:lineRule="auto"/>
              <w:rPr>
                <w:rFonts w:eastAsia="Arial Unicode MS"/>
                <w:b/>
                <w:bCs/>
                <w:kern w:val="1"/>
                <w:lang w:eastAsia="ar-SA"/>
              </w:rPr>
            </w:pPr>
            <w:r w:rsidRPr="00BD4653">
              <w:rPr>
                <w:rFonts w:eastAsia="Arial Unicode MS"/>
                <w:kern w:val="1"/>
                <w:position w:val="-6"/>
                <w:lang w:eastAsia="ar-SA"/>
              </w:rPr>
              <w:t>Fadiga cognitiva</w:t>
            </w:r>
          </w:p>
        </w:tc>
        <w:tc>
          <w:tcPr>
            <w:tcW w:w="1416" w:type="dxa"/>
            <w:shd w:val="clear" w:color="auto" w:fill="auto"/>
          </w:tcPr>
          <w:p w14:paraId="115A213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4.1 (0.1)</w:t>
            </w:r>
          </w:p>
        </w:tc>
        <w:tc>
          <w:tcPr>
            <w:tcW w:w="1422" w:type="dxa"/>
            <w:shd w:val="clear" w:color="auto" w:fill="auto"/>
          </w:tcPr>
          <w:p w14:paraId="49BA0BB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5.0 (0.1)</w:t>
            </w:r>
          </w:p>
        </w:tc>
        <w:tc>
          <w:tcPr>
            <w:tcW w:w="851" w:type="dxa"/>
          </w:tcPr>
          <w:p w14:paraId="016003D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74.31</w:t>
            </w:r>
          </w:p>
        </w:tc>
        <w:tc>
          <w:tcPr>
            <w:tcW w:w="561" w:type="dxa"/>
          </w:tcPr>
          <w:p w14:paraId="5B7FDD7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5360FFD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.12</w:t>
            </w:r>
          </w:p>
        </w:tc>
        <w:tc>
          <w:tcPr>
            <w:tcW w:w="283" w:type="dxa"/>
          </w:tcPr>
          <w:p w14:paraId="4B42E07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5FA9685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4.9 (0.1)</w:t>
            </w:r>
          </w:p>
        </w:tc>
        <w:tc>
          <w:tcPr>
            <w:tcW w:w="995" w:type="dxa"/>
          </w:tcPr>
          <w:p w14:paraId="011536F7"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4.2 (0.1)</w:t>
            </w:r>
          </w:p>
        </w:tc>
        <w:tc>
          <w:tcPr>
            <w:tcW w:w="850" w:type="dxa"/>
            <w:gridSpan w:val="2"/>
          </w:tcPr>
          <w:p w14:paraId="25EA554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47.46</w:t>
            </w:r>
          </w:p>
        </w:tc>
        <w:tc>
          <w:tcPr>
            <w:tcW w:w="566" w:type="dxa"/>
            <w:gridSpan w:val="2"/>
          </w:tcPr>
          <w:p w14:paraId="29D683CD"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258B09E2"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.08</w:t>
            </w:r>
          </w:p>
        </w:tc>
        <w:tc>
          <w:tcPr>
            <w:tcW w:w="284" w:type="dxa"/>
          </w:tcPr>
          <w:p w14:paraId="6206D9F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p>
        </w:tc>
        <w:tc>
          <w:tcPr>
            <w:tcW w:w="993" w:type="dxa"/>
            <w:gridSpan w:val="3"/>
          </w:tcPr>
          <w:p w14:paraId="3BE5878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3.10</w:t>
            </w:r>
          </w:p>
        </w:tc>
        <w:tc>
          <w:tcPr>
            <w:tcW w:w="567" w:type="dxa"/>
          </w:tcPr>
          <w:p w14:paraId="6F8E1D1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.079</w:t>
            </w:r>
          </w:p>
        </w:tc>
        <w:tc>
          <w:tcPr>
            <w:tcW w:w="554" w:type="dxa"/>
            <w:gridSpan w:val="2"/>
          </w:tcPr>
          <w:p w14:paraId="39FDDDC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
                <w:bCs/>
                <w:iCs/>
                <w:kern w:val="1"/>
                <w:lang w:eastAsia="ar-SA"/>
              </w:rPr>
            </w:pPr>
            <w:r w:rsidRPr="00BD4653">
              <w:rPr>
                <w:rFonts w:eastAsia="Arial Unicode MS"/>
                <w:iCs/>
                <w:kern w:val="1"/>
                <w:lang w:eastAsia="ar-SA"/>
              </w:rPr>
              <w:t>.01</w:t>
            </w:r>
          </w:p>
        </w:tc>
      </w:tr>
      <w:tr w:rsidR="00147C5D" w:rsidRPr="00BD4653" w14:paraId="3661C3DD" w14:textId="77777777" w:rsidTr="00280FD9">
        <w:trPr>
          <w:gridAfter w:val="3"/>
          <w:wAfter w:w="601" w:type="dxa"/>
          <w:trHeight w:val="436"/>
        </w:trPr>
        <w:tc>
          <w:tcPr>
            <w:tcW w:w="1840" w:type="dxa"/>
          </w:tcPr>
          <w:p w14:paraId="2C66E809" w14:textId="77777777" w:rsidR="00147C5D" w:rsidRPr="00BD4653" w:rsidRDefault="00147C5D" w:rsidP="00280FD9">
            <w:pPr>
              <w:widowControl w:val="0"/>
              <w:suppressAutoHyphens/>
              <w:autoSpaceDE w:val="0"/>
              <w:autoSpaceDN w:val="0"/>
              <w:adjustRightInd w:val="0"/>
              <w:spacing w:line="360" w:lineRule="auto"/>
              <w:rPr>
                <w:rFonts w:eastAsia="Arial Unicode MS"/>
                <w:bCs/>
                <w:kern w:val="1"/>
                <w:lang w:eastAsia="ar-SA"/>
              </w:rPr>
            </w:pPr>
            <w:r w:rsidRPr="00BD4653">
              <w:rPr>
                <w:rFonts w:eastAsia="Arial Unicode MS"/>
                <w:kern w:val="1"/>
                <w:position w:val="-6"/>
                <w:lang w:eastAsia="ar-SA"/>
              </w:rPr>
              <w:t>Exaustão emocional</w:t>
            </w:r>
          </w:p>
        </w:tc>
        <w:tc>
          <w:tcPr>
            <w:tcW w:w="1416" w:type="dxa"/>
            <w:shd w:val="clear" w:color="auto" w:fill="auto"/>
          </w:tcPr>
          <w:p w14:paraId="02E061F0"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1.9 (0.1)</w:t>
            </w:r>
          </w:p>
        </w:tc>
        <w:tc>
          <w:tcPr>
            <w:tcW w:w="1422" w:type="dxa"/>
            <w:shd w:val="clear" w:color="auto" w:fill="auto"/>
          </w:tcPr>
          <w:p w14:paraId="7519DE4B"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highlight w:val="yellow"/>
                <w:lang w:eastAsia="ar-SA"/>
              </w:rPr>
            </w:pPr>
            <w:r w:rsidRPr="00BD4653">
              <w:rPr>
                <w:rFonts w:eastAsia="Arial Unicode MS"/>
                <w:kern w:val="1"/>
                <w:lang w:eastAsia="ar-SA"/>
              </w:rPr>
              <w:t>2.3 (0.1)</w:t>
            </w:r>
          </w:p>
        </w:tc>
        <w:tc>
          <w:tcPr>
            <w:tcW w:w="851" w:type="dxa"/>
          </w:tcPr>
          <w:p w14:paraId="7C71E69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11.78</w:t>
            </w:r>
          </w:p>
        </w:tc>
        <w:tc>
          <w:tcPr>
            <w:tcW w:w="561" w:type="dxa"/>
          </w:tcPr>
          <w:p w14:paraId="38A85605"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2CF8E0F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iCs/>
                <w:kern w:val="1"/>
                <w:lang w:eastAsia="ar-SA"/>
              </w:rPr>
              <w:t>.02</w:t>
            </w:r>
          </w:p>
        </w:tc>
        <w:tc>
          <w:tcPr>
            <w:tcW w:w="283" w:type="dxa"/>
          </w:tcPr>
          <w:p w14:paraId="62DA89AA"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1705" w:type="dxa"/>
          </w:tcPr>
          <w:p w14:paraId="74E03238"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2.4 (0.1)</w:t>
            </w:r>
          </w:p>
        </w:tc>
        <w:tc>
          <w:tcPr>
            <w:tcW w:w="995" w:type="dxa"/>
          </w:tcPr>
          <w:p w14:paraId="57F38B0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1.9 (0.1)</w:t>
            </w:r>
          </w:p>
        </w:tc>
        <w:tc>
          <w:tcPr>
            <w:tcW w:w="850" w:type="dxa"/>
            <w:gridSpan w:val="2"/>
          </w:tcPr>
          <w:p w14:paraId="3529489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24.63</w:t>
            </w:r>
          </w:p>
        </w:tc>
        <w:tc>
          <w:tcPr>
            <w:tcW w:w="566" w:type="dxa"/>
            <w:gridSpan w:val="2"/>
          </w:tcPr>
          <w:p w14:paraId="0BD363F0" w14:textId="77777777" w:rsidR="00147C5D" w:rsidRPr="00BD4653" w:rsidRDefault="00147C5D" w:rsidP="00280FD9">
            <w:pPr>
              <w:widowControl w:val="0"/>
              <w:suppressAutoHyphens/>
              <w:spacing w:line="360" w:lineRule="auto"/>
              <w:jc w:val="center"/>
              <w:rPr>
                <w:rFonts w:eastAsia="Arial Unicode MS"/>
                <w:kern w:val="1"/>
                <w:lang w:eastAsia="ar-SA"/>
              </w:rPr>
            </w:pPr>
            <w:r w:rsidRPr="00BD4653">
              <w:rPr>
                <w:rFonts w:eastAsia="Arial Unicode MS"/>
                <w:kern w:val="1"/>
                <w:lang w:eastAsia="ar-SA"/>
              </w:rPr>
              <w:t>&lt;.001</w:t>
            </w:r>
          </w:p>
        </w:tc>
        <w:tc>
          <w:tcPr>
            <w:tcW w:w="425" w:type="dxa"/>
          </w:tcPr>
          <w:p w14:paraId="47ADAACE"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iCs/>
                <w:kern w:val="1"/>
                <w:lang w:eastAsia="ar-SA"/>
              </w:rPr>
              <w:t>.04</w:t>
            </w:r>
          </w:p>
        </w:tc>
        <w:tc>
          <w:tcPr>
            <w:tcW w:w="284" w:type="dxa"/>
          </w:tcPr>
          <w:p w14:paraId="6C7E78A6"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p>
        </w:tc>
        <w:tc>
          <w:tcPr>
            <w:tcW w:w="993" w:type="dxa"/>
            <w:gridSpan w:val="3"/>
          </w:tcPr>
          <w:p w14:paraId="4AE77403"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kern w:val="1"/>
                <w:lang w:eastAsia="ar-SA"/>
              </w:rPr>
            </w:pPr>
            <w:r w:rsidRPr="00BD4653">
              <w:rPr>
                <w:rFonts w:eastAsia="Arial Unicode MS"/>
                <w:kern w:val="1"/>
                <w:lang w:eastAsia="ar-SA"/>
              </w:rPr>
              <w:t>1.04</w:t>
            </w:r>
          </w:p>
        </w:tc>
        <w:tc>
          <w:tcPr>
            <w:tcW w:w="567" w:type="dxa"/>
          </w:tcPr>
          <w:p w14:paraId="2C5A6CBC"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iCs/>
                <w:kern w:val="1"/>
                <w:lang w:eastAsia="ar-SA"/>
              </w:rPr>
            </w:pPr>
            <w:r w:rsidRPr="00BD4653">
              <w:rPr>
                <w:rFonts w:eastAsia="Arial Unicode MS"/>
                <w:kern w:val="1"/>
                <w:lang w:eastAsia="ar-SA"/>
              </w:rPr>
              <w:t>.309</w:t>
            </w:r>
          </w:p>
        </w:tc>
        <w:tc>
          <w:tcPr>
            <w:tcW w:w="554" w:type="dxa"/>
            <w:gridSpan w:val="2"/>
          </w:tcPr>
          <w:p w14:paraId="240A3361" w14:textId="77777777" w:rsidR="00147C5D" w:rsidRPr="00BD4653" w:rsidRDefault="00147C5D" w:rsidP="00280FD9">
            <w:pPr>
              <w:widowControl w:val="0"/>
              <w:suppressAutoHyphens/>
              <w:autoSpaceDE w:val="0"/>
              <w:autoSpaceDN w:val="0"/>
              <w:adjustRightInd w:val="0"/>
              <w:spacing w:line="360" w:lineRule="auto"/>
              <w:jc w:val="center"/>
              <w:rPr>
                <w:rFonts w:eastAsia="Arial Unicode MS"/>
                <w:bCs/>
                <w:iCs/>
                <w:kern w:val="1"/>
                <w:lang w:eastAsia="ar-SA"/>
              </w:rPr>
            </w:pPr>
            <w:r w:rsidRPr="00BD4653">
              <w:rPr>
                <w:rFonts w:eastAsia="Arial Unicode MS"/>
                <w:iCs/>
                <w:kern w:val="1"/>
                <w:lang w:eastAsia="ar-SA"/>
              </w:rPr>
              <w:t>.00</w:t>
            </w:r>
          </w:p>
        </w:tc>
      </w:tr>
    </w:tbl>
    <w:p w14:paraId="0E58004F" w14:textId="77777777" w:rsidR="00147C5D" w:rsidRDefault="00147C5D" w:rsidP="00147C5D"/>
    <w:p w14:paraId="50C67786" w14:textId="6237B643" w:rsidR="00147C5D" w:rsidRDefault="00147C5D" w:rsidP="00147C5D">
      <w:pPr>
        <w:sectPr w:rsidR="00147C5D" w:rsidSect="00147C5D">
          <w:pgSz w:w="16838" w:h="11906" w:orient="landscape"/>
          <w:pgMar w:top="1418" w:right="1418" w:bottom="1418" w:left="1418" w:header="709" w:footer="709" w:gutter="0"/>
          <w:cols w:space="708"/>
          <w:docGrid w:linePitch="360"/>
        </w:sectPr>
      </w:pPr>
    </w:p>
    <w:p w14:paraId="53FBE1B9" w14:textId="77777777" w:rsidR="00147C5D" w:rsidRDefault="00147C5D" w:rsidP="00147C5D">
      <w:pPr>
        <w:pStyle w:val="Ttulo1"/>
        <w:spacing w:before="0"/>
        <w:rPr>
          <w:rFonts w:cs="Times New Roman"/>
          <w:szCs w:val="24"/>
        </w:rPr>
      </w:pPr>
    </w:p>
    <w:p w14:paraId="32C7F6F8" w14:textId="77777777" w:rsidR="00147C5D" w:rsidRPr="00BD4653" w:rsidRDefault="00147C5D" w:rsidP="00147C5D">
      <w:pPr>
        <w:pStyle w:val="Ttulo1"/>
        <w:spacing w:before="0"/>
        <w:rPr>
          <w:rFonts w:eastAsia="Times New Roman" w:cs="Times New Roman"/>
          <w:szCs w:val="24"/>
          <w:lang w:eastAsia="pt-PT" w:bidi="he-IL"/>
        </w:rPr>
      </w:pPr>
      <w:r w:rsidRPr="00BD4653">
        <w:rPr>
          <w:rFonts w:eastAsia="Times New Roman" w:cs="Times New Roman"/>
          <w:szCs w:val="24"/>
          <w:lang w:eastAsia="pt-PT" w:bidi="he-IL"/>
        </w:rPr>
        <w:t>Discussão</w:t>
      </w:r>
    </w:p>
    <w:p w14:paraId="3C5A6468" w14:textId="77777777" w:rsidR="00147C5D" w:rsidRPr="00BD4653" w:rsidRDefault="00147C5D" w:rsidP="00147C5D">
      <w:pPr>
        <w:spacing w:line="360" w:lineRule="auto"/>
        <w:ind w:firstLine="709"/>
        <w:textAlignment w:val="baseline"/>
        <w:rPr>
          <w:lang w:eastAsia="pt-PT" w:bidi="he-IL"/>
        </w:rPr>
      </w:pPr>
      <w:r>
        <w:rPr>
          <w:lang w:eastAsia="pt-PT" w:bidi="he-IL"/>
        </w:rPr>
        <w:t xml:space="preserve">Os </w:t>
      </w:r>
      <w:r w:rsidRPr="00BD4653">
        <w:rPr>
          <w:lang w:eastAsia="pt-PT" w:bidi="he-IL"/>
        </w:rPr>
        <w:t xml:space="preserve">resultados </w:t>
      </w:r>
      <w:r>
        <w:rPr>
          <w:lang w:eastAsia="pt-PT" w:bidi="he-IL"/>
        </w:rPr>
        <w:t xml:space="preserve">obtidos neste estudo evidenciaram </w:t>
      </w:r>
      <w:r w:rsidRPr="00BD4653">
        <w:rPr>
          <w:lang w:eastAsia="pt-PT" w:bidi="he-IL"/>
        </w:rPr>
        <w:t xml:space="preserve">alguns aspetos </w:t>
      </w:r>
      <w:r>
        <w:rPr>
          <w:lang w:eastAsia="pt-PT" w:bidi="he-IL"/>
        </w:rPr>
        <w:t>interessantes</w:t>
      </w:r>
      <w:r w:rsidRPr="00BD4653">
        <w:rPr>
          <w:lang w:eastAsia="pt-PT" w:bidi="he-IL"/>
        </w:rPr>
        <w:t>. Desde logo, estes perfis d</w:t>
      </w:r>
      <w:r>
        <w:rPr>
          <w:lang w:eastAsia="pt-PT" w:bidi="he-IL"/>
        </w:rPr>
        <w:t xml:space="preserve">e </w:t>
      </w:r>
      <w:r w:rsidRPr="00B15A50">
        <w:rPr>
          <w:i/>
          <w:lang w:eastAsia="pt-PT" w:bidi="he-IL"/>
        </w:rPr>
        <w:t>stress</w:t>
      </w:r>
      <w:r>
        <w:rPr>
          <w:lang w:eastAsia="pt-PT" w:bidi="he-IL"/>
        </w:rPr>
        <w:t xml:space="preserve"> e de avaliação cognitiva d</w:t>
      </w:r>
      <w:r w:rsidRPr="00BD4653">
        <w:rPr>
          <w:lang w:eastAsia="pt-PT" w:bidi="he-IL"/>
        </w:rPr>
        <w:t xml:space="preserve">iferenciaram os grupos de estudantes entre si. Os estudantes universitários que se inseriam no grupo nível superior de </w:t>
      </w:r>
      <w:r w:rsidRPr="00BD4653">
        <w:rPr>
          <w:i/>
          <w:iCs/>
          <w:lang w:eastAsia="pt-PT" w:bidi="he-IL"/>
        </w:rPr>
        <w:t>stress</w:t>
      </w:r>
      <w:r w:rsidRPr="00BD4653">
        <w:rPr>
          <w:lang w:eastAsia="pt-PT" w:bidi="he-IL"/>
        </w:rPr>
        <w:t xml:space="preserve"> percecionaram maior </w:t>
      </w:r>
      <w:r w:rsidRPr="00BD4653">
        <w:rPr>
          <w:i/>
          <w:iCs/>
          <w:lang w:eastAsia="pt-PT" w:bidi="he-IL"/>
        </w:rPr>
        <w:t>stress</w:t>
      </w:r>
      <w:r w:rsidRPr="00BD4653">
        <w:rPr>
          <w:lang w:eastAsia="pt-PT" w:bidi="he-IL"/>
        </w:rPr>
        <w:t xml:space="preserve"> associado ao rendimento escolar, à avaliação académica, às experiências futuras, à motivação, à aprendizagem e ao excesso de trabalho. Nos perfis de avaliação cognitiva, a perceção de ameaça é maior nos estudantes com um perfil moderadamente positivo. Inversamente, os estudantes com um perfil muito positivo apresentaram uma maior perceção de desafio, confronto e controlo.  </w:t>
      </w:r>
    </w:p>
    <w:p w14:paraId="72CABB3A" w14:textId="77777777" w:rsidR="00147C5D" w:rsidRPr="00BD4653" w:rsidRDefault="00147C5D" w:rsidP="00147C5D">
      <w:pPr>
        <w:spacing w:line="360" w:lineRule="auto"/>
        <w:ind w:firstLine="709"/>
        <w:textAlignment w:val="baseline"/>
        <w:rPr>
          <w:lang w:eastAsia="pt-PT" w:bidi="he-IL"/>
        </w:rPr>
      </w:pPr>
      <w:r w:rsidRPr="00BD4653">
        <w:rPr>
          <w:lang w:eastAsia="pt-PT" w:bidi="he-IL"/>
        </w:rPr>
        <w:t xml:space="preserve">Outro aspeto a realçar são as diferenças nas estratégias de </w:t>
      </w:r>
      <w:proofErr w:type="spellStart"/>
      <w:r w:rsidRPr="00BD4653">
        <w:rPr>
          <w:i/>
          <w:iCs/>
          <w:lang w:eastAsia="pt-PT" w:bidi="he-IL"/>
        </w:rPr>
        <w:t>coping</w:t>
      </w:r>
      <w:proofErr w:type="spellEnd"/>
      <w:r w:rsidRPr="00BD4653">
        <w:rPr>
          <w:lang w:eastAsia="pt-PT" w:bidi="he-IL"/>
        </w:rPr>
        <w:t xml:space="preserve"> em função dos perfis de </w:t>
      </w:r>
      <w:r w:rsidRPr="00BD4653">
        <w:rPr>
          <w:i/>
          <w:iCs/>
          <w:lang w:eastAsia="pt-PT" w:bidi="he-IL"/>
        </w:rPr>
        <w:t>stress.</w:t>
      </w:r>
      <w:r w:rsidRPr="00BD4653">
        <w:rPr>
          <w:lang w:eastAsia="pt-PT" w:bidi="he-IL"/>
        </w:rPr>
        <w:t xml:space="preserve"> Neste caso, os resultados indicaram que os estudantes com um perfil de nível superior de </w:t>
      </w:r>
      <w:r w:rsidRPr="00BD4653">
        <w:rPr>
          <w:i/>
          <w:iCs/>
          <w:lang w:eastAsia="pt-PT" w:bidi="he-IL"/>
        </w:rPr>
        <w:t xml:space="preserve">stress, </w:t>
      </w:r>
      <w:r w:rsidRPr="00BD4653">
        <w:rPr>
          <w:lang w:eastAsia="pt-PT" w:bidi="he-IL"/>
        </w:rPr>
        <w:t xml:space="preserve">quando comparados com estudantes com perfil de nível inferior de </w:t>
      </w:r>
      <w:r w:rsidRPr="00BD4653">
        <w:rPr>
          <w:i/>
          <w:iCs/>
          <w:lang w:eastAsia="pt-PT" w:bidi="he-IL"/>
        </w:rPr>
        <w:t>stress</w:t>
      </w:r>
      <w:r w:rsidRPr="00BD4653">
        <w:rPr>
          <w:lang w:eastAsia="pt-PT" w:bidi="he-IL"/>
        </w:rPr>
        <w:t xml:space="preserve">, recorriam mais a estratégias de negação perante os </w:t>
      </w:r>
      <w:proofErr w:type="spellStart"/>
      <w:r w:rsidRPr="00BD4653">
        <w:rPr>
          <w:i/>
          <w:iCs/>
          <w:lang w:eastAsia="pt-PT" w:bidi="he-IL"/>
        </w:rPr>
        <w:t>stressores</w:t>
      </w:r>
      <w:proofErr w:type="spellEnd"/>
      <w:r w:rsidRPr="00BD4653">
        <w:rPr>
          <w:lang w:eastAsia="pt-PT" w:bidi="he-IL"/>
        </w:rPr>
        <w:t xml:space="preserve">. A investigação tem demonstrado que o recurso a estratégias de resolução de problemas bem como o recurso a estratégias de </w:t>
      </w:r>
      <w:proofErr w:type="spellStart"/>
      <w:r w:rsidRPr="00BD4653">
        <w:rPr>
          <w:i/>
          <w:iCs/>
          <w:lang w:eastAsia="pt-PT" w:bidi="he-IL"/>
        </w:rPr>
        <w:t>coping</w:t>
      </w:r>
      <w:proofErr w:type="spellEnd"/>
      <w:r w:rsidRPr="00BD4653">
        <w:rPr>
          <w:lang w:eastAsia="pt-PT" w:bidi="he-IL"/>
        </w:rPr>
        <w:t xml:space="preserve"> centradas nas emoções tornam as pessoas mais capazes de lidar com o </w:t>
      </w:r>
      <w:r w:rsidRPr="00BD4653">
        <w:rPr>
          <w:i/>
          <w:iCs/>
          <w:lang w:eastAsia="pt-PT" w:bidi="he-IL"/>
        </w:rPr>
        <w:t xml:space="preserve">stress </w:t>
      </w:r>
      <w:r w:rsidRPr="00BD4653">
        <w:rPr>
          <w:lang w:eastAsia="pt-PT" w:bidi="he-IL"/>
        </w:rPr>
        <w:t>ocupacional (</w:t>
      </w:r>
      <w:proofErr w:type="spellStart"/>
      <w:r w:rsidRPr="00BD4653">
        <w:rPr>
          <w:lang w:eastAsia="pt-PT" w:bidi="he-IL"/>
        </w:rPr>
        <w:t>Abdian</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2022). Num estudo realizado no contexto universitário, constatou-se que os participantes experienciaram fatores de </w:t>
      </w:r>
      <w:r w:rsidRPr="00BD4653">
        <w:rPr>
          <w:i/>
          <w:iCs/>
          <w:lang w:eastAsia="pt-PT" w:bidi="he-IL"/>
        </w:rPr>
        <w:t>stress</w:t>
      </w:r>
      <w:r w:rsidRPr="00BD4653">
        <w:rPr>
          <w:lang w:eastAsia="pt-PT" w:bidi="he-IL"/>
        </w:rPr>
        <w:t xml:space="preserve"> organizacionais e profissionais específicos que originaram emoções angustiantes, mas foi igualmente verificado que os participantes recorriam a estratégias de </w:t>
      </w:r>
      <w:proofErr w:type="spellStart"/>
      <w:r w:rsidRPr="00BD4653">
        <w:rPr>
          <w:i/>
          <w:iCs/>
          <w:lang w:eastAsia="pt-PT" w:bidi="he-IL"/>
        </w:rPr>
        <w:t>coping</w:t>
      </w:r>
      <w:proofErr w:type="spellEnd"/>
      <w:r w:rsidRPr="00BD4653">
        <w:rPr>
          <w:lang w:eastAsia="pt-PT" w:bidi="he-IL"/>
        </w:rPr>
        <w:t xml:space="preserve"> adaptativo (e.g. apoio emocional, humor) e que estas se mostravam eficazes no momento de lidar com os </w:t>
      </w:r>
      <w:proofErr w:type="spellStart"/>
      <w:r w:rsidRPr="00BD4653">
        <w:rPr>
          <w:i/>
          <w:iCs/>
          <w:lang w:eastAsia="pt-PT" w:bidi="he-IL"/>
        </w:rPr>
        <w:t>stressores</w:t>
      </w:r>
      <w:proofErr w:type="spellEnd"/>
      <w:r w:rsidRPr="00BD4653">
        <w:rPr>
          <w:lang w:eastAsia="pt-PT" w:bidi="he-IL"/>
        </w:rPr>
        <w:t xml:space="preserve"> (</w:t>
      </w:r>
      <w:proofErr w:type="spellStart"/>
      <w:r w:rsidRPr="00BD4653">
        <w:rPr>
          <w:lang w:eastAsia="pt-PT" w:bidi="he-IL"/>
        </w:rPr>
        <w:t>Plessis</w:t>
      </w:r>
      <w:proofErr w:type="spellEnd"/>
      <w:r w:rsidRPr="00BD4653">
        <w:rPr>
          <w:lang w:eastAsia="pt-PT" w:bidi="he-IL"/>
        </w:rPr>
        <w:t xml:space="preserve">, 2020).   Ainda nos perfis de </w:t>
      </w:r>
      <w:r w:rsidRPr="00BD4653">
        <w:rPr>
          <w:i/>
          <w:iCs/>
          <w:lang w:eastAsia="pt-PT" w:bidi="he-IL"/>
        </w:rPr>
        <w:t>stress</w:t>
      </w:r>
      <w:r w:rsidRPr="00BD4653">
        <w:rPr>
          <w:lang w:eastAsia="pt-PT" w:bidi="he-IL"/>
        </w:rPr>
        <w:t xml:space="preserve">, analisaram-se as diferenças na experiência de </w:t>
      </w:r>
      <w:r w:rsidRPr="00BD4653">
        <w:rPr>
          <w:i/>
          <w:iCs/>
          <w:lang w:eastAsia="pt-PT" w:bidi="he-IL"/>
        </w:rPr>
        <w:t xml:space="preserve">burnout </w:t>
      </w:r>
      <w:r w:rsidRPr="00BD4653">
        <w:rPr>
          <w:lang w:eastAsia="pt-PT" w:bidi="he-IL"/>
        </w:rPr>
        <w:t xml:space="preserve">dos estudantes. Neste caso, verificou-se que os estudantes universitários com um perfil superior de </w:t>
      </w:r>
      <w:r w:rsidRPr="00BD4653">
        <w:rPr>
          <w:i/>
          <w:iCs/>
          <w:lang w:eastAsia="pt-PT" w:bidi="he-IL"/>
        </w:rPr>
        <w:t>stress</w:t>
      </w:r>
      <w:r w:rsidRPr="00BD4653">
        <w:rPr>
          <w:lang w:eastAsia="pt-PT" w:bidi="he-IL"/>
        </w:rPr>
        <w:t xml:space="preserve"> apresentaram uma maior perceção de fadiga física, fadiga cognitiva e exaustão emocional. Atendendo ao facto de a síndrome de </w:t>
      </w:r>
      <w:r w:rsidRPr="00BD4653">
        <w:rPr>
          <w:i/>
          <w:iCs/>
          <w:lang w:eastAsia="pt-PT" w:bidi="he-IL"/>
        </w:rPr>
        <w:t>burnout</w:t>
      </w:r>
      <w:r w:rsidRPr="00BD4653">
        <w:rPr>
          <w:lang w:eastAsia="pt-PT" w:bidi="he-IL"/>
        </w:rPr>
        <w:t xml:space="preserve"> resultar de uma reação afetiva ao </w:t>
      </w:r>
      <w:r w:rsidRPr="00BD4653">
        <w:rPr>
          <w:i/>
          <w:iCs/>
          <w:lang w:eastAsia="pt-PT" w:bidi="he-IL"/>
        </w:rPr>
        <w:t>stress</w:t>
      </w:r>
      <w:r w:rsidRPr="00BD4653">
        <w:rPr>
          <w:lang w:eastAsia="pt-PT" w:bidi="he-IL"/>
        </w:rPr>
        <w:t xml:space="preserve"> crónico, onde, gradualmente, se assiste a uma diminuição dos recursos intrínsecos pessoais (</w:t>
      </w:r>
      <w:proofErr w:type="spellStart"/>
      <w:r w:rsidRPr="00BD4653">
        <w:rPr>
          <w:lang w:eastAsia="pt-PT" w:bidi="he-IL"/>
        </w:rPr>
        <w:t>Melamed</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1992; </w:t>
      </w:r>
      <w:proofErr w:type="spellStart"/>
      <w:r w:rsidRPr="00BD4653">
        <w:rPr>
          <w:lang w:eastAsia="pt-PT" w:bidi="he-IL"/>
        </w:rPr>
        <w:t>Shirom</w:t>
      </w:r>
      <w:proofErr w:type="spellEnd"/>
      <w:r w:rsidRPr="00BD4653">
        <w:rPr>
          <w:lang w:eastAsia="pt-PT" w:bidi="he-IL"/>
        </w:rPr>
        <w:t xml:space="preserve">, 2003, 2010), era expectável que os estudantes que apresentavam níveis de </w:t>
      </w:r>
      <w:r w:rsidRPr="00BD4653">
        <w:rPr>
          <w:i/>
          <w:iCs/>
          <w:lang w:eastAsia="pt-PT" w:bidi="he-IL"/>
        </w:rPr>
        <w:t>stress</w:t>
      </w:r>
      <w:r w:rsidRPr="00BD4653">
        <w:rPr>
          <w:lang w:eastAsia="pt-PT" w:bidi="he-IL"/>
        </w:rPr>
        <w:t xml:space="preserve"> mais elevados sentissem maior fadiga física, maior fadiga cognitiva e maior exaustão emocional. Num estudo com estudantes de medicina, os níveis mais elevados de </w:t>
      </w:r>
      <w:r w:rsidRPr="00BD4653">
        <w:rPr>
          <w:i/>
          <w:iCs/>
          <w:lang w:eastAsia="pt-PT" w:bidi="he-IL"/>
        </w:rPr>
        <w:t>burnout</w:t>
      </w:r>
      <w:r w:rsidRPr="00BD4653">
        <w:rPr>
          <w:lang w:eastAsia="pt-PT" w:bidi="he-IL"/>
        </w:rPr>
        <w:t xml:space="preserve"> estavam significativamente associados, entre outros fatores, ao medo do fracasso, à falta de crença naquilo que faziam, à falta de ajuda ou de recursos de apoio e ao futuro incerto, ou seja, os estudantes </w:t>
      </w:r>
      <w:r w:rsidRPr="00BD4653">
        <w:rPr>
          <w:lang w:eastAsia="pt-PT" w:bidi="he-IL"/>
        </w:rPr>
        <w:lastRenderedPageBreak/>
        <w:t xml:space="preserve">experienciaram </w:t>
      </w:r>
      <w:proofErr w:type="spellStart"/>
      <w:r w:rsidRPr="00BD4653">
        <w:rPr>
          <w:i/>
          <w:iCs/>
          <w:lang w:eastAsia="pt-PT" w:bidi="he-IL"/>
        </w:rPr>
        <w:t>stressores</w:t>
      </w:r>
      <w:proofErr w:type="spellEnd"/>
      <w:r w:rsidRPr="00BD4653">
        <w:rPr>
          <w:lang w:eastAsia="pt-PT" w:bidi="he-IL"/>
        </w:rPr>
        <w:t xml:space="preserve"> relacionados com o rendimento escolar, a motivação, a aprendizagem e experiências futuras (</w:t>
      </w:r>
      <w:proofErr w:type="spellStart"/>
      <w:r w:rsidRPr="00BD4653">
        <w:rPr>
          <w:lang w:eastAsia="pt-PT" w:bidi="he-IL"/>
        </w:rPr>
        <w:t>Muzafar</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2015). Em suma, estes resultados permitem confirmar a primeira hipótese deste estudo, que realçava que perfis mais elevados de </w:t>
      </w:r>
      <w:r w:rsidRPr="00BD4653">
        <w:rPr>
          <w:i/>
          <w:iCs/>
          <w:lang w:eastAsia="pt-PT" w:bidi="he-IL"/>
        </w:rPr>
        <w:t>stress</w:t>
      </w:r>
      <w:r w:rsidRPr="00BD4653">
        <w:rPr>
          <w:lang w:eastAsia="pt-PT" w:bidi="he-IL"/>
        </w:rPr>
        <w:t xml:space="preserve"> na atividade dos estudantes corresponderiam à utilização de estratégias de </w:t>
      </w:r>
      <w:proofErr w:type="spellStart"/>
      <w:r w:rsidRPr="00BD4653">
        <w:rPr>
          <w:i/>
          <w:iCs/>
          <w:lang w:eastAsia="pt-PT" w:bidi="he-IL"/>
        </w:rPr>
        <w:t>coping</w:t>
      </w:r>
      <w:proofErr w:type="spellEnd"/>
      <w:r w:rsidRPr="00BD4653">
        <w:rPr>
          <w:lang w:eastAsia="pt-PT" w:bidi="he-IL"/>
        </w:rPr>
        <w:t xml:space="preserve"> menos funcionais e a níveis de </w:t>
      </w:r>
      <w:r w:rsidRPr="00BD4653">
        <w:rPr>
          <w:i/>
          <w:iCs/>
          <w:lang w:eastAsia="pt-PT" w:bidi="he-IL"/>
        </w:rPr>
        <w:t xml:space="preserve">burnout </w:t>
      </w:r>
      <w:r w:rsidRPr="00BD4653">
        <w:rPr>
          <w:lang w:eastAsia="pt-PT" w:bidi="he-IL"/>
        </w:rPr>
        <w:t xml:space="preserve">mais elevados, por comparação a perfis menos elevados de </w:t>
      </w:r>
      <w:r w:rsidRPr="00BD4653">
        <w:rPr>
          <w:i/>
          <w:iCs/>
          <w:lang w:eastAsia="pt-PT" w:bidi="he-IL"/>
        </w:rPr>
        <w:t>stress</w:t>
      </w:r>
      <w:r w:rsidRPr="00BD4653">
        <w:rPr>
          <w:lang w:eastAsia="pt-PT" w:bidi="he-IL"/>
        </w:rPr>
        <w:t>.   </w:t>
      </w:r>
    </w:p>
    <w:p w14:paraId="667D8AEB" w14:textId="77777777" w:rsidR="00147C5D" w:rsidRPr="00BD4653" w:rsidRDefault="00147C5D" w:rsidP="00147C5D">
      <w:pPr>
        <w:spacing w:line="360" w:lineRule="auto"/>
        <w:ind w:firstLine="709"/>
        <w:textAlignment w:val="baseline"/>
        <w:rPr>
          <w:lang w:eastAsia="pt-PT" w:bidi="he-IL"/>
        </w:rPr>
      </w:pPr>
      <w:r w:rsidRPr="00BD4653">
        <w:rPr>
          <w:lang w:eastAsia="pt-PT" w:bidi="he-IL"/>
        </w:rPr>
        <w:t xml:space="preserve">Relativamente aos perfis de avaliação cognitiva, os resultados deste estudo demonstraram que os estudantes que apresentavam um perfil muito positivo de avaliação cognitiva, comparativamente aos seus colegas com um perfil moderadamente positivo, eram aqueles que usavam mais o confronto ativo como estratégia de </w:t>
      </w:r>
      <w:proofErr w:type="spellStart"/>
      <w:r w:rsidRPr="00BD4653">
        <w:rPr>
          <w:i/>
          <w:iCs/>
          <w:lang w:eastAsia="pt-PT" w:bidi="he-IL"/>
        </w:rPr>
        <w:t>coping</w:t>
      </w:r>
      <w:proofErr w:type="spellEnd"/>
      <w:r w:rsidRPr="00BD4653">
        <w:rPr>
          <w:lang w:eastAsia="pt-PT" w:bidi="he-IL"/>
        </w:rPr>
        <w:t xml:space="preserve">. Assim, os estudantes desta amostra que avaliaram a atividade académica com um perfil cognitivo mais positivo usaram, tendencialmente, uma estratégia de </w:t>
      </w:r>
      <w:proofErr w:type="spellStart"/>
      <w:r w:rsidRPr="00BD4653">
        <w:rPr>
          <w:i/>
          <w:iCs/>
          <w:lang w:eastAsia="pt-PT" w:bidi="he-IL"/>
        </w:rPr>
        <w:t>coping</w:t>
      </w:r>
      <w:proofErr w:type="spellEnd"/>
      <w:r w:rsidRPr="00BD4653">
        <w:rPr>
          <w:lang w:eastAsia="pt-PT" w:bidi="he-IL"/>
        </w:rPr>
        <w:t xml:space="preserve"> baseada no confronto ativo, assumindo uma maior capacidade para lidar diretamente com o</w:t>
      </w:r>
      <w:r w:rsidRPr="00BD4653">
        <w:rPr>
          <w:i/>
          <w:iCs/>
          <w:lang w:eastAsia="pt-PT" w:bidi="he-IL"/>
        </w:rPr>
        <w:t xml:space="preserve"> stress</w:t>
      </w:r>
      <w:r w:rsidRPr="00BD4653">
        <w:rPr>
          <w:lang w:eastAsia="pt-PT" w:bidi="he-IL"/>
        </w:rPr>
        <w:t xml:space="preserve"> académico. </w:t>
      </w:r>
      <w:r>
        <w:rPr>
          <w:lang w:eastAsia="pt-PT" w:bidi="he-IL"/>
        </w:rPr>
        <w:t xml:space="preserve">Este padrão de resultados </w:t>
      </w:r>
      <w:r w:rsidRPr="00BD4653">
        <w:rPr>
          <w:lang w:eastAsia="pt-PT" w:bidi="he-IL"/>
        </w:rPr>
        <w:t xml:space="preserve">vai ao encontro da investigação científica, em que se destaca o papel da avaliação cognitiva na escolha da estratégia de </w:t>
      </w:r>
      <w:proofErr w:type="spellStart"/>
      <w:r w:rsidRPr="00BD4653">
        <w:rPr>
          <w:i/>
          <w:iCs/>
          <w:lang w:eastAsia="pt-PT" w:bidi="he-IL"/>
        </w:rPr>
        <w:t>coping</w:t>
      </w:r>
      <w:proofErr w:type="spellEnd"/>
      <w:r w:rsidRPr="00BD4653">
        <w:rPr>
          <w:lang w:eastAsia="pt-PT" w:bidi="he-IL"/>
        </w:rPr>
        <w:t xml:space="preserve"> utilizada para lidar com o </w:t>
      </w:r>
      <w:r w:rsidRPr="00BD4653">
        <w:rPr>
          <w:i/>
          <w:iCs/>
          <w:lang w:eastAsia="pt-PT" w:bidi="he-IL"/>
        </w:rPr>
        <w:t>stress</w:t>
      </w:r>
      <w:r w:rsidRPr="00BD4653">
        <w:rPr>
          <w:lang w:eastAsia="pt-PT" w:bidi="he-IL"/>
        </w:rPr>
        <w:t xml:space="preserve"> (</w:t>
      </w:r>
      <w:proofErr w:type="spellStart"/>
      <w:r w:rsidRPr="00BD4653">
        <w:rPr>
          <w:lang w:eastAsia="pt-PT" w:bidi="he-IL"/>
        </w:rPr>
        <w:t>Chishima</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2018). </w:t>
      </w:r>
      <w:r>
        <w:rPr>
          <w:lang w:eastAsia="pt-PT" w:bidi="he-IL"/>
        </w:rPr>
        <w:t>É</w:t>
      </w:r>
      <w:r w:rsidRPr="00BD4653">
        <w:rPr>
          <w:lang w:eastAsia="pt-PT" w:bidi="he-IL"/>
        </w:rPr>
        <w:t xml:space="preserve"> ainda de realçar a relação entre os perfis de avaliação cognitiva e o </w:t>
      </w:r>
      <w:r w:rsidRPr="00BD4653">
        <w:rPr>
          <w:i/>
          <w:iCs/>
          <w:lang w:eastAsia="pt-PT" w:bidi="he-IL"/>
        </w:rPr>
        <w:t>burnout,</w:t>
      </w:r>
      <w:r w:rsidRPr="00BD4653">
        <w:rPr>
          <w:lang w:eastAsia="pt-PT" w:bidi="he-IL"/>
        </w:rPr>
        <w:t xml:space="preserve"> verificando-se que os estudantes que apresentaram um perfil cognitivo moderadamente positivo apresentaram níveis mais elevados de fadiga física, fadiga cognitiva e exaustão emocional. Estes resultados acompanham a teoria nesta área (Gomes, 2014; </w:t>
      </w:r>
      <w:proofErr w:type="spellStart"/>
      <w:r w:rsidRPr="00BD4653">
        <w:rPr>
          <w:lang w:eastAsia="pt-PT" w:bidi="he-IL"/>
        </w:rPr>
        <w:t>Lazarus</w:t>
      </w:r>
      <w:proofErr w:type="spellEnd"/>
      <w:r w:rsidRPr="00BD4653">
        <w:rPr>
          <w:lang w:eastAsia="pt-PT" w:bidi="he-IL"/>
        </w:rPr>
        <w:t xml:space="preserve">, 1999), pois se as pessoas interpretam as situações de </w:t>
      </w:r>
      <w:r w:rsidRPr="00BD4653">
        <w:rPr>
          <w:i/>
          <w:iCs/>
          <w:lang w:eastAsia="pt-PT" w:bidi="he-IL"/>
        </w:rPr>
        <w:t>stress</w:t>
      </w:r>
      <w:r w:rsidRPr="00BD4653">
        <w:rPr>
          <w:lang w:eastAsia="pt-PT" w:bidi="he-IL"/>
        </w:rPr>
        <w:t xml:space="preserve"> mais negativamente tenderão a ser menos eficazes a gerir a tensão dessa situação e, eventualmente, podem acabar por experienciar </w:t>
      </w:r>
      <w:r>
        <w:rPr>
          <w:lang w:eastAsia="pt-PT" w:bidi="he-IL"/>
        </w:rPr>
        <w:t xml:space="preserve">maiores sintomas de </w:t>
      </w:r>
      <w:r w:rsidRPr="00BD4653">
        <w:rPr>
          <w:i/>
          <w:iCs/>
          <w:lang w:eastAsia="pt-PT" w:bidi="he-IL"/>
        </w:rPr>
        <w:t>burnout</w:t>
      </w:r>
      <w:r w:rsidRPr="00BD4653">
        <w:rPr>
          <w:lang w:eastAsia="pt-PT" w:bidi="he-IL"/>
        </w:rPr>
        <w:t xml:space="preserve"> (Fares </w:t>
      </w:r>
      <w:proofErr w:type="spellStart"/>
      <w:r w:rsidRPr="00BD4653">
        <w:rPr>
          <w:lang w:eastAsia="pt-PT" w:bidi="he-IL"/>
        </w:rPr>
        <w:t>et</w:t>
      </w:r>
      <w:proofErr w:type="spellEnd"/>
      <w:r w:rsidRPr="00BD4653">
        <w:rPr>
          <w:lang w:eastAsia="pt-PT" w:bidi="he-IL"/>
        </w:rPr>
        <w:t xml:space="preserve"> al., 2016; </w:t>
      </w:r>
      <w:proofErr w:type="spellStart"/>
      <w:r w:rsidRPr="00BD4653">
        <w:rPr>
          <w:lang w:eastAsia="pt-PT" w:bidi="he-IL"/>
        </w:rPr>
        <w:t>Fariborz</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2019; </w:t>
      </w:r>
      <w:proofErr w:type="spellStart"/>
      <w:r w:rsidRPr="00BD4653">
        <w:rPr>
          <w:lang w:eastAsia="pt-PT" w:bidi="he-IL"/>
        </w:rPr>
        <w:t>Jung</w:t>
      </w:r>
      <w:proofErr w:type="spellEnd"/>
      <w:r w:rsidRPr="00BD4653">
        <w:rPr>
          <w:lang w:eastAsia="pt-PT" w:bidi="he-IL"/>
        </w:rPr>
        <w:t xml:space="preserve"> </w:t>
      </w:r>
      <w:proofErr w:type="spellStart"/>
      <w:r w:rsidRPr="00BD4653">
        <w:rPr>
          <w:lang w:eastAsia="pt-PT" w:bidi="he-IL"/>
        </w:rPr>
        <w:t>et</w:t>
      </w:r>
      <w:proofErr w:type="spellEnd"/>
      <w:r w:rsidRPr="00BD4653">
        <w:rPr>
          <w:lang w:eastAsia="pt-PT" w:bidi="he-IL"/>
        </w:rPr>
        <w:t xml:space="preserve"> al., 2015). Em suma, estes resultados permitem confirmar a segunda hipótese deste estudo, em que perfis menos positivos de avaliação cognitiva da atividade de estudante corresponderam à utilização de estratégias de </w:t>
      </w:r>
      <w:proofErr w:type="spellStart"/>
      <w:r w:rsidRPr="00BD4653">
        <w:rPr>
          <w:i/>
          <w:iCs/>
          <w:lang w:eastAsia="pt-PT" w:bidi="he-IL"/>
        </w:rPr>
        <w:t>coping</w:t>
      </w:r>
      <w:proofErr w:type="spellEnd"/>
      <w:r w:rsidRPr="00BD4653">
        <w:rPr>
          <w:i/>
          <w:iCs/>
          <w:lang w:eastAsia="pt-PT" w:bidi="he-IL"/>
        </w:rPr>
        <w:t xml:space="preserve"> </w:t>
      </w:r>
      <w:r w:rsidRPr="00BD4653">
        <w:rPr>
          <w:lang w:eastAsia="pt-PT" w:bidi="he-IL"/>
        </w:rPr>
        <w:t xml:space="preserve">menos funcionais e a níveis de </w:t>
      </w:r>
      <w:r w:rsidRPr="00BD4653">
        <w:rPr>
          <w:i/>
          <w:iCs/>
          <w:lang w:eastAsia="pt-PT" w:bidi="he-IL"/>
        </w:rPr>
        <w:t>burnout</w:t>
      </w:r>
      <w:r w:rsidRPr="00BD4653">
        <w:rPr>
          <w:lang w:eastAsia="pt-PT" w:bidi="he-IL"/>
        </w:rPr>
        <w:t xml:space="preserve"> mais elevados, por comparação a perfis mais positivos de avaliação cognitiva.   </w:t>
      </w:r>
    </w:p>
    <w:p w14:paraId="7947341B" w14:textId="77777777" w:rsidR="00147C5D" w:rsidRPr="00BD4653" w:rsidRDefault="00147C5D" w:rsidP="00147C5D">
      <w:pPr>
        <w:spacing w:line="360" w:lineRule="auto"/>
        <w:ind w:firstLine="709"/>
        <w:textAlignment w:val="baseline"/>
        <w:rPr>
          <w:lang w:eastAsia="pt-PT" w:bidi="he-IL"/>
        </w:rPr>
      </w:pPr>
      <w:r w:rsidRPr="00BD4653">
        <w:rPr>
          <w:color w:val="000000"/>
          <w:lang w:eastAsia="pt-PT" w:bidi="he-IL"/>
        </w:rPr>
        <w:t xml:space="preserve">Este estudo apresenta algumas limitações que poderão ser colmatadas em estudos futuros. Os resultados não incluem estudantes de todas as áreas do ensino superior, existindo uma maior representatividade de alunos do curso de Psicologia e percentagens menores de alunos dos restantes cursos. Além deste aspeto, poderão existir outras variáveis capazes de influenciar a perceção de </w:t>
      </w:r>
      <w:r w:rsidRPr="00BD4653">
        <w:rPr>
          <w:i/>
          <w:iCs/>
          <w:color w:val="000000"/>
          <w:lang w:eastAsia="pt-PT" w:bidi="he-IL"/>
        </w:rPr>
        <w:t>stress</w:t>
      </w:r>
      <w:r w:rsidRPr="00BD4653">
        <w:rPr>
          <w:color w:val="000000"/>
          <w:lang w:eastAsia="pt-PT" w:bidi="he-IL"/>
        </w:rPr>
        <w:t xml:space="preserve"> e de </w:t>
      </w:r>
      <w:r w:rsidRPr="00BD4653">
        <w:rPr>
          <w:i/>
          <w:iCs/>
          <w:color w:val="000000"/>
          <w:lang w:eastAsia="pt-PT" w:bidi="he-IL"/>
        </w:rPr>
        <w:t>burnout</w:t>
      </w:r>
      <w:r w:rsidRPr="00BD4653">
        <w:rPr>
          <w:color w:val="000000"/>
          <w:lang w:eastAsia="pt-PT" w:bidi="he-IL"/>
        </w:rPr>
        <w:t xml:space="preserve">, nomeadamente as características do curso, o momento do semestre em que os dados foram recolhidos e o nível socioeconómico. </w:t>
      </w:r>
    </w:p>
    <w:p w14:paraId="3BA6EEBD" w14:textId="77777777" w:rsidR="00147C5D" w:rsidRPr="00BD4653" w:rsidRDefault="00147C5D" w:rsidP="00147C5D">
      <w:pPr>
        <w:spacing w:line="360" w:lineRule="auto"/>
        <w:ind w:firstLine="709"/>
        <w:textAlignment w:val="baseline"/>
        <w:rPr>
          <w:color w:val="000000"/>
          <w:lang w:eastAsia="pt-PT" w:bidi="he-IL"/>
        </w:rPr>
      </w:pPr>
      <w:r w:rsidRPr="00BD4653">
        <w:rPr>
          <w:color w:val="000000"/>
          <w:lang w:eastAsia="pt-PT" w:bidi="he-IL"/>
        </w:rPr>
        <w:lastRenderedPageBreak/>
        <w:t xml:space="preserve">Em conclusão, este estudo mostra a importância de analisar o modo como os estudantes vivenciam a sua atividade académica, reforçando a importância dos perfis de </w:t>
      </w:r>
      <w:r w:rsidRPr="00BD4653">
        <w:rPr>
          <w:i/>
          <w:iCs/>
          <w:color w:val="000000"/>
          <w:lang w:eastAsia="pt-PT" w:bidi="he-IL"/>
        </w:rPr>
        <w:t>stress</w:t>
      </w:r>
      <w:r w:rsidRPr="00BD4653">
        <w:rPr>
          <w:color w:val="000000"/>
          <w:lang w:eastAsia="pt-PT" w:bidi="he-IL"/>
        </w:rPr>
        <w:t xml:space="preserve"> e de avaliação cognitiva na utilização das estratégias de </w:t>
      </w:r>
      <w:proofErr w:type="spellStart"/>
      <w:r w:rsidRPr="00BD4653">
        <w:rPr>
          <w:i/>
          <w:iCs/>
          <w:color w:val="000000"/>
          <w:lang w:eastAsia="pt-PT" w:bidi="he-IL"/>
        </w:rPr>
        <w:t>coping</w:t>
      </w:r>
      <w:proofErr w:type="spellEnd"/>
      <w:r w:rsidRPr="00BD4653">
        <w:rPr>
          <w:color w:val="000000"/>
          <w:lang w:eastAsia="pt-PT" w:bidi="he-IL"/>
        </w:rPr>
        <w:t xml:space="preserve"> e na experiência de </w:t>
      </w:r>
      <w:r w:rsidRPr="00BD4653">
        <w:rPr>
          <w:i/>
          <w:iCs/>
          <w:color w:val="000000"/>
          <w:lang w:eastAsia="pt-PT" w:bidi="he-IL"/>
        </w:rPr>
        <w:t xml:space="preserve">burnout </w:t>
      </w:r>
      <w:r w:rsidRPr="00BD4653">
        <w:rPr>
          <w:color w:val="000000"/>
          <w:lang w:eastAsia="pt-PT" w:bidi="he-IL"/>
        </w:rPr>
        <w:t>associada à atividade de estudante. Este melhor conhecimento é essencial para que se desenvolvam práticas de intervenção com base na melhor evidência científica, permitindo que os estudantes consigam lidar melhor com as exigências do ensino superior e, consequentemente, apresentem melhores níveis de saúde mental. </w:t>
      </w:r>
    </w:p>
    <w:p w14:paraId="0E21971D" w14:textId="77777777" w:rsidR="00147C5D" w:rsidRDefault="00147C5D" w:rsidP="00147C5D">
      <w:pPr>
        <w:spacing w:line="360" w:lineRule="auto"/>
        <w:textAlignment w:val="baseline"/>
        <w:rPr>
          <w:lang w:eastAsia="pt-PT" w:bidi="he-IL"/>
        </w:rPr>
      </w:pPr>
    </w:p>
    <w:p w14:paraId="46199007" w14:textId="77777777" w:rsidR="00147C5D" w:rsidRDefault="00147C5D" w:rsidP="00147C5D">
      <w:pPr>
        <w:pStyle w:val="Ttulo1"/>
        <w:spacing w:before="0"/>
        <w:rPr>
          <w:rFonts w:cs="Times New Roman"/>
          <w:szCs w:val="24"/>
        </w:rPr>
      </w:pPr>
    </w:p>
    <w:p w14:paraId="590FE657" w14:textId="39AEEDD5" w:rsidR="00147C5D" w:rsidRDefault="00147C5D" w:rsidP="00147C5D">
      <w:pPr>
        <w:pStyle w:val="Ttulo1"/>
        <w:spacing w:before="0"/>
        <w:rPr>
          <w:rFonts w:cs="Times New Roman"/>
          <w:szCs w:val="24"/>
        </w:rPr>
      </w:pPr>
    </w:p>
    <w:p w14:paraId="06E6C3FF" w14:textId="5DF9C947" w:rsidR="00147C5D" w:rsidRDefault="00147C5D" w:rsidP="00147C5D"/>
    <w:p w14:paraId="52AB991C" w14:textId="1C1DABBA" w:rsidR="00147C5D" w:rsidRDefault="00147C5D" w:rsidP="00147C5D"/>
    <w:p w14:paraId="3951CF45" w14:textId="12895599" w:rsidR="00147C5D" w:rsidRDefault="00147C5D" w:rsidP="00147C5D"/>
    <w:p w14:paraId="39A585A8" w14:textId="1E0544EA" w:rsidR="00147C5D" w:rsidRDefault="00147C5D" w:rsidP="00147C5D"/>
    <w:p w14:paraId="4B319867" w14:textId="48B087A0" w:rsidR="00147C5D" w:rsidRDefault="00147C5D" w:rsidP="00147C5D"/>
    <w:p w14:paraId="374FE7A8" w14:textId="0F76EC67" w:rsidR="00147C5D" w:rsidRDefault="00147C5D" w:rsidP="00147C5D"/>
    <w:p w14:paraId="6057F31F" w14:textId="2916E5F2" w:rsidR="00147C5D" w:rsidRDefault="00147C5D" w:rsidP="00147C5D"/>
    <w:p w14:paraId="6E804E27" w14:textId="4B4314D2" w:rsidR="00147C5D" w:rsidRDefault="00147C5D" w:rsidP="00147C5D"/>
    <w:p w14:paraId="6782906E" w14:textId="16EBCB7E" w:rsidR="00147C5D" w:rsidRDefault="00147C5D" w:rsidP="00147C5D"/>
    <w:p w14:paraId="6EEA5A17" w14:textId="2F8F22D6" w:rsidR="00147C5D" w:rsidRDefault="00147C5D" w:rsidP="00147C5D"/>
    <w:p w14:paraId="21383699" w14:textId="049350AB" w:rsidR="00147C5D" w:rsidRDefault="00147C5D" w:rsidP="00147C5D"/>
    <w:p w14:paraId="228A75BB" w14:textId="34D356F5" w:rsidR="00147C5D" w:rsidRDefault="00147C5D" w:rsidP="00147C5D"/>
    <w:p w14:paraId="2ABBCE8B" w14:textId="01EF86A9" w:rsidR="00147C5D" w:rsidRDefault="00147C5D" w:rsidP="00147C5D"/>
    <w:p w14:paraId="5D0DC4E7" w14:textId="7447C502" w:rsidR="00147C5D" w:rsidRDefault="00147C5D" w:rsidP="00147C5D"/>
    <w:p w14:paraId="005DCE93" w14:textId="29CA7FCC" w:rsidR="00147C5D" w:rsidRDefault="00147C5D" w:rsidP="00147C5D"/>
    <w:p w14:paraId="589576E6" w14:textId="78FF29D9" w:rsidR="00147C5D" w:rsidRDefault="00147C5D" w:rsidP="00147C5D"/>
    <w:p w14:paraId="6FF550EE" w14:textId="312EB844" w:rsidR="00147C5D" w:rsidRDefault="00147C5D" w:rsidP="00147C5D"/>
    <w:p w14:paraId="685FE1A4" w14:textId="416041B8" w:rsidR="00147C5D" w:rsidRDefault="00147C5D" w:rsidP="00147C5D"/>
    <w:p w14:paraId="24C61453" w14:textId="5E067DE1" w:rsidR="00147C5D" w:rsidRDefault="00147C5D" w:rsidP="00147C5D"/>
    <w:p w14:paraId="3A1816C0" w14:textId="492DA0D0" w:rsidR="00147C5D" w:rsidRDefault="00147C5D" w:rsidP="00147C5D"/>
    <w:p w14:paraId="767F15F7" w14:textId="047A8CBC" w:rsidR="00147C5D" w:rsidRDefault="00147C5D" w:rsidP="00147C5D"/>
    <w:p w14:paraId="6C75C044" w14:textId="7C5DE4D7" w:rsidR="00147C5D" w:rsidRDefault="00147C5D" w:rsidP="00147C5D"/>
    <w:p w14:paraId="3920FAED" w14:textId="41472273" w:rsidR="00147C5D" w:rsidRDefault="00147C5D" w:rsidP="00147C5D"/>
    <w:p w14:paraId="61017323" w14:textId="0FAAEBFF" w:rsidR="00147C5D" w:rsidRDefault="00147C5D" w:rsidP="00147C5D"/>
    <w:p w14:paraId="2B2C46CB" w14:textId="5CA49337" w:rsidR="00147C5D" w:rsidRDefault="00147C5D" w:rsidP="00147C5D"/>
    <w:p w14:paraId="30B08B09" w14:textId="7FD29AE1" w:rsidR="00147C5D" w:rsidRDefault="00147C5D" w:rsidP="00147C5D"/>
    <w:p w14:paraId="4D8C95EF" w14:textId="2560D6C1" w:rsidR="00147C5D" w:rsidRDefault="00147C5D" w:rsidP="00147C5D"/>
    <w:p w14:paraId="0F1B774B" w14:textId="2BBC2F2C" w:rsidR="00147C5D" w:rsidRDefault="00147C5D" w:rsidP="00147C5D"/>
    <w:p w14:paraId="6D6A63ED" w14:textId="25887D1A" w:rsidR="00147C5D" w:rsidRDefault="00147C5D" w:rsidP="00147C5D"/>
    <w:p w14:paraId="0034079F" w14:textId="67150293" w:rsidR="00147C5D" w:rsidRDefault="00147C5D" w:rsidP="00147C5D"/>
    <w:p w14:paraId="2C10BADD" w14:textId="18DD8302" w:rsidR="00147C5D" w:rsidRDefault="00147C5D" w:rsidP="00147C5D"/>
    <w:p w14:paraId="04F7AB96" w14:textId="2C7E5463" w:rsidR="00147C5D" w:rsidRDefault="00147C5D" w:rsidP="00147C5D"/>
    <w:p w14:paraId="05782AF7" w14:textId="6E1506C4" w:rsidR="00147C5D" w:rsidRDefault="00147C5D" w:rsidP="00147C5D"/>
    <w:p w14:paraId="38693557" w14:textId="373021BF" w:rsidR="00147C5D" w:rsidRDefault="00147C5D" w:rsidP="00147C5D"/>
    <w:p w14:paraId="4C8B7FBE" w14:textId="77777777" w:rsidR="00147C5D" w:rsidRPr="00147C5D" w:rsidRDefault="00147C5D" w:rsidP="00147C5D"/>
    <w:p w14:paraId="183AE002" w14:textId="15EDA47D" w:rsidR="00147C5D" w:rsidRDefault="00147C5D" w:rsidP="00147C5D">
      <w:pPr>
        <w:pStyle w:val="Ttulo1"/>
        <w:spacing w:before="0"/>
        <w:jc w:val="left"/>
        <w:rPr>
          <w:rFonts w:cs="Times New Roman"/>
          <w:szCs w:val="24"/>
        </w:rPr>
      </w:pPr>
    </w:p>
    <w:p w14:paraId="58CC01FC" w14:textId="257511B1" w:rsidR="00147C5D" w:rsidRDefault="00147C5D" w:rsidP="00147C5D"/>
    <w:p w14:paraId="1734716B" w14:textId="77777777" w:rsidR="00147C5D" w:rsidRPr="00147C5D" w:rsidRDefault="00147C5D" w:rsidP="00147C5D"/>
    <w:p w14:paraId="791BA381" w14:textId="6101AC46" w:rsidR="002F1477" w:rsidRPr="00BD4653" w:rsidRDefault="002F1477" w:rsidP="00147C5D">
      <w:pPr>
        <w:pStyle w:val="Ttulo1"/>
        <w:spacing w:before="0"/>
        <w:rPr>
          <w:rStyle w:val="spellingerror"/>
          <w:rFonts w:cs="Times New Roman"/>
          <w:szCs w:val="24"/>
        </w:rPr>
      </w:pPr>
      <w:r w:rsidRPr="00BD4653">
        <w:rPr>
          <w:rFonts w:cs="Times New Roman"/>
          <w:szCs w:val="24"/>
        </w:rPr>
        <w:t>Referências</w:t>
      </w:r>
    </w:p>
    <w:p w14:paraId="345C8C11" w14:textId="77777777" w:rsidR="002F1477" w:rsidRPr="00BD4653" w:rsidRDefault="002F1477" w:rsidP="00BD1CC4">
      <w:pPr>
        <w:spacing w:line="360" w:lineRule="auto"/>
        <w:ind w:left="567" w:right="-144" w:hanging="567"/>
        <w:rPr>
          <w:lang w:val="en-US" w:eastAsia="pt-PT" w:bidi="he-IL"/>
        </w:rPr>
      </w:pPr>
      <w:proofErr w:type="spellStart"/>
      <w:r w:rsidRPr="00BD4653">
        <w:rPr>
          <w:lang w:eastAsia="pt-PT" w:bidi="he-IL"/>
        </w:rPr>
        <w:t>Abacar</w:t>
      </w:r>
      <w:proofErr w:type="spellEnd"/>
      <w:r w:rsidRPr="00BD4653">
        <w:rPr>
          <w:lang w:eastAsia="pt-PT" w:bidi="he-IL"/>
        </w:rPr>
        <w:t xml:space="preserve">, M., </w:t>
      </w:r>
      <w:proofErr w:type="spellStart"/>
      <w:r w:rsidRPr="00BD4653">
        <w:rPr>
          <w:lang w:eastAsia="pt-PT" w:bidi="he-IL"/>
        </w:rPr>
        <w:t>Aliante</w:t>
      </w:r>
      <w:proofErr w:type="spellEnd"/>
      <w:r w:rsidRPr="00BD4653">
        <w:rPr>
          <w:lang w:eastAsia="pt-PT" w:bidi="he-IL"/>
        </w:rPr>
        <w:t xml:space="preserve">, G., &amp; António, J. (2021). Stress e estratégias de </w:t>
      </w:r>
      <w:proofErr w:type="spellStart"/>
      <w:r w:rsidRPr="00BD4653">
        <w:rPr>
          <w:lang w:eastAsia="pt-PT" w:bidi="he-IL"/>
        </w:rPr>
        <w:t>coping</w:t>
      </w:r>
      <w:proofErr w:type="spellEnd"/>
      <w:r w:rsidRPr="00BD4653">
        <w:rPr>
          <w:lang w:eastAsia="pt-PT" w:bidi="he-IL"/>
        </w:rPr>
        <w:t xml:space="preserve"> em estudantes universitários. </w:t>
      </w:r>
      <w:proofErr w:type="spellStart"/>
      <w:r w:rsidRPr="00BD4653">
        <w:rPr>
          <w:i/>
          <w:iCs/>
          <w:lang w:val="en-US" w:eastAsia="pt-PT" w:bidi="he-IL"/>
        </w:rPr>
        <w:t>Aletheia</w:t>
      </w:r>
      <w:proofErr w:type="spellEnd"/>
      <w:r w:rsidRPr="00BD4653">
        <w:rPr>
          <w:lang w:val="en-US" w:eastAsia="pt-PT" w:bidi="he-IL"/>
        </w:rPr>
        <w:t xml:space="preserve">, </w:t>
      </w:r>
      <w:r w:rsidRPr="00BD4653">
        <w:rPr>
          <w:i/>
          <w:iCs/>
          <w:lang w:val="en-US" w:eastAsia="pt-PT" w:bidi="he-IL"/>
        </w:rPr>
        <w:t>54</w:t>
      </w:r>
      <w:r w:rsidRPr="00BD4653">
        <w:rPr>
          <w:lang w:val="en-US" w:eastAsia="pt-PT" w:bidi="he-IL"/>
        </w:rPr>
        <w:t xml:space="preserve">(2), 133–144. </w:t>
      </w:r>
      <w:hyperlink r:id="rId27" w:history="1">
        <w:r w:rsidRPr="00BD4653">
          <w:rPr>
            <w:color w:val="0563C1" w:themeColor="hyperlink"/>
            <w:u w:val="single"/>
            <w:lang w:val="en-US" w:eastAsia="pt-PT" w:bidi="he-IL"/>
          </w:rPr>
          <w:t>https://doi.org/http://dx.doi.org/DOI10.29327/226091.54.2-13</w:t>
        </w:r>
      </w:hyperlink>
    </w:p>
    <w:p w14:paraId="5D7639EC" w14:textId="77777777" w:rsidR="002F1477" w:rsidRPr="00BD4653" w:rsidRDefault="002F1477" w:rsidP="00BD1CC4">
      <w:pPr>
        <w:widowControl w:val="0"/>
        <w:autoSpaceDE w:val="0"/>
        <w:autoSpaceDN w:val="0"/>
        <w:adjustRightInd w:val="0"/>
        <w:spacing w:line="360" w:lineRule="auto"/>
        <w:ind w:left="480" w:hanging="480"/>
        <w:rPr>
          <w:rFonts w:eastAsia="Calibri"/>
          <w:noProof/>
          <w:lang w:val="en-US"/>
        </w:rPr>
      </w:pPr>
      <w:r w:rsidRPr="00BD4653">
        <w:rPr>
          <w:rFonts w:eastAsia="Calibri"/>
          <w:noProof/>
          <w:lang w:val="en-US"/>
        </w:rPr>
        <w:t xml:space="preserve">Abdian, T., Kargarjahromi, M., &amp; Ramezanli, S. (2022). The effectiveness of coping strategies training on nurses’ ocupational stress in Jahrom hospitals. </w:t>
      </w:r>
      <w:r w:rsidRPr="00BD4653">
        <w:rPr>
          <w:rFonts w:eastAsia="Calibri"/>
          <w:i/>
          <w:iCs/>
          <w:noProof/>
          <w:lang w:val="en-US"/>
        </w:rPr>
        <w:t>Bangladesh Journal of Medical Science</w:t>
      </w:r>
      <w:r w:rsidRPr="00BD4653">
        <w:rPr>
          <w:rFonts w:eastAsia="Calibri"/>
          <w:noProof/>
          <w:lang w:val="en-US"/>
        </w:rPr>
        <w:t xml:space="preserve">, </w:t>
      </w:r>
      <w:r w:rsidRPr="00BD4653">
        <w:rPr>
          <w:rFonts w:eastAsia="Calibri"/>
          <w:i/>
          <w:iCs/>
          <w:noProof/>
          <w:lang w:val="en-US"/>
        </w:rPr>
        <w:t>21</w:t>
      </w:r>
      <w:r w:rsidRPr="00BD4653">
        <w:rPr>
          <w:rFonts w:eastAsia="Calibri"/>
          <w:noProof/>
          <w:lang w:val="en-US"/>
        </w:rPr>
        <w:t xml:space="preserve">(02), 354–360. </w:t>
      </w:r>
      <w:hyperlink r:id="rId28" w:history="1">
        <w:r w:rsidRPr="00BD4653">
          <w:rPr>
            <w:rFonts w:eastAsia="Calibri"/>
            <w:noProof/>
            <w:color w:val="0563C1" w:themeColor="hyperlink"/>
            <w:u w:val="single"/>
            <w:lang w:val="en-US"/>
          </w:rPr>
          <w:t>doi: http://doi.org/10.3329/bjms.v21i2.58068</w:t>
        </w:r>
      </w:hyperlink>
    </w:p>
    <w:p w14:paraId="7E65E009" w14:textId="09DA343D" w:rsidR="002F1477" w:rsidRPr="00C80C3F" w:rsidRDefault="002F1477" w:rsidP="00C80C3F">
      <w:pPr>
        <w:spacing w:line="360" w:lineRule="auto"/>
        <w:ind w:left="567" w:hanging="567"/>
        <w:textAlignment w:val="baseline"/>
        <w:rPr>
          <w:rFonts w:eastAsia="Calibri"/>
          <w:noProof/>
          <w:lang w:val="en-US"/>
        </w:rPr>
      </w:pPr>
      <w:r w:rsidRPr="00BD4653">
        <w:rPr>
          <w:rFonts w:eastAsia="Calibri"/>
          <w:lang w:val="en-US" w:eastAsia="en-US"/>
        </w:rPr>
        <w:fldChar w:fldCharType="begin" w:fldLock="1"/>
      </w:r>
      <w:r w:rsidRPr="00C80C3F">
        <w:rPr>
          <w:rFonts w:eastAsia="Calibri"/>
        </w:rPr>
        <w:instrText xml:space="preserve">ADDIN Mendeley Bibliography CSL_BIBLIOGRAPHY </w:instrText>
      </w:r>
      <w:r w:rsidRPr="00BD4653">
        <w:rPr>
          <w:rFonts w:eastAsia="Calibri"/>
          <w:lang w:val="en-US" w:eastAsia="en-US"/>
        </w:rPr>
        <w:fldChar w:fldCharType="separate"/>
      </w:r>
      <w:r w:rsidRPr="00BD4653">
        <w:rPr>
          <w:color w:val="222222"/>
          <w:shd w:val="clear" w:color="auto" w:fill="FFFFFF"/>
          <w:lang w:eastAsia="pt-PT" w:bidi="he-IL"/>
        </w:rPr>
        <w:t xml:space="preserve">Araújo, A., Gomes, C., Almeida, L., &amp; Núñez, J. C. (2019). </w:t>
      </w:r>
      <w:r w:rsidRPr="00BD4653">
        <w:rPr>
          <w:color w:val="222222"/>
          <w:shd w:val="clear" w:color="auto" w:fill="FFFFFF"/>
          <w:lang w:val="en-US" w:eastAsia="pt-PT" w:bidi="he-IL"/>
        </w:rPr>
        <w:t xml:space="preserve">A latent profile analysis of first-year university student’s academic expectations. </w:t>
      </w:r>
      <w:r w:rsidRPr="00BD4653">
        <w:rPr>
          <w:i/>
          <w:iCs/>
          <w:color w:val="222222"/>
          <w:shd w:val="clear" w:color="auto" w:fill="FFFFFF"/>
          <w:lang w:val="en-US" w:eastAsia="pt-PT" w:bidi="he-IL"/>
        </w:rPr>
        <w:t>Anales de Psicología</w:t>
      </w:r>
      <w:r w:rsidRPr="00BD4653">
        <w:rPr>
          <w:color w:val="222222"/>
          <w:shd w:val="clear" w:color="auto" w:fill="FFFFFF"/>
          <w:lang w:val="en-US" w:eastAsia="pt-PT" w:bidi="he-IL"/>
        </w:rPr>
        <w:t xml:space="preserve">, </w:t>
      </w:r>
      <w:r w:rsidRPr="00BD4653">
        <w:rPr>
          <w:i/>
          <w:iCs/>
          <w:color w:val="222222"/>
          <w:shd w:val="clear" w:color="auto" w:fill="FFFFFF"/>
          <w:lang w:val="en-US" w:eastAsia="pt-PT" w:bidi="he-IL"/>
        </w:rPr>
        <w:t>35</w:t>
      </w:r>
      <w:r w:rsidRPr="00BD4653">
        <w:rPr>
          <w:color w:val="222222"/>
          <w:shd w:val="clear" w:color="auto" w:fill="FFFFFF"/>
          <w:lang w:val="en-US" w:eastAsia="pt-PT" w:bidi="he-IL"/>
        </w:rPr>
        <w:t xml:space="preserve">(1), 58-67. </w:t>
      </w:r>
      <w:hyperlink r:id="rId29" w:tgtFrame="_blank" w:history="1">
        <w:r w:rsidRPr="00BD4653">
          <w:rPr>
            <w:color w:val="0563C1"/>
            <w:u w:val="single"/>
            <w:shd w:val="clear" w:color="auto" w:fill="FFFFFF"/>
            <w:lang w:val="en-US" w:eastAsia="pt-PT" w:bidi="he-IL"/>
          </w:rPr>
          <w:t>https://doi.org/10.6018/analesps.35.1.299351</w:t>
        </w:r>
      </w:hyperlink>
      <w:r w:rsidRPr="00BD4653">
        <w:rPr>
          <w:color w:val="222222"/>
          <w:lang w:val="en-US" w:eastAsia="pt-PT" w:bidi="he-IL"/>
        </w:rPr>
        <w:t> </w:t>
      </w:r>
    </w:p>
    <w:p w14:paraId="2480AD5D" w14:textId="77777777" w:rsidR="002F1477" w:rsidRPr="00BD4653" w:rsidRDefault="002F1477" w:rsidP="00C80C3F">
      <w:pPr>
        <w:spacing w:line="360" w:lineRule="auto"/>
        <w:ind w:left="567" w:hanging="567"/>
        <w:textAlignment w:val="baseline"/>
        <w:rPr>
          <w:color w:val="222222"/>
          <w:lang w:eastAsia="pt-PT" w:bidi="he-IL"/>
        </w:rPr>
      </w:pPr>
      <w:r w:rsidRPr="00C80C3F">
        <w:rPr>
          <w:color w:val="222222"/>
          <w:shd w:val="clear" w:color="auto" w:fill="FFFFFF"/>
          <w:lang w:eastAsia="pt-PT" w:bidi="he-IL"/>
        </w:rPr>
        <w:t xml:space="preserve">Baganha, C. A. C., Gomes, A. R., &amp; Esteves, A. D. J. (2016). </w:t>
      </w:r>
      <w:r w:rsidRPr="00BD4653">
        <w:rPr>
          <w:color w:val="222222"/>
          <w:shd w:val="clear" w:color="auto" w:fill="FFFFFF"/>
          <w:lang w:eastAsia="pt-PT" w:bidi="he-IL"/>
        </w:rPr>
        <w:t>Stresse ocupacional, avaliação cognitiva, burnout e comprometimento laboral na aviação civil.</w:t>
      </w:r>
      <w:r w:rsidRPr="00BD4653">
        <w:rPr>
          <w:lang w:eastAsia="pt-PT" w:bidi="he-IL"/>
        </w:rPr>
        <w:t xml:space="preserve"> </w:t>
      </w:r>
      <w:r w:rsidRPr="00BD4653">
        <w:rPr>
          <w:i/>
          <w:iCs/>
          <w:color w:val="222222"/>
          <w:shd w:val="clear" w:color="auto" w:fill="FFFFFF"/>
          <w:lang w:eastAsia="pt-PT" w:bidi="he-IL"/>
        </w:rPr>
        <w:t>Revista Psicologia: Saúde &amp; Doenças, 17</w:t>
      </w:r>
      <w:r w:rsidRPr="00BD4653">
        <w:rPr>
          <w:color w:val="222222"/>
          <w:shd w:val="clear" w:color="auto" w:fill="FFFFFF"/>
          <w:lang w:eastAsia="pt-PT" w:bidi="he-IL"/>
        </w:rPr>
        <w:t xml:space="preserve">(2), 164-179. </w:t>
      </w:r>
      <w:hyperlink r:id="rId30" w:history="1">
        <w:r w:rsidRPr="00BD4653">
          <w:rPr>
            <w:color w:val="0563C1" w:themeColor="hyperlink"/>
            <w:u w:val="single"/>
            <w:shd w:val="clear" w:color="auto" w:fill="FFFFFF"/>
            <w:lang w:eastAsia="pt-PT" w:bidi="he-IL"/>
          </w:rPr>
          <w:t>http://dx.doi.org/10.15309/16psd170212.</w:t>
        </w:r>
        <w:r w:rsidRPr="00BD4653">
          <w:rPr>
            <w:color w:val="0563C1" w:themeColor="hyperlink"/>
            <w:u w:val="single"/>
            <w:lang w:eastAsia="pt-PT" w:bidi="he-IL"/>
          </w:rPr>
          <w:t> </w:t>
        </w:r>
      </w:hyperlink>
    </w:p>
    <w:p w14:paraId="23ED858E" w14:textId="77777777" w:rsidR="002F1477" w:rsidRPr="00BD4653" w:rsidRDefault="002F1477" w:rsidP="00BD1CC4">
      <w:pPr>
        <w:spacing w:line="360" w:lineRule="auto"/>
        <w:ind w:left="567" w:hanging="567"/>
        <w:textAlignment w:val="baseline"/>
        <w:rPr>
          <w:lang w:eastAsia="pt-PT" w:bidi="he-IL"/>
        </w:rPr>
      </w:pPr>
      <w:r w:rsidRPr="00BD4653">
        <w:rPr>
          <w:lang w:eastAsia="pt-PT" w:bidi="he-IL"/>
        </w:rPr>
        <w:t xml:space="preserve">Casanova, J. (2021). </w:t>
      </w:r>
      <w:r w:rsidRPr="00BD4653">
        <w:rPr>
          <w:i/>
          <w:lang w:eastAsia="pt-PT" w:bidi="he-IL"/>
        </w:rPr>
        <w:t>O abandono de estudantes do ensino superior: Estudo de variáveis pessoais e contextuais</w:t>
      </w:r>
      <w:r w:rsidRPr="00BD4653">
        <w:rPr>
          <w:lang w:eastAsia="pt-PT" w:bidi="he-IL"/>
        </w:rPr>
        <w:t xml:space="preserve"> [Tese de Doutoramento]. Instituto de Educação, Universidade do Minho, Braga, Portugal. </w:t>
      </w:r>
      <w:hyperlink r:id="rId31" w:tgtFrame="_blank" w:history="1">
        <w:r w:rsidRPr="00BD4653">
          <w:rPr>
            <w:color w:val="0563C1"/>
            <w:u w:val="single"/>
            <w:lang w:eastAsia="pt-PT" w:bidi="he-IL"/>
          </w:rPr>
          <w:t>http://repositorium.sdum.uminho.pt/handle/1822/72076</w:t>
        </w:r>
      </w:hyperlink>
      <w:r w:rsidRPr="00BD4653">
        <w:rPr>
          <w:lang w:eastAsia="pt-PT" w:bidi="he-IL"/>
        </w:rPr>
        <w:t> </w:t>
      </w:r>
    </w:p>
    <w:p w14:paraId="17061C4D"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C80C3F">
        <w:rPr>
          <w:rFonts w:eastAsia="Calibri"/>
          <w:noProof/>
          <w:lang w:val="es-ES"/>
        </w:rPr>
        <w:t xml:space="preserve">Chishima, Y., Mizuno, M., Sugawara, D., &amp; Miyagawa, Y. (2018). </w:t>
      </w:r>
      <w:r w:rsidRPr="00BD4653">
        <w:rPr>
          <w:rFonts w:eastAsia="Calibri"/>
          <w:noProof/>
          <w:lang w:val="en-US"/>
        </w:rPr>
        <w:t xml:space="preserve">The Influence of self-compassion on cognitive appraisals and coping with stressful Events. </w:t>
      </w:r>
      <w:r w:rsidRPr="00BD4653">
        <w:rPr>
          <w:rFonts w:eastAsia="Calibri"/>
          <w:i/>
          <w:iCs/>
          <w:noProof/>
          <w:lang w:val="en-US"/>
        </w:rPr>
        <w:t>Mindfulness</w:t>
      </w:r>
      <w:r w:rsidRPr="00BD4653">
        <w:rPr>
          <w:rFonts w:eastAsia="Calibri"/>
          <w:noProof/>
          <w:lang w:val="en-US"/>
        </w:rPr>
        <w:t xml:space="preserve">, </w:t>
      </w:r>
      <w:r w:rsidRPr="00BD4653">
        <w:rPr>
          <w:rFonts w:eastAsia="Calibri"/>
          <w:i/>
          <w:iCs/>
          <w:noProof/>
          <w:lang w:val="en-US"/>
        </w:rPr>
        <w:t>9</w:t>
      </w:r>
      <w:r w:rsidRPr="00BD4653">
        <w:rPr>
          <w:rFonts w:eastAsia="Calibri"/>
          <w:noProof/>
          <w:lang w:val="en-US"/>
        </w:rPr>
        <w:t xml:space="preserve">(6), 1907–1915. </w:t>
      </w:r>
      <w:hyperlink r:id="rId32" w:history="1">
        <w:r w:rsidRPr="00BD4653">
          <w:rPr>
            <w:rFonts w:eastAsia="Calibri"/>
            <w:noProof/>
            <w:color w:val="0563C1" w:themeColor="hyperlink"/>
            <w:u w:val="single"/>
            <w:lang w:val="en-US"/>
          </w:rPr>
          <w:t>https://doi.org/10.1007/s12671-018-0933-0</w:t>
        </w:r>
      </w:hyperlink>
    </w:p>
    <w:p w14:paraId="08FEB519" w14:textId="77777777" w:rsidR="002F1477" w:rsidRPr="00BD4653" w:rsidRDefault="002F1477" w:rsidP="00BD1CC4">
      <w:pPr>
        <w:spacing w:line="360" w:lineRule="auto"/>
        <w:ind w:left="567" w:hanging="567"/>
        <w:rPr>
          <w:lang w:val="en-US" w:eastAsia="pt-PT" w:bidi="he-IL"/>
        </w:rPr>
      </w:pPr>
      <w:proofErr w:type="spellStart"/>
      <w:r w:rsidRPr="00BD4653">
        <w:rPr>
          <w:lang w:val="en-US" w:eastAsia="pt-PT" w:bidi="he-IL"/>
        </w:rPr>
        <w:t>Denovan</w:t>
      </w:r>
      <w:proofErr w:type="spellEnd"/>
      <w:r w:rsidRPr="00BD4653">
        <w:rPr>
          <w:lang w:val="en-US" w:eastAsia="pt-PT" w:bidi="he-IL"/>
        </w:rPr>
        <w:t xml:space="preserve">, A., Dagnall, N., Dhingra, K., &amp; Grogan, S. (2019). Evaluating the perceived stress scale among UK university students: Implications for stress measurement and management. </w:t>
      </w:r>
      <w:r w:rsidRPr="00BD4653">
        <w:rPr>
          <w:i/>
          <w:iCs/>
          <w:lang w:val="en-US" w:eastAsia="pt-PT" w:bidi="he-IL"/>
        </w:rPr>
        <w:t>Studies in Higher Education</w:t>
      </w:r>
      <w:r w:rsidRPr="00BD4653">
        <w:rPr>
          <w:lang w:val="en-US" w:eastAsia="pt-PT" w:bidi="he-IL"/>
        </w:rPr>
        <w:t xml:space="preserve">, </w:t>
      </w:r>
      <w:r w:rsidRPr="00BD4653">
        <w:rPr>
          <w:i/>
          <w:iCs/>
          <w:lang w:val="en-US" w:eastAsia="pt-PT" w:bidi="he-IL"/>
        </w:rPr>
        <w:t>44</w:t>
      </w:r>
      <w:r w:rsidRPr="00BD4653">
        <w:rPr>
          <w:lang w:val="en-US" w:eastAsia="pt-PT" w:bidi="he-IL"/>
        </w:rPr>
        <w:t xml:space="preserve">(1), 120–133. </w:t>
      </w:r>
      <w:hyperlink r:id="rId33" w:history="1">
        <w:r w:rsidRPr="00BD4653">
          <w:rPr>
            <w:color w:val="0563C1" w:themeColor="hyperlink"/>
            <w:u w:val="single"/>
            <w:lang w:val="en-US" w:eastAsia="pt-PT" w:bidi="he-IL"/>
          </w:rPr>
          <w:t>https://doi.org/10.1080/03075079.2017.1340445 </w:t>
        </w:r>
      </w:hyperlink>
    </w:p>
    <w:p w14:paraId="658EA358"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C80C3F">
        <w:rPr>
          <w:rFonts w:eastAsia="Calibri"/>
          <w:noProof/>
          <w:lang w:val="es-ES"/>
        </w:rPr>
        <w:t xml:space="preserve">Fares, J., Saadeddin, Z., Al Tabosh, H., Aridi, H., El Mouhayyar, C., Koleilat, M. K., Chaaya, M., &amp; El Asmar, K. (2016). </w:t>
      </w:r>
      <w:r w:rsidRPr="00BD4653">
        <w:rPr>
          <w:rFonts w:eastAsia="Calibri"/>
          <w:noProof/>
          <w:lang w:val="en-US"/>
        </w:rPr>
        <w:t xml:space="preserve">Extracurricular activities associated with stress and burnout in preclinical medical students. </w:t>
      </w:r>
      <w:r w:rsidRPr="00BD4653">
        <w:rPr>
          <w:rFonts w:eastAsia="Calibri"/>
          <w:i/>
          <w:iCs/>
          <w:noProof/>
          <w:lang w:val="en-US"/>
        </w:rPr>
        <w:t>Journal of Epidemiology and Global Health</w:t>
      </w:r>
      <w:r w:rsidRPr="00BD4653">
        <w:rPr>
          <w:rFonts w:eastAsia="Calibri"/>
          <w:noProof/>
          <w:lang w:val="en-US"/>
        </w:rPr>
        <w:t xml:space="preserve">, </w:t>
      </w:r>
      <w:r w:rsidRPr="00BD4653">
        <w:rPr>
          <w:rFonts w:eastAsia="Calibri"/>
          <w:i/>
          <w:iCs/>
          <w:noProof/>
          <w:lang w:val="en-US"/>
        </w:rPr>
        <w:t>6</w:t>
      </w:r>
      <w:r w:rsidRPr="00BD4653">
        <w:rPr>
          <w:rFonts w:eastAsia="Calibri"/>
          <w:noProof/>
          <w:lang w:val="en-US"/>
        </w:rPr>
        <w:t xml:space="preserve">(3), 177–185. </w:t>
      </w:r>
      <w:hyperlink r:id="rId34" w:history="1">
        <w:r w:rsidRPr="00BD4653">
          <w:rPr>
            <w:rFonts w:eastAsia="Calibri"/>
            <w:noProof/>
            <w:color w:val="0563C1" w:themeColor="hyperlink"/>
            <w:u w:val="single"/>
            <w:lang w:val="en-US"/>
          </w:rPr>
          <w:t>https://doi.org/10.1016/j.jegh.2015.10.003</w:t>
        </w:r>
      </w:hyperlink>
    </w:p>
    <w:p w14:paraId="2C1D5C3C"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BD4653">
        <w:rPr>
          <w:rFonts w:eastAsia="Calibri"/>
          <w:noProof/>
          <w:lang w:val="en-US"/>
        </w:rPr>
        <w:t xml:space="preserve">Fariborz, N., Hadi, J., &amp; Ali, T. N. (2019). Students’ academic stress, stress response </w:t>
      </w:r>
      <w:r w:rsidRPr="00BD4653">
        <w:rPr>
          <w:rFonts w:eastAsia="Calibri"/>
          <w:noProof/>
          <w:lang w:val="en-US"/>
        </w:rPr>
        <w:lastRenderedPageBreak/>
        <w:t xml:space="preserve">and academic burnout: Mediating role of self-efficacy. </w:t>
      </w:r>
      <w:r w:rsidRPr="00BD4653">
        <w:rPr>
          <w:rFonts w:eastAsia="Calibri"/>
          <w:i/>
          <w:iCs/>
          <w:noProof/>
          <w:lang w:val="en-US"/>
        </w:rPr>
        <w:t>Pertanika Journal of Social Sciences and Humanities</w:t>
      </w:r>
      <w:r w:rsidRPr="00BD4653">
        <w:rPr>
          <w:rFonts w:eastAsia="Calibri"/>
          <w:noProof/>
          <w:lang w:val="en-US"/>
        </w:rPr>
        <w:t xml:space="preserve">, </w:t>
      </w:r>
      <w:r w:rsidRPr="00BD4653">
        <w:rPr>
          <w:rFonts w:eastAsia="Calibri"/>
          <w:i/>
          <w:iCs/>
          <w:noProof/>
          <w:lang w:val="en-US"/>
        </w:rPr>
        <w:t>27</w:t>
      </w:r>
      <w:r w:rsidRPr="00BD4653">
        <w:rPr>
          <w:rFonts w:eastAsia="Calibri"/>
          <w:noProof/>
          <w:lang w:val="en-US"/>
        </w:rPr>
        <w:t xml:space="preserve">(4), 2441–2454. </w:t>
      </w:r>
      <w:hyperlink r:id="rId35" w:history="1">
        <w:r w:rsidRPr="00BD4653">
          <w:rPr>
            <w:rFonts w:eastAsia="Calibri"/>
            <w:noProof/>
            <w:color w:val="0563C1" w:themeColor="hyperlink"/>
            <w:u w:val="single"/>
            <w:lang w:val="en-US"/>
          </w:rPr>
          <w:t>https://www.researchgate.net/publication/338095375_SOCIAL_SCIENCES_HUMANITIES_Students'_Academic_Stress_Stress_Response_and_Academic_Burnout_Mediating_Role_of_Self-Efficacy</w:t>
        </w:r>
      </w:hyperlink>
    </w:p>
    <w:p w14:paraId="7D682789" w14:textId="77777777" w:rsidR="002F1477" w:rsidRPr="00BD4653" w:rsidRDefault="002F1477" w:rsidP="00BD1CC4">
      <w:pPr>
        <w:spacing w:line="360" w:lineRule="auto"/>
        <w:ind w:left="567" w:hanging="567"/>
        <w:textAlignment w:val="baseline"/>
        <w:rPr>
          <w:lang w:val="en-US" w:eastAsia="pt-PT" w:bidi="he-IL"/>
        </w:rPr>
      </w:pPr>
      <w:r w:rsidRPr="00BD4653">
        <w:rPr>
          <w:lang w:val="en-US" w:eastAsia="pt-PT" w:bidi="he-IL"/>
        </w:rPr>
        <w:t xml:space="preserve">Folkman, S., &amp; Lazarus, R. S. (1985). If it changes it must be a process: Study of emotion and coping during three stages of a college examination. </w:t>
      </w:r>
      <w:r w:rsidRPr="00BD4653">
        <w:rPr>
          <w:i/>
          <w:iCs/>
          <w:lang w:val="en-US" w:eastAsia="pt-PT" w:bidi="he-IL"/>
        </w:rPr>
        <w:t>Journal of Personality and Social Psychology, 48</w:t>
      </w:r>
      <w:r w:rsidRPr="00BD4653">
        <w:rPr>
          <w:lang w:val="en-US" w:eastAsia="pt-PT" w:bidi="he-IL"/>
        </w:rPr>
        <w:t xml:space="preserve">(1), 150–170. </w:t>
      </w:r>
      <w:hyperlink r:id="rId36" w:history="1">
        <w:r w:rsidRPr="00BD4653">
          <w:rPr>
            <w:color w:val="0563C1" w:themeColor="hyperlink"/>
            <w:u w:val="single"/>
            <w:lang w:val="en-US" w:eastAsia="pt-PT" w:bidi="he-IL"/>
          </w:rPr>
          <w:t>https://doi.org/10.1037/0022-3514.48.1.150</w:t>
        </w:r>
      </w:hyperlink>
      <w:r w:rsidRPr="00BD4653">
        <w:rPr>
          <w:lang w:val="en-US" w:eastAsia="pt-PT" w:bidi="he-IL"/>
        </w:rPr>
        <w:t> </w:t>
      </w:r>
    </w:p>
    <w:p w14:paraId="1FC1A663" w14:textId="77777777" w:rsidR="002F1477" w:rsidRPr="00BD4653" w:rsidRDefault="002F1477" w:rsidP="00BD1CC4">
      <w:pPr>
        <w:spacing w:line="360" w:lineRule="auto"/>
        <w:ind w:left="567" w:hanging="567"/>
        <w:textAlignment w:val="baseline"/>
        <w:rPr>
          <w:lang w:eastAsia="pt-PT" w:bidi="he-IL"/>
        </w:rPr>
      </w:pPr>
      <w:r w:rsidRPr="00BD4653">
        <w:rPr>
          <w:lang w:val="en-US" w:eastAsia="pt-PT" w:bidi="he-IL"/>
        </w:rPr>
        <w:t xml:space="preserve">Gomes, A. R. (2008). Escala de avaliação cognitiva (EAC): Primary and secondary cognitive appraisal scale (PSCAS). </w:t>
      </w:r>
      <w:r w:rsidRPr="00BD4653">
        <w:rPr>
          <w:lang w:eastAsia="pt-PT" w:bidi="he-IL"/>
        </w:rPr>
        <w:t>Adaptação Rendimento e Desenvolvimento Humano. https://www.ardh.pt/documentos/investigacao/avaliacao/cognitiva/1-EAC-Escala%20de%20Avalia%C3%A7%C3%A3o%20Cognitiva.pdf</w:t>
      </w:r>
    </w:p>
    <w:p w14:paraId="6318E1EE" w14:textId="77777777" w:rsidR="002F1477" w:rsidRPr="00BD4653" w:rsidRDefault="002F1477" w:rsidP="00BD1CC4">
      <w:pPr>
        <w:spacing w:line="360" w:lineRule="auto"/>
        <w:ind w:left="567" w:hanging="567"/>
        <w:textAlignment w:val="baseline"/>
        <w:rPr>
          <w:lang w:eastAsia="pt-PT" w:bidi="he-IL"/>
        </w:rPr>
      </w:pPr>
      <w:r w:rsidRPr="00F36814">
        <w:rPr>
          <w:lang w:eastAsia="pt-PT" w:bidi="he-IL"/>
        </w:rPr>
        <w:t>Gomes, A. R. (2012). Medida de “Burnout” de Shirom-Melamed (MBSM): Shirom-Melamed burnout measure (SMBM). Adaptação Rendimento e Desenvolvimento Humano. https://www.ardh.pt/documentos/investigacao/avaliacao/burnout/2-MBSM-SMBM-Medida%20%E2%80%9CBurnout%E2%80%9D%20Shirom-Melamed.pdf</w:t>
      </w:r>
    </w:p>
    <w:p w14:paraId="4CA0499E" w14:textId="77777777" w:rsidR="002F1477" w:rsidRPr="00BD4653" w:rsidRDefault="002F1477" w:rsidP="00BD1CC4">
      <w:pPr>
        <w:widowControl w:val="0"/>
        <w:autoSpaceDE w:val="0"/>
        <w:autoSpaceDN w:val="0"/>
        <w:adjustRightInd w:val="0"/>
        <w:spacing w:line="360" w:lineRule="auto"/>
        <w:ind w:left="567" w:hanging="567"/>
        <w:rPr>
          <w:rFonts w:eastAsia="Calibri"/>
          <w:color w:val="222222"/>
        </w:rPr>
      </w:pPr>
      <w:r w:rsidRPr="00BD4653">
        <w:rPr>
          <w:rFonts w:eastAsia="Calibri"/>
          <w:lang w:val="en-US"/>
        </w:rPr>
        <w:t xml:space="preserve">Gomes, A. R. (2014). Positive human functioning in stress situations: An interactive proposal. In A. R. Gomes, R. Resende, &amp; A. Albuquerque (eds.), </w:t>
      </w:r>
      <w:r w:rsidRPr="00BD4653">
        <w:rPr>
          <w:rFonts w:eastAsia="Calibri"/>
          <w:i/>
          <w:lang w:val="en-US"/>
        </w:rPr>
        <w:t>Positive human functioning from a multidimensional perspective: Promoting stress adaptation</w:t>
      </w:r>
      <w:r w:rsidRPr="00BD4653">
        <w:rPr>
          <w:rFonts w:eastAsia="Calibri"/>
          <w:lang w:val="en-US"/>
        </w:rPr>
        <w:t xml:space="preserve"> (Vol. 1, pp. 165-194). </w:t>
      </w:r>
      <w:r w:rsidRPr="00BD4653">
        <w:rPr>
          <w:rFonts w:eastAsia="Calibri"/>
        </w:rPr>
        <w:t>Nova Science.</w:t>
      </w:r>
      <w:r w:rsidRPr="00BD4653">
        <w:rPr>
          <w:rFonts w:eastAsia="Calibri"/>
          <w:color w:val="222222"/>
        </w:rPr>
        <w:t> </w:t>
      </w:r>
    </w:p>
    <w:p w14:paraId="3C350A4A" w14:textId="77777777" w:rsidR="002F1477" w:rsidRPr="00BD4653" w:rsidRDefault="002F1477" w:rsidP="00BD1CC4">
      <w:pPr>
        <w:widowControl w:val="0"/>
        <w:autoSpaceDE w:val="0"/>
        <w:autoSpaceDN w:val="0"/>
        <w:adjustRightInd w:val="0"/>
        <w:spacing w:line="360" w:lineRule="auto"/>
        <w:ind w:left="567" w:hanging="567"/>
        <w:rPr>
          <w:rFonts w:eastAsia="Calibri"/>
        </w:rPr>
      </w:pPr>
      <w:r w:rsidRPr="00BD4653">
        <w:rPr>
          <w:rFonts w:eastAsia="Calibri"/>
        </w:rPr>
        <w:t>Gomes, A. R. (2017). Inventário de Coping - Reduzido (COPING-R) [Relatório técnico não publicado]. Escola de Psicologia, Universidade do Minho.</w:t>
      </w:r>
    </w:p>
    <w:p w14:paraId="64E0709C" w14:textId="77777777" w:rsidR="002F1477" w:rsidRPr="00BD4653" w:rsidRDefault="002F1477" w:rsidP="00BD1CC4">
      <w:pPr>
        <w:spacing w:line="360" w:lineRule="auto"/>
        <w:ind w:left="567" w:hanging="567"/>
        <w:textAlignment w:val="baseline"/>
        <w:rPr>
          <w:color w:val="222222"/>
          <w:lang w:val="en-US" w:eastAsia="pt-PT" w:bidi="he-IL"/>
        </w:rPr>
      </w:pPr>
      <w:r w:rsidRPr="00F36814">
        <w:rPr>
          <w:color w:val="222222"/>
          <w:shd w:val="clear" w:color="auto" w:fill="FFFFFF"/>
          <w:lang w:eastAsia="pt-PT" w:bidi="he-IL"/>
        </w:rPr>
        <w:t xml:space="preserve">Gomes, A. R., Faria, S., &amp; Lopes, H. (2016). </w:t>
      </w:r>
      <w:r w:rsidRPr="00BD4653">
        <w:rPr>
          <w:color w:val="222222"/>
          <w:shd w:val="clear" w:color="auto" w:fill="FFFFFF"/>
          <w:lang w:val="en-US" w:eastAsia="pt-PT" w:bidi="he-IL"/>
        </w:rPr>
        <w:t>Stress and psychological health: Testing the mediating role of cognitive appraisal. </w:t>
      </w:r>
      <w:r w:rsidRPr="00BD4653">
        <w:rPr>
          <w:i/>
          <w:iCs/>
          <w:color w:val="222222"/>
          <w:shd w:val="clear" w:color="auto" w:fill="FFFFFF"/>
          <w:lang w:val="en-US" w:eastAsia="pt-PT" w:bidi="he-IL"/>
        </w:rPr>
        <w:t>Western Journal of Nursing Research</w:t>
      </w:r>
      <w:r w:rsidRPr="00BD4653">
        <w:rPr>
          <w:color w:val="222222"/>
          <w:shd w:val="clear" w:color="auto" w:fill="FFFFFF"/>
          <w:lang w:val="en-US" w:eastAsia="pt-PT" w:bidi="he-IL"/>
        </w:rPr>
        <w:t>, </w:t>
      </w:r>
      <w:r w:rsidRPr="00BD4653">
        <w:rPr>
          <w:i/>
          <w:iCs/>
          <w:color w:val="222222"/>
          <w:shd w:val="clear" w:color="auto" w:fill="FFFFFF"/>
          <w:lang w:val="en-US" w:eastAsia="pt-PT" w:bidi="he-IL"/>
        </w:rPr>
        <w:t>38</w:t>
      </w:r>
      <w:r w:rsidRPr="00BD4653">
        <w:rPr>
          <w:color w:val="222222"/>
          <w:shd w:val="clear" w:color="auto" w:fill="FFFFFF"/>
          <w:lang w:val="en-US" w:eastAsia="pt-PT" w:bidi="he-IL"/>
        </w:rPr>
        <w:t>(11), 1448-1468.</w:t>
      </w:r>
      <w:r w:rsidRPr="00BD4653">
        <w:rPr>
          <w:color w:val="222222"/>
          <w:lang w:val="en-US" w:eastAsia="pt-PT" w:bidi="he-IL"/>
        </w:rPr>
        <w:t> </w:t>
      </w:r>
      <w:hyperlink r:id="rId37" w:history="1">
        <w:r w:rsidRPr="00BD4653">
          <w:rPr>
            <w:color w:val="0563C1" w:themeColor="hyperlink"/>
            <w:u w:val="single"/>
            <w:lang w:val="en-US" w:eastAsia="pt-PT" w:bidi="he-IL"/>
          </w:rPr>
          <w:t>https://doi.org/10.1177/0193945916654666</w:t>
        </w:r>
      </w:hyperlink>
    </w:p>
    <w:p w14:paraId="114CFB86" w14:textId="77777777" w:rsidR="002F1477" w:rsidRPr="00BD4653" w:rsidRDefault="002F1477" w:rsidP="00BD1CC4">
      <w:pPr>
        <w:widowControl w:val="0"/>
        <w:autoSpaceDE w:val="0"/>
        <w:autoSpaceDN w:val="0"/>
        <w:adjustRightInd w:val="0"/>
        <w:spacing w:line="360" w:lineRule="auto"/>
        <w:ind w:left="567" w:hanging="567"/>
        <w:rPr>
          <w:rFonts w:eastAsia="Calibri"/>
          <w:lang w:val="en-US"/>
        </w:rPr>
      </w:pPr>
      <w:r w:rsidRPr="00BD4653">
        <w:rPr>
          <w:rFonts w:eastAsia="Calibri"/>
        </w:rPr>
        <w:t xml:space="preserve">Gomes, A. R., Simães, C., Morais, C., &amp; Couto, A. (2022). </w:t>
      </w:r>
      <w:r w:rsidRPr="00BD4653">
        <w:rPr>
          <w:rFonts w:eastAsia="Calibri"/>
          <w:lang w:val="en-US"/>
        </w:rPr>
        <w:t xml:space="preserve">Occupational stress and cognitive appraisal profiles as predictors of students’ burnout. In P.M. Arezes et al. (Eds), </w:t>
      </w:r>
      <w:r w:rsidRPr="00BD4653">
        <w:rPr>
          <w:rFonts w:eastAsia="Calibri"/>
          <w:i/>
          <w:iCs/>
          <w:lang w:val="en-US"/>
        </w:rPr>
        <w:t>Occupational and environmental safety and health III: Studies in systems, decision and control</w:t>
      </w:r>
      <w:r w:rsidRPr="00BD4653">
        <w:rPr>
          <w:rFonts w:eastAsia="Calibri"/>
          <w:lang w:val="en-US"/>
        </w:rPr>
        <w:t xml:space="preserve"> (vol. 406, pp. 505-520). Springer, Cham. </w:t>
      </w:r>
      <w:hyperlink r:id="rId38" w:history="1">
        <w:r w:rsidRPr="00BD4653">
          <w:rPr>
            <w:rFonts w:eastAsia="Calibri"/>
            <w:color w:val="0563C1" w:themeColor="hyperlink"/>
            <w:u w:val="single"/>
            <w:lang w:val="en-US"/>
          </w:rPr>
          <w:t>https://doi.org/10.1007/978-3-030-89617-1_45</w:t>
        </w:r>
      </w:hyperlink>
      <w:r w:rsidRPr="00BD4653">
        <w:rPr>
          <w:rFonts w:eastAsia="Calibri"/>
          <w:lang w:val="en-US"/>
        </w:rPr>
        <w:t>.</w:t>
      </w:r>
    </w:p>
    <w:p w14:paraId="5159F7E7"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BD4653">
        <w:rPr>
          <w:rFonts w:eastAsia="Calibri"/>
          <w:lang w:val="en-US"/>
        </w:rPr>
        <w:t xml:space="preserve">Gomes, A. R., &amp; Teixeira, P. (2016). Stress, cognitive appraisal, and psychological health: Testing instruments for health professionals. </w:t>
      </w:r>
      <w:r w:rsidRPr="00BD4653">
        <w:rPr>
          <w:rFonts w:eastAsia="Calibri"/>
          <w:i/>
          <w:iCs/>
          <w:lang w:val="en-US"/>
        </w:rPr>
        <w:t>Stress and Health, 32</w:t>
      </w:r>
      <w:r w:rsidRPr="00BD4653">
        <w:rPr>
          <w:rFonts w:eastAsia="Calibri"/>
          <w:lang w:val="en-US"/>
        </w:rPr>
        <w:t xml:space="preserve">(2), </w:t>
      </w:r>
      <w:r w:rsidRPr="00BD4653">
        <w:rPr>
          <w:rFonts w:eastAsia="Calibri"/>
          <w:lang w:val="en-US"/>
        </w:rPr>
        <w:lastRenderedPageBreak/>
        <w:t xml:space="preserve">167– 172. </w:t>
      </w:r>
      <w:hyperlink r:id="rId39" w:history="1">
        <w:r w:rsidRPr="00BD4653">
          <w:rPr>
            <w:rFonts w:eastAsia="Calibri"/>
            <w:color w:val="0563C1" w:themeColor="hyperlink"/>
            <w:u w:val="single"/>
            <w:lang w:val="en-US"/>
          </w:rPr>
          <w:t>https://doi.org/10.1002/smi.2583</w:t>
        </w:r>
      </w:hyperlink>
      <w:r w:rsidRPr="00BD4653">
        <w:rPr>
          <w:rFonts w:eastAsia="Calibri"/>
          <w:lang w:val="en-US"/>
        </w:rPr>
        <w:t xml:space="preserve">  </w:t>
      </w:r>
    </w:p>
    <w:p w14:paraId="6CF97168"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F57B7A">
        <w:rPr>
          <w:rFonts w:eastAsia="Calibri"/>
          <w:noProof/>
        </w:rPr>
        <w:t xml:space="preserve">Jung, I., Kim, J., Ma, Y., &amp; Seo, C. (2015). </w:t>
      </w:r>
      <w:r w:rsidRPr="00BD4653">
        <w:rPr>
          <w:rFonts w:eastAsia="Calibri"/>
          <w:noProof/>
          <w:lang w:val="en-US"/>
        </w:rPr>
        <w:t xml:space="preserve">Mediating effect of academic self-efficacy on the relationship between academic stress and academic burnout in chinese adolescents. </w:t>
      </w:r>
      <w:r w:rsidRPr="00BD4653">
        <w:rPr>
          <w:rFonts w:eastAsia="Calibri"/>
          <w:i/>
          <w:iCs/>
          <w:noProof/>
          <w:lang w:val="en-US"/>
        </w:rPr>
        <w:t>International Journal of Human Ecology</w:t>
      </w:r>
      <w:r w:rsidRPr="00BD4653">
        <w:rPr>
          <w:rFonts w:eastAsia="Calibri"/>
          <w:noProof/>
          <w:lang w:val="en-US"/>
        </w:rPr>
        <w:t xml:space="preserve">, </w:t>
      </w:r>
      <w:r w:rsidRPr="00BD4653">
        <w:rPr>
          <w:rFonts w:eastAsia="Calibri"/>
          <w:i/>
          <w:iCs/>
          <w:noProof/>
          <w:lang w:val="en-US"/>
        </w:rPr>
        <w:t>16</w:t>
      </w:r>
      <w:r w:rsidRPr="00BD4653">
        <w:rPr>
          <w:rFonts w:eastAsia="Calibri"/>
          <w:noProof/>
          <w:lang w:val="en-US"/>
        </w:rPr>
        <w:t xml:space="preserve">(2), 63–77. </w:t>
      </w:r>
      <w:hyperlink r:id="rId40" w:history="1">
        <w:r w:rsidRPr="00BD4653">
          <w:rPr>
            <w:rFonts w:eastAsia="Calibri"/>
            <w:noProof/>
            <w:color w:val="0563C1" w:themeColor="hyperlink"/>
            <w:u w:val="single"/>
            <w:lang w:val="en-US"/>
          </w:rPr>
          <w:t>https://doi.org/10.6115/ijhe.2015.16.2.63</w:t>
        </w:r>
      </w:hyperlink>
    </w:p>
    <w:p w14:paraId="3855C22D" w14:textId="77777777" w:rsidR="002F1477" w:rsidRPr="00BD4653" w:rsidRDefault="002F1477" w:rsidP="00BD1CC4">
      <w:pPr>
        <w:spacing w:line="360" w:lineRule="auto"/>
        <w:ind w:left="567" w:hanging="567"/>
        <w:textAlignment w:val="baseline"/>
        <w:rPr>
          <w:lang w:val="en-US" w:eastAsia="pt-PT" w:bidi="he-IL"/>
        </w:rPr>
      </w:pPr>
      <w:r w:rsidRPr="00BD4653">
        <w:rPr>
          <w:lang w:val="en-US" w:eastAsia="pt-PT" w:bidi="he-IL"/>
        </w:rPr>
        <w:t xml:space="preserve">Lazarus, R. S. (1991). </w:t>
      </w:r>
      <w:r w:rsidRPr="00BD4653">
        <w:rPr>
          <w:i/>
          <w:iCs/>
          <w:lang w:val="en-US" w:eastAsia="pt-PT" w:bidi="he-IL"/>
        </w:rPr>
        <w:t>Emotion and adaptation</w:t>
      </w:r>
      <w:r w:rsidRPr="00BD4653">
        <w:rPr>
          <w:lang w:val="en-US" w:eastAsia="pt-PT" w:bidi="he-IL"/>
        </w:rPr>
        <w:t>. Oxford University Press. </w:t>
      </w:r>
    </w:p>
    <w:p w14:paraId="4D070C91" w14:textId="77777777" w:rsidR="002F1477" w:rsidRPr="00BD4653" w:rsidRDefault="002F1477" w:rsidP="00BD1CC4">
      <w:pPr>
        <w:spacing w:line="360" w:lineRule="auto"/>
        <w:ind w:left="567" w:hanging="567"/>
        <w:textAlignment w:val="baseline"/>
        <w:rPr>
          <w:lang w:val="en-US" w:eastAsia="pt-PT" w:bidi="he-IL"/>
        </w:rPr>
      </w:pPr>
      <w:r w:rsidRPr="00BD4653">
        <w:rPr>
          <w:lang w:val="en-US" w:eastAsia="pt-PT" w:bidi="he-IL"/>
        </w:rPr>
        <w:t xml:space="preserve">Lazarus, R. S. (1999). </w:t>
      </w:r>
      <w:r w:rsidRPr="00BD4653">
        <w:rPr>
          <w:i/>
          <w:iCs/>
          <w:lang w:val="en-US" w:eastAsia="pt-PT" w:bidi="he-IL"/>
        </w:rPr>
        <w:t>Stress and emotion: A new synthesis</w:t>
      </w:r>
      <w:r w:rsidRPr="00BD4653">
        <w:rPr>
          <w:lang w:val="en-US" w:eastAsia="pt-PT" w:bidi="he-IL"/>
        </w:rPr>
        <w:t>. Springer.</w:t>
      </w:r>
    </w:p>
    <w:p w14:paraId="2279F6D0" w14:textId="77777777" w:rsidR="002F1477" w:rsidRPr="00BD4653" w:rsidRDefault="002F1477" w:rsidP="00BD1CC4">
      <w:pPr>
        <w:spacing w:line="360" w:lineRule="auto"/>
        <w:ind w:left="567" w:hanging="567"/>
        <w:textAlignment w:val="baseline"/>
        <w:rPr>
          <w:lang w:val="en-US" w:eastAsia="pt-PT" w:bidi="he-IL"/>
        </w:rPr>
      </w:pPr>
      <w:r w:rsidRPr="00BD4653">
        <w:rPr>
          <w:lang w:val="en-US" w:eastAsia="pt-PT" w:bidi="he-IL"/>
        </w:rPr>
        <w:t xml:space="preserve">Lazarus, R., &amp; Folkman, S. (1984). </w:t>
      </w:r>
      <w:r w:rsidRPr="00BD4653">
        <w:rPr>
          <w:i/>
          <w:iCs/>
          <w:lang w:val="en-US" w:eastAsia="pt-PT" w:bidi="he-IL"/>
        </w:rPr>
        <w:t>Stress appraisal and coping</w:t>
      </w:r>
      <w:r w:rsidRPr="00BD4653">
        <w:rPr>
          <w:lang w:val="en-US" w:eastAsia="pt-PT" w:bidi="he-IL"/>
        </w:rPr>
        <w:t>. Springer. </w:t>
      </w:r>
    </w:p>
    <w:p w14:paraId="34ED7176" w14:textId="77777777" w:rsidR="002F1477" w:rsidRPr="00BD4653" w:rsidRDefault="002F1477" w:rsidP="00BD1CC4">
      <w:pPr>
        <w:spacing w:line="360" w:lineRule="auto"/>
        <w:ind w:left="567" w:hanging="567"/>
        <w:textAlignment w:val="baseline"/>
        <w:rPr>
          <w:color w:val="222222"/>
          <w:lang w:eastAsia="pt-PT" w:bidi="he-IL"/>
        </w:rPr>
      </w:pPr>
      <w:r w:rsidRPr="00BD4653">
        <w:rPr>
          <w:color w:val="222222"/>
          <w:shd w:val="clear" w:color="auto" w:fill="FFFFFF"/>
          <w:lang w:eastAsia="pt-PT" w:bidi="he-IL"/>
        </w:rPr>
        <w:t>Lúcio, S. S. R., Medeiros, L. G. S., Barros, D. R., Ferreira, O. D. L., &amp; Rivera, G. A. (2019). Níveis de ansiedade e estresse em estudantes universitários. </w:t>
      </w:r>
      <w:r w:rsidRPr="00BD4653">
        <w:rPr>
          <w:i/>
          <w:iCs/>
          <w:color w:val="222222"/>
          <w:shd w:val="clear" w:color="auto" w:fill="FFFFFF"/>
          <w:lang w:eastAsia="pt-PT" w:bidi="he-IL"/>
        </w:rPr>
        <w:t>Revista Temas em Saúde</w:t>
      </w:r>
      <w:r w:rsidRPr="00BD4653">
        <w:rPr>
          <w:color w:val="222222"/>
          <w:shd w:val="clear" w:color="auto" w:fill="FFFFFF"/>
          <w:lang w:eastAsia="pt-PT" w:bidi="he-IL"/>
        </w:rPr>
        <w:t>, </w:t>
      </w:r>
      <w:r w:rsidRPr="00BD4653">
        <w:rPr>
          <w:i/>
          <w:iCs/>
          <w:color w:val="222222"/>
          <w:shd w:val="clear" w:color="auto" w:fill="FFFFFF"/>
          <w:lang w:eastAsia="pt-PT" w:bidi="he-IL"/>
        </w:rPr>
        <w:t>19</w:t>
      </w:r>
      <w:r w:rsidRPr="00BD4653">
        <w:rPr>
          <w:color w:val="222222"/>
          <w:shd w:val="clear" w:color="auto" w:fill="FFFFFF"/>
          <w:lang w:eastAsia="pt-PT" w:bidi="he-IL"/>
        </w:rPr>
        <w:t>, 260-274. Retirado de</w:t>
      </w:r>
      <w:r w:rsidRPr="00BD4653">
        <w:rPr>
          <w:color w:val="222222"/>
          <w:lang w:eastAsia="pt-PT" w:bidi="he-IL"/>
        </w:rPr>
        <w:t> </w:t>
      </w:r>
      <w:hyperlink r:id="rId41" w:history="1">
        <w:r w:rsidRPr="00BD4653">
          <w:rPr>
            <w:color w:val="0563C1" w:themeColor="hyperlink"/>
            <w:u w:val="single"/>
            <w:lang w:eastAsia="pt-PT" w:bidi="he-IL"/>
          </w:rPr>
          <w:t>https://temasemsaude.com/wp-content/uploads/2019/03/fippsi15.pdf</w:t>
        </w:r>
      </w:hyperlink>
    </w:p>
    <w:p w14:paraId="6ACCD217" w14:textId="77777777" w:rsidR="002F1477" w:rsidRPr="00BD4653" w:rsidRDefault="002F1477" w:rsidP="00BD1CC4">
      <w:pPr>
        <w:spacing w:line="360" w:lineRule="auto"/>
        <w:ind w:left="567" w:hanging="567"/>
        <w:rPr>
          <w:rFonts w:eastAsia="Calibri"/>
        </w:rPr>
      </w:pPr>
      <w:r w:rsidRPr="00BD4653">
        <w:rPr>
          <w:lang w:val="en-US" w:eastAsia="pt-PT" w:bidi="he-IL"/>
        </w:rPr>
        <w:t xml:space="preserve">Melamed, S., Kushnir, T., &amp; Shirom, A. (1992). Burnout and risk factors for cardiovascular disease. </w:t>
      </w:r>
      <w:r w:rsidRPr="00BD4653">
        <w:rPr>
          <w:i/>
          <w:iCs/>
          <w:lang w:eastAsia="pt-PT" w:bidi="he-IL"/>
        </w:rPr>
        <w:t>Behavioral Medicine, 18,</w:t>
      </w:r>
      <w:r w:rsidRPr="00BD4653">
        <w:rPr>
          <w:lang w:eastAsia="pt-PT" w:bidi="he-IL"/>
        </w:rPr>
        <w:t xml:space="preserve"> 53-60. </w:t>
      </w:r>
      <w:hyperlink r:id="rId42" w:history="1">
        <w:r w:rsidRPr="00BD4653">
          <w:rPr>
            <w:color w:val="0563C1" w:themeColor="hyperlink"/>
            <w:u w:val="single"/>
            <w:lang w:eastAsia="pt-PT" w:bidi="he-IL"/>
          </w:rPr>
          <w:t>https://doi.org/10.1080/08964289.1992.9935172</w:t>
        </w:r>
      </w:hyperlink>
    </w:p>
    <w:p w14:paraId="200535BB" w14:textId="77777777" w:rsidR="002F1477" w:rsidRPr="00BD4653" w:rsidRDefault="002F1477" w:rsidP="00BD1CC4">
      <w:pPr>
        <w:widowControl w:val="0"/>
        <w:autoSpaceDE w:val="0"/>
        <w:autoSpaceDN w:val="0"/>
        <w:adjustRightInd w:val="0"/>
        <w:spacing w:line="360" w:lineRule="auto"/>
        <w:ind w:left="567" w:hanging="567"/>
        <w:rPr>
          <w:rFonts w:eastAsia="Calibri"/>
          <w:noProof/>
          <w:lang w:val="en-US"/>
        </w:rPr>
      </w:pPr>
      <w:r w:rsidRPr="008454F4">
        <w:rPr>
          <w:rFonts w:eastAsia="Calibri"/>
          <w:noProof/>
          <w:lang w:val="en-US"/>
        </w:rPr>
        <w:t xml:space="preserve">Muzafar, Y., Khan, H. H., Ashraf, H., Hussain, W., Sajid, H., Tahir, M., Rehman, A., Sohail, A., Waqas, A., &amp; Ahmad, W. (2015). </w:t>
      </w:r>
      <w:r w:rsidRPr="00BD4653">
        <w:rPr>
          <w:rFonts w:eastAsia="Calibri"/>
          <w:noProof/>
          <w:lang w:val="en-US"/>
        </w:rPr>
        <w:t xml:space="preserve">Burnout and its associated factors in medical students of Lahore, Pakistan. </w:t>
      </w:r>
      <w:r w:rsidRPr="00BD4653">
        <w:rPr>
          <w:rFonts w:eastAsia="Calibri"/>
          <w:i/>
          <w:iCs/>
          <w:noProof/>
          <w:lang w:val="en-US"/>
        </w:rPr>
        <w:t>Cureus</w:t>
      </w:r>
      <w:r w:rsidRPr="00BD4653">
        <w:rPr>
          <w:rFonts w:eastAsia="Calibri"/>
          <w:noProof/>
          <w:lang w:val="en-US"/>
        </w:rPr>
        <w:t xml:space="preserve">, </w:t>
      </w:r>
      <w:r w:rsidRPr="00BD4653">
        <w:rPr>
          <w:rFonts w:eastAsia="Calibri"/>
          <w:i/>
          <w:iCs/>
          <w:noProof/>
          <w:lang w:val="en-US"/>
        </w:rPr>
        <w:t>7</w:t>
      </w:r>
      <w:r w:rsidRPr="00BD4653">
        <w:rPr>
          <w:rFonts w:eastAsia="Calibri"/>
          <w:noProof/>
          <w:lang w:val="en-US"/>
        </w:rPr>
        <w:t xml:space="preserve">(11), e390. </w:t>
      </w:r>
      <w:hyperlink r:id="rId43" w:history="1">
        <w:r w:rsidRPr="00BD4653">
          <w:rPr>
            <w:rFonts w:eastAsia="Calibri"/>
            <w:noProof/>
            <w:color w:val="0563C1" w:themeColor="hyperlink"/>
            <w:u w:val="single"/>
            <w:lang w:val="en-US"/>
          </w:rPr>
          <w:t>https://doi.org/10.7759/cureus.390</w:t>
        </w:r>
      </w:hyperlink>
    </w:p>
    <w:p w14:paraId="6647A170" w14:textId="77777777" w:rsidR="002F1477" w:rsidRPr="00BD4653" w:rsidRDefault="002F1477" w:rsidP="00BD1CC4">
      <w:pPr>
        <w:widowControl w:val="0"/>
        <w:autoSpaceDE w:val="0"/>
        <w:autoSpaceDN w:val="0"/>
        <w:adjustRightInd w:val="0"/>
        <w:spacing w:line="360" w:lineRule="auto"/>
        <w:ind w:left="480" w:hanging="480"/>
        <w:rPr>
          <w:rFonts w:eastAsia="Calibri"/>
          <w:noProof/>
          <w:lang w:val="en-US"/>
        </w:rPr>
      </w:pPr>
      <w:r w:rsidRPr="00BD4653">
        <w:rPr>
          <w:rFonts w:eastAsia="Calibri"/>
          <w:noProof/>
          <w:lang w:val="en-US"/>
        </w:rPr>
        <w:t xml:space="preserve">Plessis, M. (2020). Model of coping with occupational stress of academics in a south african higher education institution. </w:t>
      </w:r>
      <w:r w:rsidRPr="00BD4653">
        <w:rPr>
          <w:rFonts w:eastAsia="Calibri"/>
          <w:i/>
          <w:iCs/>
          <w:noProof/>
          <w:lang w:val="en-US"/>
        </w:rPr>
        <w:t>SA Journal of Industrial Psychology</w:t>
      </w:r>
      <w:r w:rsidRPr="00BD4653">
        <w:rPr>
          <w:rFonts w:eastAsia="Calibri"/>
          <w:noProof/>
          <w:lang w:val="en-US"/>
        </w:rPr>
        <w:t xml:space="preserve">, </w:t>
      </w:r>
      <w:r w:rsidRPr="00BD4653">
        <w:rPr>
          <w:rFonts w:eastAsia="Calibri"/>
          <w:i/>
          <w:iCs/>
          <w:noProof/>
          <w:lang w:val="en-US"/>
        </w:rPr>
        <w:t>46</w:t>
      </w:r>
      <w:r w:rsidRPr="00BD4653">
        <w:rPr>
          <w:rFonts w:eastAsia="Calibri"/>
          <w:noProof/>
          <w:lang w:val="en-US"/>
        </w:rPr>
        <w:t xml:space="preserve">, 1–11. </w:t>
      </w:r>
      <w:hyperlink r:id="rId44" w:history="1">
        <w:r w:rsidRPr="00BD4653">
          <w:rPr>
            <w:rFonts w:eastAsia="Calibri"/>
            <w:noProof/>
            <w:color w:val="0563C1" w:themeColor="hyperlink"/>
            <w:u w:val="single"/>
            <w:lang w:val="en-US"/>
          </w:rPr>
          <w:t>https://doi.org/10.4102/SAJIP.V46I0.1714</w:t>
        </w:r>
      </w:hyperlink>
    </w:p>
    <w:p w14:paraId="65092F56" w14:textId="77777777" w:rsidR="002F1477" w:rsidRPr="00BD4653" w:rsidRDefault="002F1477" w:rsidP="00BD1CC4">
      <w:pPr>
        <w:spacing w:line="360" w:lineRule="auto"/>
        <w:ind w:left="567" w:hanging="567"/>
        <w:rPr>
          <w:color w:val="0563C1" w:themeColor="hyperlink"/>
          <w:u w:val="single"/>
          <w:lang w:val="en-US" w:eastAsia="pt-PT" w:bidi="he-IL"/>
        </w:rPr>
      </w:pPr>
      <w:r w:rsidRPr="00BD4653">
        <w:rPr>
          <w:lang w:val="en-US" w:eastAsia="pt-PT" w:bidi="he-IL"/>
        </w:rPr>
        <w:t xml:space="preserve">Rana, A., Gulati, R., &amp; Veenu Wadhwa, A. (2019). Stress among students: An emerging issue. </w:t>
      </w:r>
      <w:r w:rsidRPr="00BD4653">
        <w:rPr>
          <w:i/>
          <w:iCs/>
          <w:lang w:val="en-US" w:eastAsia="pt-PT" w:bidi="he-IL"/>
        </w:rPr>
        <w:t>Integrated Journal of Social Sciences</w:t>
      </w:r>
      <w:r w:rsidRPr="00BD4653">
        <w:rPr>
          <w:lang w:val="en-US" w:eastAsia="pt-PT" w:bidi="he-IL"/>
        </w:rPr>
        <w:t xml:space="preserve">, </w:t>
      </w:r>
      <w:r w:rsidRPr="00BD4653">
        <w:rPr>
          <w:i/>
          <w:iCs/>
          <w:lang w:val="en-US" w:eastAsia="pt-PT" w:bidi="he-IL"/>
        </w:rPr>
        <w:t>6</w:t>
      </w:r>
      <w:r w:rsidRPr="00BD4653">
        <w:rPr>
          <w:lang w:val="en-US" w:eastAsia="pt-PT" w:bidi="he-IL"/>
        </w:rPr>
        <w:t>(2), 44–48. </w:t>
      </w:r>
      <w:proofErr w:type="spellStart"/>
      <w:r w:rsidRPr="00BD4653">
        <w:rPr>
          <w:lang w:val="en-US" w:eastAsia="pt-PT" w:bidi="he-IL"/>
        </w:rPr>
        <w:t>Retirado</w:t>
      </w:r>
      <w:proofErr w:type="spellEnd"/>
      <w:r w:rsidRPr="00BD4653">
        <w:rPr>
          <w:lang w:val="en-US" w:eastAsia="pt-PT" w:bidi="he-IL"/>
        </w:rPr>
        <w:t xml:space="preserve"> de </w:t>
      </w:r>
      <w:hyperlink r:id="rId45" w:history="1">
        <w:r w:rsidRPr="00BD4653">
          <w:rPr>
            <w:color w:val="0563C1" w:themeColor="hyperlink"/>
            <w:u w:val="single"/>
            <w:lang w:val="en-US" w:eastAsia="pt-PT" w:bidi="he-IL"/>
          </w:rPr>
          <w:t>https://www.researchgate.net/publication/334835276_Stress_among_students_An_emerging_issue</w:t>
        </w:r>
      </w:hyperlink>
    </w:p>
    <w:p w14:paraId="73073FCC" w14:textId="77777777" w:rsidR="002F1477" w:rsidRPr="00BD4653" w:rsidRDefault="002F1477" w:rsidP="00BD1CC4">
      <w:pPr>
        <w:spacing w:line="360" w:lineRule="auto"/>
        <w:ind w:left="567" w:hanging="567"/>
        <w:textAlignment w:val="baseline"/>
        <w:rPr>
          <w:color w:val="0563C1" w:themeColor="hyperlink"/>
          <w:u w:val="single"/>
          <w:lang w:val="en-US" w:eastAsia="pt-PT" w:bidi="he-IL"/>
        </w:rPr>
      </w:pPr>
      <w:proofErr w:type="spellStart"/>
      <w:r w:rsidRPr="00BD4653">
        <w:rPr>
          <w:lang w:val="en-US" w:eastAsia="pt-PT" w:bidi="he-IL"/>
        </w:rPr>
        <w:t>Regehr</w:t>
      </w:r>
      <w:proofErr w:type="spellEnd"/>
      <w:r w:rsidRPr="00BD4653">
        <w:rPr>
          <w:lang w:val="en-US" w:eastAsia="pt-PT" w:bidi="he-IL"/>
        </w:rPr>
        <w:t xml:space="preserve">, C., Glancy, D., &amp; Pitts, A. (2013) Interventions to reduce stress in university students: A review and meta-analysis. </w:t>
      </w:r>
      <w:r w:rsidRPr="00BD4653">
        <w:rPr>
          <w:i/>
          <w:iCs/>
          <w:lang w:val="en-US" w:eastAsia="pt-PT" w:bidi="he-IL"/>
        </w:rPr>
        <w:t>Journal of Affective Disorders 148</w:t>
      </w:r>
      <w:r w:rsidRPr="00BD4653">
        <w:rPr>
          <w:lang w:val="en-US" w:eastAsia="pt-PT" w:bidi="he-IL"/>
        </w:rPr>
        <w:t>(1), 1–11. </w:t>
      </w:r>
      <w:hyperlink r:id="rId46" w:history="1">
        <w:r w:rsidRPr="00BD4653">
          <w:rPr>
            <w:color w:val="0563C1" w:themeColor="hyperlink"/>
            <w:u w:val="single"/>
            <w:lang w:val="en-US" w:eastAsia="pt-PT" w:bidi="he-IL"/>
          </w:rPr>
          <w:t>https://doi.org/10.1016/j.jad.2012.11.026</w:t>
        </w:r>
      </w:hyperlink>
    </w:p>
    <w:p w14:paraId="371557F7" w14:textId="77777777" w:rsidR="002F1477" w:rsidRPr="00BD4653" w:rsidRDefault="002F1477" w:rsidP="00BD1CC4">
      <w:pPr>
        <w:spacing w:line="360" w:lineRule="auto"/>
        <w:ind w:left="567" w:hanging="567"/>
        <w:rPr>
          <w:rFonts w:eastAsia="Calibri"/>
          <w:color w:val="0563C1" w:themeColor="hyperlink"/>
          <w:u w:val="single"/>
          <w:lang w:val="en-US"/>
        </w:rPr>
      </w:pPr>
      <w:proofErr w:type="spellStart"/>
      <w:r w:rsidRPr="00BD4653">
        <w:rPr>
          <w:lang w:val="en-US" w:eastAsia="pt-PT" w:bidi="he-IL"/>
        </w:rPr>
        <w:t>Shirom</w:t>
      </w:r>
      <w:proofErr w:type="spellEnd"/>
      <w:r w:rsidRPr="00BD4653">
        <w:rPr>
          <w:lang w:val="en-US" w:eastAsia="pt-PT" w:bidi="he-IL"/>
        </w:rPr>
        <w:t xml:space="preserve">, A. (2003). Job-related burnout: A review. In J. C. Quick, &amp; L. E. Tetrick (Eds.). </w:t>
      </w:r>
      <w:r w:rsidRPr="00BD4653">
        <w:rPr>
          <w:i/>
          <w:iCs/>
          <w:lang w:val="en-US" w:eastAsia="pt-PT" w:bidi="he-IL"/>
        </w:rPr>
        <w:t>Handbook of occupational health psychology</w:t>
      </w:r>
      <w:r w:rsidRPr="00BD4653">
        <w:rPr>
          <w:lang w:val="en-US" w:eastAsia="pt-PT" w:bidi="he-IL"/>
        </w:rPr>
        <w:t xml:space="preserve"> (pp. 245-265). American Psychological Association.</w:t>
      </w:r>
    </w:p>
    <w:p w14:paraId="48DC5DF8" w14:textId="77777777" w:rsidR="002F1477" w:rsidRPr="00BD4653" w:rsidRDefault="002F1477" w:rsidP="00BD1CC4">
      <w:pPr>
        <w:spacing w:line="360" w:lineRule="auto"/>
        <w:ind w:left="567" w:hanging="567"/>
        <w:rPr>
          <w:rFonts w:eastAsia="Calibri"/>
          <w:lang w:val="en-US" w:eastAsia="pt-PT" w:bidi="he-IL"/>
        </w:rPr>
      </w:pPr>
      <w:r w:rsidRPr="00BD4653">
        <w:rPr>
          <w:lang w:val="en-US" w:eastAsia="pt-PT" w:bidi="he-IL"/>
        </w:rPr>
        <w:lastRenderedPageBreak/>
        <w:t xml:space="preserve">Shirom, A. (2010). Employee burnout and health: Current knowledge and future research paths. In J. Houdmont, &amp; S. Leka (Eds.). </w:t>
      </w:r>
      <w:r w:rsidRPr="00BD4653">
        <w:rPr>
          <w:i/>
          <w:iCs/>
          <w:lang w:val="en-US" w:eastAsia="pt-PT" w:bidi="he-IL"/>
        </w:rPr>
        <w:t>Contemporary occupational health psychology</w:t>
      </w:r>
      <w:r w:rsidRPr="00BD4653">
        <w:rPr>
          <w:lang w:val="en-US" w:eastAsia="pt-PT" w:bidi="he-IL"/>
        </w:rPr>
        <w:t xml:space="preserve"> (pp. 59-77). Wiley.</w:t>
      </w:r>
    </w:p>
    <w:p w14:paraId="333C2A53" w14:textId="77777777" w:rsidR="002F1477" w:rsidRPr="00BD4653" w:rsidRDefault="002F1477" w:rsidP="00BD1CC4">
      <w:pPr>
        <w:spacing w:line="360" w:lineRule="auto"/>
        <w:ind w:left="567" w:hanging="567"/>
        <w:textAlignment w:val="baseline"/>
        <w:rPr>
          <w:lang w:val="en-US" w:eastAsia="pt-PT" w:bidi="he-IL"/>
        </w:rPr>
      </w:pPr>
      <w:proofErr w:type="spellStart"/>
      <w:r w:rsidRPr="008454F4">
        <w:rPr>
          <w:lang w:eastAsia="pt-PT" w:bidi="he-IL"/>
        </w:rPr>
        <w:t>Simães</w:t>
      </w:r>
      <w:proofErr w:type="spellEnd"/>
      <w:r w:rsidRPr="008454F4">
        <w:rPr>
          <w:lang w:eastAsia="pt-PT" w:bidi="he-IL"/>
        </w:rPr>
        <w:t xml:space="preserve">, C., Rodrigues, J., Gonçalves, A. M., Faria, S., &amp; Gomes, A. R. (2021). </w:t>
      </w:r>
      <w:r w:rsidRPr="00BD4653">
        <w:rPr>
          <w:lang w:val="en-US" w:eastAsia="pt-PT" w:bidi="he-IL"/>
        </w:rPr>
        <w:t xml:space="preserve">Work-family conflicts, cognitive appraisal, and burnout: Testing the mediation effect with structural equation modelling. </w:t>
      </w:r>
      <w:r w:rsidRPr="00BD4653">
        <w:rPr>
          <w:i/>
          <w:iCs/>
          <w:lang w:val="en-US" w:eastAsia="pt-PT" w:bidi="he-IL"/>
        </w:rPr>
        <w:t>British Journal of Educational Psychology</w:t>
      </w:r>
      <w:r w:rsidRPr="00BD4653">
        <w:rPr>
          <w:lang w:val="en-US" w:eastAsia="pt-PT" w:bidi="he-IL"/>
        </w:rPr>
        <w:t xml:space="preserve">, e12420. </w:t>
      </w:r>
      <w:hyperlink r:id="rId47" w:history="1">
        <w:r w:rsidRPr="00BD4653">
          <w:rPr>
            <w:color w:val="0563C1" w:themeColor="hyperlink"/>
            <w:u w:val="single"/>
            <w:lang w:val="en-US" w:eastAsia="pt-PT" w:bidi="he-IL"/>
          </w:rPr>
          <w:t>https://doi.org/10.1111/BJEP.12420</w:t>
        </w:r>
      </w:hyperlink>
    </w:p>
    <w:p w14:paraId="5308F5BC" w14:textId="7D337B0A" w:rsidR="00F36814" w:rsidRDefault="002F1477" w:rsidP="00450CC7">
      <w:pPr>
        <w:spacing w:line="360" w:lineRule="auto"/>
        <w:ind w:left="567" w:hanging="567"/>
        <w:textAlignment w:val="baseline"/>
      </w:pPr>
      <w:r w:rsidRPr="00BD4653">
        <w:rPr>
          <w:lang w:val="en-US" w:eastAsia="pt-PT" w:bidi="he-IL"/>
        </w:rPr>
        <w:t xml:space="preserve">Universities U. K. (2015) Student mental wellbeing in higher education: </w:t>
      </w:r>
      <w:proofErr w:type="gramStart"/>
      <w:r w:rsidRPr="00BD4653">
        <w:rPr>
          <w:lang w:val="en-US" w:eastAsia="pt-PT" w:bidi="he-IL"/>
        </w:rPr>
        <w:t>Good</w:t>
      </w:r>
      <w:proofErr w:type="gramEnd"/>
      <w:r w:rsidRPr="00BD4653">
        <w:rPr>
          <w:lang w:val="en-US" w:eastAsia="pt-PT" w:bidi="he-IL"/>
        </w:rPr>
        <w:t xml:space="preserve"> practice guide. London: Universities UK. </w:t>
      </w:r>
      <w:proofErr w:type="spellStart"/>
      <w:r w:rsidRPr="00BD4653">
        <w:rPr>
          <w:lang w:val="en-US" w:eastAsia="pt-PT" w:bidi="he-IL"/>
        </w:rPr>
        <w:t>Retirado</w:t>
      </w:r>
      <w:proofErr w:type="spellEnd"/>
      <w:r w:rsidRPr="00BD4653">
        <w:rPr>
          <w:lang w:val="en-US" w:eastAsia="pt-PT" w:bidi="he-IL"/>
        </w:rPr>
        <w:t xml:space="preserve"> de </w:t>
      </w:r>
      <w:hyperlink r:id="rId48" w:history="1">
        <w:r w:rsidRPr="00BD4653">
          <w:rPr>
            <w:color w:val="0563C1" w:themeColor="hyperlink"/>
            <w:u w:val="single"/>
            <w:lang w:val="en-US" w:eastAsia="pt-PT" w:bidi="he-IL"/>
          </w:rPr>
          <w:t>http://www.universitiesuk.ac.uk/policy-and-analysis/reports/ Documents/2015/student-mental-wellbeing-in-he.pdf</w:t>
        </w:r>
      </w:hyperlink>
      <w:r w:rsidRPr="00BD4653">
        <w:rPr>
          <w:lang w:val="en-US" w:eastAsia="pt-PT" w:bidi="he-IL"/>
        </w:rPr>
        <w:t>. </w:t>
      </w:r>
      <w:r w:rsidR="00450CC7">
        <w:rPr>
          <w:lang w:val="en-US" w:eastAsia="pt-PT" w:bidi="he-IL"/>
        </w:rPr>
        <w:t xml:space="preserve"> </w:t>
      </w:r>
      <w:r w:rsidRPr="00BD4653">
        <w:rPr>
          <w:rFonts w:eastAsia="Calibri"/>
          <w:lang w:eastAsia="pt-PT" w:bidi="he-IL"/>
        </w:rPr>
        <w:fldChar w:fldCharType="end"/>
      </w:r>
    </w:p>
    <w:sectPr w:rsidR="00F36814" w:rsidSect="005C3DCA">
      <w:footerReference w:type="default" r:id="rId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948C" w14:textId="77777777" w:rsidR="00E17AD2" w:rsidRDefault="00E17AD2" w:rsidP="00F14A2D">
      <w:r>
        <w:separator/>
      </w:r>
    </w:p>
  </w:endnote>
  <w:endnote w:type="continuationSeparator" w:id="0">
    <w:p w14:paraId="38E8201E" w14:textId="77777777" w:rsidR="00E17AD2" w:rsidRDefault="00E17AD2" w:rsidP="00F1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sGotT">
    <w:panose1 w:val="00000000000000000000"/>
    <w:charset w:val="00"/>
    <w:family w:val="auto"/>
    <w:pitch w:val="variable"/>
    <w:sig w:usb0="800000AF" w:usb1="0000204A" w:usb2="00000000" w:usb3="00000000" w:csb0="0000001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CBE7" w14:textId="792C5A3D" w:rsidR="00BD4653" w:rsidRDefault="00BD4653" w:rsidP="00F27DD4">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1FEA" w14:textId="48306605" w:rsidR="00BD4653" w:rsidRDefault="00BD4653" w:rsidP="00450C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8809" w14:textId="77777777" w:rsidR="00E17AD2" w:rsidRDefault="00E17AD2" w:rsidP="00F14A2D">
      <w:r>
        <w:separator/>
      </w:r>
    </w:p>
  </w:footnote>
  <w:footnote w:type="continuationSeparator" w:id="0">
    <w:p w14:paraId="72430505" w14:textId="77777777" w:rsidR="00E17AD2" w:rsidRDefault="00E17AD2" w:rsidP="00F1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1ACC" w14:textId="4E9FB800" w:rsidR="00BD4653" w:rsidRDefault="00BD4653" w:rsidP="00147C5D">
    <w:pPr>
      <w:pStyle w:val="Cabealho"/>
      <w:jc w:val="right"/>
    </w:pPr>
    <w:r>
      <w:t xml:space="preserve">    </w:t>
    </w:r>
    <w:sdt>
      <w:sdtPr>
        <w:id w:val="-187605844"/>
        <w:docPartObj>
          <w:docPartGallery w:val="Page Numbers (Top of Page)"/>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C0E" w14:textId="6062A540" w:rsidR="00147C5D" w:rsidRDefault="00147C5D" w:rsidP="00147C5D">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624517"/>
      <w:docPartObj>
        <w:docPartGallery w:val="Page Numbers (Top of Page)"/>
        <w:docPartUnique/>
      </w:docPartObj>
    </w:sdtPr>
    <w:sdtContent>
      <w:p w14:paraId="226266F4" w14:textId="0FE33DEB" w:rsidR="00147C5D" w:rsidRDefault="00147C5D">
        <w:pPr>
          <w:pStyle w:val="Cabealho"/>
          <w:jc w:val="right"/>
        </w:pPr>
        <w:r>
          <w:fldChar w:fldCharType="begin"/>
        </w:r>
        <w:r>
          <w:instrText>PAGE   \* MERGEFORMAT</w:instrText>
        </w:r>
        <w:r>
          <w:fldChar w:fldCharType="separate"/>
        </w:r>
        <w:r>
          <w:t>2</w:t>
        </w:r>
        <w:r>
          <w:fldChar w:fldCharType="end"/>
        </w:r>
      </w:p>
    </w:sdtContent>
  </w:sdt>
  <w:p w14:paraId="3D76AD16" w14:textId="5DFF335D" w:rsidR="00147C5D" w:rsidRDefault="00147C5D" w:rsidP="00147C5D">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FC72" w14:textId="4F2661B4" w:rsidR="00147C5D" w:rsidRDefault="00147C5D" w:rsidP="00147C5D">
    <w:pPr>
      <w:pStyle w:val="Cabealho"/>
      <w:jc w:val="right"/>
    </w:pP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NjUyNDO1sDAxtjRQ0lEKTi0uzszPAymwrAUAIdvdQCwAAAA="/>
  </w:docVars>
  <w:rsids>
    <w:rsidRoot w:val="00194AAA"/>
    <w:rsid w:val="00004203"/>
    <w:rsid w:val="00012B34"/>
    <w:rsid w:val="00014162"/>
    <w:rsid w:val="00016C10"/>
    <w:rsid w:val="000279B4"/>
    <w:rsid w:val="00027FF5"/>
    <w:rsid w:val="0003558C"/>
    <w:rsid w:val="00037EA5"/>
    <w:rsid w:val="00037EF0"/>
    <w:rsid w:val="000428F2"/>
    <w:rsid w:val="0004355E"/>
    <w:rsid w:val="000466AC"/>
    <w:rsid w:val="00047695"/>
    <w:rsid w:val="000515C8"/>
    <w:rsid w:val="00052475"/>
    <w:rsid w:val="00055CD4"/>
    <w:rsid w:val="00055E30"/>
    <w:rsid w:val="00061386"/>
    <w:rsid w:val="000619FA"/>
    <w:rsid w:val="00062D42"/>
    <w:rsid w:val="00065A0D"/>
    <w:rsid w:val="00067F53"/>
    <w:rsid w:val="0007128A"/>
    <w:rsid w:val="00077E7A"/>
    <w:rsid w:val="00082EDE"/>
    <w:rsid w:val="00086478"/>
    <w:rsid w:val="00086746"/>
    <w:rsid w:val="00092308"/>
    <w:rsid w:val="00092336"/>
    <w:rsid w:val="0009708B"/>
    <w:rsid w:val="0009764A"/>
    <w:rsid w:val="00097AE5"/>
    <w:rsid w:val="000A38F1"/>
    <w:rsid w:val="000B0D30"/>
    <w:rsid w:val="000B627E"/>
    <w:rsid w:val="000C11D2"/>
    <w:rsid w:val="000C249D"/>
    <w:rsid w:val="000C362D"/>
    <w:rsid w:val="000C5063"/>
    <w:rsid w:val="000C5815"/>
    <w:rsid w:val="000C7B1F"/>
    <w:rsid w:val="000D2F3F"/>
    <w:rsid w:val="000D681A"/>
    <w:rsid w:val="000E1613"/>
    <w:rsid w:val="000E1AA0"/>
    <w:rsid w:val="000E3019"/>
    <w:rsid w:val="000E56B8"/>
    <w:rsid w:val="000E6492"/>
    <w:rsid w:val="000E72FD"/>
    <w:rsid w:val="000F0ECE"/>
    <w:rsid w:val="000F4AB8"/>
    <w:rsid w:val="000F5768"/>
    <w:rsid w:val="00100B69"/>
    <w:rsid w:val="00100CB9"/>
    <w:rsid w:val="001012D1"/>
    <w:rsid w:val="00102B41"/>
    <w:rsid w:val="00110A34"/>
    <w:rsid w:val="0011220D"/>
    <w:rsid w:val="0011333C"/>
    <w:rsid w:val="00113AD9"/>
    <w:rsid w:val="00121411"/>
    <w:rsid w:val="0012389B"/>
    <w:rsid w:val="00125F97"/>
    <w:rsid w:val="00126F11"/>
    <w:rsid w:val="00132AEE"/>
    <w:rsid w:val="00132E7C"/>
    <w:rsid w:val="0013382D"/>
    <w:rsid w:val="00133A87"/>
    <w:rsid w:val="00135745"/>
    <w:rsid w:val="00136A92"/>
    <w:rsid w:val="001409AE"/>
    <w:rsid w:val="00142F70"/>
    <w:rsid w:val="001438B0"/>
    <w:rsid w:val="00143A2B"/>
    <w:rsid w:val="001460AB"/>
    <w:rsid w:val="0014704A"/>
    <w:rsid w:val="00147C5D"/>
    <w:rsid w:val="0015000B"/>
    <w:rsid w:val="0015662C"/>
    <w:rsid w:val="00161D04"/>
    <w:rsid w:val="001653D4"/>
    <w:rsid w:val="00170F75"/>
    <w:rsid w:val="001746C5"/>
    <w:rsid w:val="00181CDB"/>
    <w:rsid w:val="00181D81"/>
    <w:rsid w:val="00182309"/>
    <w:rsid w:val="00193750"/>
    <w:rsid w:val="00194AAA"/>
    <w:rsid w:val="001A04A8"/>
    <w:rsid w:val="001A6183"/>
    <w:rsid w:val="001A6CEA"/>
    <w:rsid w:val="001A7713"/>
    <w:rsid w:val="001B301A"/>
    <w:rsid w:val="001B49C3"/>
    <w:rsid w:val="001C3383"/>
    <w:rsid w:val="001C4EAF"/>
    <w:rsid w:val="001D3E21"/>
    <w:rsid w:val="001D4A86"/>
    <w:rsid w:val="001D76F7"/>
    <w:rsid w:val="001E0FB7"/>
    <w:rsid w:val="001E1455"/>
    <w:rsid w:val="001E1993"/>
    <w:rsid w:val="001E6419"/>
    <w:rsid w:val="001F0167"/>
    <w:rsid w:val="001F07F1"/>
    <w:rsid w:val="001F5FC9"/>
    <w:rsid w:val="00201632"/>
    <w:rsid w:val="00201DAA"/>
    <w:rsid w:val="002060E1"/>
    <w:rsid w:val="00207BAE"/>
    <w:rsid w:val="00210063"/>
    <w:rsid w:val="00211815"/>
    <w:rsid w:val="0021408B"/>
    <w:rsid w:val="00214A2E"/>
    <w:rsid w:val="00221294"/>
    <w:rsid w:val="002231B9"/>
    <w:rsid w:val="00223261"/>
    <w:rsid w:val="00225941"/>
    <w:rsid w:val="002270C2"/>
    <w:rsid w:val="00227BBC"/>
    <w:rsid w:val="00227CF4"/>
    <w:rsid w:val="00231A3F"/>
    <w:rsid w:val="0023200F"/>
    <w:rsid w:val="0023210C"/>
    <w:rsid w:val="00237B0A"/>
    <w:rsid w:val="002415B7"/>
    <w:rsid w:val="00242A20"/>
    <w:rsid w:val="00243114"/>
    <w:rsid w:val="002435D9"/>
    <w:rsid w:val="00244A28"/>
    <w:rsid w:val="00251B32"/>
    <w:rsid w:val="002564AE"/>
    <w:rsid w:val="002644EC"/>
    <w:rsid w:val="002664EA"/>
    <w:rsid w:val="002704DF"/>
    <w:rsid w:val="002718A7"/>
    <w:rsid w:val="002725D6"/>
    <w:rsid w:val="00273619"/>
    <w:rsid w:val="002746F9"/>
    <w:rsid w:val="002827EF"/>
    <w:rsid w:val="002926BC"/>
    <w:rsid w:val="0029273E"/>
    <w:rsid w:val="00296AA6"/>
    <w:rsid w:val="002A2342"/>
    <w:rsid w:val="002A5053"/>
    <w:rsid w:val="002A5813"/>
    <w:rsid w:val="002B087A"/>
    <w:rsid w:val="002B0FFC"/>
    <w:rsid w:val="002B1BEE"/>
    <w:rsid w:val="002B3849"/>
    <w:rsid w:val="002B3BB0"/>
    <w:rsid w:val="002B5863"/>
    <w:rsid w:val="002C08B7"/>
    <w:rsid w:val="002C0909"/>
    <w:rsid w:val="002C124F"/>
    <w:rsid w:val="002C23EA"/>
    <w:rsid w:val="002C2A88"/>
    <w:rsid w:val="002C2C74"/>
    <w:rsid w:val="002C2DCD"/>
    <w:rsid w:val="002C385C"/>
    <w:rsid w:val="002C43FE"/>
    <w:rsid w:val="002C4FEB"/>
    <w:rsid w:val="002E082F"/>
    <w:rsid w:val="002E2A7F"/>
    <w:rsid w:val="002E5DDD"/>
    <w:rsid w:val="002F04DB"/>
    <w:rsid w:val="002F0A48"/>
    <w:rsid w:val="002F1477"/>
    <w:rsid w:val="002F55A9"/>
    <w:rsid w:val="002F5DDE"/>
    <w:rsid w:val="002F5EC5"/>
    <w:rsid w:val="002F7DFD"/>
    <w:rsid w:val="003013C5"/>
    <w:rsid w:val="00304918"/>
    <w:rsid w:val="00306774"/>
    <w:rsid w:val="0030707F"/>
    <w:rsid w:val="00310A65"/>
    <w:rsid w:val="00314A83"/>
    <w:rsid w:val="0032232E"/>
    <w:rsid w:val="00325BF0"/>
    <w:rsid w:val="0032714D"/>
    <w:rsid w:val="003300FD"/>
    <w:rsid w:val="00332E80"/>
    <w:rsid w:val="0034524F"/>
    <w:rsid w:val="003521DA"/>
    <w:rsid w:val="00352EDC"/>
    <w:rsid w:val="003574DC"/>
    <w:rsid w:val="00361529"/>
    <w:rsid w:val="0036568B"/>
    <w:rsid w:val="00366C96"/>
    <w:rsid w:val="00370CE8"/>
    <w:rsid w:val="003724A6"/>
    <w:rsid w:val="00375146"/>
    <w:rsid w:val="00376EC5"/>
    <w:rsid w:val="00377080"/>
    <w:rsid w:val="003841AF"/>
    <w:rsid w:val="00386A66"/>
    <w:rsid w:val="003870F3"/>
    <w:rsid w:val="00396ABE"/>
    <w:rsid w:val="00396F55"/>
    <w:rsid w:val="003A1D5A"/>
    <w:rsid w:val="003A5238"/>
    <w:rsid w:val="003B1397"/>
    <w:rsid w:val="003B4507"/>
    <w:rsid w:val="003C550A"/>
    <w:rsid w:val="003C61B7"/>
    <w:rsid w:val="003D1EBE"/>
    <w:rsid w:val="003D704E"/>
    <w:rsid w:val="003E0B42"/>
    <w:rsid w:val="003F03FE"/>
    <w:rsid w:val="003F37DF"/>
    <w:rsid w:val="00401ED1"/>
    <w:rsid w:val="004036CA"/>
    <w:rsid w:val="00404143"/>
    <w:rsid w:val="004051B2"/>
    <w:rsid w:val="00406D69"/>
    <w:rsid w:val="00411450"/>
    <w:rsid w:val="0041392E"/>
    <w:rsid w:val="00426FD1"/>
    <w:rsid w:val="004302F8"/>
    <w:rsid w:val="004454C5"/>
    <w:rsid w:val="00446518"/>
    <w:rsid w:val="0044675F"/>
    <w:rsid w:val="00450B94"/>
    <w:rsid w:val="00450CC7"/>
    <w:rsid w:val="00451B44"/>
    <w:rsid w:val="0045244F"/>
    <w:rsid w:val="00452B86"/>
    <w:rsid w:val="004535E4"/>
    <w:rsid w:val="004617FD"/>
    <w:rsid w:val="00463064"/>
    <w:rsid w:val="0046588D"/>
    <w:rsid w:val="00465CA5"/>
    <w:rsid w:val="0046605C"/>
    <w:rsid w:val="00466AFF"/>
    <w:rsid w:val="004728E3"/>
    <w:rsid w:val="00474197"/>
    <w:rsid w:val="004759FE"/>
    <w:rsid w:val="004761FD"/>
    <w:rsid w:val="004767FF"/>
    <w:rsid w:val="004808A2"/>
    <w:rsid w:val="004824BF"/>
    <w:rsid w:val="0048369B"/>
    <w:rsid w:val="0048503C"/>
    <w:rsid w:val="00486938"/>
    <w:rsid w:val="00492908"/>
    <w:rsid w:val="00496B25"/>
    <w:rsid w:val="004A024E"/>
    <w:rsid w:val="004A2EC9"/>
    <w:rsid w:val="004A60D4"/>
    <w:rsid w:val="004B2051"/>
    <w:rsid w:val="004B761D"/>
    <w:rsid w:val="004C0899"/>
    <w:rsid w:val="004C2C7F"/>
    <w:rsid w:val="004C370E"/>
    <w:rsid w:val="004C5A79"/>
    <w:rsid w:val="004C7938"/>
    <w:rsid w:val="004D24A3"/>
    <w:rsid w:val="004D2DA4"/>
    <w:rsid w:val="004E0391"/>
    <w:rsid w:val="004E197A"/>
    <w:rsid w:val="004F0859"/>
    <w:rsid w:val="004F1282"/>
    <w:rsid w:val="004F1F66"/>
    <w:rsid w:val="004F2789"/>
    <w:rsid w:val="004F4394"/>
    <w:rsid w:val="004F69C5"/>
    <w:rsid w:val="004F6D4B"/>
    <w:rsid w:val="004F7708"/>
    <w:rsid w:val="00500F7E"/>
    <w:rsid w:val="005043EB"/>
    <w:rsid w:val="005074EF"/>
    <w:rsid w:val="00510909"/>
    <w:rsid w:val="00513A2E"/>
    <w:rsid w:val="00517813"/>
    <w:rsid w:val="00517C94"/>
    <w:rsid w:val="005267A8"/>
    <w:rsid w:val="00530013"/>
    <w:rsid w:val="0053077D"/>
    <w:rsid w:val="00531800"/>
    <w:rsid w:val="00537312"/>
    <w:rsid w:val="005447CF"/>
    <w:rsid w:val="005453AF"/>
    <w:rsid w:val="005457BF"/>
    <w:rsid w:val="005531A8"/>
    <w:rsid w:val="005558C4"/>
    <w:rsid w:val="0056005C"/>
    <w:rsid w:val="00561FC9"/>
    <w:rsid w:val="0056465E"/>
    <w:rsid w:val="00565ACF"/>
    <w:rsid w:val="00566AE9"/>
    <w:rsid w:val="00570674"/>
    <w:rsid w:val="00570D4C"/>
    <w:rsid w:val="005711DD"/>
    <w:rsid w:val="00576DF3"/>
    <w:rsid w:val="00577C21"/>
    <w:rsid w:val="00581478"/>
    <w:rsid w:val="00582EB3"/>
    <w:rsid w:val="005848C0"/>
    <w:rsid w:val="00584AFB"/>
    <w:rsid w:val="0058513C"/>
    <w:rsid w:val="00585CF0"/>
    <w:rsid w:val="00591199"/>
    <w:rsid w:val="005949C4"/>
    <w:rsid w:val="00596A24"/>
    <w:rsid w:val="005B30BF"/>
    <w:rsid w:val="005B3F8B"/>
    <w:rsid w:val="005B6237"/>
    <w:rsid w:val="005C1B30"/>
    <w:rsid w:val="005C1FEA"/>
    <w:rsid w:val="005C3DCA"/>
    <w:rsid w:val="005D7874"/>
    <w:rsid w:val="005E2B50"/>
    <w:rsid w:val="00600198"/>
    <w:rsid w:val="00600668"/>
    <w:rsid w:val="00600E40"/>
    <w:rsid w:val="006046B9"/>
    <w:rsid w:val="0060735A"/>
    <w:rsid w:val="006125AE"/>
    <w:rsid w:val="006157D1"/>
    <w:rsid w:val="006159F1"/>
    <w:rsid w:val="00617D4A"/>
    <w:rsid w:val="0062051F"/>
    <w:rsid w:val="006238D2"/>
    <w:rsid w:val="00623BDC"/>
    <w:rsid w:val="00627565"/>
    <w:rsid w:val="0063316E"/>
    <w:rsid w:val="00640A69"/>
    <w:rsid w:val="0064299D"/>
    <w:rsid w:val="00644E80"/>
    <w:rsid w:val="00651DB6"/>
    <w:rsid w:val="00656299"/>
    <w:rsid w:val="00657DA9"/>
    <w:rsid w:val="00664A92"/>
    <w:rsid w:val="006720C2"/>
    <w:rsid w:val="00673261"/>
    <w:rsid w:val="006945B4"/>
    <w:rsid w:val="006A18C1"/>
    <w:rsid w:val="006A3D62"/>
    <w:rsid w:val="006B013D"/>
    <w:rsid w:val="006B427E"/>
    <w:rsid w:val="006B4CEE"/>
    <w:rsid w:val="006B5813"/>
    <w:rsid w:val="006B7503"/>
    <w:rsid w:val="006C3B93"/>
    <w:rsid w:val="006E3285"/>
    <w:rsid w:val="006F34AD"/>
    <w:rsid w:val="00704E48"/>
    <w:rsid w:val="007113CA"/>
    <w:rsid w:val="00712A4D"/>
    <w:rsid w:val="00713ACD"/>
    <w:rsid w:val="007148F3"/>
    <w:rsid w:val="0071701B"/>
    <w:rsid w:val="00721B2B"/>
    <w:rsid w:val="00725573"/>
    <w:rsid w:val="00733469"/>
    <w:rsid w:val="00737438"/>
    <w:rsid w:val="00740924"/>
    <w:rsid w:val="00743603"/>
    <w:rsid w:val="00745275"/>
    <w:rsid w:val="007471F0"/>
    <w:rsid w:val="00753A6A"/>
    <w:rsid w:val="007561B0"/>
    <w:rsid w:val="00757A08"/>
    <w:rsid w:val="00762EB5"/>
    <w:rsid w:val="00770D3A"/>
    <w:rsid w:val="00777285"/>
    <w:rsid w:val="00787DE9"/>
    <w:rsid w:val="007934B2"/>
    <w:rsid w:val="007A2AEB"/>
    <w:rsid w:val="007A75A5"/>
    <w:rsid w:val="007A7718"/>
    <w:rsid w:val="007A7BFA"/>
    <w:rsid w:val="007B048B"/>
    <w:rsid w:val="007B21DD"/>
    <w:rsid w:val="007B27BE"/>
    <w:rsid w:val="007B3F50"/>
    <w:rsid w:val="007C154D"/>
    <w:rsid w:val="007C42ED"/>
    <w:rsid w:val="007C7DA9"/>
    <w:rsid w:val="007C7EB1"/>
    <w:rsid w:val="007D1029"/>
    <w:rsid w:val="007D45B7"/>
    <w:rsid w:val="007D56F9"/>
    <w:rsid w:val="007D5F3E"/>
    <w:rsid w:val="007D6183"/>
    <w:rsid w:val="007D6786"/>
    <w:rsid w:val="007E3655"/>
    <w:rsid w:val="007E377E"/>
    <w:rsid w:val="007F0005"/>
    <w:rsid w:val="007F3199"/>
    <w:rsid w:val="007F36D2"/>
    <w:rsid w:val="007F78DA"/>
    <w:rsid w:val="00806ECD"/>
    <w:rsid w:val="008073F2"/>
    <w:rsid w:val="008111A0"/>
    <w:rsid w:val="008158F6"/>
    <w:rsid w:val="00822439"/>
    <w:rsid w:val="00823B43"/>
    <w:rsid w:val="00830943"/>
    <w:rsid w:val="008327D6"/>
    <w:rsid w:val="00837E42"/>
    <w:rsid w:val="00840274"/>
    <w:rsid w:val="008431FE"/>
    <w:rsid w:val="008454F4"/>
    <w:rsid w:val="008479D7"/>
    <w:rsid w:val="00850854"/>
    <w:rsid w:val="008515B6"/>
    <w:rsid w:val="00854EE3"/>
    <w:rsid w:val="0086356E"/>
    <w:rsid w:val="00863F1C"/>
    <w:rsid w:val="00864EB4"/>
    <w:rsid w:val="008650A8"/>
    <w:rsid w:val="00871FC3"/>
    <w:rsid w:val="00873B5D"/>
    <w:rsid w:val="00875A48"/>
    <w:rsid w:val="00877E66"/>
    <w:rsid w:val="00891BBF"/>
    <w:rsid w:val="008934BE"/>
    <w:rsid w:val="008A3508"/>
    <w:rsid w:val="008B1738"/>
    <w:rsid w:val="008B6835"/>
    <w:rsid w:val="008C790C"/>
    <w:rsid w:val="008D6709"/>
    <w:rsid w:val="008E2C10"/>
    <w:rsid w:val="008E2E63"/>
    <w:rsid w:val="008E495C"/>
    <w:rsid w:val="008E7020"/>
    <w:rsid w:val="008F4107"/>
    <w:rsid w:val="008F4DF2"/>
    <w:rsid w:val="00901C65"/>
    <w:rsid w:val="00904E73"/>
    <w:rsid w:val="00905334"/>
    <w:rsid w:val="009056D0"/>
    <w:rsid w:val="0090619E"/>
    <w:rsid w:val="0090638C"/>
    <w:rsid w:val="0090675A"/>
    <w:rsid w:val="00906DC5"/>
    <w:rsid w:val="00917A17"/>
    <w:rsid w:val="00917E0A"/>
    <w:rsid w:val="00920782"/>
    <w:rsid w:val="00927481"/>
    <w:rsid w:val="00940DF2"/>
    <w:rsid w:val="009505C5"/>
    <w:rsid w:val="00951601"/>
    <w:rsid w:val="00951AF9"/>
    <w:rsid w:val="009574E5"/>
    <w:rsid w:val="0096407B"/>
    <w:rsid w:val="00965495"/>
    <w:rsid w:val="00967321"/>
    <w:rsid w:val="00970269"/>
    <w:rsid w:val="00970B94"/>
    <w:rsid w:val="009711A4"/>
    <w:rsid w:val="009726E8"/>
    <w:rsid w:val="009744EF"/>
    <w:rsid w:val="00975E8E"/>
    <w:rsid w:val="0098047E"/>
    <w:rsid w:val="00981BE9"/>
    <w:rsid w:val="009852F2"/>
    <w:rsid w:val="009873B4"/>
    <w:rsid w:val="00990472"/>
    <w:rsid w:val="00990A78"/>
    <w:rsid w:val="0099701E"/>
    <w:rsid w:val="009A1993"/>
    <w:rsid w:val="009A3476"/>
    <w:rsid w:val="009A3804"/>
    <w:rsid w:val="009A488F"/>
    <w:rsid w:val="009A4AC2"/>
    <w:rsid w:val="009A649C"/>
    <w:rsid w:val="009A6B08"/>
    <w:rsid w:val="009A6B8C"/>
    <w:rsid w:val="009B0EE3"/>
    <w:rsid w:val="009B60E8"/>
    <w:rsid w:val="009B72D4"/>
    <w:rsid w:val="009C0099"/>
    <w:rsid w:val="009C23BC"/>
    <w:rsid w:val="009C3608"/>
    <w:rsid w:val="009C3740"/>
    <w:rsid w:val="009C7C06"/>
    <w:rsid w:val="009D0103"/>
    <w:rsid w:val="009D1674"/>
    <w:rsid w:val="009D2D18"/>
    <w:rsid w:val="009E36F6"/>
    <w:rsid w:val="009E4E80"/>
    <w:rsid w:val="009E6656"/>
    <w:rsid w:val="009E67C4"/>
    <w:rsid w:val="009E7845"/>
    <w:rsid w:val="009E7A7A"/>
    <w:rsid w:val="009F2D53"/>
    <w:rsid w:val="009F3601"/>
    <w:rsid w:val="009F7755"/>
    <w:rsid w:val="00A05D3A"/>
    <w:rsid w:val="00A06130"/>
    <w:rsid w:val="00A07697"/>
    <w:rsid w:val="00A0784A"/>
    <w:rsid w:val="00A13475"/>
    <w:rsid w:val="00A14703"/>
    <w:rsid w:val="00A14E95"/>
    <w:rsid w:val="00A20FCC"/>
    <w:rsid w:val="00A213AF"/>
    <w:rsid w:val="00A27875"/>
    <w:rsid w:val="00A31FD0"/>
    <w:rsid w:val="00A41C1C"/>
    <w:rsid w:val="00A43FA7"/>
    <w:rsid w:val="00A503C1"/>
    <w:rsid w:val="00A51333"/>
    <w:rsid w:val="00A52DB5"/>
    <w:rsid w:val="00A5476A"/>
    <w:rsid w:val="00A55199"/>
    <w:rsid w:val="00A55AFF"/>
    <w:rsid w:val="00A61FD4"/>
    <w:rsid w:val="00A633AD"/>
    <w:rsid w:val="00A64255"/>
    <w:rsid w:val="00A64E65"/>
    <w:rsid w:val="00A67F92"/>
    <w:rsid w:val="00A70ADD"/>
    <w:rsid w:val="00A726CC"/>
    <w:rsid w:val="00A769BE"/>
    <w:rsid w:val="00A76B4A"/>
    <w:rsid w:val="00A76B8B"/>
    <w:rsid w:val="00A7780F"/>
    <w:rsid w:val="00A81A7C"/>
    <w:rsid w:val="00A8203B"/>
    <w:rsid w:val="00A85278"/>
    <w:rsid w:val="00A914D7"/>
    <w:rsid w:val="00A91CE9"/>
    <w:rsid w:val="00AA03A1"/>
    <w:rsid w:val="00AA2A23"/>
    <w:rsid w:val="00AA6C63"/>
    <w:rsid w:val="00AA745A"/>
    <w:rsid w:val="00AA7CBD"/>
    <w:rsid w:val="00AB34A7"/>
    <w:rsid w:val="00AB70E2"/>
    <w:rsid w:val="00AB7311"/>
    <w:rsid w:val="00AC15C3"/>
    <w:rsid w:val="00AC1772"/>
    <w:rsid w:val="00AC1D20"/>
    <w:rsid w:val="00AE1C15"/>
    <w:rsid w:val="00AE37B0"/>
    <w:rsid w:val="00AF107D"/>
    <w:rsid w:val="00AF2E72"/>
    <w:rsid w:val="00AF2E91"/>
    <w:rsid w:val="00AF3294"/>
    <w:rsid w:val="00AF6DCB"/>
    <w:rsid w:val="00AF7618"/>
    <w:rsid w:val="00B10DCC"/>
    <w:rsid w:val="00B11422"/>
    <w:rsid w:val="00B13FD2"/>
    <w:rsid w:val="00B15A50"/>
    <w:rsid w:val="00B1640B"/>
    <w:rsid w:val="00B16CB1"/>
    <w:rsid w:val="00B175DB"/>
    <w:rsid w:val="00B252E9"/>
    <w:rsid w:val="00B25308"/>
    <w:rsid w:val="00B27434"/>
    <w:rsid w:val="00B34AFA"/>
    <w:rsid w:val="00B407E6"/>
    <w:rsid w:val="00B430A7"/>
    <w:rsid w:val="00B43EDC"/>
    <w:rsid w:val="00B46636"/>
    <w:rsid w:val="00B47B90"/>
    <w:rsid w:val="00B507EC"/>
    <w:rsid w:val="00B5385F"/>
    <w:rsid w:val="00B557B5"/>
    <w:rsid w:val="00B648BF"/>
    <w:rsid w:val="00B64D89"/>
    <w:rsid w:val="00B71101"/>
    <w:rsid w:val="00B713CE"/>
    <w:rsid w:val="00B733C0"/>
    <w:rsid w:val="00B74AD5"/>
    <w:rsid w:val="00B77E97"/>
    <w:rsid w:val="00B80548"/>
    <w:rsid w:val="00B815A2"/>
    <w:rsid w:val="00B837E5"/>
    <w:rsid w:val="00B86C7A"/>
    <w:rsid w:val="00B87267"/>
    <w:rsid w:val="00B90BB3"/>
    <w:rsid w:val="00B91F9D"/>
    <w:rsid w:val="00B9201B"/>
    <w:rsid w:val="00B96059"/>
    <w:rsid w:val="00B9625C"/>
    <w:rsid w:val="00BA2A0C"/>
    <w:rsid w:val="00BA3DCA"/>
    <w:rsid w:val="00BA655C"/>
    <w:rsid w:val="00BB45A4"/>
    <w:rsid w:val="00BB7BBA"/>
    <w:rsid w:val="00BC378D"/>
    <w:rsid w:val="00BC4009"/>
    <w:rsid w:val="00BC6882"/>
    <w:rsid w:val="00BC7FD5"/>
    <w:rsid w:val="00BD1CC4"/>
    <w:rsid w:val="00BD2F1F"/>
    <w:rsid w:val="00BD31F2"/>
    <w:rsid w:val="00BD4557"/>
    <w:rsid w:val="00BD4653"/>
    <w:rsid w:val="00BD59E6"/>
    <w:rsid w:val="00BE19B7"/>
    <w:rsid w:val="00BE2B5B"/>
    <w:rsid w:val="00BE3D8E"/>
    <w:rsid w:val="00BE76F4"/>
    <w:rsid w:val="00BF1418"/>
    <w:rsid w:val="00BF477D"/>
    <w:rsid w:val="00C02F0F"/>
    <w:rsid w:val="00C10C8D"/>
    <w:rsid w:val="00C11306"/>
    <w:rsid w:val="00C11D65"/>
    <w:rsid w:val="00C1387D"/>
    <w:rsid w:val="00C22557"/>
    <w:rsid w:val="00C247FD"/>
    <w:rsid w:val="00C32296"/>
    <w:rsid w:val="00C34210"/>
    <w:rsid w:val="00C43F56"/>
    <w:rsid w:val="00C4552E"/>
    <w:rsid w:val="00C5032C"/>
    <w:rsid w:val="00C542A8"/>
    <w:rsid w:val="00C577DB"/>
    <w:rsid w:val="00C60FD7"/>
    <w:rsid w:val="00C61184"/>
    <w:rsid w:val="00C63545"/>
    <w:rsid w:val="00C6685D"/>
    <w:rsid w:val="00C67E63"/>
    <w:rsid w:val="00C71FF0"/>
    <w:rsid w:val="00C74CD6"/>
    <w:rsid w:val="00C80C3F"/>
    <w:rsid w:val="00C86BB2"/>
    <w:rsid w:val="00C9064E"/>
    <w:rsid w:val="00C92B3C"/>
    <w:rsid w:val="00C92CBF"/>
    <w:rsid w:val="00C938D6"/>
    <w:rsid w:val="00C951F0"/>
    <w:rsid w:val="00CB15D4"/>
    <w:rsid w:val="00CB1679"/>
    <w:rsid w:val="00CB1BA5"/>
    <w:rsid w:val="00CC1906"/>
    <w:rsid w:val="00CC5078"/>
    <w:rsid w:val="00CD1E12"/>
    <w:rsid w:val="00CD2CD2"/>
    <w:rsid w:val="00CD71C1"/>
    <w:rsid w:val="00CD75A7"/>
    <w:rsid w:val="00CE0BFC"/>
    <w:rsid w:val="00CF0695"/>
    <w:rsid w:val="00D03A94"/>
    <w:rsid w:val="00D03F68"/>
    <w:rsid w:val="00D06608"/>
    <w:rsid w:val="00D12911"/>
    <w:rsid w:val="00D150AE"/>
    <w:rsid w:val="00D15F68"/>
    <w:rsid w:val="00D16CC1"/>
    <w:rsid w:val="00D20985"/>
    <w:rsid w:val="00D246A7"/>
    <w:rsid w:val="00D313A1"/>
    <w:rsid w:val="00D35B10"/>
    <w:rsid w:val="00D40150"/>
    <w:rsid w:val="00D41F9E"/>
    <w:rsid w:val="00D446A1"/>
    <w:rsid w:val="00D47B63"/>
    <w:rsid w:val="00D50627"/>
    <w:rsid w:val="00D520F3"/>
    <w:rsid w:val="00D52C2C"/>
    <w:rsid w:val="00D576DF"/>
    <w:rsid w:val="00D63E78"/>
    <w:rsid w:val="00D64987"/>
    <w:rsid w:val="00D66E8A"/>
    <w:rsid w:val="00D67108"/>
    <w:rsid w:val="00D71105"/>
    <w:rsid w:val="00D7568E"/>
    <w:rsid w:val="00D77BF7"/>
    <w:rsid w:val="00D84F67"/>
    <w:rsid w:val="00D87803"/>
    <w:rsid w:val="00D924D3"/>
    <w:rsid w:val="00D92C5C"/>
    <w:rsid w:val="00D9355B"/>
    <w:rsid w:val="00D93BC2"/>
    <w:rsid w:val="00D966CC"/>
    <w:rsid w:val="00DA0BA7"/>
    <w:rsid w:val="00DA5AA9"/>
    <w:rsid w:val="00DA6CAD"/>
    <w:rsid w:val="00DA7000"/>
    <w:rsid w:val="00DA7E4B"/>
    <w:rsid w:val="00DB2A4A"/>
    <w:rsid w:val="00DC00EE"/>
    <w:rsid w:val="00DC21F8"/>
    <w:rsid w:val="00DC7897"/>
    <w:rsid w:val="00DD263E"/>
    <w:rsid w:val="00DE1F63"/>
    <w:rsid w:val="00DE54D6"/>
    <w:rsid w:val="00DF0B3F"/>
    <w:rsid w:val="00DF24FE"/>
    <w:rsid w:val="00DF2BD3"/>
    <w:rsid w:val="00DF53AC"/>
    <w:rsid w:val="00E0696B"/>
    <w:rsid w:val="00E06D28"/>
    <w:rsid w:val="00E11778"/>
    <w:rsid w:val="00E13417"/>
    <w:rsid w:val="00E14384"/>
    <w:rsid w:val="00E15A5A"/>
    <w:rsid w:val="00E17AD2"/>
    <w:rsid w:val="00E24E1B"/>
    <w:rsid w:val="00E26510"/>
    <w:rsid w:val="00E26FFE"/>
    <w:rsid w:val="00E31E44"/>
    <w:rsid w:val="00E32E54"/>
    <w:rsid w:val="00E334C3"/>
    <w:rsid w:val="00E3509B"/>
    <w:rsid w:val="00E414B9"/>
    <w:rsid w:val="00E41C83"/>
    <w:rsid w:val="00E507AE"/>
    <w:rsid w:val="00E51B63"/>
    <w:rsid w:val="00E533D1"/>
    <w:rsid w:val="00E54C3B"/>
    <w:rsid w:val="00E568AC"/>
    <w:rsid w:val="00E6086A"/>
    <w:rsid w:val="00E652BF"/>
    <w:rsid w:val="00E67477"/>
    <w:rsid w:val="00E70FB1"/>
    <w:rsid w:val="00E71028"/>
    <w:rsid w:val="00E72626"/>
    <w:rsid w:val="00E7283F"/>
    <w:rsid w:val="00E768BF"/>
    <w:rsid w:val="00E76DC3"/>
    <w:rsid w:val="00E80555"/>
    <w:rsid w:val="00E836FE"/>
    <w:rsid w:val="00E854B2"/>
    <w:rsid w:val="00E854DC"/>
    <w:rsid w:val="00E87548"/>
    <w:rsid w:val="00E9068A"/>
    <w:rsid w:val="00E929AA"/>
    <w:rsid w:val="00E96E81"/>
    <w:rsid w:val="00EA42DC"/>
    <w:rsid w:val="00EA44F6"/>
    <w:rsid w:val="00EB1D06"/>
    <w:rsid w:val="00EB525E"/>
    <w:rsid w:val="00EC32E2"/>
    <w:rsid w:val="00ED003C"/>
    <w:rsid w:val="00ED00FE"/>
    <w:rsid w:val="00ED05F0"/>
    <w:rsid w:val="00EE127B"/>
    <w:rsid w:val="00EE2C97"/>
    <w:rsid w:val="00EE5433"/>
    <w:rsid w:val="00EE578D"/>
    <w:rsid w:val="00EE7D1B"/>
    <w:rsid w:val="00EF0725"/>
    <w:rsid w:val="00EF31F8"/>
    <w:rsid w:val="00EF5B63"/>
    <w:rsid w:val="00F00958"/>
    <w:rsid w:val="00F00D68"/>
    <w:rsid w:val="00F11C31"/>
    <w:rsid w:val="00F14A2D"/>
    <w:rsid w:val="00F15A9A"/>
    <w:rsid w:val="00F16BC3"/>
    <w:rsid w:val="00F173EF"/>
    <w:rsid w:val="00F21F4D"/>
    <w:rsid w:val="00F246E1"/>
    <w:rsid w:val="00F26F94"/>
    <w:rsid w:val="00F27DD4"/>
    <w:rsid w:val="00F31BB5"/>
    <w:rsid w:val="00F33835"/>
    <w:rsid w:val="00F339E3"/>
    <w:rsid w:val="00F357ED"/>
    <w:rsid w:val="00F36814"/>
    <w:rsid w:val="00F41C90"/>
    <w:rsid w:val="00F47675"/>
    <w:rsid w:val="00F50F8A"/>
    <w:rsid w:val="00F53BCC"/>
    <w:rsid w:val="00F550C4"/>
    <w:rsid w:val="00F571E5"/>
    <w:rsid w:val="00F57840"/>
    <w:rsid w:val="00F57B7A"/>
    <w:rsid w:val="00F60A1C"/>
    <w:rsid w:val="00F66358"/>
    <w:rsid w:val="00F67301"/>
    <w:rsid w:val="00F67348"/>
    <w:rsid w:val="00F905E1"/>
    <w:rsid w:val="00F90BD5"/>
    <w:rsid w:val="00F9123E"/>
    <w:rsid w:val="00F94BD6"/>
    <w:rsid w:val="00F96357"/>
    <w:rsid w:val="00FA23CB"/>
    <w:rsid w:val="00FA3F53"/>
    <w:rsid w:val="00FA46AE"/>
    <w:rsid w:val="00FA6563"/>
    <w:rsid w:val="00FA67E6"/>
    <w:rsid w:val="00FB71B6"/>
    <w:rsid w:val="00FC2B4D"/>
    <w:rsid w:val="00FD092D"/>
    <w:rsid w:val="00FD30F3"/>
    <w:rsid w:val="00FD335E"/>
    <w:rsid w:val="00FD388D"/>
    <w:rsid w:val="00FE2367"/>
    <w:rsid w:val="00FE599A"/>
    <w:rsid w:val="00FF1795"/>
    <w:rsid w:val="00FF293C"/>
    <w:rsid w:val="00FF3278"/>
    <w:rsid w:val="00FF3C98"/>
    <w:rsid w:val="00FF5546"/>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9D581"/>
  <w15:docId w15:val="{9CB5294C-1072-4EA3-A702-8DEE7B2B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D"/>
    <w:rPr>
      <w:rFonts w:ascii="Times New Roman" w:eastAsia="Times New Roman" w:hAnsi="Times New Roman" w:cs="Times New Roman"/>
      <w:sz w:val="24"/>
      <w:szCs w:val="24"/>
      <w:lang w:eastAsia="en-GB"/>
    </w:rPr>
  </w:style>
  <w:style w:type="paragraph" w:styleId="Ttulo1">
    <w:name w:val="heading 1"/>
    <w:basedOn w:val="Normal"/>
    <w:next w:val="Normal"/>
    <w:link w:val="Ttulo1Carter"/>
    <w:uiPriority w:val="9"/>
    <w:qFormat/>
    <w:rsid w:val="00A76B4A"/>
    <w:pPr>
      <w:keepNext/>
      <w:keepLines/>
      <w:spacing w:before="240" w:line="360" w:lineRule="auto"/>
      <w:jc w:val="center"/>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4741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AF107D"/>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63064"/>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63064"/>
    <w:rPr>
      <w:rFonts w:ascii="Tahoma" w:hAnsi="Tahoma" w:cs="Tahoma"/>
      <w:sz w:val="16"/>
      <w:szCs w:val="16"/>
    </w:rPr>
  </w:style>
  <w:style w:type="character" w:styleId="Refdecomentrio">
    <w:name w:val="annotation reference"/>
    <w:basedOn w:val="Tipodeletrapredefinidodopargrafo"/>
    <w:uiPriority w:val="99"/>
    <w:semiHidden/>
    <w:unhideWhenUsed/>
    <w:rsid w:val="00E11778"/>
    <w:rPr>
      <w:sz w:val="16"/>
      <w:szCs w:val="16"/>
    </w:rPr>
  </w:style>
  <w:style w:type="paragraph" w:styleId="Textodecomentrio">
    <w:name w:val="annotation text"/>
    <w:basedOn w:val="Normal"/>
    <w:link w:val="TextodecomentrioCarter"/>
    <w:uiPriority w:val="99"/>
    <w:semiHidden/>
    <w:unhideWhenUsed/>
    <w:rsid w:val="00E11778"/>
    <w:rPr>
      <w:sz w:val="20"/>
      <w:szCs w:val="20"/>
    </w:rPr>
  </w:style>
  <w:style w:type="character" w:customStyle="1" w:styleId="TextodecomentrioCarter">
    <w:name w:val="Texto de comentário Caráter"/>
    <w:basedOn w:val="Tipodeletrapredefinidodopargrafo"/>
    <w:link w:val="Textodecomentrio"/>
    <w:uiPriority w:val="99"/>
    <w:semiHidden/>
    <w:rsid w:val="00E11778"/>
    <w:rPr>
      <w:sz w:val="20"/>
      <w:szCs w:val="20"/>
    </w:rPr>
  </w:style>
  <w:style w:type="paragraph" w:styleId="Assuntodecomentrio">
    <w:name w:val="annotation subject"/>
    <w:basedOn w:val="Textodecomentrio"/>
    <w:next w:val="Textodecomentrio"/>
    <w:link w:val="AssuntodecomentrioCarter"/>
    <w:uiPriority w:val="99"/>
    <w:semiHidden/>
    <w:unhideWhenUsed/>
    <w:rsid w:val="00E11778"/>
    <w:rPr>
      <w:b/>
      <w:bCs/>
    </w:rPr>
  </w:style>
  <w:style w:type="character" w:customStyle="1" w:styleId="AssuntodecomentrioCarter">
    <w:name w:val="Assunto de comentário Caráter"/>
    <w:basedOn w:val="TextodecomentrioCarter"/>
    <w:link w:val="Assuntodecomentrio"/>
    <w:uiPriority w:val="99"/>
    <w:semiHidden/>
    <w:rsid w:val="00E11778"/>
    <w:rPr>
      <w:b/>
      <w:bCs/>
      <w:sz w:val="20"/>
      <w:szCs w:val="20"/>
    </w:rPr>
  </w:style>
  <w:style w:type="character" w:customStyle="1" w:styleId="Ttulo2Carter">
    <w:name w:val="Título 2 Caráter"/>
    <w:basedOn w:val="Tipodeletrapredefinidodopargrafo"/>
    <w:link w:val="Ttulo2"/>
    <w:uiPriority w:val="9"/>
    <w:rsid w:val="00474197"/>
    <w:rPr>
      <w:rFonts w:asciiTheme="majorHAnsi" w:eastAsiaTheme="majorEastAsia" w:hAnsiTheme="majorHAnsi" w:cstheme="majorBidi"/>
      <w:color w:val="2F5496" w:themeColor="accent1" w:themeShade="BF"/>
      <w:sz w:val="26"/>
      <w:szCs w:val="26"/>
    </w:rPr>
  </w:style>
  <w:style w:type="character" w:customStyle="1" w:styleId="Ttulo1Carter">
    <w:name w:val="Título 1 Caráter"/>
    <w:basedOn w:val="Tipodeletrapredefinidodopargrafo"/>
    <w:link w:val="Ttulo1"/>
    <w:uiPriority w:val="9"/>
    <w:rsid w:val="00A76B4A"/>
    <w:rPr>
      <w:rFonts w:ascii="Times New Roman" w:eastAsiaTheme="majorEastAsia" w:hAnsi="Times New Roman" w:cstheme="majorBidi"/>
      <w:b/>
      <w:sz w:val="24"/>
      <w:szCs w:val="32"/>
    </w:rPr>
  </w:style>
  <w:style w:type="table" w:styleId="TabelacomGrelha">
    <w:name w:val="Table Grid"/>
    <w:basedOn w:val="Tabelanormal"/>
    <w:uiPriority w:val="39"/>
    <w:rsid w:val="0004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arter"/>
    <w:uiPriority w:val="1"/>
    <w:qFormat/>
    <w:rsid w:val="000E56B8"/>
  </w:style>
  <w:style w:type="character" w:styleId="Hiperligao">
    <w:name w:val="Hyperlink"/>
    <w:basedOn w:val="Tipodeletrapredefinidodopargrafo"/>
    <w:uiPriority w:val="99"/>
    <w:unhideWhenUsed/>
    <w:rsid w:val="000E56B8"/>
    <w:rPr>
      <w:color w:val="0563C1" w:themeColor="hyperlink"/>
      <w:u w:val="single"/>
    </w:rPr>
  </w:style>
  <w:style w:type="character" w:customStyle="1" w:styleId="SemEspaamentoCarter">
    <w:name w:val="Sem Espaçamento Caráter"/>
    <w:basedOn w:val="Tipodeletrapredefinidodopargrafo"/>
    <w:link w:val="SemEspaamento"/>
    <w:uiPriority w:val="1"/>
    <w:rsid w:val="000E56B8"/>
  </w:style>
  <w:style w:type="paragraph" w:styleId="Reviso">
    <w:name w:val="Revision"/>
    <w:hidden/>
    <w:uiPriority w:val="99"/>
    <w:semiHidden/>
    <w:rsid w:val="004D2DA4"/>
  </w:style>
  <w:style w:type="character" w:customStyle="1" w:styleId="MenoNoResolvida1">
    <w:name w:val="Menção Não Resolvida1"/>
    <w:basedOn w:val="Tipodeletrapredefinidodopargrafo"/>
    <w:uiPriority w:val="99"/>
    <w:semiHidden/>
    <w:unhideWhenUsed/>
    <w:rsid w:val="007113CA"/>
    <w:rPr>
      <w:color w:val="605E5C"/>
      <w:shd w:val="clear" w:color="auto" w:fill="E1DFDD"/>
    </w:rPr>
  </w:style>
  <w:style w:type="paragraph" w:styleId="Cabealho">
    <w:name w:val="header"/>
    <w:basedOn w:val="Normal"/>
    <w:link w:val="CabealhoCarter"/>
    <w:uiPriority w:val="99"/>
    <w:unhideWhenUsed/>
    <w:rsid w:val="00F14A2D"/>
    <w:pPr>
      <w:tabs>
        <w:tab w:val="center" w:pos="4252"/>
        <w:tab w:val="right" w:pos="8504"/>
      </w:tabs>
    </w:pPr>
  </w:style>
  <w:style w:type="character" w:customStyle="1" w:styleId="CabealhoCarter">
    <w:name w:val="Cabeçalho Caráter"/>
    <w:basedOn w:val="Tipodeletrapredefinidodopargrafo"/>
    <w:link w:val="Cabealho"/>
    <w:uiPriority w:val="99"/>
    <w:rsid w:val="00F14A2D"/>
    <w:rPr>
      <w:rFonts w:ascii="Times New Roman" w:eastAsia="Times New Roman" w:hAnsi="Times New Roman" w:cs="Times New Roman"/>
      <w:sz w:val="24"/>
      <w:szCs w:val="24"/>
      <w:lang w:eastAsia="en-GB"/>
    </w:rPr>
  </w:style>
  <w:style w:type="paragraph" w:styleId="Rodap">
    <w:name w:val="footer"/>
    <w:basedOn w:val="Normal"/>
    <w:link w:val="RodapCarter"/>
    <w:uiPriority w:val="99"/>
    <w:unhideWhenUsed/>
    <w:rsid w:val="00F14A2D"/>
    <w:pPr>
      <w:tabs>
        <w:tab w:val="center" w:pos="4252"/>
        <w:tab w:val="right" w:pos="8504"/>
      </w:tabs>
    </w:pPr>
  </w:style>
  <w:style w:type="character" w:customStyle="1" w:styleId="RodapCarter">
    <w:name w:val="Rodapé Caráter"/>
    <w:basedOn w:val="Tipodeletrapredefinidodopargrafo"/>
    <w:link w:val="Rodap"/>
    <w:uiPriority w:val="99"/>
    <w:rsid w:val="00F14A2D"/>
    <w:rPr>
      <w:rFonts w:ascii="Times New Roman" w:eastAsia="Times New Roman" w:hAnsi="Times New Roman" w:cs="Times New Roman"/>
      <w:sz w:val="24"/>
      <w:szCs w:val="24"/>
      <w:lang w:eastAsia="en-GB"/>
    </w:rPr>
  </w:style>
  <w:style w:type="character" w:customStyle="1" w:styleId="Ttulo3Carter">
    <w:name w:val="Título 3 Caráter"/>
    <w:basedOn w:val="Tipodeletrapredefinidodopargrafo"/>
    <w:link w:val="Ttulo3"/>
    <w:uiPriority w:val="9"/>
    <w:rsid w:val="00AF107D"/>
    <w:rPr>
      <w:rFonts w:asciiTheme="majorHAnsi" w:eastAsiaTheme="majorEastAsia" w:hAnsiTheme="majorHAnsi" w:cstheme="majorBidi"/>
      <w:color w:val="1F3763" w:themeColor="accent1" w:themeShade="7F"/>
      <w:sz w:val="24"/>
      <w:szCs w:val="24"/>
    </w:rPr>
  </w:style>
  <w:style w:type="paragraph" w:customStyle="1" w:styleId="dx-doi">
    <w:name w:val="dx-doi"/>
    <w:basedOn w:val="Normal"/>
    <w:rsid w:val="00951AF9"/>
    <w:pPr>
      <w:spacing w:before="100" w:beforeAutospacing="1" w:after="100" w:afterAutospacing="1"/>
    </w:pPr>
    <w:rPr>
      <w:lang w:eastAsia="pt-PT"/>
    </w:rPr>
  </w:style>
  <w:style w:type="paragraph" w:styleId="NormalWeb">
    <w:name w:val="Normal (Web)"/>
    <w:basedOn w:val="Normal"/>
    <w:uiPriority w:val="99"/>
    <w:unhideWhenUsed/>
    <w:rsid w:val="00951AF9"/>
    <w:pPr>
      <w:spacing w:before="100" w:beforeAutospacing="1" w:after="100" w:afterAutospacing="1"/>
    </w:pPr>
    <w:rPr>
      <w:lang w:eastAsia="pt-PT"/>
    </w:rPr>
  </w:style>
  <w:style w:type="character" w:styleId="nfase">
    <w:name w:val="Emphasis"/>
    <w:basedOn w:val="Tipodeletrapredefinidodopargrafo"/>
    <w:uiPriority w:val="20"/>
    <w:qFormat/>
    <w:rsid w:val="00951AF9"/>
    <w:rPr>
      <w:i/>
      <w:iCs/>
    </w:rPr>
  </w:style>
  <w:style w:type="paragraph" w:styleId="Legenda">
    <w:name w:val="caption"/>
    <w:basedOn w:val="Normal"/>
    <w:next w:val="Normal"/>
    <w:uiPriority w:val="35"/>
    <w:unhideWhenUsed/>
    <w:qFormat/>
    <w:rsid w:val="00951AF9"/>
    <w:pPr>
      <w:spacing w:after="200"/>
    </w:pPr>
    <w:rPr>
      <w:rFonts w:asciiTheme="minorHAnsi" w:eastAsiaTheme="minorHAnsi" w:hAnsiTheme="minorHAnsi" w:cstheme="minorBidi"/>
      <w:i/>
      <w:iCs/>
      <w:color w:val="44546A" w:themeColor="text2"/>
      <w:sz w:val="18"/>
      <w:szCs w:val="18"/>
      <w:lang w:eastAsia="en-US"/>
    </w:rPr>
  </w:style>
  <w:style w:type="character" w:customStyle="1" w:styleId="MenoNoResolvida2">
    <w:name w:val="Menção Não Resolvida2"/>
    <w:basedOn w:val="Tipodeletrapredefinidodopargrafo"/>
    <w:uiPriority w:val="99"/>
    <w:semiHidden/>
    <w:unhideWhenUsed/>
    <w:rsid w:val="00C11D65"/>
    <w:rPr>
      <w:color w:val="605E5C"/>
      <w:shd w:val="clear" w:color="auto" w:fill="E1DFDD"/>
    </w:rPr>
  </w:style>
  <w:style w:type="character" w:styleId="Hiperligaovisitada">
    <w:name w:val="FollowedHyperlink"/>
    <w:basedOn w:val="Tipodeletrapredefinidodopargrafo"/>
    <w:uiPriority w:val="99"/>
    <w:semiHidden/>
    <w:unhideWhenUsed/>
    <w:rsid w:val="000D681A"/>
    <w:rPr>
      <w:color w:val="954F72" w:themeColor="followedHyperlink"/>
      <w:u w:val="single"/>
    </w:rPr>
  </w:style>
  <w:style w:type="paragraph" w:customStyle="1" w:styleId="paragraph">
    <w:name w:val="paragraph"/>
    <w:basedOn w:val="Normal"/>
    <w:rsid w:val="008B1738"/>
    <w:pPr>
      <w:spacing w:before="100" w:beforeAutospacing="1" w:after="100" w:afterAutospacing="1"/>
    </w:pPr>
    <w:rPr>
      <w:lang w:eastAsia="pt-PT" w:bidi="he-IL"/>
    </w:rPr>
  </w:style>
  <w:style w:type="character" w:customStyle="1" w:styleId="normaltextrun">
    <w:name w:val="normaltextrun"/>
    <w:basedOn w:val="Tipodeletrapredefinidodopargrafo"/>
    <w:rsid w:val="008B1738"/>
  </w:style>
  <w:style w:type="character" w:customStyle="1" w:styleId="eop">
    <w:name w:val="eop"/>
    <w:basedOn w:val="Tipodeletrapredefinidodopargrafo"/>
    <w:rsid w:val="008B1738"/>
  </w:style>
  <w:style w:type="character" w:customStyle="1" w:styleId="spellingerror">
    <w:name w:val="spellingerror"/>
    <w:basedOn w:val="Tipodeletrapredefinidodopargrafo"/>
    <w:rsid w:val="008B1738"/>
  </w:style>
  <w:style w:type="character" w:styleId="MenoNoResolvida">
    <w:name w:val="Unresolved Mention"/>
    <w:basedOn w:val="Tipodeletrapredefinidodopargrafo"/>
    <w:uiPriority w:val="99"/>
    <w:semiHidden/>
    <w:unhideWhenUsed/>
    <w:rsid w:val="0053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940">
      <w:bodyDiv w:val="1"/>
      <w:marLeft w:val="0"/>
      <w:marRight w:val="0"/>
      <w:marTop w:val="0"/>
      <w:marBottom w:val="0"/>
      <w:divBdr>
        <w:top w:val="none" w:sz="0" w:space="0" w:color="auto"/>
        <w:left w:val="none" w:sz="0" w:space="0" w:color="auto"/>
        <w:bottom w:val="none" w:sz="0" w:space="0" w:color="auto"/>
        <w:right w:val="none" w:sz="0" w:space="0" w:color="auto"/>
      </w:divBdr>
    </w:div>
    <w:div w:id="376125592">
      <w:bodyDiv w:val="1"/>
      <w:marLeft w:val="0"/>
      <w:marRight w:val="0"/>
      <w:marTop w:val="0"/>
      <w:marBottom w:val="0"/>
      <w:divBdr>
        <w:top w:val="none" w:sz="0" w:space="0" w:color="auto"/>
        <w:left w:val="none" w:sz="0" w:space="0" w:color="auto"/>
        <w:bottom w:val="none" w:sz="0" w:space="0" w:color="auto"/>
        <w:right w:val="none" w:sz="0" w:space="0" w:color="auto"/>
      </w:divBdr>
    </w:div>
    <w:div w:id="522591430">
      <w:bodyDiv w:val="1"/>
      <w:marLeft w:val="0"/>
      <w:marRight w:val="0"/>
      <w:marTop w:val="0"/>
      <w:marBottom w:val="0"/>
      <w:divBdr>
        <w:top w:val="none" w:sz="0" w:space="0" w:color="auto"/>
        <w:left w:val="none" w:sz="0" w:space="0" w:color="auto"/>
        <w:bottom w:val="none" w:sz="0" w:space="0" w:color="auto"/>
        <w:right w:val="none" w:sz="0" w:space="0" w:color="auto"/>
      </w:divBdr>
    </w:div>
    <w:div w:id="574974926">
      <w:bodyDiv w:val="1"/>
      <w:marLeft w:val="0"/>
      <w:marRight w:val="0"/>
      <w:marTop w:val="0"/>
      <w:marBottom w:val="0"/>
      <w:divBdr>
        <w:top w:val="none" w:sz="0" w:space="0" w:color="auto"/>
        <w:left w:val="none" w:sz="0" w:space="0" w:color="auto"/>
        <w:bottom w:val="none" w:sz="0" w:space="0" w:color="auto"/>
        <w:right w:val="none" w:sz="0" w:space="0" w:color="auto"/>
      </w:divBdr>
    </w:div>
    <w:div w:id="739213125">
      <w:bodyDiv w:val="1"/>
      <w:marLeft w:val="0"/>
      <w:marRight w:val="0"/>
      <w:marTop w:val="0"/>
      <w:marBottom w:val="0"/>
      <w:divBdr>
        <w:top w:val="none" w:sz="0" w:space="0" w:color="auto"/>
        <w:left w:val="none" w:sz="0" w:space="0" w:color="auto"/>
        <w:bottom w:val="none" w:sz="0" w:space="0" w:color="auto"/>
        <w:right w:val="none" w:sz="0" w:space="0" w:color="auto"/>
      </w:divBdr>
    </w:div>
    <w:div w:id="842089729">
      <w:bodyDiv w:val="1"/>
      <w:marLeft w:val="0"/>
      <w:marRight w:val="0"/>
      <w:marTop w:val="0"/>
      <w:marBottom w:val="0"/>
      <w:divBdr>
        <w:top w:val="none" w:sz="0" w:space="0" w:color="auto"/>
        <w:left w:val="none" w:sz="0" w:space="0" w:color="auto"/>
        <w:bottom w:val="none" w:sz="0" w:space="0" w:color="auto"/>
        <w:right w:val="none" w:sz="0" w:space="0" w:color="auto"/>
      </w:divBdr>
    </w:div>
    <w:div w:id="1058675071">
      <w:bodyDiv w:val="1"/>
      <w:marLeft w:val="0"/>
      <w:marRight w:val="0"/>
      <w:marTop w:val="0"/>
      <w:marBottom w:val="0"/>
      <w:divBdr>
        <w:top w:val="none" w:sz="0" w:space="0" w:color="auto"/>
        <w:left w:val="none" w:sz="0" w:space="0" w:color="auto"/>
        <w:bottom w:val="none" w:sz="0" w:space="0" w:color="auto"/>
        <w:right w:val="none" w:sz="0" w:space="0" w:color="auto"/>
      </w:divBdr>
    </w:div>
    <w:div w:id="1146050664">
      <w:bodyDiv w:val="1"/>
      <w:marLeft w:val="0"/>
      <w:marRight w:val="0"/>
      <w:marTop w:val="0"/>
      <w:marBottom w:val="0"/>
      <w:divBdr>
        <w:top w:val="none" w:sz="0" w:space="0" w:color="auto"/>
        <w:left w:val="none" w:sz="0" w:space="0" w:color="auto"/>
        <w:bottom w:val="none" w:sz="0" w:space="0" w:color="auto"/>
        <w:right w:val="none" w:sz="0" w:space="0" w:color="auto"/>
      </w:divBdr>
    </w:div>
    <w:div w:id="1737240820">
      <w:bodyDiv w:val="1"/>
      <w:marLeft w:val="0"/>
      <w:marRight w:val="0"/>
      <w:marTop w:val="0"/>
      <w:marBottom w:val="0"/>
      <w:divBdr>
        <w:top w:val="none" w:sz="0" w:space="0" w:color="auto"/>
        <w:left w:val="none" w:sz="0" w:space="0" w:color="auto"/>
        <w:bottom w:val="none" w:sz="0" w:space="0" w:color="auto"/>
        <w:right w:val="none" w:sz="0" w:space="0" w:color="auto"/>
      </w:divBdr>
    </w:div>
    <w:div w:id="211566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85961@alunos.uminho.pt" TargetMode="External"/><Relationship Id="rId18" Type="http://schemas.openxmlformats.org/officeDocument/2006/relationships/hyperlink" Target="https://orcid.org/0000-0002-6726-2254" TargetMode="External"/><Relationship Id="rId26" Type="http://schemas.openxmlformats.org/officeDocument/2006/relationships/header" Target="header4.xml"/><Relationship Id="rId39" Type="http://schemas.openxmlformats.org/officeDocument/2006/relationships/hyperlink" Target="https://doi.org/10.1002/smi.2583" TargetMode="External"/><Relationship Id="rId21" Type="http://schemas.openxmlformats.org/officeDocument/2006/relationships/hyperlink" Target="mailto:rgomes@psi.uminho.pt" TargetMode="External"/><Relationship Id="rId34" Type="http://schemas.openxmlformats.org/officeDocument/2006/relationships/hyperlink" Target="https://doi.org/10.1016/j.jegh.2015.10.003" TargetMode="External"/><Relationship Id="rId42" Type="http://schemas.openxmlformats.org/officeDocument/2006/relationships/hyperlink" Target="https://doi.org/10.1080/08964289.1992.9935172" TargetMode="External"/><Relationship Id="rId47" Type="http://schemas.openxmlformats.org/officeDocument/2006/relationships/hyperlink" Target="https://doi.org/10.1111/BJEP.12420"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rcid.org/0000-0002-9881-3514" TargetMode="External"/><Relationship Id="rId29" Type="http://schemas.openxmlformats.org/officeDocument/2006/relationships/hyperlink" Target="https://doi.org/10.6018/analesps.35.1.299351" TargetMode="External"/><Relationship Id="rId11" Type="http://schemas.openxmlformats.org/officeDocument/2006/relationships/image" Target="media/image2.jpeg"/><Relationship Id="rId24" Type="http://schemas.openxmlformats.org/officeDocument/2006/relationships/header" Target="header2.xml"/><Relationship Id="rId32" Type="http://schemas.openxmlformats.org/officeDocument/2006/relationships/hyperlink" Target="https://doi.org/10.1007/s12671-018-0933-0" TargetMode="External"/><Relationship Id="rId37" Type="http://schemas.openxmlformats.org/officeDocument/2006/relationships/hyperlink" Target="https://doi.org/10.1177/0193945916654666" TargetMode="External"/><Relationship Id="rId40" Type="http://schemas.openxmlformats.org/officeDocument/2006/relationships/hyperlink" Target="https://doi.org/10.6115/ijhe.2015.16.2.63" TargetMode="External"/><Relationship Id="rId45" Type="http://schemas.openxmlformats.org/officeDocument/2006/relationships/hyperlink" Target="https://www.researchgate.net/publication/334835276_Stress_among_students_An_emerging_issue" TargetMode="External"/><Relationship Id="rId5" Type="http://schemas.openxmlformats.org/officeDocument/2006/relationships/styles" Target="styles.xml"/><Relationship Id="rId15" Type="http://schemas.openxmlformats.org/officeDocument/2006/relationships/hyperlink" Target="mailto:cmorais@porto.ucp.pt" TargetMode="External"/><Relationship Id="rId23" Type="http://schemas.openxmlformats.org/officeDocument/2006/relationships/footer" Target="footer1.xml"/><Relationship Id="rId28" Type="http://schemas.openxmlformats.org/officeDocument/2006/relationships/hyperlink" Target="doi:%20http://doi.org/10.3329/bjms.v21i2.58068" TargetMode="External"/><Relationship Id="rId36" Type="http://schemas.openxmlformats.org/officeDocument/2006/relationships/hyperlink" Target="https://doi.org/10.1037/0022-3514.48.1.150" TargetMode="External"/><Relationship Id="rId49"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jacintamarlene@hotmail.com" TargetMode="External"/><Relationship Id="rId31" Type="http://schemas.openxmlformats.org/officeDocument/2006/relationships/hyperlink" Target="http://repositorium.sdum.uminho.pt/handle/1822/72076" TargetMode="External"/><Relationship Id="rId44" Type="http://schemas.openxmlformats.org/officeDocument/2006/relationships/hyperlink" Target="https://doi.org/10.4102/SAJIP.V46I0.171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gomes@psi.uminho.pt" TargetMode="External"/><Relationship Id="rId22" Type="http://schemas.openxmlformats.org/officeDocument/2006/relationships/header" Target="header1.xml"/><Relationship Id="rId27" Type="http://schemas.openxmlformats.org/officeDocument/2006/relationships/hyperlink" Target="https://doi.org/http:/dx.doi.org/DOI10.29327/226091.54.2-13" TargetMode="External"/><Relationship Id="rId30" Type="http://schemas.openxmlformats.org/officeDocument/2006/relationships/hyperlink" Target="http://dx.doi.org/10.15309/16psd170212.&#160;" TargetMode="External"/><Relationship Id="rId35" Type="http://schemas.openxmlformats.org/officeDocument/2006/relationships/hyperlink" Target="https://www.researchgate.net/publication/338095375_SOCIAL_SCIENCES_HUMANITIES_Students'_Academic_Stress_Stress_Response_and_Academic_Burnout_Mediating_Role_of_Self-Efficacy" TargetMode="External"/><Relationship Id="rId43" Type="http://schemas.openxmlformats.org/officeDocument/2006/relationships/hyperlink" Target="https://doi.org/10.7759/cureus.390" TargetMode="External"/><Relationship Id="rId48" Type="http://schemas.openxmlformats.org/officeDocument/2006/relationships/hyperlink" Target="http://www.universitiesuk.ac.uk/policy-and-analysis/reports/%20Documents/2015/student-mental-wellbeing-in-he.pdf"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rgomes@psi.uminho.pt" TargetMode="External"/><Relationship Id="rId17" Type="http://schemas.openxmlformats.org/officeDocument/2006/relationships/hyperlink" Target="mailto:liliana.magalhaes2@gmail.com" TargetMode="External"/><Relationship Id="rId25" Type="http://schemas.openxmlformats.org/officeDocument/2006/relationships/header" Target="header3.xml"/><Relationship Id="rId33" Type="http://schemas.openxmlformats.org/officeDocument/2006/relationships/hyperlink" Target="https://doi.org/10.1080/03075079.2017.1340445&#160;" TargetMode="External"/><Relationship Id="rId38" Type="http://schemas.openxmlformats.org/officeDocument/2006/relationships/hyperlink" Target="https://doi.org/10.1007/978-3-030-89617-1_45" TargetMode="External"/><Relationship Id="rId46" Type="http://schemas.openxmlformats.org/officeDocument/2006/relationships/hyperlink" Target="https://doi.org/10.1016/j.jad.2012.11.026" TargetMode="External"/><Relationship Id="rId20" Type="http://schemas.openxmlformats.org/officeDocument/2006/relationships/hyperlink" Target="https://orcid.org/0000-0002-0491-2520" TargetMode="External"/><Relationship Id="rId41" Type="http://schemas.openxmlformats.org/officeDocument/2006/relationships/hyperlink" Target="https://temasemsaude.com/wp-content/uploads/2019/03/fippsi15.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3D619CEF021C45AE4C72DD04584183" ma:contentTypeVersion="11" ma:contentTypeDescription="Criar um novo documento." ma:contentTypeScope="" ma:versionID="1d5e693a32f6be41d02632d3f621cd7a">
  <xsd:schema xmlns:xsd="http://www.w3.org/2001/XMLSchema" xmlns:xs="http://www.w3.org/2001/XMLSchema" xmlns:p="http://schemas.microsoft.com/office/2006/metadata/properties" xmlns:ns3="b7505017-7640-4c0b-969f-0c7a4cdf2ab6" targetNamespace="http://schemas.microsoft.com/office/2006/metadata/properties" ma:root="true" ma:fieldsID="c5e6f185ad5ccea956083dd339c22a5b" ns3:_="">
    <xsd:import namespace="b7505017-7640-4c0b-969f-0c7a4cdf2a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05017-7640-4c0b-969f-0c7a4cdf2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6176C-27BD-41BF-9FF6-840B16DB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05017-7640-4c0b-969f-0c7a4cdf2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2811B-E6B1-4C8B-94E8-558064F152F4}">
  <ds:schemaRefs>
    <ds:schemaRef ds:uri="http://schemas.microsoft.com/sharepoint/v3/contenttype/forms"/>
  </ds:schemaRefs>
</ds:datastoreItem>
</file>

<file path=customXml/itemProps3.xml><?xml version="1.0" encoding="utf-8"?>
<ds:datastoreItem xmlns:ds="http://schemas.openxmlformats.org/officeDocument/2006/customXml" ds:itemID="{13519AA4-AEA0-464F-B541-C560A18E3AAA}">
  <ds:schemaRefs>
    <ds:schemaRef ds:uri="http://schemas.openxmlformats.org/officeDocument/2006/bibliography"/>
  </ds:schemaRefs>
</ds:datastoreItem>
</file>

<file path=customXml/itemProps4.xml><?xml version="1.0" encoding="utf-8"?>
<ds:datastoreItem xmlns:ds="http://schemas.openxmlformats.org/officeDocument/2006/customXml" ds:itemID="{CC0C69CD-DF08-4E14-A04D-3011CC9D74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6530</Words>
  <Characters>35263</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Nogueira</dc:creator>
  <cp:keywords/>
  <dc:description/>
  <cp:lastModifiedBy>Catarina ribeiro</cp:lastModifiedBy>
  <cp:revision>3</cp:revision>
  <dcterms:created xsi:type="dcterms:W3CDTF">2022-09-13T16:41:00Z</dcterms:created>
  <dcterms:modified xsi:type="dcterms:W3CDTF">2022-09-13T16:47:00Z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0x0101005B3D619CEF021C45AE4C72DD04584183</vt:lpwstr>
  </property>
</Properties>
</file>