
<file path=[Content_Types].xml><?xml version="1.0" encoding="utf-8"?>
<Types xmlns="http://schemas.openxmlformats.org/package/2006/content-types">
  <Default Extension="png" ContentType="image/png"/>
  <Default Extension="tmp"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7FAD8EDF" w:rsidR="00742E4A" w:rsidRPr="002B04BE" w:rsidRDefault="00FA42C8" w:rsidP="00184153">
      <w:pPr>
        <w:pStyle w:val="Titulodeartculo"/>
      </w:pPr>
      <w:r w:rsidRPr="00333677">
        <w:rPr>
          <w:lang w:val="en-US" w:eastAsia="en-US"/>
        </w:rPr>
        <w:drawing>
          <wp:anchor distT="0" distB="0" distL="114300" distR="114300" simplePos="0" relativeHeight="251664384" behindDoc="0" locked="0" layoutInCell="1" allowOverlap="1" wp14:anchorId="4437BD97" wp14:editId="1C4F0EB2">
            <wp:simplePos x="0" y="0"/>
            <wp:positionH relativeFrom="column">
              <wp:posOffset>5026025</wp:posOffset>
            </wp:positionH>
            <wp:positionV relativeFrom="paragraph">
              <wp:posOffset>604520</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bookmarkStart w:id="0" w:name="_GoBack"/>
      <w:bookmarkEnd w:id="0"/>
      <w:r w:rsidR="00504291" w:rsidRPr="00504291">
        <w:rPr>
          <w:bCs/>
          <w:lang w:val="es-CO"/>
        </w:rPr>
        <w:t>Evidencias de confiabilidad y validez de los instrumentos utilizados para medir la carga de trabajo mental: una revisión integrativa de la literatura</w:t>
      </w:r>
    </w:p>
    <w:p w14:paraId="07B1149B" w14:textId="69BCD519" w:rsidR="008E17AF" w:rsidRDefault="008E17AF" w:rsidP="00184153">
      <w:pPr>
        <w:rPr>
          <w:b/>
        </w:rPr>
      </w:pPr>
      <w:bookmarkStart w:id="1" w:name="_Hlk90834151"/>
      <w:bookmarkEnd w:id="1"/>
    </w:p>
    <w:p w14:paraId="13F1FF83" w14:textId="77777777" w:rsidR="00FA42C8" w:rsidRPr="002B04BE" w:rsidRDefault="00FA42C8" w:rsidP="00184153">
      <w:pPr>
        <w:rPr>
          <w:b/>
        </w:rPr>
      </w:pPr>
    </w:p>
    <w:p w14:paraId="110A42C5" w14:textId="709F68D7" w:rsidR="00CC7D22" w:rsidRPr="00EE392F" w:rsidRDefault="00E63BCA" w:rsidP="00184153">
      <w:pPr>
        <w:pStyle w:val="Body"/>
        <w:jc w:val="both"/>
        <w:rPr>
          <w:b/>
          <w:bCs/>
          <w:color w:val="222222"/>
          <w:sz w:val="22"/>
          <w:szCs w:val="22"/>
          <w:u w:color="222222"/>
        </w:rPr>
      </w:pPr>
      <w:bookmarkStart w:id="2" w:name="_Hlk90835901"/>
      <w:r w:rsidRPr="00800FCE">
        <w:rPr>
          <w:b/>
          <w:bCs/>
          <w:color w:val="222222"/>
          <w:sz w:val="28"/>
          <w:szCs w:val="28"/>
          <w:u w:color="222222"/>
        </w:rPr>
        <w:t>Karen Rayany Rodio-Trevisan</w:t>
      </w:r>
      <w:r w:rsidR="00043211" w:rsidRPr="00800FCE">
        <w:rPr>
          <w:b/>
          <w:bCs/>
          <w:color w:val="4472C4" w:themeColor="accent1"/>
          <w:sz w:val="28"/>
          <w:szCs w:val="28"/>
          <w:u w:color="222222"/>
          <w:vertAlign w:val="superscript"/>
        </w:rPr>
        <w:t xml:space="preserve"> </w:t>
      </w:r>
      <w:r w:rsidR="00043211" w:rsidRPr="00800FCE">
        <w:rPr>
          <w:b/>
          <w:bCs/>
          <w:noProof/>
          <w:color w:val="222222"/>
          <w:sz w:val="28"/>
          <w:szCs w:val="28"/>
          <w:u w:color="222222"/>
          <w:lang w:val="en-US" w:eastAsia="en-US"/>
        </w:rPr>
        <w:drawing>
          <wp:inline distT="0" distB="0" distL="0" distR="0" wp14:anchorId="2AE71D0C" wp14:editId="7547FE56">
            <wp:extent cx="133200" cy="133200"/>
            <wp:effectExtent l="0" t="0" r="0" b="0"/>
            <wp:docPr id="6"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800FCE">
        <w:rPr>
          <w:b/>
          <w:bCs/>
          <w:color w:val="222222"/>
          <w:sz w:val="28"/>
          <w:szCs w:val="28"/>
          <w:u w:color="222222"/>
          <w:lang w:val="es-ES"/>
        </w:rPr>
        <w:t xml:space="preserve">, </w:t>
      </w:r>
      <w:r w:rsidR="007D73B8" w:rsidRPr="00800FCE">
        <w:rPr>
          <w:b/>
          <w:bCs/>
          <w:color w:val="222222"/>
          <w:sz w:val="28"/>
          <w:szCs w:val="28"/>
          <w:u w:color="222222"/>
          <w:lang w:val="es-ES"/>
        </w:rPr>
        <w:t xml:space="preserve">Roberto Moraes Cruz </w:t>
      </w:r>
      <w:r w:rsidR="00444BAD" w:rsidRPr="00800FCE">
        <w:rPr>
          <w:b/>
          <w:bCs/>
          <w:noProof/>
          <w:color w:val="222222"/>
          <w:sz w:val="28"/>
          <w:szCs w:val="28"/>
          <w:u w:color="222222"/>
          <w:lang w:val="en-US" w:eastAsia="en-US"/>
        </w:rPr>
        <w:drawing>
          <wp:inline distT="0" distB="0" distL="0" distR="0" wp14:anchorId="1D8932D1" wp14:editId="05BC4304">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44BAD" w:rsidRPr="00800FCE">
        <w:rPr>
          <w:b/>
          <w:bCs/>
          <w:color w:val="222222"/>
          <w:sz w:val="28"/>
          <w:szCs w:val="28"/>
          <w:u w:color="222222"/>
        </w:rPr>
        <w:t>,</w:t>
      </w:r>
      <w:r w:rsidR="007D73B8" w:rsidRPr="00800FCE">
        <w:rPr>
          <w:b/>
          <w:bCs/>
          <w:color w:val="222222"/>
          <w:sz w:val="28"/>
          <w:szCs w:val="28"/>
          <w:u w:color="222222"/>
        </w:rPr>
        <w:t xml:space="preserve"> </w:t>
      </w:r>
      <w:r w:rsidR="00BC5DA2" w:rsidRPr="00800FCE">
        <w:rPr>
          <w:b/>
          <w:bCs/>
          <w:color w:val="222222"/>
          <w:sz w:val="28"/>
          <w:szCs w:val="28"/>
          <w:u w:color="222222"/>
        </w:rPr>
        <w:t>Cyntia Nunes</w:t>
      </w:r>
      <w:r w:rsidR="007D73B8" w:rsidRPr="00800FCE">
        <w:rPr>
          <w:b/>
          <w:bCs/>
          <w:color w:val="222222"/>
          <w:sz w:val="28"/>
          <w:szCs w:val="28"/>
          <w:u w:color="222222"/>
          <w:lang w:val="es-ES"/>
        </w:rPr>
        <w:t xml:space="preserve"> </w:t>
      </w:r>
      <w:r w:rsidR="007D73B8" w:rsidRPr="00800FCE">
        <w:rPr>
          <w:b/>
          <w:bCs/>
          <w:noProof/>
          <w:color w:val="222222"/>
          <w:sz w:val="28"/>
          <w:szCs w:val="28"/>
          <w:u w:color="222222"/>
          <w:lang w:val="en-US" w:eastAsia="en-US"/>
        </w:rPr>
        <w:drawing>
          <wp:inline distT="0" distB="0" distL="0" distR="0" wp14:anchorId="168ECE33" wp14:editId="1474B78E">
            <wp:extent cx="133200" cy="133200"/>
            <wp:effectExtent l="0" t="0" r="0" b="0"/>
            <wp:docPr id="9"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3B8" w:rsidRPr="00800FCE">
        <w:rPr>
          <w:b/>
          <w:bCs/>
          <w:color w:val="222222"/>
          <w:sz w:val="28"/>
          <w:szCs w:val="28"/>
          <w:u w:color="222222"/>
        </w:rPr>
        <w:t xml:space="preserve">, </w:t>
      </w:r>
      <w:r w:rsidR="00BC5DA2" w:rsidRPr="00800FCE">
        <w:rPr>
          <w:b/>
          <w:bCs/>
          <w:color w:val="222222"/>
          <w:sz w:val="28"/>
          <w:szCs w:val="28"/>
          <w:u w:color="222222"/>
        </w:rPr>
        <w:t>Daniela Ornellas Ariño</w:t>
      </w:r>
      <w:r w:rsidR="00BC5DA2" w:rsidRPr="00800FCE">
        <w:rPr>
          <w:b/>
          <w:bCs/>
          <w:color w:val="222222"/>
          <w:sz w:val="28"/>
          <w:szCs w:val="28"/>
          <w:u w:color="222222"/>
          <w:lang w:val="es-ES"/>
        </w:rPr>
        <w:t xml:space="preserve"> </w:t>
      </w:r>
      <w:r w:rsidR="00BC5DA2" w:rsidRPr="00800FCE">
        <w:rPr>
          <w:b/>
          <w:bCs/>
          <w:noProof/>
          <w:color w:val="222222"/>
          <w:sz w:val="28"/>
          <w:szCs w:val="28"/>
          <w:u w:color="222222"/>
          <w:lang w:val="en-US" w:eastAsia="en-US"/>
        </w:rPr>
        <w:drawing>
          <wp:inline distT="0" distB="0" distL="0" distR="0" wp14:anchorId="4DBF47FE" wp14:editId="5D6F7CB7">
            <wp:extent cx="133200" cy="133200"/>
            <wp:effectExtent l="0" t="0" r="0" b="0"/>
            <wp:docPr id="1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C5DA2" w:rsidRPr="00800FCE">
        <w:rPr>
          <w:b/>
          <w:bCs/>
          <w:color w:val="222222"/>
          <w:sz w:val="28"/>
          <w:szCs w:val="28"/>
          <w:u w:color="222222"/>
        </w:rPr>
        <w:t>,</w:t>
      </w:r>
      <w:r w:rsidR="00444BAD" w:rsidRPr="00800FCE">
        <w:rPr>
          <w:b/>
          <w:bCs/>
          <w:color w:val="222222"/>
          <w:sz w:val="28"/>
          <w:szCs w:val="28"/>
          <w:u w:color="222222"/>
        </w:rPr>
        <w:t xml:space="preserve"> </w:t>
      </w:r>
      <w:r w:rsidR="00BC5DA2" w:rsidRPr="00800FCE">
        <w:rPr>
          <w:b/>
          <w:bCs/>
          <w:color w:val="222222"/>
          <w:sz w:val="28"/>
          <w:szCs w:val="28"/>
          <w:u w:color="222222"/>
        </w:rPr>
        <w:t xml:space="preserve">Patricia Dalagasperina </w:t>
      </w:r>
      <w:r w:rsidR="00BC5DA2" w:rsidRPr="00800FCE">
        <w:rPr>
          <w:b/>
          <w:bCs/>
          <w:noProof/>
          <w:color w:val="222222"/>
          <w:sz w:val="28"/>
          <w:szCs w:val="28"/>
          <w:u w:color="222222"/>
          <w:lang w:val="en-US" w:eastAsia="en-US"/>
        </w:rPr>
        <w:drawing>
          <wp:inline distT="0" distB="0" distL="0" distR="0" wp14:anchorId="63BBE52E" wp14:editId="2F41605B">
            <wp:extent cx="133200" cy="133200"/>
            <wp:effectExtent l="0" t="0" r="0" b="0"/>
            <wp:docPr id="1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C5DA2" w:rsidRPr="00800FCE">
        <w:rPr>
          <w:b/>
          <w:bCs/>
          <w:color w:val="222222"/>
          <w:sz w:val="28"/>
          <w:szCs w:val="28"/>
          <w:u w:color="222222"/>
        </w:rPr>
        <w:t xml:space="preserve">, </w:t>
      </w:r>
      <w:r w:rsidR="00230157" w:rsidRPr="00800FCE">
        <w:rPr>
          <w:b/>
          <w:bCs/>
          <w:color w:val="222222"/>
          <w:sz w:val="28"/>
          <w:szCs w:val="28"/>
          <w:u w:color="222222"/>
        </w:rPr>
        <w:t>Rafaela Luiza Trevisan</w:t>
      </w:r>
      <w:r w:rsidR="00230157" w:rsidRPr="00800FCE">
        <w:rPr>
          <w:b/>
          <w:bCs/>
          <w:noProof/>
          <w:color w:val="222222"/>
          <w:sz w:val="28"/>
          <w:szCs w:val="28"/>
          <w:u w:color="222222"/>
          <w:lang w:val="en-US" w:eastAsia="en-US"/>
        </w:rPr>
        <w:drawing>
          <wp:inline distT="0" distB="0" distL="0" distR="0" wp14:anchorId="49AD8C0F" wp14:editId="74E1B322">
            <wp:extent cx="133200" cy="133200"/>
            <wp:effectExtent l="0" t="0" r="0" b="0"/>
            <wp:docPr id="15"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30157" w:rsidRPr="00800FCE">
        <w:rPr>
          <w:b/>
          <w:bCs/>
          <w:color w:val="222222"/>
          <w:sz w:val="28"/>
          <w:szCs w:val="28"/>
          <w:u w:color="222222"/>
        </w:rPr>
        <w:t xml:space="preserve">, </w:t>
      </w:r>
      <w:r w:rsidR="00CC7D22" w:rsidRPr="00800FCE">
        <w:rPr>
          <w:b/>
          <w:bCs/>
          <w:color w:val="222222"/>
          <w:sz w:val="28"/>
          <w:szCs w:val="28"/>
          <w:u w:color="222222"/>
        </w:rPr>
        <w:t>&amp;</w:t>
      </w:r>
      <w:bookmarkEnd w:id="2"/>
      <w:r w:rsidR="00043211" w:rsidRPr="00800FCE">
        <w:rPr>
          <w:b/>
          <w:bCs/>
          <w:color w:val="222222"/>
          <w:sz w:val="28"/>
          <w:szCs w:val="28"/>
          <w:u w:color="222222"/>
        </w:rPr>
        <w:t xml:space="preserve"> </w:t>
      </w:r>
      <w:r w:rsidR="00230157" w:rsidRPr="00800FCE">
        <w:rPr>
          <w:b/>
          <w:bCs/>
          <w:color w:val="222222"/>
          <w:sz w:val="28"/>
          <w:szCs w:val="28"/>
          <w:u w:color="222222"/>
        </w:rPr>
        <w:t>Doris Cecilia Molina Albarracín</w:t>
      </w:r>
      <w:r w:rsidR="00043211" w:rsidRPr="00B300F9">
        <w:rPr>
          <w:b/>
          <w:bCs/>
          <w:color w:val="222222"/>
          <w:sz w:val="26"/>
          <w:szCs w:val="26"/>
          <w:u w:color="222222"/>
          <w:lang w:val="es-ES"/>
        </w:rPr>
        <w:t xml:space="preserve"> </w:t>
      </w:r>
      <w:r w:rsidR="00043211" w:rsidRPr="00886B3C">
        <w:rPr>
          <w:b/>
          <w:bCs/>
          <w:color w:val="222222"/>
          <w:sz w:val="26"/>
          <w:szCs w:val="26"/>
          <w:u w:color="222222"/>
          <w:vertAlign w:val="superscript"/>
          <w:lang w:val="en-GB"/>
        </w:rPr>
        <w:footnoteReference w:id="1"/>
      </w:r>
      <w:r w:rsidR="00043211" w:rsidRPr="00886B3C">
        <w:rPr>
          <w:b/>
          <w:bCs/>
          <w:noProof/>
          <w:color w:val="222222"/>
          <w:sz w:val="26"/>
          <w:szCs w:val="26"/>
          <w:u w:color="222222"/>
          <w:lang w:val="en-US" w:eastAsia="en-US"/>
        </w:rPr>
        <w:drawing>
          <wp:inline distT="0" distB="0" distL="0" distR="0" wp14:anchorId="5020D397" wp14:editId="471C3B08">
            <wp:extent cx="133200" cy="133200"/>
            <wp:effectExtent l="0" t="0" r="0" b="0"/>
            <wp:docPr id="11"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20"/>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FA42C8">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p>
    <w:p w14:paraId="7DE2414F" w14:textId="213506E5" w:rsidR="004B2E6E" w:rsidRDefault="004B2E6E" w:rsidP="00184153">
      <w:pPr>
        <w:rPr>
          <w:i/>
          <w:sz w:val="28"/>
          <w:szCs w:val="28"/>
        </w:rPr>
      </w:pPr>
    </w:p>
    <w:p w14:paraId="55405AE4" w14:textId="77777777" w:rsidR="00FA42C8" w:rsidRPr="00444BAD" w:rsidRDefault="00FA42C8" w:rsidP="00184153">
      <w:pPr>
        <w:rPr>
          <w:i/>
          <w:sz w:val="28"/>
          <w:szCs w:val="28"/>
        </w:rPr>
      </w:pPr>
    </w:p>
    <w:p w14:paraId="52BD8014" w14:textId="62BE71B1" w:rsidR="00CC7D22" w:rsidRPr="00EE392F" w:rsidRDefault="007D73B8" w:rsidP="00184153">
      <w:pPr>
        <w:tabs>
          <w:tab w:val="left" w:pos="7005"/>
        </w:tabs>
        <w:jc w:val="both"/>
        <w:rPr>
          <w:rFonts w:eastAsia="Arial Unicode MS" w:cs="Arial Unicode MS"/>
          <w:i/>
          <w:iCs/>
          <w:sz w:val="28"/>
          <w:szCs w:val="28"/>
          <w:lang w:val="pt-BR"/>
        </w:rPr>
      </w:pPr>
      <w:r w:rsidRPr="00EE392F">
        <w:rPr>
          <w:rFonts w:eastAsia="Arial Unicode MS" w:cs="Arial Unicode MS"/>
          <w:bCs/>
          <w:i/>
          <w:iCs/>
          <w:sz w:val="28"/>
          <w:szCs w:val="28"/>
          <w:lang w:val="pt-BR"/>
        </w:rPr>
        <w:t xml:space="preserve">Universidade Federal de Santa Catarina, </w:t>
      </w:r>
      <w:r w:rsidR="00EE392F">
        <w:rPr>
          <w:rFonts w:eastAsia="Arial Unicode MS" w:cs="Arial Unicode MS"/>
          <w:bCs/>
          <w:i/>
          <w:iCs/>
          <w:sz w:val="28"/>
          <w:szCs w:val="28"/>
          <w:lang w:val="pt-BR"/>
        </w:rPr>
        <w:t>Florianópolis</w:t>
      </w:r>
      <w:r w:rsidRPr="00EE392F">
        <w:rPr>
          <w:rFonts w:eastAsia="Arial Unicode MS" w:cs="Arial Unicode MS"/>
          <w:bCs/>
          <w:i/>
          <w:iCs/>
          <w:sz w:val="28"/>
          <w:szCs w:val="28"/>
          <w:lang w:val="pt-BR"/>
        </w:rPr>
        <w:t>, Brasil.</w:t>
      </w:r>
    </w:p>
    <w:p w14:paraId="540F2DB5" w14:textId="3394557E" w:rsidR="004E5581" w:rsidRPr="00EE392F" w:rsidRDefault="004E5581" w:rsidP="00184153">
      <w:pPr>
        <w:tabs>
          <w:tab w:val="left" w:pos="7005"/>
        </w:tabs>
        <w:jc w:val="both"/>
        <w:rPr>
          <w:rFonts w:eastAsia="Arial Unicode MS" w:cs="Arial Unicode MS"/>
          <w:i/>
          <w:iCs/>
          <w:sz w:val="28"/>
          <w:szCs w:val="28"/>
          <w:lang w:val="pt-BR"/>
        </w:rPr>
      </w:pPr>
    </w:p>
    <w:p w14:paraId="0F81A079" w14:textId="68E6A4D4" w:rsidR="000928CA" w:rsidRPr="00EE392F" w:rsidRDefault="001C4E1C" w:rsidP="00184153">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AE6E8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392F" w:rsidRDefault="00A95630" w:rsidP="00184153">
      <w:pPr>
        <w:rPr>
          <w:bCs/>
          <w:iCs/>
          <w:sz w:val="20"/>
          <w:szCs w:val="20"/>
          <w:lang w:val="pt-BR"/>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38C1AAAE" w:rsidR="00C413D4" w:rsidRPr="00411586" w:rsidRDefault="00A30329" w:rsidP="00184153">
      <w:pPr>
        <w:pStyle w:val="Resumen"/>
        <w:rPr>
          <w:bCs/>
          <w:iCs/>
          <w:lang w:val="es-CO"/>
        </w:rPr>
      </w:pPr>
      <w:r w:rsidRPr="00A30329">
        <w:rPr>
          <w:bCs/>
          <w:iCs/>
          <w:lang w:val="es-CO"/>
        </w:rPr>
        <w:t>La carga mental de trabajo (CMT) representa el valor asignado al esfuerzo mental requerido para realizar las tareas. El objetivo de este estudio fue identificar evidencias de validez y confiabilidad de los instrumentos utilizados para medir la carga de trabajo mental en los últimos 10 años, a través de una revisión de la literatura. Se realizaron búsquedas en las bases de datos Scopus, Web Of Science, PsycNet, PubMed y en el portal de la BVS (2012-2021), en inglés, español y portugués. Se incluyeron un total de 145 artículos y se ubicaron 16 instrumentos para medir CMT. Los resultados demuestran el uso de información sobre las propiedades psicométricas de los instrumentos que se basan en conceptos y procedimientos estadísticos que no siempre son consistentes con la verificación de la estructura interna del constructo. La validez de la estructura interna de los instrumentos fue verificada en sólo cuatro estudios, con índices de confiabilidad satisfactorios, pero aún con el uso de conceptos y metodologías de tratamiento y análisis insatisfactorios. Existen, por tanto, desafíos metodológicos, técnicos y conceptuales en los procesos de medición de la carga mental de trabajo.</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73F48FD0" w:rsidR="008547C7" w:rsidRDefault="00A30329" w:rsidP="00184153">
      <w:pPr>
        <w:rPr>
          <w:bCs/>
          <w:iCs/>
          <w:sz w:val="20"/>
          <w:szCs w:val="20"/>
        </w:rPr>
      </w:pPr>
      <w:r>
        <w:rPr>
          <w:bCs/>
          <w:iCs/>
          <w:sz w:val="20"/>
          <w:szCs w:val="20"/>
          <w:lang w:val="es-CO"/>
        </w:rPr>
        <w:t>c</w:t>
      </w:r>
      <w:r w:rsidRPr="00A30329">
        <w:rPr>
          <w:bCs/>
          <w:iCs/>
          <w:sz w:val="20"/>
          <w:szCs w:val="20"/>
          <w:lang w:val="es-CO"/>
        </w:rPr>
        <w:t>arga mental; propiedades psicométricas; instrumento; medición</w:t>
      </w:r>
    </w:p>
    <w:p w14:paraId="2B7ECC68" w14:textId="77777777" w:rsidR="00411586" w:rsidRDefault="00411586" w:rsidP="00184153">
      <w:pPr>
        <w:rPr>
          <w:bCs/>
          <w:iCs/>
          <w:sz w:val="20"/>
          <w:szCs w:val="20"/>
        </w:rPr>
      </w:pPr>
    </w:p>
    <w:p w14:paraId="2128A026" w14:textId="77777777" w:rsidR="00FA42C8" w:rsidRPr="00411586" w:rsidRDefault="00FA42C8" w:rsidP="00184153">
      <w:pPr>
        <w:rPr>
          <w:bCs/>
          <w:iCs/>
          <w:sz w:val="20"/>
          <w:szCs w:val="20"/>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1"/>
                    </pic:cNvPr>
                    <pic:cNvPicPr/>
                  </pic:nvPicPr>
                  <pic:blipFill>
                    <a:blip r:embed="rId22">
                      <a:extLst>
                        <a:ext uri="{96DAC541-7B7A-43D3-8B79-37D633B846F1}">
                          <asvg:svgBlip xmlns:arto="http://schemas.microsoft.com/office/word/2006/arto"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800FCE">
        <w:rPr>
          <w:bCs/>
          <w:iCs/>
          <w:lang w:val="en-US"/>
        </w:rPr>
        <w:t xml:space="preserve"> </w:t>
      </w:r>
      <w:r w:rsidR="00E272F5" w:rsidRPr="00E272F5">
        <w:rPr>
          <w:lang w:val="en-US"/>
        </w:rPr>
        <w:t>Abstract</w:t>
      </w:r>
    </w:p>
    <w:p w14:paraId="72A0A4B1" w14:textId="77777777" w:rsidR="00A30329" w:rsidRPr="00A30329" w:rsidRDefault="00A30329" w:rsidP="00A30329">
      <w:pPr>
        <w:pStyle w:val="Resumen"/>
        <w:rPr>
          <w:bCs/>
          <w:iCs/>
        </w:rPr>
      </w:pPr>
      <w:r w:rsidRPr="00A30329">
        <w:rPr>
          <w:bCs/>
          <w:iCs/>
        </w:rPr>
        <w:t>Mental workload (MLC) represents the value attributed to the mental effort required to perform tasks. The aim of this study was to identify evidence of validity and accuracy of instruments used to measure mental workload in the last 10 years, through a literature review. Searches were conducted in Scopus, Web Of Science, PsycNet, PubMed and the VHL portal (2012-2021), in English, Spanish and Portuguese. A total of 145 articles were included, and 16 instruments for measuring the CMT were located. The results demonstrate the use of information about the psychometric properties of instruments that depart from statistical concepts and procedures that are not always consistent with the verification of the internal structure of the construct. The validity of the instruments' internal structure was verified in only four studies, with satisfactory reliability indices, but still with the use of unsatisfactory concepts and methodologies for treatment and analysis. There are, therefore, methodological, technical and conceptual challenges in the processes of measuring mental workload.</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38D9379C" w:rsidR="002D6B30" w:rsidRPr="00E976E9" w:rsidRDefault="00A30329" w:rsidP="00184153">
      <w:pPr>
        <w:rPr>
          <w:bCs/>
          <w:iCs/>
          <w:sz w:val="20"/>
          <w:szCs w:val="20"/>
          <w:lang w:val="en-US"/>
        </w:rPr>
      </w:pPr>
      <w:r>
        <w:rPr>
          <w:bCs/>
          <w:iCs/>
          <w:sz w:val="20"/>
          <w:szCs w:val="20"/>
          <w:lang w:val="en-US"/>
        </w:rPr>
        <w:t>m</w:t>
      </w:r>
      <w:r w:rsidRPr="00A30329">
        <w:rPr>
          <w:bCs/>
          <w:iCs/>
          <w:sz w:val="20"/>
          <w:szCs w:val="20"/>
          <w:lang w:val="en-US"/>
        </w:rPr>
        <w:t xml:space="preserve">ental load; psychometric properties; instrument; measurement </w:t>
      </w:r>
    </w:p>
    <w:p w14:paraId="45D157E5" w14:textId="49A17778" w:rsidR="00333677" w:rsidRPr="00367B6E" w:rsidRDefault="00230157" w:rsidP="00184153">
      <w:pPr>
        <w:pStyle w:val="Prrafocomn"/>
        <w:ind w:firstLine="0"/>
        <w:jc w:val="center"/>
        <w:rPr>
          <w:bCs/>
        </w:rPr>
      </w:pPr>
      <w:r w:rsidRPr="00230157">
        <w:rPr>
          <w:bCs/>
          <w:lang w:val="en-GB"/>
        </w:rPr>
        <w:lastRenderedPageBreak/>
        <w:t xml:space="preserve">Evidence of validity and precision of the instruments used to measure mental workload: an integrative review of the literature </w:t>
      </w:r>
    </w:p>
    <w:p w14:paraId="512A04F3" w14:textId="244646AD" w:rsidR="00333677" w:rsidRPr="006E0173" w:rsidRDefault="0019293F" w:rsidP="00184153">
      <w:pPr>
        <w:pStyle w:val="Ttulosinternos"/>
        <w:rPr>
          <w:lang w:val="es-AR"/>
        </w:rPr>
      </w:pPr>
      <w:r w:rsidRPr="006E0173">
        <w:rPr>
          <w:lang w:val="es-AR"/>
        </w:rPr>
        <w:t>Introducción</w:t>
      </w:r>
    </w:p>
    <w:p w14:paraId="320EBC1A" w14:textId="77777777" w:rsidR="00A30329" w:rsidRPr="00A30329" w:rsidRDefault="00A30329" w:rsidP="00A30329">
      <w:pPr>
        <w:pStyle w:val="Prrafocomn"/>
        <w:spacing w:line="400" w:lineRule="exact"/>
        <w:rPr>
          <w:b/>
          <w:lang w:val="es-AR"/>
        </w:rPr>
      </w:pPr>
      <w:r w:rsidRPr="00A30329">
        <w:rPr>
          <w:lang w:val="es-AR"/>
        </w:rPr>
        <w:t xml:space="preserve">El área académica y profesional enfocada en la salud ocupacional y satisfacción en el trabajo ha abierto espacio para discusiones a nivel internacional sobre modelos teóricos e instrumentos de medida de la carga mental del trabajo (CMT) en los últimos años. Aunque existe un número importante de publicaciones sobre el tema, no existe consenso con relación a las definiciones teóricas de este constructo (Associação Brasileira de Psicologia Organizacional e do Trabalho [SBPOT], 2020; Frutuoso &amp; Cruz, 2005; Galy, 2020; Nasirizad Moghadam et al., 2021; Peruzzini et al., 2019; Ródio-Trevisan et al., 2023; Rostami et al., 2021; Shan et al., 2021). </w:t>
      </w:r>
    </w:p>
    <w:p w14:paraId="38DEC59B" w14:textId="798E049E" w:rsidR="00847D06" w:rsidRPr="00A30329" w:rsidRDefault="00A30329" w:rsidP="00A30329">
      <w:pPr>
        <w:pStyle w:val="Prrafocomn"/>
        <w:spacing w:line="400" w:lineRule="exact"/>
        <w:rPr>
          <w:lang w:val="es-AR"/>
        </w:rPr>
      </w:pPr>
      <w:r w:rsidRPr="00A30329">
        <w:rPr>
          <w:lang w:val="es-AR"/>
        </w:rPr>
        <w:t>Es posible partir del entendimiento de que la carga mental del trabajo (CMT) es el esfuerzo requerido para realizar actividades laborales, compuesto por la capacidad de respuesta, el grado de exigencia del desempeño y las condiciones de trabajo, afectada por variables individuales, ambientales y ocupacionales, antecedentes o concurrentes de ella (Frutuoso &amp; Cruz, 2005; Ródio- Trevisan, 2020; Rubio-Valdehita et al., 2017). Puede verse alterado por condiciones, exigencias, presiones y ritmos de trabajo, uso de tecnologías, grado de insalubridad, apoyo externo, motivaciones, experiencias de vida y profesionales del trabajador. Medir la carga mental de trabajo implica asignar un valor al esfuerzo mental requerido para realizar tareas.</w:t>
      </w:r>
      <w:r>
        <w:rPr>
          <w:lang w:val="es-AR"/>
        </w:rPr>
        <w:t xml:space="preserve"> </w:t>
      </w:r>
      <w:r w:rsidRPr="00A30329">
        <w:rPr>
          <w:lang w:val="es-AR"/>
        </w:rPr>
        <w:t xml:space="preserve">Un modelo conceptual es presentado en la </w:t>
      </w:r>
      <w:r w:rsidR="003D5FC4">
        <w:rPr>
          <w:lang w:val="es-AR"/>
        </w:rPr>
        <w:t>Figura</w:t>
      </w:r>
      <w:r>
        <w:rPr>
          <w:lang w:val="es-AR"/>
        </w:rPr>
        <w:t xml:space="preserve"> 1.</w:t>
      </w:r>
      <w:r w:rsidR="00847D06" w:rsidRPr="00847D06">
        <w:rPr>
          <w:lang w:val="es-CO"/>
        </w:rPr>
        <w:t xml:space="preserve"> </w:t>
      </w:r>
    </w:p>
    <w:p w14:paraId="370A3B86" w14:textId="2BC86314" w:rsidR="00A30329" w:rsidRPr="0019627D" w:rsidRDefault="003D5FC4" w:rsidP="00A30329">
      <w:pPr>
        <w:spacing w:line="360" w:lineRule="auto"/>
        <w:rPr>
          <w:b/>
          <w:bCs/>
        </w:rPr>
      </w:pPr>
      <w:r>
        <w:rPr>
          <w:b/>
          <w:bCs/>
        </w:rPr>
        <w:t>Figura</w:t>
      </w:r>
      <w:r w:rsidR="00A30329">
        <w:rPr>
          <w:b/>
          <w:bCs/>
        </w:rPr>
        <w:t xml:space="preserve"> 1</w:t>
      </w:r>
    </w:p>
    <w:p w14:paraId="1E9A5BF3" w14:textId="77777777" w:rsidR="00A30329" w:rsidRPr="0019627D" w:rsidRDefault="00A30329" w:rsidP="00A30329">
      <w:pPr>
        <w:spacing w:line="360" w:lineRule="auto"/>
        <w:rPr>
          <w:i/>
          <w:iCs/>
        </w:rPr>
      </w:pPr>
      <w:r w:rsidRPr="0019627D">
        <w:rPr>
          <w:i/>
          <w:iCs/>
        </w:rPr>
        <w:t>Modelo conceptual de la carga mental de trabajo</w:t>
      </w:r>
    </w:p>
    <w:p w14:paraId="4F1F3EBF" w14:textId="77777777" w:rsidR="00A239B3" w:rsidRDefault="00A239B3" w:rsidP="00A30329">
      <w:pPr>
        <w:spacing w:line="360" w:lineRule="auto"/>
        <w:rPr>
          <w:i/>
          <w:iCs/>
          <w:sz w:val="20"/>
          <w:szCs w:val="20"/>
          <w:lang w:val="es-ES"/>
        </w:rPr>
      </w:pPr>
      <w:r>
        <w:rPr>
          <w:noProof/>
          <w:lang w:val="en-US" w:eastAsia="en-US"/>
        </w:rPr>
        <w:drawing>
          <wp:inline distT="0" distB="0" distL="0" distR="0" wp14:anchorId="1330C49D" wp14:editId="781F6DDB">
            <wp:extent cx="5346700" cy="2279015"/>
            <wp:effectExtent l="0" t="0" r="635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92619" cy="2298588"/>
                    </a:xfrm>
                    <a:prstGeom prst="rect">
                      <a:avLst/>
                    </a:prstGeom>
                  </pic:spPr>
                </pic:pic>
              </a:graphicData>
            </a:graphic>
          </wp:inline>
        </w:drawing>
      </w:r>
      <w:r w:rsidRPr="00A30329">
        <w:rPr>
          <w:i/>
          <w:iCs/>
          <w:sz w:val="20"/>
          <w:szCs w:val="20"/>
          <w:lang w:val="es-ES"/>
        </w:rPr>
        <w:t xml:space="preserve"> </w:t>
      </w:r>
    </w:p>
    <w:p w14:paraId="42A3AFE4" w14:textId="0D63017F" w:rsidR="00A30329" w:rsidRPr="00A30329" w:rsidRDefault="006D6FC0" w:rsidP="00A30329">
      <w:pPr>
        <w:spacing w:line="360" w:lineRule="auto"/>
      </w:pPr>
      <w:r>
        <w:rPr>
          <w:i/>
          <w:iCs/>
          <w:sz w:val="20"/>
          <w:szCs w:val="20"/>
          <w:lang w:val="es-ES"/>
        </w:rPr>
        <w:t>Fuente</w:t>
      </w:r>
      <w:r w:rsidR="00A30329" w:rsidRPr="00A30329">
        <w:rPr>
          <w:i/>
          <w:iCs/>
          <w:sz w:val="20"/>
          <w:szCs w:val="20"/>
          <w:lang w:val="es-ES"/>
        </w:rPr>
        <w:t xml:space="preserve">: </w:t>
      </w:r>
      <w:r w:rsidR="00A30329" w:rsidRPr="00A30329">
        <w:rPr>
          <w:iCs/>
          <w:sz w:val="20"/>
          <w:szCs w:val="20"/>
          <w:lang w:val="es-ES"/>
        </w:rPr>
        <w:t xml:space="preserve">Ródio-Trevisan et al. </w:t>
      </w:r>
      <w:r w:rsidR="00A30329" w:rsidRPr="00A30329">
        <w:rPr>
          <w:iCs/>
          <w:sz w:val="20"/>
          <w:szCs w:val="20"/>
        </w:rPr>
        <w:t>(2023)</w:t>
      </w:r>
      <w:r w:rsidR="00A30329">
        <w:rPr>
          <w:iCs/>
          <w:sz w:val="20"/>
          <w:szCs w:val="20"/>
        </w:rPr>
        <w:t>.</w:t>
      </w:r>
    </w:p>
    <w:p w14:paraId="4B6E0CC2" w14:textId="782D90B6" w:rsidR="006D6FC0" w:rsidRPr="006D6FC0" w:rsidRDefault="006D6FC0" w:rsidP="006D6FC0">
      <w:pPr>
        <w:pStyle w:val="Prrafocomn"/>
        <w:spacing w:line="400" w:lineRule="exact"/>
        <w:rPr>
          <w:lang w:val="es-CO"/>
        </w:rPr>
      </w:pPr>
      <w:r w:rsidRPr="006D6FC0">
        <w:rPr>
          <w:lang w:val="es-CO"/>
        </w:rPr>
        <w:lastRenderedPageBreak/>
        <w:t>Tal modelo (</w:t>
      </w:r>
      <w:r w:rsidR="003D5FC4">
        <w:rPr>
          <w:lang w:val="es-CO"/>
        </w:rPr>
        <w:t>Figura</w:t>
      </w:r>
      <w:r w:rsidRPr="006D6FC0">
        <w:rPr>
          <w:lang w:val="es-CO"/>
        </w:rPr>
        <w:t xml:space="preserve"> 1) incorpora la analogía de la CMT como un sistema de búsqueda de equilibrio entre (a) exigencias y condiciones del trabajo (Variables ambientales y ocupacionales) y (b) recursos mentales (variables personales), propuesta por Frutuoso y Cruz (2005) Además de eso acentúa el papel de los factores de riesgo y de protección relacionados a exposición de los trabajadores al ambiente de trabajo. Desequilibrio o baja capacidad de control en la CMT acentúan la manifestación de fatiga mental, baja productividad, problemas de salud, desmotivación, desinterés y frustración (Rodio-Trevisan et al., 2023). </w:t>
      </w:r>
    </w:p>
    <w:p w14:paraId="57EC555A" w14:textId="77777777" w:rsidR="006D6FC0" w:rsidRPr="006D6FC0" w:rsidRDefault="006D6FC0" w:rsidP="006D6FC0">
      <w:pPr>
        <w:pStyle w:val="Prrafocomn"/>
        <w:spacing w:line="400" w:lineRule="exact"/>
        <w:rPr>
          <w:lang w:val="es-CO"/>
        </w:rPr>
      </w:pPr>
      <w:r w:rsidRPr="006D6FC0">
        <w:rPr>
          <w:lang w:val="es-CO"/>
        </w:rPr>
        <w:t xml:space="preserve">            Se considera por tanto, que el conocimiento de la CMT y la medición de este constructo a través de instrumentos con evidencia de robusta confiabilidad y validez, ayuda en la producción de indicadores y parámetros sobre la calidad de los esfuerzos realizados en situaciones específicas de trabajo, en la prevención de errores, fatiga, riesgo de accidentes y problemas de salud, además de contribuir a la toma de decisiones sobre el mejor aprovechamiento de los esfuerzos, calidad del desempeño, eficiencia en el trabajo y comportamiento seguro (Charles &amp; Nixon, 2019; Ferrer &amp; Dalmau, 2004; Van Hoffen et al., 2016; Young et al., 2015).</w:t>
      </w:r>
    </w:p>
    <w:p w14:paraId="20934699" w14:textId="77777777" w:rsidR="006D6FC0" w:rsidRPr="006D6FC0" w:rsidRDefault="006D6FC0" w:rsidP="006D6FC0">
      <w:pPr>
        <w:pStyle w:val="Prrafocomn"/>
        <w:spacing w:line="400" w:lineRule="exact"/>
        <w:rPr>
          <w:lang w:val="es-CO"/>
        </w:rPr>
      </w:pPr>
      <w:r w:rsidRPr="006D6FC0">
        <w:rPr>
          <w:lang w:val="es-CO"/>
        </w:rPr>
        <w:t xml:space="preserve">La medición de la CMT es esencial para mejorar la interacción entre el sistema humano y el uso de tecnologías, con el objetivo de aumentar la seguridad de los trabajadores y la confiabilidad de los sistemas de producción (Rostami et al., 2021). Por lo tanto, definir, medir y evaluar la carga mental, para comprender su papel en el conjunto de factores humanos en el trabajo, es un desafío relevante para la producción científica actual (Young et al., 2015). </w:t>
      </w:r>
    </w:p>
    <w:p w14:paraId="4D081A72" w14:textId="77777777" w:rsidR="006D6FC0" w:rsidRPr="006D6FC0" w:rsidRDefault="006D6FC0" w:rsidP="006D6FC0">
      <w:pPr>
        <w:pStyle w:val="Prrafocomn"/>
        <w:spacing w:line="400" w:lineRule="exact"/>
        <w:rPr>
          <w:lang w:val="es-CO"/>
        </w:rPr>
      </w:pPr>
      <w:r w:rsidRPr="006D6FC0">
        <w:rPr>
          <w:lang w:val="es-CO"/>
        </w:rPr>
        <w:t xml:space="preserve">El carácter multidimensional del constructo conlleva pluralidad metodológica en su medición. Existen tres categorías de métodos para medir este constructo: evaluación subjetiva, medición fisiológica y medidas basadas en el rendimiento (Ceballos-Vásquez et al., 2016; Frutuoso &amp; Cruz, 2005). </w:t>
      </w:r>
    </w:p>
    <w:p w14:paraId="4AEB7077" w14:textId="77777777" w:rsidR="006D6FC0" w:rsidRPr="006D6FC0" w:rsidRDefault="006D6FC0" w:rsidP="006D6FC0">
      <w:pPr>
        <w:pStyle w:val="Prrafocomn"/>
        <w:spacing w:line="400" w:lineRule="exact"/>
        <w:rPr>
          <w:lang w:val="es-CO"/>
        </w:rPr>
      </w:pPr>
      <w:r w:rsidRPr="006D6FC0">
        <w:rPr>
          <w:lang w:val="es-CO"/>
        </w:rPr>
        <w:t xml:space="preserve">La medición subjetiva se refiere al uso de escalas autorreferenciales respecto de la percepción del esfuerzo mental que requiere una actividad. Existen escalas de medición subjetiva con modelos unidimensionales diseñados para medir la carga mental global y modelos multidimensionales que enfatizan los diferentes componentes de la carga mental. Las mediciones fisiológicas se basan en el entendimiento de que las variaciones en la carga mental pueden reflejarse en parámetros fisiológicos, aunque no existe consenso sobre qué parámetros deben monitorearse, siendo los más estudiados la variabilidad de la frecuencia cardíaca, la conductancia de la piel, la frecuencia respiratoria y el seguimiento </w:t>
      </w:r>
      <w:r w:rsidRPr="006D6FC0">
        <w:rPr>
          <w:lang w:val="es-CO"/>
        </w:rPr>
        <w:lastRenderedPageBreak/>
        <w:t>de los movimientos oculares asociados con carga de trabajo mental. Los métodos basados ​​en el rendimiento suponen que el aprendizaje se ve afectado cuando se trabaja con una capacidad de procesamiento cognitivo y mnemotécnico sobrecargado, es decir, un rendimiento reducido puede atribuirse a una mayor carga mental global.  (Ceballos Vásquez et al., 2014; Frutuoso &amp; Cruz, 2005). Este estudio se centra en el análisis de la medición subjetiva de carga mental de trabajo, a partir de las principales contribuciones teóricas y metodológicas identificadas en esta área (Frutuoso &amp; Cruz, 2005; Horat et al., 2016). Así, el objetivo de este estudio fue identificar evidencias de confiabilidad y validez de los instrumentos utilizados internacionalmente para medir la carga mental de trabajo, a través de una revisión de la literatura en el período comprendido entre 2012 y 2021.</w:t>
      </w:r>
    </w:p>
    <w:p w14:paraId="2E7F73EB" w14:textId="45465208" w:rsidR="00A30329" w:rsidRDefault="006D6FC0" w:rsidP="006D6FC0">
      <w:pPr>
        <w:pStyle w:val="Prrafocomn"/>
        <w:spacing w:line="400" w:lineRule="exact"/>
        <w:rPr>
          <w:lang w:val="es-CO"/>
        </w:rPr>
      </w:pPr>
      <w:r w:rsidRPr="006D6FC0">
        <w:rPr>
          <w:lang w:val="es-CO"/>
        </w:rPr>
        <w:t>Para alcanzar este objetivo y así mismo, la relevancia internacional de este estudio, ofreciendo un aporte significativo a la ciencia psicológica y psicométrica dedicada a la medición de la carga de trabajo mental, los autores toman como referencia la visión contemporánea de validez recomendada en los Standards for Educational and Psychological Testing (AERA, APA, NCME, 2014).</w:t>
      </w:r>
    </w:p>
    <w:p w14:paraId="3BEA5576" w14:textId="77777777" w:rsidR="00012352" w:rsidRPr="0019293F" w:rsidRDefault="00012352" w:rsidP="00184153">
      <w:pPr>
        <w:pStyle w:val="Ttulosinternos"/>
        <w:rPr>
          <w:lang w:val="es-AR"/>
        </w:rPr>
      </w:pPr>
      <w:r w:rsidRPr="0019293F">
        <w:rPr>
          <w:lang w:val="es-AR"/>
        </w:rPr>
        <w:t>Método</w:t>
      </w:r>
    </w:p>
    <w:p w14:paraId="7E359D66" w14:textId="77777777" w:rsidR="006A3723" w:rsidRPr="006A3723" w:rsidRDefault="006A3723" w:rsidP="006A3723">
      <w:pPr>
        <w:pStyle w:val="Prrafocomn"/>
        <w:rPr>
          <w:bCs/>
          <w:lang w:val="es-CO"/>
        </w:rPr>
      </w:pPr>
      <w:r w:rsidRPr="006A3723">
        <w:rPr>
          <w:bCs/>
          <w:lang w:val="es-CO"/>
        </w:rPr>
        <w:t>Revisión integrativa de la literatura, que permitió la inclusión de estudios experimentales y no experimentales, con el fin de ampliar la investigación de estudios sobre el fenómeno analizado (Whittemore &amp; Knafl, 2005). Las bases de datos Scopus, Web Of Science, PubMed y PsycNet y en el Portal de la BVS, que recopila datos de MedLine y LILACS (Literatura Latinoamericana y del Caribe en Ciencias de la Salud). Los descriptores utilizados para realizar la búsqueda fueron: "mental workload" OR "cognitive workload" AND "assessment OR psychometric" y sus respectivas variantes para portugués y español, con el fin de contemplar el carácter internacional pretendido en el estudio. Se localizaron artículos publicados entre 2012 y 2021.</w:t>
      </w:r>
    </w:p>
    <w:p w14:paraId="69E452DB" w14:textId="60548F0F" w:rsidR="006A3723" w:rsidRPr="006A3723" w:rsidRDefault="006A3723" w:rsidP="006A3723">
      <w:pPr>
        <w:pStyle w:val="Prrafocomn"/>
        <w:rPr>
          <w:bCs/>
          <w:lang w:val="es-CO"/>
        </w:rPr>
      </w:pPr>
      <w:r w:rsidRPr="006A3723">
        <w:rPr>
          <w:bCs/>
          <w:lang w:val="es-CO"/>
        </w:rPr>
        <w:t xml:space="preserve">Los criterios adoptados para la inclusión de artículos, considerando el objetivo propuesto, fueron: a) artículos de revisión y empíricos; y b) estudios para medir la carga de trabajo mental por medio de instrumentos psicométricos. El proceso de selección se realizó como se muestra en la </w:t>
      </w:r>
      <w:r w:rsidR="003D5FC4">
        <w:rPr>
          <w:bCs/>
          <w:lang w:val="es-CO"/>
        </w:rPr>
        <w:t>Figura</w:t>
      </w:r>
      <w:r w:rsidRPr="006A3723">
        <w:rPr>
          <w:bCs/>
          <w:lang w:val="es-CO"/>
        </w:rPr>
        <w:t xml:space="preserve"> 2, siguiendo las normas del protocolo PRISMA 2020, elementos de informe preferidos para revisiones sistemáticas y metaanálisis (Page et al., 2021). Se utilizó el software de gestión EndNote® para recopilar referencias y eliminar duplicados. Después de la exclusión de los artículos, con base en los criterios mencionados y lectura de los títulos y resúmenes, se leyeron íntegramente 287 artículos </w:t>
      </w:r>
      <w:r w:rsidRPr="006A3723">
        <w:rPr>
          <w:bCs/>
          <w:lang w:val="es-CO"/>
        </w:rPr>
        <w:lastRenderedPageBreak/>
        <w:t>y, de estos, 145 fueron elegidos para revisión. Se elaboró ​​una matriz de análisis en una hoja de cálculo de Excel para recolectar información de cada estudio: (1) el instrumento, (2) las dimensiones y (3) las propiedades psicométricas (confiabilidad y validez). Todo el proceso de selección de artículos, así como la extracción de datos, fue realizado de forma independiente por dos investigadores, y las diferencias fueron resueltas con la ayuda de un tercero.</w:t>
      </w:r>
    </w:p>
    <w:p w14:paraId="3806850B" w14:textId="6A94C711" w:rsidR="006A3723" w:rsidRDefault="006A3723" w:rsidP="006A3723">
      <w:pPr>
        <w:pStyle w:val="Prrafocomn"/>
        <w:rPr>
          <w:bCs/>
          <w:lang w:val="es-CO"/>
        </w:rPr>
      </w:pPr>
      <w:r w:rsidRPr="006A3723">
        <w:rPr>
          <w:bCs/>
          <w:lang w:val="es-CO"/>
        </w:rPr>
        <w:t xml:space="preserve">Los criterios utilizados para recopilar la información sobre las propiedades psicométricas se elaboraron de acuerdo con los parámetros internacionales de la AERA (Asociación Americana de Investigación Educativa), APA (Asociación Americana de Psicología) y NCME (Consejo Nacional de Medición en Educación) (2014), como se muestra en </w:t>
      </w:r>
      <w:r>
        <w:rPr>
          <w:bCs/>
          <w:lang w:val="es-CO"/>
        </w:rPr>
        <w:t xml:space="preserve">la </w:t>
      </w:r>
      <w:r w:rsidR="003D5FC4">
        <w:rPr>
          <w:bCs/>
          <w:lang w:val="es-CO"/>
        </w:rPr>
        <w:t>Tabla</w:t>
      </w:r>
      <w:r w:rsidRPr="006A3723">
        <w:rPr>
          <w:bCs/>
          <w:lang w:val="es-CO"/>
        </w:rPr>
        <w:t xml:space="preserve"> 1.</w:t>
      </w:r>
    </w:p>
    <w:p w14:paraId="3867DE78" w14:textId="3A61B726" w:rsidR="006A3723" w:rsidRDefault="003D5FC4" w:rsidP="006A3723">
      <w:pPr>
        <w:pStyle w:val="Prrafocomn"/>
        <w:ind w:firstLine="0"/>
        <w:jc w:val="left"/>
        <w:rPr>
          <w:bCs/>
          <w:lang w:val="es-CO"/>
        </w:rPr>
      </w:pPr>
      <w:r>
        <w:rPr>
          <w:b/>
          <w:bCs/>
          <w:lang w:val="es-CO"/>
        </w:rPr>
        <w:t>Tabla</w:t>
      </w:r>
      <w:r w:rsidR="006A3723">
        <w:rPr>
          <w:b/>
          <w:bCs/>
          <w:lang w:val="es-CO"/>
        </w:rPr>
        <w:t xml:space="preserve"> </w:t>
      </w:r>
      <w:r w:rsidR="006A3723" w:rsidRPr="006A3723">
        <w:rPr>
          <w:b/>
          <w:bCs/>
          <w:lang w:val="es-CO"/>
        </w:rPr>
        <w:t>1</w:t>
      </w:r>
      <w:r w:rsidR="006A3723" w:rsidRPr="006A3723">
        <w:rPr>
          <w:bCs/>
          <w:lang w:val="es-CO"/>
        </w:rPr>
        <w:br/>
      </w:r>
      <w:r w:rsidR="006A3723" w:rsidRPr="006A3723">
        <w:rPr>
          <w:bCs/>
          <w:i/>
          <w:lang w:val="es-CO"/>
        </w:rPr>
        <w:t>Propiedades Psicométricas y Criterios para la Evaluación de Instrumentos de Medición de Carga Mental de Trabajo</w:t>
      </w:r>
    </w:p>
    <w:tbl>
      <w:tblPr>
        <w:tblStyle w:val="4"/>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2158"/>
        <w:gridCol w:w="6346"/>
      </w:tblGrid>
      <w:tr w:rsidR="006A3723" w:rsidRPr="0019627D" w14:paraId="782C7F41" w14:textId="77777777" w:rsidTr="006A3723">
        <w:trPr>
          <w:trHeight w:val="222"/>
        </w:trPr>
        <w:tc>
          <w:tcPr>
            <w:tcW w:w="1269" w:type="pct"/>
            <w:tcBorders>
              <w:top w:val="single" w:sz="4" w:space="0" w:color="000000"/>
              <w:left w:val="nil"/>
              <w:bottom w:val="nil"/>
              <w:right w:val="nil"/>
            </w:tcBorders>
            <w:shd w:val="clear" w:color="auto" w:fill="auto"/>
            <w:tcMar>
              <w:top w:w="80" w:type="dxa"/>
              <w:left w:w="80" w:type="dxa"/>
              <w:bottom w:w="80" w:type="dxa"/>
              <w:right w:w="80" w:type="dxa"/>
            </w:tcMar>
          </w:tcPr>
          <w:p w14:paraId="3B3E582A" w14:textId="77777777" w:rsidR="006A3723" w:rsidRPr="006A3723" w:rsidRDefault="006A3723" w:rsidP="006A3723">
            <w:pPr>
              <w:jc w:val="center"/>
              <w:rPr>
                <w:b/>
                <w:sz w:val="24"/>
              </w:rPr>
            </w:pPr>
            <w:r w:rsidRPr="006A3723">
              <w:rPr>
                <w:b/>
                <w:sz w:val="24"/>
              </w:rPr>
              <w:t>Propiedades Psicométricas</w:t>
            </w:r>
          </w:p>
        </w:tc>
        <w:tc>
          <w:tcPr>
            <w:tcW w:w="3731" w:type="pct"/>
            <w:tcBorders>
              <w:top w:val="single" w:sz="4" w:space="0" w:color="000000"/>
              <w:left w:val="nil"/>
              <w:bottom w:val="single" w:sz="4" w:space="0" w:color="000000"/>
              <w:right w:val="nil"/>
            </w:tcBorders>
          </w:tcPr>
          <w:p w14:paraId="61C9075E" w14:textId="77777777" w:rsidR="006A3723" w:rsidRPr="006A3723" w:rsidRDefault="006A3723" w:rsidP="006A3723">
            <w:pPr>
              <w:jc w:val="center"/>
              <w:rPr>
                <w:b/>
                <w:sz w:val="24"/>
              </w:rPr>
            </w:pPr>
            <w:r w:rsidRPr="006A3723">
              <w:rPr>
                <w:b/>
                <w:sz w:val="24"/>
              </w:rPr>
              <w:t>Criterios</w:t>
            </w:r>
          </w:p>
        </w:tc>
      </w:tr>
      <w:tr w:rsidR="006A3723" w:rsidRPr="0019627D" w14:paraId="7BC93B1F" w14:textId="77777777" w:rsidTr="006A3723">
        <w:trPr>
          <w:trHeight w:val="217"/>
        </w:trPr>
        <w:tc>
          <w:tcPr>
            <w:tcW w:w="1269" w:type="pct"/>
            <w:tcBorders>
              <w:top w:val="single" w:sz="4" w:space="0" w:color="000000"/>
              <w:left w:val="nil"/>
              <w:bottom w:val="nil"/>
              <w:right w:val="nil"/>
            </w:tcBorders>
            <w:shd w:val="clear" w:color="auto" w:fill="auto"/>
            <w:tcMar>
              <w:top w:w="80" w:type="dxa"/>
              <w:left w:w="80" w:type="dxa"/>
              <w:bottom w:w="80" w:type="dxa"/>
              <w:right w:w="80" w:type="dxa"/>
            </w:tcMar>
          </w:tcPr>
          <w:p w14:paraId="5E1AE635" w14:textId="77777777" w:rsidR="006A3723" w:rsidRPr="006A3723" w:rsidRDefault="006A3723" w:rsidP="009D48FF">
            <w:pPr>
              <w:rPr>
                <w:sz w:val="24"/>
              </w:rPr>
            </w:pPr>
            <w:r w:rsidRPr="006A3723">
              <w:rPr>
                <w:sz w:val="24"/>
              </w:rPr>
              <w:t>Validez</w:t>
            </w:r>
          </w:p>
        </w:tc>
        <w:tc>
          <w:tcPr>
            <w:tcW w:w="3731" w:type="pct"/>
            <w:tcBorders>
              <w:top w:val="single" w:sz="4" w:space="0" w:color="000000"/>
              <w:left w:val="nil"/>
              <w:bottom w:val="nil"/>
              <w:right w:val="nil"/>
            </w:tcBorders>
          </w:tcPr>
          <w:p w14:paraId="48FE7A5C" w14:textId="77777777" w:rsidR="006A3723" w:rsidRPr="006A3723" w:rsidRDefault="006A3723" w:rsidP="006A3723">
            <w:pPr>
              <w:ind w:right="-2"/>
              <w:jc w:val="both"/>
              <w:rPr>
                <w:sz w:val="24"/>
              </w:rPr>
            </w:pPr>
            <w:r w:rsidRPr="006A3723">
              <w:rPr>
                <w:sz w:val="24"/>
              </w:rPr>
              <w:t>No presenta:</w:t>
            </w:r>
          </w:p>
          <w:p w14:paraId="65A905F8" w14:textId="77777777" w:rsidR="006A3723" w:rsidRPr="006A3723" w:rsidRDefault="006A3723" w:rsidP="006A3723">
            <w:pPr>
              <w:ind w:right="-2"/>
              <w:jc w:val="both"/>
              <w:rPr>
                <w:sz w:val="24"/>
              </w:rPr>
            </w:pPr>
            <w:r w:rsidRPr="006A3723">
              <w:rPr>
                <w:sz w:val="24"/>
              </w:rPr>
              <w:t>1. No hay evidencia de evaluación de la validez del instrumento.</w:t>
            </w:r>
          </w:p>
          <w:p w14:paraId="2056E02D" w14:textId="77777777" w:rsidR="006A3723" w:rsidRPr="006A3723" w:rsidRDefault="006A3723" w:rsidP="006A3723">
            <w:pPr>
              <w:ind w:right="-2"/>
              <w:jc w:val="both"/>
              <w:rPr>
                <w:sz w:val="24"/>
              </w:rPr>
            </w:pPr>
            <w:r w:rsidRPr="006A3723">
              <w:rPr>
                <w:sz w:val="24"/>
              </w:rPr>
              <w:t>2. No hay evidencia de evaluación de la validez del instrumento, pero menciona una referencia hecha en un estudio anterior.</w:t>
            </w:r>
          </w:p>
          <w:p w14:paraId="3FE2D319" w14:textId="77777777" w:rsidR="006A3723" w:rsidRPr="006A3723" w:rsidRDefault="006A3723" w:rsidP="006A3723">
            <w:pPr>
              <w:jc w:val="both"/>
              <w:rPr>
                <w:sz w:val="24"/>
              </w:rPr>
            </w:pPr>
            <w:r w:rsidRPr="006A3723">
              <w:rPr>
                <w:sz w:val="24"/>
              </w:rPr>
              <w:t>Sí: El estudio presenta evidencia de validez en base al contenido, en base a la estructura interna y/o en base a medidas externas.</w:t>
            </w:r>
          </w:p>
        </w:tc>
      </w:tr>
      <w:tr w:rsidR="006A3723" w:rsidRPr="0019627D" w14:paraId="5763FB6C" w14:textId="77777777" w:rsidTr="006A3723">
        <w:trPr>
          <w:trHeight w:val="212"/>
        </w:trPr>
        <w:tc>
          <w:tcPr>
            <w:tcW w:w="1269" w:type="pct"/>
            <w:tcBorders>
              <w:top w:val="nil"/>
              <w:left w:val="nil"/>
              <w:bottom w:val="single" w:sz="4" w:space="0" w:color="000000"/>
              <w:right w:val="nil"/>
            </w:tcBorders>
            <w:shd w:val="clear" w:color="auto" w:fill="auto"/>
            <w:tcMar>
              <w:top w:w="80" w:type="dxa"/>
              <w:left w:w="80" w:type="dxa"/>
              <w:bottom w:w="80" w:type="dxa"/>
              <w:right w:w="80" w:type="dxa"/>
            </w:tcMar>
          </w:tcPr>
          <w:p w14:paraId="71EE1AAE" w14:textId="77777777" w:rsidR="006A3723" w:rsidRPr="006A3723" w:rsidRDefault="006A3723" w:rsidP="009D48FF">
            <w:pPr>
              <w:rPr>
                <w:sz w:val="24"/>
              </w:rPr>
            </w:pPr>
            <w:r w:rsidRPr="006A3723">
              <w:rPr>
                <w:sz w:val="24"/>
              </w:rPr>
              <w:t>Confiabilidad</w:t>
            </w:r>
          </w:p>
        </w:tc>
        <w:tc>
          <w:tcPr>
            <w:tcW w:w="3731" w:type="pct"/>
            <w:tcBorders>
              <w:top w:val="nil"/>
              <w:left w:val="nil"/>
              <w:bottom w:val="single" w:sz="4" w:space="0" w:color="000000"/>
              <w:right w:val="nil"/>
            </w:tcBorders>
          </w:tcPr>
          <w:p w14:paraId="56828051" w14:textId="77777777" w:rsidR="006A3723" w:rsidRPr="006A3723" w:rsidRDefault="006A3723" w:rsidP="006A3723">
            <w:pPr>
              <w:ind w:right="-2"/>
              <w:jc w:val="both"/>
              <w:rPr>
                <w:sz w:val="24"/>
              </w:rPr>
            </w:pPr>
            <w:r w:rsidRPr="006A3723">
              <w:rPr>
                <w:sz w:val="24"/>
              </w:rPr>
              <w:t>No presenta:</w:t>
            </w:r>
          </w:p>
          <w:p w14:paraId="67818E0C" w14:textId="77777777" w:rsidR="006A3723" w:rsidRPr="006A3723" w:rsidRDefault="006A3723" w:rsidP="006A3723">
            <w:pPr>
              <w:ind w:right="-2"/>
              <w:jc w:val="both"/>
              <w:rPr>
                <w:sz w:val="24"/>
              </w:rPr>
            </w:pPr>
            <w:r w:rsidRPr="006A3723">
              <w:rPr>
                <w:sz w:val="24"/>
              </w:rPr>
              <w:t>1. No hay evidencia de medición de la confiabilidad del instrumento</w:t>
            </w:r>
          </w:p>
          <w:p w14:paraId="70334E67" w14:textId="77777777" w:rsidR="006A3723" w:rsidRPr="006A3723" w:rsidRDefault="006A3723" w:rsidP="006A3723">
            <w:pPr>
              <w:ind w:right="-2"/>
              <w:jc w:val="both"/>
              <w:rPr>
                <w:sz w:val="24"/>
              </w:rPr>
            </w:pPr>
            <w:r w:rsidRPr="006A3723">
              <w:rPr>
                <w:sz w:val="24"/>
              </w:rPr>
              <w:t>2. No hay evidencia de medición de confiabilidad del instrumento, pero referencia hecha en un estudio previo.</w:t>
            </w:r>
          </w:p>
          <w:p w14:paraId="7B53C2C5" w14:textId="77777777" w:rsidR="006A3723" w:rsidRPr="006A3723" w:rsidRDefault="006A3723" w:rsidP="006A3723">
            <w:pPr>
              <w:jc w:val="both"/>
              <w:rPr>
                <w:sz w:val="24"/>
              </w:rPr>
            </w:pPr>
            <w:r w:rsidRPr="006A3723">
              <w:rPr>
                <w:sz w:val="24"/>
              </w:rPr>
              <w:t>Sí: informa la confiabilidad del instrumento de acuerdo con los siguientes criterios: α de Cronbach &gt; 0,69 en todos los dominios, α de Cronbach &gt; 0,7 para la mayoría de los dominios, confiabilidad general del instrumento α de Cronbach &gt; 0,7, coeficiente de D. Raykov junto con α Cronbach y/o usa α Cronbach sin informar el valor obtenido.</w:t>
            </w:r>
          </w:p>
        </w:tc>
      </w:tr>
    </w:tbl>
    <w:p w14:paraId="53698E2F" w14:textId="197F5433" w:rsidR="006A3723" w:rsidRDefault="006A3723" w:rsidP="006A3723">
      <w:pPr>
        <w:pStyle w:val="Prrafocomn"/>
        <w:spacing w:before="240"/>
        <w:rPr>
          <w:bCs/>
          <w:lang w:val="es-CO"/>
        </w:rPr>
      </w:pPr>
      <w:r w:rsidRPr="006A3723">
        <w:rPr>
          <w:bCs/>
          <w:lang w:val="es-CO"/>
        </w:rPr>
        <w:t>La lectura completa de los artículos seleccionados permitió explorar y compilar las evidencias de confiabilidad y validez identificadas en el uso de instrumentos para medir la carga mental de trabajo, entre 2012 y 2021. De las 27 directrices PRISMA 2020, 18 fueron cumplidas y 4 adaptadas, y otras cinco específicas, utilizadas para metaanálisis, no fueron realizadas, según el objetivo de la revisión (Galvão et al., 2015).</w:t>
      </w:r>
    </w:p>
    <w:p w14:paraId="7E2F2AF5" w14:textId="1700D5E2" w:rsidR="00001354" w:rsidRPr="00001354" w:rsidRDefault="00001354" w:rsidP="00184153">
      <w:pPr>
        <w:pStyle w:val="Ttulosinternos"/>
        <w:rPr>
          <w:lang w:val="es-AR"/>
        </w:rPr>
      </w:pPr>
      <w:r w:rsidRPr="00001354">
        <w:rPr>
          <w:lang w:val="es-AR"/>
        </w:rPr>
        <w:lastRenderedPageBreak/>
        <w:t>Resultados</w:t>
      </w:r>
      <w:r w:rsidR="00B668A6">
        <w:rPr>
          <w:lang w:val="es-AR"/>
        </w:rPr>
        <w:t xml:space="preserve"> </w:t>
      </w:r>
    </w:p>
    <w:p w14:paraId="2A24327E" w14:textId="6DD6E956" w:rsidR="00B668A6" w:rsidRDefault="003D5FC4" w:rsidP="003D5FC4">
      <w:pPr>
        <w:pStyle w:val="Prrafocomn"/>
        <w:rPr>
          <w:bCs/>
          <w:lang w:val="es-ES_tradnl"/>
        </w:rPr>
      </w:pPr>
      <w:r w:rsidRPr="003D5FC4">
        <w:rPr>
          <w:bCs/>
          <w:lang w:val="es-CO"/>
        </w:rPr>
        <w:t xml:space="preserve">En las búsquedas realizadas se encontraron 2.544 artículos. De estos, 644 fueron eliminados mecánicamente por tratarse de artículos duplicados. Considerando los criterios de inclusión y exclusión, 287 artículos fueron analizados en su totalidad, como se muestra en la </w:t>
      </w:r>
      <w:r>
        <w:rPr>
          <w:bCs/>
          <w:lang w:val="es-CO"/>
        </w:rPr>
        <w:t>Figura</w:t>
      </w:r>
      <w:r w:rsidRPr="003D5FC4">
        <w:rPr>
          <w:bCs/>
          <w:lang w:val="es-CO"/>
        </w:rPr>
        <w:t xml:space="preserve"> 2.</w:t>
      </w:r>
      <w:r>
        <w:rPr>
          <w:bCs/>
          <w:lang w:val="es-ES_tradnl"/>
        </w:rPr>
        <w:t xml:space="preserve"> </w:t>
      </w:r>
    </w:p>
    <w:p w14:paraId="641E761B" w14:textId="2B559DB8" w:rsidR="003D5FC4" w:rsidRPr="0019627D" w:rsidRDefault="003D5FC4" w:rsidP="003D5FC4">
      <w:pPr>
        <w:spacing w:line="360" w:lineRule="auto"/>
        <w:rPr>
          <w:b/>
          <w:bCs/>
        </w:rPr>
      </w:pPr>
      <w:r>
        <w:rPr>
          <w:b/>
          <w:bCs/>
        </w:rPr>
        <w:t>Figura 2</w:t>
      </w:r>
    </w:p>
    <w:p w14:paraId="7FA5DEC5" w14:textId="77777777" w:rsidR="003D5FC4" w:rsidRPr="0019627D" w:rsidRDefault="003D5FC4" w:rsidP="003D5FC4">
      <w:pPr>
        <w:spacing w:line="360" w:lineRule="auto"/>
        <w:rPr>
          <w:i/>
          <w:iCs/>
        </w:rPr>
      </w:pPr>
      <w:r w:rsidRPr="0019627D">
        <w:rPr>
          <w:i/>
          <w:iCs/>
        </w:rPr>
        <w:t>Diagrama de flujo del cribado realizado en la búsqueda sistemática, según modelo PRISMA 2020.</w:t>
      </w:r>
    </w:p>
    <w:p w14:paraId="19601A2A" w14:textId="77777777" w:rsidR="003D5FC4" w:rsidRPr="0019627D" w:rsidRDefault="003D5FC4" w:rsidP="003D5FC4">
      <w:pPr>
        <w:pBdr>
          <w:top w:val="nil"/>
          <w:left w:val="nil"/>
          <w:bottom w:val="nil"/>
          <w:right w:val="nil"/>
          <w:between w:val="nil"/>
        </w:pBdr>
        <w:spacing w:line="360" w:lineRule="auto"/>
      </w:pPr>
      <w:r w:rsidRPr="0019627D">
        <w:rPr>
          <w:noProof/>
          <w:lang w:val="en-US" w:eastAsia="en-US"/>
        </w:rPr>
        <w:drawing>
          <wp:inline distT="0" distB="0" distL="0" distR="0" wp14:anchorId="08FF273F" wp14:editId="6E4DA6C5">
            <wp:extent cx="5500370" cy="4883150"/>
            <wp:effectExtent l="0" t="0" r="5080" b="0"/>
            <wp:docPr id="885846617"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46617" name="Imagem 3" descr="Diagrama&#10;&#10;Descrição gerada automaticamente"/>
                    <pic:cNvPicPr/>
                  </pic:nvPicPr>
                  <pic:blipFill>
                    <a:blip r:embed="rId27">
                      <a:extLst>
                        <a:ext uri="{28A0092B-C50C-407E-A947-70E740481C1C}">
                          <a14:useLocalDpi xmlns:a14="http://schemas.microsoft.com/office/drawing/2010/main" val="0"/>
                        </a:ext>
                      </a:extLst>
                    </a:blip>
                    <a:stretch>
                      <a:fillRect/>
                    </a:stretch>
                  </pic:blipFill>
                  <pic:spPr>
                    <a:xfrm>
                      <a:off x="0" y="0"/>
                      <a:ext cx="5522521" cy="4902815"/>
                    </a:xfrm>
                    <a:prstGeom prst="rect">
                      <a:avLst/>
                    </a:prstGeom>
                  </pic:spPr>
                </pic:pic>
              </a:graphicData>
            </a:graphic>
          </wp:inline>
        </w:drawing>
      </w:r>
    </w:p>
    <w:p w14:paraId="16D874A2" w14:textId="77777777" w:rsidR="003D5FC4" w:rsidRPr="003D5FC4" w:rsidRDefault="003D5FC4" w:rsidP="003D5FC4">
      <w:pPr>
        <w:pBdr>
          <w:top w:val="nil"/>
          <w:left w:val="nil"/>
          <w:bottom w:val="nil"/>
          <w:right w:val="nil"/>
          <w:between w:val="nil"/>
        </w:pBdr>
        <w:spacing w:line="360" w:lineRule="auto"/>
        <w:rPr>
          <w:sz w:val="22"/>
          <w:szCs w:val="20"/>
        </w:rPr>
      </w:pPr>
      <w:r w:rsidRPr="003D5FC4">
        <w:rPr>
          <w:i/>
          <w:sz w:val="22"/>
          <w:szCs w:val="20"/>
        </w:rPr>
        <w:t>Nota</w:t>
      </w:r>
      <w:r w:rsidRPr="003D5FC4">
        <w:rPr>
          <w:sz w:val="22"/>
          <w:szCs w:val="20"/>
        </w:rPr>
        <w:t xml:space="preserve">: Datos de la encuesta (2022). </w:t>
      </w:r>
      <w:r w:rsidRPr="003D5FC4">
        <w:rPr>
          <w:i/>
          <w:sz w:val="22"/>
          <w:szCs w:val="20"/>
        </w:rPr>
        <w:t>Leyenda:</w:t>
      </w:r>
      <w:r w:rsidRPr="003D5FC4">
        <w:rPr>
          <w:sz w:val="22"/>
          <w:szCs w:val="20"/>
        </w:rPr>
        <w:t xml:space="preserve"> A= Artículos sin instrumentos psicométricos; B= Los instrumentos utilizados no miden la carga de trabajo mental.</w:t>
      </w:r>
    </w:p>
    <w:p w14:paraId="1FCE95D0" w14:textId="77777777" w:rsidR="003D5FC4" w:rsidRPr="003D5FC4" w:rsidRDefault="003D5FC4" w:rsidP="003D5FC4">
      <w:pPr>
        <w:pStyle w:val="Prrafocomn"/>
        <w:rPr>
          <w:bCs/>
          <w:lang w:val="es-CO"/>
        </w:rPr>
      </w:pPr>
      <w:r w:rsidRPr="003D5FC4">
        <w:rPr>
          <w:bCs/>
          <w:lang w:val="es-CO"/>
        </w:rPr>
        <w:t>Se identificaron 16 instrumentos utilizados para evaluar la CMT, de acuerdo con los criterios metodológicos adoptados. Dichos instrumentos tienen diferentes dimensiones y han sido utilizados por varios estudios (Tabla 2).</w:t>
      </w:r>
    </w:p>
    <w:p w14:paraId="014C4DAA" w14:textId="53561EE8" w:rsidR="00471F54" w:rsidRDefault="003D5FC4" w:rsidP="003D5FC4">
      <w:pPr>
        <w:pStyle w:val="Prrafocomn"/>
        <w:ind w:firstLine="0"/>
        <w:jc w:val="left"/>
        <w:rPr>
          <w:bCs/>
          <w:lang w:val="es-ES_tradnl"/>
        </w:rPr>
      </w:pPr>
      <w:r w:rsidRPr="003D5FC4">
        <w:rPr>
          <w:b/>
          <w:bCs/>
          <w:lang w:val="es-CO"/>
        </w:rPr>
        <w:lastRenderedPageBreak/>
        <w:t>Tabla 2</w:t>
      </w:r>
      <w:r w:rsidRPr="003D5FC4">
        <w:rPr>
          <w:b/>
          <w:bCs/>
          <w:lang w:val="es-CO"/>
        </w:rPr>
        <w:br/>
      </w:r>
      <w:r w:rsidRPr="003D5FC4">
        <w:rPr>
          <w:bCs/>
          <w:i/>
          <w:lang w:val="es-CO"/>
        </w:rPr>
        <w:t>Instrumentos para la Evaluación de la Carga Mental de Trabajo</w:t>
      </w:r>
    </w:p>
    <w:tbl>
      <w:tblPr>
        <w:tblStyle w:val="3"/>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3101"/>
        <w:gridCol w:w="5073"/>
        <w:gridCol w:w="330"/>
      </w:tblGrid>
      <w:tr w:rsidR="003D5FC4" w:rsidRPr="003D5FC4" w14:paraId="435C8A3A" w14:textId="77777777" w:rsidTr="003D5FC4">
        <w:trPr>
          <w:trHeight w:val="222"/>
        </w:trPr>
        <w:tc>
          <w:tcPr>
            <w:tcW w:w="1841" w:type="pct"/>
            <w:tcBorders>
              <w:top w:val="single" w:sz="4" w:space="0" w:color="000000"/>
              <w:left w:val="nil"/>
              <w:bottom w:val="nil"/>
              <w:right w:val="nil"/>
            </w:tcBorders>
            <w:shd w:val="clear" w:color="auto" w:fill="auto"/>
            <w:tcMar>
              <w:top w:w="80" w:type="dxa"/>
              <w:left w:w="80" w:type="dxa"/>
              <w:bottom w:w="80" w:type="dxa"/>
              <w:right w:w="80" w:type="dxa"/>
            </w:tcMar>
          </w:tcPr>
          <w:p w14:paraId="45C9BFC3" w14:textId="77777777" w:rsidR="003D5FC4" w:rsidRPr="003D5FC4" w:rsidRDefault="003D5FC4" w:rsidP="009D48FF">
            <w:pPr>
              <w:rPr>
                <w:b/>
                <w:sz w:val="22"/>
                <w:szCs w:val="22"/>
              </w:rPr>
            </w:pPr>
            <w:r w:rsidRPr="003D5FC4">
              <w:rPr>
                <w:b/>
                <w:sz w:val="22"/>
                <w:szCs w:val="22"/>
              </w:rPr>
              <w:t>Instrumentos</w:t>
            </w:r>
          </w:p>
        </w:tc>
        <w:tc>
          <w:tcPr>
            <w:tcW w:w="3000" w:type="pct"/>
            <w:tcBorders>
              <w:top w:val="single" w:sz="4" w:space="0" w:color="000000"/>
              <w:left w:val="nil"/>
              <w:bottom w:val="single" w:sz="4" w:space="0" w:color="000000"/>
              <w:right w:val="nil"/>
            </w:tcBorders>
          </w:tcPr>
          <w:p w14:paraId="67CE7899" w14:textId="77777777" w:rsidR="003D5FC4" w:rsidRPr="003D5FC4" w:rsidRDefault="003D5FC4" w:rsidP="009D48FF">
            <w:pPr>
              <w:rPr>
                <w:b/>
                <w:sz w:val="22"/>
                <w:szCs w:val="22"/>
              </w:rPr>
            </w:pPr>
            <w:r w:rsidRPr="003D5FC4">
              <w:rPr>
                <w:b/>
                <w:sz w:val="22"/>
                <w:szCs w:val="22"/>
              </w:rPr>
              <w:t>Dimensiones</w:t>
            </w:r>
          </w:p>
        </w:tc>
        <w:tc>
          <w:tcPr>
            <w:tcW w:w="160" w:type="pct"/>
            <w:tcBorders>
              <w:top w:val="single" w:sz="4" w:space="0" w:color="000000"/>
              <w:left w:val="nil"/>
              <w:bottom w:val="single" w:sz="4" w:space="0" w:color="000000"/>
              <w:right w:val="nil"/>
            </w:tcBorders>
          </w:tcPr>
          <w:p w14:paraId="76F580D6" w14:textId="77777777" w:rsidR="003D5FC4" w:rsidRPr="003D5FC4" w:rsidRDefault="003D5FC4" w:rsidP="009D48FF">
            <w:pPr>
              <w:rPr>
                <w:b/>
                <w:sz w:val="22"/>
                <w:szCs w:val="22"/>
              </w:rPr>
            </w:pPr>
            <w:r w:rsidRPr="003D5FC4">
              <w:rPr>
                <w:b/>
                <w:sz w:val="22"/>
                <w:szCs w:val="22"/>
              </w:rPr>
              <w:t>N</w:t>
            </w:r>
          </w:p>
        </w:tc>
      </w:tr>
      <w:tr w:rsidR="003D5FC4" w:rsidRPr="003D5FC4" w14:paraId="1A292C44" w14:textId="77777777" w:rsidTr="003D5FC4">
        <w:trPr>
          <w:trHeight w:val="217"/>
        </w:trPr>
        <w:tc>
          <w:tcPr>
            <w:tcW w:w="1841" w:type="pct"/>
            <w:tcBorders>
              <w:top w:val="single" w:sz="4" w:space="0" w:color="000000"/>
              <w:left w:val="nil"/>
              <w:bottom w:val="nil"/>
              <w:right w:val="nil"/>
            </w:tcBorders>
            <w:shd w:val="clear" w:color="auto" w:fill="auto"/>
            <w:tcMar>
              <w:top w:w="80" w:type="dxa"/>
              <w:left w:w="80" w:type="dxa"/>
              <w:bottom w:w="80" w:type="dxa"/>
              <w:right w:w="80" w:type="dxa"/>
            </w:tcMar>
          </w:tcPr>
          <w:p w14:paraId="502FAFE8" w14:textId="77777777" w:rsidR="003D5FC4" w:rsidRPr="003D5FC4" w:rsidRDefault="003D5FC4" w:rsidP="009D48FF">
            <w:pPr>
              <w:rPr>
                <w:sz w:val="22"/>
                <w:szCs w:val="22"/>
              </w:rPr>
            </w:pPr>
            <w:r w:rsidRPr="003D5FC4">
              <w:rPr>
                <w:sz w:val="22"/>
                <w:szCs w:val="22"/>
              </w:rPr>
              <w:t>NASA-TLX – Índice de Carga de Tarea de la NASA</w:t>
            </w:r>
          </w:p>
        </w:tc>
        <w:tc>
          <w:tcPr>
            <w:tcW w:w="3000" w:type="pct"/>
            <w:tcBorders>
              <w:top w:val="single" w:sz="4" w:space="0" w:color="000000"/>
              <w:left w:val="nil"/>
              <w:bottom w:val="nil"/>
              <w:right w:val="nil"/>
            </w:tcBorders>
          </w:tcPr>
          <w:p w14:paraId="507C3325" w14:textId="77777777" w:rsidR="003D5FC4" w:rsidRPr="003D5FC4" w:rsidRDefault="003D5FC4" w:rsidP="009D48FF">
            <w:pPr>
              <w:rPr>
                <w:sz w:val="22"/>
                <w:szCs w:val="22"/>
              </w:rPr>
            </w:pPr>
            <w:r w:rsidRPr="003D5FC4">
              <w:rPr>
                <w:sz w:val="22"/>
                <w:szCs w:val="22"/>
                <w:highlight w:val="white"/>
              </w:rPr>
              <w:t>Demanda mental, demanda física, demanda, esfuerzo, frustración y desempeño.</w:t>
            </w:r>
          </w:p>
        </w:tc>
        <w:tc>
          <w:tcPr>
            <w:tcW w:w="160" w:type="pct"/>
            <w:tcBorders>
              <w:top w:val="single" w:sz="4" w:space="0" w:color="000000"/>
              <w:left w:val="nil"/>
              <w:bottom w:val="nil"/>
              <w:right w:val="nil"/>
            </w:tcBorders>
          </w:tcPr>
          <w:p w14:paraId="47C2E071" w14:textId="77777777" w:rsidR="003D5FC4" w:rsidRPr="003D5FC4" w:rsidRDefault="003D5FC4" w:rsidP="009D48FF">
            <w:pPr>
              <w:ind w:right="-2"/>
              <w:rPr>
                <w:sz w:val="22"/>
                <w:szCs w:val="22"/>
              </w:rPr>
            </w:pPr>
            <w:r w:rsidRPr="003D5FC4">
              <w:rPr>
                <w:sz w:val="22"/>
                <w:szCs w:val="22"/>
                <w:highlight w:val="white"/>
              </w:rPr>
              <w:t>117</w:t>
            </w:r>
          </w:p>
        </w:tc>
      </w:tr>
      <w:tr w:rsidR="003D5FC4" w:rsidRPr="003D5FC4" w14:paraId="24284872"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3893DEAE" w14:textId="77777777" w:rsidR="003D5FC4" w:rsidRPr="003D5FC4" w:rsidRDefault="003D5FC4" w:rsidP="009D48FF">
            <w:pPr>
              <w:rPr>
                <w:sz w:val="22"/>
                <w:szCs w:val="22"/>
              </w:rPr>
            </w:pPr>
            <w:r w:rsidRPr="003D5FC4">
              <w:rPr>
                <w:sz w:val="22"/>
                <w:szCs w:val="22"/>
              </w:rPr>
              <w:t>Índice de carga de tarea en cirugía – SURG – TLX</w:t>
            </w:r>
          </w:p>
        </w:tc>
        <w:tc>
          <w:tcPr>
            <w:tcW w:w="3000" w:type="pct"/>
            <w:tcBorders>
              <w:top w:val="nil"/>
              <w:left w:val="nil"/>
              <w:bottom w:val="nil"/>
              <w:right w:val="nil"/>
            </w:tcBorders>
          </w:tcPr>
          <w:p w14:paraId="1BD298F9" w14:textId="77777777" w:rsidR="003D5FC4" w:rsidRPr="003D5FC4" w:rsidRDefault="003D5FC4" w:rsidP="009D48FF">
            <w:pPr>
              <w:rPr>
                <w:sz w:val="22"/>
                <w:szCs w:val="22"/>
              </w:rPr>
            </w:pPr>
            <w:r w:rsidRPr="003D5FC4">
              <w:rPr>
                <w:sz w:val="22"/>
                <w:szCs w:val="22"/>
                <w:highlight w:val="white"/>
              </w:rPr>
              <w:t>Demanda mental, demanda física, demanda temporal, complejidad de la tarea, conciencia situacional y distracciones.</w:t>
            </w:r>
          </w:p>
        </w:tc>
        <w:tc>
          <w:tcPr>
            <w:tcW w:w="160" w:type="pct"/>
            <w:tcBorders>
              <w:top w:val="nil"/>
              <w:left w:val="nil"/>
              <w:bottom w:val="nil"/>
              <w:right w:val="nil"/>
            </w:tcBorders>
          </w:tcPr>
          <w:p w14:paraId="7943412D" w14:textId="77777777" w:rsidR="003D5FC4" w:rsidRPr="003D5FC4" w:rsidRDefault="003D5FC4" w:rsidP="009D48FF">
            <w:pPr>
              <w:ind w:right="-2"/>
              <w:rPr>
                <w:sz w:val="22"/>
                <w:szCs w:val="22"/>
              </w:rPr>
            </w:pPr>
            <w:r w:rsidRPr="003D5FC4">
              <w:rPr>
                <w:sz w:val="22"/>
                <w:szCs w:val="22"/>
                <w:highlight w:val="white"/>
              </w:rPr>
              <w:t>4</w:t>
            </w:r>
          </w:p>
        </w:tc>
      </w:tr>
      <w:tr w:rsidR="003D5FC4" w:rsidRPr="003D5FC4" w14:paraId="380640B8"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387002E0" w14:textId="77777777" w:rsidR="003D5FC4" w:rsidRPr="003D5FC4" w:rsidRDefault="003D5FC4" w:rsidP="009D48FF">
            <w:pPr>
              <w:rPr>
                <w:sz w:val="22"/>
                <w:szCs w:val="22"/>
              </w:rPr>
            </w:pPr>
            <w:r w:rsidRPr="003D5FC4">
              <w:rPr>
                <w:sz w:val="22"/>
                <w:szCs w:val="22"/>
              </w:rPr>
              <w:t>Índice de carga de tareas de Endoscopia – NASA TLX -modificado</w:t>
            </w:r>
          </w:p>
        </w:tc>
        <w:tc>
          <w:tcPr>
            <w:tcW w:w="3000" w:type="pct"/>
            <w:tcBorders>
              <w:top w:val="nil"/>
              <w:left w:val="nil"/>
              <w:bottom w:val="nil"/>
              <w:right w:val="nil"/>
            </w:tcBorders>
          </w:tcPr>
          <w:p w14:paraId="3C2B0D76" w14:textId="77777777" w:rsidR="003D5FC4" w:rsidRPr="003D5FC4" w:rsidRDefault="003D5FC4" w:rsidP="009D48FF">
            <w:pPr>
              <w:rPr>
                <w:sz w:val="22"/>
                <w:szCs w:val="22"/>
                <w:highlight w:val="white"/>
              </w:rPr>
            </w:pPr>
            <w:r w:rsidRPr="003D5FC4">
              <w:rPr>
                <w:sz w:val="22"/>
                <w:szCs w:val="22"/>
                <w:highlight w:val="white"/>
              </w:rPr>
              <w:t xml:space="preserve">Esfuerzo y </w:t>
            </w:r>
            <w:r w:rsidRPr="003D5FC4">
              <w:rPr>
                <w:sz w:val="22"/>
                <w:szCs w:val="22"/>
              </w:rPr>
              <w:t>autoeficacia.</w:t>
            </w:r>
            <w:r w:rsidRPr="003D5FC4">
              <w:rPr>
                <w:sz w:val="22"/>
                <w:szCs w:val="22"/>
                <w:highlight w:val="white"/>
              </w:rPr>
              <w:t xml:space="preserve"> </w:t>
            </w:r>
          </w:p>
        </w:tc>
        <w:tc>
          <w:tcPr>
            <w:tcW w:w="160" w:type="pct"/>
            <w:tcBorders>
              <w:top w:val="nil"/>
              <w:left w:val="nil"/>
              <w:bottom w:val="nil"/>
              <w:right w:val="nil"/>
            </w:tcBorders>
          </w:tcPr>
          <w:p w14:paraId="5AB049A6"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5B2769A7"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62ED9D65" w14:textId="77777777" w:rsidR="003D5FC4" w:rsidRPr="003D5FC4" w:rsidRDefault="003D5FC4" w:rsidP="009D48FF">
            <w:pPr>
              <w:rPr>
                <w:sz w:val="22"/>
                <w:szCs w:val="22"/>
              </w:rPr>
            </w:pPr>
            <w:r w:rsidRPr="003D5FC4">
              <w:rPr>
                <w:sz w:val="22"/>
                <w:szCs w:val="22"/>
              </w:rPr>
              <w:t>Índice de Carga de Actividades de conducción – DALI – Adaptación NASA- TLX</w:t>
            </w:r>
          </w:p>
        </w:tc>
        <w:tc>
          <w:tcPr>
            <w:tcW w:w="3000" w:type="pct"/>
            <w:tcBorders>
              <w:top w:val="nil"/>
              <w:left w:val="nil"/>
              <w:bottom w:val="nil"/>
              <w:right w:val="nil"/>
            </w:tcBorders>
          </w:tcPr>
          <w:p w14:paraId="50BC21A1" w14:textId="77777777" w:rsidR="003D5FC4" w:rsidRPr="003D5FC4" w:rsidRDefault="003D5FC4" w:rsidP="009D48FF">
            <w:pPr>
              <w:rPr>
                <w:sz w:val="22"/>
                <w:szCs w:val="22"/>
                <w:highlight w:val="white"/>
              </w:rPr>
            </w:pPr>
            <w:r w:rsidRPr="003D5FC4">
              <w:rPr>
                <w:sz w:val="22"/>
                <w:szCs w:val="22"/>
                <w:highlight w:val="white"/>
              </w:rPr>
              <w:t>Atención, visual, auditiva, temporal interferencia y estrés situacional</w:t>
            </w:r>
          </w:p>
        </w:tc>
        <w:tc>
          <w:tcPr>
            <w:tcW w:w="160" w:type="pct"/>
            <w:tcBorders>
              <w:top w:val="nil"/>
              <w:left w:val="nil"/>
              <w:bottom w:val="nil"/>
              <w:right w:val="nil"/>
            </w:tcBorders>
          </w:tcPr>
          <w:p w14:paraId="5C62F394"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5DBB8C72"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120D134C" w14:textId="77777777" w:rsidR="003D5FC4" w:rsidRPr="003D5FC4" w:rsidRDefault="003D5FC4" w:rsidP="009D48FF">
            <w:pPr>
              <w:rPr>
                <w:sz w:val="22"/>
                <w:szCs w:val="22"/>
              </w:rPr>
            </w:pPr>
            <w:r w:rsidRPr="003D5FC4">
              <w:rPr>
                <w:sz w:val="22"/>
                <w:szCs w:val="22"/>
                <w:highlight w:val="white"/>
              </w:rPr>
              <w:t>SWAT - Técnica subjetiva de evaluación de la carga de trabajo</w:t>
            </w:r>
          </w:p>
        </w:tc>
        <w:tc>
          <w:tcPr>
            <w:tcW w:w="3000" w:type="pct"/>
            <w:tcBorders>
              <w:top w:val="nil"/>
              <w:left w:val="nil"/>
              <w:bottom w:val="nil"/>
              <w:right w:val="nil"/>
            </w:tcBorders>
          </w:tcPr>
          <w:p w14:paraId="1AAA061B" w14:textId="77777777" w:rsidR="003D5FC4" w:rsidRPr="003D5FC4" w:rsidRDefault="003D5FC4" w:rsidP="009D48FF">
            <w:pPr>
              <w:rPr>
                <w:sz w:val="22"/>
                <w:szCs w:val="22"/>
                <w:highlight w:val="white"/>
              </w:rPr>
            </w:pPr>
            <w:r w:rsidRPr="003D5FC4">
              <w:rPr>
                <w:sz w:val="22"/>
                <w:szCs w:val="22"/>
              </w:rPr>
              <w:t>Tiempo, esfuerzo mental y estrés</w:t>
            </w:r>
          </w:p>
        </w:tc>
        <w:tc>
          <w:tcPr>
            <w:tcW w:w="160" w:type="pct"/>
            <w:tcBorders>
              <w:top w:val="nil"/>
              <w:left w:val="nil"/>
              <w:bottom w:val="nil"/>
              <w:right w:val="nil"/>
            </w:tcBorders>
          </w:tcPr>
          <w:p w14:paraId="07B8F5D4" w14:textId="77777777" w:rsidR="003D5FC4" w:rsidRPr="003D5FC4" w:rsidRDefault="003D5FC4" w:rsidP="009D48FF">
            <w:pPr>
              <w:ind w:right="-2"/>
              <w:rPr>
                <w:sz w:val="22"/>
                <w:szCs w:val="22"/>
                <w:highlight w:val="white"/>
              </w:rPr>
            </w:pPr>
            <w:r w:rsidRPr="003D5FC4">
              <w:rPr>
                <w:sz w:val="22"/>
                <w:szCs w:val="22"/>
                <w:highlight w:val="white"/>
              </w:rPr>
              <w:t>16</w:t>
            </w:r>
          </w:p>
        </w:tc>
      </w:tr>
      <w:tr w:rsidR="003D5FC4" w:rsidRPr="003D5FC4" w14:paraId="5FFEC8BC"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7F07E7B9" w14:textId="77777777" w:rsidR="003D5FC4" w:rsidRPr="003D5FC4" w:rsidRDefault="003D5FC4" w:rsidP="009D48FF">
            <w:pPr>
              <w:rPr>
                <w:sz w:val="22"/>
                <w:szCs w:val="22"/>
              </w:rPr>
            </w:pPr>
            <w:r w:rsidRPr="003D5FC4">
              <w:rPr>
                <w:sz w:val="22"/>
                <w:szCs w:val="22"/>
              </w:rPr>
              <w:t>RSME – Escala de Evaluación de Esfuerzo Mental</w:t>
            </w:r>
          </w:p>
        </w:tc>
        <w:tc>
          <w:tcPr>
            <w:tcW w:w="3000" w:type="pct"/>
            <w:tcBorders>
              <w:top w:val="nil"/>
              <w:left w:val="nil"/>
              <w:bottom w:val="nil"/>
              <w:right w:val="nil"/>
            </w:tcBorders>
          </w:tcPr>
          <w:p w14:paraId="6D519D24" w14:textId="77777777" w:rsidR="003D5FC4" w:rsidRPr="003D5FC4" w:rsidRDefault="003D5FC4" w:rsidP="009D48FF">
            <w:pPr>
              <w:rPr>
                <w:sz w:val="22"/>
                <w:szCs w:val="22"/>
                <w:highlight w:val="white"/>
              </w:rPr>
            </w:pPr>
            <w:r w:rsidRPr="003D5FC4">
              <w:rPr>
                <w:sz w:val="22"/>
                <w:szCs w:val="22"/>
                <w:highlight w:val="white"/>
              </w:rPr>
              <w:t>Esfuerzo mental.</w:t>
            </w:r>
          </w:p>
        </w:tc>
        <w:tc>
          <w:tcPr>
            <w:tcW w:w="160" w:type="pct"/>
            <w:tcBorders>
              <w:top w:val="nil"/>
              <w:left w:val="nil"/>
              <w:bottom w:val="nil"/>
              <w:right w:val="nil"/>
            </w:tcBorders>
          </w:tcPr>
          <w:p w14:paraId="6F064E82" w14:textId="77777777" w:rsidR="003D5FC4" w:rsidRPr="003D5FC4" w:rsidRDefault="003D5FC4" w:rsidP="009D48FF">
            <w:pPr>
              <w:ind w:right="-2"/>
              <w:rPr>
                <w:sz w:val="22"/>
                <w:szCs w:val="22"/>
                <w:highlight w:val="white"/>
              </w:rPr>
            </w:pPr>
            <w:r w:rsidRPr="003D5FC4">
              <w:rPr>
                <w:sz w:val="22"/>
                <w:szCs w:val="22"/>
                <w:highlight w:val="white"/>
              </w:rPr>
              <w:t>7</w:t>
            </w:r>
          </w:p>
        </w:tc>
      </w:tr>
      <w:tr w:rsidR="003D5FC4" w:rsidRPr="003D5FC4" w14:paraId="3CCB44E7"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C67C9B6" w14:textId="77777777" w:rsidR="003D5FC4" w:rsidRPr="003D5FC4" w:rsidRDefault="003D5FC4" w:rsidP="009D48FF">
            <w:pPr>
              <w:rPr>
                <w:sz w:val="22"/>
                <w:szCs w:val="22"/>
              </w:rPr>
            </w:pPr>
            <w:r w:rsidRPr="003D5FC4">
              <w:rPr>
                <w:sz w:val="22"/>
                <w:szCs w:val="22"/>
              </w:rPr>
              <w:t>RSME – Escala de Evaluación de Esfuerzo Mental (Adaptada)</w:t>
            </w:r>
          </w:p>
        </w:tc>
        <w:tc>
          <w:tcPr>
            <w:tcW w:w="3000" w:type="pct"/>
            <w:tcBorders>
              <w:top w:val="nil"/>
              <w:left w:val="nil"/>
              <w:bottom w:val="nil"/>
              <w:right w:val="nil"/>
            </w:tcBorders>
          </w:tcPr>
          <w:p w14:paraId="44B216CB" w14:textId="77777777" w:rsidR="003D5FC4" w:rsidRPr="003D5FC4" w:rsidRDefault="003D5FC4" w:rsidP="009D48FF">
            <w:pPr>
              <w:rPr>
                <w:sz w:val="22"/>
                <w:szCs w:val="22"/>
                <w:highlight w:val="white"/>
              </w:rPr>
            </w:pPr>
            <w:r w:rsidRPr="003D5FC4">
              <w:rPr>
                <w:sz w:val="22"/>
                <w:szCs w:val="22"/>
                <w:highlight w:val="white"/>
              </w:rPr>
              <w:t>Esfuerzo mental.</w:t>
            </w:r>
          </w:p>
        </w:tc>
        <w:tc>
          <w:tcPr>
            <w:tcW w:w="160" w:type="pct"/>
            <w:tcBorders>
              <w:top w:val="nil"/>
              <w:left w:val="nil"/>
              <w:bottom w:val="nil"/>
              <w:right w:val="nil"/>
            </w:tcBorders>
          </w:tcPr>
          <w:p w14:paraId="7F21551D" w14:textId="77777777" w:rsidR="003D5FC4" w:rsidRPr="003D5FC4" w:rsidRDefault="003D5FC4" w:rsidP="009D48FF">
            <w:pPr>
              <w:ind w:right="-2"/>
              <w:rPr>
                <w:sz w:val="22"/>
                <w:szCs w:val="22"/>
                <w:highlight w:val="white"/>
              </w:rPr>
            </w:pPr>
            <w:r w:rsidRPr="003D5FC4">
              <w:rPr>
                <w:sz w:val="22"/>
                <w:szCs w:val="22"/>
              </w:rPr>
              <w:t>1</w:t>
            </w:r>
          </w:p>
        </w:tc>
      </w:tr>
      <w:tr w:rsidR="003D5FC4" w:rsidRPr="003D5FC4" w14:paraId="3036D6FB"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5D1F2610" w14:textId="77777777" w:rsidR="003D5FC4" w:rsidRPr="003D5FC4" w:rsidRDefault="003D5FC4" w:rsidP="009D48FF">
            <w:pPr>
              <w:rPr>
                <w:sz w:val="22"/>
                <w:szCs w:val="22"/>
              </w:rPr>
            </w:pPr>
            <w:r w:rsidRPr="003D5FC4">
              <w:rPr>
                <w:sz w:val="22"/>
                <w:szCs w:val="22"/>
                <w:highlight w:val="white"/>
              </w:rPr>
              <w:t>ESCAM - Escala de Carga Mental Subjetiva</w:t>
            </w:r>
          </w:p>
        </w:tc>
        <w:tc>
          <w:tcPr>
            <w:tcW w:w="3000" w:type="pct"/>
            <w:tcBorders>
              <w:top w:val="nil"/>
              <w:left w:val="nil"/>
              <w:bottom w:val="nil"/>
              <w:right w:val="nil"/>
            </w:tcBorders>
          </w:tcPr>
          <w:p w14:paraId="0F040CFB" w14:textId="77777777" w:rsidR="003D5FC4" w:rsidRPr="003D5FC4" w:rsidRDefault="003D5FC4" w:rsidP="009D48FF">
            <w:pPr>
              <w:rPr>
                <w:sz w:val="22"/>
                <w:szCs w:val="22"/>
                <w:highlight w:val="white"/>
              </w:rPr>
            </w:pPr>
            <w:r w:rsidRPr="003D5FC4">
              <w:rPr>
                <w:sz w:val="22"/>
                <w:szCs w:val="22"/>
                <w:highlight w:val="white"/>
              </w:rPr>
              <w:t>Demandas cognitivas y complejidad de la tarea, características de la tarea, organización temporal, ritmo de trabajo y consecuencias para la salud.</w:t>
            </w:r>
          </w:p>
        </w:tc>
        <w:tc>
          <w:tcPr>
            <w:tcW w:w="160" w:type="pct"/>
            <w:tcBorders>
              <w:top w:val="nil"/>
              <w:left w:val="nil"/>
              <w:bottom w:val="nil"/>
              <w:right w:val="nil"/>
            </w:tcBorders>
          </w:tcPr>
          <w:p w14:paraId="2972B281" w14:textId="77777777" w:rsidR="003D5FC4" w:rsidRPr="003D5FC4" w:rsidRDefault="003D5FC4" w:rsidP="009D48FF">
            <w:pPr>
              <w:ind w:right="-2"/>
              <w:rPr>
                <w:sz w:val="22"/>
                <w:szCs w:val="22"/>
                <w:highlight w:val="white"/>
              </w:rPr>
            </w:pPr>
            <w:r w:rsidRPr="003D5FC4">
              <w:rPr>
                <w:sz w:val="22"/>
                <w:szCs w:val="22"/>
                <w:highlight w:val="white"/>
              </w:rPr>
              <w:t>3</w:t>
            </w:r>
          </w:p>
        </w:tc>
      </w:tr>
      <w:tr w:rsidR="003D5FC4" w:rsidRPr="003D5FC4" w14:paraId="46584C3D"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2E22609" w14:textId="77777777" w:rsidR="003D5FC4" w:rsidRPr="003D5FC4" w:rsidRDefault="003D5FC4" w:rsidP="009D48FF">
            <w:pPr>
              <w:rPr>
                <w:sz w:val="22"/>
                <w:szCs w:val="22"/>
              </w:rPr>
            </w:pPr>
            <w:r w:rsidRPr="003D5FC4">
              <w:rPr>
                <w:sz w:val="22"/>
                <w:szCs w:val="22"/>
                <w:highlight w:val="white"/>
              </w:rPr>
              <w:t xml:space="preserve">CarMenQ – </w:t>
            </w:r>
            <w:r w:rsidRPr="003D5FC4">
              <w:rPr>
                <w:sz w:val="22"/>
                <w:szCs w:val="22"/>
              </w:rPr>
              <w:t>Cuestionario</w:t>
            </w:r>
            <w:r w:rsidRPr="003D5FC4">
              <w:rPr>
                <w:sz w:val="22"/>
                <w:szCs w:val="22"/>
                <w:highlight w:val="white"/>
              </w:rPr>
              <w:t xml:space="preserve"> de Carga Mental</w:t>
            </w:r>
          </w:p>
        </w:tc>
        <w:tc>
          <w:tcPr>
            <w:tcW w:w="3000" w:type="pct"/>
            <w:tcBorders>
              <w:top w:val="nil"/>
              <w:left w:val="nil"/>
              <w:bottom w:val="nil"/>
              <w:right w:val="nil"/>
            </w:tcBorders>
          </w:tcPr>
          <w:p w14:paraId="78DA12B7" w14:textId="77777777" w:rsidR="003D5FC4" w:rsidRPr="003D5FC4" w:rsidRDefault="003D5FC4" w:rsidP="009D48FF">
            <w:pPr>
              <w:rPr>
                <w:sz w:val="22"/>
                <w:szCs w:val="22"/>
                <w:highlight w:val="white"/>
              </w:rPr>
            </w:pPr>
            <w:r w:rsidRPr="003D5FC4">
              <w:rPr>
                <w:sz w:val="22"/>
                <w:szCs w:val="22"/>
                <w:highlight w:val="white"/>
              </w:rPr>
              <w:t>Demandas cognitivas, temporales y emocionales de salud y desempeño.</w:t>
            </w:r>
          </w:p>
        </w:tc>
        <w:tc>
          <w:tcPr>
            <w:tcW w:w="160" w:type="pct"/>
            <w:tcBorders>
              <w:top w:val="nil"/>
              <w:left w:val="nil"/>
              <w:bottom w:val="nil"/>
              <w:right w:val="nil"/>
            </w:tcBorders>
          </w:tcPr>
          <w:p w14:paraId="610CE273" w14:textId="77777777" w:rsidR="003D5FC4" w:rsidRPr="003D5FC4" w:rsidRDefault="003D5FC4" w:rsidP="009D48FF">
            <w:pPr>
              <w:ind w:right="-2"/>
              <w:rPr>
                <w:sz w:val="22"/>
                <w:szCs w:val="22"/>
                <w:highlight w:val="white"/>
              </w:rPr>
            </w:pPr>
            <w:r w:rsidRPr="003D5FC4">
              <w:rPr>
                <w:sz w:val="22"/>
                <w:szCs w:val="22"/>
                <w:highlight w:val="white"/>
              </w:rPr>
              <w:t>3</w:t>
            </w:r>
          </w:p>
        </w:tc>
      </w:tr>
      <w:tr w:rsidR="003D5FC4" w:rsidRPr="003D5FC4" w14:paraId="003D1FA7"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471A0AB" w14:textId="77777777" w:rsidR="003D5FC4" w:rsidRPr="003D5FC4" w:rsidRDefault="003D5FC4" w:rsidP="009D48FF">
            <w:pPr>
              <w:rPr>
                <w:sz w:val="22"/>
                <w:szCs w:val="22"/>
              </w:rPr>
            </w:pPr>
            <w:r w:rsidRPr="003D5FC4">
              <w:rPr>
                <w:sz w:val="22"/>
                <w:szCs w:val="22"/>
                <w:highlight w:val="white"/>
              </w:rPr>
              <w:t>WP - Perfil de carga de trabajo</w:t>
            </w:r>
          </w:p>
        </w:tc>
        <w:tc>
          <w:tcPr>
            <w:tcW w:w="3000" w:type="pct"/>
            <w:tcBorders>
              <w:top w:val="nil"/>
              <w:left w:val="nil"/>
              <w:bottom w:val="nil"/>
              <w:right w:val="nil"/>
            </w:tcBorders>
          </w:tcPr>
          <w:p w14:paraId="562D9829" w14:textId="77777777" w:rsidR="003D5FC4" w:rsidRPr="003D5FC4" w:rsidRDefault="003D5FC4" w:rsidP="009D48FF">
            <w:pPr>
              <w:rPr>
                <w:sz w:val="22"/>
                <w:szCs w:val="22"/>
                <w:highlight w:val="white"/>
              </w:rPr>
            </w:pPr>
            <w:r w:rsidRPr="003D5FC4">
              <w:rPr>
                <w:sz w:val="22"/>
                <w:szCs w:val="22"/>
                <w:highlight w:val="white"/>
              </w:rPr>
              <w:t>Cognitiva, espacial, visual y manual.</w:t>
            </w:r>
          </w:p>
        </w:tc>
        <w:tc>
          <w:tcPr>
            <w:tcW w:w="160" w:type="pct"/>
            <w:tcBorders>
              <w:top w:val="nil"/>
              <w:left w:val="nil"/>
              <w:bottom w:val="nil"/>
              <w:right w:val="nil"/>
            </w:tcBorders>
          </w:tcPr>
          <w:p w14:paraId="2E334725" w14:textId="77777777" w:rsidR="003D5FC4" w:rsidRPr="003D5FC4" w:rsidRDefault="003D5FC4" w:rsidP="009D48FF">
            <w:pPr>
              <w:ind w:right="-2"/>
              <w:rPr>
                <w:sz w:val="22"/>
                <w:szCs w:val="22"/>
                <w:highlight w:val="white"/>
              </w:rPr>
            </w:pPr>
            <w:r w:rsidRPr="003D5FC4">
              <w:rPr>
                <w:sz w:val="22"/>
                <w:szCs w:val="22"/>
                <w:highlight w:val="white"/>
              </w:rPr>
              <w:t>3</w:t>
            </w:r>
          </w:p>
        </w:tc>
      </w:tr>
      <w:tr w:rsidR="003D5FC4" w:rsidRPr="003D5FC4" w14:paraId="2062D4E2"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3F3E88A" w14:textId="77777777" w:rsidR="003D5FC4" w:rsidRPr="003D5FC4" w:rsidRDefault="003D5FC4" w:rsidP="009D48FF">
            <w:pPr>
              <w:rPr>
                <w:sz w:val="22"/>
                <w:szCs w:val="22"/>
              </w:rPr>
            </w:pPr>
            <w:r w:rsidRPr="003D5FC4">
              <w:rPr>
                <w:sz w:val="22"/>
                <w:szCs w:val="22"/>
              </w:rPr>
              <w:t>Escala de PAAS</w:t>
            </w:r>
          </w:p>
        </w:tc>
        <w:tc>
          <w:tcPr>
            <w:tcW w:w="3000" w:type="pct"/>
            <w:tcBorders>
              <w:top w:val="nil"/>
              <w:left w:val="nil"/>
              <w:bottom w:val="nil"/>
              <w:right w:val="nil"/>
            </w:tcBorders>
          </w:tcPr>
          <w:p w14:paraId="7F2CC9AD" w14:textId="77777777" w:rsidR="003D5FC4" w:rsidRPr="003D5FC4" w:rsidRDefault="003D5FC4" w:rsidP="009D48FF">
            <w:pPr>
              <w:rPr>
                <w:sz w:val="22"/>
                <w:szCs w:val="22"/>
                <w:highlight w:val="white"/>
              </w:rPr>
            </w:pPr>
            <w:r w:rsidRPr="003D5FC4">
              <w:rPr>
                <w:sz w:val="22"/>
                <w:szCs w:val="22"/>
                <w:highlight w:val="white"/>
              </w:rPr>
              <w:t>Esfuerzo mental invertido.</w:t>
            </w:r>
          </w:p>
        </w:tc>
        <w:tc>
          <w:tcPr>
            <w:tcW w:w="160" w:type="pct"/>
            <w:tcBorders>
              <w:top w:val="nil"/>
              <w:left w:val="nil"/>
              <w:bottom w:val="nil"/>
              <w:right w:val="nil"/>
            </w:tcBorders>
          </w:tcPr>
          <w:p w14:paraId="7441EE60"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72FBC7A3"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0A8DAD42" w14:textId="77777777" w:rsidR="003D5FC4" w:rsidRPr="003D5FC4" w:rsidRDefault="003D5FC4" w:rsidP="009D48FF">
            <w:pPr>
              <w:rPr>
                <w:sz w:val="22"/>
                <w:szCs w:val="22"/>
              </w:rPr>
            </w:pPr>
            <w:r w:rsidRPr="003D5FC4">
              <w:rPr>
                <w:sz w:val="22"/>
                <w:szCs w:val="22"/>
              </w:rPr>
              <w:t>Adaptación de la Escala de demandas de trabajo de Karasek</w:t>
            </w:r>
          </w:p>
        </w:tc>
        <w:tc>
          <w:tcPr>
            <w:tcW w:w="3000" w:type="pct"/>
            <w:tcBorders>
              <w:top w:val="nil"/>
              <w:left w:val="nil"/>
              <w:bottom w:val="nil"/>
              <w:right w:val="nil"/>
            </w:tcBorders>
          </w:tcPr>
          <w:p w14:paraId="783C7791" w14:textId="77777777" w:rsidR="003D5FC4" w:rsidRPr="003D5FC4" w:rsidRDefault="003D5FC4" w:rsidP="009D48FF">
            <w:pPr>
              <w:rPr>
                <w:sz w:val="22"/>
                <w:szCs w:val="22"/>
                <w:highlight w:val="white"/>
              </w:rPr>
            </w:pPr>
            <w:r w:rsidRPr="003D5FC4">
              <w:rPr>
                <w:sz w:val="22"/>
                <w:szCs w:val="22"/>
              </w:rPr>
              <w:t>Carga de trabajo excesiva, tiempo disponible y tiempo insuficiente para trabajar.</w:t>
            </w:r>
          </w:p>
        </w:tc>
        <w:tc>
          <w:tcPr>
            <w:tcW w:w="160" w:type="pct"/>
            <w:tcBorders>
              <w:top w:val="nil"/>
              <w:left w:val="nil"/>
              <w:bottom w:val="nil"/>
              <w:right w:val="nil"/>
            </w:tcBorders>
          </w:tcPr>
          <w:p w14:paraId="42C3F787"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14B0699E"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026B100" w14:textId="77777777" w:rsidR="003D5FC4" w:rsidRPr="003D5FC4" w:rsidRDefault="003D5FC4" w:rsidP="009D48FF">
            <w:pPr>
              <w:rPr>
                <w:sz w:val="22"/>
                <w:szCs w:val="22"/>
              </w:rPr>
            </w:pPr>
            <w:r w:rsidRPr="003D5FC4">
              <w:rPr>
                <w:sz w:val="22"/>
                <w:szCs w:val="22"/>
                <w:highlight w:val="white"/>
              </w:rPr>
              <w:t>Cuestionario de alerta para sobrecarga</w:t>
            </w:r>
          </w:p>
        </w:tc>
        <w:tc>
          <w:tcPr>
            <w:tcW w:w="3000" w:type="pct"/>
            <w:tcBorders>
              <w:top w:val="nil"/>
              <w:left w:val="nil"/>
              <w:bottom w:val="nil"/>
              <w:right w:val="nil"/>
            </w:tcBorders>
          </w:tcPr>
          <w:p w14:paraId="27611F59" w14:textId="77777777" w:rsidR="003D5FC4" w:rsidRPr="003D5FC4" w:rsidRDefault="003D5FC4" w:rsidP="009D48FF">
            <w:pPr>
              <w:rPr>
                <w:sz w:val="22"/>
                <w:szCs w:val="22"/>
                <w:highlight w:val="white"/>
              </w:rPr>
            </w:pPr>
            <w:r w:rsidRPr="003D5FC4">
              <w:rPr>
                <w:sz w:val="22"/>
                <w:szCs w:val="22"/>
                <w:highlight w:val="white"/>
              </w:rPr>
              <w:t xml:space="preserve">Notificaciones de pacientes, soporte, tiempo, normas, desempeño y expectativa. </w:t>
            </w:r>
          </w:p>
        </w:tc>
        <w:tc>
          <w:tcPr>
            <w:tcW w:w="160" w:type="pct"/>
            <w:tcBorders>
              <w:top w:val="nil"/>
              <w:left w:val="nil"/>
              <w:bottom w:val="nil"/>
              <w:right w:val="nil"/>
            </w:tcBorders>
          </w:tcPr>
          <w:p w14:paraId="53FC64B6"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617673CB"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4ED0A186" w14:textId="77777777" w:rsidR="003D5FC4" w:rsidRPr="003D5FC4" w:rsidRDefault="003D5FC4" w:rsidP="009D48FF">
            <w:pPr>
              <w:rPr>
                <w:sz w:val="22"/>
                <w:szCs w:val="22"/>
              </w:rPr>
            </w:pPr>
            <w:r w:rsidRPr="003D5FC4">
              <w:rPr>
                <w:sz w:val="22"/>
                <w:szCs w:val="22"/>
                <w:highlight w:val="white"/>
              </w:rPr>
              <w:t xml:space="preserve">IWA - Individual-Workload-Activity </w:t>
            </w:r>
            <w:r w:rsidRPr="003D5FC4">
              <w:rPr>
                <w:sz w:val="22"/>
                <w:szCs w:val="22"/>
              </w:rPr>
              <w:t>(Actividad-de Carga de Trabajo-Individual)</w:t>
            </w:r>
          </w:p>
        </w:tc>
        <w:tc>
          <w:tcPr>
            <w:tcW w:w="3000" w:type="pct"/>
            <w:tcBorders>
              <w:top w:val="nil"/>
              <w:left w:val="nil"/>
              <w:bottom w:val="nil"/>
              <w:right w:val="nil"/>
            </w:tcBorders>
          </w:tcPr>
          <w:p w14:paraId="34D16454" w14:textId="77777777" w:rsidR="003D5FC4" w:rsidRPr="003D5FC4" w:rsidRDefault="003D5FC4" w:rsidP="009D48FF">
            <w:pPr>
              <w:rPr>
                <w:sz w:val="22"/>
                <w:szCs w:val="22"/>
                <w:highlight w:val="white"/>
              </w:rPr>
            </w:pPr>
            <w:r w:rsidRPr="003D5FC4">
              <w:rPr>
                <w:sz w:val="22"/>
                <w:szCs w:val="22"/>
                <w:highlight w:val="white"/>
              </w:rPr>
              <w:t>Carga intrínseca, carga extrínseca, carga german e aspectos temporales del trabajo.</w:t>
            </w:r>
          </w:p>
        </w:tc>
        <w:tc>
          <w:tcPr>
            <w:tcW w:w="160" w:type="pct"/>
            <w:tcBorders>
              <w:top w:val="nil"/>
              <w:left w:val="nil"/>
              <w:bottom w:val="nil"/>
              <w:right w:val="nil"/>
            </w:tcBorders>
          </w:tcPr>
          <w:p w14:paraId="6002AB67"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2BF38968" w14:textId="77777777" w:rsidTr="003D5FC4">
        <w:trPr>
          <w:trHeight w:val="212"/>
        </w:trPr>
        <w:tc>
          <w:tcPr>
            <w:tcW w:w="1841" w:type="pct"/>
            <w:tcBorders>
              <w:top w:val="nil"/>
              <w:left w:val="nil"/>
              <w:bottom w:val="nil"/>
              <w:right w:val="nil"/>
            </w:tcBorders>
            <w:shd w:val="clear" w:color="auto" w:fill="auto"/>
            <w:tcMar>
              <w:top w:w="80" w:type="dxa"/>
              <w:left w:w="80" w:type="dxa"/>
              <w:bottom w:w="80" w:type="dxa"/>
              <w:right w:w="80" w:type="dxa"/>
            </w:tcMar>
          </w:tcPr>
          <w:p w14:paraId="184529BC" w14:textId="77777777" w:rsidR="003D5FC4" w:rsidRPr="003D5FC4" w:rsidRDefault="003D5FC4" w:rsidP="009D48FF">
            <w:pPr>
              <w:rPr>
                <w:sz w:val="22"/>
                <w:szCs w:val="22"/>
              </w:rPr>
            </w:pPr>
            <w:r w:rsidRPr="003D5FC4">
              <w:rPr>
                <w:sz w:val="22"/>
                <w:szCs w:val="22"/>
                <w:highlight w:val="white"/>
              </w:rPr>
              <w:t>GWL – Grupos de Carga de Trabajo</w:t>
            </w:r>
          </w:p>
        </w:tc>
        <w:tc>
          <w:tcPr>
            <w:tcW w:w="3000" w:type="pct"/>
            <w:tcBorders>
              <w:top w:val="nil"/>
              <w:left w:val="nil"/>
              <w:bottom w:val="nil"/>
              <w:right w:val="nil"/>
            </w:tcBorders>
          </w:tcPr>
          <w:p w14:paraId="305ED5DC" w14:textId="77777777" w:rsidR="003D5FC4" w:rsidRPr="003D5FC4" w:rsidRDefault="003D5FC4" w:rsidP="009D48FF">
            <w:pPr>
              <w:rPr>
                <w:sz w:val="22"/>
                <w:szCs w:val="22"/>
                <w:highlight w:val="white"/>
              </w:rPr>
            </w:pPr>
            <w:r w:rsidRPr="003D5FC4">
              <w:rPr>
                <w:sz w:val="22"/>
                <w:szCs w:val="22"/>
                <w:highlight w:val="white"/>
              </w:rPr>
              <w:t>Demanda de coordinación, demanda de comunicación, demanda por compartir tiempo, eficacia del equipo, soporte del equipo e insatisfacción del equipo.</w:t>
            </w:r>
          </w:p>
        </w:tc>
        <w:tc>
          <w:tcPr>
            <w:tcW w:w="160" w:type="pct"/>
            <w:tcBorders>
              <w:top w:val="nil"/>
              <w:left w:val="nil"/>
              <w:bottom w:val="nil"/>
              <w:right w:val="nil"/>
            </w:tcBorders>
          </w:tcPr>
          <w:p w14:paraId="413F141E" w14:textId="77777777" w:rsidR="003D5FC4" w:rsidRPr="003D5FC4" w:rsidRDefault="003D5FC4" w:rsidP="009D48FF">
            <w:pPr>
              <w:ind w:right="-2"/>
              <w:rPr>
                <w:sz w:val="22"/>
                <w:szCs w:val="22"/>
                <w:highlight w:val="white"/>
              </w:rPr>
            </w:pPr>
            <w:r w:rsidRPr="003D5FC4">
              <w:rPr>
                <w:sz w:val="22"/>
                <w:szCs w:val="22"/>
                <w:highlight w:val="white"/>
              </w:rPr>
              <w:t>1</w:t>
            </w:r>
          </w:p>
        </w:tc>
      </w:tr>
      <w:tr w:rsidR="003D5FC4" w:rsidRPr="003D5FC4" w14:paraId="064E42CD" w14:textId="77777777" w:rsidTr="003D5FC4">
        <w:trPr>
          <w:trHeight w:val="212"/>
        </w:trPr>
        <w:tc>
          <w:tcPr>
            <w:tcW w:w="1841" w:type="pct"/>
            <w:tcBorders>
              <w:top w:val="nil"/>
              <w:left w:val="nil"/>
              <w:bottom w:val="single" w:sz="4" w:space="0" w:color="000000"/>
              <w:right w:val="nil"/>
            </w:tcBorders>
            <w:shd w:val="clear" w:color="auto" w:fill="auto"/>
            <w:tcMar>
              <w:top w:w="80" w:type="dxa"/>
              <w:left w:w="80" w:type="dxa"/>
              <w:bottom w:w="80" w:type="dxa"/>
              <w:right w:w="80" w:type="dxa"/>
            </w:tcMar>
          </w:tcPr>
          <w:p w14:paraId="38EB31B3" w14:textId="77777777" w:rsidR="003D5FC4" w:rsidRPr="003D5FC4" w:rsidRDefault="003D5FC4" w:rsidP="009D48FF">
            <w:pPr>
              <w:rPr>
                <w:sz w:val="22"/>
                <w:szCs w:val="22"/>
              </w:rPr>
            </w:pPr>
            <w:r w:rsidRPr="003D5FC4">
              <w:rPr>
                <w:sz w:val="22"/>
                <w:szCs w:val="22"/>
                <w:highlight w:val="white"/>
              </w:rPr>
              <w:t>Escala de Dominancia de Carga de Trabajo Subjetiva</w:t>
            </w:r>
          </w:p>
        </w:tc>
        <w:tc>
          <w:tcPr>
            <w:tcW w:w="3000" w:type="pct"/>
            <w:tcBorders>
              <w:top w:val="nil"/>
              <w:left w:val="nil"/>
              <w:bottom w:val="single" w:sz="4" w:space="0" w:color="000000"/>
              <w:right w:val="nil"/>
            </w:tcBorders>
          </w:tcPr>
          <w:p w14:paraId="31DE6E7A" w14:textId="77777777" w:rsidR="003D5FC4" w:rsidRPr="003D5FC4" w:rsidRDefault="003D5FC4" w:rsidP="009D48FF">
            <w:pPr>
              <w:rPr>
                <w:sz w:val="22"/>
                <w:szCs w:val="22"/>
                <w:highlight w:val="white"/>
              </w:rPr>
            </w:pPr>
            <w:r w:rsidRPr="003D5FC4">
              <w:rPr>
                <w:sz w:val="22"/>
                <w:szCs w:val="22"/>
                <w:highlight w:val="white"/>
              </w:rPr>
              <w:t xml:space="preserve">Carga cognitiva. </w:t>
            </w:r>
          </w:p>
        </w:tc>
        <w:tc>
          <w:tcPr>
            <w:tcW w:w="160" w:type="pct"/>
            <w:tcBorders>
              <w:top w:val="nil"/>
              <w:left w:val="nil"/>
              <w:bottom w:val="single" w:sz="4" w:space="0" w:color="000000"/>
              <w:right w:val="nil"/>
            </w:tcBorders>
          </w:tcPr>
          <w:p w14:paraId="3D411EFA" w14:textId="77777777" w:rsidR="003D5FC4" w:rsidRPr="003D5FC4" w:rsidRDefault="003D5FC4" w:rsidP="009D48FF">
            <w:pPr>
              <w:ind w:right="-2"/>
              <w:rPr>
                <w:sz w:val="22"/>
                <w:szCs w:val="22"/>
                <w:highlight w:val="white"/>
              </w:rPr>
            </w:pPr>
            <w:r w:rsidRPr="003D5FC4">
              <w:rPr>
                <w:sz w:val="22"/>
                <w:szCs w:val="22"/>
                <w:highlight w:val="white"/>
              </w:rPr>
              <w:t>1</w:t>
            </w:r>
          </w:p>
        </w:tc>
      </w:tr>
    </w:tbl>
    <w:p w14:paraId="6DF0CE27" w14:textId="77777777" w:rsidR="00471F54" w:rsidRDefault="00471F54" w:rsidP="00184153">
      <w:pPr>
        <w:pStyle w:val="Prrafocomn"/>
        <w:rPr>
          <w:bCs/>
          <w:lang w:val="es-ES_tradnl"/>
        </w:rPr>
      </w:pPr>
    </w:p>
    <w:p w14:paraId="06ED46BA" w14:textId="79ED2019" w:rsidR="00591E08" w:rsidRDefault="00591E08" w:rsidP="00184153">
      <w:pPr>
        <w:pStyle w:val="Prrafocomn"/>
        <w:rPr>
          <w:bCs/>
          <w:lang w:val="es-CO"/>
        </w:rPr>
      </w:pPr>
    </w:p>
    <w:p w14:paraId="1FA53A5B" w14:textId="77777777" w:rsidR="00591E08" w:rsidRPr="00591E08" w:rsidRDefault="00591E08" w:rsidP="00591E08">
      <w:pPr>
        <w:pStyle w:val="Prrafocomn"/>
        <w:rPr>
          <w:bCs/>
          <w:lang w:val="es-CO"/>
        </w:rPr>
      </w:pPr>
      <w:r w:rsidRPr="00591E08">
        <w:rPr>
          <w:bCs/>
          <w:lang w:val="es-CO"/>
        </w:rPr>
        <w:lastRenderedPageBreak/>
        <w:t>El instrumento más utilizado, identificado en 117 artículos de esta revisión, fue el NASA-TLX (Nasa Task Load Index), además de 6 adaptaciones de este para su uso con públicos específicos. Inicialmente llamado NASA-Ames, este instrumento estaba originalmente compuesto por nueve dimensiones, que reflejaban diferentes escalas, lo que se consideraba poco práctico para su uso en simulaciones o en un entorno operativo. Así, se excluyeron las subescalas consideradas irrelevantes o redundantes con respecto a las cargas de trabajo y, en 1987, se desarrolló una adaptación del instrumento, que pasó a conocerse como NASA-TLX (Abich et al., 2017; Alberdi et al., 2018; Ceballos-Vásquez et al., 2016). Desde 2001 cuando fue traducido y adaptado para Brasil por el Laboratorio de Factor Humano, de la Universidad Federal de Santa Catarina, ha sido utilizado en estudios de maestría y doctorado, con diferentes objetivos y grupos ocupacionales (Laurie-Rose et al., 2017; Laurie-Rose et al., 2014).</w:t>
      </w:r>
    </w:p>
    <w:p w14:paraId="20BC7D97" w14:textId="77777777" w:rsidR="00591E08" w:rsidRPr="00591E08" w:rsidRDefault="00591E08" w:rsidP="00591E08">
      <w:pPr>
        <w:pStyle w:val="Prrafocomn"/>
        <w:rPr>
          <w:bCs/>
          <w:lang w:val="es-CO"/>
        </w:rPr>
      </w:pPr>
      <w:r w:rsidRPr="00591E08">
        <w:rPr>
          <w:bCs/>
          <w:lang w:val="es-CO"/>
        </w:rPr>
        <w:t>También se destacan los instrumentos SWAT (n=16), RMSE (n=7), ESCAM, CarMen-Q y WP utilizados en tres estudios cada uno. El SWAT fue desarrollado para medir CMT en actividades ocupacionales específicas, basado en la técnica de medición conjunta, es decir, que la carga mental de una actividad está determinada por tres factores o dimensiones: el tiempo de ejecución, el esfuerzo mental empleado y el estrés percibido (Young et al., 2015). La escala RMSE tiene su modelo teórico basado en el constructo de esfuerzo mental, definido por la asignación voluntaria de recursos para responder a las demandas de la tarea, es decir, parte del constructo de carga de trabajo mental (Alberdi et al., 2018; Teh et al., 2014; Young et al., 2015). Es un instrumento psicométrico compuesto por una sola pregunta en la que el encuestado indica en línea continua su nivel de esfuerzo cognitivo (Wilbanks &amp; McMullan, 2018).</w:t>
      </w:r>
    </w:p>
    <w:p w14:paraId="7A2ADD19" w14:textId="77777777" w:rsidR="00591E08" w:rsidRPr="00591E08" w:rsidRDefault="00591E08" w:rsidP="00591E08">
      <w:pPr>
        <w:pStyle w:val="Prrafocomn"/>
        <w:rPr>
          <w:bCs/>
          <w:lang w:val="es-CO"/>
        </w:rPr>
      </w:pPr>
      <w:r w:rsidRPr="00591E08">
        <w:rPr>
          <w:bCs/>
          <w:lang w:val="es-CO"/>
        </w:rPr>
        <w:t xml:space="preserve">La ESCAM se denomina escala multidimensional que evalúa la carga mental percibida en el trabajo. Se basa en una evaluación global de las tareas realizadas, incluyen factores relacionados con las características de las tareas (realizadas temporalmente) y las condiciones de trabajo y los efectos nocivos de las cargas, específicamente síntomas de fatiga mental (Ceballos-Vásquez et al., 2014; Ceballos-Vásquez et al., 2016). El CarMen-Q es un instrumento de opción múltiple de 29 ítems desarrollado para la población española, que engloba cuestiones relacionadas con el procesamiento de informaciones complejas, tales como dificultades en la interpretación de la información, toma de decisiones complejas; demandas temporales como el ritmo de trabajo, interrupciones y posibilidades de tomar descansos; además de las demandas emocionales relacionadas con </w:t>
      </w:r>
      <w:r w:rsidRPr="00591E08">
        <w:rPr>
          <w:bCs/>
          <w:lang w:val="es-CO"/>
        </w:rPr>
        <w:lastRenderedPageBreak/>
        <w:t>las consecuencias para la salud del trabajador (Rodríguez-López et al., 2021; Rubio-Valdehita et al., 2017).</w:t>
      </w:r>
    </w:p>
    <w:p w14:paraId="597100B7" w14:textId="77777777" w:rsidR="00591E08" w:rsidRPr="00591E08" w:rsidRDefault="00591E08" w:rsidP="00591E08">
      <w:pPr>
        <w:pStyle w:val="Prrafocomn"/>
        <w:rPr>
          <w:bCs/>
          <w:lang w:val="es-CO"/>
        </w:rPr>
      </w:pPr>
      <w:r w:rsidRPr="00591E08">
        <w:rPr>
          <w:bCs/>
          <w:lang w:val="es-CO"/>
        </w:rPr>
        <w:t>Similar a la propuesta unidimensional de la RSME, el WP se aplica después de la ejecución de una actividad, donde se invita a los encuestados a indicar si la tarea requirió algún esfuerzo, que va desde ninguno hasta el máximo. Fundamentado en la teoría de los recursos de atención múltiple. Los encuestados son vistos como personas con diferentes capacidades o recursos (Digiesi et al., 2020; Longo, 2018). Los demás instrumentos se utilizaron cada uno en un estudio y sus detalles se pueden ver en la Tabla 2.</w:t>
      </w:r>
    </w:p>
    <w:p w14:paraId="5F355767" w14:textId="77777777" w:rsidR="00591E08" w:rsidRPr="00591E08" w:rsidRDefault="00591E08" w:rsidP="00591E08">
      <w:pPr>
        <w:pStyle w:val="Prrafocomn"/>
        <w:rPr>
          <w:bCs/>
          <w:lang w:val="es-CO"/>
        </w:rPr>
      </w:pPr>
      <w:r w:rsidRPr="00591E08">
        <w:rPr>
          <w:bCs/>
          <w:lang w:val="es-CO"/>
        </w:rPr>
        <w:t>En cada artículo seleccionado, se buscó información sobre evidencia de validez basado en el contenido, en la estructura interna (indicadores de confiabilidad incluidos) y en medidas externas. Entre los 145 artículos analizados, 20 de ellos presentaron alguna información sobre las propiedades psicométricas de los instrumentos utilizados o revisados, haciendo referencia a estudios que indicaron validez y/o confiabilidad del instrumento (Tabla 3), y otros 19 estudios investigaron algunas de las propiedades psicométricas de los instrumentos utilizados (Tabla 4).</w:t>
      </w:r>
    </w:p>
    <w:p w14:paraId="3811F014" w14:textId="33779C54" w:rsidR="00591E08" w:rsidRDefault="00591E08" w:rsidP="00591E08">
      <w:pPr>
        <w:pStyle w:val="Prrafocomn"/>
        <w:ind w:firstLine="0"/>
        <w:jc w:val="left"/>
        <w:rPr>
          <w:bCs/>
          <w:lang w:val="es-CO"/>
        </w:rPr>
      </w:pPr>
      <w:r w:rsidRPr="00591E08">
        <w:rPr>
          <w:b/>
          <w:bCs/>
          <w:lang w:val="es-CO"/>
        </w:rPr>
        <w:t>Tabla 3</w:t>
      </w:r>
      <w:r w:rsidRPr="00591E08">
        <w:rPr>
          <w:bCs/>
          <w:lang w:val="es-CO"/>
        </w:rPr>
        <w:br/>
      </w:r>
      <w:r w:rsidRPr="00591E08">
        <w:rPr>
          <w:bCs/>
          <w:i/>
          <w:lang w:val="es-CO"/>
        </w:rPr>
        <w:t>Criterios psicométricos de los instrumentos de carga mental de trabajo referenciados con base en otros estudios</w:t>
      </w:r>
    </w:p>
    <w:tbl>
      <w:tblPr>
        <w:tblStyle w:val="2"/>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1781"/>
        <w:gridCol w:w="1328"/>
        <w:gridCol w:w="1653"/>
        <w:gridCol w:w="2143"/>
        <w:gridCol w:w="1580"/>
        <w:gridCol w:w="19"/>
      </w:tblGrid>
      <w:tr w:rsidR="009D48FF" w:rsidRPr="0019627D" w14:paraId="4023B67A" w14:textId="77777777" w:rsidTr="009D48FF">
        <w:trPr>
          <w:gridAfter w:val="1"/>
          <w:wAfter w:w="11" w:type="pct"/>
          <w:trHeight w:val="364"/>
          <w:tblHeader/>
        </w:trPr>
        <w:tc>
          <w:tcPr>
            <w:tcW w:w="1047" w:type="pct"/>
            <w:tcBorders>
              <w:top w:val="single" w:sz="4" w:space="0" w:color="000000"/>
              <w:left w:val="nil"/>
              <w:bottom w:val="nil"/>
              <w:right w:val="nil"/>
            </w:tcBorders>
            <w:shd w:val="clear" w:color="auto" w:fill="auto"/>
            <w:tcMar>
              <w:top w:w="80" w:type="dxa"/>
              <w:left w:w="80" w:type="dxa"/>
              <w:bottom w:w="80" w:type="dxa"/>
              <w:right w:w="80" w:type="dxa"/>
            </w:tcMar>
          </w:tcPr>
          <w:p w14:paraId="321CDA1D" w14:textId="77777777" w:rsidR="009D48FF" w:rsidRPr="0019627D" w:rsidRDefault="009D48FF" w:rsidP="009D48FF"/>
        </w:tc>
        <w:tc>
          <w:tcPr>
            <w:tcW w:w="781" w:type="pct"/>
            <w:tcBorders>
              <w:top w:val="single" w:sz="4" w:space="0" w:color="000000"/>
              <w:left w:val="nil"/>
              <w:bottom w:val="nil"/>
              <w:right w:val="nil"/>
            </w:tcBorders>
          </w:tcPr>
          <w:p w14:paraId="17E85684" w14:textId="77777777" w:rsidR="009D48FF" w:rsidRPr="009D48FF" w:rsidRDefault="009D48FF" w:rsidP="009D48FF">
            <w:pPr>
              <w:rPr>
                <w:b/>
              </w:rPr>
            </w:pPr>
          </w:p>
        </w:tc>
        <w:tc>
          <w:tcPr>
            <w:tcW w:w="3161" w:type="pct"/>
            <w:gridSpan w:val="3"/>
            <w:tcBorders>
              <w:top w:val="single" w:sz="4" w:space="0" w:color="000000"/>
              <w:left w:val="nil"/>
              <w:bottom w:val="single" w:sz="4" w:space="0" w:color="000000"/>
              <w:right w:val="nil"/>
            </w:tcBorders>
          </w:tcPr>
          <w:p w14:paraId="474BC079" w14:textId="77777777" w:rsidR="009D48FF" w:rsidRPr="009D48FF" w:rsidRDefault="009D48FF" w:rsidP="009D48FF">
            <w:pPr>
              <w:rPr>
                <w:b/>
              </w:rPr>
            </w:pPr>
            <w:r w:rsidRPr="009D48FF">
              <w:rPr>
                <w:b/>
              </w:rPr>
              <w:t>Evidencias de validez</w:t>
            </w:r>
            <w:r w:rsidRPr="009D48FF">
              <w:rPr>
                <w:b/>
                <w:vertAlign w:val="superscript"/>
              </w:rPr>
              <w:footnoteReference w:id="3"/>
            </w:r>
          </w:p>
        </w:tc>
      </w:tr>
      <w:tr w:rsidR="009D48FF" w:rsidRPr="0019627D" w14:paraId="64799399" w14:textId="77777777" w:rsidTr="009D48FF">
        <w:trPr>
          <w:trHeight w:val="222"/>
          <w:tblHeader/>
        </w:trPr>
        <w:tc>
          <w:tcPr>
            <w:tcW w:w="1047" w:type="pct"/>
            <w:tcBorders>
              <w:top w:val="nil"/>
              <w:left w:val="nil"/>
              <w:bottom w:val="single" w:sz="4" w:space="0" w:color="000000"/>
              <w:right w:val="nil"/>
            </w:tcBorders>
            <w:shd w:val="clear" w:color="auto" w:fill="auto"/>
            <w:tcMar>
              <w:top w:w="80" w:type="dxa"/>
              <w:left w:w="80" w:type="dxa"/>
              <w:bottom w:w="80" w:type="dxa"/>
              <w:right w:w="80" w:type="dxa"/>
            </w:tcMar>
          </w:tcPr>
          <w:p w14:paraId="351C3BF7" w14:textId="77777777" w:rsidR="009D48FF" w:rsidRPr="009D48FF" w:rsidRDefault="009D48FF" w:rsidP="009D48FF">
            <w:pPr>
              <w:rPr>
                <w:b/>
              </w:rPr>
            </w:pPr>
            <w:r w:rsidRPr="009D48FF">
              <w:rPr>
                <w:b/>
              </w:rPr>
              <w:t>Autor/Año artículo seleccionado en revisión</w:t>
            </w:r>
          </w:p>
        </w:tc>
        <w:tc>
          <w:tcPr>
            <w:tcW w:w="781" w:type="pct"/>
            <w:tcBorders>
              <w:top w:val="nil"/>
              <w:left w:val="nil"/>
              <w:bottom w:val="single" w:sz="4" w:space="0" w:color="000000"/>
              <w:right w:val="nil"/>
            </w:tcBorders>
          </w:tcPr>
          <w:p w14:paraId="17353DD0" w14:textId="77777777" w:rsidR="009D48FF" w:rsidRPr="009D48FF" w:rsidRDefault="009D48FF" w:rsidP="009D48FF">
            <w:pPr>
              <w:rPr>
                <w:b/>
              </w:rPr>
            </w:pPr>
            <w:r w:rsidRPr="009D48FF">
              <w:rPr>
                <w:b/>
              </w:rPr>
              <w:t>Instrumento</w:t>
            </w:r>
          </w:p>
        </w:tc>
        <w:tc>
          <w:tcPr>
            <w:tcW w:w="972" w:type="pct"/>
            <w:tcBorders>
              <w:top w:val="single" w:sz="4" w:space="0" w:color="000000"/>
              <w:left w:val="nil"/>
              <w:bottom w:val="single" w:sz="4" w:space="0" w:color="000000"/>
              <w:right w:val="nil"/>
            </w:tcBorders>
          </w:tcPr>
          <w:p w14:paraId="7091082F" w14:textId="77777777" w:rsidR="009D48FF" w:rsidRPr="009D48FF" w:rsidRDefault="009D48FF" w:rsidP="009D48FF">
            <w:pPr>
              <w:rPr>
                <w:b/>
              </w:rPr>
            </w:pPr>
            <w:r w:rsidRPr="009D48FF">
              <w:rPr>
                <w:b/>
              </w:rPr>
              <w:t>Basado en el contenido</w:t>
            </w:r>
          </w:p>
        </w:tc>
        <w:tc>
          <w:tcPr>
            <w:tcW w:w="1260" w:type="pct"/>
            <w:tcBorders>
              <w:top w:val="single" w:sz="4" w:space="0" w:color="000000"/>
              <w:left w:val="nil"/>
              <w:bottom w:val="single" w:sz="4" w:space="0" w:color="000000"/>
              <w:right w:val="nil"/>
            </w:tcBorders>
          </w:tcPr>
          <w:p w14:paraId="06F3F90D" w14:textId="77777777" w:rsidR="009D48FF" w:rsidRPr="009D48FF" w:rsidRDefault="009D48FF" w:rsidP="009D48FF">
            <w:pPr>
              <w:rPr>
                <w:b/>
              </w:rPr>
            </w:pPr>
            <w:r w:rsidRPr="009D48FF">
              <w:rPr>
                <w:b/>
              </w:rPr>
              <w:t>Basado en la estructura interna</w:t>
            </w:r>
          </w:p>
        </w:tc>
        <w:tc>
          <w:tcPr>
            <w:tcW w:w="929" w:type="pct"/>
            <w:tcBorders>
              <w:top w:val="single" w:sz="4" w:space="0" w:color="000000"/>
              <w:left w:val="nil"/>
              <w:bottom w:val="single" w:sz="4" w:space="0" w:color="000000"/>
              <w:right w:val="nil"/>
            </w:tcBorders>
          </w:tcPr>
          <w:p w14:paraId="58A61281" w14:textId="77777777" w:rsidR="009D48FF" w:rsidRPr="009D48FF" w:rsidRDefault="009D48FF" w:rsidP="009D48FF">
            <w:pPr>
              <w:rPr>
                <w:b/>
              </w:rPr>
            </w:pPr>
            <w:r w:rsidRPr="009D48FF">
              <w:rPr>
                <w:b/>
              </w:rPr>
              <w:t>Basado en medidas externas</w:t>
            </w:r>
          </w:p>
        </w:tc>
        <w:tc>
          <w:tcPr>
            <w:tcW w:w="11" w:type="pct"/>
            <w:tcBorders>
              <w:top w:val="single" w:sz="4" w:space="0" w:color="000000"/>
              <w:left w:val="nil"/>
              <w:bottom w:val="single" w:sz="4" w:space="0" w:color="000000"/>
              <w:right w:val="nil"/>
            </w:tcBorders>
          </w:tcPr>
          <w:p w14:paraId="7620D433" w14:textId="77777777" w:rsidR="009D48FF" w:rsidRPr="0019627D" w:rsidRDefault="009D48FF" w:rsidP="009D48FF"/>
        </w:tc>
      </w:tr>
      <w:tr w:rsidR="009D48FF" w:rsidRPr="0019627D" w14:paraId="1BD9D15E" w14:textId="77777777" w:rsidTr="009D48FF">
        <w:trPr>
          <w:trHeight w:val="217"/>
        </w:trPr>
        <w:tc>
          <w:tcPr>
            <w:tcW w:w="1047" w:type="pct"/>
            <w:tcBorders>
              <w:top w:val="single" w:sz="4" w:space="0" w:color="000000"/>
              <w:left w:val="nil"/>
              <w:bottom w:val="nil"/>
              <w:right w:val="nil"/>
            </w:tcBorders>
            <w:shd w:val="clear" w:color="auto" w:fill="auto"/>
            <w:tcMar>
              <w:top w:w="80" w:type="dxa"/>
              <w:left w:w="80" w:type="dxa"/>
              <w:bottom w:w="80" w:type="dxa"/>
              <w:right w:w="80" w:type="dxa"/>
            </w:tcMar>
          </w:tcPr>
          <w:p w14:paraId="27204427" w14:textId="77777777" w:rsidR="009D48FF" w:rsidRPr="0019627D" w:rsidRDefault="009D48FF" w:rsidP="009D48FF">
            <w:r w:rsidRPr="0019627D">
              <w:rPr>
                <w:highlight w:val="white"/>
              </w:rPr>
              <w:t xml:space="preserve">Alberdi </w:t>
            </w:r>
            <w:r w:rsidRPr="0019627D">
              <w:t xml:space="preserve">et al., </w:t>
            </w:r>
            <w:r w:rsidRPr="0019627D">
              <w:rPr>
                <w:highlight w:val="white"/>
              </w:rPr>
              <w:t>2018.</w:t>
            </w:r>
          </w:p>
        </w:tc>
        <w:tc>
          <w:tcPr>
            <w:tcW w:w="781" w:type="pct"/>
            <w:tcBorders>
              <w:top w:val="single" w:sz="4" w:space="0" w:color="000000"/>
              <w:left w:val="nil"/>
              <w:bottom w:val="nil"/>
              <w:right w:val="nil"/>
            </w:tcBorders>
          </w:tcPr>
          <w:p w14:paraId="1BE35167" w14:textId="77777777" w:rsidR="009D48FF" w:rsidRPr="0019627D" w:rsidRDefault="009D48FF" w:rsidP="009D48FF">
            <w:pPr>
              <w:rPr>
                <w:highlight w:val="white"/>
              </w:rPr>
            </w:pPr>
            <w:r w:rsidRPr="0019627D">
              <w:rPr>
                <w:highlight w:val="white"/>
              </w:rPr>
              <w:t>NASA TLX</w:t>
            </w:r>
          </w:p>
        </w:tc>
        <w:tc>
          <w:tcPr>
            <w:tcW w:w="972" w:type="pct"/>
            <w:tcBorders>
              <w:top w:val="single" w:sz="4" w:space="0" w:color="000000"/>
              <w:left w:val="nil"/>
              <w:bottom w:val="nil"/>
              <w:right w:val="nil"/>
            </w:tcBorders>
          </w:tcPr>
          <w:p w14:paraId="7AB6AFF6" w14:textId="77777777" w:rsidR="009D48FF" w:rsidRPr="0019627D" w:rsidRDefault="009D48FF" w:rsidP="009D48FF">
            <w:r w:rsidRPr="0019627D">
              <w:t>No presenta</w:t>
            </w:r>
          </w:p>
        </w:tc>
        <w:tc>
          <w:tcPr>
            <w:tcW w:w="1260" w:type="pct"/>
            <w:tcBorders>
              <w:top w:val="single" w:sz="4" w:space="0" w:color="000000"/>
              <w:left w:val="nil"/>
              <w:bottom w:val="nil"/>
              <w:right w:val="nil"/>
            </w:tcBorders>
          </w:tcPr>
          <w:p w14:paraId="4D895E83" w14:textId="77777777" w:rsidR="009D48FF" w:rsidRPr="0019627D" w:rsidRDefault="009D48FF" w:rsidP="009D48FF">
            <w:pPr>
              <w:ind w:right="-2"/>
              <w:rPr>
                <w:highlight w:val="white"/>
              </w:rPr>
            </w:pPr>
            <w:r w:rsidRPr="0019627D">
              <w:t>Battiste y Bortolussi, 1988.</w:t>
            </w:r>
          </w:p>
        </w:tc>
        <w:tc>
          <w:tcPr>
            <w:tcW w:w="929" w:type="pct"/>
            <w:tcBorders>
              <w:top w:val="single" w:sz="4" w:space="0" w:color="000000"/>
              <w:left w:val="nil"/>
              <w:bottom w:val="nil"/>
              <w:right w:val="nil"/>
            </w:tcBorders>
          </w:tcPr>
          <w:p w14:paraId="29FBA208" w14:textId="77777777" w:rsidR="009D48FF" w:rsidRPr="0019627D" w:rsidRDefault="009D48FF" w:rsidP="009D48FF">
            <w:pPr>
              <w:ind w:right="-2"/>
              <w:rPr>
                <w:highlight w:val="white"/>
              </w:rPr>
            </w:pPr>
            <w:r w:rsidRPr="0019627D">
              <w:t>No presenta</w:t>
            </w:r>
          </w:p>
        </w:tc>
        <w:tc>
          <w:tcPr>
            <w:tcW w:w="11" w:type="pct"/>
            <w:tcBorders>
              <w:top w:val="single" w:sz="4" w:space="0" w:color="000000"/>
              <w:left w:val="nil"/>
              <w:bottom w:val="nil"/>
              <w:right w:val="nil"/>
            </w:tcBorders>
          </w:tcPr>
          <w:p w14:paraId="3583C999" w14:textId="77777777" w:rsidR="009D48FF" w:rsidRPr="0019627D" w:rsidRDefault="009D48FF" w:rsidP="009D48FF">
            <w:pPr>
              <w:ind w:right="-2"/>
              <w:rPr>
                <w:highlight w:val="white"/>
              </w:rPr>
            </w:pPr>
          </w:p>
        </w:tc>
      </w:tr>
      <w:tr w:rsidR="009D48FF" w:rsidRPr="0019627D" w14:paraId="23344515"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0E41D460" w14:textId="77777777" w:rsidR="009D48FF" w:rsidRPr="0019627D" w:rsidRDefault="009D48FF" w:rsidP="009D48FF">
            <w:r w:rsidRPr="0019627D">
              <w:rPr>
                <w:highlight w:val="white"/>
              </w:rPr>
              <w:t>Bara</w:t>
            </w:r>
            <w:r w:rsidRPr="0019627D">
              <w:t xml:space="preserve"> et al., </w:t>
            </w:r>
            <w:r w:rsidRPr="0019627D">
              <w:rPr>
                <w:highlight w:val="white"/>
              </w:rPr>
              <w:t>2021.</w:t>
            </w:r>
          </w:p>
        </w:tc>
        <w:tc>
          <w:tcPr>
            <w:tcW w:w="781" w:type="pct"/>
            <w:tcBorders>
              <w:top w:val="nil"/>
              <w:left w:val="nil"/>
              <w:bottom w:val="nil"/>
              <w:right w:val="nil"/>
            </w:tcBorders>
          </w:tcPr>
          <w:p w14:paraId="0E7D1675"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6FD34717" w14:textId="77777777" w:rsidR="009D48FF" w:rsidRPr="0019627D" w:rsidRDefault="009D48FF" w:rsidP="009D48FF">
            <w:r w:rsidRPr="0019627D">
              <w:rPr>
                <w:highlight w:val="white"/>
              </w:rPr>
              <w:t xml:space="preserve">Liu </w:t>
            </w:r>
            <w:r w:rsidRPr="0019627D">
              <w:t>et al.,</w:t>
            </w:r>
            <w:r w:rsidRPr="0019627D">
              <w:rPr>
                <w:highlight w:val="white"/>
              </w:rPr>
              <w:t xml:space="preserve"> 2017.</w:t>
            </w:r>
          </w:p>
        </w:tc>
        <w:tc>
          <w:tcPr>
            <w:tcW w:w="1260" w:type="pct"/>
            <w:tcBorders>
              <w:top w:val="nil"/>
              <w:left w:val="nil"/>
              <w:bottom w:val="nil"/>
              <w:right w:val="nil"/>
            </w:tcBorders>
          </w:tcPr>
          <w:p w14:paraId="175B2D3A" w14:textId="77777777" w:rsidR="009D48FF" w:rsidRPr="0019627D" w:rsidRDefault="009D48FF" w:rsidP="009D48FF">
            <w:pPr>
              <w:ind w:right="-2"/>
              <w:rPr>
                <w:highlight w:val="white"/>
              </w:rPr>
            </w:pPr>
            <w:r w:rsidRPr="0019627D">
              <w:rPr>
                <w:highlight w:val="white"/>
              </w:rPr>
              <w:t>Liu et al., 2017.</w:t>
            </w:r>
          </w:p>
        </w:tc>
        <w:tc>
          <w:tcPr>
            <w:tcW w:w="929" w:type="pct"/>
            <w:tcBorders>
              <w:top w:val="nil"/>
              <w:left w:val="nil"/>
              <w:bottom w:val="nil"/>
              <w:right w:val="nil"/>
            </w:tcBorders>
          </w:tcPr>
          <w:p w14:paraId="1FE2C4E4"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59A828DB" w14:textId="77777777" w:rsidR="009D48FF" w:rsidRPr="0019627D" w:rsidRDefault="009D48FF" w:rsidP="009D48FF">
            <w:pPr>
              <w:ind w:right="-2"/>
              <w:rPr>
                <w:highlight w:val="white"/>
              </w:rPr>
            </w:pPr>
          </w:p>
        </w:tc>
      </w:tr>
      <w:tr w:rsidR="009D48FF" w:rsidRPr="0019627D" w14:paraId="02CEB285"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274B0335" w14:textId="77777777" w:rsidR="009D48FF" w:rsidRPr="0019627D" w:rsidRDefault="009D48FF" w:rsidP="009D48FF"/>
        </w:tc>
        <w:tc>
          <w:tcPr>
            <w:tcW w:w="781" w:type="pct"/>
            <w:tcBorders>
              <w:top w:val="nil"/>
              <w:left w:val="nil"/>
              <w:bottom w:val="nil"/>
              <w:right w:val="nil"/>
            </w:tcBorders>
          </w:tcPr>
          <w:p w14:paraId="03C6D429" w14:textId="77777777" w:rsidR="009D48FF" w:rsidRPr="0019627D" w:rsidRDefault="009D48FF" w:rsidP="009D48FF">
            <w:pPr>
              <w:rPr>
                <w:highlight w:val="white"/>
              </w:rPr>
            </w:pPr>
            <w:r w:rsidRPr="0019627D">
              <w:rPr>
                <w:highlight w:val="white"/>
              </w:rPr>
              <w:t>SWAT</w:t>
            </w:r>
          </w:p>
        </w:tc>
        <w:tc>
          <w:tcPr>
            <w:tcW w:w="972" w:type="pct"/>
            <w:tcBorders>
              <w:top w:val="nil"/>
              <w:left w:val="nil"/>
              <w:bottom w:val="nil"/>
              <w:right w:val="nil"/>
            </w:tcBorders>
          </w:tcPr>
          <w:p w14:paraId="7DC5DC71" w14:textId="77777777" w:rsidR="009D48FF" w:rsidRPr="0019627D" w:rsidRDefault="009D48FF" w:rsidP="009D48FF">
            <w:pPr>
              <w:rPr>
                <w:highlight w:val="yellow"/>
              </w:rPr>
            </w:pPr>
            <w:r w:rsidRPr="0019627D">
              <w:t>No presenta</w:t>
            </w:r>
          </w:p>
        </w:tc>
        <w:tc>
          <w:tcPr>
            <w:tcW w:w="1260" w:type="pct"/>
            <w:tcBorders>
              <w:top w:val="nil"/>
              <w:left w:val="nil"/>
              <w:bottom w:val="nil"/>
              <w:right w:val="nil"/>
            </w:tcBorders>
          </w:tcPr>
          <w:p w14:paraId="2AA6DA0E"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5E08206E"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78D0F187" w14:textId="77777777" w:rsidR="009D48FF" w:rsidRPr="0019627D" w:rsidRDefault="009D48FF" w:rsidP="009D48FF">
            <w:pPr>
              <w:ind w:right="-2"/>
              <w:rPr>
                <w:highlight w:val="white"/>
              </w:rPr>
            </w:pPr>
          </w:p>
        </w:tc>
      </w:tr>
      <w:tr w:rsidR="009D48FF" w:rsidRPr="0019627D" w14:paraId="01672E50"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4EA35023" w14:textId="77777777" w:rsidR="009D48FF" w:rsidRPr="0019627D" w:rsidRDefault="009D48FF" w:rsidP="009D48FF">
            <w:r w:rsidRPr="0019627D">
              <w:rPr>
                <w:highlight w:val="white"/>
              </w:rPr>
              <w:t xml:space="preserve">Fallahi </w:t>
            </w:r>
            <w:r w:rsidRPr="0019627D">
              <w:t>et al.,</w:t>
            </w:r>
            <w:r w:rsidRPr="0019627D">
              <w:rPr>
                <w:highlight w:val="white"/>
              </w:rPr>
              <w:t xml:space="preserve"> 2016.</w:t>
            </w:r>
          </w:p>
        </w:tc>
        <w:tc>
          <w:tcPr>
            <w:tcW w:w="781" w:type="pct"/>
            <w:tcBorders>
              <w:top w:val="nil"/>
              <w:left w:val="nil"/>
              <w:bottom w:val="nil"/>
              <w:right w:val="nil"/>
            </w:tcBorders>
          </w:tcPr>
          <w:p w14:paraId="6A4634EB"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226902ED" w14:textId="77777777" w:rsidR="009D48FF" w:rsidRPr="0019627D" w:rsidRDefault="009D48FF" w:rsidP="009D48FF">
            <w:pPr>
              <w:rPr>
                <w:highlight w:val="white"/>
              </w:rPr>
            </w:pPr>
            <w:r w:rsidRPr="0019627D">
              <w:t xml:space="preserve">Mohammadi </w:t>
            </w:r>
            <w:r w:rsidRPr="0019627D">
              <w:rPr>
                <w:highlight w:val="white"/>
              </w:rPr>
              <w:t>et al.,</w:t>
            </w:r>
            <w:r w:rsidRPr="0019627D">
              <w:t xml:space="preserve"> 2015; Safari </w:t>
            </w:r>
            <w:r w:rsidRPr="0019627D">
              <w:rPr>
                <w:highlight w:val="white"/>
              </w:rPr>
              <w:t>et al.,</w:t>
            </w:r>
            <w:r w:rsidRPr="0019627D">
              <w:t xml:space="preserve"> 2013.</w:t>
            </w:r>
          </w:p>
        </w:tc>
        <w:tc>
          <w:tcPr>
            <w:tcW w:w="1260" w:type="pct"/>
            <w:tcBorders>
              <w:top w:val="nil"/>
              <w:left w:val="nil"/>
              <w:bottom w:val="nil"/>
              <w:right w:val="nil"/>
            </w:tcBorders>
          </w:tcPr>
          <w:p w14:paraId="31A1F2A0" w14:textId="77777777" w:rsidR="009D48FF" w:rsidRPr="0019627D" w:rsidRDefault="009D48FF" w:rsidP="009D48FF">
            <w:pPr>
              <w:ind w:right="-2"/>
              <w:rPr>
                <w:highlight w:val="white"/>
              </w:rPr>
            </w:pPr>
            <w:r w:rsidRPr="0019627D">
              <w:t>Mohammadi et al., 2015; Safari et al., 2013.</w:t>
            </w:r>
          </w:p>
        </w:tc>
        <w:tc>
          <w:tcPr>
            <w:tcW w:w="929" w:type="pct"/>
            <w:tcBorders>
              <w:top w:val="nil"/>
              <w:left w:val="nil"/>
              <w:bottom w:val="nil"/>
              <w:right w:val="nil"/>
            </w:tcBorders>
          </w:tcPr>
          <w:p w14:paraId="2CE5A444"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00DB8AC4" w14:textId="77777777" w:rsidR="009D48FF" w:rsidRPr="0019627D" w:rsidRDefault="009D48FF" w:rsidP="009D48FF">
            <w:pPr>
              <w:ind w:right="-2"/>
              <w:rPr>
                <w:highlight w:val="white"/>
              </w:rPr>
            </w:pPr>
          </w:p>
        </w:tc>
      </w:tr>
      <w:tr w:rsidR="009D48FF" w:rsidRPr="0019627D" w14:paraId="19D7C200"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6E6873E0" w14:textId="77777777" w:rsidR="009D48FF" w:rsidRPr="0019627D" w:rsidRDefault="009D48FF" w:rsidP="009D48FF">
            <w:r w:rsidRPr="0019627D">
              <w:t>Ghanavati et al., 2019.</w:t>
            </w:r>
          </w:p>
        </w:tc>
        <w:tc>
          <w:tcPr>
            <w:tcW w:w="781" w:type="pct"/>
            <w:tcBorders>
              <w:top w:val="nil"/>
              <w:left w:val="nil"/>
              <w:bottom w:val="nil"/>
              <w:right w:val="nil"/>
            </w:tcBorders>
          </w:tcPr>
          <w:p w14:paraId="38324249" w14:textId="77777777" w:rsidR="009D48FF" w:rsidRPr="0019627D" w:rsidRDefault="009D48FF" w:rsidP="009D48FF">
            <w:r w:rsidRPr="0019627D">
              <w:t>NASA TLX</w:t>
            </w:r>
          </w:p>
        </w:tc>
        <w:tc>
          <w:tcPr>
            <w:tcW w:w="972" w:type="pct"/>
            <w:tcBorders>
              <w:top w:val="nil"/>
              <w:left w:val="nil"/>
              <w:bottom w:val="nil"/>
              <w:right w:val="nil"/>
            </w:tcBorders>
          </w:tcPr>
          <w:p w14:paraId="7B25B705" w14:textId="77777777" w:rsidR="009D48FF" w:rsidRPr="0019627D" w:rsidRDefault="009D48FF" w:rsidP="009D48FF">
            <w:pPr>
              <w:rPr>
                <w:highlight w:val="white"/>
              </w:rPr>
            </w:pPr>
            <w:r w:rsidRPr="0019627D">
              <w:t>Mohammadi, Mazloumi y Zeraati, 2013.</w:t>
            </w:r>
          </w:p>
        </w:tc>
        <w:tc>
          <w:tcPr>
            <w:tcW w:w="1260" w:type="pct"/>
            <w:tcBorders>
              <w:top w:val="nil"/>
              <w:left w:val="nil"/>
              <w:bottom w:val="nil"/>
              <w:right w:val="nil"/>
            </w:tcBorders>
          </w:tcPr>
          <w:p w14:paraId="70EB261C"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08220493"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1C162D62" w14:textId="77777777" w:rsidR="009D48FF" w:rsidRPr="0019627D" w:rsidRDefault="009D48FF" w:rsidP="009D48FF">
            <w:pPr>
              <w:ind w:right="-2"/>
              <w:rPr>
                <w:highlight w:val="white"/>
              </w:rPr>
            </w:pPr>
          </w:p>
        </w:tc>
      </w:tr>
      <w:tr w:rsidR="009D48FF" w:rsidRPr="0019627D" w14:paraId="738603EA"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053A32BA" w14:textId="77777777" w:rsidR="009D48FF" w:rsidRPr="0019627D" w:rsidRDefault="009D48FF" w:rsidP="009D48FF">
            <w:r w:rsidRPr="0019627D">
              <w:rPr>
                <w:highlight w:val="white"/>
              </w:rPr>
              <w:t>Guru et al., 2015.</w:t>
            </w:r>
          </w:p>
        </w:tc>
        <w:tc>
          <w:tcPr>
            <w:tcW w:w="781" w:type="pct"/>
            <w:tcBorders>
              <w:top w:val="nil"/>
              <w:left w:val="nil"/>
              <w:bottom w:val="nil"/>
              <w:right w:val="nil"/>
            </w:tcBorders>
          </w:tcPr>
          <w:p w14:paraId="24B8A9F1"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5B5C4802" w14:textId="77777777" w:rsidR="009D48FF" w:rsidRPr="0019627D" w:rsidRDefault="009D48FF" w:rsidP="009D48FF">
            <w:pPr>
              <w:rPr>
                <w:highlight w:val="white"/>
              </w:rPr>
            </w:pPr>
            <w:r w:rsidRPr="0019627D">
              <w:t>Chowriappa et al., 2015; Yurko et al., 2010.</w:t>
            </w:r>
          </w:p>
        </w:tc>
        <w:tc>
          <w:tcPr>
            <w:tcW w:w="1260" w:type="pct"/>
            <w:tcBorders>
              <w:top w:val="nil"/>
              <w:left w:val="nil"/>
              <w:bottom w:val="nil"/>
              <w:right w:val="nil"/>
            </w:tcBorders>
          </w:tcPr>
          <w:p w14:paraId="7E435D2C" w14:textId="77777777" w:rsidR="009D48FF" w:rsidRPr="0019627D" w:rsidRDefault="009D48FF" w:rsidP="009D48FF">
            <w:pPr>
              <w:ind w:right="-2"/>
              <w:rPr>
                <w:highlight w:val="white"/>
              </w:rPr>
            </w:pPr>
            <w:r w:rsidRPr="0019627D">
              <w:t>Chowriappa et al., 2015; Yurko et al., 2010.</w:t>
            </w:r>
          </w:p>
        </w:tc>
        <w:tc>
          <w:tcPr>
            <w:tcW w:w="929" w:type="pct"/>
            <w:tcBorders>
              <w:top w:val="nil"/>
              <w:left w:val="nil"/>
              <w:bottom w:val="nil"/>
              <w:right w:val="nil"/>
            </w:tcBorders>
          </w:tcPr>
          <w:p w14:paraId="795A6920" w14:textId="77777777" w:rsidR="009D48FF" w:rsidRPr="0019627D" w:rsidRDefault="009D48FF" w:rsidP="009D48FF">
            <w:pPr>
              <w:ind w:right="-2"/>
              <w:rPr>
                <w:highlight w:val="white"/>
              </w:rPr>
            </w:pPr>
            <w:r w:rsidRPr="0019627D">
              <w:t>Chowriappa et al., 2015; Yurko et al., 2010.</w:t>
            </w:r>
          </w:p>
        </w:tc>
        <w:tc>
          <w:tcPr>
            <w:tcW w:w="11" w:type="pct"/>
            <w:tcBorders>
              <w:top w:val="nil"/>
              <w:left w:val="nil"/>
              <w:bottom w:val="nil"/>
              <w:right w:val="nil"/>
            </w:tcBorders>
          </w:tcPr>
          <w:p w14:paraId="1C7FF27A" w14:textId="77777777" w:rsidR="009D48FF" w:rsidRPr="0019627D" w:rsidRDefault="009D48FF" w:rsidP="009D48FF">
            <w:pPr>
              <w:ind w:right="-2"/>
              <w:rPr>
                <w:highlight w:val="white"/>
              </w:rPr>
            </w:pPr>
          </w:p>
        </w:tc>
      </w:tr>
      <w:tr w:rsidR="009D48FF" w:rsidRPr="0019627D" w14:paraId="20666D8B"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775120CA" w14:textId="77777777" w:rsidR="009D48FF" w:rsidRPr="0019627D" w:rsidRDefault="009D48FF" w:rsidP="009D48FF">
            <w:r w:rsidRPr="0019627D">
              <w:rPr>
                <w:highlight w:val="white"/>
              </w:rPr>
              <w:lastRenderedPageBreak/>
              <w:t>Helton</w:t>
            </w:r>
            <w:r w:rsidRPr="0019627D">
              <w:t xml:space="preserve"> et al.,</w:t>
            </w:r>
            <w:r w:rsidRPr="0019627D">
              <w:rPr>
                <w:highlight w:val="white"/>
              </w:rPr>
              <w:t xml:space="preserve"> 2014.</w:t>
            </w:r>
          </w:p>
        </w:tc>
        <w:tc>
          <w:tcPr>
            <w:tcW w:w="781" w:type="pct"/>
            <w:tcBorders>
              <w:top w:val="nil"/>
              <w:left w:val="nil"/>
              <w:bottom w:val="nil"/>
              <w:right w:val="nil"/>
            </w:tcBorders>
          </w:tcPr>
          <w:p w14:paraId="7E63DE17"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584C0A2C"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782F1086" w14:textId="77777777" w:rsidR="009D48FF" w:rsidRPr="0019627D" w:rsidRDefault="009D48FF" w:rsidP="009D48FF">
            <w:pPr>
              <w:ind w:right="-2"/>
            </w:pPr>
            <w:r w:rsidRPr="0019627D">
              <w:rPr>
                <w:highlight w:val="white"/>
              </w:rPr>
              <w:t>Bailey y Thompson, 2001; Ramiro et al., 2010.</w:t>
            </w:r>
          </w:p>
        </w:tc>
        <w:tc>
          <w:tcPr>
            <w:tcW w:w="929" w:type="pct"/>
            <w:tcBorders>
              <w:top w:val="nil"/>
              <w:left w:val="nil"/>
              <w:bottom w:val="nil"/>
              <w:right w:val="nil"/>
            </w:tcBorders>
          </w:tcPr>
          <w:p w14:paraId="4099DD04" w14:textId="77777777" w:rsidR="009D48FF" w:rsidRPr="0019627D" w:rsidRDefault="009D48FF" w:rsidP="009D48FF">
            <w:pPr>
              <w:ind w:right="-2"/>
            </w:pPr>
            <w:r w:rsidRPr="0019627D">
              <w:t>No presenta</w:t>
            </w:r>
          </w:p>
        </w:tc>
        <w:tc>
          <w:tcPr>
            <w:tcW w:w="11" w:type="pct"/>
            <w:tcBorders>
              <w:top w:val="nil"/>
              <w:left w:val="nil"/>
              <w:bottom w:val="nil"/>
              <w:right w:val="nil"/>
            </w:tcBorders>
          </w:tcPr>
          <w:p w14:paraId="69C0B180" w14:textId="77777777" w:rsidR="009D48FF" w:rsidRPr="0019627D" w:rsidRDefault="009D48FF" w:rsidP="009D48FF">
            <w:pPr>
              <w:ind w:right="-2"/>
            </w:pPr>
          </w:p>
        </w:tc>
      </w:tr>
      <w:tr w:rsidR="009D48FF" w:rsidRPr="0019627D" w14:paraId="427F08A3"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14853282" w14:textId="77777777" w:rsidR="009D48FF" w:rsidRPr="0019627D" w:rsidRDefault="009D48FF" w:rsidP="009D48FF">
            <w:r w:rsidRPr="0019627D">
              <w:t>Laurie Rose et al., 2014.</w:t>
            </w:r>
          </w:p>
        </w:tc>
        <w:tc>
          <w:tcPr>
            <w:tcW w:w="781" w:type="pct"/>
            <w:tcBorders>
              <w:top w:val="nil"/>
              <w:left w:val="nil"/>
              <w:bottom w:val="nil"/>
              <w:right w:val="nil"/>
            </w:tcBorders>
          </w:tcPr>
          <w:p w14:paraId="54EF63DE" w14:textId="77777777" w:rsidR="009D48FF" w:rsidRPr="0019627D" w:rsidRDefault="009D48FF" w:rsidP="009D48FF">
            <w:pPr>
              <w:rPr>
                <w:highlight w:val="white"/>
              </w:rPr>
            </w:pPr>
            <w:r w:rsidRPr="0019627D">
              <w:rPr>
                <w:highlight w:val="white"/>
              </w:rPr>
              <w:t>Adaptación del NASA TLX</w:t>
            </w:r>
          </w:p>
        </w:tc>
        <w:tc>
          <w:tcPr>
            <w:tcW w:w="972" w:type="pct"/>
            <w:tcBorders>
              <w:top w:val="nil"/>
              <w:left w:val="nil"/>
              <w:bottom w:val="nil"/>
              <w:right w:val="nil"/>
            </w:tcBorders>
          </w:tcPr>
          <w:p w14:paraId="7ED70FCA" w14:textId="77777777" w:rsidR="009D48FF" w:rsidRPr="0019627D" w:rsidRDefault="009D48FF" w:rsidP="009D48FF">
            <w:pPr>
              <w:rPr>
                <w:highlight w:val="white"/>
                <w:lang w:val="en-US"/>
              </w:rPr>
            </w:pPr>
            <w:r w:rsidRPr="0019627D">
              <w:rPr>
                <w:highlight w:val="white"/>
                <w:lang w:val="en-US"/>
              </w:rPr>
              <w:t>Eggemeier, Wilson, Kramer y Damos, 1991.</w:t>
            </w:r>
          </w:p>
        </w:tc>
        <w:tc>
          <w:tcPr>
            <w:tcW w:w="1260" w:type="pct"/>
            <w:tcBorders>
              <w:top w:val="nil"/>
              <w:left w:val="nil"/>
              <w:bottom w:val="nil"/>
              <w:right w:val="nil"/>
            </w:tcBorders>
          </w:tcPr>
          <w:p w14:paraId="1B85B7EA"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73ED457A"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708F3F5F" w14:textId="77777777" w:rsidR="009D48FF" w:rsidRPr="0019627D" w:rsidRDefault="009D48FF" w:rsidP="009D48FF">
            <w:pPr>
              <w:ind w:right="-2"/>
              <w:rPr>
                <w:highlight w:val="white"/>
              </w:rPr>
            </w:pPr>
          </w:p>
        </w:tc>
      </w:tr>
      <w:tr w:rsidR="009D48FF" w:rsidRPr="0019627D" w14:paraId="632C4475"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1E7B2910" w14:textId="77777777" w:rsidR="009D48FF" w:rsidRPr="0019627D" w:rsidRDefault="009D48FF" w:rsidP="009D48FF">
            <w:r w:rsidRPr="0019627D">
              <w:t>Laurie-Rose et al., 2017.</w:t>
            </w:r>
          </w:p>
        </w:tc>
        <w:tc>
          <w:tcPr>
            <w:tcW w:w="781" w:type="pct"/>
            <w:tcBorders>
              <w:top w:val="nil"/>
              <w:left w:val="nil"/>
              <w:bottom w:val="nil"/>
              <w:right w:val="nil"/>
            </w:tcBorders>
          </w:tcPr>
          <w:p w14:paraId="75E3081A" w14:textId="77777777" w:rsidR="009D48FF" w:rsidRPr="0019627D" w:rsidRDefault="009D48FF" w:rsidP="009D48FF">
            <w:pPr>
              <w:rPr>
                <w:highlight w:val="white"/>
              </w:rPr>
            </w:pPr>
            <w:r w:rsidRPr="0019627D">
              <w:rPr>
                <w:highlight w:val="white"/>
              </w:rPr>
              <w:t>Adaptación del NASA-TLX</w:t>
            </w:r>
          </w:p>
        </w:tc>
        <w:tc>
          <w:tcPr>
            <w:tcW w:w="972" w:type="pct"/>
            <w:tcBorders>
              <w:top w:val="nil"/>
              <w:left w:val="nil"/>
              <w:bottom w:val="nil"/>
              <w:right w:val="nil"/>
            </w:tcBorders>
          </w:tcPr>
          <w:p w14:paraId="21BABD9D" w14:textId="77777777" w:rsidR="009D48FF" w:rsidRPr="0019627D" w:rsidRDefault="009D48FF" w:rsidP="009D48FF">
            <w:pPr>
              <w:rPr>
                <w:highlight w:val="white"/>
                <w:lang w:val="en-US"/>
              </w:rPr>
            </w:pPr>
            <w:r w:rsidRPr="0019627D">
              <w:rPr>
                <w:highlight w:val="white"/>
                <w:lang w:val="en-US"/>
              </w:rPr>
              <w:t>Eggemeier, Wilson, Kramer y Damos, 1991.</w:t>
            </w:r>
          </w:p>
        </w:tc>
        <w:tc>
          <w:tcPr>
            <w:tcW w:w="1260" w:type="pct"/>
            <w:tcBorders>
              <w:top w:val="nil"/>
              <w:left w:val="nil"/>
              <w:bottom w:val="nil"/>
              <w:right w:val="nil"/>
            </w:tcBorders>
          </w:tcPr>
          <w:p w14:paraId="140906BB"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3953ED7B"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3CA4E57" w14:textId="77777777" w:rsidR="009D48FF" w:rsidRPr="0019627D" w:rsidRDefault="009D48FF" w:rsidP="009D48FF">
            <w:pPr>
              <w:ind w:right="-2"/>
              <w:rPr>
                <w:highlight w:val="white"/>
              </w:rPr>
            </w:pPr>
          </w:p>
        </w:tc>
      </w:tr>
      <w:tr w:rsidR="009D48FF" w:rsidRPr="0019627D" w14:paraId="374B5D74"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344B2913" w14:textId="77777777" w:rsidR="009D48FF" w:rsidRPr="0019627D" w:rsidRDefault="009D48FF" w:rsidP="009D48FF">
            <w:r w:rsidRPr="0019627D">
              <w:t>Li et al., 2018.</w:t>
            </w:r>
          </w:p>
        </w:tc>
        <w:tc>
          <w:tcPr>
            <w:tcW w:w="781" w:type="pct"/>
            <w:tcBorders>
              <w:top w:val="nil"/>
              <w:left w:val="nil"/>
              <w:bottom w:val="nil"/>
              <w:right w:val="nil"/>
            </w:tcBorders>
          </w:tcPr>
          <w:p w14:paraId="42739F4F"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68B378A2" w14:textId="77777777" w:rsidR="009D48FF" w:rsidRPr="0019627D" w:rsidRDefault="009D48FF" w:rsidP="009D48FF">
            <w:pPr>
              <w:rPr>
                <w:highlight w:val="white"/>
              </w:rPr>
            </w:pPr>
            <w:r w:rsidRPr="0019627D">
              <w:t>Lu et al., 2019.</w:t>
            </w:r>
          </w:p>
        </w:tc>
        <w:tc>
          <w:tcPr>
            <w:tcW w:w="1260" w:type="pct"/>
            <w:tcBorders>
              <w:top w:val="nil"/>
              <w:left w:val="nil"/>
              <w:bottom w:val="nil"/>
              <w:right w:val="nil"/>
            </w:tcBorders>
          </w:tcPr>
          <w:p w14:paraId="4827BE03" w14:textId="77777777" w:rsidR="009D48FF" w:rsidRPr="0019627D" w:rsidRDefault="009D48FF" w:rsidP="009D48FF">
            <w:pPr>
              <w:ind w:right="-2"/>
              <w:rPr>
                <w:highlight w:val="white"/>
              </w:rPr>
            </w:pPr>
            <w:r w:rsidRPr="0019627D">
              <w:t>Lu et al., 2019.</w:t>
            </w:r>
          </w:p>
        </w:tc>
        <w:tc>
          <w:tcPr>
            <w:tcW w:w="929" w:type="pct"/>
            <w:tcBorders>
              <w:top w:val="nil"/>
              <w:left w:val="nil"/>
              <w:bottom w:val="nil"/>
              <w:right w:val="nil"/>
            </w:tcBorders>
          </w:tcPr>
          <w:p w14:paraId="37B146CB"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26F59B16" w14:textId="77777777" w:rsidR="009D48FF" w:rsidRPr="0019627D" w:rsidRDefault="009D48FF" w:rsidP="009D48FF">
            <w:pPr>
              <w:ind w:right="-2"/>
              <w:rPr>
                <w:highlight w:val="white"/>
              </w:rPr>
            </w:pPr>
          </w:p>
        </w:tc>
      </w:tr>
      <w:tr w:rsidR="009D48FF" w:rsidRPr="0019627D" w14:paraId="3893BDDF"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614D0966" w14:textId="77777777" w:rsidR="009D48FF" w:rsidRPr="0019627D" w:rsidRDefault="009D48FF" w:rsidP="009D48FF"/>
        </w:tc>
        <w:tc>
          <w:tcPr>
            <w:tcW w:w="781" w:type="pct"/>
            <w:tcBorders>
              <w:top w:val="nil"/>
              <w:left w:val="nil"/>
              <w:bottom w:val="nil"/>
              <w:right w:val="nil"/>
            </w:tcBorders>
          </w:tcPr>
          <w:p w14:paraId="636E7B39" w14:textId="77777777" w:rsidR="009D48FF" w:rsidRPr="0019627D" w:rsidRDefault="009D48FF" w:rsidP="009D48FF">
            <w:pPr>
              <w:rPr>
                <w:highlight w:val="white"/>
              </w:rPr>
            </w:pPr>
            <w:r w:rsidRPr="0019627D">
              <w:t>SWAT</w:t>
            </w:r>
          </w:p>
        </w:tc>
        <w:tc>
          <w:tcPr>
            <w:tcW w:w="972" w:type="pct"/>
            <w:tcBorders>
              <w:top w:val="nil"/>
              <w:left w:val="nil"/>
              <w:bottom w:val="nil"/>
              <w:right w:val="nil"/>
            </w:tcBorders>
          </w:tcPr>
          <w:p w14:paraId="207A2C80"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0A09E878"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3927FF63"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4E7D50DB" w14:textId="77777777" w:rsidR="009D48FF" w:rsidRPr="0019627D" w:rsidRDefault="009D48FF" w:rsidP="009D48FF">
            <w:pPr>
              <w:ind w:right="-2"/>
              <w:rPr>
                <w:highlight w:val="white"/>
              </w:rPr>
            </w:pPr>
          </w:p>
        </w:tc>
      </w:tr>
      <w:tr w:rsidR="009D48FF" w:rsidRPr="00800FCE" w14:paraId="4AE8513C"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16E7E576" w14:textId="77777777" w:rsidR="009D48FF" w:rsidRPr="0019627D" w:rsidRDefault="009D48FF" w:rsidP="009D48FF">
            <w:r w:rsidRPr="0019627D">
              <w:t>Longo, 2018.</w:t>
            </w:r>
          </w:p>
        </w:tc>
        <w:tc>
          <w:tcPr>
            <w:tcW w:w="781" w:type="pct"/>
            <w:tcBorders>
              <w:top w:val="nil"/>
              <w:left w:val="nil"/>
              <w:bottom w:val="nil"/>
              <w:right w:val="nil"/>
            </w:tcBorders>
          </w:tcPr>
          <w:p w14:paraId="595AA45A" w14:textId="77777777" w:rsidR="009D48FF" w:rsidRPr="0019627D" w:rsidRDefault="009D48FF" w:rsidP="009D48FF">
            <w:r w:rsidRPr="0019627D">
              <w:t>NASA TLX</w:t>
            </w:r>
          </w:p>
        </w:tc>
        <w:tc>
          <w:tcPr>
            <w:tcW w:w="972" w:type="pct"/>
            <w:tcBorders>
              <w:top w:val="nil"/>
              <w:left w:val="nil"/>
              <w:bottom w:val="nil"/>
              <w:right w:val="nil"/>
            </w:tcBorders>
          </w:tcPr>
          <w:p w14:paraId="055FEB4A"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4BD21A26" w14:textId="77777777" w:rsidR="009D48FF" w:rsidRPr="0019627D" w:rsidRDefault="009D48FF" w:rsidP="009D48FF">
            <w:pPr>
              <w:ind w:right="-2"/>
              <w:rPr>
                <w:highlight w:val="white"/>
              </w:rPr>
            </w:pPr>
            <w:r w:rsidRPr="0019627D">
              <w:t>Xiao et al., 2005.</w:t>
            </w:r>
          </w:p>
        </w:tc>
        <w:tc>
          <w:tcPr>
            <w:tcW w:w="929" w:type="pct"/>
            <w:tcBorders>
              <w:top w:val="nil"/>
              <w:left w:val="nil"/>
              <w:bottom w:val="nil"/>
              <w:right w:val="nil"/>
            </w:tcBorders>
          </w:tcPr>
          <w:p w14:paraId="5641FA59" w14:textId="77777777" w:rsidR="009D48FF" w:rsidRPr="0019627D" w:rsidRDefault="009D48FF" w:rsidP="009D48FF">
            <w:pPr>
              <w:ind w:right="-2"/>
              <w:rPr>
                <w:highlight w:val="white"/>
                <w:lang w:val="en-US"/>
              </w:rPr>
            </w:pPr>
            <w:r w:rsidRPr="0019627D">
              <w:rPr>
                <w:lang w:val="en-US"/>
              </w:rPr>
              <w:t>Xiao, Wang, Wang y Lan, 2005.</w:t>
            </w:r>
          </w:p>
        </w:tc>
        <w:tc>
          <w:tcPr>
            <w:tcW w:w="11" w:type="pct"/>
            <w:tcBorders>
              <w:top w:val="nil"/>
              <w:left w:val="nil"/>
              <w:bottom w:val="nil"/>
              <w:right w:val="nil"/>
            </w:tcBorders>
          </w:tcPr>
          <w:p w14:paraId="3C2DFA4E" w14:textId="77777777" w:rsidR="009D48FF" w:rsidRPr="0019627D" w:rsidRDefault="009D48FF" w:rsidP="009D48FF">
            <w:pPr>
              <w:ind w:right="-2"/>
              <w:rPr>
                <w:highlight w:val="white"/>
                <w:lang w:val="en-US"/>
              </w:rPr>
            </w:pPr>
          </w:p>
        </w:tc>
      </w:tr>
      <w:tr w:rsidR="009D48FF" w:rsidRPr="0019627D" w14:paraId="3699A1BB"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4D814EE7" w14:textId="77777777" w:rsidR="009D48FF" w:rsidRPr="0019627D" w:rsidRDefault="009D48FF" w:rsidP="009D48FF">
            <w:pPr>
              <w:rPr>
                <w:lang w:val="en-US"/>
              </w:rPr>
            </w:pPr>
          </w:p>
        </w:tc>
        <w:tc>
          <w:tcPr>
            <w:tcW w:w="781" w:type="pct"/>
            <w:tcBorders>
              <w:top w:val="nil"/>
              <w:left w:val="nil"/>
              <w:bottom w:val="nil"/>
              <w:right w:val="nil"/>
            </w:tcBorders>
          </w:tcPr>
          <w:p w14:paraId="74BCC12B" w14:textId="77777777" w:rsidR="009D48FF" w:rsidRPr="0019627D" w:rsidRDefault="009D48FF" w:rsidP="009D48FF">
            <w:pPr>
              <w:rPr>
                <w:highlight w:val="white"/>
              </w:rPr>
            </w:pPr>
            <w:r w:rsidRPr="0019627D">
              <w:t>WP</w:t>
            </w:r>
          </w:p>
        </w:tc>
        <w:tc>
          <w:tcPr>
            <w:tcW w:w="972" w:type="pct"/>
            <w:tcBorders>
              <w:top w:val="nil"/>
              <w:left w:val="nil"/>
              <w:bottom w:val="nil"/>
              <w:right w:val="nil"/>
            </w:tcBorders>
          </w:tcPr>
          <w:p w14:paraId="084B72E1"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5182D6B6"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2373EE11"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3180D5DF" w14:textId="77777777" w:rsidR="009D48FF" w:rsidRPr="0019627D" w:rsidRDefault="009D48FF" w:rsidP="009D48FF">
            <w:pPr>
              <w:ind w:right="-2"/>
              <w:rPr>
                <w:highlight w:val="white"/>
              </w:rPr>
            </w:pPr>
          </w:p>
        </w:tc>
      </w:tr>
      <w:tr w:rsidR="009D48FF" w:rsidRPr="0019627D" w14:paraId="78A737B8"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3EDE54FB" w14:textId="77777777" w:rsidR="009D48FF" w:rsidRPr="0019627D" w:rsidRDefault="009D48FF" w:rsidP="009D48FF">
            <w:r w:rsidRPr="0019627D">
              <w:t>Lu et al., 2019.</w:t>
            </w:r>
          </w:p>
        </w:tc>
        <w:tc>
          <w:tcPr>
            <w:tcW w:w="781" w:type="pct"/>
            <w:tcBorders>
              <w:top w:val="nil"/>
              <w:left w:val="nil"/>
              <w:bottom w:val="nil"/>
              <w:right w:val="nil"/>
            </w:tcBorders>
          </w:tcPr>
          <w:p w14:paraId="726EF70C"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26088DB5"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31312675" w14:textId="77777777" w:rsidR="009D48FF" w:rsidRPr="0019627D" w:rsidRDefault="009D48FF" w:rsidP="009D48FF">
            <w:pPr>
              <w:ind w:right="-2"/>
              <w:rPr>
                <w:highlight w:val="white"/>
              </w:rPr>
            </w:pPr>
            <w:r w:rsidRPr="0019627D">
              <w:t>Rubio et al., 2004.</w:t>
            </w:r>
          </w:p>
        </w:tc>
        <w:tc>
          <w:tcPr>
            <w:tcW w:w="929" w:type="pct"/>
            <w:tcBorders>
              <w:top w:val="nil"/>
              <w:left w:val="nil"/>
              <w:bottom w:val="nil"/>
              <w:right w:val="nil"/>
            </w:tcBorders>
          </w:tcPr>
          <w:p w14:paraId="459D17D7"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36A87BEE" w14:textId="77777777" w:rsidR="009D48FF" w:rsidRPr="0019627D" w:rsidRDefault="009D48FF" w:rsidP="009D48FF">
            <w:pPr>
              <w:ind w:right="-2"/>
              <w:rPr>
                <w:highlight w:val="white"/>
              </w:rPr>
            </w:pPr>
          </w:p>
        </w:tc>
      </w:tr>
      <w:tr w:rsidR="009D48FF" w:rsidRPr="0019627D" w14:paraId="5745AD22"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42117B04" w14:textId="77777777" w:rsidR="009D48FF" w:rsidRPr="0019627D" w:rsidRDefault="009D48FF" w:rsidP="009D48FF">
            <w:r w:rsidRPr="0019627D">
              <w:t>Marçon et al., 2019.</w:t>
            </w:r>
          </w:p>
        </w:tc>
        <w:tc>
          <w:tcPr>
            <w:tcW w:w="781" w:type="pct"/>
            <w:tcBorders>
              <w:top w:val="nil"/>
              <w:left w:val="nil"/>
              <w:bottom w:val="nil"/>
              <w:right w:val="nil"/>
            </w:tcBorders>
          </w:tcPr>
          <w:p w14:paraId="33A914F5"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7895BFEF"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23F13839" w14:textId="77777777" w:rsidR="009D48FF" w:rsidRPr="0019627D" w:rsidRDefault="009D48FF" w:rsidP="009D48FF">
            <w:pPr>
              <w:ind w:right="-2"/>
              <w:rPr>
                <w:highlight w:val="white"/>
              </w:rPr>
            </w:pPr>
            <w:r w:rsidRPr="0019627D">
              <w:t>Young et al., 2008, Ruiz-Rabelo et al., 2015.</w:t>
            </w:r>
            <w:r w:rsidRPr="0019627D">
              <w:rPr>
                <w:rFonts w:ascii="Arial" w:eastAsia="Arial" w:hAnsi="Arial" w:cs="Arial"/>
                <w:highlight w:val="white"/>
              </w:rPr>
              <w:t> </w:t>
            </w:r>
          </w:p>
        </w:tc>
        <w:tc>
          <w:tcPr>
            <w:tcW w:w="929" w:type="pct"/>
            <w:tcBorders>
              <w:top w:val="nil"/>
              <w:left w:val="nil"/>
              <w:bottom w:val="nil"/>
              <w:right w:val="nil"/>
            </w:tcBorders>
          </w:tcPr>
          <w:p w14:paraId="7806BB0B" w14:textId="77777777" w:rsidR="009D48FF" w:rsidRPr="0019627D" w:rsidRDefault="009D48FF" w:rsidP="009D48FF">
            <w:pPr>
              <w:ind w:right="-2"/>
              <w:rPr>
                <w:highlight w:val="yellow"/>
              </w:rPr>
            </w:pPr>
            <w:r w:rsidRPr="0019627D">
              <w:t>No presenta</w:t>
            </w:r>
          </w:p>
        </w:tc>
        <w:tc>
          <w:tcPr>
            <w:tcW w:w="11" w:type="pct"/>
            <w:tcBorders>
              <w:top w:val="nil"/>
              <w:left w:val="nil"/>
              <w:bottom w:val="nil"/>
              <w:right w:val="nil"/>
            </w:tcBorders>
          </w:tcPr>
          <w:p w14:paraId="35429B1E" w14:textId="77777777" w:rsidR="009D48FF" w:rsidRPr="0019627D" w:rsidRDefault="009D48FF" w:rsidP="009D48FF">
            <w:pPr>
              <w:ind w:right="-2"/>
              <w:rPr>
                <w:highlight w:val="white"/>
              </w:rPr>
            </w:pPr>
          </w:p>
        </w:tc>
      </w:tr>
      <w:tr w:rsidR="009D48FF" w:rsidRPr="0019627D" w14:paraId="2F994F44"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270FC606" w14:textId="77777777" w:rsidR="009D48FF" w:rsidRPr="0019627D" w:rsidRDefault="009D48FF" w:rsidP="009D48FF">
            <w:r w:rsidRPr="0019627D">
              <w:t>Mazur et al., 2020.</w:t>
            </w:r>
          </w:p>
        </w:tc>
        <w:tc>
          <w:tcPr>
            <w:tcW w:w="781" w:type="pct"/>
            <w:tcBorders>
              <w:top w:val="nil"/>
              <w:left w:val="nil"/>
              <w:bottom w:val="nil"/>
              <w:right w:val="nil"/>
            </w:tcBorders>
          </w:tcPr>
          <w:p w14:paraId="232C9166"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7FD2B8E3"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520BDD91" w14:textId="77777777" w:rsidR="009D48FF" w:rsidRPr="0019627D" w:rsidRDefault="009D48FF" w:rsidP="009D48FF">
            <w:pPr>
              <w:ind w:right="-2"/>
              <w:rPr>
                <w:highlight w:val="white"/>
              </w:rPr>
            </w:pPr>
            <w:r w:rsidRPr="0019627D">
              <w:t>Hart, 2006; Grier, 2015.</w:t>
            </w:r>
          </w:p>
        </w:tc>
        <w:tc>
          <w:tcPr>
            <w:tcW w:w="929" w:type="pct"/>
            <w:tcBorders>
              <w:top w:val="nil"/>
              <w:left w:val="nil"/>
              <w:bottom w:val="nil"/>
              <w:right w:val="nil"/>
            </w:tcBorders>
          </w:tcPr>
          <w:p w14:paraId="2C3FDC51"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28F3E4B2" w14:textId="77777777" w:rsidR="009D48FF" w:rsidRPr="0019627D" w:rsidRDefault="009D48FF" w:rsidP="009D48FF">
            <w:pPr>
              <w:ind w:right="-2"/>
              <w:rPr>
                <w:highlight w:val="white"/>
              </w:rPr>
            </w:pPr>
          </w:p>
        </w:tc>
      </w:tr>
      <w:tr w:rsidR="009D48FF" w:rsidRPr="0019627D" w14:paraId="02C31687"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2782ABF0" w14:textId="77777777" w:rsidR="009D48FF" w:rsidRPr="0019627D" w:rsidRDefault="009D48FF" w:rsidP="009D48FF">
            <w:r w:rsidRPr="0019627D">
              <w:t>Nayar et al., 2019.</w:t>
            </w:r>
          </w:p>
        </w:tc>
        <w:tc>
          <w:tcPr>
            <w:tcW w:w="781" w:type="pct"/>
            <w:tcBorders>
              <w:top w:val="nil"/>
              <w:left w:val="nil"/>
              <w:bottom w:val="nil"/>
              <w:right w:val="nil"/>
            </w:tcBorders>
          </w:tcPr>
          <w:p w14:paraId="5B0ACD8F"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487CC9B4" w14:textId="77777777" w:rsidR="009D48FF" w:rsidRPr="0019627D" w:rsidRDefault="009D48FF" w:rsidP="009D48FF">
            <w:pPr>
              <w:rPr>
                <w:highlight w:val="white"/>
              </w:rPr>
            </w:pPr>
            <w:r w:rsidRPr="0019627D">
              <w:t xml:space="preserve"> Hart, 1988; 2006. </w:t>
            </w:r>
          </w:p>
        </w:tc>
        <w:tc>
          <w:tcPr>
            <w:tcW w:w="1260" w:type="pct"/>
            <w:tcBorders>
              <w:top w:val="nil"/>
              <w:left w:val="nil"/>
              <w:bottom w:val="nil"/>
              <w:right w:val="nil"/>
            </w:tcBorders>
          </w:tcPr>
          <w:p w14:paraId="7652E7A9" w14:textId="77777777" w:rsidR="009D48FF" w:rsidRPr="0019627D" w:rsidRDefault="009D48FF" w:rsidP="009D48FF">
            <w:pPr>
              <w:ind w:right="-2"/>
              <w:rPr>
                <w:highlight w:val="white"/>
              </w:rPr>
            </w:pPr>
            <w:r w:rsidRPr="0019627D">
              <w:t>Hart; 1988, 2006.</w:t>
            </w:r>
          </w:p>
        </w:tc>
        <w:tc>
          <w:tcPr>
            <w:tcW w:w="929" w:type="pct"/>
            <w:tcBorders>
              <w:top w:val="nil"/>
              <w:left w:val="nil"/>
              <w:bottom w:val="nil"/>
              <w:right w:val="nil"/>
            </w:tcBorders>
          </w:tcPr>
          <w:p w14:paraId="658E4676"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1E3217AD" w14:textId="77777777" w:rsidR="009D48FF" w:rsidRPr="0019627D" w:rsidRDefault="009D48FF" w:rsidP="009D48FF">
            <w:pPr>
              <w:ind w:right="-2"/>
              <w:rPr>
                <w:highlight w:val="white"/>
              </w:rPr>
            </w:pPr>
          </w:p>
        </w:tc>
      </w:tr>
      <w:tr w:rsidR="009D48FF" w:rsidRPr="0019627D" w14:paraId="0AF8EBE2"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1143E1E2" w14:textId="77777777" w:rsidR="009D48FF" w:rsidRPr="0019627D" w:rsidRDefault="009D48FF" w:rsidP="009D48FF">
            <w:r w:rsidRPr="0019627D">
              <w:t>Nino et al., 2020.</w:t>
            </w:r>
          </w:p>
        </w:tc>
        <w:tc>
          <w:tcPr>
            <w:tcW w:w="781" w:type="pct"/>
            <w:tcBorders>
              <w:top w:val="nil"/>
              <w:left w:val="nil"/>
              <w:bottom w:val="nil"/>
              <w:right w:val="nil"/>
            </w:tcBorders>
          </w:tcPr>
          <w:p w14:paraId="743D4E5A"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6EF3CCD3"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1A05BDDB" w14:textId="77777777" w:rsidR="009D48FF" w:rsidRPr="0019627D" w:rsidRDefault="009D48FF" w:rsidP="009D48FF">
            <w:pPr>
              <w:ind w:right="-2"/>
              <w:rPr>
                <w:highlight w:val="white"/>
              </w:rPr>
            </w:pPr>
            <w:r w:rsidRPr="0019627D">
              <w:t>Rubio et al., 2004, Huggins y Claudio, 2018, Nygren, 1991.</w:t>
            </w:r>
          </w:p>
        </w:tc>
        <w:tc>
          <w:tcPr>
            <w:tcW w:w="929" w:type="pct"/>
            <w:tcBorders>
              <w:top w:val="nil"/>
              <w:left w:val="nil"/>
              <w:bottom w:val="nil"/>
              <w:right w:val="nil"/>
            </w:tcBorders>
          </w:tcPr>
          <w:p w14:paraId="69513021"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AB05D51" w14:textId="77777777" w:rsidR="009D48FF" w:rsidRPr="0019627D" w:rsidRDefault="009D48FF" w:rsidP="009D48FF">
            <w:pPr>
              <w:ind w:right="-2"/>
              <w:rPr>
                <w:highlight w:val="white"/>
              </w:rPr>
            </w:pPr>
          </w:p>
        </w:tc>
      </w:tr>
      <w:tr w:rsidR="009D48FF" w:rsidRPr="0019627D" w14:paraId="2A8DCE25"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0A7DEF75" w14:textId="77777777" w:rsidR="009D48FF" w:rsidRPr="0019627D" w:rsidRDefault="009D48FF" w:rsidP="009D48FF">
            <w:r w:rsidRPr="0019627D">
              <w:t>Nodoushan et al., 2021.</w:t>
            </w:r>
          </w:p>
        </w:tc>
        <w:tc>
          <w:tcPr>
            <w:tcW w:w="781" w:type="pct"/>
            <w:tcBorders>
              <w:top w:val="nil"/>
              <w:left w:val="nil"/>
              <w:bottom w:val="nil"/>
              <w:right w:val="nil"/>
            </w:tcBorders>
          </w:tcPr>
          <w:p w14:paraId="1C581161"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799F80B7"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7719DB72" w14:textId="77777777" w:rsidR="009D48FF" w:rsidRPr="0019627D" w:rsidRDefault="009D48FF" w:rsidP="009D48FF">
            <w:pPr>
              <w:ind w:right="-2"/>
              <w:rPr>
                <w:highlight w:val="white"/>
              </w:rPr>
            </w:pPr>
            <w:r w:rsidRPr="0019627D">
              <w:t>Mohammadi et al., 2013.</w:t>
            </w:r>
          </w:p>
        </w:tc>
        <w:tc>
          <w:tcPr>
            <w:tcW w:w="929" w:type="pct"/>
            <w:tcBorders>
              <w:top w:val="nil"/>
              <w:left w:val="nil"/>
              <w:bottom w:val="nil"/>
              <w:right w:val="nil"/>
            </w:tcBorders>
          </w:tcPr>
          <w:p w14:paraId="3604A511"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B3D525E" w14:textId="77777777" w:rsidR="009D48FF" w:rsidRPr="0019627D" w:rsidRDefault="009D48FF" w:rsidP="009D48FF">
            <w:pPr>
              <w:ind w:right="-2"/>
              <w:rPr>
                <w:highlight w:val="white"/>
              </w:rPr>
            </w:pPr>
          </w:p>
        </w:tc>
      </w:tr>
      <w:tr w:rsidR="009D48FF" w:rsidRPr="0019627D" w14:paraId="7DACFEF9"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1D2A2DCC" w14:textId="77777777" w:rsidR="009D48FF" w:rsidRPr="0019627D" w:rsidRDefault="009D48FF" w:rsidP="009D48FF">
            <w:r w:rsidRPr="0019627D">
              <w:rPr>
                <w:highlight w:val="white"/>
              </w:rPr>
              <w:t>Sarsangi et al., 2017.</w:t>
            </w:r>
          </w:p>
        </w:tc>
        <w:tc>
          <w:tcPr>
            <w:tcW w:w="781" w:type="pct"/>
            <w:tcBorders>
              <w:top w:val="nil"/>
              <w:left w:val="nil"/>
              <w:bottom w:val="nil"/>
              <w:right w:val="nil"/>
            </w:tcBorders>
          </w:tcPr>
          <w:p w14:paraId="762BA21B"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02F6CC17" w14:textId="77777777" w:rsidR="009D48FF" w:rsidRPr="0019627D" w:rsidRDefault="009D48FF" w:rsidP="009D48FF">
            <w:pPr>
              <w:rPr>
                <w:highlight w:val="white"/>
              </w:rPr>
            </w:pPr>
            <w:r w:rsidRPr="0019627D">
              <w:rPr>
                <w:highlight w:val="white"/>
              </w:rPr>
              <w:t>Hoonakker et al., 2011; Rubio et al., 2004.</w:t>
            </w:r>
          </w:p>
        </w:tc>
        <w:tc>
          <w:tcPr>
            <w:tcW w:w="1260" w:type="pct"/>
            <w:tcBorders>
              <w:top w:val="nil"/>
              <w:left w:val="nil"/>
              <w:bottom w:val="nil"/>
              <w:right w:val="nil"/>
            </w:tcBorders>
          </w:tcPr>
          <w:p w14:paraId="51003F95" w14:textId="77777777" w:rsidR="009D48FF" w:rsidRPr="0019627D" w:rsidRDefault="009D48FF" w:rsidP="009D48FF">
            <w:pPr>
              <w:ind w:right="-2"/>
              <w:rPr>
                <w:highlight w:val="white"/>
              </w:rPr>
            </w:pPr>
            <w:r w:rsidRPr="0019627D">
              <w:t>Mohammadi et al., 2013.</w:t>
            </w:r>
          </w:p>
        </w:tc>
        <w:tc>
          <w:tcPr>
            <w:tcW w:w="929" w:type="pct"/>
            <w:tcBorders>
              <w:top w:val="nil"/>
              <w:left w:val="nil"/>
              <w:bottom w:val="nil"/>
              <w:right w:val="nil"/>
            </w:tcBorders>
          </w:tcPr>
          <w:p w14:paraId="11941DF0"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7A4D2C64" w14:textId="77777777" w:rsidR="009D48FF" w:rsidRPr="0019627D" w:rsidRDefault="009D48FF" w:rsidP="009D48FF">
            <w:pPr>
              <w:ind w:right="-2"/>
              <w:rPr>
                <w:highlight w:val="white"/>
              </w:rPr>
            </w:pPr>
          </w:p>
        </w:tc>
      </w:tr>
      <w:tr w:rsidR="009D48FF" w:rsidRPr="0019627D" w14:paraId="17327A88"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70BE8007" w14:textId="77777777" w:rsidR="009D48FF" w:rsidRPr="0019627D" w:rsidRDefault="009D48FF" w:rsidP="009D48FF">
            <w:r w:rsidRPr="0019627D">
              <w:rPr>
                <w:highlight w:val="white"/>
              </w:rPr>
              <w:t>Teh</w:t>
            </w:r>
            <w:r w:rsidRPr="0019627D">
              <w:t xml:space="preserve"> et al.,</w:t>
            </w:r>
            <w:r w:rsidRPr="0019627D">
              <w:rPr>
                <w:highlight w:val="white"/>
              </w:rPr>
              <w:t xml:space="preserve"> 2014.</w:t>
            </w:r>
          </w:p>
        </w:tc>
        <w:tc>
          <w:tcPr>
            <w:tcW w:w="781" w:type="pct"/>
            <w:tcBorders>
              <w:top w:val="nil"/>
              <w:left w:val="nil"/>
              <w:bottom w:val="nil"/>
              <w:right w:val="nil"/>
            </w:tcBorders>
          </w:tcPr>
          <w:p w14:paraId="57428A32" w14:textId="77777777" w:rsidR="009D48FF" w:rsidRPr="0019627D" w:rsidRDefault="009D48FF" w:rsidP="009D48FF">
            <w:pPr>
              <w:rPr>
                <w:highlight w:val="white"/>
              </w:rPr>
            </w:pPr>
            <w:r w:rsidRPr="0019627D">
              <w:rPr>
                <w:highlight w:val="white"/>
              </w:rPr>
              <w:t>NASA TLX</w:t>
            </w:r>
          </w:p>
        </w:tc>
        <w:tc>
          <w:tcPr>
            <w:tcW w:w="972" w:type="pct"/>
            <w:tcBorders>
              <w:top w:val="nil"/>
              <w:left w:val="nil"/>
              <w:bottom w:val="nil"/>
              <w:right w:val="nil"/>
            </w:tcBorders>
          </w:tcPr>
          <w:p w14:paraId="2EBC9188"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1327E16E" w14:textId="77777777" w:rsidR="009D48FF" w:rsidRPr="0019627D" w:rsidRDefault="009D48FF" w:rsidP="009D48FF">
            <w:pPr>
              <w:ind w:right="-2"/>
              <w:rPr>
                <w:highlight w:val="white"/>
              </w:rPr>
            </w:pPr>
            <w:r w:rsidRPr="0019627D">
              <w:rPr>
                <w:highlight w:val="white"/>
              </w:rPr>
              <w:t>Gopher y Browne, 1984.</w:t>
            </w:r>
          </w:p>
        </w:tc>
        <w:tc>
          <w:tcPr>
            <w:tcW w:w="929" w:type="pct"/>
            <w:tcBorders>
              <w:top w:val="nil"/>
              <w:left w:val="nil"/>
              <w:bottom w:val="nil"/>
              <w:right w:val="nil"/>
            </w:tcBorders>
          </w:tcPr>
          <w:p w14:paraId="7BFFF653" w14:textId="77777777" w:rsidR="009D48FF" w:rsidRPr="0019627D" w:rsidRDefault="009D48FF" w:rsidP="009D48FF">
            <w:pPr>
              <w:ind w:right="-2"/>
              <w:rPr>
                <w:highlight w:val="white"/>
              </w:rPr>
            </w:pPr>
            <w:r w:rsidRPr="0019627D">
              <w:t xml:space="preserve">No presenta </w:t>
            </w:r>
          </w:p>
        </w:tc>
        <w:tc>
          <w:tcPr>
            <w:tcW w:w="11" w:type="pct"/>
            <w:tcBorders>
              <w:top w:val="nil"/>
              <w:left w:val="nil"/>
              <w:bottom w:val="nil"/>
              <w:right w:val="nil"/>
            </w:tcBorders>
          </w:tcPr>
          <w:p w14:paraId="2599C54A" w14:textId="77777777" w:rsidR="009D48FF" w:rsidRPr="0019627D" w:rsidRDefault="009D48FF" w:rsidP="009D48FF">
            <w:pPr>
              <w:ind w:right="-2"/>
              <w:rPr>
                <w:highlight w:val="white"/>
              </w:rPr>
            </w:pPr>
          </w:p>
        </w:tc>
      </w:tr>
      <w:tr w:rsidR="009D48FF" w:rsidRPr="0019627D" w14:paraId="2EBC100A"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0693744C" w14:textId="77777777" w:rsidR="009D48FF" w:rsidRPr="0019627D" w:rsidRDefault="009D48FF" w:rsidP="009D48FF"/>
        </w:tc>
        <w:tc>
          <w:tcPr>
            <w:tcW w:w="781" w:type="pct"/>
            <w:tcBorders>
              <w:top w:val="nil"/>
              <w:left w:val="nil"/>
              <w:bottom w:val="nil"/>
              <w:right w:val="nil"/>
            </w:tcBorders>
          </w:tcPr>
          <w:p w14:paraId="61E1469F" w14:textId="77777777" w:rsidR="009D48FF" w:rsidRPr="0019627D" w:rsidRDefault="009D48FF" w:rsidP="009D48FF">
            <w:pPr>
              <w:rPr>
                <w:highlight w:val="white"/>
              </w:rPr>
            </w:pPr>
            <w:r w:rsidRPr="0019627D">
              <w:rPr>
                <w:highlight w:val="white"/>
              </w:rPr>
              <w:t>RSME</w:t>
            </w:r>
          </w:p>
        </w:tc>
        <w:tc>
          <w:tcPr>
            <w:tcW w:w="972" w:type="pct"/>
            <w:tcBorders>
              <w:top w:val="nil"/>
              <w:left w:val="nil"/>
              <w:bottom w:val="nil"/>
              <w:right w:val="nil"/>
            </w:tcBorders>
          </w:tcPr>
          <w:p w14:paraId="1A5F38C0"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5210E24F" w14:textId="77777777" w:rsidR="009D48FF" w:rsidRPr="0019627D" w:rsidRDefault="009D48FF" w:rsidP="009D48FF">
            <w:pPr>
              <w:ind w:right="-2"/>
              <w:rPr>
                <w:highlight w:val="white"/>
              </w:rPr>
            </w:pPr>
            <w:r w:rsidRPr="0019627D">
              <w:rPr>
                <w:highlight w:val="white"/>
              </w:rPr>
              <w:t>Gopher y Browne, 1984.</w:t>
            </w:r>
          </w:p>
        </w:tc>
        <w:tc>
          <w:tcPr>
            <w:tcW w:w="929" w:type="pct"/>
            <w:tcBorders>
              <w:top w:val="nil"/>
              <w:left w:val="nil"/>
              <w:bottom w:val="nil"/>
              <w:right w:val="nil"/>
            </w:tcBorders>
          </w:tcPr>
          <w:p w14:paraId="6CC6D241"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227CF47C" w14:textId="77777777" w:rsidR="009D48FF" w:rsidRPr="0019627D" w:rsidRDefault="009D48FF" w:rsidP="009D48FF">
            <w:pPr>
              <w:ind w:right="-2"/>
              <w:rPr>
                <w:highlight w:val="white"/>
              </w:rPr>
            </w:pPr>
          </w:p>
        </w:tc>
      </w:tr>
      <w:tr w:rsidR="009D48FF" w:rsidRPr="0019627D" w14:paraId="67FEF351"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7FC0250C" w14:textId="77777777" w:rsidR="009D48FF" w:rsidRPr="0019627D" w:rsidRDefault="009D48FF" w:rsidP="009D48FF">
            <w:r w:rsidRPr="0019627D">
              <w:t>Wilbanks &amp; McMullan, 2018.</w:t>
            </w:r>
          </w:p>
        </w:tc>
        <w:tc>
          <w:tcPr>
            <w:tcW w:w="781" w:type="pct"/>
            <w:tcBorders>
              <w:top w:val="nil"/>
              <w:left w:val="nil"/>
              <w:bottom w:val="nil"/>
              <w:right w:val="nil"/>
            </w:tcBorders>
          </w:tcPr>
          <w:p w14:paraId="095A4043" w14:textId="77777777" w:rsidR="009D48FF" w:rsidRPr="0019627D" w:rsidRDefault="009D48FF" w:rsidP="009D48FF">
            <w:pPr>
              <w:rPr>
                <w:highlight w:val="white"/>
              </w:rPr>
            </w:pPr>
            <w:r w:rsidRPr="0019627D">
              <w:t>NASA TLX</w:t>
            </w:r>
          </w:p>
        </w:tc>
        <w:tc>
          <w:tcPr>
            <w:tcW w:w="972" w:type="pct"/>
            <w:tcBorders>
              <w:top w:val="nil"/>
              <w:left w:val="nil"/>
              <w:bottom w:val="nil"/>
              <w:right w:val="nil"/>
            </w:tcBorders>
          </w:tcPr>
          <w:p w14:paraId="66600A67" w14:textId="77777777" w:rsidR="009D48FF" w:rsidRPr="0019627D" w:rsidRDefault="009D48FF" w:rsidP="009D48FF">
            <w:pPr>
              <w:rPr>
                <w:highlight w:val="white"/>
              </w:rPr>
            </w:pPr>
            <w:r w:rsidRPr="0019627D">
              <w:t>Hart, 2006.</w:t>
            </w:r>
          </w:p>
        </w:tc>
        <w:tc>
          <w:tcPr>
            <w:tcW w:w="1260" w:type="pct"/>
            <w:tcBorders>
              <w:top w:val="nil"/>
              <w:left w:val="nil"/>
              <w:bottom w:val="nil"/>
              <w:right w:val="nil"/>
            </w:tcBorders>
          </w:tcPr>
          <w:p w14:paraId="0D7BF6E0" w14:textId="77777777" w:rsidR="009D48FF" w:rsidRPr="0019627D" w:rsidRDefault="009D48FF" w:rsidP="009D48FF">
            <w:pPr>
              <w:ind w:right="-2"/>
            </w:pPr>
            <w:r w:rsidRPr="0019627D">
              <w:t>Battiste y Bortolussi, 1988; Hoonakker et al., 2011; McMulla, 2017.</w:t>
            </w:r>
          </w:p>
        </w:tc>
        <w:tc>
          <w:tcPr>
            <w:tcW w:w="929" w:type="pct"/>
            <w:tcBorders>
              <w:top w:val="nil"/>
              <w:left w:val="nil"/>
              <w:bottom w:val="nil"/>
              <w:right w:val="nil"/>
            </w:tcBorders>
          </w:tcPr>
          <w:p w14:paraId="67BAA09A"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7DB01ABE" w14:textId="77777777" w:rsidR="009D48FF" w:rsidRPr="0019627D" w:rsidRDefault="009D48FF" w:rsidP="009D48FF">
            <w:pPr>
              <w:ind w:right="-2"/>
              <w:rPr>
                <w:highlight w:val="white"/>
              </w:rPr>
            </w:pPr>
          </w:p>
        </w:tc>
      </w:tr>
      <w:tr w:rsidR="009D48FF" w:rsidRPr="0019627D" w14:paraId="19221304"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3AC953DA" w14:textId="77777777" w:rsidR="009D48FF" w:rsidRPr="0019627D" w:rsidRDefault="009D48FF" w:rsidP="009D48FF"/>
        </w:tc>
        <w:tc>
          <w:tcPr>
            <w:tcW w:w="781" w:type="pct"/>
            <w:tcBorders>
              <w:top w:val="nil"/>
              <w:left w:val="nil"/>
              <w:bottom w:val="nil"/>
              <w:right w:val="nil"/>
            </w:tcBorders>
          </w:tcPr>
          <w:p w14:paraId="58A29B79" w14:textId="77777777" w:rsidR="009D48FF" w:rsidRPr="0019627D" w:rsidRDefault="009D48FF" w:rsidP="009D48FF">
            <w:pPr>
              <w:rPr>
                <w:highlight w:val="white"/>
              </w:rPr>
            </w:pPr>
            <w:r w:rsidRPr="0019627D">
              <w:t>Alert Burden Questionnaire</w:t>
            </w:r>
          </w:p>
        </w:tc>
        <w:tc>
          <w:tcPr>
            <w:tcW w:w="972" w:type="pct"/>
            <w:tcBorders>
              <w:top w:val="nil"/>
              <w:left w:val="nil"/>
              <w:bottom w:val="nil"/>
              <w:right w:val="nil"/>
            </w:tcBorders>
          </w:tcPr>
          <w:p w14:paraId="71336385"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5B7DDB1A" w14:textId="77777777" w:rsidR="009D48FF" w:rsidRPr="0019627D" w:rsidRDefault="009D48FF" w:rsidP="009D48FF">
            <w:pPr>
              <w:ind w:right="-2"/>
              <w:rPr>
                <w:highlight w:val="white"/>
                <w:lang w:val="en-US"/>
              </w:rPr>
            </w:pPr>
            <w:r w:rsidRPr="0019627D">
              <w:rPr>
                <w:lang w:val="en-US"/>
              </w:rPr>
              <w:t>Gregory et al., 2017; Singh et al., 2013.</w:t>
            </w:r>
          </w:p>
        </w:tc>
        <w:tc>
          <w:tcPr>
            <w:tcW w:w="929" w:type="pct"/>
            <w:tcBorders>
              <w:top w:val="nil"/>
              <w:left w:val="nil"/>
              <w:bottom w:val="nil"/>
              <w:right w:val="nil"/>
            </w:tcBorders>
          </w:tcPr>
          <w:p w14:paraId="064B62F8"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15207480" w14:textId="77777777" w:rsidR="009D48FF" w:rsidRPr="0019627D" w:rsidRDefault="009D48FF" w:rsidP="009D48FF">
            <w:pPr>
              <w:ind w:right="-2"/>
              <w:rPr>
                <w:highlight w:val="white"/>
              </w:rPr>
            </w:pPr>
          </w:p>
        </w:tc>
      </w:tr>
      <w:tr w:rsidR="009D48FF" w:rsidRPr="0019627D" w14:paraId="7BD310F0" w14:textId="77777777" w:rsidTr="009D48FF">
        <w:trPr>
          <w:trHeight w:val="212"/>
        </w:trPr>
        <w:tc>
          <w:tcPr>
            <w:tcW w:w="1047" w:type="pct"/>
            <w:tcBorders>
              <w:top w:val="nil"/>
              <w:left w:val="nil"/>
              <w:bottom w:val="nil"/>
              <w:right w:val="nil"/>
            </w:tcBorders>
            <w:shd w:val="clear" w:color="auto" w:fill="auto"/>
            <w:tcMar>
              <w:top w:w="80" w:type="dxa"/>
              <w:left w:w="80" w:type="dxa"/>
              <w:bottom w:w="80" w:type="dxa"/>
              <w:right w:w="80" w:type="dxa"/>
            </w:tcMar>
          </w:tcPr>
          <w:p w14:paraId="4B4042FD" w14:textId="77777777" w:rsidR="009D48FF" w:rsidRPr="0019627D" w:rsidRDefault="009D48FF" w:rsidP="009D48FF"/>
        </w:tc>
        <w:tc>
          <w:tcPr>
            <w:tcW w:w="781" w:type="pct"/>
            <w:tcBorders>
              <w:top w:val="nil"/>
              <w:left w:val="nil"/>
              <w:bottom w:val="nil"/>
              <w:right w:val="nil"/>
            </w:tcBorders>
          </w:tcPr>
          <w:p w14:paraId="7B56C923" w14:textId="77777777" w:rsidR="009D48FF" w:rsidRPr="0019627D" w:rsidRDefault="009D48FF" w:rsidP="009D48FF">
            <w:pPr>
              <w:rPr>
                <w:highlight w:val="white"/>
              </w:rPr>
            </w:pPr>
            <w:r w:rsidRPr="0019627D">
              <w:t>RSME</w:t>
            </w:r>
          </w:p>
        </w:tc>
        <w:tc>
          <w:tcPr>
            <w:tcW w:w="972" w:type="pct"/>
            <w:tcBorders>
              <w:top w:val="nil"/>
              <w:left w:val="nil"/>
              <w:bottom w:val="nil"/>
              <w:right w:val="nil"/>
            </w:tcBorders>
          </w:tcPr>
          <w:p w14:paraId="4B6F2CC4" w14:textId="77777777" w:rsidR="009D48FF" w:rsidRPr="0019627D" w:rsidRDefault="009D48FF" w:rsidP="009D48FF">
            <w:pPr>
              <w:rPr>
                <w:highlight w:val="white"/>
              </w:rPr>
            </w:pPr>
            <w:r w:rsidRPr="0019627D">
              <w:t>No presenta</w:t>
            </w:r>
          </w:p>
        </w:tc>
        <w:tc>
          <w:tcPr>
            <w:tcW w:w="1260" w:type="pct"/>
            <w:tcBorders>
              <w:top w:val="nil"/>
              <w:left w:val="nil"/>
              <w:bottom w:val="nil"/>
              <w:right w:val="nil"/>
            </w:tcBorders>
          </w:tcPr>
          <w:p w14:paraId="03152829" w14:textId="77777777" w:rsidR="009D48FF" w:rsidRPr="0019627D" w:rsidRDefault="009D48FF" w:rsidP="009D48FF">
            <w:pPr>
              <w:ind w:right="-2"/>
              <w:rPr>
                <w:highlight w:val="white"/>
              </w:rPr>
            </w:pPr>
            <w:r w:rsidRPr="0019627D">
              <w:t>No presenta</w:t>
            </w:r>
          </w:p>
        </w:tc>
        <w:tc>
          <w:tcPr>
            <w:tcW w:w="929" w:type="pct"/>
            <w:tcBorders>
              <w:top w:val="nil"/>
              <w:left w:val="nil"/>
              <w:bottom w:val="nil"/>
              <w:right w:val="nil"/>
            </w:tcBorders>
          </w:tcPr>
          <w:p w14:paraId="5DB24EE9"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1C8A2C52" w14:textId="77777777" w:rsidR="009D48FF" w:rsidRPr="0019627D" w:rsidRDefault="009D48FF" w:rsidP="009D48FF">
            <w:pPr>
              <w:ind w:right="-2"/>
              <w:rPr>
                <w:highlight w:val="white"/>
              </w:rPr>
            </w:pPr>
          </w:p>
        </w:tc>
      </w:tr>
      <w:tr w:rsidR="009D48FF" w:rsidRPr="0019627D" w14:paraId="61F16CDD" w14:textId="77777777" w:rsidTr="009D48FF">
        <w:trPr>
          <w:trHeight w:val="212"/>
        </w:trPr>
        <w:tc>
          <w:tcPr>
            <w:tcW w:w="1047" w:type="pct"/>
            <w:tcBorders>
              <w:top w:val="nil"/>
              <w:left w:val="nil"/>
              <w:bottom w:val="single" w:sz="4" w:space="0" w:color="000000"/>
              <w:right w:val="nil"/>
            </w:tcBorders>
            <w:shd w:val="clear" w:color="auto" w:fill="auto"/>
            <w:tcMar>
              <w:top w:w="80" w:type="dxa"/>
              <w:left w:w="80" w:type="dxa"/>
              <w:bottom w:w="80" w:type="dxa"/>
              <w:right w:w="80" w:type="dxa"/>
            </w:tcMar>
          </w:tcPr>
          <w:p w14:paraId="6B3DCE81" w14:textId="77777777" w:rsidR="009D48FF" w:rsidRPr="0019627D" w:rsidRDefault="009D48FF" w:rsidP="009D48FF">
            <w:r w:rsidRPr="0019627D">
              <w:t>Wu et al., 2021.</w:t>
            </w:r>
          </w:p>
        </w:tc>
        <w:tc>
          <w:tcPr>
            <w:tcW w:w="781" w:type="pct"/>
            <w:tcBorders>
              <w:top w:val="nil"/>
              <w:left w:val="nil"/>
              <w:bottom w:val="single" w:sz="4" w:space="0" w:color="000000"/>
              <w:right w:val="nil"/>
            </w:tcBorders>
          </w:tcPr>
          <w:p w14:paraId="3D282CDD" w14:textId="77777777" w:rsidR="009D48FF" w:rsidRPr="0019627D" w:rsidRDefault="009D48FF" w:rsidP="009D48FF">
            <w:pPr>
              <w:rPr>
                <w:highlight w:val="white"/>
              </w:rPr>
            </w:pPr>
            <w:r w:rsidRPr="0019627D">
              <w:t>NASA TLX</w:t>
            </w:r>
          </w:p>
        </w:tc>
        <w:tc>
          <w:tcPr>
            <w:tcW w:w="972" w:type="pct"/>
            <w:tcBorders>
              <w:top w:val="nil"/>
              <w:left w:val="nil"/>
              <w:bottom w:val="single" w:sz="4" w:space="0" w:color="000000"/>
              <w:right w:val="nil"/>
            </w:tcBorders>
          </w:tcPr>
          <w:p w14:paraId="494DF9D2" w14:textId="77777777" w:rsidR="009D48FF" w:rsidRPr="0019627D" w:rsidRDefault="009D48FF" w:rsidP="009D48FF">
            <w:pPr>
              <w:rPr>
                <w:highlight w:val="white"/>
              </w:rPr>
            </w:pPr>
            <w:r w:rsidRPr="0019627D">
              <w:t>Liang, 2019.</w:t>
            </w:r>
          </w:p>
        </w:tc>
        <w:tc>
          <w:tcPr>
            <w:tcW w:w="1260" w:type="pct"/>
            <w:tcBorders>
              <w:top w:val="nil"/>
              <w:left w:val="nil"/>
              <w:bottom w:val="single" w:sz="4" w:space="0" w:color="000000"/>
              <w:right w:val="nil"/>
            </w:tcBorders>
          </w:tcPr>
          <w:p w14:paraId="4F75B778" w14:textId="77777777" w:rsidR="009D48FF" w:rsidRPr="0019627D" w:rsidRDefault="009D48FF" w:rsidP="009D48FF">
            <w:pPr>
              <w:ind w:right="-2"/>
              <w:rPr>
                <w:highlight w:val="white"/>
              </w:rPr>
            </w:pPr>
            <w:r w:rsidRPr="0019627D">
              <w:t>Liang, 2019.</w:t>
            </w:r>
          </w:p>
        </w:tc>
        <w:tc>
          <w:tcPr>
            <w:tcW w:w="929" w:type="pct"/>
            <w:tcBorders>
              <w:top w:val="nil"/>
              <w:left w:val="nil"/>
              <w:bottom w:val="single" w:sz="4" w:space="0" w:color="000000"/>
              <w:right w:val="nil"/>
            </w:tcBorders>
          </w:tcPr>
          <w:p w14:paraId="720C49B0" w14:textId="77777777" w:rsidR="009D48FF" w:rsidRPr="0019627D" w:rsidRDefault="009D48FF" w:rsidP="009D48FF">
            <w:pPr>
              <w:ind w:right="-2"/>
              <w:rPr>
                <w:highlight w:val="white"/>
              </w:rPr>
            </w:pPr>
            <w:r w:rsidRPr="0019627D">
              <w:t>No presenta</w:t>
            </w:r>
          </w:p>
        </w:tc>
        <w:tc>
          <w:tcPr>
            <w:tcW w:w="11" w:type="pct"/>
            <w:tcBorders>
              <w:top w:val="nil"/>
              <w:left w:val="nil"/>
              <w:bottom w:val="single" w:sz="4" w:space="0" w:color="000000"/>
              <w:right w:val="nil"/>
            </w:tcBorders>
          </w:tcPr>
          <w:p w14:paraId="5C73CFA2" w14:textId="77777777" w:rsidR="009D48FF" w:rsidRPr="0019627D" w:rsidRDefault="009D48FF" w:rsidP="009D48FF">
            <w:pPr>
              <w:ind w:right="-2"/>
              <w:rPr>
                <w:highlight w:val="white"/>
              </w:rPr>
            </w:pPr>
          </w:p>
        </w:tc>
      </w:tr>
    </w:tbl>
    <w:p w14:paraId="70382A12" w14:textId="77777777" w:rsidR="00591E08" w:rsidRDefault="00591E08" w:rsidP="00184153">
      <w:pPr>
        <w:pStyle w:val="Prrafocomn"/>
        <w:rPr>
          <w:bCs/>
          <w:lang w:val="es-CO"/>
        </w:rPr>
      </w:pPr>
    </w:p>
    <w:p w14:paraId="759472C9" w14:textId="77777777" w:rsidR="00591E08" w:rsidRDefault="00591E08" w:rsidP="00184153">
      <w:pPr>
        <w:pStyle w:val="Prrafocomn"/>
        <w:rPr>
          <w:bCs/>
          <w:lang w:val="es-CO"/>
        </w:rPr>
      </w:pPr>
    </w:p>
    <w:p w14:paraId="5DB6B8DD" w14:textId="77777777" w:rsidR="009D48FF" w:rsidRPr="009D48FF" w:rsidRDefault="009D48FF" w:rsidP="009D48FF">
      <w:pPr>
        <w:pStyle w:val="Prrafocomn"/>
        <w:rPr>
          <w:bCs/>
          <w:lang w:val="es-CO"/>
        </w:rPr>
      </w:pPr>
      <w:r w:rsidRPr="009D48FF">
        <w:rPr>
          <w:bCs/>
          <w:lang w:val="es-CO"/>
        </w:rPr>
        <w:lastRenderedPageBreak/>
        <w:t>En otros 19 estudios encontrados, se realizaron parcial o totalmente análisis de las propiedades psicométricas del instrumento utilizado, con base en los criterios establecidos en el método, los estudios fueron categorizados en la Tabla 4.</w:t>
      </w:r>
    </w:p>
    <w:p w14:paraId="610431C3" w14:textId="7288E780" w:rsidR="008565A0" w:rsidRDefault="009D48FF" w:rsidP="009D48FF">
      <w:pPr>
        <w:pStyle w:val="Prrafocomn"/>
        <w:ind w:firstLine="0"/>
        <w:jc w:val="left"/>
        <w:rPr>
          <w:bCs/>
          <w:lang w:val="es-CO"/>
        </w:rPr>
      </w:pPr>
      <w:r w:rsidRPr="009D48FF">
        <w:rPr>
          <w:b/>
          <w:bCs/>
          <w:lang w:val="es-CO"/>
        </w:rPr>
        <w:t>Tabla 4</w:t>
      </w:r>
      <w:r w:rsidRPr="009D48FF">
        <w:rPr>
          <w:b/>
          <w:bCs/>
          <w:lang w:val="es-CO"/>
        </w:rPr>
        <w:br/>
      </w:r>
      <w:r w:rsidRPr="009D48FF">
        <w:rPr>
          <w:bCs/>
          <w:i/>
          <w:lang w:val="es-CO"/>
        </w:rPr>
        <w:t>Criterios psicométricos de los instrumentos de carga mental de trabajo</w:t>
      </w:r>
    </w:p>
    <w:tbl>
      <w:tblPr>
        <w:tblStyle w:val="1"/>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1850"/>
        <w:gridCol w:w="1510"/>
        <w:gridCol w:w="1631"/>
        <w:gridCol w:w="1776"/>
        <w:gridCol w:w="1720"/>
        <w:gridCol w:w="17"/>
      </w:tblGrid>
      <w:tr w:rsidR="009D48FF" w:rsidRPr="0019627D" w14:paraId="2A85A674" w14:textId="77777777" w:rsidTr="009D48FF">
        <w:trPr>
          <w:gridAfter w:val="1"/>
          <w:wAfter w:w="11" w:type="pct"/>
          <w:trHeight w:val="222"/>
          <w:tblHeader/>
        </w:trPr>
        <w:tc>
          <w:tcPr>
            <w:tcW w:w="1088" w:type="pct"/>
            <w:tcBorders>
              <w:top w:val="single" w:sz="4" w:space="0" w:color="000000"/>
              <w:left w:val="nil"/>
              <w:bottom w:val="nil"/>
              <w:right w:val="nil"/>
            </w:tcBorders>
            <w:shd w:val="clear" w:color="auto" w:fill="auto"/>
            <w:tcMar>
              <w:top w:w="80" w:type="dxa"/>
              <w:left w:w="80" w:type="dxa"/>
              <w:bottom w:w="80" w:type="dxa"/>
              <w:right w:w="80" w:type="dxa"/>
            </w:tcMar>
          </w:tcPr>
          <w:p w14:paraId="121E9545" w14:textId="77777777" w:rsidR="009D48FF" w:rsidRPr="009D48FF" w:rsidRDefault="009D48FF" w:rsidP="009D48FF">
            <w:pPr>
              <w:rPr>
                <w:b/>
              </w:rPr>
            </w:pPr>
          </w:p>
        </w:tc>
        <w:tc>
          <w:tcPr>
            <w:tcW w:w="888" w:type="pct"/>
            <w:tcBorders>
              <w:top w:val="single" w:sz="4" w:space="0" w:color="000000"/>
              <w:left w:val="nil"/>
              <w:bottom w:val="nil"/>
              <w:right w:val="nil"/>
            </w:tcBorders>
          </w:tcPr>
          <w:p w14:paraId="3A5134D5" w14:textId="77777777" w:rsidR="009D48FF" w:rsidRPr="009D48FF" w:rsidRDefault="009D48FF" w:rsidP="009D48FF">
            <w:pPr>
              <w:rPr>
                <w:b/>
              </w:rPr>
            </w:pPr>
          </w:p>
        </w:tc>
        <w:tc>
          <w:tcPr>
            <w:tcW w:w="3014" w:type="pct"/>
            <w:gridSpan w:val="3"/>
            <w:tcBorders>
              <w:top w:val="single" w:sz="4" w:space="0" w:color="000000"/>
              <w:left w:val="nil"/>
              <w:bottom w:val="single" w:sz="4" w:space="0" w:color="000000"/>
              <w:right w:val="nil"/>
            </w:tcBorders>
          </w:tcPr>
          <w:p w14:paraId="5864B521" w14:textId="77777777" w:rsidR="009D48FF" w:rsidRPr="009D48FF" w:rsidRDefault="009D48FF" w:rsidP="009D48FF">
            <w:pPr>
              <w:rPr>
                <w:b/>
              </w:rPr>
            </w:pPr>
            <w:r w:rsidRPr="009D48FF">
              <w:rPr>
                <w:b/>
              </w:rPr>
              <w:t>Evidencias de validez</w:t>
            </w:r>
            <w:r w:rsidRPr="009D48FF">
              <w:rPr>
                <w:b/>
                <w:vertAlign w:val="superscript"/>
              </w:rPr>
              <w:footnoteReference w:id="4"/>
            </w:r>
          </w:p>
        </w:tc>
      </w:tr>
      <w:tr w:rsidR="009D48FF" w:rsidRPr="0019627D" w14:paraId="20919464" w14:textId="77777777" w:rsidTr="009D48FF">
        <w:trPr>
          <w:trHeight w:val="222"/>
          <w:tblHeader/>
        </w:trPr>
        <w:tc>
          <w:tcPr>
            <w:tcW w:w="1088" w:type="pct"/>
            <w:tcBorders>
              <w:top w:val="nil"/>
              <w:left w:val="nil"/>
              <w:bottom w:val="single" w:sz="4" w:space="0" w:color="000000"/>
              <w:right w:val="nil"/>
            </w:tcBorders>
            <w:shd w:val="clear" w:color="auto" w:fill="auto"/>
            <w:tcMar>
              <w:top w:w="80" w:type="dxa"/>
              <w:left w:w="80" w:type="dxa"/>
              <w:bottom w:w="80" w:type="dxa"/>
              <w:right w:w="80" w:type="dxa"/>
            </w:tcMar>
          </w:tcPr>
          <w:p w14:paraId="644F8675" w14:textId="77777777" w:rsidR="009D48FF" w:rsidRPr="009D48FF" w:rsidRDefault="009D48FF" w:rsidP="009D48FF">
            <w:pPr>
              <w:rPr>
                <w:b/>
              </w:rPr>
            </w:pPr>
            <w:r w:rsidRPr="009D48FF">
              <w:rPr>
                <w:b/>
              </w:rPr>
              <w:t>Autor/Año artículo seleccionado en revisión</w:t>
            </w:r>
          </w:p>
        </w:tc>
        <w:tc>
          <w:tcPr>
            <w:tcW w:w="888" w:type="pct"/>
            <w:tcBorders>
              <w:top w:val="nil"/>
              <w:left w:val="nil"/>
              <w:bottom w:val="single" w:sz="4" w:space="0" w:color="000000"/>
              <w:right w:val="nil"/>
            </w:tcBorders>
          </w:tcPr>
          <w:p w14:paraId="59E619EF" w14:textId="77777777" w:rsidR="009D48FF" w:rsidRPr="009D48FF" w:rsidRDefault="009D48FF" w:rsidP="009D48FF">
            <w:pPr>
              <w:rPr>
                <w:b/>
              </w:rPr>
            </w:pPr>
            <w:r w:rsidRPr="009D48FF">
              <w:rPr>
                <w:b/>
              </w:rPr>
              <w:t>Instrumento</w:t>
            </w:r>
          </w:p>
        </w:tc>
        <w:tc>
          <w:tcPr>
            <w:tcW w:w="959" w:type="pct"/>
            <w:tcBorders>
              <w:top w:val="single" w:sz="4" w:space="0" w:color="000000"/>
              <w:left w:val="nil"/>
              <w:bottom w:val="single" w:sz="4" w:space="0" w:color="000000"/>
              <w:right w:val="nil"/>
            </w:tcBorders>
          </w:tcPr>
          <w:p w14:paraId="6B7DC116" w14:textId="77777777" w:rsidR="009D48FF" w:rsidRPr="009D48FF" w:rsidRDefault="009D48FF" w:rsidP="009D48FF">
            <w:pPr>
              <w:rPr>
                <w:b/>
              </w:rPr>
            </w:pPr>
            <w:r w:rsidRPr="009D48FF">
              <w:rPr>
                <w:b/>
              </w:rPr>
              <w:t>Basado en el contenido</w:t>
            </w:r>
          </w:p>
        </w:tc>
        <w:tc>
          <w:tcPr>
            <w:tcW w:w="1044" w:type="pct"/>
            <w:tcBorders>
              <w:top w:val="single" w:sz="4" w:space="0" w:color="000000"/>
              <w:left w:val="nil"/>
              <w:bottom w:val="single" w:sz="4" w:space="0" w:color="000000"/>
              <w:right w:val="nil"/>
            </w:tcBorders>
          </w:tcPr>
          <w:p w14:paraId="52654BF9" w14:textId="77777777" w:rsidR="009D48FF" w:rsidRPr="009D48FF" w:rsidRDefault="009D48FF" w:rsidP="009D48FF">
            <w:pPr>
              <w:rPr>
                <w:b/>
              </w:rPr>
            </w:pPr>
            <w:r w:rsidRPr="009D48FF">
              <w:rPr>
                <w:b/>
              </w:rPr>
              <w:t>Basado en la estructura interna</w:t>
            </w:r>
          </w:p>
        </w:tc>
        <w:tc>
          <w:tcPr>
            <w:tcW w:w="1011" w:type="pct"/>
            <w:tcBorders>
              <w:top w:val="single" w:sz="4" w:space="0" w:color="000000"/>
              <w:left w:val="nil"/>
              <w:bottom w:val="single" w:sz="4" w:space="0" w:color="000000"/>
              <w:right w:val="nil"/>
            </w:tcBorders>
          </w:tcPr>
          <w:p w14:paraId="1320675A" w14:textId="77777777" w:rsidR="009D48FF" w:rsidRPr="009D48FF" w:rsidRDefault="009D48FF" w:rsidP="009D48FF">
            <w:pPr>
              <w:rPr>
                <w:b/>
              </w:rPr>
            </w:pPr>
            <w:r w:rsidRPr="009D48FF">
              <w:rPr>
                <w:b/>
              </w:rPr>
              <w:t>Basado en medidas externas</w:t>
            </w:r>
          </w:p>
        </w:tc>
        <w:tc>
          <w:tcPr>
            <w:tcW w:w="11" w:type="pct"/>
            <w:tcBorders>
              <w:top w:val="single" w:sz="4" w:space="0" w:color="000000"/>
              <w:left w:val="nil"/>
              <w:bottom w:val="single" w:sz="4" w:space="0" w:color="000000"/>
              <w:right w:val="nil"/>
            </w:tcBorders>
          </w:tcPr>
          <w:p w14:paraId="5D299DA4" w14:textId="77777777" w:rsidR="009D48FF" w:rsidRPr="0019627D" w:rsidRDefault="009D48FF" w:rsidP="009D48FF"/>
        </w:tc>
      </w:tr>
      <w:tr w:rsidR="009D48FF" w:rsidRPr="0019627D" w14:paraId="0A681A6E" w14:textId="77777777" w:rsidTr="009D48FF">
        <w:trPr>
          <w:trHeight w:val="217"/>
        </w:trPr>
        <w:tc>
          <w:tcPr>
            <w:tcW w:w="1088" w:type="pct"/>
            <w:tcBorders>
              <w:top w:val="single" w:sz="4" w:space="0" w:color="000000"/>
              <w:left w:val="nil"/>
              <w:bottom w:val="nil"/>
              <w:right w:val="nil"/>
            </w:tcBorders>
            <w:shd w:val="clear" w:color="auto" w:fill="auto"/>
            <w:tcMar>
              <w:top w:w="80" w:type="dxa"/>
              <w:left w:w="80" w:type="dxa"/>
              <w:bottom w:w="80" w:type="dxa"/>
              <w:right w:w="80" w:type="dxa"/>
            </w:tcMar>
          </w:tcPr>
          <w:p w14:paraId="0BF684D1" w14:textId="77777777" w:rsidR="009D48FF" w:rsidRPr="0019627D" w:rsidRDefault="009D48FF" w:rsidP="009D48FF">
            <w:r w:rsidRPr="0019627D">
              <w:rPr>
                <w:highlight w:val="white"/>
              </w:rPr>
              <w:t>Atalay et al., 2016.</w:t>
            </w:r>
          </w:p>
        </w:tc>
        <w:tc>
          <w:tcPr>
            <w:tcW w:w="888" w:type="pct"/>
            <w:tcBorders>
              <w:top w:val="single" w:sz="4" w:space="0" w:color="000000"/>
              <w:left w:val="nil"/>
              <w:bottom w:val="nil"/>
              <w:right w:val="nil"/>
            </w:tcBorders>
          </w:tcPr>
          <w:p w14:paraId="0B51FA28" w14:textId="77777777" w:rsidR="009D48FF" w:rsidRPr="0019627D" w:rsidRDefault="009D48FF" w:rsidP="009D48FF">
            <w:pPr>
              <w:rPr>
                <w:highlight w:val="white"/>
              </w:rPr>
            </w:pPr>
            <w:r w:rsidRPr="0019627D">
              <w:rPr>
                <w:highlight w:val="white"/>
              </w:rPr>
              <w:t>NASA TLX</w:t>
            </w:r>
          </w:p>
        </w:tc>
        <w:tc>
          <w:tcPr>
            <w:tcW w:w="959" w:type="pct"/>
            <w:tcBorders>
              <w:top w:val="single" w:sz="4" w:space="0" w:color="000000"/>
              <w:left w:val="nil"/>
              <w:bottom w:val="nil"/>
              <w:right w:val="nil"/>
            </w:tcBorders>
          </w:tcPr>
          <w:p w14:paraId="62F674CB" w14:textId="77777777" w:rsidR="009D48FF" w:rsidRPr="0019627D" w:rsidRDefault="009D48FF" w:rsidP="009D48FF">
            <w:r w:rsidRPr="0019627D">
              <w:t>No presenta</w:t>
            </w:r>
          </w:p>
        </w:tc>
        <w:tc>
          <w:tcPr>
            <w:tcW w:w="1044" w:type="pct"/>
            <w:tcBorders>
              <w:top w:val="single" w:sz="4" w:space="0" w:color="000000"/>
              <w:left w:val="nil"/>
              <w:bottom w:val="nil"/>
              <w:right w:val="nil"/>
            </w:tcBorders>
          </w:tcPr>
          <w:p w14:paraId="23EB8CA7" w14:textId="77777777" w:rsidR="009D48FF" w:rsidRPr="0019627D" w:rsidRDefault="009D48FF" w:rsidP="009D48FF">
            <w:pPr>
              <w:ind w:right="-2"/>
              <w:rPr>
                <w:highlight w:val="white"/>
                <w:lang w:val="pt-BR"/>
              </w:rPr>
            </w:pPr>
            <w:r w:rsidRPr="0019627D">
              <w:rPr>
                <w:lang w:val="pt-BR"/>
              </w:rPr>
              <w:t>Alfa de Cronbach (valor no informado)</w:t>
            </w:r>
          </w:p>
        </w:tc>
        <w:tc>
          <w:tcPr>
            <w:tcW w:w="1011" w:type="pct"/>
            <w:tcBorders>
              <w:top w:val="single" w:sz="4" w:space="0" w:color="000000"/>
              <w:left w:val="nil"/>
              <w:bottom w:val="nil"/>
              <w:right w:val="nil"/>
            </w:tcBorders>
          </w:tcPr>
          <w:p w14:paraId="1E7FB4A4" w14:textId="77777777" w:rsidR="009D48FF" w:rsidRPr="0019627D" w:rsidRDefault="009D48FF" w:rsidP="009D48FF">
            <w:pPr>
              <w:ind w:right="-2"/>
              <w:rPr>
                <w:highlight w:val="white"/>
              </w:rPr>
            </w:pPr>
            <w:r w:rsidRPr="0019627D">
              <w:t>No presenta</w:t>
            </w:r>
          </w:p>
        </w:tc>
        <w:tc>
          <w:tcPr>
            <w:tcW w:w="11" w:type="pct"/>
            <w:tcBorders>
              <w:top w:val="single" w:sz="4" w:space="0" w:color="000000"/>
              <w:left w:val="nil"/>
              <w:bottom w:val="nil"/>
              <w:right w:val="nil"/>
            </w:tcBorders>
          </w:tcPr>
          <w:p w14:paraId="2441C67B" w14:textId="77777777" w:rsidR="009D48FF" w:rsidRPr="0019627D" w:rsidRDefault="009D48FF" w:rsidP="009D48FF">
            <w:pPr>
              <w:ind w:right="-2"/>
              <w:rPr>
                <w:highlight w:val="white"/>
              </w:rPr>
            </w:pPr>
          </w:p>
        </w:tc>
      </w:tr>
      <w:tr w:rsidR="009D48FF" w:rsidRPr="0019627D" w14:paraId="225C921B"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56CA94D9" w14:textId="77777777" w:rsidR="009D48FF" w:rsidRPr="0019627D" w:rsidRDefault="009D48FF" w:rsidP="009D48FF">
            <w:r w:rsidRPr="0019627D">
              <w:t>Braarud, 2020.</w:t>
            </w:r>
          </w:p>
        </w:tc>
        <w:tc>
          <w:tcPr>
            <w:tcW w:w="888" w:type="pct"/>
            <w:tcBorders>
              <w:top w:val="nil"/>
              <w:left w:val="nil"/>
              <w:bottom w:val="nil"/>
              <w:right w:val="nil"/>
            </w:tcBorders>
          </w:tcPr>
          <w:p w14:paraId="34BD2D16" w14:textId="77777777" w:rsidR="009D48FF" w:rsidRPr="0019627D" w:rsidRDefault="009D48FF" w:rsidP="009D48FF">
            <w:pPr>
              <w:rPr>
                <w:highlight w:val="white"/>
              </w:rPr>
            </w:pPr>
            <w:r w:rsidRPr="0019627D">
              <w:t>NASA TLX</w:t>
            </w:r>
          </w:p>
        </w:tc>
        <w:tc>
          <w:tcPr>
            <w:tcW w:w="959" w:type="pct"/>
            <w:tcBorders>
              <w:top w:val="nil"/>
              <w:left w:val="nil"/>
              <w:bottom w:val="nil"/>
              <w:right w:val="nil"/>
            </w:tcBorders>
          </w:tcPr>
          <w:p w14:paraId="5877802E" w14:textId="77777777" w:rsidR="009D48FF" w:rsidRPr="0019627D" w:rsidRDefault="009D48FF" w:rsidP="009D48FF">
            <w:r w:rsidRPr="0019627D">
              <w:t>No presenta</w:t>
            </w:r>
          </w:p>
        </w:tc>
        <w:tc>
          <w:tcPr>
            <w:tcW w:w="1044" w:type="pct"/>
            <w:tcBorders>
              <w:top w:val="nil"/>
              <w:left w:val="nil"/>
              <w:bottom w:val="nil"/>
              <w:right w:val="nil"/>
            </w:tcBorders>
          </w:tcPr>
          <w:p w14:paraId="7B7D40B8" w14:textId="77777777" w:rsidR="009D48FF" w:rsidRPr="0019627D" w:rsidRDefault="009D48FF" w:rsidP="009D48FF">
            <w:pPr>
              <w:ind w:right="-2"/>
              <w:rPr>
                <w:highlight w:val="white"/>
              </w:rPr>
            </w:pPr>
            <w:r w:rsidRPr="0019627D">
              <w:t>Evidencias del análisis factorial exploratorio</w:t>
            </w:r>
          </w:p>
        </w:tc>
        <w:tc>
          <w:tcPr>
            <w:tcW w:w="1011" w:type="pct"/>
            <w:tcBorders>
              <w:top w:val="nil"/>
              <w:left w:val="nil"/>
              <w:bottom w:val="nil"/>
              <w:right w:val="nil"/>
            </w:tcBorders>
          </w:tcPr>
          <w:p w14:paraId="0F28D526" w14:textId="77777777" w:rsidR="009D48FF" w:rsidRPr="0019627D" w:rsidRDefault="009D48FF" w:rsidP="009D48FF">
            <w:pPr>
              <w:ind w:right="-2"/>
              <w:rPr>
                <w:highlight w:val="white"/>
              </w:rPr>
            </w:pPr>
            <w:r w:rsidRPr="0019627D">
              <w:t>Validez convergente con la medición del desempeño (r = 0,56, p &lt; 0,001)</w:t>
            </w:r>
          </w:p>
        </w:tc>
        <w:tc>
          <w:tcPr>
            <w:tcW w:w="11" w:type="pct"/>
            <w:tcBorders>
              <w:top w:val="nil"/>
              <w:left w:val="nil"/>
              <w:bottom w:val="nil"/>
              <w:right w:val="nil"/>
            </w:tcBorders>
          </w:tcPr>
          <w:p w14:paraId="2C85C17D" w14:textId="77777777" w:rsidR="009D48FF" w:rsidRPr="0019627D" w:rsidRDefault="009D48FF" w:rsidP="009D48FF">
            <w:pPr>
              <w:ind w:right="-2"/>
              <w:rPr>
                <w:highlight w:val="white"/>
              </w:rPr>
            </w:pPr>
          </w:p>
        </w:tc>
      </w:tr>
      <w:tr w:rsidR="009D48FF" w:rsidRPr="0019627D" w14:paraId="5D47C4A5"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545DEA67" w14:textId="77777777" w:rsidR="009D48FF" w:rsidRPr="0019627D" w:rsidRDefault="009D48FF" w:rsidP="009D48FF">
            <w:r w:rsidRPr="0019627D">
              <w:t>Braarud, 2021.</w:t>
            </w:r>
          </w:p>
        </w:tc>
        <w:tc>
          <w:tcPr>
            <w:tcW w:w="888" w:type="pct"/>
            <w:tcBorders>
              <w:top w:val="nil"/>
              <w:left w:val="nil"/>
              <w:bottom w:val="nil"/>
              <w:right w:val="nil"/>
            </w:tcBorders>
          </w:tcPr>
          <w:p w14:paraId="31F64E08" w14:textId="77777777" w:rsidR="009D48FF" w:rsidRPr="0019627D" w:rsidRDefault="009D48FF" w:rsidP="009D48FF">
            <w:pPr>
              <w:rPr>
                <w:highlight w:val="white"/>
              </w:rPr>
            </w:pPr>
            <w:r w:rsidRPr="0019627D">
              <w:t>NASA TLX</w:t>
            </w:r>
          </w:p>
        </w:tc>
        <w:tc>
          <w:tcPr>
            <w:tcW w:w="959" w:type="pct"/>
            <w:tcBorders>
              <w:top w:val="nil"/>
              <w:left w:val="nil"/>
              <w:bottom w:val="nil"/>
              <w:right w:val="nil"/>
            </w:tcBorders>
          </w:tcPr>
          <w:p w14:paraId="511C4FDD"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4630ABA6" w14:textId="77777777" w:rsidR="009D48FF" w:rsidRPr="0019627D" w:rsidRDefault="009D48FF" w:rsidP="009D48FF">
            <w:pPr>
              <w:ind w:right="-2"/>
              <w:rPr>
                <w:highlight w:val="white"/>
              </w:rPr>
            </w:pPr>
            <w:r w:rsidRPr="0019627D">
              <w:t>Evidencias del análisis factorial exploratorio</w:t>
            </w:r>
          </w:p>
        </w:tc>
        <w:tc>
          <w:tcPr>
            <w:tcW w:w="1011" w:type="pct"/>
            <w:tcBorders>
              <w:top w:val="nil"/>
              <w:left w:val="nil"/>
              <w:bottom w:val="nil"/>
              <w:right w:val="nil"/>
            </w:tcBorders>
          </w:tcPr>
          <w:p w14:paraId="5435DB64" w14:textId="77777777" w:rsidR="009D48FF" w:rsidRPr="0019627D" w:rsidRDefault="009D48FF" w:rsidP="009D48FF">
            <w:pPr>
              <w:ind w:right="-2"/>
              <w:rPr>
                <w:highlight w:val="white"/>
              </w:rPr>
            </w:pPr>
            <w:r w:rsidRPr="0019627D">
              <w:t>Validez convergente con la medición del desempeño</w:t>
            </w:r>
          </w:p>
        </w:tc>
        <w:tc>
          <w:tcPr>
            <w:tcW w:w="11" w:type="pct"/>
            <w:tcBorders>
              <w:top w:val="nil"/>
              <w:left w:val="nil"/>
              <w:bottom w:val="nil"/>
              <w:right w:val="nil"/>
            </w:tcBorders>
          </w:tcPr>
          <w:p w14:paraId="312E6E3C" w14:textId="77777777" w:rsidR="009D48FF" w:rsidRPr="0019627D" w:rsidRDefault="009D48FF" w:rsidP="009D48FF">
            <w:pPr>
              <w:ind w:right="-2"/>
              <w:rPr>
                <w:highlight w:val="white"/>
              </w:rPr>
            </w:pPr>
          </w:p>
        </w:tc>
      </w:tr>
      <w:tr w:rsidR="009D48FF" w:rsidRPr="0019627D" w14:paraId="756FD738"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254FC768" w14:textId="77777777" w:rsidR="009D48FF" w:rsidRPr="0019627D" w:rsidRDefault="009D48FF" w:rsidP="009D48FF">
            <w:r w:rsidRPr="0019627D">
              <w:rPr>
                <w:highlight w:val="white"/>
              </w:rPr>
              <w:t>Ceballos-Vasquez et al., 2016.</w:t>
            </w:r>
          </w:p>
        </w:tc>
        <w:tc>
          <w:tcPr>
            <w:tcW w:w="888" w:type="pct"/>
            <w:tcBorders>
              <w:top w:val="nil"/>
              <w:left w:val="nil"/>
              <w:bottom w:val="nil"/>
              <w:right w:val="nil"/>
            </w:tcBorders>
          </w:tcPr>
          <w:p w14:paraId="00A1B5FB" w14:textId="77777777" w:rsidR="009D48FF" w:rsidRPr="0019627D" w:rsidRDefault="009D48FF" w:rsidP="009D48FF">
            <w:pPr>
              <w:rPr>
                <w:highlight w:val="white"/>
              </w:rPr>
            </w:pPr>
            <w:r w:rsidRPr="0019627D">
              <w:rPr>
                <w:highlight w:val="white"/>
              </w:rPr>
              <w:t xml:space="preserve">ESCAM </w:t>
            </w:r>
          </w:p>
        </w:tc>
        <w:tc>
          <w:tcPr>
            <w:tcW w:w="959" w:type="pct"/>
            <w:tcBorders>
              <w:top w:val="nil"/>
              <w:left w:val="nil"/>
              <w:bottom w:val="nil"/>
              <w:right w:val="nil"/>
            </w:tcBorders>
          </w:tcPr>
          <w:p w14:paraId="56CEFF73"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5E2AD17E" w14:textId="77777777" w:rsidR="009D48FF" w:rsidRPr="0019627D" w:rsidRDefault="009D48FF" w:rsidP="009D48FF">
            <w:pPr>
              <w:ind w:right="-2"/>
            </w:pPr>
            <w:r w:rsidRPr="0019627D">
              <w:t>Evidencias del análisis factorial exploratorio;</w:t>
            </w:r>
          </w:p>
          <w:p w14:paraId="2BB3B79A"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289746D8" w14:textId="77777777" w:rsidR="009D48FF" w:rsidRPr="0019627D" w:rsidRDefault="009D48FF" w:rsidP="009D48FF">
            <w:pPr>
              <w:ind w:right="-2"/>
              <w:rPr>
                <w:highlight w:val="white"/>
              </w:rPr>
            </w:pPr>
            <w:r w:rsidRPr="0019627D">
              <w:t>Validez concurrente realizada con ISTAS-21</w:t>
            </w:r>
          </w:p>
        </w:tc>
        <w:tc>
          <w:tcPr>
            <w:tcW w:w="11" w:type="pct"/>
            <w:tcBorders>
              <w:top w:val="nil"/>
              <w:left w:val="nil"/>
              <w:bottom w:val="nil"/>
              <w:right w:val="nil"/>
            </w:tcBorders>
          </w:tcPr>
          <w:p w14:paraId="4E859347" w14:textId="77777777" w:rsidR="009D48FF" w:rsidRPr="0019627D" w:rsidRDefault="009D48FF" w:rsidP="009D48FF">
            <w:pPr>
              <w:ind w:right="-2"/>
              <w:rPr>
                <w:highlight w:val="white"/>
              </w:rPr>
            </w:pPr>
          </w:p>
        </w:tc>
      </w:tr>
      <w:tr w:rsidR="009D48FF" w:rsidRPr="0019627D" w14:paraId="3EC450A7"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5EA063AC" w14:textId="77777777" w:rsidR="009D48FF" w:rsidRPr="0019627D" w:rsidRDefault="009D48FF" w:rsidP="009D48FF">
            <w:r w:rsidRPr="0019627D">
              <w:rPr>
                <w:highlight w:val="white"/>
              </w:rPr>
              <w:t>Ceballos-Vásquez et al., 2014.</w:t>
            </w:r>
          </w:p>
        </w:tc>
        <w:tc>
          <w:tcPr>
            <w:tcW w:w="888" w:type="pct"/>
            <w:tcBorders>
              <w:top w:val="nil"/>
              <w:left w:val="nil"/>
              <w:bottom w:val="nil"/>
              <w:right w:val="nil"/>
            </w:tcBorders>
          </w:tcPr>
          <w:p w14:paraId="4A1C9FB7" w14:textId="77777777" w:rsidR="009D48FF" w:rsidRPr="0019627D" w:rsidRDefault="009D48FF" w:rsidP="009D48FF">
            <w:r w:rsidRPr="0019627D">
              <w:rPr>
                <w:highlight w:val="white"/>
              </w:rPr>
              <w:t xml:space="preserve">ESCAM </w:t>
            </w:r>
          </w:p>
        </w:tc>
        <w:tc>
          <w:tcPr>
            <w:tcW w:w="959" w:type="pct"/>
            <w:tcBorders>
              <w:top w:val="nil"/>
              <w:left w:val="nil"/>
              <w:bottom w:val="nil"/>
              <w:right w:val="nil"/>
            </w:tcBorders>
          </w:tcPr>
          <w:p w14:paraId="47280E57" w14:textId="77777777" w:rsidR="009D48FF" w:rsidRPr="0019627D" w:rsidRDefault="009D48FF" w:rsidP="009D48FF">
            <w:pPr>
              <w:rPr>
                <w:highlight w:val="white"/>
              </w:rPr>
            </w:pPr>
            <w:r w:rsidRPr="0019627D">
              <w:rPr>
                <w:highlight w:val="white"/>
              </w:rPr>
              <w:t>Revisión de expertos sin documentación referenciada.</w:t>
            </w:r>
          </w:p>
        </w:tc>
        <w:tc>
          <w:tcPr>
            <w:tcW w:w="1044" w:type="pct"/>
            <w:tcBorders>
              <w:top w:val="nil"/>
              <w:left w:val="nil"/>
              <w:bottom w:val="nil"/>
              <w:right w:val="nil"/>
            </w:tcBorders>
          </w:tcPr>
          <w:p w14:paraId="66BAF7CB" w14:textId="77777777" w:rsidR="009D48FF" w:rsidRPr="0019627D" w:rsidRDefault="009D48FF" w:rsidP="009D48FF">
            <w:pPr>
              <w:ind w:right="-2"/>
            </w:pPr>
            <w:r w:rsidRPr="0019627D">
              <w:t>Evidencias del análisis factorial exploratorio;</w:t>
            </w:r>
          </w:p>
          <w:p w14:paraId="2DC11EEF"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64CC77C9" w14:textId="77777777" w:rsidR="009D48FF" w:rsidRPr="0019627D" w:rsidRDefault="009D48FF" w:rsidP="009D48FF">
            <w:pPr>
              <w:ind w:right="-2"/>
              <w:rPr>
                <w:highlight w:val="white"/>
              </w:rPr>
            </w:pPr>
            <w:r w:rsidRPr="0019627D">
              <w:t>Validez concurrente realizada con ISTAS-21</w:t>
            </w:r>
          </w:p>
        </w:tc>
        <w:tc>
          <w:tcPr>
            <w:tcW w:w="11" w:type="pct"/>
            <w:tcBorders>
              <w:top w:val="nil"/>
              <w:left w:val="nil"/>
              <w:bottom w:val="nil"/>
              <w:right w:val="nil"/>
            </w:tcBorders>
          </w:tcPr>
          <w:p w14:paraId="131C465E" w14:textId="77777777" w:rsidR="009D48FF" w:rsidRPr="0019627D" w:rsidRDefault="009D48FF" w:rsidP="009D48FF">
            <w:pPr>
              <w:ind w:right="-2"/>
              <w:rPr>
                <w:highlight w:val="white"/>
              </w:rPr>
            </w:pPr>
          </w:p>
        </w:tc>
      </w:tr>
      <w:tr w:rsidR="009D48FF" w:rsidRPr="0019627D" w14:paraId="75B1D28C"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0C56DB9B" w14:textId="77777777" w:rsidR="009D48FF" w:rsidRPr="0019627D" w:rsidRDefault="009D48FF" w:rsidP="009D48FF">
            <w:r w:rsidRPr="0019627D">
              <w:rPr>
                <w:highlight w:val="white"/>
              </w:rPr>
              <w:t>Dai et al., 2021.</w:t>
            </w:r>
          </w:p>
        </w:tc>
        <w:tc>
          <w:tcPr>
            <w:tcW w:w="888" w:type="pct"/>
            <w:tcBorders>
              <w:top w:val="nil"/>
              <w:left w:val="nil"/>
              <w:bottom w:val="nil"/>
              <w:right w:val="nil"/>
            </w:tcBorders>
          </w:tcPr>
          <w:p w14:paraId="7B3380FA" w14:textId="77777777" w:rsidR="009D48FF" w:rsidRPr="0019627D" w:rsidRDefault="009D48FF" w:rsidP="009D48FF">
            <w:pPr>
              <w:rPr>
                <w:highlight w:val="white"/>
              </w:rPr>
            </w:pPr>
            <w:r w:rsidRPr="0019627D">
              <w:t>NASA TLX</w:t>
            </w:r>
          </w:p>
        </w:tc>
        <w:tc>
          <w:tcPr>
            <w:tcW w:w="959" w:type="pct"/>
            <w:tcBorders>
              <w:top w:val="nil"/>
              <w:left w:val="nil"/>
              <w:bottom w:val="nil"/>
              <w:right w:val="nil"/>
            </w:tcBorders>
          </w:tcPr>
          <w:p w14:paraId="01E7F574"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3AC015B8"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760DFE9F"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11EE153F" w14:textId="77777777" w:rsidR="009D48FF" w:rsidRPr="0019627D" w:rsidRDefault="009D48FF" w:rsidP="009D48FF">
            <w:pPr>
              <w:ind w:right="-2"/>
              <w:rPr>
                <w:highlight w:val="white"/>
              </w:rPr>
            </w:pPr>
          </w:p>
        </w:tc>
      </w:tr>
      <w:tr w:rsidR="009D48FF" w:rsidRPr="0019627D" w14:paraId="1C807964"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41E73BB2" w14:textId="77777777" w:rsidR="009D48FF" w:rsidRPr="0019627D" w:rsidRDefault="009D48FF" w:rsidP="009D48FF">
            <w:r w:rsidRPr="0019627D">
              <w:rPr>
                <w:highlight w:val="white"/>
              </w:rPr>
              <w:t>Devos et al., 2020.</w:t>
            </w:r>
          </w:p>
        </w:tc>
        <w:tc>
          <w:tcPr>
            <w:tcW w:w="888" w:type="pct"/>
            <w:tcBorders>
              <w:top w:val="nil"/>
              <w:left w:val="nil"/>
              <w:bottom w:val="nil"/>
              <w:right w:val="nil"/>
            </w:tcBorders>
          </w:tcPr>
          <w:p w14:paraId="5EE9F8CC" w14:textId="77777777" w:rsidR="009D48FF" w:rsidRPr="0019627D" w:rsidRDefault="009D48FF" w:rsidP="009D48FF">
            <w:pPr>
              <w:rPr>
                <w:highlight w:val="white"/>
              </w:rPr>
            </w:pPr>
            <w:r w:rsidRPr="0019627D">
              <w:t>NASA TLX</w:t>
            </w:r>
          </w:p>
        </w:tc>
        <w:tc>
          <w:tcPr>
            <w:tcW w:w="959" w:type="pct"/>
            <w:tcBorders>
              <w:top w:val="nil"/>
              <w:left w:val="nil"/>
              <w:bottom w:val="nil"/>
              <w:right w:val="nil"/>
            </w:tcBorders>
          </w:tcPr>
          <w:p w14:paraId="50FAA1D8"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3A1FBF59" w14:textId="77777777" w:rsidR="009D48FF" w:rsidRPr="0019627D" w:rsidRDefault="009D48FF" w:rsidP="009D48FF">
            <w:pPr>
              <w:ind w:right="-2"/>
            </w:pPr>
            <w:r w:rsidRPr="0019627D">
              <w:t>Confiabilidad general &gt;0,7</w:t>
            </w:r>
          </w:p>
        </w:tc>
        <w:tc>
          <w:tcPr>
            <w:tcW w:w="1011" w:type="pct"/>
            <w:tcBorders>
              <w:top w:val="nil"/>
              <w:left w:val="nil"/>
              <w:bottom w:val="nil"/>
              <w:right w:val="nil"/>
            </w:tcBorders>
          </w:tcPr>
          <w:p w14:paraId="6EFC980A" w14:textId="77777777" w:rsidR="009D48FF" w:rsidRPr="0019627D" w:rsidRDefault="009D48FF" w:rsidP="009D48FF">
            <w:pPr>
              <w:ind w:right="-2"/>
            </w:pPr>
            <w:r w:rsidRPr="0019627D">
              <w:t>Validez convergente con la medición del desempeño (r = 0,31; p = 0,06)</w:t>
            </w:r>
          </w:p>
        </w:tc>
        <w:tc>
          <w:tcPr>
            <w:tcW w:w="11" w:type="pct"/>
            <w:tcBorders>
              <w:top w:val="nil"/>
              <w:left w:val="nil"/>
              <w:bottom w:val="nil"/>
              <w:right w:val="nil"/>
            </w:tcBorders>
          </w:tcPr>
          <w:p w14:paraId="6B61A83F" w14:textId="77777777" w:rsidR="009D48FF" w:rsidRPr="0019627D" w:rsidRDefault="009D48FF" w:rsidP="009D48FF">
            <w:pPr>
              <w:ind w:right="-2"/>
            </w:pPr>
          </w:p>
        </w:tc>
      </w:tr>
      <w:tr w:rsidR="009D48FF" w:rsidRPr="0019627D" w14:paraId="37ABA924"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07BDB897" w14:textId="77777777" w:rsidR="009D48FF" w:rsidRPr="0019627D" w:rsidRDefault="009D48FF" w:rsidP="009D48FF">
            <w:r w:rsidRPr="0019627D">
              <w:t>Galy, 2020.</w:t>
            </w:r>
          </w:p>
        </w:tc>
        <w:tc>
          <w:tcPr>
            <w:tcW w:w="888" w:type="pct"/>
            <w:tcBorders>
              <w:top w:val="nil"/>
              <w:left w:val="nil"/>
              <w:bottom w:val="nil"/>
              <w:right w:val="nil"/>
            </w:tcBorders>
          </w:tcPr>
          <w:p w14:paraId="145F225E" w14:textId="77777777" w:rsidR="009D48FF" w:rsidRPr="0019627D" w:rsidRDefault="009D48FF" w:rsidP="009D48FF">
            <w:pPr>
              <w:rPr>
                <w:highlight w:val="white"/>
              </w:rPr>
            </w:pPr>
            <w:r w:rsidRPr="0019627D">
              <w:t>IWA</w:t>
            </w:r>
          </w:p>
        </w:tc>
        <w:tc>
          <w:tcPr>
            <w:tcW w:w="959" w:type="pct"/>
            <w:tcBorders>
              <w:top w:val="nil"/>
              <w:left w:val="nil"/>
              <w:bottom w:val="nil"/>
              <w:right w:val="nil"/>
            </w:tcBorders>
          </w:tcPr>
          <w:p w14:paraId="20B63BC1"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0A1F1928" w14:textId="77777777" w:rsidR="009D48FF" w:rsidRPr="0019627D" w:rsidRDefault="009D48FF" w:rsidP="009D48FF">
            <w:pPr>
              <w:ind w:right="-2"/>
              <w:rPr>
                <w:highlight w:val="white"/>
              </w:rPr>
            </w:pPr>
            <w:r w:rsidRPr="0019627D">
              <w:t xml:space="preserve">Cronbach </w:t>
            </w:r>
            <w:r w:rsidRPr="0019627D">
              <w:rPr>
                <w:highlight w:val="white"/>
              </w:rPr>
              <w:t>α&gt; 0,7 para la mayoría de los dominios</w:t>
            </w:r>
          </w:p>
        </w:tc>
        <w:tc>
          <w:tcPr>
            <w:tcW w:w="1011" w:type="pct"/>
            <w:tcBorders>
              <w:top w:val="nil"/>
              <w:left w:val="nil"/>
              <w:bottom w:val="nil"/>
              <w:right w:val="nil"/>
            </w:tcBorders>
          </w:tcPr>
          <w:p w14:paraId="6614D64A" w14:textId="77777777" w:rsidR="009D48FF" w:rsidRPr="0019627D" w:rsidRDefault="009D48FF" w:rsidP="009D48FF">
            <w:pPr>
              <w:ind w:right="-2"/>
              <w:rPr>
                <w:highlight w:val="white"/>
              </w:rPr>
            </w:pPr>
            <w:r w:rsidRPr="0019627D">
              <w:t>Validez convergente con NASA e SWAT</w:t>
            </w:r>
          </w:p>
        </w:tc>
        <w:tc>
          <w:tcPr>
            <w:tcW w:w="11" w:type="pct"/>
            <w:tcBorders>
              <w:top w:val="nil"/>
              <w:left w:val="nil"/>
              <w:bottom w:val="nil"/>
              <w:right w:val="nil"/>
            </w:tcBorders>
          </w:tcPr>
          <w:p w14:paraId="486DCF04" w14:textId="77777777" w:rsidR="009D48FF" w:rsidRPr="0019627D" w:rsidRDefault="009D48FF" w:rsidP="009D48FF">
            <w:pPr>
              <w:ind w:right="-2"/>
              <w:rPr>
                <w:highlight w:val="white"/>
              </w:rPr>
            </w:pPr>
          </w:p>
        </w:tc>
      </w:tr>
      <w:tr w:rsidR="009D48FF" w:rsidRPr="0019627D" w14:paraId="3029A1A3"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4F849801" w14:textId="77777777" w:rsidR="009D48FF" w:rsidRPr="0019627D" w:rsidRDefault="009D48FF" w:rsidP="009D48FF">
            <w:r w:rsidRPr="0019627D">
              <w:t>Heidari Moghaddam et al., 2019.</w:t>
            </w:r>
          </w:p>
        </w:tc>
        <w:tc>
          <w:tcPr>
            <w:tcW w:w="888" w:type="pct"/>
            <w:tcBorders>
              <w:top w:val="nil"/>
              <w:left w:val="nil"/>
              <w:bottom w:val="nil"/>
              <w:right w:val="nil"/>
            </w:tcBorders>
          </w:tcPr>
          <w:p w14:paraId="2CC8349B" w14:textId="77777777" w:rsidR="009D48FF" w:rsidRPr="0019627D" w:rsidRDefault="009D48FF" w:rsidP="009D48FF">
            <w:pPr>
              <w:rPr>
                <w:highlight w:val="white"/>
              </w:rPr>
            </w:pPr>
            <w:r w:rsidRPr="0019627D">
              <w:t>SWAT</w:t>
            </w:r>
          </w:p>
        </w:tc>
        <w:tc>
          <w:tcPr>
            <w:tcW w:w="959" w:type="pct"/>
            <w:tcBorders>
              <w:top w:val="nil"/>
              <w:left w:val="nil"/>
              <w:bottom w:val="nil"/>
              <w:right w:val="nil"/>
            </w:tcBorders>
          </w:tcPr>
          <w:p w14:paraId="1796FAC6"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161F36F4"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468BEAE2"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00BEBB71" w14:textId="77777777" w:rsidR="009D48FF" w:rsidRPr="0019627D" w:rsidRDefault="009D48FF" w:rsidP="009D48FF">
            <w:pPr>
              <w:ind w:right="-2"/>
              <w:rPr>
                <w:highlight w:val="white"/>
              </w:rPr>
            </w:pPr>
          </w:p>
        </w:tc>
      </w:tr>
      <w:tr w:rsidR="009D48FF" w:rsidRPr="0019627D" w14:paraId="73ECB379"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482ABDE9" w14:textId="77777777" w:rsidR="009D48FF" w:rsidRPr="0019627D" w:rsidRDefault="009D48FF" w:rsidP="009D48FF">
            <w:r w:rsidRPr="0019627D">
              <w:rPr>
                <w:highlight w:val="white"/>
              </w:rPr>
              <w:t>Matthews et al., 2015.</w:t>
            </w:r>
          </w:p>
        </w:tc>
        <w:tc>
          <w:tcPr>
            <w:tcW w:w="888" w:type="pct"/>
            <w:tcBorders>
              <w:top w:val="nil"/>
              <w:left w:val="nil"/>
              <w:bottom w:val="nil"/>
              <w:right w:val="nil"/>
            </w:tcBorders>
          </w:tcPr>
          <w:p w14:paraId="2AC474DE" w14:textId="77777777" w:rsidR="009D48FF" w:rsidRPr="0019627D" w:rsidRDefault="009D48FF" w:rsidP="009D48FF">
            <w:pPr>
              <w:rPr>
                <w:highlight w:val="white"/>
              </w:rPr>
            </w:pPr>
            <w:r w:rsidRPr="0019627D">
              <w:rPr>
                <w:highlight w:val="white"/>
              </w:rPr>
              <w:t>NASA TLX</w:t>
            </w:r>
          </w:p>
        </w:tc>
        <w:tc>
          <w:tcPr>
            <w:tcW w:w="959" w:type="pct"/>
            <w:tcBorders>
              <w:top w:val="nil"/>
              <w:left w:val="nil"/>
              <w:bottom w:val="nil"/>
              <w:right w:val="nil"/>
            </w:tcBorders>
          </w:tcPr>
          <w:p w14:paraId="4DC422F1"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787D5D86"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7C79E60C"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B7B4AAD" w14:textId="77777777" w:rsidR="009D48FF" w:rsidRPr="0019627D" w:rsidRDefault="009D48FF" w:rsidP="009D48FF">
            <w:pPr>
              <w:ind w:right="-2"/>
              <w:rPr>
                <w:highlight w:val="white"/>
              </w:rPr>
            </w:pPr>
          </w:p>
        </w:tc>
      </w:tr>
      <w:tr w:rsidR="009D48FF" w:rsidRPr="0019627D" w14:paraId="73CB0B13"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5AAE270F" w14:textId="77777777" w:rsidR="009D48FF" w:rsidRPr="0019627D" w:rsidRDefault="009D48FF" w:rsidP="009D48FF">
            <w:r w:rsidRPr="0019627D">
              <w:rPr>
                <w:highlight w:val="white"/>
              </w:rPr>
              <w:t>McNeer et al., 2016.</w:t>
            </w:r>
          </w:p>
        </w:tc>
        <w:tc>
          <w:tcPr>
            <w:tcW w:w="888" w:type="pct"/>
            <w:tcBorders>
              <w:top w:val="nil"/>
              <w:left w:val="nil"/>
              <w:bottom w:val="nil"/>
              <w:right w:val="nil"/>
            </w:tcBorders>
          </w:tcPr>
          <w:p w14:paraId="661D5F43" w14:textId="77777777" w:rsidR="009D48FF" w:rsidRPr="0019627D" w:rsidRDefault="009D48FF" w:rsidP="009D48FF">
            <w:pPr>
              <w:rPr>
                <w:highlight w:val="white"/>
              </w:rPr>
            </w:pPr>
            <w:r w:rsidRPr="0019627D">
              <w:rPr>
                <w:highlight w:val="white"/>
              </w:rPr>
              <w:t>NASA TLX</w:t>
            </w:r>
          </w:p>
        </w:tc>
        <w:tc>
          <w:tcPr>
            <w:tcW w:w="959" w:type="pct"/>
            <w:tcBorders>
              <w:top w:val="nil"/>
              <w:left w:val="nil"/>
              <w:bottom w:val="nil"/>
              <w:right w:val="nil"/>
            </w:tcBorders>
          </w:tcPr>
          <w:p w14:paraId="0FDC6E00"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1674B59E" w14:textId="77777777" w:rsidR="009D48FF" w:rsidRPr="0019627D" w:rsidRDefault="009D48FF" w:rsidP="009D48FF">
            <w:pPr>
              <w:ind w:right="-2"/>
            </w:pPr>
            <w:r w:rsidRPr="0019627D">
              <w:t>Evidencias del análisis factorial exploratorio;</w:t>
            </w:r>
          </w:p>
          <w:p w14:paraId="16682A0B" w14:textId="77777777" w:rsidR="009D48FF" w:rsidRPr="0019627D" w:rsidRDefault="009D48FF" w:rsidP="009D48FF">
            <w:pPr>
              <w:ind w:right="-2"/>
              <w:rPr>
                <w:highlight w:val="white"/>
              </w:rPr>
            </w:pPr>
            <w:r w:rsidRPr="0019627D">
              <w:lastRenderedPageBreak/>
              <w:t>Confiabilidad general &gt;0,7</w:t>
            </w:r>
          </w:p>
        </w:tc>
        <w:tc>
          <w:tcPr>
            <w:tcW w:w="1011" w:type="pct"/>
            <w:tcBorders>
              <w:top w:val="nil"/>
              <w:left w:val="nil"/>
              <w:bottom w:val="nil"/>
              <w:right w:val="nil"/>
            </w:tcBorders>
          </w:tcPr>
          <w:p w14:paraId="3521B1F4" w14:textId="77777777" w:rsidR="009D48FF" w:rsidRPr="0019627D" w:rsidRDefault="009D48FF" w:rsidP="009D48FF">
            <w:pPr>
              <w:ind w:right="-2"/>
              <w:rPr>
                <w:highlight w:val="white"/>
              </w:rPr>
            </w:pPr>
            <w:r w:rsidRPr="0019627D">
              <w:lastRenderedPageBreak/>
              <w:t>No presenta</w:t>
            </w:r>
          </w:p>
        </w:tc>
        <w:tc>
          <w:tcPr>
            <w:tcW w:w="11" w:type="pct"/>
            <w:tcBorders>
              <w:top w:val="nil"/>
              <w:left w:val="nil"/>
              <w:bottom w:val="nil"/>
              <w:right w:val="nil"/>
            </w:tcBorders>
          </w:tcPr>
          <w:p w14:paraId="68B49BD4" w14:textId="77777777" w:rsidR="009D48FF" w:rsidRPr="0019627D" w:rsidRDefault="009D48FF" w:rsidP="009D48FF">
            <w:pPr>
              <w:ind w:right="-2"/>
              <w:rPr>
                <w:highlight w:val="white"/>
              </w:rPr>
            </w:pPr>
          </w:p>
        </w:tc>
      </w:tr>
      <w:tr w:rsidR="009D48FF" w:rsidRPr="0019627D" w14:paraId="50508896"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4F74C9CB" w14:textId="77777777" w:rsidR="009D48FF" w:rsidRPr="0019627D" w:rsidRDefault="009D48FF" w:rsidP="009D48FF">
            <w:r w:rsidRPr="0019627D">
              <w:lastRenderedPageBreak/>
              <w:t>Mohamed et al., 2014.</w:t>
            </w:r>
          </w:p>
        </w:tc>
        <w:tc>
          <w:tcPr>
            <w:tcW w:w="888" w:type="pct"/>
            <w:tcBorders>
              <w:top w:val="nil"/>
              <w:left w:val="nil"/>
              <w:bottom w:val="nil"/>
              <w:right w:val="nil"/>
            </w:tcBorders>
          </w:tcPr>
          <w:p w14:paraId="4E6E4E2E" w14:textId="77777777" w:rsidR="009D48FF" w:rsidRPr="0019627D" w:rsidRDefault="009D48FF" w:rsidP="009D48FF">
            <w:r w:rsidRPr="0019627D">
              <w:rPr>
                <w:highlight w:val="white"/>
              </w:rPr>
              <w:t xml:space="preserve">Endoscopy Task Load Index - Adaptación del NASA TLX </w:t>
            </w:r>
          </w:p>
        </w:tc>
        <w:tc>
          <w:tcPr>
            <w:tcW w:w="959" w:type="pct"/>
            <w:tcBorders>
              <w:top w:val="nil"/>
              <w:left w:val="nil"/>
              <w:bottom w:val="nil"/>
              <w:right w:val="nil"/>
            </w:tcBorders>
          </w:tcPr>
          <w:p w14:paraId="78BA27F4"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189BB567" w14:textId="77777777" w:rsidR="009D48FF" w:rsidRPr="0019627D" w:rsidRDefault="009D48FF" w:rsidP="009D48FF">
            <w:pPr>
              <w:ind w:right="-2"/>
            </w:pPr>
            <w:r w:rsidRPr="0019627D">
              <w:t>Evidencias del análisis factorial exploratorio;</w:t>
            </w:r>
          </w:p>
          <w:p w14:paraId="288AEA57" w14:textId="77777777" w:rsidR="009D48FF" w:rsidRPr="0019627D" w:rsidRDefault="009D48FF" w:rsidP="009D48FF">
            <w:pPr>
              <w:ind w:right="-2"/>
              <w:rPr>
                <w:highlight w:val="white"/>
              </w:rPr>
            </w:pPr>
            <w:r w:rsidRPr="0019627D">
              <w:t>Alfa de Cronbach (valor no informado)</w:t>
            </w:r>
          </w:p>
        </w:tc>
        <w:tc>
          <w:tcPr>
            <w:tcW w:w="1011" w:type="pct"/>
            <w:tcBorders>
              <w:top w:val="nil"/>
              <w:left w:val="nil"/>
              <w:bottom w:val="nil"/>
              <w:right w:val="nil"/>
            </w:tcBorders>
          </w:tcPr>
          <w:p w14:paraId="744CCEBD"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41A41F46" w14:textId="77777777" w:rsidR="009D48FF" w:rsidRPr="0019627D" w:rsidRDefault="009D48FF" w:rsidP="009D48FF">
            <w:pPr>
              <w:ind w:right="-2"/>
              <w:rPr>
                <w:highlight w:val="white"/>
              </w:rPr>
            </w:pPr>
          </w:p>
        </w:tc>
      </w:tr>
      <w:tr w:rsidR="009D48FF" w:rsidRPr="0019627D" w14:paraId="4D34B637"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3C94B942" w14:textId="77777777" w:rsidR="009D48FF" w:rsidRPr="0019627D" w:rsidRDefault="009D48FF" w:rsidP="009D48FF">
            <w:r w:rsidRPr="0019627D">
              <w:rPr>
                <w:highlight w:val="white"/>
              </w:rPr>
              <w:t>Mohammadi et al., 2015.</w:t>
            </w:r>
          </w:p>
        </w:tc>
        <w:tc>
          <w:tcPr>
            <w:tcW w:w="888" w:type="pct"/>
            <w:tcBorders>
              <w:top w:val="nil"/>
              <w:left w:val="nil"/>
              <w:bottom w:val="nil"/>
              <w:right w:val="nil"/>
            </w:tcBorders>
          </w:tcPr>
          <w:p w14:paraId="3093FFDB" w14:textId="77777777" w:rsidR="009D48FF" w:rsidRPr="0019627D" w:rsidRDefault="009D48FF" w:rsidP="009D48FF">
            <w:pPr>
              <w:rPr>
                <w:highlight w:val="white"/>
              </w:rPr>
            </w:pPr>
            <w:r w:rsidRPr="0019627D">
              <w:rPr>
                <w:highlight w:val="white"/>
              </w:rPr>
              <w:t>NASA TLX</w:t>
            </w:r>
          </w:p>
        </w:tc>
        <w:tc>
          <w:tcPr>
            <w:tcW w:w="959" w:type="pct"/>
            <w:tcBorders>
              <w:top w:val="nil"/>
              <w:left w:val="nil"/>
              <w:bottom w:val="nil"/>
              <w:right w:val="nil"/>
            </w:tcBorders>
          </w:tcPr>
          <w:p w14:paraId="38CB3718" w14:textId="77777777" w:rsidR="009D48FF" w:rsidRPr="0019627D" w:rsidRDefault="009D48FF" w:rsidP="009D48FF">
            <w:pPr>
              <w:rPr>
                <w:highlight w:val="white"/>
              </w:rPr>
            </w:pPr>
            <w:r w:rsidRPr="0019627D">
              <w:t>Rubio et al., 2004.</w:t>
            </w:r>
          </w:p>
        </w:tc>
        <w:tc>
          <w:tcPr>
            <w:tcW w:w="1044" w:type="pct"/>
            <w:tcBorders>
              <w:top w:val="nil"/>
              <w:left w:val="nil"/>
              <w:bottom w:val="nil"/>
              <w:right w:val="nil"/>
            </w:tcBorders>
          </w:tcPr>
          <w:p w14:paraId="670D78F2"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0AE5C4F8"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2BC20489" w14:textId="77777777" w:rsidR="009D48FF" w:rsidRPr="0019627D" w:rsidRDefault="009D48FF" w:rsidP="009D48FF">
            <w:pPr>
              <w:ind w:right="-2"/>
              <w:rPr>
                <w:highlight w:val="white"/>
              </w:rPr>
            </w:pPr>
          </w:p>
        </w:tc>
      </w:tr>
      <w:tr w:rsidR="009D48FF" w:rsidRPr="0019627D" w14:paraId="79CA7F28"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7A3F2987" w14:textId="77777777" w:rsidR="009D48FF" w:rsidRPr="0019627D" w:rsidRDefault="009D48FF" w:rsidP="009D48FF">
            <w:r w:rsidRPr="0019627D">
              <w:t>Monfort et al., 2017.</w:t>
            </w:r>
          </w:p>
        </w:tc>
        <w:tc>
          <w:tcPr>
            <w:tcW w:w="888" w:type="pct"/>
            <w:tcBorders>
              <w:top w:val="nil"/>
              <w:left w:val="nil"/>
              <w:bottom w:val="nil"/>
              <w:right w:val="nil"/>
            </w:tcBorders>
          </w:tcPr>
          <w:p w14:paraId="6429202B" w14:textId="77777777" w:rsidR="009D48FF" w:rsidRPr="0019627D" w:rsidRDefault="009D48FF" w:rsidP="009D48FF">
            <w:pPr>
              <w:rPr>
                <w:highlight w:val="white"/>
              </w:rPr>
            </w:pPr>
            <w:r w:rsidRPr="0019627D">
              <w:t>NASA TLX</w:t>
            </w:r>
          </w:p>
        </w:tc>
        <w:tc>
          <w:tcPr>
            <w:tcW w:w="959" w:type="pct"/>
            <w:tcBorders>
              <w:top w:val="nil"/>
              <w:left w:val="nil"/>
              <w:bottom w:val="nil"/>
              <w:right w:val="nil"/>
            </w:tcBorders>
          </w:tcPr>
          <w:p w14:paraId="18C402D7"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32ADB731" w14:textId="77777777" w:rsidR="009D48FF" w:rsidRPr="0019627D" w:rsidRDefault="009D48FF" w:rsidP="009D48FF">
            <w:pPr>
              <w:ind w:right="-2"/>
              <w:rPr>
                <w:highlight w:val="white"/>
              </w:rPr>
            </w:pPr>
            <w:r w:rsidRPr="0019627D">
              <w:t>No presenta</w:t>
            </w:r>
          </w:p>
        </w:tc>
        <w:tc>
          <w:tcPr>
            <w:tcW w:w="1011" w:type="pct"/>
            <w:tcBorders>
              <w:top w:val="nil"/>
              <w:left w:val="nil"/>
              <w:bottom w:val="nil"/>
              <w:right w:val="nil"/>
            </w:tcBorders>
          </w:tcPr>
          <w:p w14:paraId="4D599869" w14:textId="77777777" w:rsidR="009D48FF" w:rsidRPr="0019627D" w:rsidRDefault="009D48FF" w:rsidP="009D48FF">
            <w:pPr>
              <w:ind w:right="-2"/>
              <w:rPr>
                <w:highlight w:val="white"/>
              </w:rPr>
            </w:pPr>
            <w:r w:rsidRPr="0019627D">
              <w:t>Validez convergente con QTG</w:t>
            </w:r>
          </w:p>
        </w:tc>
        <w:tc>
          <w:tcPr>
            <w:tcW w:w="11" w:type="pct"/>
            <w:tcBorders>
              <w:top w:val="nil"/>
              <w:left w:val="nil"/>
              <w:bottom w:val="nil"/>
              <w:right w:val="nil"/>
            </w:tcBorders>
          </w:tcPr>
          <w:p w14:paraId="0138C42C" w14:textId="77777777" w:rsidR="009D48FF" w:rsidRPr="0019627D" w:rsidRDefault="009D48FF" w:rsidP="009D48FF">
            <w:pPr>
              <w:ind w:right="-2"/>
              <w:rPr>
                <w:highlight w:val="white"/>
              </w:rPr>
            </w:pPr>
          </w:p>
        </w:tc>
      </w:tr>
      <w:tr w:rsidR="009D48FF" w:rsidRPr="0019627D" w14:paraId="4570E1BF"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687D240E" w14:textId="77777777" w:rsidR="009D48FF" w:rsidRPr="0019627D" w:rsidRDefault="009D48FF" w:rsidP="009D48FF">
            <w:r w:rsidRPr="0019627D">
              <w:rPr>
                <w:highlight w:val="white"/>
              </w:rPr>
              <w:t>Mouze-Amady et al., 2013.</w:t>
            </w:r>
          </w:p>
        </w:tc>
        <w:tc>
          <w:tcPr>
            <w:tcW w:w="888" w:type="pct"/>
            <w:tcBorders>
              <w:top w:val="nil"/>
              <w:left w:val="nil"/>
              <w:bottom w:val="nil"/>
              <w:right w:val="nil"/>
            </w:tcBorders>
          </w:tcPr>
          <w:p w14:paraId="23DD2280" w14:textId="77777777" w:rsidR="009D48FF" w:rsidRPr="0019627D" w:rsidRDefault="009D48FF" w:rsidP="009D48FF">
            <w:pPr>
              <w:rPr>
                <w:highlight w:val="white"/>
              </w:rPr>
            </w:pPr>
            <w:r w:rsidRPr="0019627D">
              <w:rPr>
                <w:highlight w:val="white"/>
              </w:rPr>
              <w:t>NASA TLX</w:t>
            </w:r>
          </w:p>
        </w:tc>
        <w:tc>
          <w:tcPr>
            <w:tcW w:w="959" w:type="pct"/>
            <w:tcBorders>
              <w:top w:val="nil"/>
              <w:left w:val="nil"/>
              <w:bottom w:val="nil"/>
              <w:right w:val="nil"/>
            </w:tcBorders>
          </w:tcPr>
          <w:p w14:paraId="7581542D"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7D872DB7"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45F1D0EC"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8E8C8EC" w14:textId="77777777" w:rsidR="009D48FF" w:rsidRPr="0019627D" w:rsidRDefault="009D48FF" w:rsidP="009D48FF">
            <w:pPr>
              <w:ind w:right="-2"/>
              <w:rPr>
                <w:highlight w:val="white"/>
              </w:rPr>
            </w:pPr>
          </w:p>
        </w:tc>
      </w:tr>
      <w:tr w:rsidR="009D48FF" w:rsidRPr="0019627D" w14:paraId="367A581B"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16913854" w14:textId="77777777" w:rsidR="009D48FF" w:rsidRPr="0019627D" w:rsidRDefault="009D48FF" w:rsidP="009D48FF">
            <w:r w:rsidRPr="0019627D">
              <w:t>Piranveyseh et al., 2021.</w:t>
            </w:r>
          </w:p>
        </w:tc>
        <w:tc>
          <w:tcPr>
            <w:tcW w:w="888" w:type="pct"/>
            <w:tcBorders>
              <w:top w:val="nil"/>
              <w:left w:val="nil"/>
              <w:bottom w:val="nil"/>
              <w:right w:val="nil"/>
            </w:tcBorders>
          </w:tcPr>
          <w:p w14:paraId="5C2A9D1F" w14:textId="77777777" w:rsidR="009D48FF" w:rsidRPr="0019627D" w:rsidRDefault="009D48FF" w:rsidP="009D48FF">
            <w:pPr>
              <w:rPr>
                <w:highlight w:val="white"/>
              </w:rPr>
            </w:pPr>
            <w:r w:rsidRPr="0019627D">
              <w:t>DALI -</w:t>
            </w:r>
            <w:r w:rsidRPr="0019627D">
              <w:rPr>
                <w:highlight w:val="white"/>
              </w:rPr>
              <w:t xml:space="preserve"> Adaptación</w:t>
            </w:r>
            <w:r w:rsidRPr="0019627D">
              <w:t xml:space="preserve"> del NASA</w:t>
            </w:r>
          </w:p>
        </w:tc>
        <w:tc>
          <w:tcPr>
            <w:tcW w:w="959" w:type="pct"/>
            <w:tcBorders>
              <w:top w:val="nil"/>
              <w:left w:val="nil"/>
              <w:bottom w:val="nil"/>
              <w:right w:val="nil"/>
            </w:tcBorders>
          </w:tcPr>
          <w:p w14:paraId="69DA8759" w14:textId="77777777" w:rsidR="009D48FF" w:rsidRPr="0019627D" w:rsidRDefault="009D48FF" w:rsidP="009D48FF">
            <w:pPr>
              <w:rPr>
                <w:highlight w:val="white"/>
              </w:rPr>
            </w:pPr>
            <w:r w:rsidRPr="0019627D">
              <w:t>Zakerian et al. (2018).</w:t>
            </w:r>
          </w:p>
        </w:tc>
        <w:tc>
          <w:tcPr>
            <w:tcW w:w="1044" w:type="pct"/>
            <w:tcBorders>
              <w:top w:val="nil"/>
              <w:left w:val="nil"/>
              <w:bottom w:val="nil"/>
              <w:right w:val="nil"/>
            </w:tcBorders>
          </w:tcPr>
          <w:p w14:paraId="7F876068" w14:textId="77777777" w:rsidR="009D48FF" w:rsidRPr="0019627D" w:rsidRDefault="009D48FF" w:rsidP="009D48FF">
            <w:pPr>
              <w:ind w:right="-2"/>
              <w:rPr>
                <w:highlight w:val="white"/>
              </w:rPr>
            </w:pPr>
            <w:r w:rsidRPr="0019627D">
              <w:t xml:space="preserve">Cronbach </w:t>
            </w:r>
            <w:r w:rsidRPr="0019627D">
              <w:rPr>
                <w:highlight w:val="white"/>
              </w:rPr>
              <w:t>α&gt; 0,7 para la mayoría de los dominios</w:t>
            </w:r>
          </w:p>
        </w:tc>
        <w:tc>
          <w:tcPr>
            <w:tcW w:w="1011" w:type="pct"/>
            <w:tcBorders>
              <w:top w:val="nil"/>
              <w:left w:val="nil"/>
              <w:bottom w:val="nil"/>
              <w:right w:val="nil"/>
            </w:tcBorders>
          </w:tcPr>
          <w:p w14:paraId="078A7863"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66391227" w14:textId="77777777" w:rsidR="009D48FF" w:rsidRPr="0019627D" w:rsidRDefault="009D48FF" w:rsidP="009D48FF">
            <w:pPr>
              <w:ind w:right="-2"/>
              <w:rPr>
                <w:highlight w:val="white"/>
              </w:rPr>
            </w:pPr>
          </w:p>
        </w:tc>
      </w:tr>
      <w:tr w:rsidR="009D48FF" w:rsidRPr="0019627D" w14:paraId="517205BC"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0E92D9E8" w14:textId="77777777" w:rsidR="009D48FF" w:rsidRPr="0019627D" w:rsidRDefault="009D48FF" w:rsidP="009D48FF">
            <w:r w:rsidRPr="0019627D">
              <w:rPr>
                <w:highlight w:val="white"/>
              </w:rPr>
              <w:t>Schoenenberger et al., 2014.</w:t>
            </w:r>
          </w:p>
        </w:tc>
        <w:tc>
          <w:tcPr>
            <w:tcW w:w="888" w:type="pct"/>
            <w:tcBorders>
              <w:top w:val="nil"/>
              <w:left w:val="nil"/>
              <w:bottom w:val="nil"/>
              <w:right w:val="nil"/>
            </w:tcBorders>
          </w:tcPr>
          <w:p w14:paraId="32BE4172" w14:textId="77777777" w:rsidR="009D48FF" w:rsidRPr="0019627D" w:rsidRDefault="009D48FF" w:rsidP="009D48FF">
            <w:pPr>
              <w:rPr>
                <w:highlight w:val="white"/>
              </w:rPr>
            </w:pPr>
            <w:r w:rsidRPr="0019627D">
              <w:rPr>
                <w:highlight w:val="white"/>
              </w:rPr>
              <w:t>NASA TLX</w:t>
            </w:r>
          </w:p>
        </w:tc>
        <w:tc>
          <w:tcPr>
            <w:tcW w:w="959" w:type="pct"/>
            <w:tcBorders>
              <w:top w:val="nil"/>
              <w:left w:val="nil"/>
              <w:bottom w:val="nil"/>
              <w:right w:val="nil"/>
            </w:tcBorders>
          </w:tcPr>
          <w:p w14:paraId="47E173AD"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2F1F95B5"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69BEFCC5"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5EF3FE5C" w14:textId="77777777" w:rsidR="009D48FF" w:rsidRPr="0019627D" w:rsidRDefault="009D48FF" w:rsidP="009D48FF">
            <w:pPr>
              <w:ind w:right="-2"/>
              <w:rPr>
                <w:highlight w:val="white"/>
              </w:rPr>
            </w:pPr>
          </w:p>
        </w:tc>
      </w:tr>
      <w:tr w:rsidR="009D48FF" w:rsidRPr="0019627D" w14:paraId="7708ABC1" w14:textId="77777777" w:rsidTr="009D48FF">
        <w:trPr>
          <w:trHeight w:val="212"/>
        </w:trPr>
        <w:tc>
          <w:tcPr>
            <w:tcW w:w="1088" w:type="pct"/>
            <w:tcBorders>
              <w:top w:val="nil"/>
              <w:left w:val="nil"/>
              <w:bottom w:val="nil"/>
              <w:right w:val="nil"/>
            </w:tcBorders>
            <w:shd w:val="clear" w:color="auto" w:fill="auto"/>
            <w:tcMar>
              <w:top w:w="80" w:type="dxa"/>
              <w:left w:w="80" w:type="dxa"/>
              <w:bottom w:w="80" w:type="dxa"/>
              <w:right w:w="80" w:type="dxa"/>
            </w:tcMar>
          </w:tcPr>
          <w:p w14:paraId="1E52CFDF" w14:textId="77777777" w:rsidR="009D48FF" w:rsidRPr="0019627D" w:rsidRDefault="009D48FF" w:rsidP="009D48FF">
            <w:r w:rsidRPr="0019627D">
              <w:t>Rodríguez-López et al., 2021.</w:t>
            </w:r>
          </w:p>
        </w:tc>
        <w:tc>
          <w:tcPr>
            <w:tcW w:w="888" w:type="pct"/>
            <w:tcBorders>
              <w:top w:val="nil"/>
              <w:left w:val="nil"/>
              <w:bottom w:val="nil"/>
              <w:right w:val="nil"/>
            </w:tcBorders>
          </w:tcPr>
          <w:p w14:paraId="69FD57EE" w14:textId="77777777" w:rsidR="009D48FF" w:rsidRPr="0019627D" w:rsidRDefault="009D48FF" w:rsidP="009D48FF">
            <w:pPr>
              <w:rPr>
                <w:highlight w:val="white"/>
              </w:rPr>
            </w:pPr>
            <w:r w:rsidRPr="0019627D">
              <w:rPr>
                <w:highlight w:val="white"/>
              </w:rPr>
              <w:t xml:space="preserve">CarMen-Q </w:t>
            </w:r>
          </w:p>
        </w:tc>
        <w:tc>
          <w:tcPr>
            <w:tcW w:w="959" w:type="pct"/>
            <w:tcBorders>
              <w:top w:val="nil"/>
              <w:left w:val="nil"/>
              <w:bottom w:val="nil"/>
              <w:right w:val="nil"/>
            </w:tcBorders>
          </w:tcPr>
          <w:p w14:paraId="37232EF6" w14:textId="77777777" w:rsidR="009D48FF" w:rsidRPr="0019627D" w:rsidRDefault="009D48FF" w:rsidP="009D48FF">
            <w:pPr>
              <w:rPr>
                <w:highlight w:val="white"/>
              </w:rPr>
            </w:pPr>
            <w:r w:rsidRPr="0019627D">
              <w:t>No presenta</w:t>
            </w:r>
          </w:p>
        </w:tc>
        <w:tc>
          <w:tcPr>
            <w:tcW w:w="1044" w:type="pct"/>
            <w:tcBorders>
              <w:top w:val="nil"/>
              <w:left w:val="nil"/>
              <w:bottom w:val="nil"/>
              <w:right w:val="nil"/>
            </w:tcBorders>
          </w:tcPr>
          <w:p w14:paraId="5BCD639D" w14:textId="77777777" w:rsidR="009D48FF" w:rsidRPr="0019627D" w:rsidRDefault="009D48FF" w:rsidP="009D48FF">
            <w:pPr>
              <w:ind w:right="-2"/>
              <w:rPr>
                <w:highlight w:val="white"/>
              </w:rPr>
            </w:pPr>
            <w:r w:rsidRPr="0019627D">
              <w:t>Confiabilidad general &gt;0,7</w:t>
            </w:r>
          </w:p>
        </w:tc>
        <w:tc>
          <w:tcPr>
            <w:tcW w:w="1011" w:type="pct"/>
            <w:tcBorders>
              <w:top w:val="nil"/>
              <w:left w:val="nil"/>
              <w:bottom w:val="nil"/>
              <w:right w:val="nil"/>
            </w:tcBorders>
          </w:tcPr>
          <w:p w14:paraId="71736C7A" w14:textId="77777777" w:rsidR="009D48FF" w:rsidRPr="0019627D" w:rsidRDefault="009D48FF" w:rsidP="009D48FF">
            <w:pPr>
              <w:ind w:right="-2"/>
              <w:rPr>
                <w:highlight w:val="white"/>
              </w:rPr>
            </w:pPr>
            <w:r w:rsidRPr="0019627D">
              <w:t>No presenta</w:t>
            </w:r>
          </w:p>
        </w:tc>
        <w:tc>
          <w:tcPr>
            <w:tcW w:w="11" w:type="pct"/>
            <w:tcBorders>
              <w:top w:val="nil"/>
              <w:left w:val="nil"/>
              <w:bottom w:val="nil"/>
              <w:right w:val="nil"/>
            </w:tcBorders>
          </w:tcPr>
          <w:p w14:paraId="74157A7B" w14:textId="77777777" w:rsidR="009D48FF" w:rsidRPr="0019627D" w:rsidRDefault="009D48FF" w:rsidP="009D48FF">
            <w:pPr>
              <w:ind w:right="-2"/>
              <w:rPr>
                <w:highlight w:val="white"/>
              </w:rPr>
            </w:pPr>
          </w:p>
        </w:tc>
      </w:tr>
      <w:tr w:rsidR="009D48FF" w:rsidRPr="0019627D" w14:paraId="2C52357B" w14:textId="77777777" w:rsidTr="009D48FF">
        <w:trPr>
          <w:trHeight w:val="212"/>
        </w:trPr>
        <w:tc>
          <w:tcPr>
            <w:tcW w:w="1088" w:type="pct"/>
            <w:tcBorders>
              <w:top w:val="nil"/>
              <w:left w:val="nil"/>
              <w:bottom w:val="single" w:sz="4" w:space="0" w:color="auto"/>
              <w:right w:val="nil"/>
            </w:tcBorders>
            <w:shd w:val="clear" w:color="auto" w:fill="auto"/>
            <w:tcMar>
              <w:top w:w="80" w:type="dxa"/>
              <w:left w:w="80" w:type="dxa"/>
              <w:bottom w:w="80" w:type="dxa"/>
              <w:right w:w="80" w:type="dxa"/>
            </w:tcMar>
          </w:tcPr>
          <w:p w14:paraId="22B1FAAF" w14:textId="77777777" w:rsidR="009D48FF" w:rsidRPr="0019627D" w:rsidRDefault="009D48FF" w:rsidP="009D48FF">
            <w:r w:rsidRPr="0019627D">
              <w:rPr>
                <w:highlight w:val="white"/>
              </w:rPr>
              <w:t>Rubio-Valdehita et al., 2017.</w:t>
            </w:r>
          </w:p>
        </w:tc>
        <w:tc>
          <w:tcPr>
            <w:tcW w:w="888" w:type="pct"/>
            <w:tcBorders>
              <w:top w:val="nil"/>
              <w:left w:val="nil"/>
              <w:bottom w:val="single" w:sz="4" w:space="0" w:color="auto"/>
              <w:right w:val="nil"/>
            </w:tcBorders>
          </w:tcPr>
          <w:p w14:paraId="20EAD0E3" w14:textId="77777777" w:rsidR="009D48FF" w:rsidRPr="0019627D" w:rsidRDefault="009D48FF" w:rsidP="009D48FF">
            <w:pPr>
              <w:rPr>
                <w:highlight w:val="white"/>
              </w:rPr>
            </w:pPr>
            <w:r w:rsidRPr="0019627D">
              <w:rPr>
                <w:highlight w:val="white"/>
              </w:rPr>
              <w:t xml:space="preserve">CarMen-Q  </w:t>
            </w:r>
          </w:p>
        </w:tc>
        <w:tc>
          <w:tcPr>
            <w:tcW w:w="959" w:type="pct"/>
            <w:tcBorders>
              <w:top w:val="nil"/>
              <w:left w:val="nil"/>
              <w:bottom w:val="single" w:sz="4" w:space="0" w:color="auto"/>
              <w:right w:val="nil"/>
            </w:tcBorders>
          </w:tcPr>
          <w:p w14:paraId="6B5C489D" w14:textId="77777777" w:rsidR="009D48FF" w:rsidRPr="0019627D" w:rsidRDefault="009D48FF" w:rsidP="009D48FF">
            <w:pPr>
              <w:rPr>
                <w:highlight w:val="white"/>
              </w:rPr>
            </w:pPr>
            <w:r w:rsidRPr="0019627D">
              <w:rPr>
                <w:highlight w:val="white"/>
              </w:rPr>
              <w:t>Revisión de expertos sin documentación referenciada.</w:t>
            </w:r>
          </w:p>
        </w:tc>
        <w:tc>
          <w:tcPr>
            <w:tcW w:w="1044" w:type="pct"/>
            <w:tcBorders>
              <w:top w:val="nil"/>
              <w:left w:val="nil"/>
              <w:bottom w:val="single" w:sz="4" w:space="0" w:color="auto"/>
              <w:right w:val="nil"/>
            </w:tcBorders>
          </w:tcPr>
          <w:p w14:paraId="4E5A990F" w14:textId="77777777" w:rsidR="009D48FF" w:rsidRPr="0019627D" w:rsidRDefault="009D48FF" w:rsidP="009D48FF">
            <w:pPr>
              <w:ind w:right="-2"/>
            </w:pPr>
            <w:r w:rsidRPr="0019627D">
              <w:t>Evidencias del análisis factorial exploratorio</w:t>
            </w:r>
          </w:p>
          <w:p w14:paraId="04AEAF31" w14:textId="77777777" w:rsidR="009D48FF" w:rsidRPr="0019627D" w:rsidRDefault="009D48FF" w:rsidP="009D48FF">
            <w:pPr>
              <w:ind w:right="-2"/>
              <w:rPr>
                <w:highlight w:val="white"/>
              </w:rPr>
            </w:pPr>
            <w:r w:rsidRPr="0019627D">
              <w:t xml:space="preserve">y confirmatorio; Cronbach </w:t>
            </w:r>
            <w:r w:rsidRPr="0019627D">
              <w:rPr>
                <w:highlight w:val="white"/>
              </w:rPr>
              <w:t>α&gt; 0,7 para la mayoría de los dominios</w:t>
            </w:r>
          </w:p>
        </w:tc>
        <w:tc>
          <w:tcPr>
            <w:tcW w:w="1011" w:type="pct"/>
            <w:tcBorders>
              <w:top w:val="nil"/>
              <w:left w:val="nil"/>
              <w:bottom w:val="single" w:sz="4" w:space="0" w:color="auto"/>
              <w:right w:val="nil"/>
            </w:tcBorders>
          </w:tcPr>
          <w:p w14:paraId="3C839D01" w14:textId="77777777" w:rsidR="009D48FF" w:rsidRPr="0019627D" w:rsidRDefault="009D48FF" w:rsidP="009D48FF">
            <w:pPr>
              <w:ind w:right="-2"/>
              <w:rPr>
                <w:highlight w:val="white"/>
              </w:rPr>
            </w:pPr>
            <w:r w:rsidRPr="0019627D">
              <w:t>Validez convergente con NASA-TLX</w:t>
            </w:r>
          </w:p>
        </w:tc>
        <w:tc>
          <w:tcPr>
            <w:tcW w:w="11" w:type="pct"/>
            <w:tcBorders>
              <w:top w:val="nil"/>
              <w:left w:val="nil"/>
              <w:bottom w:val="single" w:sz="4" w:space="0" w:color="auto"/>
              <w:right w:val="nil"/>
            </w:tcBorders>
          </w:tcPr>
          <w:p w14:paraId="202AFDAA" w14:textId="77777777" w:rsidR="009D48FF" w:rsidRPr="0019627D" w:rsidRDefault="009D48FF" w:rsidP="009D48FF">
            <w:pPr>
              <w:ind w:right="-2"/>
              <w:rPr>
                <w:highlight w:val="white"/>
              </w:rPr>
            </w:pPr>
          </w:p>
        </w:tc>
      </w:tr>
    </w:tbl>
    <w:p w14:paraId="28D5B6DF" w14:textId="1B5E39C3" w:rsidR="009D48FF" w:rsidRDefault="009D48FF" w:rsidP="00184153">
      <w:pPr>
        <w:pStyle w:val="Prrafocomn"/>
        <w:spacing w:after="120" w:line="440" w:lineRule="exact"/>
        <w:ind w:firstLine="709"/>
        <w:rPr>
          <w:lang w:val="es-CO"/>
        </w:rPr>
      </w:pPr>
      <w:r w:rsidRPr="009D48FF">
        <w:rPr>
          <w:lang w:val="es-CO"/>
        </w:rPr>
        <w:t>El levantamiento de estudios sobre las propiedades psicométricas de los instrumentos indica diversidad en términos de características generales, calidad, fuerza de sus propiedades psicométricas y los dominios de carga de trabajo mental medidos por ellos. La evaluación de las propiedades psicométricas del instrumento utilizado en una investigación es esencial para presentar inferencias válidas y confiables sobre el constructo, en este caso la carga mental de trabajo. Los hallazgos de esta investigación indican que tal evaluación no se ha realizado como regla en los últimos 10 años, ya que solo 20 artículos, de los 145 analizados, realizaron algún análisis estadístico propio y otros 19 referenciaron estudios previos.</w:t>
      </w:r>
    </w:p>
    <w:p w14:paraId="08DAA3F1" w14:textId="0214F970" w:rsidR="009D48FF" w:rsidRDefault="009D48FF" w:rsidP="00184153">
      <w:pPr>
        <w:pStyle w:val="Prrafocomn"/>
        <w:spacing w:after="120" w:line="440" w:lineRule="exact"/>
        <w:ind w:firstLine="709"/>
        <w:rPr>
          <w:lang w:val="es-CO"/>
        </w:rPr>
      </w:pPr>
    </w:p>
    <w:p w14:paraId="79B1FAAD" w14:textId="77777777" w:rsidR="009D48FF" w:rsidRDefault="009D48FF" w:rsidP="00184153">
      <w:pPr>
        <w:pStyle w:val="Prrafocomn"/>
        <w:spacing w:after="120" w:line="440" w:lineRule="exact"/>
        <w:ind w:firstLine="709"/>
        <w:rPr>
          <w:lang w:val="es-CO"/>
        </w:rPr>
      </w:pPr>
    </w:p>
    <w:p w14:paraId="22A23293" w14:textId="3607E0EF" w:rsidR="005A12F4" w:rsidRPr="00471F54" w:rsidRDefault="00F110D9" w:rsidP="00184153">
      <w:pPr>
        <w:pStyle w:val="Ttulosinternos"/>
        <w:rPr>
          <w:lang w:val="es-AR"/>
        </w:rPr>
      </w:pPr>
      <w:r>
        <w:rPr>
          <w:lang w:val="es-AR"/>
        </w:rPr>
        <w:lastRenderedPageBreak/>
        <w:t>Discusión</w:t>
      </w:r>
    </w:p>
    <w:p w14:paraId="35BB11C1" w14:textId="77777777" w:rsidR="009D48FF" w:rsidRPr="009D48FF" w:rsidRDefault="009D48FF" w:rsidP="009D48FF">
      <w:pPr>
        <w:pStyle w:val="Prrafocomn"/>
        <w:spacing w:line="440" w:lineRule="exact"/>
        <w:rPr>
          <w:lang w:val="es-CO"/>
        </w:rPr>
      </w:pPr>
      <w:r w:rsidRPr="009D48FF">
        <w:rPr>
          <w:lang w:val="es-CO"/>
        </w:rPr>
        <w:t xml:space="preserve">El objetivo del presente artículo fue analizar las propiedades psicométricas de los instrumentos utilizados internacionalmente en los estudios para medir carga mental de trabajo. El concepto de carga de trabajo mental surge del interés por medir el esfuerzo mental que realizan las personas cuando son estimuladas para responder a tareas derivadas del proceso de trabajo (Charles &amp; Nixon, 2019; Young et al., 2015). Los estudios sobre la medición de carga mental de trabajo reflejan el debate sobre el potencial para investigar la capacidad humana para realizar actividades ocupacionales, lo que ciertamente incluye la necesidad de avances en la calidad del proceso de medición, ya sea en la calidad de la instrumentación o en la asociación. con marcadores biológicos y de funcionamiento cerebral. </w:t>
      </w:r>
    </w:p>
    <w:p w14:paraId="64A4D91A" w14:textId="77777777" w:rsidR="009D48FF" w:rsidRPr="009D48FF" w:rsidRDefault="009D48FF" w:rsidP="009D48FF">
      <w:pPr>
        <w:pStyle w:val="Prrafocomn"/>
        <w:spacing w:line="440" w:lineRule="exact"/>
        <w:rPr>
          <w:lang w:val="es-CO"/>
        </w:rPr>
      </w:pPr>
      <w:r w:rsidRPr="009D48FF">
        <w:rPr>
          <w:lang w:val="es-CO"/>
        </w:rPr>
        <w:t>Los estudios revisados ​​indican que la evaluación de la carga mental de trabajo se realiza en base a diferentes modelos conceptuales, introducidos principalmente a partir de la década de 1980 (Alberdi et al., 2018; Abich et al., 2017). Con cerca de 40 años de desarrollo, el concepto de carga mental es multidimensional, no tiene una definición consensuada por todos los teóricos del área y hoy no es seriamente cuestionado, ya que el 80,6% (n=117) de ellos revisaron estudios utilizan el mismo (NASA-TLX), aunque consideran importante medir la carga mental de trabajo debido a las condiciones actuales en dos entornos de trabajo (Braarud, 2021; Young et al., 2015; Monfort et al., 2017).</w:t>
      </w:r>
    </w:p>
    <w:p w14:paraId="232998EF" w14:textId="77777777" w:rsidR="009D48FF" w:rsidRPr="009D48FF" w:rsidRDefault="009D48FF" w:rsidP="009D48FF">
      <w:pPr>
        <w:pStyle w:val="Prrafocomn"/>
        <w:spacing w:line="440" w:lineRule="exact"/>
        <w:rPr>
          <w:lang w:val="es-CO"/>
        </w:rPr>
      </w:pPr>
      <w:r w:rsidRPr="009D48FF">
        <w:rPr>
          <w:lang w:val="es-CO"/>
        </w:rPr>
        <w:t>Es importante resaltar que la validez de contenido de un instrumento psicométrico es comúnmente verificada durante la etapa de construcción del instrumento, lo que hace algo aceptable que no sea replicado en cada estudio donde se utiliza la herramienta. En cuanto al NASA-TLX, se sabe que su validez de contenido fue investigada originalmente por Hart y Staveland (1988), pero no fue posible confirmar que los autores de los 117 artículos que hicieron uso de tal instrumento se dedicaron a verificar tal índice de validez, considerando que esta referencia se ubicó en sólo tres estudios. La validez interna y externa del instrumento se demostró mediante análisis factorial confirmatorio y exploratorio, así como en la búsqueda de validez divergente y convergente con otros instrumentos existentes.</w:t>
      </w:r>
    </w:p>
    <w:p w14:paraId="0DDCBE2D" w14:textId="77777777" w:rsidR="009D48FF" w:rsidRPr="009D48FF" w:rsidRDefault="009D48FF" w:rsidP="009D48FF">
      <w:pPr>
        <w:pStyle w:val="Prrafocomn"/>
        <w:spacing w:line="440" w:lineRule="exact"/>
        <w:rPr>
          <w:lang w:val="es-CO"/>
        </w:rPr>
      </w:pPr>
      <w:r w:rsidRPr="009D48FF">
        <w:rPr>
          <w:lang w:val="es-CO"/>
        </w:rPr>
        <w:t xml:space="preserve">En la literatura se encontraron argumentos de que los resultados obtenidos con la aplicación de NASA-TLX, y algunos de sus derivados, representan medidas válidas y </w:t>
      </w:r>
      <w:r w:rsidRPr="009D48FF">
        <w:rPr>
          <w:lang w:val="es-CO"/>
        </w:rPr>
        <w:lastRenderedPageBreak/>
        <w:t>confiables para demandas de tareas y no demandas de trabajo, por lo que es claro que, aun siendo este un método ampliamente utilizado, puede presentar problemas para medir la carga de trabajo mental (Ba &amp; Zhan, 2011; Bridger &amp; Brasher, 2011). Para Bridger y Brasher (2011), la eliminación de ítems referentes a demandas físicas y rendimiento mejoró la confiabilidad interna del test NASA-TLX, dicho dato refuerza la importancia de evaluar la evidencia de validez y confiabilidad cuando un estudio propone el uso de instrumentos psicométricos. Todos los estudios revisados ​​que indicaron los valores de confiabilidad para los instrumentos utilizados tienen resultados suficientes para afirmar que dichos instrumentos son precisos (Tabla 4), pero no se puede decir lo mismo de los estudios en los que los valores referentes al análisis estadístico de confiabilidad no fueron proporcionados, lo que se puede observar, en estudios donde la confiabilidad de los instrumentos no fue mencionada.</w:t>
      </w:r>
    </w:p>
    <w:p w14:paraId="68788469" w14:textId="77777777" w:rsidR="009D48FF" w:rsidRPr="009D48FF" w:rsidRDefault="009D48FF" w:rsidP="009D48FF">
      <w:pPr>
        <w:pStyle w:val="Prrafocomn"/>
        <w:spacing w:line="440" w:lineRule="exact"/>
        <w:rPr>
          <w:lang w:val="es-CO"/>
        </w:rPr>
      </w:pPr>
      <w:r w:rsidRPr="009D48FF">
        <w:rPr>
          <w:lang w:val="es-CO"/>
        </w:rPr>
        <w:t>Desde un punto de vista psicológico, las características de la carga mental se sitúan en la psicología cognitiva y la psicología del trabajo, en términos de asignación de recursos atencionales, cognitivos y respuestas a demandas típicas de ocupaciones y sistemas de trabajo (Van Hoffen et al., 2016). Es decir, la carga de trabajo mental forma parte de un marco denominado carga de trabajo, una estructura teórica que incluye demandas y respuestas físicas, fisiológicas y psicológicas relacionadas con el desempeño de la persona en contextos y tareas específicas. La complejidad de atributos asociados a esta estructura teórica, así como el desarrollo de estudios empíricos en busca de evidencias de validez y confiabilidad de instrumentos de medición de cargas mentales, impone la necesidad de producir instrumentos de referencia en este campo.</w:t>
      </w:r>
    </w:p>
    <w:p w14:paraId="727C9598" w14:textId="77777777" w:rsidR="009D48FF" w:rsidRPr="009D48FF" w:rsidRDefault="009D48FF" w:rsidP="009D48FF">
      <w:pPr>
        <w:pStyle w:val="Prrafocomn"/>
        <w:spacing w:line="440" w:lineRule="exact"/>
        <w:rPr>
          <w:lang w:val="es-CO"/>
        </w:rPr>
      </w:pPr>
      <w:r w:rsidRPr="009D48FF">
        <w:rPr>
          <w:lang w:val="es-CO"/>
        </w:rPr>
        <w:t xml:space="preserve">Los estudios sobre la medición de la carga de trabajo mental revelaron problemas de validez de los instrumentos. Evidenciaron el uso de información sobre las propiedades psicométricas de los instrumentos, que parten de conceptos y procedimientos estadísticos que no siempre son consistentes con la verificación interna, estructura del constructo de carga mental o criterios externos en la búsqueda de otros procedimientos de validación, a menudo centrándose solo en indicadores de confiabilidad. Ciertamente, debido a malentendidos sobre el uso de datos primarios, las diferencias conceptuales empleadas, las diferentes metodologías y procedimientos estadísticos, los estudios de metaanálisis tienden a ser un desafío. Un aspecto crítico, por ejemplo, es la búsqueda de la validez de </w:t>
      </w:r>
      <w:r w:rsidRPr="009D48FF">
        <w:rPr>
          <w:lang w:val="es-CO"/>
        </w:rPr>
        <w:lastRenderedPageBreak/>
        <w:t>contenido sin explorar los fundamentos teóricos del constructo o sin utilizar puntuaciones de medida de carga con criterios estadísticos claros o estudios experimentales específicos.</w:t>
      </w:r>
    </w:p>
    <w:p w14:paraId="3083E62D" w14:textId="77777777" w:rsidR="009D48FF" w:rsidRPr="009D48FF" w:rsidRDefault="009D48FF" w:rsidP="009D48FF">
      <w:pPr>
        <w:pStyle w:val="Prrafocomn"/>
        <w:spacing w:line="440" w:lineRule="exact"/>
        <w:rPr>
          <w:lang w:val="es-CO"/>
        </w:rPr>
      </w:pPr>
      <w:r w:rsidRPr="009D48FF">
        <w:rPr>
          <w:lang w:val="es-CO"/>
        </w:rPr>
        <w:t xml:space="preserve">Además de los puntos mencionados, también se observa ausencia o escasa referencia a procedimientos psicométricos realizados para la adaptación y uso de los instrumentos en contextos distintos al país de origen. Esta omisión de prácticas sobre procesos de adaptación transcultural y la búsqueda de nuevas evidencias de validez limita la interpretabilidad y generalización de los resultados en nuevos contextos culturales internacionales. </w:t>
      </w:r>
    </w:p>
    <w:p w14:paraId="492FD1B3" w14:textId="0381ED2B" w:rsidR="00F110D9" w:rsidRDefault="009D48FF" w:rsidP="00184153">
      <w:pPr>
        <w:pStyle w:val="Ttulosinternos"/>
        <w:rPr>
          <w:lang w:val="es-AR"/>
        </w:rPr>
      </w:pPr>
      <w:r w:rsidRPr="009D48FF">
        <w:rPr>
          <w:lang w:val="es-AR"/>
        </w:rPr>
        <w:t>Consideraciones finales</w:t>
      </w:r>
    </w:p>
    <w:p w14:paraId="13877911" w14:textId="77777777" w:rsidR="009D48FF" w:rsidRPr="009D48FF" w:rsidRDefault="009D48FF" w:rsidP="009D48FF">
      <w:pPr>
        <w:pStyle w:val="Prrafocomn"/>
        <w:spacing w:line="440" w:lineRule="exact"/>
        <w:rPr>
          <w:lang w:val="es-CO"/>
        </w:rPr>
      </w:pPr>
      <w:r w:rsidRPr="009D48FF">
        <w:rPr>
          <w:lang w:val="es-CO"/>
        </w:rPr>
        <w:t>Este estudio reveló que los 16 instrumentos de evaluación de la carga mental identificados tienen diversidad en términos de características generales y calidad teórica, calidad de propiedades psicométricas y los dominios de CMT medidos por ellos. La evaluación de las propiedades psicométricas del instrumento es esencial para presentar inferencias válidas y confiables sobre el constructo. Sin embargo, los hallazgos de esta investigación indican que tal evaluación no se ha realizado como regla en todos los estudios, ya que solo 20 artículos, de los 145 analizados, realizaron algún análisis estadístico de los respectivos propósitos de los estudios.</w:t>
      </w:r>
    </w:p>
    <w:p w14:paraId="6E98B3C3" w14:textId="776B40F9" w:rsidR="00F110D9" w:rsidRPr="00F110D9" w:rsidRDefault="009D48FF" w:rsidP="00184153">
      <w:pPr>
        <w:pStyle w:val="Prrafocomn"/>
        <w:spacing w:line="440" w:lineRule="exact"/>
        <w:rPr>
          <w:lang w:val="es-CO"/>
        </w:rPr>
      </w:pPr>
      <w:r w:rsidRPr="009D48FF">
        <w:rPr>
          <w:lang w:val="es-CO"/>
        </w:rPr>
        <w:t>Esta revisión tiene varios aspectos relevantes: los términos de búsqueda fueron exhaustivos y los idiomas seleccionados permitieron localizar publicaciones de diferentes contextos; dos investigadores extrajeron los datos de forma independiente utilizando un formulario estructurado para garantizar una representación precisa de los estudios y resolver las discrepancias de forma sistemática. Como limitaciones, no incluyó investigaciones no publicadas, como las publicadas en tesis y disertaciones, publicaciones en actas de congresos o investigaciones publicadas en su forma no comercial, como informes gubernamentales. Además, no exploró algunos de los desafíos teóricos y metodológicos que impregnan décadas de discusión en torno al constructo carga mental, presente en diversos campos disciplinarios, así como los problemas que involucran la evaluación de cargas mentales en entornos virtuales, mediaciones tecnológicas avanzadas y asociado a variables fisiológicas. Estos son aspectos que sin duda servirán de horizonte para nuevas publicaciones en este campo.</w:t>
      </w:r>
      <w:r w:rsidR="00F110D9"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800FCE" w:rsidRDefault="00BC764F" w:rsidP="00184153">
      <w:pPr>
        <w:pStyle w:val="Ttulosinternos"/>
        <w:rPr>
          <w:lang w:val="en-US"/>
        </w:rPr>
      </w:pPr>
      <w:r w:rsidRPr="00800FCE">
        <w:rPr>
          <w:lang w:val="en-US"/>
        </w:rPr>
        <w:lastRenderedPageBreak/>
        <w:t>Referencias</w:t>
      </w:r>
    </w:p>
    <w:p w14:paraId="724E46DA" w14:textId="0541B1C8"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en-US"/>
        </w:rPr>
        <w:t xml:space="preserve">Abich I. V. J., Reinerman-Jones, L., &amp; Matthews, G. (2017). Impact of three task demand factors on simulated intelligence, surveillance, and reconnaissance of unmanned systems. </w:t>
      </w:r>
      <w:r w:rsidRPr="009D48FF">
        <w:rPr>
          <w:i/>
          <w:noProof/>
          <w:color w:val="000000"/>
          <w:lang w:val="pt-BR"/>
        </w:rPr>
        <w:t>Ergonomics</w:t>
      </w:r>
      <w:r w:rsidR="003E4935">
        <w:rPr>
          <w:noProof/>
          <w:color w:val="000000"/>
          <w:lang w:val="pt-BR"/>
        </w:rPr>
        <w:t>,</w:t>
      </w:r>
      <w:r w:rsidRPr="009D48FF">
        <w:rPr>
          <w:noProof/>
          <w:color w:val="000000"/>
          <w:lang w:val="pt-BR"/>
        </w:rPr>
        <w:t> </w:t>
      </w:r>
      <w:r w:rsidRPr="009D48FF">
        <w:rPr>
          <w:i/>
          <w:noProof/>
          <w:color w:val="000000"/>
          <w:lang w:val="pt-BR"/>
        </w:rPr>
        <w:t>60</w:t>
      </w:r>
      <w:r w:rsidRPr="009D48FF">
        <w:rPr>
          <w:noProof/>
          <w:color w:val="000000"/>
          <w:lang w:val="pt-BR"/>
        </w:rPr>
        <w:t xml:space="preserve"> (6), 791-809. </w:t>
      </w:r>
      <w:hyperlink r:id="rId28">
        <w:r w:rsidRPr="009D48FF">
          <w:rPr>
            <w:rStyle w:val="Hipervnculo"/>
            <w:noProof/>
            <w:lang w:val="pt-BR"/>
          </w:rPr>
          <w:t>http://doi.org/10.1080/00140139.2016.1216171</w:t>
        </w:r>
      </w:hyperlink>
    </w:p>
    <w:p w14:paraId="40011594"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pt-BR"/>
        </w:rPr>
        <w:t xml:space="preserve">Alberdi, A., Aztiria, A., Basarab, A., &amp; Cook, D. J. (2018). </w:t>
      </w:r>
      <w:r w:rsidRPr="009D48FF">
        <w:rPr>
          <w:noProof/>
          <w:color w:val="000000"/>
          <w:lang w:val="en-US"/>
        </w:rPr>
        <w:t>Using smart offices to predict occupational stress. </w:t>
      </w:r>
      <w:r w:rsidRPr="009D48FF">
        <w:rPr>
          <w:i/>
          <w:noProof/>
          <w:color w:val="000000"/>
          <w:lang w:val="en-US"/>
        </w:rPr>
        <w:t>International Journal of Industrial Ergonomics</w:t>
      </w:r>
      <w:r w:rsidRPr="009D48FF">
        <w:rPr>
          <w:noProof/>
          <w:color w:val="000000"/>
          <w:lang w:val="en-US"/>
        </w:rPr>
        <w:t>, </w:t>
      </w:r>
      <w:r w:rsidRPr="009D48FF">
        <w:rPr>
          <w:i/>
          <w:noProof/>
          <w:color w:val="000000"/>
          <w:lang w:val="en-US"/>
        </w:rPr>
        <w:t>67</w:t>
      </w:r>
      <w:r w:rsidRPr="009D48FF">
        <w:rPr>
          <w:noProof/>
          <w:color w:val="000000"/>
          <w:lang w:val="en-US"/>
        </w:rPr>
        <w:t xml:space="preserve">, 13-26. </w:t>
      </w:r>
      <w:hyperlink r:id="rId29">
        <w:r w:rsidRPr="009D48FF">
          <w:rPr>
            <w:rStyle w:val="Hipervnculo"/>
            <w:noProof/>
            <w:lang w:val="en-US"/>
          </w:rPr>
          <w:t>http://doi.org/10.1016/j.ergon.2018.04.005</w:t>
        </w:r>
      </w:hyperlink>
    </w:p>
    <w:p w14:paraId="04A59653" w14:textId="58CF8D16" w:rsidR="009D48FF" w:rsidRPr="00800FCE"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American Educational Research Association, AERA, American Psychological Association, APA, &amp; Natiional Council on Measurement in Education, NCME. (2014). </w:t>
      </w:r>
      <w:r w:rsidRPr="00800FCE">
        <w:rPr>
          <w:i/>
          <w:noProof/>
          <w:color w:val="000000"/>
          <w:lang w:val="en-US"/>
        </w:rPr>
        <w:t>Standards for education and</w:t>
      </w:r>
      <w:r w:rsidR="003E4935" w:rsidRPr="00800FCE">
        <w:rPr>
          <w:i/>
          <w:noProof/>
          <w:color w:val="000000"/>
          <w:lang w:val="en-US"/>
        </w:rPr>
        <w:t xml:space="preserve"> psychological testing.</w:t>
      </w:r>
      <w:r w:rsidRPr="00800FCE">
        <w:rPr>
          <w:noProof/>
          <w:color w:val="000000"/>
          <w:lang w:val="en-US"/>
        </w:rPr>
        <w:t xml:space="preserve"> American Educational Research Association.</w:t>
      </w:r>
    </w:p>
    <w:p w14:paraId="5F84B389"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pt-BR"/>
        </w:rPr>
        <w:t xml:space="preserve">Associação Brasileira de Psicologia Organizacional e do Trabalho [SBPOT]. (2020). </w:t>
      </w:r>
      <w:r w:rsidRPr="009D48FF">
        <w:rPr>
          <w:i/>
          <w:noProof/>
          <w:color w:val="000000"/>
          <w:lang w:val="pt-BR"/>
        </w:rPr>
        <w:t>Competências para a atuação em psicologia organizacional e do trabalho</w:t>
      </w:r>
      <w:r w:rsidRPr="009D48FF">
        <w:rPr>
          <w:noProof/>
          <w:color w:val="000000"/>
          <w:lang w:val="pt-BR"/>
        </w:rPr>
        <w:t xml:space="preserve">: um referencial para a formação e qualificação profissional no Brasil. UniCEUB. </w:t>
      </w:r>
      <w:hyperlink r:id="rId30">
        <w:r w:rsidRPr="009D48FF">
          <w:rPr>
            <w:rStyle w:val="Hipervnculo"/>
            <w:noProof/>
            <w:lang w:val="pt-BR"/>
          </w:rPr>
          <w:t>https://repositorio.uniceub.br/jspui/handle/prefix/14119</w:t>
        </w:r>
      </w:hyperlink>
    </w:p>
    <w:p w14:paraId="00E8704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pt-BR"/>
        </w:rPr>
        <w:t xml:space="preserve">Atalay, K. D., Can, G. F., Erdem, S. R., &amp; Müderrisoglu, I. H. (2016). </w:t>
      </w:r>
      <w:r w:rsidRPr="009D48FF">
        <w:rPr>
          <w:noProof/>
          <w:color w:val="000000"/>
          <w:lang w:val="en-US"/>
        </w:rPr>
        <w:t>Assessment of mental workload and academic motivation in medical students. </w:t>
      </w:r>
      <w:r w:rsidRPr="009D48FF">
        <w:rPr>
          <w:i/>
          <w:noProof/>
          <w:color w:val="000000"/>
          <w:lang w:val="en-US"/>
        </w:rPr>
        <w:t>The Journal of the Pakistan Medical Association</w:t>
      </w:r>
      <w:r w:rsidRPr="009D48FF">
        <w:rPr>
          <w:noProof/>
          <w:color w:val="000000"/>
          <w:lang w:val="en-US"/>
        </w:rPr>
        <w:t>, </w:t>
      </w:r>
      <w:r w:rsidRPr="009D48FF">
        <w:rPr>
          <w:i/>
          <w:noProof/>
          <w:color w:val="000000"/>
          <w:lang w:val="en-US"/>
        </w:rPr>
        <w:t>66</w:t>
      </w:r>
      <w:r w:rsidRPr="009D48FF">
        <w:rPr>
          <w:noProof/>
          <w:color w:val="000000"/>
          <w:lang w:val="en-US"/>
        </w:rPr>
        <w:t xml:space="preserve">(5), 574-578. </w:t>
      </w:r>
      <w:hyperlink r:id="rId31">
        <w:r w:rsidRPr="009D48FF">
          <w:rPr>
            <w:rStyle w:val="Hipervnculo"/>
            <w:noProof/>
            <w:lang w:val="en-US"/>
          </w:rPr>
          <w:t>http://europepmc.org/abstract/med/27183939</w:t>
        </w:r>
      </w:hyperlink>
    </w:p>
    <w:p w14:paraId="70272D26"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pt-BR"/>
        </w:rPr>
        <w:t xml:space="preserve">Ba, Y., &amp; Zhang, W. (2011, Julho). </w:t>
      </w:r>
      <w:r w:rsidRPr="009D48FF">
        <w:rPr>
          <w:i/>
          <w:noProof/>
          <w:color w:val="000000"/>
          <w:lang w:val="en-US"/>
        </w:rPr>
        <w:t xml:space="preserve">A review of driver mental workload in driver-vehicle-environment system. </w:t>
      </w:r>
      <w:r w:rsidRPr="009D48FF">
        <w:rPr>
          <w:noProof/>
          <w:color w:val="000000"/>
          <w:lang w:val="en-US"/>
        </w:rPr>
        <w:t xml:space="preserve">Lecture Notes in Computer Science (including subseries Lecture Notes in Artificial Intelligence and Lecture Notes in Bioinformatics), San Jose, CA. </w:t>
      </w:r>
      <w:hyperlink r:id="rId32" w:anchor="page=143">
        <w:r w:rsidRPr="009D48FF">
          <w:rPr>
            <w:rStyle w:val="Hipervnculo"/>
            <w:noProof/>
            <w:lang w:val="pt-BR"/>
          </w:rPr>
          <w:t>https://link.springer.com/content/pdf/10.1007/978-3-642-21660-2.pdf#page=143</w:t>
        </w:r>
      </w:hyperlink>
    </w:p>
    <w:p w14:paraId="29FC0C35"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pt-BR"/>
        </w:rPr>
        <w:t xml:space="preserve">Bara, L., Alessandra, L. M., Meloni, L., Giusino, D., &amp; Pietrantoni, L. (2021). </w:t>
      </w:r>
      <w:r w:rsidRPr="009D48FF">
        <w:rPr>
          <w:noProof/>
          <w:color w:val="000000"/>
          <w:lang w:val="en-US"/>
        </w:rPr>
        <w:t xml:space="preserve">Assessment Methods of Usability and Cognitive Workload of Rehabilitative Exoskeletons: A Systematic Review. </w:t>
      </w:r>
      <w:r w:rsidRPr="003E4935">
        <w:rPr>
          <w:i/>
          <w:noProof/>
          <w:color w:val="000000"/>
          <w:lang w:val="en-US"/>
        </w:rPr>
        <w:t>Applied Sciences, 11</w:t>
      </w:r>
      <w:r w:rsidRPr="009D48FF">
        <w:rPr>
          <w:noProof/>
          <w:color w:val="000000"/>
          <w:lang w:val="en-US"/>
        </w:rPr>
        <w:t>(15), 7146.</w:t>
      </w:r>
      <w:r w:rsidRPr="009D48FF">
        <w:rPr>
          <w:noProof/>
          <w:color w:val="000000"/>
          <w:u w:val="single"/>
          <w:lang w:val="en-US"/>
        </w:rPr>
        <w:t xml:space="preserve"> </w:t>
      </w:r>
      <w:hyperlink r:id="rId33">
        <w:r w:rsidRPr="009D48FF">
          <w:rPr>
            <w:rStyle w:val="Hipervnculo"/>
            <w:noProof/>
            <w:lang w:val="en-US"/>
          </w:rPr>
          <w:t>https://doi.org/10.3390/app11157146</w:t>
        </w:r>
      </w:hyperlink>
    </w:p>
    <w:p w14:paraId="456D26F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Braarud, P. Ø. (2021). Investigating the validity of subjective workload rating (NASA TLX) and subjective situation awareness rating (SART) for cognitively complex human–machine work. </w:t>
      </w:r>
      <w:r w:rsidRPr="009D48FF">
        <w:rPr>
          <w:i/>
          <w:iCs/>
          <w:noProof/>
          <w:color w:val="000000"/>
          <w:lang w:val="en-US"/>
        </w:rPr>
        <w:t>International Journal of Industrial Ergonomics</w:t>
      </w:r>
      <w:r w:rsidRPr="009D48FF">
        <w:rPr>
          <w:noProof/>
          <w:color w:val="000000"/>
          <w:lang w:val="en-US"/>
        </w:rPr>
        <w:t xml:space="preserve">, 86, 103233. </w:t>
      </w:r>
      <w:hyperlink r:id="rId34">
        <w:r w:rsidRPr="009D48FF">
          <w:rPr>
            <w:rStyle w:val="Hipervnculo"/>
            <w:noProof/>
            <w:lang w:val="en-US"/>
          </w:rPr>
          <w:t>https://doi.org/10.1016/j.ergon.2021.103233</w:t>
        </w:r>
      </w:hyperlink>
    </w:p>
    <w:p w14:paraId="077BD5A7"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lastRenderedPageBreak/>
        <w:t xml:space="preserve">Braarud, P. Ø. (2020). An efficient screening technique for acceptable mental workload based on the NASA Task Load Index—development and application to control room validation. </w:t>
      </w:r>
      <w:r w:rsidRPr="009D48FF">
        <w:rPr>
          <w:i/>
          <w:iCs/>
          <w:noProof/>
          <w:color w:val="000000"/>
          <w:lang w:val="en-US"/>
        </w:rPr>
        <w:t>International Journal of Industrial Ergonomics</w:t>
      </w:r>
      <w:r w:rsidRPr="009D48FF">
        <w:rPr>
          <w:noProof/>
          <w:color w:val="000000"/>
          <w:lang w:val="en-US"/>
        </w:rPr>
        <w:t xml:space="preserve">, 76, 102904. </w:t>
      </w:r>
      <w:hyperlink r:id="rId35">
        <w:r w:rsidRPr="009D48FF">
          <w:rPr>
            <w:rStyle w:val="Hipervnculo"/>
            <w:noProof/>
            <w:lang w:val="en-US"/>
          </w:rPr>
          <w:t>https://doi.org/10.1016/j.ergon.2019.102904</w:t>
        </w:r>
      </w:hyperlink>
    </w:p>
    <w:p w14:paraId="34C022F0"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en-US"/>
        </w:rPr>
        <w:t xml:space="preserve">Bridger, R. S., &amp; Brasher, K. (2011). Cognitive task demands, self-control demands and the mental well-being of office workers. </w:t>
      </w:r>
      <w:r w:rsidRPr="003E4935">
        <w:rPr>
          <w:i/>
          <w:noProof/>
          <w:color w:val="000000"/>
          <w:lang w:val="pt-BR"/>
        </w:rPr>
        <w:t>Ergonomics, 54</w:t>
      </w:r>
      <w:r w:rsidRPr="009D48FF">
        <w:rPr>
          <w:noProof/>
          <w:color w:val="000000"/>
          <w:lang w:val="pt-BR"/>
        </w:rPr>
        <w:t xml:space="preserve">(9), 830-839. </w:t>
      </w:r>
      <w:hyperlink r:id="rId36">
        <w:r w:rsidRPr="009D48FF">
          <w:rPr>
            <w:rStyle w:val="Hipervnculo"/>
            <w:noProof/>
            <w:lang w:val="pt-BR"/>
          </w:rPr>
          <w:t>https://doi.org/10.1080/00140139.2011.596948</w:t>
        </w:r>
      </w:hyperlink>
    </w:p>
    <w:p w14:paraId="4A091EAA"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s-CO"/>
        </w:rPr>
      </w:pPr>
      <w:r w:rsidRPr="009D48FF">
        <w:rPr>
          <w:noProof/>
          <w:color w:val="000000"/>
          <w:lang w:val="pt-BR"/>
        </w:rPr>
        <w:t xml:space="preserve">Ceballos-Vásquez, P., Paravic Klijn, T., Burgos Moreno, M., &amp; Barriga, O. (2014). </w:t>
      </w:r>
      <w:r w:rsidRPr="009D48FF">
        <w:rPr>
          <w:noProof/>
          <w:color w:val="000000"/>
          <w:lang w:val="es-CO"/>
        </w:rPr>
        <w:t>Validación de Escala Subjetiva de Carga Mental de Trabajo en funcionarios/as universitarios. </w:t>
      </w:r>
      <w:r w:rsidRPr="009D48FF">
        <w:rPr>
          <w:i/>
          <w:noProof/>
          <w:color w:val="000000"/>
          <w:lang w:val="es-CO"/>
        </w:rPr>
        <w:t>Ciencia y enfermería</w:t>
      </w:r>
      <w:r w:rsidRPr="009D48FF">
        <w:rPr>
          <w:noProof/>
          <w:color w:val="000000"/>
          <w:lang w:val="es-CO"/>
        </w:rPr>
        <w:t>, </w:t>
      </w:r>
      <w:r w:rsidRPr="009D48FF">
        <w:rPr>
          <w:i/>
          <w:noProof/>
          <w:color w:val="000000"/>
          <w:lang w:val="es-CO"/>
        </w:rPr>
        <w:t>20</w:t>
      </w:r>
      <w:r w:rsidRPr="009D48FF">
        <w:rPr>
          <w:noProof/>
          <w:color w:val="000000"/>
          <w:lang w:val="es-CO"/>
        </w:rPr>
        <w:t xml:space="preserve">(2), 73-82. </w:t>
      </w:r>
      <w:hyperlink r:id="rId37">
        <w:r w:rsidRPr="009D48FF">
          <w:rPr>
            <w:rStyle w:val="Hipervnculo"/>
            <w:noProof/>
            <w:lang w:val="es-CO"/>
          </w:rPr>
          <w:t>https://doi.org/10.4067/S0034988720120009008</w:t>
        </w:r>
      </w:hyperlink>
    </w:p>
    <w:p w14:paraId="5AEA328D"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s-CO"/>
        </w:rPr>
        <w:t>Ceballos-Vásquez, P., Rolo-González, G., Hernández-Fernaud, E., Díaz-Cabrera, D., Paravic-Klijn, T., Burgos-Moreno, M., &amp; Barriga, O. (2016). Validación de la Escala Subjetiva de Carga mental de trabajo (ESCAM) en profesionales de la salud de Chile. </w:t>
      </w:r>
      <w:r w:rsidRPr="009D48FF">
        <w:rPr>
          <w:i/>
          <w:noProof/>
          <w:color w:val="000000"/>
          <w:lang w:val="en-US"/>
        </w:rPr>
        <w:t>Universitas Psychologica</w:t>
      </w:r>
      <w:r w:rsidRPr="009D48FF">
        <w:rPr>
          <w:noProof/>
          <w:color w:val="000000"/>
          <w:lang w:val="en-US"/>
        </w:rPr>
        <w:t>, </w:t>
      </w:r>
      <w:r w:rsidRPr="009D48FF">
        <w:rPr>
          <w:i/>
          <w:noProof/>
          <w:color w:val="000000"/>
          <w:lang w:val="en-US"/>
        </w:rPr>
        <w:t>15</w:t>
      </w:r>
      <w:r w:rsidRPr="009D48FF">
        <w:rPr>
          <w:noProof/>
          <w:color w:val="000000"/>
          <w:lang w:val="en-US"/>
        </w:rPr>
        <w:t xml:space="preserve">(1), 261-270. </w:t>
      </w:r>
      <w:hyperlink r:id="rId38">
        <w:r w:rsidRPr="009D48FF">
          <w:rPr>
            <w:rStyle w:val="Hipervnculo"/>
            <w:noProof/>
            <w:lang w:val="en-US"/>
          </w:rPr>
          <w:t>https://doi.org/10.11144/Javeriana.upsy15-1.vsmw</w:t>
        </w:r>
      </w:hyperlink>
    </w:p>
    <w:p w14:paraId="65A24069"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Charles, R. L., &amp; Nixon, J. (2019). Measuring mental workload using psysiological measures: A systematic review. </w:t>
      </w:r>
      <w:r w:rsidRPr="009D48FF">
        <w:rPr>
          <w:i/>
          <w:noProof/>
          <w:color w:val="000000"/>
          <w:lang w:val="en-US"/>
        </w:rPr>
        <w:t xml:space="preserve">Applied ergonomics, </w:t>
      </w:r>
      <w:r w:rsidRPr="009D48FF">
        <w:rPr>
          <w:noProof/>
          <w:color w:val="000000"/>
          <w:lang w:val="en-US"/>
        </w:rPr>
        <w:t xml:space="preserve">74, 221-232. </w:t>
      </w:r>
      <w:hyperlink r:id="rId39">
        <w:r w:rsidRPr="009D48FF">
          <w:rPr>
            <w:rStyle w:val="Hipervnculo"/>
            <w:noProof/>
            <w:lang w:val="en-US"/>
          </w:rPr>
          <w:t>https://doi.org/10.1016/j.apergo.2018.08.028</w:t>
        </w:r>
      </w:hyperlink>
    </w:p>
    <w:p w14:paraId="1C8DD948"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Dai, J., Wang, H., Yang, L., Cao, X., Wang, C., Gao, Z., Hu, W., &amp; Wen, Z. (2021). The effects of emotional trait factors on simulated flight performance under an acute psychological stress situation. </w:t>
      </w:r>
      <w:r w:rsidRPr="009D48FF">
        <w:rPr>
          <w:i/>
          <w:iCs/>
          <w:noProof/>
          <w:color w:val="000000"/>
          <w:lang w:val="en-US"/>
        </w:rPr>
        <w:t>International journal of occupational safety and ergonomics</w:t>
      </w:r>
      <w:r w:rsidRPr="009D48FF">
        <w:rPr>
          <w:noProof/>
          <w:color w:val="000000"/>
          <w:lang w:val="en-US"/>
        </w:rPr>
        <w:t xml:space="preserve">, 1-8. </w:t>
      </w:r>
      <w:hyperlink r:id="rId40">
        <w:r w:rsidRPr="009D48FF">
          <w:rPr>
            <w:rStyle w:val="Hipervnculo"/>
            <w:noProof/>
            <w:lang w:val="en-US"/>
          </w:rPr>
          <w:t>https://doi.org/10.1080/10803548.2021.1994750</w:t>
        </w:r>
      </w:hyperlink>
    </w:p>
    <w:p w14:paraId="08D57088"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Devos, H., Gustafson, K., Ahmadnezhad, P., Liao, K., Mahnken, J. D., Brooks, W. M., &amp; Burns, J. M. (2020). Psychometric properties of NASA-TLX and Index of Cognitive Activity as measures of cognitive workload in older adults. </w:t>
      </w:r>
      <w:r w:rsidRPr="009D48FF">
        <w:rPr>
          <w:i/>
          <w:iCs/>
          <w:noProof/>
          <w:color w:val="000000"/>
          <w:lang w:val="en-US"/>
        </w:rPr>
        <w:t>Brain Sciences</w:t>
      </w:r>
      <w:r w:rsidRPr="003E4935">
        <w:rPr>
          <w:i/>
          <w:noProof/>
          <w:color w:val="000000"/>
          <w:lang w:val="en-US"/>
        </w:rPr>
        <w:t>, 10</w:t>
      </w:r>
      <w:r w:rsidRPr="009D48FF">
        <w:rPr>
          <w:noProof/>
          <w:color w:val="000000"/>
          <w:lang w:val="en-US"/>
        </w:rPr>
        <w:t xml:space="preserve">(12), 994. </w:t>
      </w:r>
      <w:hyperlink r:id="rId41">
        <w:r w:rsidRPr="009D48FF">
          <w:rPr>
            <w:rStyle w:val="Hipervnculo"/>
            <w:noProof/>
            <w:lang w:val="en-US"/>
          </w:rPr>
          <w:t>https://doi.org/10.3390/brainsci10120994</w:t>
        </w:r>
      </w:hyperlink>
    </w:p>
    <w:p w14:paraId="7F4ACEEB"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Digiesi, S., Manghisi, V. M., Facchini, F., Klose, E. M., Foglia, M. M., &amp; Mummolo, C. (2020). Heart rate variability based assessment of cognitive workload in smart operators. </w:t>
      </w:r>
      <w:r w:rsidRPr="009D48FF">
        <w:rPr>
          <w:i/>
          <w:iCs/>
          <w:noProof/>
          <w:color w:val="000000"/>
          <w:lang w:val="en-US"/>
        </w:rPr>
        <w:t>Management and Production Engineering Review</w:t>
      </w:r>
      <w:r w:rsidRPr="009D48FF">
        <w:rPr>
          <w:noProof/>
          <w:color w:val="000000"/>
          <w:lang w:val="en-US"/>
        </w:rPr>
        <w:t xml:space="preserve">, 11. </w:t>
      </w:r>
      <w:hyperlink r:id="rId42">
        <w:r w:rsidRPr="009D48FF">
          <w:rPr>
            <w:rStyle w:val="Hipervnculo"/>
            <w:noProof/>
            <w:lang w:val="en-US"/>
          </w:rPr>
          <w:t>https://doi.org/10.24425/mper.2020.134932</w:t>
        </w:r>
      </w:hyperlink>
    </w:p>
    <w:p w14:paraId="73F1127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Fallahi, M., Motamedzade, M., Heidarimoghadam, R., Soltanian, A. R., &amp; Miyake, S. (2016). Assessment of operators’ mental workload using physiological and subjective measures in cement, city traffic and power plant control centers. </w:t>
      </w:r>
      <w:r w:rsidRPr="009D48FF">
        <w:rPr>
          <w:i/>
          <w:noProof/>
          <w:color w:val="000000"/>
          <w:lang w:val="en-US"/>
        </w:rPr>
        <w:t xml:space="preserve">Health </w:t>
      </w:r>
      <w:r w:rsidRPr="009D48FF">
        <w:rPr>
          <w:i/>
          <w:noProof/>
          <w:color w:val="000000"/>
          <w:lang w:val="en-US"/>
        </w:rPr>
        <w:lastRenderedPageBreak/>
        <w:t>promotion perspectives</w:t>
      </w:r>
      <w:r w:rsidRPr="009D48FF">
        <w:rPr>
          <w:noProof/>
          <w:color w:val="000000"/>
          <w:lang w:val="en-US"/>
        </w:rPr>
        <w:t>, </w:t>
      </w:r>
      <w:r w:rsidRPr="009D48FF">
        <w:rPr>
          <w:i/>
          <w:noProof/>
          <w:color w:val="000000"/>
          <w:lang w:val="en-US"/>
        </w:rPr>
        <w:t>6</w:t>
      </w:r>
      <w:r w:rsidRPr="009D48FF">
        <w:rPr>
          <w:noProof/>
          <w:color w:val="000000"/>
          <w:lang w:val="en-US"/>
        </w:rPr>
        <w:t xml:space="preserve">(2), 96. </w:t>
      </w:r>
      <w:hyperlink r:id="rId43">
        <w:r w:rsidRPr="009D48FF">
          <w:rPr>
            <w:rStyle w:val="Hipervnculo"/>
            <w:noProof/>
            <w:lang w:val="en-US"/>
          </w:rPr>
          <w:t>https://doi.org/10.15171/hpp.2016.17</w:t>
        </w:r>
      </w:hyperlink>
    </w:p>
    <w:p w14:paraId="025D69AC"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s-CO"/>
        </w:rPr>
      </w:pPr>
      <w:r w:rsidRPr="009D48FF">
        <w:rPr>
          <w:noProof/>
          <w:color w:val="000000"/>
          <w:lang w:val="en-US"/>
        </w:rPr>
        <w:t xml:space="preserve">Ferrer, R., &amp; Dalmau, I. (2004). </w:t>
      </w:r>
      <w:r w:rsidRPr="009D48FF">
        <w:rPr>
          <w:noProof/>
          <w:color w:val="000000"/>
          <w:lang w:val="es-CO"/>
        </w:rPr>
        <w:t xml:space="preserve">Revisión del concepto de carga mental: Evaluación, consecuencias y proceso de normalización. </w:t>
      </w:r>
      <w:r w:rsidRPr="009D48FF">
        <w:rPr>
          <w:i/>
          <w:noProof/>
          <w:color w:val="000000"/>
          <w:lang w:val="es-CO"/>
        </w:rPr>
        <w:t>Anuario de Psicología, 35</w:t>
      </w:r>
      <w:r w:rsidRPr="009D48FF">
        <w:rPr>
          <w:noProof/>
          <w:color w:val="000000"/>
          <w:lang w:val="es-CO"/>
        </w:rPr>
        <w:t xml:space="preserve">(4), 521-545. </w:t>
      </w:r>
      <w:hyperlink r:id="rId44">
        <w:r w:rsidRPr="009D48FF">
          <w:rPr>
            <w:rStyle w:val="Hipervnculo"/>
            <w:noProof/>
            <w:lang w:val="es-CO"/>
          </w:rPr>
          <w:t>https://dialnet.unirioja.es/servlet/articulo?codigo=1119140</w:t>
        </w:r>
      </w:hyperlink>
    </w:p>
    <w:p w14:paraId="54AB9F42"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pt-BR"/>
        </w:rPr>
      </w:pPr>
      <w:r w:rsidRPr="009D48FF">
        <w:rPr>
          <w:noProof/>
          <w:color w:val="000000"/>
          <w:lang w:val="pt-BR"/>
        </w:rPr>
        <w:t>Frutuoso, J.T., &amp; Cruz, R. M. (2005). Mensuração da carga de trabalho e sua relação com a saúde do trabalhador.</w:t>
      </w:r>
      <w:r w:rsidRPr="009D48FF">
        <w:rPr>
          <w:i/>
          <w:noProof/>
          <w:color w:val="000000"/>
          <w:lang w:val="pt-BR"/>
        </w:rPr>
        <w:t xml:space="preserve"> Revista Brasileira de Medicina do Trabalho</w:t>
      </w:r>
      <w:r w:rsidRPr="003E4935">
        <w:rPr>
          <w:i/>
          <w:noProof/>
          <w:color w:val="000000"/>
          <w:lang w:val="pt-BR"/>
        </w:rPr>
        <w:t>, 3</w:t>
      </w:r>
      <w:r w:rsidRPr="009D48FF">
        <w:rPr>
          <w:noProof/>
          <w:color w:val="000000"/>
          <w:lang w:val="pt-BR"/>
        </w:rPr>
        <w:t xml:space="preserve">(1), 29-36. </w:t>
      </w:r>
      <w:hyperlink r:id="rId45">
        <w:r w:rsidRPr="009D48FF">
          <w:rPr>
            <w:rStyle w:val="Hipervnculo"/>
            <w:noProof/>
            <w:lang w:val="pt-BR"/>
          </w:rPr>
          <w:t>http://www.rbmt.org.br/details/166/pt-BR/work-load-evaluation-and-its-relation-with-workers--health-conditions</w:t>
        </w:r>
      </w:hyperlink>
    </w:p>
    <w:p w14:paraId="57099486"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pt-BR"/>
        </w:rPr>
        <w:t>Galvão, T. F., Pansani, T. D. S. A., &amp; Harrad, D. (2015). Principais itens para relatar Revisões sistemáticas e Meta-análises: A recomendação PRISMA. </w:t>
      </w:r>
      <w:r w:rsidRPr="009D48FF">
        <w:rPr>
          <w:i/>
          <w:iCs/>
          <w:noProof/>
          <w:color w:val="000000"/>
          <w:lang w:val="pt-BR"/>
        </w:rPr>
        <w:t>Epidemiologia e serviços de saúde</w:t>
      </w:r>
      <w:r w:rsidRPr="009D48FF">
        <w:rPr>
          <w:noProof/>
          <w:color w:val="000000"/>
          <w:lang w:val="pt-BR"/>
        </w:rPr>
        <w:t xml:space="preserve">, 24, 335-342. </w:t>
      </w:r>
      <w:hyperlink r:id="rId46">
        <w:r w:rsidRPr="009D48FF">
          <w:rPr>
            <w:rStyle w:val="Hipervnculo"/>
            <w:noProof/>
            <w:lang w:val="pt-BR"/>
          </w:rPr>
          <w:t>https://doi.org/10.5123/S1679-49742015000200017</w:t>
        </w:r>
      </w:hyperlink>
    </w:p>
    <w:p w14:paraId="2593B897" w14:textId="0625D63A"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pt-BR"/>
        </w:rPr>
        <w:t xml:space="preserve">Galy, E. (2020). </w:t>
      </w:r>
      <w:r w:rsidRPr="009D48FF">
        <w:rPr>
          <w:noProof/>
          <w:color w:val="000000"/>
          <w:lang w:val="en-US"/>
        </w:rPr>
        <w:t xml:space="preserve">A multidimensional scale of mental workload evaluation based on Individual–Workload–Activity (IWA) model: validation and relationships with job satisfaction. </w:t>
      </w:r>
      <w:r w:rsidRPr="003E4935">
        <w:rPr>
          <w:i/>
          <w:noProof/>
          <w:color w:val="000000"/>
          <w:lang w:val="en-US"/>
        </w:rPr>
        <w:t>Tutorials in Quantitative Methods for Psychology,</w:t>
      </w:r>
      <w:r w:rsidRPr="009D48FF">
        <w:rPr>
          <w:noProof/>
          <w:color w:val="000000"/>
          <w:lang w:val="en-US"/>
        </w:rPr>
        <w:t xml:space="preserve"> 16, 240-252. </w:t>
      </w:r>
      <w:hyperlink r:id="rId47" w:history="1">
        <w:r w:rsidR="003E4935" w:rsidRPr="00967664">
          <w:rPr>
            <w:rStyle w:val="Hipervnculo"/>
            <w:noProof/>
            <w:lang w:val="en-US"/>
          </w:rPr>
          <w:t>https://doi.org/10.20982/tqmp.16.3.p240</w:t>
        </w:r>
      </w:hyperlink>
      <w:r w:rsidR="003E4935">
        <w:rPr>
          <w:noProof/>
          <w:color w:val="000000"/>
          <w:lang w:val="en-US"/>
        </w:rPr>
        <w:t xml:space="preserve"> </w:t>
      </w:r>
    </w:p>
    <w:p w14:paraId="2F1D3F84" w14:textId="18847682" w:rsidR="009D48FF" w:rsidRPr="009D48FF" w:rsidRDefault="009D48FF" w:rsidP="009D48FF">
      <w:pPr>
        <w:widowControl w:val="0"/>
        <w:autoSpaceDE w:val="0"/>
        <w:autoSpaceDN w:val="0"/>
        <w:adjustRightInd w:val="0"/>
        <w:spacing w:line="360" w:lineRule="auto"/>
        <w:ind w:left="480" w:hanging="480"/>
        <w:jc w:val="both"/>
        <w:rPr>
          <w:noProof/>
          <w:color w:val="000000"/>
          <w:lang w:val="es-CO"/>
        </w:rPr>
      </w:pPr>
      <w:r w:rsidRPr="009D48FF">
        <w:rPr>
          <w:noProof/>
          <w:color w:val="000000"/>
          <w:lang w:val="en-US"/>
        </w:rPr>
        <w:t xml:space="preserve">Ghanavati, F. K., Choobineh, A., Keshavarzi, S., Nasihatkon, A. A., &amp; Roodbandi, A. S. J. (2019). Assessment of mental workload and its association with work ability in control room operators. </w:t>
      </w:r>
      <w:r w:rsidRPr="003E4935">
        <w:rPr>
          <w:i/>
          <w:noProof/>
          <w:color w:val="000000"/>
          <w:lang w:val="es-CO"/>
        </w:rPr>
        <w:t>La Medicina del lavoro, 110</w:t>
      </w:r>
      <w:r w:rsidRPr="009D48FF">
        <w:rPr>
          <w:noProof/>
          <w:color w:val="000000"/>
          <w:lang w:val="es-CO"/>
        </w:rPr>
        <w:t xml:space="preserve">(5), 389. </w:t>
      </w:r>
      <w:hyperlink r:id="rId48" w:history="1">
        <w:r w:rsidR="003E4935" w:rsidRPr="00967664">
          <w:rPr>
            <w:rStyle w:val="Hipervnculo"/>
            <w:noProof/>
            <w:lang w:val="es-CO"/>
          </w:rPr>
          <w:t>https://doi.org/10.23749/mdl.v110i5.8115</w:t>
        </w:r>
      </w:hyperlink>
      <w:r w:rsidR="003E4935">
        <w:rPr>
          <w:noProof/>
          <w:color w:val="000000"/>
          <w:lang w:val="es-CO"/>
        </w:rPr>
        <w:t xml:space="preserve"> </w:t>
      </w:r>
    </w:p>
    <w:p w14:paraId="101A6972" w14:textId="5A750D8B"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s-CO"/>
        </w:rPr>
        <w:t xml:space="preserve">Guru, K. A., Shafiei, S. B., Khan, A., Hussein, A. A., Sharif, M., &amp; Esfahani, E. T. (2015). </w:t>
      </w:r>
      <w:r w:rsidRPr="009D48FF">
        <w:rPr>
          <w:noProof/>
          <w:color w:val="000000"/>
          <w:lang w:val="en-US"/>
        </w:rPr>
        <w:t>Understanding cognitive performance during robot-assisted surgery. </w:t>
      </w:r>
      <w:r w:rsidRPr="009D48FF">
        <w:rPr>
          <w:i/>
          <w:noProof/>
          <w:color w:val="000000"/>
          <w:lang w:val="en-US"/>
        </w:rPr>
        <w:t>Urology</w:t>
      </w:r>
      <w:r w:rsidRPr="009D48FF">
        <w:rPr>
          <w:noProof/>
          <w:color w:val="000000"/>
          <w:lang w:val="en-US"/>
        </w:rPr>
        <w:t>, </w:t>
      </w:r>
      <w:r w:rsidRPr="009D48FF">
        <w:rPr>
          <w:i/>
          <w:noProof/>
          <w:color w:val="000000"/>
          <w:lang w:val="en-US"/>
        </w:rPr>
        <w:t>86</w:t>
      </w:r>
      <w:r w:rsidRPr="009D48FF">
        <w:rPr>
          <w:noProof/>
          <w:color w:val="000000"/>
          <w:lang w:val="en-US"/>
        </w:rPr>
        <w:t xml:space="preserve">(4), 751-757. </w:t>
      </w:r>
      <w:hyperlink r:id="rId49" w:history="1">
        <w:r w:rsidR="003E4935" w:rsidRPr="00967664">
          <w:rPr>
            <w:rStyle w:val="Hipervnculo"/>
            <w:noProof/>
            <w:lang w:val="en-US"/>
          </w:rPr>
          <w:t>https://doi.org/10.1016/j.urology.2015.07.028</w:t>
        </w:r>
      </w:hyperlink>
      <w:r w:rsidR="003E4935">
        <w:rPr>
          <w:noProof/>
          <w:color w:val="000000"/>
          <w:lang w:val="en-US"/>
        </w:rPr>
        <w:t xml:space="preserve"> </w:t>
      </w:r>
    </w:p>
    <w:p w14:paraId="604C009F"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Hart, S. G., &amp; Staveland, L. (1988). Development of the NASA task load index (TLX): Results of empirical and theoretical research. Human mental workload. </w:t>
      </w:r>
      <w:r w:rsidRPr="009D48FF">
        <w:rPr>
          <w:iCs/>
          <w:noProof/>
          <w:color w:val="000000"/>
          <w:lang w:val="en-US"/>
        </w:rPr>
        <w:t>Amsterdam: North-Holland. Holland MA, Ziavra NV, Bronstein AM (2004) A new paradigm to investigate the roles of head and eye movements in coordination of whole-body movements.</w:t>
      </w:r>
      <w:r w:rsidRPr="009D48FF">
        <w:rPr>
          <w:i/>
          <w:noProof/>
          <w:color w:val="000000"/>
          <w:lang w:val="en-US"/>
        </w:rPr>
        <w:t xml:space="preserve"> Exp Brain Res</w:t>
      </w:r>
      <w:r w:rsidRPr="009D48FF">
        <w:rPr>
          <w:noProof/>
          <w:color w:val="000000"/>
          <w:lang w:val="en-US"/>
        </w:rPr>
        <w:t>, </w:t>
      </w:r>
      <w:r w:rsidRPr="009D48FF">
        <w:rPr>
          <w:i/>
          <w:noProof/>
          <w:color w:val="000000"/>
          <w:lang w:val="en-US"/>
        </w:rPr>
        <w:t>154</w:t>
      </w:r>
      <w:r w:rsidRPr="009D48FF">
        <w:rPr>
          <w:noProof/>
          <w:color w:val="000000"/>
          <w:lang w:val="en-US"/>
        </w:rPr>
        <w:t xml:space="preserve">, 261-266. </w:t>
      </w:r>
      <w:hyperlink r:id="rId50">
        <w:r w:rsidRPr="009D48FF">
          <w:rPr>
            <w:rStyle w:val="Hipervnculo"/>
            <w:noProof/>
            <w:lang w:val="en-US"/>
          </w:rPr>
          <w:t>https://doi.org/10.1016/S0166-4115(08)62386-9</w:t>
        </w:r>
      </w:hyperlink>
    </w:p>
    <w:p w14:paraId="5EC0B52B"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Heidarimoghadam, R., Saidnia, H., Joudaki, J., Mohammadi, Y., &amp; Babamiri, M. (2019). Does mental workload can lead to musculoskeletal disorders in healthcare office workers? Suggest and investigate a path. Cogent Psychology, 6(1), 1664205. </w:t>
      </w:r>
      <w:hyperlink r:id="rId51">
        <w:r w:rsidRPr="009D48FF">
          <w:rPr>
            <w:rStyle w:val="Hipervnculo"/>
            <w:noProof/>
            <w:lang w:val="en-US"/>
          </w:rPr>
          <w:t>https://doi.org/10.1080/23311908.2019.1664205</w:t>
        </w:r>
      </w:hyperlink>
    </w:p>
    <w:p w14:paraId="21F3118F" w14:textId="4CF3678B"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Helton, W. S., Funke, G. J., &amp; Knott, B. A. (2014). Measuring workload in collaborative </w:t>
      </w:r>
      <w:r w:rsidRPr="009D48FF">
        <w:rPr>
          <w:noProof/>
          <w:color w:val="000000"/>
          <w:lang w:val="en-US"/>
        </w:rPr>
        <w:lastRenderedPageBreak/>
        <w:t>contexts: trait versus state perspectives. </w:t>
      </w:r>
      <w:r w:rsidRPr="009D48FF">
        <w:rPr>
          <w:i/>
          <w:noProof/>
          <w:color w:val="000000"/>
          <w:lang w:val="en-US"/>
        </w:rPr>
        <w:t>Human factors</w:t>
      </w:r>
      <w:r w:rsidRPr="009D48FF">
        <w:rPr>
          <w:noProof/>
          <w:color w:val="000000"/>
          <w:lang w:val="en-US"/>
        </w:rPr>
        <w:t>, </w:t>
      </w:r>
      <w:r w:rsidRPr="009D48FF">
        <w:rPr>
          <w:i/>
          <w:noProof/>
          <w:color w:val="000000"/>
          <w:lang w:val="en-US"/>
        </w:rPr>
        <w:t>56</w:t>
      </w:r>
      <w:r w:rsidRPr="009D48FF">
        <w:rPr>
          <w:noProof/>
          <w:color w:val="000000"/>
          <w:lang w:val="en-US"/>
        </w:rPr>
        <w:t xml:space="preserve">(2), 322-332. </w:t>
      </w:r>
      <w:hyperlink r:id="rId52" w:history="1">
        <w:r w:rsidR="003E4935" w:rsidRPr="00967664">
          <w:rPr>
            <w:rStyle w:val="Hipervnculo"/>
            <w:noProof/>
            <w:lang w:val="en-US"/>
          </w:rPr>
          <w:t>https://doi.org/10.1177/0018720813490727</w:t>
        </w:r>
      </w:hyperlink>
      <w:r w:rsidR="003E4935">
        <w:rPr>
          <w:noProof/>
          <w:color w:val="000000"/>
          <w:lang w:val="en-US"/>
        </w:rPr>
        <w:t xml:space="preserve"> </w:t>
      </w:r>
    </w:p>
    <w:p w14:paraId="04F553C0"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Horat, S. K., Herrmann, F. R., Favre, G., Terzis, J., Debatisse, D., Merlo, M. C., &amp; Missonnier, P. (2016). Assessment of mental workload: a new electrophysiological method based on intra-block averaging of ERP amplitudes. </w:t>
      </w:r>
      <w:r w:rsidRPr="009D48FF">
        <w:rPr>
          <w:i/>
          <w:noProof/>
          <w:color w:val="000000"/>
          <w:lang w:val="en-US"/>
        </w:rPr>
        <w:t>Neuropsychologia</w:t>
      </w:r>
      <w:r w:rsidRPr="009D48FF">
        <w:rPr>
          <w:noProof/>
          <w:color w:val="000000"/>
          <w:lang w:val="en-US"/>
        </w:rPr>
        <w:t>, </w:t>
      </w:r>
      <w:r w:rsidRPr="009D48FF">
        <w:rPr>
          <w:i/>
          <w:noProof/>
          <w:color w:val="000000"/>
          <w:lang w:val="en-US"/>
        </w:rPr>
        <w:t>82</w:t>
      </w:r>
      <w:r w:rsidRPr="009D48FF">
        <w:rPr>
          <w:noProof/>
          <w:color w:val="000000"/>
          <w:lang w:val="en-US"/>
        </w:rPr>
        <w:t xml:space="preserve">, 11-17. </w:t>
      </w:r>
      <w:hyperlink r:id="rId53">
        <w:r w:rsidRPr="009D48FF">
          <w:rPr>
            <w:rStyle w:val="Hipervnculo"/>
            <w:noProof/>
            <w:lang w:val="en-US"/>
          </w:rPr>
          <w:t>https://doi.org/10.1016/j.neuropsychologia.2015.12.013</w:t>
        </w:r>
      </w:hyperlink>
    </w:p>
    <w:p w14:paraId="529A9416"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Li, J. Q., Zhang, H. Y., Zhang, Y., &amp; Liu, H. T. (2018). Systematic assessment of intrinsic factors influencing visual attention performances in air traffic control via clustering algorithm and statistical inference. </w:t>
      </w:r>
      <w:r w:rsidRPr="009D48FF">
        <w:rPr>
          <w:i/>
          <w:noProof/>
          <w:color w:val="000000"/>
          <w:lang w:val="en-US"/>
        </w:rPr>
        <w:t>Plos one</w:t>
      </w:r>
      <w:r w:rsidRPr="003E4935">
        <w:rPr>
          <w:i/>
          <w:noProof/>
          <w:color w:val="000000"/>
          <w:lang w:val="en-US"/>
        </w:rPr>
        <w:t>, 13</w:t>
      </w:r>
      <w:r w:rsidRPr="009D48FF">
        <w:rPr>
          <w:noProof/>
          <w:color w:val="000000"/>
          <w:lang w:val="en-US"/>
        </w:rPr>
        <w:t xml:space="preserve">(10), e0205334. </w:t>
      </w:r>
      <w:hyperlink r:id="rId54">
        <w:r w:rsidRPr="009D48FF">
          <w:rPr>
            <w:rStyle w:val="Hipervnculo"/>
            <w:noProof/>
            <w:lang w:val="en-US"/>
          </w:rPr>
          <w:t>https://doi.org/10.1371/journal.pone.0205334</w:t>
        </w:r>
      </w:hyperlink>
    </w:p>
    <w:p w14:paraId="0F2FF7B2"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Laurie-Rose, C., Frey, M., Ennis, A., &amp; Zamary, A. (2014). Measuring perceived mental workload in children. </w:t>
      </w:r>
      <w:r w:rsidRPr="009D48FF">
        <w:rPr>
          <w:i/>
          <w:noProof/>
          <w:color w:val="000000"/>
          <w:lang w:val="en-US"/>
        </w:rPr>
        <w:t>The American journal of psychology</w:t>
      </w:r>
      <w:r w:rsidRPr="003E4935">
        <w:rPr>
          <w:i/>
          <w:noProof/>
          <w:color w:val="000000"/>
          <w:lang w:val="en-US"/>
        </w:rPr>
        <w:t>, 127</w:t>
      </w:r>
      <w:r w:rsidRPr="009D48FF">
        <w:rPr>
          <w:noProof/>
          <w:color w:val="000000"/>
          <w:lang w:val="en-US"/>
        </w:rPr>
        <w:t xml:space="preserve">(1), 107-125. </w:t>
      </w:r>
      <w:hyperlink r:id="rId55">
        <w:r w:rsidRPr="009D48FF">
          <w:rPr>
            <w:rStyle w:val="Hipervnculo"/>
            <w:noProof/>
            <w:lang w:val="en-US"/>
          </w:rPr>
          <w:t>https://doi.org/0.5406/amerjpsyc.127.1.0107</w:t>
        </w:r>
      </w:hyperlink>
    </w:p>
    <w:p w14:paraId="3E3E2A20"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Laurie-Rose, C., Curtindale, L. M., &amp; Frey, M. (2017). Measuring Sustained Attention and Perceived Workload: A Test With Children. </w:t>
      </w:r>
      <w:r w:rsidRPr="009D48FF">
        <w:rPr>
          <w:i/>
          <w:noProof/>
          <w:color w:val="000000"/>
          <w:lang w:val="en-US"/>
        </w:rPr>
        <w:t>Human factors</w:t>
      </w:r>
      <w:r w:rsidRPr="009D48FF">
        <w:rPr>
          <w:noProof/>
          <w:color w:val="000000"/>
          <w:lang w:val="en-US"/>
        </w:rPr>
        <w:t>, </w:t>
      </w:r>
      <w:r w:rsidRPr="009D48FF">
        <w:rPr>
          <w:i/>
          <w:noProof/>
          <w:color w:val="000000"/>
          <w:lang w:val="en-US"/>
        </w:rPr>
        <w:t>59</w:t>
      </w:r>
      <w:r w:rsidRPr="009D48FF">
        <w:rPr>
          <w:noProof/>
          <w:color w:val="000000"/>
          <w:lang w:val="en-US"/>
        </w:rPr>
        <w:t xml:space="preserve">(1), 76-90. </w:t>
      </w:r>
      <w:hyperlink r:id="rId56">
        <w:r w:rsidRPr="009D48FF">
          <w:rPr>
            <w:rStyle w:val="Hipervnculo"/>
            <w:noProof/>
            <w:lang w:val="en-US"/>
          </w:rPr>
          <w:t>https://doi.org/10.1177/0018720816684063</w:t>
        </w:r>
      </w:hyperlink>
    </w:p>
    <w:p w14:paraId="71E2EBE2"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 xml:space="preserve">Longo, L. (2018). Experienced mental workload, perception of usability, their interaction and impact on task performance. </w:t>
      </w:r>
      <w:r w:rsidRPr="009D48FF">
        <w:rPr>
          <w:i/>
          <w:iCs/>
          <w:noProof/>
          <w:color w:val="000000"/>
          <w:lang w:val="en-US"/>
        </w:rPr>
        <w:t>PloS one</w:t>
      </w:r>
      <w:r w:rsidRPr="003E4935">
        <w:rPr>
          <w:i/>
          <w:noProof/>
          <w:color w:val="000000"/>
          <w:lang w:val="en-US"/>
        </w:rPr>
        <w:t>, 13</w:t>
      </w:r>
      <w:r w:rsidRPr="009D48FF">
        <w:rPr>
          <w:noProof/>
          <w:color w:val="000000"/>
          <w:lang w:val="en-US"/>
        </w:rPr>
        <w:t xml:space="preserve">(8), e0199661. </w:t>
      </w:r>
      <w:hyperlink r:id="rId57">
        <w:r w:rsidRPr="009D48FF">
          <w:rPr>
            <w:rStyle w:val="Hipervnculo"/>
            <w:noProof/>
            <w:lang w:val="en-US"/>
          </w:rPr>
          <w:t>https://doi.org/10.1371/journal.pone.0199661</w:t>
        </w:r>
      </w:hyperlink>
    </w:p>
    <w:p w14:paraId="29802A46"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Lu, C., Hu, Y., Fu, Q., Governor, S., Wang, L., Li, C., Deng, L., &amp; Xie, J. (2019). Physician mental workload scale in China: development and psychometric evaluation. </w:t>
      </w:r>
      <w:r w:rsidRPr="009D48FF">
        <w:rPr>
          <w:i/>
          <w:noProof/>
          <w:color w:val="000000"/>
          <w:lang w:val="en-US"/>
        </w:rPr>
        <w:t>BMJ open</w:t>
      </w:r>
      <w:r w:rsidRPr="003E4935">
        <w:rPr>
          <w:i/>
          <w:noProof/>
          <w:color w:val="000000"/>
          <w:lang w:val="en-US"/>
        </w:rPr>
        <w:t>, 9</w:t>
      </w:r>
      <w:r w:rsidRPr="009D48FF">
        <w:rPr>
          <w:noProof/>
          <w:color w:val="000000"/>
          <w:lang w:val="en-US"/>
        </w:rPr>
        <w:t xml:space="preserve">(10), e030137. </w:t>
      </w:r>
      <w:hyperlink r:id="rId58">
        <w:r w:rsidRPr="009D48FF">
          <w:rPr>
            <w:rStyle w:val="Hipervnculo"/>
            <w:noProof/>
            <w:lang w:val="en-US"/>
          </w:rPr>
          <w:t>https://doi.org/10.1136/bmjopen-2019-030137</w:t>
        </w:r>
      </w:hyperlink>
    </w:p>
    <w:p w14:paraId="34E28BEF"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Marçon, B., Ngueyon Sime, W., Guillemin, F., Hubert, N., Lagrange, F., Huselstein, C., &amp; Hubert, J. (2019). An ergonomic assessment of four different donor nephrectomy approaches for the surgeons and their assistants. </w:t>
      </w:r>
      <w:r w:rsidRPr="009D48FF">
        <w:rPr>
          <w:i/>
          <w:iCs/>
          <w:noProof/>
          <w:color w:val="000000"/>
          <w:lang w:val="en-US"/>
        </w:rPr>
        <w:t>Research and Reports in Urology</w:t>
      </w:r>
      <w:r w:rsidRPr="009D48FF">
        <w:rPr>
          <w:noProof/>
          <w:color w:val="000000"/>
          <w:lang w:val="en-US"/>
        </w:rPr>
        <w:t xml:space="preserve">, 261-268. </w:t>
      </w:r>
      <w:hyperlink r:id="rId59">
        <w:r w:rsidRPr="009D48FF">
          <w:rPr>
            <w:rStyle w:val="Hipervnculo"/>
            <w:noProof/>
            <w:lang w:val="en-US"/>
          </w:rPr>
          <w:t>https://doi.org/10.2147/rru.s220219</w:t>
        </w:r>
      </w:hyperlink>
    </w:p>
    <w:p w14:paraId="721F14C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Matthews, G., Reinerman-Jones, L. E., Barber, D. J., &amp; Abich I. V, J. (2015). The psychometrics of mental workload: Multiple measures are sensitive but divergent. </w:t>
      </w:r>
      <w:r w:rsidRPr="009D48FF">
        <w:rPr>
          <w:i/>
          <w:noProof/>
          <w:color w:val="000000"/>
          <w:lang w:val="en-US"/>
        </w:rPr>
        <w:t>Human F</w:t>
      </w:r>
      <w:r w:rsidRPr="009D48FF">
        <w:rPr>
          <w:noProof/>
          <w:color w:val="000000"/>
          <w:lang w:val="en-US"/>
        </w:rPr>
        <w:t>actors</w:t>
      </w:r>
      <w:r w:rsidRPr="003E4935">
        <w:rPr>
          <w:i/>
          <w:noProof/>
          <w:color w:val="000000"/>
          <w:lang w:val="en-US"/>
        </w:rPr>
        <w:t>, 57</w:t>
      </w:r>
      <w:r w:rsidRPr="009D48FF">
        <w:rPr>
          <w:noProof/>
          <w:color w:val="000000"/>
          <w:lang w:val="en-US"/>
        </w:rPr>
        <w:t xml:space="preserve">(1), 125-143. </w:t>
      </w:r>
      <w:hyperlink r:id="rId60">
        <w:r w:rsidRPr="009D48FF">
          <w:rPr>
            <w:rStyle w:val="Hipervnculo"/>
            <w:noProof/>
            <w:lang w:val="en-US"/>
          </w:rPr>
          <w:t>http://doi.org/10.1177/0018720814539505</w:t>
        </w:r>
      </w:hyperlink>
    </w:p>
    <w:p w14:paraId="2D6C3483"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Mazur, L. M., Adams, R., Mosaly, P. R., Stiegler, M. P., Nuamah, J., Adapa, K., Chera, B., &amp; Marks, L. B. (2020). Impact of Simulation-Based Training on Radiation Therapists’ Workload, Situation Awareness, and Performance. </w:t>
      </w:r>
      <w:r w:rsidRPr="009D48FF">
        <w:rPr>
          <w:i/>
          <w:iCs/>
          <w:noProof/>
          <w:color w:val="000000"/>
          <w:lang w:val="en-US"/>
        </w:rPr>
        <w:t xml:space="preserve">Advances in </w:t>
      </w:r>
      <w:r w:rsidRPr="009D48FF">
        <w:rPr>
          <w:i/>
          <w:iCs/>
          <w:noProof/>
          <w:color w:val="000000"/>
          <w:lang w:val="en-US"/>
        </w:rPr>
        <w:lastRenderedPageBreak/>
        <w:t>Radiation Oncology</w:t>
      </w:r>
      <w:r w:rsidRPr="003E4935">
        <w:rPr>
          <w:i/>
          <w:noProof/>
          <w:color w:val="000000"/>
          <w:lang w:val="en-US"/>
        </w:rPr>
        <w:t>, 5</w:t>
      </w:r>
      <w:r w:rsidRPr="009D48FF">
        <w:rPr>
          <w:noProof/>
          <w:color w:val="000000"/>
          <w:lang w:val="en-US"/>
        </w:rPr>
        <w:t xml:space="preserve">(6), 1106-1114. </w:t>
      </w:r>
      <w:hyperlink r:id="rId61">
        <w:r w:rsidRPr="009D48FF">
          <w:rPr>
            <w:rStyle w:val="Hipervnculo"/>
            <w:noProof/>
            <w:lang w:val="en-US"/>
          </w:rPr>
          <w:t>https://doi.org/10.1016/j.adro.2020.09.008</w:t>
        </w:r>
      </w:hyperlink>
    </w:p>
    <w:p w14:paraId="2B275DEF"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McNeer, R. R., Bennett, C. L., &amp; Dudaryk, R. (2016). Intraoperative noise increases perceived task load and fatigue in anesthesiology residents: a simulation-based study. </w:t>
      </w:r>
      <w:r w:rsidRPr="009D48FF">
        <w:rPr>
          <w:i/>
          <w:noProof/>
          <w:color w:val="000000"/>
          <w:lang w:val="en-US"/>
        </w:rPr>
        <w:t>Anesthesia &amp; Analgesia</w:t>
      </w:r>
      <w:r w:rsidRPr="009D48FF">
        <w:rPr>
          <w:noProof/>
          <w:color w:val="000000"/>
          <w:lang w:val="en-US"/>
        </w:rPr>
        <w:t>, </w:t>
      </w:r>
      <w:r w:rsidRPr="009D48FF">
        <w:rPr>
          <w:i/>
          <w:noProof/>
          <w:color w:val="000000"/>
          <w:lang w:val="en-US"/>
        </w:rPr>
        <w:t>122</w:t>
      </w:r>
      <w:r w:rsidRPr="009D48FF">
        <w:rPr>
          <w:noProof/>
          <w:color w:val="000000"/>
          <w:lang w:val="en-US"/>
        </w:rPr>
        <w:t xml:space="preserve">(2), 512-525. </w:t>
      </w:r>
      <w:hyperlink r:id="rId62">
        <w:r w:rsidRPr="009D48FF">
          <w:rPr>
            <w:rStyle w:val="Hipervnculo"/>
            <w:noProof/>
            <w:lang w:val="en-US"/>
          </w:rPr>
          <w:t>https://doi.org/10.1213/ANE.0000000000001067</w:t>
        </w:r>
      </w:hyperlink>
    </w:p>
    <w:p w14:paraId="204B5339"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Mohamed, R., Raman, M., Anderson, J., McLaughlin, K., Rostom, A., &amp; Coderre, S. (2014). Validation of the National Aeronautics and Space Administration Task Load Index as a tool to evaluate-the learning curve for endoscopy training. </w:t>
      </w:r>
      <w:r w:rsidRPr="009D48FF">
        <w:rPr>
          <w:i/>
          <w:noProof/>
          <w:color w:val="000000"/>
          <w:lang w:val="en-US"/>
        </w:rPr>
        <w:t>Canadian Journal of Gastroenterology and Hepatology</w:t>
      </w:r>
      <w:r w:rsidRPr="009D48FF">
        <w:rPr>
          <w:noProof/>
          <w:color w:val="000000"/>
          <w:lang w:val="en-US"/>
        </w:rPr>
        <w:t>, </w:t>
      </w:r>
      <w:r w:rsidRPr="009D48FF">
        <w:rPr>
          <w:i/>
          <w:noProof/>
          <w:color w:val="000000"/>
          <w:lang w:val="en-US"/>
        </w:rPr>
        <w:t>28</w:t>
      </w:r>
      <w:r w:rsidRPr="009D48FF">
        <w:rPr>
          <w:noProof/>
          <w:color w:val="000000"/>
          <w:lang w:val="en-US"/>
        </w:rPr>
        <w:t xml:space="preserve">(3), 155-160. </w:t>
      </w:r>
      <w:hyperlink r:id="rId63">
        <w:r w:rsidRPr="009D48FF">
          <w:rPr>
            <w:rStyle w:val="Hipervnculo"/>
            <w:noProof/>
            <w:lang w:val="en-US"/>
          </w:rPr>
          <w:t>https://doi.org/10.1155/2014.892476</w:t>
        </w:r>
      </w:hyperlink>
    </w:p>
    <w:p w14:paraId="04C46A6F"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Mohammadi, M., Mazloumi, A., Kazemi, Z., &amp; Zeraati, H. (2015). Evaluation of Mental Workload among ICU Ward's Nurses. </w:t>
      </w:r>
      <w:r w:rsidRPr="009D48FF">
        <w:rPr>
          <w:i/>
          <w:noProof/>
          <w:color w:val="000000"/>
          <w:lang w:val="en-US"/>
        </w:rPr>
        <w:t>Health promotion perspectives</w:t>
      </w:r>
      <w:r w:rsidRPr="009D48FF">
        <w:rPr>
          <w:noProof/>
          <w:color w:val="000000"/>
          <w:lang w:val="en-US"/>
        </w:rPr>
        <w:t>, </w:t>
      </w:r>
      <w:r w:rsidRPr="009D48FF">
        <w:rPr>
          <w:i/>
          <w:noProof/>
          <w:color w:val="000000"/>
          <w:lang w:val="en-US"/>
        </w:rPr>
        <w:t>5</w:t>
      </w:r>
      <w:r w:rsidRPr="009D48FF">
        <w:rPr>
          <w:noProof/>
          <w:color w:val="000000"/>
          <w:lang w:val="en-US"/>
        </w:rPr>
        <w:t xml:space="preserve">(4), 280. </w:t>
      </w:r>
      <w:hyperlink r:id="rId64">
        <w:r w:rsidRPr="009D48FF">
          <w:rPr>
            <w:rStyle w:val="Hipervnculo"/>
            <w:noProof/>
            <w:lang w:val="en-US"/>
          </w:rPr>
          <w:t>https://doi.org/10.15171/hpp.2015.033</w:t>
        </w:r>
      </w:hyperlink>
    </w:p>
    <w:p w14:paraId="7E33C4B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Monfort, S. S., Graybeal, J. J., Harwood, A. E., McKnight, P. E., &amp; Shaw, T. H. (2017). A single-item assessment for remaining mental resources: development and validation of the Gas Tank Questionnaire (GTQ). Theoretical Issues in Ergonomics Science, 1-23. </w:t>
      </w:r>
      <w:hyperlink r:id="rId65">
        <w:r w:rsidRPr="009D48FF">
          <w:rPr>
            <w:rStyle w:val="Hipervnculo"/>
            <w:noProof/>
            <w:lang w:val="en-US"/>
          </w:rPr>
          <w:t>https://doi.org/10.1080/1463922X.2017.1397228</w:t>
        </w:r>
      </w:hyperlink>
    </w:p>
    <w:p w14:paraId="230DA620"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Mouze-Amady, M., Raufaste, E., Prade, H., &amp; Meyer, J. P. (2013). Fuzzy-TLX: using fuzzy integrals for evaluating human mental workload with NASA-Task Load index in laboratory and field studies. </w:t>
      </w:r>
      <w:r w:rsidRPr="009D48FF">
        <w:rPr>
          <w:i/>
          <w:noProof/>
          <w:color w:val="000000"/>
          <w:lang w:val="en-US"/>
        </w:rPr>
        <w:t>Ergonomics</w:t>
      </w:r>
      <w:r w:rsidRPr="009D48FF">
        <w:rPr>
          <w:noProof/>
          <w:color w:val="000000"/>
          <w:lang w:val="en-US"/>
        </w:rPr>
        <w:t>, </w:t>
      </w:r>
      <w:r w:rsidRPr="009D48FF">
        <w:rPr>
          <w:i/>
          <w:noProof/>
          <w:color w:val="000000"/>
          <w:lang w:val="en-US"/>
        </w:rPr>
        <w:t>56</w:t>
      </w:r>
      <w:r w:rsidRPr="009D48FF">
        <w:rPr>
          <w:noProof/>
          <w:color w:val="000000"/>
          <w:lang w:val="en-US"/>
        </w:rPr>
        <w:t xml:space="preserve">(5), 752-763. </w:t>
      </w:r>
      <w:hyperlink r:id="rId66">
        <w:r w:rsidRPr="009D48FF">
          <w:rPr>
            <w:rStyle w:val="Hipervnculo"/>
            <w:noProof/>
            <w:lang w:val="en-US"/>
          </w:rPr>
          <w:t>https://doi.org/10.1080/00140139.2013.776702</w:t>
        </w:r>
      </w:hyperlink>
    </w:p>
    <w:p w14:paraId="5DAADBC9"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Nasirizad Moghadam, K., Chehrzad, M. M., Reza Masouleh, S., Maleki, M., Mardani, A., Atharyan, S., &amp; Harding, C. (2021). </w:t>
      </w:r>
      <w:r w:rsidRPr="009D48FF">
        <w:rPr>
          <w:iCs/>
          <w:noProof/>
          <w:color w:val="000000"/>
          <w:lang w:val="en-US"/>
        </w:rPr>
        <w:t>Nursing physical workload and mental workload in intensive care units: Are the</w:t>
      </w:r>
      <w:r w:rsidRPr="009D48FF">
        <w:rPr>
          <w:noProof/>
          <w:color w:val="000000"/>
          <w:lang w:val="en-US"/>
        </w:rPr>
        <w:t xml:space="preserve">y related? </w:t>
      </w:r>
      <w:r w:rsidRPr="009D48FF">
        <w:rPr>
          <w:i/>
          <w:iCs/>
          <w:noProof/>
          <w:color w:val="000000"/>
          <w:lang w:val="en-US"/>
        </w:rPr>
        <w:t>Nursing Open</w:t>
      </w:r>
      <w:r w:rsidRPr="003E4935">
        <w:rPr>
          <w:i/>
          <w:noProof/>
          <w:color w:val="000000"/>
          <w:lang w:val="en-US"/>
        </w:rPr>
        <w:t>, 8</w:t>
      </w:r>
      <w:r w:rsidRPr="009D48FF">
        <w:rPr>
          <w:noProof/>
          <w:color w:val="000000"/>
          <w:lang w:val="en-US"/>
        </w:rPr>
        <w:t xml:space="preserve">(4), 1625-1633. </w:t>
      </w:r>
      <w:hyperlink r:id="rId67">
        <w:r w:rsidRPr="009D48FF">
          <w:rPr>
            <w:rStyle w:val="Hipervnculo"/>
            <w:noProof/>
            <w:lang w:val="en-US"/>
          </w:rPr>
          <w:t>https://doi.org/10.1002/nop2.785</w:t>
        </w:r>
      </w:hyperlink>
    </w:p>
    <w:p w14:paraId="7EBE96C4"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Nayar, S. K., Musto, L., Fernandes, R., &amp; Bharathan, R. (2019). Validation of a virtual reality laparoscopic appendicectomy simulator: a novel process using cognitive task analysis. </w:t>
      </w:r>
      <w:r w:rsidRPr="009D48FF">
        <w:rPr>
          <w:i/>
          <w:iCs/>
          <w:noProof/>
          <w:color w:val="000000"/>
          <w:lang w:val="en-US"/>
        </w:rPr>
        <w:t xml:space="preserve">Irish Journal of Medical </w:t>
      </w:r>
      <w:r w:rsidRPr="003E4935">
        <w:rPr>
          <w:i/>
          <w:iCs/>
          <w:noProof/>
          <w:color w:val="000000"/>
          <w:lang w:val="en-US"/>
        </w:rPr>
        <w:t>Science</w:t>
      </w:r>
      <w:r w:rsidRPr="003E4935">
        <w:rPr>
          <w:i/>
          <w:noProof/>
          <w:color w:val="000000"/>
          <w:lang w:val="en-US"/>
        </w:rPr>
        <w:t>, 188</w:t>
      </w:r>
      <w:r w:rsidRPr="009D48FF">
        <w:rPr>
          <w:noProof/>
          <w:color w:val="000000"/>
          <w:lang w:val="en-US"/>
        </w:rPr>
        <w:t xml:space="preserve">(3), 963-971. </w:t>
      </w:r>
      <w:hyperlink r:id="rId68">
        <w:r w:rsidRPr="009D48FF">
          <w:rPr>
            <w:rStyle w:val="Hipervnculo"/>
            <w:noProof/>
            <w:lang w:val="en-US"/>
          </w:rPr>
          <w:t>https://doi.org/10.1007/s11845-018-1931-x</w:t>
        </w:r>
      </w:hyperlink>
    </w:p>
    <w:p w14:paraId="70AADADB"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Nino, L., Marchak, F., &amp; Claudio, D. (2020). Physical and mental workload interactions in a sterile processing department. </w:t>
      </w:r>
      <w:r w:rsidRPr="009D48FF">
        <w:rPr>
          <w:i/>
          <w:iCs/>
          <w:noProof/>
          <w:color w:val="000000"/>
          <w:lang w:val="en-US"/>
        </w:rPr>
        <w:t>International Journal of Industrial Ergonomics</w:t>
      </w:r>
      <w:r w:rsidRPr="009D48FF">
        <w:rPr>
          <w:noProof/>
          <w:color w:val="000000"/>
          <w:lang w:val="en-US"/>
        </w:rPr>
        <w:t xml:space="preserve">, 76, 102902. </w:t>
      </w:r>
      <w:hyperlink r:id="rId69">
        <w:r w:rsidRPr="009D48FF">
          <w:rPr>
            <w:rStyle w:val="Hipervnculo"/>
            <w:noProof/>
            <w:lang w:val="en-US"/>
          </w:rPr>
          <w:t>https://doi.org/10.1016/j.ergon.2019.102902</w:t>
        </w:r>
      </w:hyperlink>
    </w:p>
    <w:p w14:paraId="659AF4EC" w14:textId="0EDA1E8B"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 xml:space="preserve">Nodoushan, R. J., Madadizadeh, F., Anoosheh, V. S., Boghri, F., &amp; Chenani, K. T. (2021). Mental workload and occupational burnout among the faculty members and </w:t>
      </w:r>
      <w:r w:rsidRPr="009D48FF">
        <w:rPr>
          <w:noProof/>
          <w:color w:val="000000"/>
          <w:lang w:val="en-US"/>
        </w:rPr>
        <w:lastRenderedPageBreak/>
        <w:t xml:space="preserve">administrative staff of Yazd Public Health School. </w:t>
      </w:r>
      <w:r w:rsidRPr="009D48FF">
        <w:rPr>
          <w:i/>
          <w:iCs/>
          <w:noProof/>
          <w:color w:val="000000"/>
          <w:lang w:val="en-US"/>
        </w:rPr>
        <w:t>Journal of Education and Health Promotion</w:t>
      </w:r>
      <w:r w:rsidRPr="009D48FF">
        <w:rPr>
          <w:noProof/>
          <w:color w:val="000000"/>
          <w:lang w:val="en-US"/>
        </w:rPr>
        <w:t xml:space="preserve">, 10. </w:t>
      </w:r>
      <w:hyperlink r:id="rId70" w:history="1">
        <w:r w:rsidR="003E4935" w:rsidRPr="00967664">
          <w:rPr>
            <w:rStyle w:val="Hipervnculo"/>
            <w:noProof/>
            <w:lang w:val="en-US"/>
          </w:rPr>
          <w:t>https://doi.org/10.4103/jehp.jehp_1076_200</w:t>
        </w:r>
      </w:hyperlink>
      <w:r w:rsidR="003E4935">
        <w:rPr>
          <w:noProof/>
          <w:color w:val="000000"/>
          <w:u w:val="single"/>
          <w:lang w:val="en-US"/>
        </w:rPr>
        <w:t xml:space="preserve"> </w:t>
      </w:r>
    </w:p>
    <w:p w14:paraId="04B2FB32" w14:textId="3A804FF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 xml:space="preserve">Page, M. J., McKenzie, J. E., Bossuyt, P. M., Boutron, I., Hoffmann, T. C., Mulrow, C. D., Shamseer, L., Telzlaff, J. M., Akl., E. A., Brennan, S. E., Chou, R., Glanville, J., Grimshaw, J.M., Hróbjartsson, A., Lalu, M. M., Li, T., Loder, E.W., Mayo-Wilson, E., McDonald, S., McGuinness, L. A., Stewart, L.A., Thomas, J., Tricco, A. C., Welch, V.A., Whiting, P., &amp; Moher, D. (2021). The PRISMA 2020 statement: An updated guideline for reporting systematic reviews. </w:t>
      </w:r>
      <w:r w:rsidRPr="009D48FF">
        <w:rPr>
          <w:i/>
          <w:noProof/>
          <w:color w:val="000000"/>
          <w:lang w:val="en-US"/>
        </w:rPr>
        <w:t>BMJ</w:t>
      </w:r>
      <w:r w:rsidR="003E4935">
        <w:rPr>
          <w:noProof/>
          <w:color w:val="000000"/>
          <w:lang w:val="en-US"/>
        </w:rPr>
        <w:t>,</w:t>
      </w:r>
      <w:r w:rsidRPr="009D48FF">
        <w:rPr>
          <w:noProof/>
          <w:color w:val="000000"/>
          <w:lang w:val="en-US"/>
        </w:rPr>
        <w:t xml:space="preserve"> </w:t>
      </w:r>
      <w:r w:rsidRPr="009D48FF">
        <w:rPr>
          <w:i/>
          <w:noProof/>
          <w:color w:val="000000"/>
          <w:lang w:val="en-US"/>
        </w:rPr>
        <w:t>372</w:t>
      </w:r>
      <w:r w:rsidRPr="009D48FF">
        <w:rPr>
          <w:noProof/>
          <w:color w:val="000000"/>
          <w:lang w:val="en-US"/>
        </w:rPr>
        <w:t xml:space="preserve">(71). </w:t>
      </w:r>
      <w:hyperlink r:id="rId71">
        <w:r w:rsidRPr="009D48FF">
          <w:rPr>
            <w:rStyle w:val="Hipervnculo"/>
            <w:noProof/>
            <w:lang w:val="en-US"/>
          </w:rPr>
          <w:t>https://doi.org/10.1136/bmj.n71</w:t>
        </w:r>
      </w:hyperlink>
    </w:p>
    <w:p w14:paraId="615B717F"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Peruzzini, M., Tonietti, M., &amp; Iani, C. (2019). Transdisciplinary design approach based on driver's workload monitoring. </w:t>
      </w:r>
      <w:r w:rsidRPr="009D48FF">
        <w:rPr>
          <w:i/>
          <w:iCs/>
          <w:noProof/>
          <w:color w:val="000000"/>
          <w:lang w:val="en-US"/>
        </w:rPr>
        <w:t>Journal of Industrial Information Integration</w:t>
      </w:r>
      <w:r w:rsidRPr="009D48FF">
        <w:rPr>
          <w:noProof/>
          <w:color w:val="000000"/>
          <w:lang w:val="en-US"/>
        </w:rPr>
        <w:t xml:space="preserve">, 15, 91-102. </w:t>
      </w:r>
      <w:hyperlink r:id="rId72">
        <w:r w:rsidRPr="009D48FF">
          <w:rPr>
            <w:rStyle w:val="Hipervnculo"/>
            <w:noProof/>
            <w:lang w:val="en-US"/>
          </w:rPr>
          <w:t>https://doi.org/10.1016/j.jii.2019.04.001</w:t>
        </w:r>
      </w:hyperlink>
    </w:p>
    <w:p w14:paraId="0C1E0828"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pt-BR"/>
        </w:rPr>
      </w:pPr>
      <w:r w:rsidRPr="009D48FF">
        <w:rPr>
          <w:noProof/>
          <w:color w:val="000000"/>
          <w:lang w:val="en-US"/>
        </w:rPr>
        <w:t xml:space="preserve">Piranveyseh, P., Kazemi, R., Soltanzadeh, A., &amp; Smith, A. (2021). A field study of mental workload: conventional bus drivers versus bus rapid transit drivers. </w:t>
      </w:r>
      <w:r w:rsidRPr="009D48FF">
        <w:rPr>
          <w:i/>
          <w:noProof/>
          <w:color w:val="000000"/>
          <w:lang w:val="pt-BR"/>
        </w:rPr>
        <w:t>Ergonomics</w:t>
      </w:r>
      <w:r w:rsidRPr="009D48FF">
        <w:rPr>
          <w:noProof/>
          <w:color w:val="000000"/>
          <w:lang w:val="pt-BR"/>
        </w:rPr>
        <w:t xml:space="preserve">, 1-11. </w:t>
      </w:r>
      <w:hyperlink r:id="rId73">
        <w:r w:rsidRPr="009D48FF">
          <w:rPr>
            <w:rStyle w:val="Hipervnculo"/>
            <w:noProof/>
            <w:lang w:val="pt-BR"/>
          </w:rPr>
          <w:t>https://doi.org/10.1080/00140139.2021.1992021</w:t>
        </w:r>
      </w:hyperlink>
    </w:p>
    <w:p w14:paraId="772B9309"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pt-BR"/>
        </w:rPr>
        <w:t xml:space="preserve">Rodríguez-López, A. M., Rubio-Valdehita, S., &amp; Díaz-Ramiro, E. M. (2021). </w:t>
      </w:r>
      <w:r w:rsidRPr="009D48FF">
        <w:rPr>
          <w:noProof/>
          <w:color w:val="000000"/>
          <w:lang w:val="en-US"/>
        </w:rPr>
        <w:t xml:space="preserve">Influence of the Covid-19 pandemic on mental workload and burnout of fashion retailing workers in Spain. </w:t>
      </w:r>
      <w:r w:rsidRPr="009D48FF">
        <w:rPr>
          <w:i/>
          <w:noProof/>
          <w:color w:val="000000"/>
          <w:lang w:val="en-US"/>
        </w:rPr>
        <w:t>International Journal of Environmental Research and Public Health</w:t>
      </w:r>
      <w:r w:rsidRPr="009D48FF">
        <w:rPr>
          <w:noProof/>
          <w:color w:val="000000"/>
          <w:lang w:val="en-US"/>
        </w:rPr>
        <w:t xml:space="preserve">, </w:t>
      </w:r>
      <w:r w:rsidRPr="003E4935">
        <w:rPr>
          <w:i/>
          <w:noProof/>
          <w:color w:val="000000"/>
          <w:lang w:val="en-US"/>
        </w:rPr>
        <w:t>18</w:t>
      </w:r>
      <w:r w:rsidRPr="009D48FF">
        <w:rPr>
          <w:noProof/>
          <w:color w:val="000000"/>
          <w:lang w:val="en-US"/>
        </w:rPr>
        <w:t xml:space="preserve">(3), 983. </w:t>
      </w:r>
      <w:hyperlink r:id="rId74">
        <w:r w:rsidRPr="009D48FF">
          <w:rPr>
            <w:rStyle w:val="Hipervnculo"/>
            <w:noProof/>
            <w:lang w:val="en-US"/>
          </w:rPr>
          <w:t>https://doi.org/10.3390/ijerph18030983</w:t>
        </w:r>
      </w:hyperlink>
    </w:p>
    <w:p w14:paraId="5DB4BC6D" w14:textId="388641D6"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pt-BR"/>
        </w:rPr>
      </w:pPr>
      <w:r w:rsidRPr="009D48FF">
        <w:rPr>
          <w:noProof/>
          <w:color w:val="000000"/>
          <w:lang w:val="pt-BR"/>
        </w:rPr>
        <w:t xml:space="preserve">Ródio-Trevisan, K.R. (2020). Avaliação da associação entre carga mental de trabalho, fatores de risco psicossociais ocupacionais e agravos à saúde mental dos professores (Dissertação de mestrado, Universidade Federal de Santa Catarina). </w:t>
      </w:r>
    </w:p>
    <w:p w14:paraId="79AD7AAF"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pt-BR"/>
        </w:rPr>
      </w:pPr>
      <w:r w:rsidRPr="009D48FF">
        <w:rPr>
          <w:noProof/>
          <w:color w:val="000000"/>
          <w:lang w:val="pt-BR"/>
        </w:rPr>
        <w:t>Ródio-Trevisan, K. R., Cruz, R. M., Crocce-Carlotto, P. A., &amp; Guilland, R. (2023). Construção e evidências de validade da Escala de Rastreio da Carga Mental de Trabalho. </w:t>
      </w:r>
      <w:r w:rsidRPr="009D48FF">
        <w:rPr>
          <w:i/>
          <w:noProof/>
          <w:color w:val="000000"/>
          <w:lang w:val="pt-BR"/>
        </w:rPr>
        <w:t>Trabalho (En) Cena</w:t>
      </w:r>
      <w:r w:rsidRPr="009D48FF">
        <w:rPr>
          <w:noProof/>
          <w:color w:val="000000"/>
          <w:lang w:val="pt-BR"/>
        </w:rPr>
        <w:t xml:space="preserve">, 8(Contínuo), e023021-e023021. </w:t>
      </w:r>
      <w:hyperlink r:id="rId75">
        <w:r w:rsidRPr="009D48FF">
          <w:rPr>
            <w:rStyle w:val="Hipervnculo"/>
            <w:noProof/>
            <w:lang w:val="pt-BR"/>
          </w:rPr>
          <w:t>https://doi.org/10.20873/2526-1487e023021</w:t>
        </w:r>
      </w:hyperlink>
      <w:r w:rsidRPr="009D48FF">
        <w:rPr>
          <w:noProof/>
          <w:color w:val="000000"/>
          <w:lang w:val="pt-BR"/>
        </w:rPr>
        <w:t xml:space="preserve"> </w:t>
      </w:r>
    </w:p>
    <w:p w14:paraId="0F488AA8"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pt-BR"/>
        </w:rPr>
        <w:t xml:space="preserve">Rostami, F., Babaei-Pouya, A., Teimori-Boghsani, G., Jahangirimehr, A., Mehri, Z., &amp; Feiz-Arefi, M. (2021). </w:t>
      </w:r>
      <w:r w:rsidRPr="009D48FF">
        <w:rPr>
          <w:noProof/>
          <w:color w:val="000000"/>
          <w:lang w:val="en-US"/>
        </w:rPr>
        <w:t>Mental Workload and Job Satisfaction in Healthcare Workers: The Moderating Role of Job Control</w:t>
      </w:r>
      <w:r w:rsidRPr="009D48FF">
        <w:rPr>
          <w:i/>
          <w:iCs/>
          <w:noProof/>
          <w:color w:val="000000"/>
          <w:lang w:val="en-US"/>
        </w:rPr>
        <w:t>. Frontiers in Public Health</w:t>
      </w:r>
      <w:r w:rsidRPr="009D48FF">
        <w:rPr>
          <w:noProof/>
          <w:color w:val="000000"/>
          <w:lang w:val="en-US"/>
        </w:rPr>
        <w:t xml:space="preserve">, 9. </w:t>
      </w:r>
      <w:hyperlink r:id="rId76">
        <w:r w:rsidRPr="009D48FF">
          <w:rPr>
            <w:rStyle w:val="Hipervnculo"/>
            <w:noProof/>
            <w:lang w:val="en-US"/>
          </w:rPr>
          <w:t>https://doi.org/10.3389/fpubh.2021.683388</w:t>
        </w:r>
      </w:hyperlink>
    </w:p>
    <w:p w14:paraId="6CFC04E7"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Rubio-Valdehita, S., López-Núñez, M. I., López-Higes, R., &amp; Díaz-Ramiro, E. M. (2017). Development of the CarMen-Q Questionnaire for mental workload assessment. </w:t>
      </w:r>
      <w:r w:rsidRPr="009D48FF">
        <w:rPr>
          <w:i/>
          <w:noProof/>
          <w:color w:val="000000"/>
          <w:lang w:val="en-US"/>
        </w:rPr>
        <w:t>Psicothema</w:t>
      </w:r>
      <w:r w:rsidRPr="009D48FF">
        <w:rPr>
          <w:noProof/>
          <w:color w:val="000000"/>
          <w:lang w:val="en-US"/>
        </w:rPr>
        <w:t>, </w:t>
      </w:r>
      <w:r w:rsidRPr="009D48FF">
        <w:rPr>
          <w:i/>
          <w:noProof/>
          <w:color w:val="000000"/>
          <w:lang w:val="en-US"/>
        </w:rPr>
        <w:t>29</w:t>
      </w:r>
      <w:r w:rsidRPr="009D48FF">
        <w:rPr>
          <w:noProof/>
          <w:color w:val="000000"/>
          <w:lang w:val="en-US"/>
        </w:rPr>
        <w:t xml:space="preserve">(4). </w:t>
      </w:r>
      <w:hyperlink r:id="rId77">
        <w:r w:rsidRPr="009D48FF">
          <w:rPr>
            <w:rStyle w:val="Hipervnculo"/>
            <w:noProof/>
            <w:lang w:val="en-US"/>
          </w:rPr>
          <w:t>https://doi.org/10.7334/psicothema2017.151</w:t>
        </w:r>
      </w:hyperlink>
    </w:p>
    <w:p w14:paraId="1B5502C3" w14:textId="77777777" w:rsidR="009D48FF" w:rsidRPr="009D48FF" w:rsidRDefault="009D48FF" w:rsidP="009D48FF">
      <w:pPr>
        <w:widowControl w:val="0"/>
        <w:autoSpaceDE w:val="0"/>
        <w:autoSpaceDN w:val="0"/>
        <w:adjustRightInd w:val="0"/>
        <w:spacing w:line="360" w:lineRule="auto"/>
        <w:ind w:left="480" w:hanging="480"/>
        <w:jc w:val="both"/>
        <w:rPr>
          <w:noProof/>
          <w:color w:val="000000"/>
          <w:u w:val="single"/>
          <w:lang w:val="en-US"/>
        </w:rPr>
      </w:pPr>
      <w:r w:rsidRPr="009D48FF">
        <w:rPr>
          <w:noProof/>
          <w:color w:val="000000"/>
          <w:lang w:val="en-US"/>
        </w:rPr>
        <w:t xml:space="preserve">Sarsangi, V., Salehiniya, H., Hannani, M., Marzaleh, M. A., Abadi, Y. S., Honarjoo, F., </w:t>
      </w:r>
      <w:r w:rsidRPr="009D48FF">
        <w:rPr>
          <w:noProof/>
          <w:color w:val="000000"/>
          <w:lang w:val="en-US"/>
        </w:rPr>
        <w:lastRenderedPageBreak/>
        <w:t>Dehkordi, A. S., &amp; Derakhshanjazari, M. (2017). Assessment of workload effect on nursing occupational accidents in hospitals of Kashan, Iran. </w:t>
      </w:r>
      <w:r w:rsidRPr="009D48FF">
        <w:rPr>
          <w:i/>
          <w:noProof/>
          <w:color w:val="000000"/>
          <w:lang w:val="en-US"/>
        </w:rPr>
        <w:t>Biomedical Research and Therapy</w:t>
      </w:r>
      <w:r w:rsidRPr="009D48FF">
        <w:rPr>
          <w:noProof/>
          <w:color w:val="000000"/>
          <w:lang w:val="en-US"/>
        </w:rPr>
        <w:t>, </w:t>
      </w:r>
      <w:r w:rsidRPr="009D48FF">
        <w:rPr>
          <w:i/>
          <w:noProof/>
          <w:color w:val="000000"/>
          <w:lang w:val="en-US"/>
        </w:rPr>
        <w:t>4</w:t>
      </w:r>
      <w:r w:rsidRPr="009D48FF">
        <w:rPr>
          <w:noProof/>
          <w:color w:val="000000"/>
          <w:lang w:val="en-US"/>
        </w:rPr>
        <w:t xml:space="preserve">(08), 1527-1540. </w:t>
      </w:r>
      <w:hyperlink r:id="rId78">
        <w:r w:rsidRPr="009D48FF">
          <w:rPr>
            <w:rStyle w:val="Hipervnculo"/>
            <w:noProof/>
            <w:lang w:val="en-US"/>
          </w:rPr>
          <w:t>http://old.bmrat.org/index.php/BMRAT/article/view/226</w:t>
        </w:r>
      </w:hyperlink>
    </w:p>
    <w:p w14:paraId="2757BB99"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Schoenenberger, S., Moulin, P., Brangier, E., &amp; Gilibert, D. (2014). Patients’ characteristics and healthcare providers’ perceived workload in French hospital emergency wards. </w:t>
      </w:r>
      <w:r w:rsidRPr="009D48FF">
        <w:rPr>
          <w:i/>
          <w:noProof/>
          <w:color w:val="000000"/>
          <w:lang w:val="en-US"/>
        </w:rPr>
        <w:t>International Journal of Occupational Safety and Ergonomics</w:t>
      </w:r>
      <w:r w:rsidRPr="009D48FF">
        <w:rPr>
          <w:noProof/>
          <w:color w:val="000000"/>
          <w:lang w:val="en-US"/>
        </w:rPr>
        <w:t>, </w:t>
      </w:r>
      <w:r w:rsidRPr="009D48FF">
        <w:rPr>
          <w:i/>
          <w:noProof/>
          <w:color w:val="000000"/>
          <w:lang w:val="en-US"/>
        </w:rPr>
        <w:t>20</w:t>
      </w:r>
      <w:r w:rsidRPr="009D48FF">
        <w:rPr>
          <w:noProof/>
          <w:color w:val="000000"/>
          <w:lang w:val="en-US"/>
        </w:rPr>
        <w:t xml:space="preserve">(4), 551-559. </w:t>
      </w:r>
      <w:hyperlink r:id="rId79">
        <w:r w:rsidRPr="009D48FF">
          <w:rPr>
            <w:rStyle w:val="Hipervnculo"/>
            <w:noProof/>
            <w:lang w:val="en-US"/>
          </w:rPr>
          <w:t>https://doi.org/10.1080/10803548.2014.11077071</w:t>
        </w:r>
      </w:hyperlink>
    </w:p>
    <w:p w14:paraId="6BC49E5E"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Shan, Y., Shang, J., Yan, Y., Lu, G., Hu, D., &amp; Ye, X. (2021). Mental workload of frontline nurses aiding in the COVID‐19 pandemic: A latent profile analysis</w:t>
      </w:r>
      <w:r w:rsidRPr="009D48FF">
        <w:rPr>
          <w:i/>
          <w:noProof/>
          <w:color w:val="000000"/>
          <w:lang w:val="en-US"/>
        </w:rPr>
        <w:t>. Journal of Advanced Nursing</w:t>
      </w:r>
      <w:r w:rsidRPr="003E4935">
        <w:rPr>
          <w:i/>
          <w:noProof/>
          <w:color w:val="000000"/>
          <w:lang w:val="en-US"/>
        </w:rPr>
        <w:t>, 77</w:t>
      </w:r>
      <w:r w:rsidRPr="009D48FF">
        <w:rPr>
          <w:noProof/>
          <w:color w:val="000000"/>
          <w:lang w:val="en-US"/>
        </w:rPr>
        <w:t xml:space="preserve">(5), 2374-2385. </w:t>
      </w:r>
      <w:hyperlink r:id="rId80">
        <w:r w:rsidRPr="009D48FF">
          <w:rPr>
            <w:rStyle w:val="Hipervnculo"/>
            <w:noProof/>
            <w:lang w:val="en-US"/>
          </w:rPr>
          <w:t>https://doi.org/10.1111/jan.14769</w:t>
        </w:r>
      </w:hyperlink>
    </w:p>
    <w:p w14:paraId="70FC686B"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Teh, E., Jamson, S., Carsten, O., &amp; Jamson, H. (2014). Temporal fluctuations in driving demand: The effect of traffic complexity on subjective measures of workload and driving performance. </w:t>
      </w:r>
      <w:r w:rsidRPr="009D48FF">
        <w:rPr>
          <w:i/>
          <w:noProof/>
          <w:color w:val="000000"/>
          <w:lang w:val="en-US"/>
        </w:rPr>
        <w:t>Transportation research part F: traffic psychology and behaviour</w:t>
      </w:r>
      <w:r w:rsidRPr="009D48FF">
        <w:rPr>
          <w:noProof/>
          <w:color w:val="000000"/>
          <w:lang w:val="en-US"/>
        </w:rPr>
        <w:t>, </w:t>
      </w:r>
      <w:r w:rsidRPr="009D48FF">
        <w:rPr>
          <w:i/>
          <w:noProof/>
          <w:color w:val="000000"/>
          <w:lang w:val="en-US"/>
        </w:rPr>
        <w:t>22</w:t>
      </w:r>
      <w:r w:rsidRPr="009D48FF">
        <w:rPr>
          <w:noProof/>
          <w:color w:val="000000"/>
          <w:lang w:val="en-US"/>
        </w:rPr>
        <w:t xml:space="preserve">, 207-217. </w:t>
      </w:r>
      <w:hyperlink r:id="rId81">
        <w:r w:rsidRPr="009D48FF">
          <w:rPr>
            <w:rStyle w:val="Hipervnculo"/>
            <w:noProof/>
            <w:lang w:val="en-US"/>
          </w:rPr>
          <w:t>https://doi.org/10.1016/j.trf.2013.12.005</w:t>
        </w:r>
      </w:hyperlink>
    </w:p>
    <w:p w14:paraId="1E3EBCD8"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Van Hoffen, M. F. A., Heymans, M. W., Twisk, J. W. R., van Rhenen, W., &amp; Roelen, C. A. M. (2016). Can psychosocial working conditions identify workers at risk of mental sickness absence? </w:t>
      </w:r>
      <w:r w:rsidRPr="009D48FF">
        <w:rPr>
          <w:i/>
          <w:iCs/>
          <w:noProof/>
          <w:color w:val="000000"/>
          <w:lang w:val="en-US"/>
        </w:rPr>
        <w:t>European Journal of Public Health</w:t>
      </w:r>
      <w:r w:rsidRPr="009D48FF">
        <w:rPr>
          <w:noProof/>
          <w:color w:val="000000"/>
          <w:lang w:val="en-US"/>
        </w:rPr>
        <w:t xml:space="preserve">, 26. </w:t>
      </w:r>
      <w:hyperlink r:id="rId82">
        <w:r w:rsidRPr="009D48FF">
          <w:rPr>
            <w:rStyle w:val="Hipervnculo"/>
            <w:noProof/>
            <w:lang w:val="en-US"/>
          </w:rPr>
          <w:t>https://doi.org/10.1093/eurpub/ckw164.082</w:t>
        </w:r>
      </w:hyperlink>
    </w:p>
    <w:p w14:paraId="67DF7A91" w14:textId="77777777"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Whittemore, R., &amp; Knafl, K. (2005). The integrative review: updated methodology. </w:t>
      </w:r>
      <w:r w:rsidRPr="009D48FF">
        <w:rPr>
          <w:i/>
          <w:noProof/>
          <w:color w:val="000000"/>
          <w:lang w:val="en-US"/>
        </w:rPr>
        <w:t>Journal of advanced nursing</w:t>
      </w:r>
      <w:r w:rsidRPr="009D48FF">
        <w:rPr>
          <w:noProof/>
          <w:color w:val="000000"/>
          <w:lang w:val="en-US"/>
        </w:rPr>
        <w:t>, </w:t>
      </w:r>
      <w:r w:rsidRPr="009D48FF">
        <w:rPr>
          <w:i/>
          <w:noProof/>
          <w:color w:val="000000"/>
          <w:lang w:val="en-US"/>
        </w:rPr>
        <w:t>52</w:t>
      </w:r>
      <w:r w:rsidRPr="009D48FF">
        <w:rPr>
          <w:noProof/>
          <w:color w:val="000000"/>
          <w:lang w:val="en-US"/>
        </w:rPr>
        <w:t xml:space="preserve">(5), 546-553. </w:t>
      </w:r>
      <w:hyperlink r:id="rId83">
        <w:r w:rsidRPr="009D48FF">
          <w:rPr>
            <w:rStyle w:val="Hipervnculo"/>
            <w:noProof/>
            <w:lang w:val="en-US"/>
          </w:rPr>
          <w:t>https://doi.org/10.1111 / j.1365-2648.2005.03621.x</w:t>
        </w:r>
      </w:hyperlink>
    </w:p>
    <w:p w14:paraId="036DED30" w14:textId="35423DC6"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Wilbanks, B. A., &amp; McMullan, S. P. (2018). A review of measuring the cognitive workload of electronic health records. CIN: Computers, Informatics, </w:t>
      </w:r>
      <w:r w:rsidRPr="009D48FF">
        <w:rPr>
          <w:i/>
          <w:iCs/>
          <w:noProof/>
          <w:color w:val="000000"/>
          <w:lang w:val="en-US"/>
        </w:rPr>
        <w:t>Nursing</w:t>
      </w:r>
      <w:r w:rsidRPr="009D48FF">
        <w:rPr>
          <w:noProof/>
          <w:color w:val="000000"/>
          <w:lang w:val="en-US"/>
        </w:rPr>
        <w:t xml:space="preserve">, </w:t>
      </w:r>
      <w:r w:rsidRPr="003E4935">
        <w:rPr>
          <w:i/>
          <w:noProof/>
          <w:color w:val="000000"/>
          <w:lang w:val="en-US"/>
        </w:rPr>
        <w:t>36</w:t>
      </w:r>
      <w:r w:rsidRPr="009D48FF">
        <w:rPr>
          <w:noProof/>
          <w:color w:val="000000"/>
          <w:lang w:val="en-US"/>
        </w:rPr>
        <w:t xml:space="preserve">(12), 579-588. </w:t>
      </w:r>
      <w:hyperlink r:id="rId84" w:history="1">
        <w:r w:rsidR="003E4935" w:rsidRPr="00967664">
          <w:rPr>
            <w:rStyle w:val="Hipervnculo"/>
            <w:noProof/>
            <w:lang w:val="en-US"/>
          </w:rPr>
          <w:t>https://doi.org/10.1097/CIN.0000000000000469</w:t>
        </w:r>
      </w:hyperlink>
      <w:r w:rsidR="003E4935">
        <w:rPr>
          <w:noProof/>
          <w:color w:val="000000"/>
          <w:u w:val="single"/>
          <w:lang w:val="en-US"/>
        </w:rPr>
        <w:t xml:space="preserve"> </w:t>
      </w:r>
    </w:p>
    <w:p w14:paraId="2B30FC1E" w14:textId="6645D00C" w:rsidR="009D48FF" w:rsidRPr="009D48FF" w:rsidRDefault="009D48FF" w:rsidP="009D48FF">
      <w:pPr>
        <w:widowControl w:val="0"/>
        <w:autoSpaceDE w:val="0"/>
        <w:autoSpaceDN w:val="0"/>
        <w:adjustRightInd w:val="0"/>
        <w:spacing w:line="360" w:lineRule="auto"/>
        <w:ind w:left="480" w:hanging="480"/>
        <w:jc w:val="both"/>
        <w:rPr>
          <w:noProof/>
          <w:color w:val="000000"/>
          <w:lang w:val="en-US"/>
        </w:rPr>
      </w:pPr>
      <w:r w:rsidRPr="009D48FF">
        <w:rPr>
          <w:noProof/>
          <w:color w:val="000000"/>
          <w:lang w:val="en-US"/>
        </w:rPr>
        <w:t xml:space="preserve">Wu, J., Li, H., Geng, Z., Wang, Y., Wang, X., &amp; Zhang, J. (2021). Subtypes of nurses’ mental workload and interaction patterns with fatigue and work engagement during coronavirus disease 2019 (COVID-19) outbreak: A latent class analysis. </w:t>
      </w:r>
      <w:r w:rsidRPr="009D48FF">
        <w:rPr>
          <w:i/>
          <w:iCs/>
          <w:noProof/>
          <w:color w:val="000000"/>
          <w:lang w:val="en-US"/>
        </w:rPr>
        <w:t>BMC nursing</w:t>
      </w:r>
      <w:r w:rsidRPr="009D48FF">
        <w:rPr>
          <w:i/>
          <w:noProof/>
          <w:color w:val="000000"/>
          <w:lang w:val="en-US"/>
        </w:rPr>
        <w:t>, 20</w:t>
      </w:r>
      <w:r w:rsidRPr="009D48FF">
        <w:rPr>
          <w:noProof/>
          <w:color w:val="000000"/>
          <w:lang w:val="en-US"/>
        </w:rPr>
        <w:t xml:space="preserve">(1), 1-9. </w:t>
      </w:r>
      <w:hyperlink r:id="rId85" w:history="1">
        <w:r w:rsidRPr="00967664">
          <w:rPr>
            <w:rStyle w:val="Hipervnculo"/>
            <w:noProof/>
            <w:lang w:val="en-US"/>
          </w:rPr>
          <w:t>https://doi.org/10.1186/s12912-021-00726-9</w:t>
        </w:r>
      </w:hyperlink>
      <w:r>
        <w:rPr>
          <w:noProof/>
          <w:color w:val="000000"/>
          <w:u w:val="single"/>
          <w:lang w:val="en-US"/>
        </w:rPr>
        <w:t xml:space="preserve"> </w:t>
      </w:r>
    </w:p>
    <w:p w14:paraId="082F801D" w14:textId="66F31D34" w:rsidR="00537714" w:rsidRPr="00B072E2" w:rsidRDefault="009D48FF" w:rsidP="00135BA3">
      <w:pPr>
        <w:widowControl w:val="0"/>
        <w:autoSpaceDE w:val="0"/>
        <w:autoSpaceDN w:val="0"/>
        <w:adjustRightInd w:val="0"/>
        <w:spacing w:line="360" w:lineRule="auto"/>
        <w:ind w:left="480" w:hanging="480"/>
        <w:jc w:val="both"/>
        <w:rPr>
          <w:lang w:val="en-US"/>
        </w:rPr>
      </w:pPr>
      <w:r w:rsidRPr="009D48FF">
        <w:rPr>
          <w:noProof/>
          <w:color w:val="000000"/>
          <w:lang w:val="en-US"/>
        </w:rPr>
        <w:t>Young, M. S., Brookhuis, K. A., Wickens, C. D., &amp; Hancock, P. A. (2015). State of science: mental workload in ergonomics. </w:t>
      </w:r>
      <w:r w:rsidRPr="009D48FF">
        <w:rPr>
          <w:i/>
          <w:noProof/>
          <w:color w:val="000000"/>
          <w:lang w:val="en-US"/>
        </w:rPr>
        <w:t>Ergonomics</w:t>
      </w:r>
      <w:r w:rsidRPr="009D48FF">
        <w:rPr>
          <w:noProof/>
          <w:color w:val="000000"/>
          <w:lang w:val="en-US"/>
        </w:rPr>
        <w:t>, </w:t>
      </w:r>
      <w:r w:rsidRPr="009D48FF">
        <w:rPr>
          <w:i/>
          <w:noProof/>
          <w:color w:val="000000"/>
          <w:lang w:val="en-US"/>
        </w:rPr>
        <w:t>58</w:t>
      </w:r>
      <w:r w:rsidRPr="009D48FF">
        <w:rPr>
          <w:noProof/>
          <w:color w:val="000000"/>
          <w:lang w:val="en-US"/>
        </w:rPr>
        <w:t xml:space="preserve">(1), 1-17. </w:t>
      </w:r>
      <w:hyperlink r:id="rId86" w:history="1">
        <w:r w:rsidRPr="00967664">
          <w:rPr>
            <w:rStyle w:val="Hipervnculo"/>
            <w:noProof/>
            <w:lang w:val="en-US"/>
          </w:rPr>
          <w:t>https://doi.org/10.108/00140139.2014.956151</w:t>
        </w:r>
      </w:hyperlink>
      <w:r>
        <w:rPr>
          <w:noProof/>
          <w:color w:val="000000"/>
          <w:u w:val="single"/>
          <w:lang w:val="en-US"/>
        </w:rPr>
        <w:t xml:space="preserve"> </w:t>
      </w:r>
      <w:r w:rsidR="00FA42C8">
        <w:rPr>
          <w:noProof/>
          <w:lang w:val="en-US"/>
        </w:rPr>
        <w:t xml:space="preserve"> </w:t>
      </w:r>
    </w:p>
    <w:p w14:paraId="4E4CDB4E" w14:textId="66CBFAAE"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B072E2" w:rsidRPr="00B072E2">
        <w:rPr>
          <w:i/>
          <w:iCs/>
          <w:sz w:val="20"/>
          <w:szCs w:val="20"/>
          <w:lang w:val="en-US"/>
        </w:rPr>
        <w:t>202</w:t>
      </w:r>
      <w:r w:rsidR="00135BA3">
        <w:rPr>
          <w:i/>
          <w:iCs/>
          <w:sz w:val="20"/>
          <w:szCs w:val="20"/>
          <w:lang w:val="en-US"/>
        </w:rPr>
        <w:t>3</w:t>
      </w:r>
      <w:r w:rsidR="00B072E2" w:rsidRPr="00B072E2">
        <w:rPr>
          <w:i/>
          <w:iCs/>
          <w:sz w:val="20"/>
          <w:szCs w:val="20"/>
          <w:lang w:val="en-US"/>
        </w:rPr>
        <w:t>-0</w:t>
      </w:r>
      <w:r w:rsidR="00135BA3">
        <w:rPr>
          <w:i/>
          <w:iCs/>
          <w:sz w:val="20"/>
          <w:szCs w:val="20"/>
          <w:lang w:val="en-US"/>
        </w:rPr>
        <w:t>4-07</w:t>
      </w:r>
    </w:p>
    <w:p w14:paraId="312A8921" w14:textId="65FAB793"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135BA3">
        <w:rPr>
          <w:i/>
          <w:iCs/>
          <w:sz w:val="20"/>
          <w:szCs w:val="20"/>
          <w:lang w:eastAsia="es-ES_tradnl"/>
        </w:rPr>
        <w:t>2024-06-06</w:t>
      </w:r>
    </w:p>
    <w:sectPr w:rsidR="00147EED" w:rsidRPr="00B072E2" w:rsidSect="00686DA9">
      <w:headerReference w:type="even" r:id="rId87"/>
      <w:headerReference w:type="default" r:id="rId88"/>
      <w:footerReference w:type="even" r:id="rId89"/>
      <w:footerReference w:type="default" r:id="rId90"/>
      <w:headerReference w:type="first" r:id="rId91"/>
      <w:footerReference w:type="first" r:id="rId9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4CD7B" w14:textId="77777777" w:rsidR="00BD0FD4" w:rsidRDefault="00BD0FD4" w:rsidP="00C413D4">
      <w:r>
        <w:separator/>
      </w:r>
    </w:p>
  </w:endnote>
  <w:endnote w:type="continuationSeparator" w:id="0">
    <w:p w14:paraId="2126D08C" w14:textId="77777777" w:rsidR="00BD0FD4" w:rsidRDefault="00BD0FD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6C56ABE" w:rsidR="009D48FF" w:rsidRDefault="009D48F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00FCE">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9D48FF" w:rsidRDefault="009D48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B812CF8" w:rsidR="009D48FF" w:rsidRDefault="009D48F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00FCE">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9D48FF" w:rsidRDefault="009D48F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912F" w14:textId="77777777" w:rsidR="007A3530" w:rsidRDefault="007A353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087A" w14:textId="77777777" w:rsidR="00BD0FD4" w:rsidRDefault="00BD0FD4" w:rsidP="00C413D4">
      <w:r>
        <w:separator/>
      </w:r>
    </w:p>
  </w:footnote>
  <w:footnote w:type="continuationSeparator" w:id="0">
    <w:p w14:paraId="2BB7B6BE" w14:textId="77777777" w:rsidR="00BD0FD4" w:rsidRDefault="00BD0FD4" w:rsidP="00C413D4">
      <w:r>
        <w:continuationSeparator/>
      </w:r>
    </w:p>
  </w:footnote>
  <w:footnote w:id="1">
    <w:p w14:paraId="50BB986B" w14:textId="77B6AD8E" w:rsidR="009D48FF" w:rsidRPr="005E205D" w:rsidRDefault="009D48FF" w:rsidP="000432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E63BCA">
        <w:rPr>
          <w:rFonts w:ascii="Times" w:hAnsi="Times"/>
          <w:b/>
          <w:bCs/>
          <w:sz w:val="16"/>
          <w:szCs w:val="16"/>
          <w:lang w:val="en-US"/>
        </w:rPr>
        <w:t>Karen Rayany Rodio-Trevisan</w:t>
      </w:r>
      <w:r>
        <w:rPr>
          <w:rFonts w:ascii="Times" w:hAnsi="Times"/>
          <w:b/>
          <w:bCs/>
          <w:sz w:val="16"/>
          <w:szCs w:val="16"/>
          <w:lang w:val="en-US"/>
        </w:rPr>
        <w:t xml:space="preserve">: </w:t>
      </w:r>
      <w:hyperlink r:id="rId1" w:history="1">
        <w:r>
          <w:rPr>
            <w:rStyle w:val="Hipervnculo"/>
            <w:sz w:val="16"/>
            <w:szCs w:val="16"/>
            <w:lang w:val="en-GB"/>
          </w:rPr>
          <w:t>karenrtpsico@gmail.com</w:t>
        </w:r>
      </w:hyperlink>
      <w:r>
        <w:rPr>
          <w:sz w:val="16"/>
          <w:szCs w:val="16"/>
          <w:lang w:val="en-GB"/>
        </w:rPr>
        <w:t xml:space="preserve"> </w:t>
      </w:r>
    </w:p>
  </w:footnote>
  <w:footnote w:id="2">
    <w:p w14:paraId="2B28FF7B" w14:textId="68160807" w:rsidR="009D48FF" w:rsidRPr="007A14D0" w:rsidRDefault="009D48FF"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05EA5386" w14:textId="77777777" w:rsidR="009D48FF" w:rsidRDefault="009D48FF" w:rsidP="009D48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Referencias citadas por los autores de los artículos consultados </w:t>
      </w:r>
      <w:r>
        <w:rPr>
          <w:sz w:val="20"/>
          <w:szCs w:val="20"/>
        </w:rPr>
        <w:t>en la</w:t>
      </w:r>
      <w:r>
        <w:rPr>
          <w:color w:val="000000"/>
          <w:sz w:val="20"/>
          <w:szCs w:val="20"/>
        </w:rPr>
        <w:t xml:space="preserve"> búsqueda sistemática.</w:t>
      </w:r>
    </w:p>
  </w:footnote>
  <w:footnote w:id="4">
    <w:p w14:paraId="68DA778A" w14:textId="77777777" w:rsidR="009D48FF" w:rsidRDefault="009D48FF" w:rsidP="009D48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Referencias citadas por los autores de los artículos consultados </w:t>
      </w:r>
      <w:r>
        <w:rPr>
          <w:sz w:val="20"/>
          <w:szCs w:val="20"/>
        </w:rPr>
        <w:t>en la</w:t>
      </w:r>
      <w:r>
        <w:rPr>
          <w:color w:val="000000"/>
          <w:sz w:val="20"/>
          <w:szCs w:val="20"/>
        </w:rPr>
        <w:t xml:space="preserve"> búsqueda sistemática.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5A78E525" w:rsidR="009D48FF" w:rsidRPr="00714485" w:rsidRDefault="009D48FF" w:rsidP="00714485">
    <w:pPr>
      <w:pStyle w:val="Encabezado"/>
      <w:jc w:val="center"/>
      <w:rPr>
        <w:rFonts w:ascii="Times" w:hAnsi="Times" w:cs="Times New Roman (Body CS)"/>
        <w:b/>
        <w:bCs/>
        <w:smallCaps/>
        <w:sz w:val="20"/>
        <w:szCs w:val="20"/>
        <w:lang w:val="es-ES_tradnl"/>
      </w:rPr>
    </w:pPr>
    <w:r>
      <w:rPr>
        <w:rFonts w:ascii="Times" w:hAnsi="Times" w:cs="Times New Roman (Body CS)"/>
        <w:b/>
        <w:bCs/>
        <w:smallCaps/>
        <w:sz w:val="20"/>
        <w:szCs w:val="20"/>
        <w:lang w:val="es-AR"/>
      </w:rPr>
      <w:t>Rodio-Trevisan, Moraes Cruz, Nunes, Ornellas Ariño, Dalagasperina, Trevisan</w:t>
    </w:r>
    <w:r w:rsidRPr="00A30329">
      <w:rPr>
        <w:rFonts w:ascii="Times" w:hAnsi="Times" w:cs="Times New Roman (Body CS)"/>
        <w:b/>
        <w:bCs/>
        <w:smallCaps/>
        <w:sz w:val="20"/>
        <w:szCs w:val="20"/>
        <w:lang w:val="es-AR"/>
      </w:rPr>
      <w:t xml:space="preserve">, &amp; </w:t>
    </w:r>
    <w:r>
      <w:rPr>
        <w:rFonts w:ascii="Times" w:hAnsi="Times" w:cs="Times New Roman (Body CS)"/>
        <w:b/>
        <w:bCs/>
        <w:smallCaps/>
        <w:sz w:val="20"/>
        <w:szCs w:val="20"/>
        <w:lang w:val="es-AR"/>
      </w:rPr>
      <w:t>Molina Albarracín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D48FF" w:rsidRDefault="009D48FF"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039E8A1" w:rsidR="009D48FF" w:rsidRDefault="009D48FF" w:rsidP="00C413D4">
    <w:pPr>
      <w:pStyle w:val="Encabezado"/>
      <w:jc w:val="right"/>
      <w:rPr>
        <w:rFonts w:ascii="Times" w:hAnsi="Times"/>
        <w:i/>
        <w:sz w:val="18"/>
        <w:szCs w:val="18"/>
        <w:lang w:val="es-ES"/>
      </w:rPr>
    </w:pPr>
    <w:r>
      <w:rPr>
        <w:rFonts w:ascii="Times" w:hAnsi="Times"/>
        <w:i/>
        <w:sz w:val="18"/>
        <w:szCs w:val="18"/>
        <w:lang w:val="es-ES"/>
      </w:rPr>
      <w:t>202</w:t>
    </w:r>
    <w:r w:rsidR="007A3530">
      <w:rPr>
        <w:rFonts w:ascii="Times" w:hAnsi="Times"/>
        <w:i/>
        <w:sz w:val="18"/>
        <w:szCs w:val="18"/>
        <w:lang w:val="es-ES"/>
      </w:rPr>
      <w:t>4</w:t>
    </w:r>
    <w:r>
      <w:rPr>
        <w:rFonts w:ascii="Times" w:hAnsi="Times"/>
        <w:i/>
        <w:sz w:val="18"/>
        <w:szCs w:val="18"/>
        <w:lang w:val="es-ES"/>
      </w:rPr>
      <w:t>, Vol., 58, No. 1, e1894</w:t>
    </w:r>
  </w:p>
  <w:p w14:paraId="1AAB67EA" w14:textId="77777777" w:rsidR="009D48FF" w:rsidRDefault="009D48F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6170" w14:textId="77777777" w:rsidR="007A3530" w:rsidRDefault="007A35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323E"/>
    <w:rsid w:val="000378AF"/>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5BA3"/>
    <w:rsid w:val="00136B3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0157"/>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D1DE2"/>
    <w:rsid w:val="003D5FC4"/>
    <w:rsid w:val="003D75C9"/>
    <w:rsid w:val="003E4935"/>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4291"/>
    <w:rsid w:val="0050754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1E08"/>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A3723"/>
    <w:rsid w:val="006B0812"/>
    <w:rsid w:val="006B2988"/>
    <w:rsid w:val="006B4DA3"/>
    <w:rsid w:val="006B67C9"/>
    <w:rsid w:val="006B740C"/>
    <w:rsid w:val="006C2146"/>
    <w:rsid w:val="006C21BC"/>
    <w:rsid w:val="006C34E9"/>
    <w:rsid w:val="006D0B2B"/>
    <w:rsid w:val="006D1F88"/>
    <w:rsid w:val="006D330D"/>
    <w:rsid w:val="006D6FC0"/>
    <w:rsid w:val="006E0173"/>
    <w:rsid w:val="006E0541"/>
    <w:rsid w:val="006E1236"/>
    <w:rsid w:val="006E4870"/>
    <w:rsid w:val="006F51A0"/>
    <w:rsid w:val="006F5633"/>
    <w:rsid w:val="006F7E7E"/>
    <w:rsid w:val="00705B8A"/>
    <w:rsid w:val="00714485"/>
    <w:rsid w:val="00715EFB"/>
    <w:rsid w:val="00720420"/>
    <w:rsid w:val="00724007"/>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3530"/>
    <w:rsid w:val="007A7C7C"/>
    <w:rsid w:val="007B5DA8"/>
    <w:rsid w:val="007B686A"/>
    <w:rsid w:val="007B6A7D"/>
    <w:rsid w:val="007C07C7"/>
    <w:rsid w:val="007C1F01"/>
    <w:rsid w:val="007C4A34"/>
    <w:rsid w:val="007C5CB5"/>
    <w:rsid w:val="007D0BA9"/>
    <w:rsid w:val="007D22E8"/>
    <w:rsid w:val="007D35DA"/>
    <w:rsid w:val="007D6A4D"/>
    <w:rsid w:val="007D73B8"/>
    <w:rsid w:val="007D7E6B"/>
    <w:rsid w:val="007E1038"/>
    <w:rsid w:val="007E129F"/>
    <w:rsid w:val="007E4C07"/>
    <w:rsid w:val="007F2F33"/>
    <w:rsid w:val="007F3115"/>
    <w:rsid w:val="007F38FD"/>
    <w:rsid w:val="007F3B72"/>
    <w:rsid w:val="007F5FDB"/>
    <w:rsid w:val="00800313"/>
    <w:rsid w:val="00800FCE"/>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4D87"/>
    <w:rsid w:val="0095579B"/>
    <w:rsid w:val="00964CC6"/>
    <w:rsid w:val="009703F5"/>
    <w:rsid w:val="00970D91"/>
    <w:rsid w:val="00971421"/>
    <w:rsid w:val="0097188A"/>
    <w:rsid w:val="00986208"/>
    <w:rsid w:val="00986BF6"/>
    <w:rsid w:val="00990AFE"/>
    <w:rsid w:val="00993315"/>
    <w:rsid w:val="009A0192"/>
    <w:rsid w:val="009A22B9"/>
    <w:rsid w:val="009A5FA1"/>
    <w:rsid w:val="009B3E5E"/>
    <w:rsid w:val="009B4D60"/>
    <w:rsid w:val="009C307F"/>
    <w:rsid w:val="009C36B8"/>
    <w:rsid w:val="009C43B4"/>
    <w:rsid w:val="009C4CF0"/>
    <w:rsid w:val="009D2551"/>
    <w:rsid w:val="009D48FF"/>
    <w:rsid w:val="009D71FD"/>
    <w:rsid w:val="009F3E43"/>
    <w:rsid w:val="009F58C4"/>
    <w:rsid w:val="009F62D6"/>
    <w:rsid w:val="009F7B75"/>
    <w:rsid w:val="00A03605"/>
    <w:rsid w:val="00A03E89"/>
    <w:rsid w:val="00A07982"/>
    <w:rsid w:val="00A114D6"/>
    <w:rsid w:val="00A12C89"/>
    <w:rsid w:val="00A13797"/>
    <w:rsid w:val="00A15339"/>
    <w:rsid w:val="00A234ED"/>
    <w:rsid w:val="00A239B3"/>
    <w:rsid w:val="00A30329"/>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3B7"/>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5DA2"/>
    <w:rsid w:val="00BC764F"/>
    <w:rsid w:val="00BD0FD4"/>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1026"/>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63BCA"/>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E392F"/>
    <w:rsid w:val="00EF7170"/>
    <w:rsid w:val="00F07162"/>
    <w:rsid w:val="00F07D24"/>
    <w:rsid w:val="00F110D9"/>
    <w:rsid w:val="00F12770"/>
    <w:rsid w:val="00F157E5"/>
    <w:rsid w:val="00F17BC5"/>
    <w:rsid w:val="00F2312F"/>
    <w:rsid w:val="00F25DD5"/>
    <w:rsid w:val="00F27CB5"/>
    <w:rsid w:val="00F31F4A"/>
    <w:rsid w:val="00F3641B"/>
    <w:rsid w:val="00F42476"/>
    <w:rsid w:val="00F4526C"/>
    <w:rsid w:val="00F47EFE"/>
    <w:rsid w:val="00F51115"/>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61662709-F898-43AF-9F72-F69574D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table" w:customStyle="1" w:styleId="4">
    <w:name w:val="4"/>
    <w:basedOn w:val="Tablanormal"/>
    <w:rsid w:val="006A3723"/>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3">
    <w:name w:val="3"/>
    <w:basedOn w:val="Tablanormal"/>
    <w:rsid w:val="003D5FC4"/>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2">
    <w:name w:val="2"/>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1">
    <w:name w:val="1"/>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sipsych.org/" TargetMode="External"/><Relationship Id="rId42" Type="http://schemas.openxmlformats.org/officeDocument/2006/relationships/hyperlink" Target="https://doi.org/10.24425/mper.2020.134932" TargetMode="External"/><Relationship Id="rId47" Type="http://schemas.openxmlformats.org/officeDocument/2006/relationships/hyperlink" Target="https://doi.org/10.20982/tqmp.16.3.p240" TargetMode="External"/><Relationship Id="rId63" Type="http://schemas.openxmlformats.org/officeDocument/2006/relationships/hyperlink" Target="https://doi.org/10.1155/2014.892476" TargetMode="External"/><Relationship Id="rId68" Type="http://schemas.openxmlformats.org/officeDocument/2006/relationships/hyperlink" Target="https://doi.org/10.1007/s11845-018-1931-x" TargetMode="External"/><Relationship Id="rId84" Type="http://schemas.openxmlformats.org/officeDocument/2006/relationships/hyperlink" Target="https://doi.org/10.1097/CIN.0000000000000469" TargetMode="External"/><Relationship Id="rId89" Type="http://schemas.openxmlformats.org/officeDocument/2006/relationships/footer" Target="footer1.xml"/><Relationship Id="rId16" Type="http://schemas.openxmlformats.org/officeDocument/2006/relationships/hyperlink" Target="https://orcid.org/0000-0001-7330-5604" TargetMode="External"/><Relationship Id="rId11" Type="http://schemas.openxmlformats.org/officeDocument/2006/relationships/hyperlink" Target="https://orcid.org/0000-0002-0547-4315" TargetMode="External"/><Relationship Id="rId32" Type="http://schemas.openxmlformats.org/officeDocument/2006/relationships/hyperlink" Target="https://link.springer.com/content/pdf/10.1007/978-3-642-21660-2.pdf" TargetMode="External"/><Relationship Id="rId37" Type="http://schemas.openxmlformats.org/officeDocument/2006/relationships/hyperlink" Target="https://doi.org/10.4067/S0034988720120009008" TargetMode="External"/><Relationship Id="rId53" Type="http://schemas.openxmlformats.org/officeDocument/2006/relationships/hyperlink" Target="https://doi.org/10.1016/j.neuropsychologia.2015.12.013" TargetMode="External"/><Relationship Id="rId58" Type="http://schemas.openxmlformats.org/officeDocument/2006/relationships/hyperlink" Target="https://doi.org/10.1136/bmjopen-2019-030137" TargetMode="External"/><Relationship Id="rId74" Type="http://schemas.openxmlformats.org/officeDocument/2006/relationships/hyperlink" Target="https://doi.org/10.3390/ijerph18030983" TargetMode="External"/><Relationship Id="rId79" Type="http://schemas.openxmlformats.org/officeDocument/2006/relationships/hyperlink" Target="https://doi.org/10.1080/10803548.2014.11077071" TargetMode="External"/><Relationship Id="rId5" Type="http://schemas.openxmlformats.org/officeDocument/2006/relationships/footnotes" Target="footnotes.xml"/><Relationship Id="rId90" Type="http://schemas.openxmlformats.org/officeDocument/2006/relationships/footer" Target="footer2.xml"/><Relationship Id="rId14" Type="http://schemas.openxmlformats.org/officeDocument/2006/relationships/hyperlink" Target="https://orcid.org/0000-0001-6647-4696" TargetMode="External"/><Relationship Id="rId22" Type="http://schemas.openxmlformats.org/officeDocument/2006/relationships/image" Target="media/image3.png"/><Relationship Id="rId27" Type="http://schemas.openxmlformats.org/officeDocument/2006/relationships/image" Target="media/image5.tmp"/><Relationship Id="rId30" Type="http://schemas.openxmlformats.org/officeDocument/2006/relationships/hyperlink" Target="https://repositorio.uniceub.br/jspui/handle/prefix/14119" TargetMode="External"/><Relationship Id="rId35" Type="http://schemas.openxmlformats.org/officeDocument/2006/relationships/hyperlink" Target="https://doi.org/10.1016/j.ergon.2019.102904" TargetMode="External"/><Relationship Id="rId43" Type="http://schemas.openxmlformats.org/officeDocument/2006/relationships/hyperlink" Target="https://doi.org/10.15171/hpp.2016.17" TargetMode="External"/><Relationship Id="rId48" Type="http://schemas.openxmlformats.org/officeDocument/2006/relationships/hyperlink" Target="https://doi.org/10.23749/mdl.v110i5.8115" TargetMode="External"/><Relationship Id="rId56" Type="http://schemas.openxmlformats.org/officeDocument/2006/relationships/hyperlink" Target="https://doi.org/10.1177/0018720816684063" TargetMode="External"/><Relationship Id="rId64" Type="http://schemas.openxmlformats.org/officeDocument/2006/relationships/hyperlink" Target="https://doi.org/10.15171/hpp.2015.033" TargetMode="External"/><Relationship Id="rId69" Type="http://schemas.openxmlformats.org/officeDocument/2006/relationships/hyperlink" Target="https://doi.org/10.1016/j.ergon.2019.102902" TargetMode="External"/><Relationship Id="rId77" Type="http://schemas.openxmlformats.org/officeDocument/2006/relationships/hyperlink" Target="https://doi.org/10.7334/psicothema2017.151" TargetMode="External"/><Relationship Id="rId8" Type="http://schemas.openxmlformats.org/officeDocument/2006/relationships/hyperlink" Target="https://doi.org/10.30849/ripijp.v57i2.1360" TargetMode="External"/><Relationship Id="rId51" Type="http://schemas.openxmlformats.org/officeDocument/2006/relationships/hyperlink" Target="https://doi.org/10.1080/23311908.2019.1664205" TargetMode="External"/><Relationship Id="rId72" Type="http://schemas.openxmlformats.org/officeDocument/2006/relationships/hyperlink" Target="https://doi.org/10.1016/j.jii.2019.04.001" TargetMode="External"/><Relationship Id="rId80" Type="http://schemas.openxmlformats.org/officeDocument/2006/relationships/hyperlink" Target="https://doi.org/10.1111/jan.14769" TargetMode="External"/><Relationship Id="rId85" Type="http://schemas.openxmlformats.org/officeDocument/2006/relationships/hyperlink" Target="https://doi.org/10.1186/s12912-021-00726-9"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cid.org/0000-0001-8752-3856" TargetMode="External"/><Relationship Id="rId25" Type="http://schemas.openxmlformats.org/officeDocument/2006/relationships/image" Target="media/image4.svg"/><Relationship Id="rId33" Type="http://schemas.openxmlformats.org/officeDocument/2006/relationships/hyperlink" Target="https://doi.org/10.3390/app11157146" TargetMode="External"/><Relationship Id="rId38" Type="http://schemas.openxmlformats.org/officeDocument/2006/relationships/hyperlink" Target="https://doi.org/10.11144/Javeriana.upsy15-1.vsmw" TargetMode="External"/><Relationship Id="rId46" Type="http://schemas.openxmlformats.org/officeDocument/2006/relationships/hyperlink" Target="https://doi.org/10.5123/S1679-49742015000200017" TargetMode="External"/><Relationship Id="rId59" Type="http://schemas.openxmlformats.org/officeDocument/2006/relationships/hyperlink" Target="https://doi.org/10.2147/rru.s220219" TargetMode="External"/><Relationship Id="rId67" Type="http://schemas.openxmlformats.org/officeDocument/2006/relationships/hyperlink" Target="https://doi.org/10.1002/nop2.785" TargetMode="External"/><Relationship Id="rId20" Type="http://schemas.openxmlformats.org/officeDocument/2006/relationships/hyperlink" Target="http://orcid.org/0000-0001-7389-3178" TargetMode="External"/><Relationship Id="rId41" Type="http://schemas.openxmlformats.org/officeDocument/2006/relationships/hyperlink" Target="https://doi.org/10.3390/brainsci10120994" TargetMode="External"/><Relationship Id="rId54" Type="http://schemas.openxmlformats.org/officeDocument/2006/relationships/hyperlink" Target="https://doi.org/10.1371/journal.pone.0205334" TargetMode="External"/><Relationship Id="rId62" Type="http://schemas.openxmlformats.org/officeDocument/2006/relationships/hyperlink" Target="https://doi.org/10.1213/ANE.0000000000001067" TargetMode="External"/><Relationship Id="rId70" Type="http://schemas.openxmlformats.org/officeDocument/2006/relationships/hyperlink" Target="https://doi.org/10.4103/jehp.jehp_1076_200" TargetMode="External"/><Relationship Id="rId75" Type="http://schemas.openxmlformats.org/officeDocument/2006/relationships/hyperlink" Target="https://doi.org/10.20873/2526-1487e023021" TargetMode="External"/><Relationship Id="rId83" Type="http://schemas.openxmlformats.org/officeDocument/2006/relationships/hyperlink" Target="https://doi.org/10.1111%20/%20j.1365-2648.2005.03621.x"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2-9150-2254" TargetMode="External"/><Relationship Id="rId28" Type="http://schemas.openxmlformats.org/officeDocument/2006/relationships/hyperlink" Target="http://doi.org/10.1080/00140139.2016.1216171" TargetMode="External"/><Relationship Id="rId36" Type="http://schemas.openxmlformats.org/officeDocument/2006/relationships/hyperlink" Target="https://doi.org/10.1080/00140139.2011.596948" TargetMode="External"/><Relationship Id="rId49" Type="http://schemas.openxmlformats.org/officeDocument/2006/relationships/hyperlink" Target="https://doi.org/10.1016/j.urology.2015.07.028" TargetMode="External"/><Relationship Id="rId57" Type="http://schemas.openxmlformats.org/officeDocument/2006/relationships/hyperlink" Target="https://doi.org/10.1371/journal.pone.0199661" TargetMode="External"/><Relationship Id="rId10" Type="http://schemas.openxmlformats.org/officeDocument/2006/relationships/hyperlink" Target="https://orcid.org/0000-0002-1274-7633" TargetMode="External"/><Relationship Id="rId31" Type="http://schemas.openxmlformats.org/officeDocument/2006/relationships/hyperlink" Target="http://europepmc.org/abstract/med/27183939" TargetMode="External"/><Relationship Id="rId44" Type="http://schemas.openxmlformats.org/officeDocument/2006/relationships/hyperlink" Target="https://dialnet.unirioja.es/servlet/articulo?codigo=1119140" TargetMode="External"/><Relationship Id="rId52" Type="http://schemas.openxmlformats.org/officeDocument/2006/relationships/hyperlink" Target="https://doi.org/10.1177/0018720813490727" TargetMode="External"/><Relationship Id="rId60" Type="http://schemas.openxmlformats.org/officeDocument/2006/relationships/hyperlink" Target="http://doi.org/10.1177/0018720814539505" TargetMode="External"/><Relationship Id="rId65" Type="http://schemas.openxmlformats.org/officeDocument/2006/relationships/hyperlink" Target="https://doi.org/10.1080/1463922X.2017.1397228" TargetMode="External"/><Relationship Id="rId73" Type="http://schemas.openxmlformats.org/officeDocument/2006/relationships/hyperlink" Target="https://doi.org/10.1080/00140139.2021.1992021" TargetMode="External"/><Relationship Id="rId78" Type="http://schemas.openxmlformats.org/officeDocument/2006/relationships/hyperlink" Target="http://old.bmrat.org/index.php/BMRAT/article/view/226" TargetMode="External"/><Relationship Id="rId81" Type="http://schemas.openxmlformats.org/officeDocument/2006/relationships/hyperlink" Target="https://doi.org/10.1016/j.trf.2013.12.005" TargetMode="External"/><Relationship Id="rId86" Type="http://schemas.openxmlformats.org/officeDocument/2006/relationships/hyperlink" Target="https://doi.org/10.108/00140139.2014.956151"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orcid.org/0000-0003-4671-3498" TargetMode="External"/><Relationship Id="rId18" Type="http://schemas.openxmlformats.org/officeDocument/2006/relationships/hyperlink" Target="https://orcid.org/0000-0001-7128-7414" TargetMode="External"/><Relationship Id="rId39" Type="http://schemas.openxmlformats.org/officeDocument/2006/relationships/hyperlink" Target="https://doi.org/10.1016/j.apergo.2018.08.028" TargetMode="External"/><Relationship Id="rId34" Type="http://schemas.openxmlformats.org/officeDocument/2006/relationships/hyperlink" Target="https://doi.org/10.1016/j.ergon.2021.103233" TargetMode="External"/><Relationship Id="rId50" Type="http://schemas.openxmlformats.org/officeDocument/2006/relationships/hyperlink" Target="https://doi.org/10.1016/S0166-4115(08)62386-9" TargetMode="External"/><Relationship Id="rId55" Type="http://schemas.openxmlformats.org/officeDocument/2006/relationships/hyperlink" Target="https://doi.org/0.5406/amerjpsyc.127.1.0107" TargetMode="External"/><Relationship Id="rId76" Type="http://schemas.openxmlformats.org/officeDocument/2006/relationships/hyperlink" Target="https://doi.org/10.3389/fpubh.2021.683388" TargetMode="External"/><Relationship Id="rId7" Type="http://schemas.openxmlformats.org/officeDocument/2006/relationships/hyperlink" Target="https://doi.org/10.30849/ripijp.v58i1.1894" TargetMode="External"/><Relationship Id="rId71" Type="http://schemas.openxmlformats.org/officeDocument/2006/relationships/hyperlink" Target="https://doi.org/10.1136/bmj.n71"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doi.org/10.1016/j.ergon.2018.04.005" TargetMode="External"/><Relationship Id="rId40" Type="http://schemas.openxmlformats.org/officeDocument/2006/relationships/hyperlink" Target="https://doi.org/10.1080/10803548.2021.1994750" TargetMode="External"/><Relationship Id="rId45" Type="http://schemas.openxmlformats.org/officeDocument/2006/relationships/hyperlink" Target="about:blank" TargetMode="External"/><Relationship Id="rId66" Type="http://schemas.openxmlformats.org/officeDocument/2006/relationships/hyperlink" Target="https://doi.org/10.1080/00140139.2013.776702" TargetMode="External"/><Relationship Id="rId87" Type="http://schemas.openxmlformats.org/officeDocument/2006/relationships/header" Target="header1.xml"/><Relationship Id="rId61" Type="http://schemas.openxmlformats.org/officeDocument/2006/relationships/hyperlink" Target="https://doi.org/10.1016/j.adro.2020.09.008" TargetMode="External"/><Relationship Id="rId82" Type="http://schemas.openxmlformats.org/officeDocument/2006/relationships/hyperlink" Target="https://doi.org/10.1093/eurpub/ckw164.082" TargetMode="External"/><Relationship Id="rId19" Type="http://schemas.openxmlformats.org/officeDocument/2006/relationships/hyperlink" Target="https://orcid.org/0009-0008-2895-85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karenrtpsico@gmail.com?subject=Evidencias%20de%20confiabilidad%20y%20validez%20de%20los%20instrumentos%20utilizados%20para%20medir%20la%20carga%20de%20trabajo%20mental:%20una%20revisi&#243;n%20integrativa%20de%20la%20literatu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DDF7F-EA25-4F5B-9822-9BA5EE12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7862</Words>
  <Characters>44815</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17</cp:revision>
  <cp:lastPrinted>2024-06-20T22:42:00Z</cp:lastPrinted>
  <dcterms:created xsi:type="dcterms:W3CDTF">2024-06-20T22:32:00Z</dcterms:created>
  <dcterms:modified xsi:type="dcterms:W3CDTF">2024-06-26T23:52:00Z</dcterms:modified>
</cp:coreProperties>
</file>