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2ADD4D57" w:rsidR="00742E4A" w:rsidRPr="00732110" w:rsidRDefault="00153DC5" w:rsidP="00732110">
      <w:pPr>
        <w:pStyle w:val="Titulodeartculo"/>
        <w:rPr>
          <w:lang w:val="es-CL" w:eastAsia="pt-BR"/>
        </w:rPr>
      </w:pPr>
      <w:r w:rsidRPr="00732110">
        <w:rPr>
          <w:lang w:val="es-CL"/>
        </w:rPr>
        <w:t xml:space="preserve"> </w:t>
      </w:r>
      <w:r w:rsidR="00732110" w:rsidRPr="00732110">
        <w:t>Competencias ciudadanas, actitud hacia la política y participación en estudiantes de Psicología de universidades privadas en Chile</w:t>
      </w:r>
    </w:p>
    <w:p w14:paraId="166E5255" w14:textId="2E8511A3" w:rsidR="00C413D4" w:rsidRPr="00732110" w:rsidRDefault="00C413D4" w:rsidP="00DE1119">
      <w:pPr>
        <w:rPr>
          <w:b/>
          <w:lang w:val="es-CL"/>
        </w:rPr>
      </w:pPr>
    </w:p>
    <w:p w14:paraId="0BAD9FA3" w14:textId="098C1666" w:rsidR="00C413D4" w:rsidRPr="00732110" w:rsidRDefault="00C413D4" w:rsidP="00C413D4">
      <w:pPr>
        <w:rPr>
          <w:rFonts w:ascii="Times" w:hAnsi="Times"/>
          <w:i/>
          <w:sz w:val="28"/>
          <w:szCs w:val="28"/>
          <w:lang w:val="es-CL"/>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732110" w:rsidRDefault="00C413D4" w:rsidP="00C413D4">
      <w:pPr>
        <w:rPr>
          <w:b/>
          <w:sz w:val="20"/>
          <w:szCs w:val="20"/>
          <w:lang w:val="es-CL"/>
        </w:rPr>
      </w:pPr>
    </w:p>
    <w:p w14:paraId="61F0B918" w14:textId="7AB7DCB9" w:rsidR="00C43335" w:rsidRPr="006F676F" w:rsidRDefault="00C413D4" w:rsidP="00C43335">
      <w:pPr>
        <w:pStyle w:val="TtuloResumen"/>
        <w:rPr>
          <w:lang w:val="en-US"/>
        </w:rPr>
      </w:pPr>
      <w:r w:rsidRPr="006F676F">
        <w:rPr>
          <w:lang w:val="en-US"/>
        </w:rPr>
        <w:t>Abstract</w:t>
      </w:r>
    </w:p>
    <w:p w14:paraId="0BF1C075" w14:textId="3FF1FCB3" w:rsidR="00C413D4" w:rsidRPr="00732110" w:rsidRDefault="00732110" w:rsidP="005B5614">
      <w:pPr>
        <w:jc w:val="both"/>
        <w:rPr>
          <w:sz w:val="20"/>
          <w:szCs w:val="20"/>
          <w:lang w:val="en-US"/>
        </w:rPr>
      </w:pPr>
      <w:r w:rsidRPr="00732110">
        <w:rPr>
          <w:sz w:val="20"/>
          <w:szCs w:val="20"/>
          <w:lang w:val="en-US"/>
        </w:rPr>
        <w:t>Approaching psychology from a social perspective is one of the main challenges of the discipline in the current Latin American political context, being the incorporation of citizenship, politics and participation in practice and professional training one of them. The objective of this research was to analyze the relationships between citizenship competencies and attitudes towards politics as predictors of participation/non-participation in a sample of 416 psychology students. It was appreciated that action, empathy, generation of democratic environments, efficacy, optimism, and political involvement act as predictors of participation in these students. The importance of incorporating these variables is discussed as a contribution to the depth of social psychological understanding from a critical perspective in the training, practice, and function of psychology as a political and participatory agent.</w:t>
      </w:r>
    </w:p>
    <w:p w14:paraId="547103FF" w14:textId="77777777" w:rsidR="00C413D4" w:rsidRPr="0073211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3320F61B" w:rsidR="00153DC5" w:rsidRDefault="00732110" w:rsidP="007A7C7C">
      <w:pPr>
        <w:jc w:val="both"/>
        <w:rPr>
          <w:sz w:val="20"/>
          <w:szCs w:val="20"/>
          <w:lang w:val="en-US"/>
        </w:rPr>
      </w:pPr>
      <w:r w:rsidRPr="00732110">
        <w:rPr>
          <w:sz w:val="20"/>
          <w:szCs w:val="20"/>
          <w:lang w:val="en-US"/>
        </w:rPr>
        <w:t>Competences; Participation; Citizenship; Psychology, Policy</w:t>
      </w:r>
      <w:r>
        <w:rPr>
          <w:sz w:val="20"/>
          <w:szCs w:val="20"/>
          <w:lang w:val="en-US"/>
        </w:rPr>
        <w:t>.</w:t>
      </w:r>
    </w:p>
    <w:p w14:paraId="128E393C" w14:textId="77777777" w:rsidR="00732110" w:rsidRPr="00732110" w:rsidRDefault="00732110" w:rsidP="007A7C7C">
      <w:pPr>
        <w:jc w:val="both"/>
        <w:rPr>
          <w:bCs/>
          <w:sz w:val="16"/>
          <w:szCs w:val="16"/>
          <w:lang w:val="en-US"/>
        </w:rPr>
      </w:pP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32D6BA22" w14:textId="79B874FF" w:rsidR="00153DC5" w:rsidRPr="00732110" w:rsidRDefault="00732110" w:rsidP="005B5614">
      <w:pPr>
        <w:jc w:val="both"/>
        <w:rPr>
          <w:sz w:val="20"/>
          <w:szCs w:val="20"/>
          <w:lang w:val="es-AR"/>
        </w:rPr>
      </w:pPr>
      <w:r w:rsidRPr="00732110">
        <w:rPr>
          <w:rFonts w:eastAsia="Garamond"/>
          <w:sz w:val="20"/>
          <w:szCs w:val="20"/>
        </w:rPr>
        <w:t xml:space="preserve">Aproximarse a la psicología desde un ámbito social es uno de los principales desafíos de la disciplina de cara al contexto político actual latinoamericano, siendo la incorporación de la ciudadanía, la política y la participación en la práctica y en la formación profesional uno de ellos. </w:t>
      </w:r>
      <w:r w:rsidRPr="00732110">
        <w:rPr>
          <w:sz w:val="20"/>
          <w:szCs w:val="20"/>
        </w:rPr>
        <w:t xml:space="preserve">El objetivo de esta investigación fue </w:t>
      </w:r>
      <w:r w:rsidRPr="00732110">
        <w:rPr>
          <w:rFonts w:eastAsia="Garamond"/>
          <w:sz w:val="20"/>
          <w:szCs w:val="20"/>
        </w:rPr>
        <w:t>analizar las relaciones entre las competencias ciudadanas y las actitudes hacia la política como predictoras de la participación/no participación</w:t>
      </w:r>
      <w:r w:rsidRPr="00732110">
        <w:rPr>
          <w:sz w:val="20"/>
          <w:szCs w:val="20"/>
        </w:rPr>
        <w:t xml:space="preserve"> en una muestra de 416 estudiantes de psicología. Se apreció que la acción, la empatía, la generación de ambientes democráticos, la eficacia, el optimismo e implicancia política actúan como predictores de la participación en estos estudiantes. Se discute acerca de la importancia de la incorporación de estas variables como aporte a la profundidad de la comprensión social psicológica desde una perspectiva crítica en la formación, el ejercicio y la función de la psicología como agente político y de participación.</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7189B82D" w14:textId="16BC4BD8" w:rsidR="00E55124" w:rsidRPr="00732110" w:rsidRDefault="00732110" w:rsidP="007A7C7C">
      <w:pPr>
        <w:jc w:val="both"/>
        <w:rPr>
          <w:b/>
          <w:lang w:val="es-AR"/>
        </w:rPr>
      </w:pPr>
      <w:r w:rsidRPr="00732110">
        <w:rPr>
          <w:sz w:val="20"/>
          <w:szCs w:val="20"/>
        </w:rPr>
        <w:t>Competencias; Participación; Ciudadanía; Psicología, Política</w:t>
      </w:r>
      <w:r w:rsidR="00E55124" w:rsidRPr="00732110">
        <w:rPr>
          <w:b/>
          <w:noProof/>
          <w:lang w:val="es-A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Pr>
          <w:bCs/>
          <w:noProof/>
          <w:sz w:val="16"/>
          <w:szCs w:val="16"/>
          <w:lang w:val="es-CL"/>
        </w:rPr>
        <w:t>.</w:t>
      </w:r>
    </w:p>
    <w:p w14:paraId="3B35E00C" w14:textId="77777777" w:rsidR="00483D6B" w:rsidRPr="00E25900" w:rsidRDefault="00483D6B" w:rsidP="00B6522A">
      <w:pPr>
        <w:rPr>
          <w:b/>
          <w:lang w:val="es-AR"/>
        </w:rPr>
      </w:pPr>
    </w:p>
    <w:p w14:paraId="3F538DA7" w14:textId="6E40508F" w:rsidR="00153DC5" w:rsidRPr="006F676F" w:rsidRDefault="0059034C" w:rsidP="00761DF5">
      <w:pPr>
        <w:pStyle w:val="Ttuloprincipiodeartculo"/>
        <w:rPr>
          <w:lang w:val="es-CL"/>
        </w:rPr>
      </w:pPr>
      <w:r w:rsidRPr="00E25900">
        <w:rPr>
          <w:lang w:val="es-AR"/>
        </w:rPr>
        <w:br w:type="page"/>
      </w:r>
      <w:r w:rsidR="00761DF5" w:rsidRPr="006F676F">
        <w:rPr>
          <w:rFonts w:eastAsia="Garamond"/>
          <w:lang w:val="es-CL"/>
        </w:rPr>
        <w:lastRenderedPageBreak/>
        <w:t>Competencias ciudadanas, actitud hacia la política y participación en estudiantes de Psicología de universidades privadas en Chile</w:t>
      </w:r>
    </w:p>
    <w:p w14:paraId="4FA726CB" w14:textId="5AE92A15" w:rsidR="006A1BA2" w:rsidRPr="00732110" w:rsidRDefault="00153DC5" w:rsidP="008D6D3D">
      <w:pPr>
        <w:pStyle w:val="Ttulosinternos"/>
        <w:rPr>
          <w:bCs/>
          <w:lang w:val="es-CL"/>
        </w:rPr>
      </w:pPr>
      <w:r w:rsidRPr="006F676F">
        <w:rPr>
          <w:lang w:val="es-CL"/>
        </w:rPr>
        <w:t>Introduc</w:t>
      </w:r>
      <w:r w:rsidR="00107993" w:rsidRPr="006F676F">
        <w:rPr>
          <w:lang w:val="es-CL"/>
        </w:rPr>
        <w:t>ción</w:t>
      </w:r>
    </w:p>
    <w:p w14:paraId="20F210B2"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 xml:space="preserve">Relevar la dimensión social de la psicología parece ser uno de los principales desafíos para la disciplina en el siglo XXI, en particular cuando consideramos que su quehacer profesional ha estado históricamente asociado a marcos epistemológicos e intervenciones marcadamente individualizantes, por sobre la consideración de los aspectos colectivos en el estudio de la subjetividad (Rose, 2008). Estas críticas a la psicología no constituyen un hecho novedoso, sino que forman parte de la crisis de la psicología -y particularmente de la psicología social- iniciada en la segunda mitad del siglo XX, las que han estado dirigidas principalmente a su carácter individualizante, su irrelevancia social y su incapacidad para dar respuesta a las problemáticas que caracterizan la vida en nuestras sociedades contemporáneas (Íñiguez-Rueda, 2003; Ibáñez, 2004). Particularmente desde la psicología social comunitaria, las críticas se han plasmado también en la reconversión de las prácticas tradicionales promoviendo aspectos como la agencia y autogestión de las comunidades, por lo que se presenta la ciudadanía y la participación como eje fundamental de transformación y cambio (Montero, 2009; Castro, 2012). </w:t>
      </w:r>
    </w:p>
    <w:p w14:paraId="57A94247"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En Chile, las discusiones sobre la ciudadanía y la participación social y política han cobrado particular relevancia en los últimos años a consecuencia del resurgimiento de movimientos sociales y políticos liderados por grupos estudiantiles. Dichos movimientos sociales han manifestado públicamente su malestar contra una racionalidad política no ajustada a las reales necesidades de las personas, resultando en políticas públicas extemporáneas que no han contado con el involucramiento y participación de los diversos actores sociales, provocando un profundo descontento de la ciudadanía respecto al manejo y gobernanza general del país (Morales, 2020).</w:t>
      </w:r>
    </w:p>
    <w:p w14:paraId="7AD9B0F2"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 xml:space="preserve">Frente a este escenario, el mundo académico y profesional no ha permanecido ausente, por lo que desde ambos frentes la participación en la discusión política y en el propio movimiento social ha sido particularmente activa desde el ámbito profesional de las ciencias sociales, compartiendo una mirada crítica frente a la institucionalidad política y una actitud empática con los movimientos sociales, al tiempo que busca aportar marcos éticos y explicativos para la comprensión del problema y la generación de acciones (Morales, 2020; Spyer Dulci &amp; Alvarado Sadivia, 2021).   </w:t>
      </w:r>
    </w:p>
    <w:p w14:paraId="4540F35F"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lastRenderedPageBreak/>
        <w:t xml:space="preserve">A partir de esta mirada crítica, algunas vertientes de la disciplina -como la psicología comunitaria -, han señalado que la ciudadanía, la participación y la política en psicología no tan solo debería atender a dimensiones teóricas y epistemológicas de los procesos psicológicos y políticos, sino que también a un profundo involucramiento con la </w:t>
      </w:r>
      <w:r w:rsidRPr="00761DF5">
        <w:rPr>
          <w:rFonts w:eastAsia="Garamond"/>
          <w:i/>
          <w:iCs/>
        </w:rPr>
        <w:t>praxis</w:t>
      </w:r>
      <w:r w:rsidRPr="00761DF5">
        <w:rPr>
          <w:rFonts w:eastAsia="Garamond"/>
        </w:rPr>
        <w:t xml:space="preserve"> sociocultural, traduciéndose concretamente en participación (Montero, 2009), evitando profundizar la representación social cada vez más arraigada de que la disciplina no ayuda a resolver los problemas, sino más bien los agudiza producto de sus </w:t>
      </w:r>
      <w:r w:rsidRPr="00761DF5">
        <w:rPr>
          <w:rFonts w:eastAsia="Garamond"/>
          <w:i/>
        </w:rPr>
        <w:t>saberes</w:t>
      </w:r>
      <w:r w:rsidRPr="00761DF5">
        <w:rPr>
          <w:rFonts w:eastAsia="Garamond"/>
        </w:rPr>
        <w:t>-</w:t>
      </w:r>
      <w:r w:rsidRPr="00761DF5">
        <w:rPr>
          <w:rFonts w:eastAsia="Garamond"/>
          <w:i/>
        </w:rPr>
        <w:t>psi</w:t>
      </w:r>
      <w:r w:rsidRPr="00761DF5">
        <w:rPr>
          <w:rFonts w:eastAsia="Garamond"/>
        </w:rPr>
        <w:t xml:space="preserve"> descontextualizados (Ramírez-Botero, 2008). </w:t>
      </w:r>
    </w:p>
    <w:p w14:paraId="188443EA" w14:textId="77777777" w:rsidR="00761DF5" w:rsidRPr="00761DF5" w:rsidRDefault="00761DF5" w:rsidP="00761DF5">
      <w:pPr>
        <w:spacing w:line="360" w:lineRule="auto"/>
        <w:ind w:firstLine="720"/>
        <w:jc w:val="both"/>
        <w:rPr>
          <w:rFonts w:eastAsia="Garamond"/>
        </w:rPr>
      </w:pPr>
      <w:r w:rsidRPr="00761DF5">
        <w:rPr>
          <w:rFonts w:eastAsia="Garamond"/>
        </w:rPr>
        <w:t>Con todo, abordar la ciudadanía en psicología es y ha sido un asunto complejo y controvertido, tal como lo ha sido asumir la dimensión política del quehacer psicológico, pese a las distintas afirmaciones que señalan que toda psicología es política, en forma consciente o no, porque “coloca su saber al servicio de intereses políticos” (Barrero, 2017, p.21), pudiendo oscilar entre el poder, el control y la ideología, o bien entre la autonomía, la libertad y la dignidad de las personas (Martín-Baró, 2006). En el ámbito de la formación universitaria, la psicología en general no queda exenta de estas discusiones ya que, si bien se han producido ciertos avances respecto a la integración de lo social y lo político en el ejercicio formativo y profesional, persiste una resistencia hacia la inclusión de cuestiones como la ciudadanía, la actitud hacia la política y la participación social al interior de la disciplina, producto de la herencia moderna de una concepción de lo profesional y lo político inspirada en el modelo de una sociedad liberal (Castro-Tejerina, 2016) y una concepción individualista acerca de los sujetos y actores sociales (</w:t>
      </w:r>
      <w:proofErr w:type="spellStart"/>
      <w:r w:rsidRPr="00761DF5">
        <w:rPr>
          <w:rFonts w:eastAsia="Garamond"/>
        </w:rPr>
        <w:t>Martuccelli</w:t>
      </w:r>
      <w:proofErr w:type="spellEnd"/>
      <w:r w:rsidRPr="00761DF5">
        <w:rPr>
          <w:rFonts w:eastAsia="Garamond"/>
        </w:rPr>
        <w:t xml:space="preserve">, 2019), reflejada en las instituciones de educación superior donde se realiza la formación profesional (Zurita Garrido, 2015). </w:t>
      </w:r>
    </w:p>
    <w:p w14:paraId="7739FAB0"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 xml:space="preserve">Conceptualmente, la ciudadanía es una actividad donde las personas y los pueblos son importantes si participan en la vida pública, involucrando el respeto e igualdad por el trato entre las personas pertenecientes a sociedades democráticas (Cortina, 1998; Fraser &amp; Gordon, 1992). La actitud hacia la política se define como una representación u orientación adquirida, diversa y relativamente estable, que incluye sentimientos, creencias, valores, motivaciones y experiencias entrelazadas que definen el comportamiento público y/o la posición política de una persona en torno a su participación o condición ciudadana, actuando como una evaluación respecto a la propia experiencia política como placentera/displacentera (Arias et al., 2017). Para Bedolla-Ramírez y Reyes-Lagunes (2012) han señalado que las actitudes serían uno de los mejores tópicos para </w:t>
      </w:r>
      <w:r w:rsidRPr="00761DF5">
        <w:rPr>
          <w:rFonts w:eastAsia="Garamond"/>
        </w:rPr>
        <w:lastRenderedPageBreak/>
        <w:t>explicar la participación política y cívica, aunque éstas deben tener necesariamente un componente motivacional que influya en la evaluación positiva o negativa que realizan respecto a esta participación. En este punto específico, la participación juvenil como acción política, ha sido catalogada como desinstitucionalizada, violenta y peligrosa producto de su crítica sobre el escenario actual y los devenires que presenta, abandonándose su concepción como voz de alerta profundamente política, descrita como un proceso de inclusión profundamente excluyente, donde se reconoce la importancia de involucrar a las nuevas generaciones y su experiencia en un sistema que tan solo actúa para ‘escuchar’, pero no para involucrar dichas voces (Reguillo, 2004).</w:t>
      </w:r>
    </w:p>
    <w:p w14:paraId="3E0E1F8D"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 xml:space="preserve">En el ámbito de la formación universitaria y profesional, la pregunta acerca del rol político de la psicología y sus actores sigue siendo hoy escasamente formulada y más bien omitida en virtud de una formación aislada de la realidad sociopolítica (Barrero, 2015). Sin embargo, frente al escenario social y político observado actualmente tanto en Chile como en toda la región, se trata de una pregunta cuya formulación y respuesta constituye un imperativo ético si efectivamente se busca formar profesionales no sólo idóneos en términos de su formación técnica, sino también de su rol ciudadano y su responsabilidad frente a la sociedad en la que viven y trabajan. Cabe aquí agregar, desde una perspectiva de la ética profesional y la valoración de la participación social y política, que la opinión de los propios estudiantes o profesionales en formación ha sido escasamente investigada y relevada. </w:t>
      </w:r>
    </w:p>
    <w:p w14:paraId="478BEA07"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 xml:space="preserve">En el ámbito formativo, diversos autores a nivel nacional e internacional han señalado la importancia de formar psicólogos/as competentes con el fin de garantizar su calidad profesional, su especialización y, por cierto, su inclusión laboral, siendo el denominado </w:t>
      </w:r>
      <w:r w:rsidRPr="00761DF5">
        <w:rPr>
          <w:rFonts w:eastAsia="Garamond"/>
          <w:i/>
          <w:iCs/>
        </w:rPr>
        <w:t>modelo de formación por competencias</w:t>
      </w:r>
      <w:r w:rsidRPr="00761DF5">
        <w:rPr>
          <w:rFonts w:eastAsia="Garamond"/>
        </w:rPr>
        <w:t xml:space="preserve"> actualmente un verdadero paradigma hegemónico respecto a la enseñanza profesional (Amador-Soriano et al., 2018; Castro, 2014; Juliá, 2006). En este sentido, se hace necesario analizar críticamente el sentido de los modelos con que la formación en psicología se ha desarrollado, así como las competencias específicas sobre las cuales se ha desarrollado este enfoque, con el fin de resignificar la calidad y los resultados profesionales que demanda no tan solo el país, sino también la región y la globalización. </w:t>
      </w:r>
    </w:p>
    <w:p w14:paraId="10418E3F"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 xml:space="preserve">Sin embargo, el escenario actual demanda abordar críticamente el concepto de </w:t>
      </w:r>
      <w:r w:rsidRPr="00761DF5">
        <w:rPr>
          <w:rFonts w:eastAsia="Garamond"/>
          <w:i/>
          <w:iCs/>
        </w:rPr>
        <w:t>competencia</w:t>
      </w:r>
      <w:r w:rsidRPr="00761DF5">
        <w:rPr>
          <w:rFonts w:eastAsia="Garamond"/>
        </w:rPr>
        <w:t xml:space="preserve"> desde las bases socioculturales y contextuales de su génesis, así como también de su apropiación regional. Peiró (2003) ha señalado que las competencias de una profesión no pueden separarse del contexto particular donde se despliegan y que, por consiguiente, requieren ser supervisadas en </w:t>
      </w:r>
      <w:r w:rsidRPr="00761DF5">
        <w:rPr>
          <w:rFonts w:eastAsia="Garamond"/>
        </w:rPr>
        <w:lastRenderedPageBreak/>
        <w:t>alguno de los ámbitos de ejercicio profesional específicos. Si se considera entonces el contexto latinoamericano actual y sus vertiginosos cambios y volatilidades, ¿de qué forma puede involucrarse este modelo por competencias con la ciudadanía y la participación en psicología?</w:t>
      </w:r>
    </w:p>
    <w:p w14:paraId="59E2CFE4"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 xml:space="preserve">Una eventual respuesta se encuentra en las denominadas </w:t>
      </w:r>
      <w:r w:rsidRPr="00761DF5">
        <w:rPr>
          <w:rFonts w:eastAsia="Garamond"/>
          <w:i/>
          <w:iCs/>
        </w:rPr>
        <w:t xml:space="preserve">competencias ciudadanas </w:t>
      </w:r>
      <w:r w:rsidRPr="00761DF5">
        <w:rPr>
          <w:rFonts w:eastAsia="Garamond"/>
        </w:rPr>
        <w:t>(CC), herederas de un proceso de colaboración interuniversitario latinoamericano cuyo fin fue definir una serie de competencias esperables para la formación profesional a nivel regional</w:t>
      </w:r>
      <w:r w:rsidRPr="00761DF5">
        <w:rPr>
          <w:rFonts w:eastAsia="Garamond"/>
          <w:vertAlign w:val="superscript"/>
        </w:rPr>
        <w:footnoteReference w:id="1"/>
      </w:r>
      <w:r w:rsidRPr="00761DF5">
        <w:rPr>
          <w:rFonts w:eastAsia="Garamond"/>
        </w:rPr>
        <w:t xml:space="preserve">. Particularmente, la preocupación por las </w:t>
      </w:r>
      <w:r w:rsidRPr="00761DF5">
        <w:rPr>
          <w:rFonts w:eastAsia="Garamond"/>
          <w:iCs/>
        </w:rPr>
        <w:t>competencias ciudadanas</w:t>
      </w:r>
      <w:r w:rsidRPr="00761DF5">
        <w:rPr>
          <w:rFonts w:eastAsia="Garamond"/>
          <w:i/>
        </w:rPr>
        <w:t xml:space="preserve"> </w:t>
      </w:r>
      <w:r w:rsidRPr="00761DF5">
        <w:rPr>
          <w:rFonts w:eastAsia="Garamond"/>
        </w:rPr>
        <w:t xml:space="preserve">resulta pertinente frente a la contingencia política actual de Chile y las transformaciones sociales que como consecuencia se encuentran en desarrollo, reflotando transversalmente la importancia de la acción política y las diversas formas de participación ciudadana. Estas </w:t>
      </w:r>
      <w:r w:rsidRPr="00761DF5">
        <w:rPr>
          <w:rFonts w:eastAsia="Garamond"/>
          <w:i/>
          <w:iCs/>
        </w:rPr>
        <w:t>competencias ciudadanas</w:t>
      </w:r>
      <w:r w:rsidRPr="00761DF5">
        <w:rPr>
          <w:rFonts w:eastAsia="Garamond"/>
        </w:rPr>
        <w:t xml:space="preserve"> han sido definidas como un conjunto de capacidades y habilidades de orden cognitivo, emocional, comunicacional e integrador -como articulación de las anteriores con un fin moral y político del acto ciudadano en virtud de sus derechos y deberes- (Ruiz &amp; Chaux, 2005), permitiendo que las personas se conviertan en miembros activos de una comunidad, sociedad y/o pueblo organizado política y democráticamente, reconociendo las necesidades colectivas -internas- y territoriales -externas- en base a un adecuado manejo de las relaciones de poder (Rivera Gómez, 2018). </w:t>
      </w:r>
    </w:p>
    <w:p w14:paraId="6F4CAF2D"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 xml:space="preserve">Sin embargo, y pese a su reconocimiento e importancia, las competencias ciudadanas no han sido incorporadas explícitamente en el sistema curricular del país ni tampoco en la formación psicológica. Si bien se aprecian evidencias en la región sobre su tratamiento -como es el caso de Colombia- (Zambrano, 2018; Montaña Contreras &amp; López Guio, 2021), en Chile tan solo se aprecian algunas esporádicas evidencias focalizadas en: 1) el ámbito de la educación escolar y el ejercicio docente (Carrillo Mardones et al., 2018; Salinas et al., 2020), 2) en la participación política gremial del Trabajo Social (Santana &amp; Hernández, 2012), 3) en estudios sobre la desafección política y cómo ésta impacta en la participación (Disi &amp; Mardones, 2019), 4) la relación que tienen estas competencias con el liderazgo educativo (Jara et al., 2019). </w:t>
      </w:r>
    </w:p>
    <w:p w14:paraId="6D698851" w14:textId="77777777" w:rsidR="00761DF5" w:rsidRPr="00761DF5" w:rsidRDefault="00761DF5" w:rsidP="00761DF5">
      <w:pPr>
        <w:pBdr>
          <w:top w:val="nil"/>
          <w:left w:val="nil"/>
          <w:bottom w:val="nil"/>
          <w:right w:val="nil"/>
          <w:between w:val="nil"/>
        </w:pBdr>
        <w:spacing w:line="360" w:lineRule="auto"/>
        <w:ind w:firstLine="720"/>
        <w:jc w:val="both"/>
        <w:rPr>
          <w:rFonts w:eastAsia="Garamond"/>
        </w:rPr>
      </w:pPr>
      <w:r w:rsidRPr="00761DF5">
        <w:rPr>
          <w:rFonts w:eastAsia="Garamond"/>
        </w:rPr>
        <w:t xml:space="preserve">Con todo, se aprecia una profunda escasez de literatura que incorpore la importancia y necesidad de rescatar y reconocer genéricamente las competencias ciudadanas. Más aún, si éstas se vinculan a la psicología como parte de la concepción que ésta debe y requiere hacerse cargo de la relación entre el sujeto, los hechos sociales y las actitudes hacia la política, y cómo estos le </w:t>
      </w:r>
      <w:r w:rsidRPr="00761DF5">
        <w:rPr>
          <w:rFonts w:eastAsia="Garamond"/>
        </w:rPr>
        <w:lastRenderedPageBreak/>
        <w:t>afectan, esta escasez es absoluta. A su vez, se desconoce si estas competencias ciudadanas están presentes en psicólogos/as en formación, y cómo éstas eventualmente se relacionan con la participación ciudadana en distintos espacios curriculares y/o extracurriculares.</w:t>
      </w:r>
    </w:p>
    <w:p w14:paraId="3CA5C25A" w14:textId="533DD273" w:rsidR="00107993" w:rsidRPr="00761DF5" w:rsidRDefault="00761DF5" w:rsidP="00761DF5">
      <w:pPr>
        <w:pStyle w:val="Prrafocomn"/>
        <w:rPr>
          <w:lang w:val="es-AR"/>
        </w:rPr>
      </w:pPr>
      <w:r w:rsidRPr="00761DF5">
        <w:rPr>
          <w:rFonts w:eastAsia="Garamond"/>
          <w:lang w:val="es-CL"/>
        </w:rPr>
        <w:t xml:space="preserve">A partir de lo anterior, el objetivo de esta investigación </w:t>
      </w:r>
      <w:r w:rsidR="004306F6">
        <w:rPr>
          <w:rFonts w:eastAsia="Garamond"/>
          <w:lang w:val="es-CL"/>
        </w:rPr>
        <w:t>fue</w:t>
      </w:r>
      <w:r w:rsidRPr="00761DF5">
        <w:rPr>
          <w:rFonts w:eastAsia="Garamond"/>
          <w:lang w:val="es-CL"/>
        </w:rPr>
        <w:t xml:space="preserve"> analizar las relaciones existentes entre las competencias ciudadanas y las actitudes hacia la política- como variables predictoras- en función de la participación/no participación en organizaciones socio-comunitarias o educacionales, formales o no formales. Adicionalmente, se ha considerado de interés comenzar esta exploración en universidades privadas no tradicionales, puesto que aquí la evidencia es aún más escasa, </w:t>
      </w:r>
      <w:r w:rsidR="004306F6">
        <w:rPr>
          <w:rFonts w:eastAsia="Garamond"/>
          <w:lang w:val="es-CL"/>
        </w:rPr>
        <w:t>a raíz</w:t>
      </w:r>
      <w:r w:rsidRPr="00761DF5">
        <w:rPr>
          <w:rFonts w:eastAsia="Garamond"/>
          <w:lang w:val="es-CL"/>
        </w:rPr>
        <w:t xml:space="preserve"> que estas han respondido a un tipo de formación por competencias basada en exigencias académicas de alto énfasis individual, eximiendo de toda participación política a sus estudiantes (Zurita Garrido, 2015)</w:t>
      </w:r>
      <w:r w:rsidR="00107993" w:rsidRPr="00761DF5">
        <w:rPr>
          <w:lang w:val="es-AR"/>
        </w:rPr>
        <w:t>.</w:t>
      </w:r>
    </w:p>
    <w:p w14:paraId="60781D54" w14:textId="7B09FA53" w:rsidR="001032ED" w:rsidRPr="008D6D3D" w:rsidRDefault="001516ED" w:rsidP="008D6D3D">
      <w:pPr>
        <w:pStyle w:val="Ttulosinternos"/>
        <w:rPr>
          <w:lang w:val="es-CL"/>
        </w:rPr>
      </w:pPr>
      <w:r w:rsidRPr="008D6D3D">
        <w:rPr>
          <w:lang w:val="es-CL"/>
        </w:rPr>
        <w:t>M</w:t>
      </w:r>
      <w:r w:rsidR="00107993" w:rsidRPr="008D6D3D">
        <w:rPr>
          <w:lang w:val="es-CL"/>
        </w:rPr>
        <w:t>étodo</w:t>
      </w:r>
    </w:p>
    <w:p w14:paraId="45C5C6E9" w14:textId="5D6A55DD" w:rsidR="008D6D3D" w:rsidRPr="005B24FF" w:rsidRDefault="008D6D3D" w:rsidP="008D6D3D">
      <w:pPr>
        <w:pStyle w:val="SubtituloInterno"/>
        <w:rPr>
          <w:rFonts w:eastAsia="Calibri"/>
          <w:lang w:val="es-AR"/>
        </w:rPr>
      </w:pPr>
      <w:r>
        <w:rPr>
          <w:rFonts w:eastAsia="Calibri"/>
          <w:lang w:val="es-ES_tradnl"/>
        </w:rPr>
        <w:t>Diseño</w:t>
      </w:r>
    </w:p>
    <w:p w14:paraId="5F3E6B3B" w14:textId="48CB7ECB" w:rsidR="00107993" w:rsidRPr="004306F6" w:rsidRDefault="004306F6" w:rsidP="004306F6">
      <w:pPr>
        <w:pStyle w:val="Sinespaciado"/>
        <w:spacing w:line="360" w:lineRule="auto"/>
        <w:ind w:firstLine="720"/>
        <w:jc w:val="both"/>
        <w:rPr>
          <w:rFonts w:ascii="Times New Roman" w:hAnsi="Times New Roman" w:cs="Times New Roman"/>
          <w:sz w:val="24"/>
          <w:szCs w:val="24"/>
        </w:rPr>
      </w:pPr>
      <w:r w:rsidRPr="00D2048F">
        <w:rPr>
          <w:rFonts w:ascii="Times New Roman" w:hAnsi="Times New Roman" w:cs="Times New Roman"/>
          <w:sz w:val="24"/>
          <w:szCs w:val="24"/>
        </w:rPr>
        <w:t>Se realizó una investigación de corte cuantitativo con diseño predictivo transversal</w:t>
      </w:r>
      <w:r w:rsidR="001A3A15">
        <w:rPr>
          <w:rFonts w:ascii="Times New Roman" w:hAnsi="Times New Roman" w:cs="Times New Roman"/>
          <w:sz w:val="24"/>
          <w:szCs w:val="24"/>
        </w:rPr>
        <w:t>, no experimental</w:t>
      </w:r>
      <w:r w:rsidRPr="00D2048F">
        <w:rPr>
          <w:rFonts w:ascii="Times New Roman" w:hAnsi="Times New Roman" w:cs="Times New Roman"/>
          <w:sz w:val="24"/>
          <w:szCs w:val="24"/>
        </w:rPr>
        <w:t xml:space="preserve"> (Ato et al., 2013). Se consideraron tres variables: 1) competencias ciudadanas, 2) actitud hacia la política, y 3) participación estudiantil -en instituciones </w:t>
      </w:r>
      <w:r w:rsidRPr="00D2048F">
        <w:rPr>
          <w:rFonts w:ascii="Times New Roman" w:hAnsi="Times New Roman" w:cs="Times New Roman"/>
          <w:i/>
          <w:iCs/>
          <w:sz w:val="24"/>
          <w:szCs w:val="24"/>
        </w:rPr>
        <w:t>ad-hoc</w:t>
      </w:r>
      <w:r w:rsidRPr="00D2048F">
        <w:rPr>
          <w:rFonts w:ascii="Times New Roman" w:hAnsi="Times New Roman" w:cs="Times New Roman"/>
          <w:sz w:val="24"/>
          <w:szCs w:val="24"/>
        </w:rPr>
        <w:t xml:space="preserve"> vinculadas al ámbito universitario y/o socio comunitario-</w:t>
      </w:r>
      <w:r w:rsidR="008D6D3D">
        <w:rPr>
          <w:rFonts w:ascii="Times New Roman" w:hAnsi="Times New Roman" w:cs="Times New Roman"/>
          <w:sz w:val="24"/>
          <w:szCs w:val="24"/>
        </w:rPr>
        <w:t>, como variable cualitativa dicotomizada</w:t>
      </w:r>
      <w:r>
        <w:rPr>
          <w:rFonts w:ascii="Times New Roman" w:hAnsi="Times New Roman" w:cs="Times New Roman"/>
          <w:sz w:val="24"/>
          <w:szCs w:val="24"/>
        </w:rPr>
        <w:t xml:space="preserve">. </w:t>
      </w:r>
      <w:r w:rsidR="008D6D3D">
        <w:rPr>
          <w:rFonts w:ascii="Times New Roman" w:hAnsi="Times New Roman" w:cs="Times New Roman"/>
          <w:sz w:val="24"/>
          <w:szCs w:val="24"/>
        </w:rPr>
        <w:t xml:space="preserve">Se planteó como hipótesis que las distintas competencias ciudadanas y las actitudes hacia la política </w:t>
      </w:r>
      <w:r w:rsidR="00680260">
        <w:rPr>
          <w:rFonts w:ascii="Times New Roman" w:hAnsi="Times New Roman" w:cs="Times New Roman"/>
          <w:sz w:val="24"/>
          <w:szCs w:val="24"/>
        </w:rPr>
        <w:t xml:space="preserve">se relacionan con </w:t>
      </w:r>
      <w:r w:rsidR="008D6D3D">
        <w:rPr>
          <w:rFonts w:ascii="Times New Roman" w:hAnsi="Times New Roman" w:cs="Times New Roman"/>
          <w:sz w:val="24"/>
          <w:szCs w:val="24"/>
        </w:rPr>
        <w:t xml:space="preserve">la decisión de </w:t>
      </w:r>
      <w:r w:rsidR="00680260">
        <w:rPr>
          <w:rFonts w:ascii="Times New Roman" w:hAnsi="Times New Roman" w:cs="Times New Roman"/>
          <w:sz w:val="24"/>
          <w:szCs w:val="24"/>
        </w:rPr>
        <w:t>participación/no participación de</w:t>
      </w:r>
      <w:r w:rsidR="008D6D3D">
        <w:rPr>
          <w:rFonts w:ascii="Times New Roman" w:hAnsi="Times New Roman" w:cs="Times New Roman"/>
          <w:sz w:val="24"/>
          <w:szCs w:val="24"/>
        </w:rPr>
        <w:t xml:space="preserve"> los y las estudiantes de psicología de universidades privadas </w:t>
      </w:r>
      <w:r w:rsidR="008D6D3D" w:rsidRPr="00680260">
        <w:rPr>
          <w:rFonts w:ascii="Times New Roman" w:hAnsi="Times New Roman" w:cs="Times New Roman"/>
          <w:i/>
          <w:iCs/>
          <w:sz w:val="24"/>
          <w:szCs w:val="24"/>
        </w:rPr>
        <w:t xml:space="preserve">no </w:t>
      </w:r>
      <w:r w:rsidR="00680260" w:rsidRPr="00B85289">
        <w:rPr>
          <w:rFonts w:ascii="Times New Roman" w:hAnsi="Times New Roman" w:cs="Times New Roman"/>
          <w:i/>
          <w:iCs/>
          <w:sz w:val="24"/>
          <w:szCs w:val="24"/>
        </w:rPr>
        <w:t>tradicionales</w:t>
      </w:r>
      <w:r w:rsidR="00680260" w:rsidRPr="00D2048F">
        <w:rPr>
          <w:rStyle w:val="Refdenotaalpie"/>
          <w:rFonts w:ascii="Times New Roman" w:hAnsi="Times New Roman" w:cs="Times New Roman"/>
          <w:sz w:val="24"/>
          <w:szCs w:val="24"/>
        </w:rPr>
        <w:footnoteReference w:id="2"/>
      </w:r>
      <w:r w:rsidR="008D6D3D">
        <w:rPr>
          <w:rFonts w:ascii="Times New Roman" w:hAnsi="Times New Roman" w:cs="Times New Roman"/>
          <w:sz w:val="24"/>
          <w:szCs w:val="24"/>
        </w:rPr>
        <w:t xml:space="preserve"> de Chile.</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506798D9" w14:textId="7D67BC15" w:rsidR="001A3A15" w:rsidRPr="005B24FF" w:rsidRDefault="001A3A15" w:rsidP="001A3A15">
      <w:pPr>
        <w:pStyle w:val="Prrafocomn"/>
        <w:rPr>
          <w:rFonts w:eastAsia="Calibri"/>
          <w:lang w:val="es-AR" w:eastAsia="en-US"/>
        </w:rPr>
      </w:pPr>
      <w:r w:rsidRPr="00B85289">
        <w:rPr>
          <w:lang w:val="es-CL"/>
        </w:rPr>
        <w:t xml:space="preserve">Se realizó un muestreo no probabilístico e incidental conformado por un N=416 perteneciente en su totalidad a estudiantes de la carrera de Psicología de universidades privadas </w:t>
      </w:r>
      <w:r w:rsidRPr="00680260">
        <w:rPr>
          <w:lang w:val="es-CL"/>
        </w:rPr>
        <w:t>no tradicionale</w:t>
      </w:r>
      <w:r w:rsidR="00680260" w:rsidRPr="00680260">
        <w:rPr>
          <w:lang w:val="es-CL"/>
        </w:rPr>
        <w:t>s</w:t>
      </w:r>
      <w:r w:rsidRPr="00B85289">
        <w:rPr>
          <w:lang w:val="es-CL"/>
        </w:rPr>
        <w:t>. La distribución por sexo fue de 35.6 por ciento hombres, 62.5 por ciento mujeres y 1.9 por ciento con identificación distinta a las anteriores</w:t>
      </w:r>
      <w:r>
        <w:rPr>
          <w:lang w:val="es-CL"/>
        </w:rPr>
        <w:t xml:space="preserve"> -no binaria-</w:t>
      </w:r>
      <w:r w:rsidRPr="00B85289">
        <w:rPr>
          <w:lang w:val="es-CL"/>
        </w:rPr>
        <w:t xml:space="preserve">, donde 138 pertenecen a </w:t>
      </w:r>
      <w:r w:rsidRPr="00B85289">
        <w:rPr>
          <w:lang w:val="es-CL"/>
        </w:rPr>
        <w:lastRenderedPageBreak/>
        <w:t>primer año, 110 a segundo, 56 a tercero, 80 a cuarto y 32 a quinto año. La edad media de los/las participantes fue de 20.96 años (D.S.=3.61) al momento de contestar el formulario. Del total, 45 estudiantes indicaron participar en algún espacio de participación social, comunitario o educacional, mientras que 371 señalaron no participar en alguna de estas instancias</w:t>
      </w:r>
      <w:r w:rsidRPr="005B24FF">
        <w:rPr>
          <w:lang w:val="es-AR" w:eastAsia="en-US"/>
        </w:rPr>
        <w:t>.</w:t>
      </w:r>
    </w:p>
    <w:p w14:paraId="2F9EAC08" w14:textId="77777777" w:rsidR="001A3A15" w:rsidRPr="00B85289" w:rsidRDefault="001A3A15" w:rsidP="001A3A15">
      <w:pPr>
        <w:pStyle w:val="SubtituloInterno"/>
        <w:rPr>
          <w:lang w:val="es-CL"/>
        </w:rPr>
      </w:pPr>
      <w:r>
        <w:rPr>
          <w:lang w:val="es-CL"/>
        </w:rPr>
        <w:t>Instrumentos</w:t>
      </w:r>
    </w:p>
    <w:p w14:paraId="753A7EED" w14:textId="77777777" w:rsidR="001A3A15" w:rsidRPr="004B55B6" w:rsidRDefault="001A3A15" w:rsidP="001A3A15">
      <w:pPr>
        <w:pBdr>
          <w:top w:val="nil"/>
          <w:left w:val="nil"/>
          <w:bottom w:val="nil"/>
          <w:right w:val="nil"/>
          <w:between w:val="nil"/>
        </w:pBdr>
        <w:spacing w:line="360" w:lineRule="auto"/>
        <w:ind w:firstLine="720"/>
        <w:jc w:val="both"/>
        <w:rPr>
          <w:rFonts w:eastAsia="Garamond"/>
        </w:rPr>
      </w:pPr>
      <w:r w:rsidRPr="004B55B6">
        <w:rPr>
          <w:color w:val="221E1F"/>
        </w:rPr>
        <w:t xml:space="preserve">Se aplicaron tres instrumentos en relación con las variables de investigación y la caracterización sociodemográfica de la muestra. </w:t>
      </w:r>
      <w:r>
        <w:rPr>
          <w:color w:val="221E1F"/>
        </w:rPr>
        <w:t xml:space="preserve">El primer instrumento tipo cuestionario se </w:t>
      </w:r>
      <w:r w:rsidRPr="004B55B6">
        <w:rPr>
          <w:color w:val="221E1F"/>
        </w:rPr>
        <w:t xml:space="preserve">construyó </w:t>
      </w:r>
      <w:r>
        <w:rPr>
          <w:color w:val="221E1F"/>
        </w:rPr>
        <w:t xml:space="preserve">de forma </w:t>
      </w:r>
      <w:r w:rsidRPr="004B55B6">
        <w:rPr>
          <w:i/>
          <w:iCs/>
          <w:color w:val="221E1F"/>
        </w:rPr>
        <w:t>ad hoc</w:t>
      </w:r>
      <w:r w:rsidRPr="004B55B6">
        <w:rPr>
          <w:color w:val="221E1F"/>
        </w:rPr>
        <w:t xml:space="preserve"> </w:t>
      </w:r>
      <w:r>
        <w:rPr>
          <w:color w:val="221E1F"/>
        </w:rPr>
        <w:t xml:space="preserve">y estuvo </w:t>
      </w:r>
      <w:r w:rsidRPr="004B55B6">
        <w:rPr>
          <w:color w:val="221E1F"/>
        </w:rPr>
        <w:t xml:space="preserve">compuesto de </w:t>
      </w:r>
      <w:r>
        <w:rPr>
          <w:color w:val="221E1F"/>
        </w:rPr>
        <w:t>6</w:t>
      </w:r>
      <w:r w:rsidRPr="004B55B6">
        <w:rPr>
          <w:color w:val="221E1F"/>
        </w:rPr>
        <w:t xml:space="preserve"> ítems (nacionalidad, sexo con que se identifica -hombre, mujer, otra opción- universidad a la que pertenece, semestre</w:t>
      </w:r>
      <w:r>
        <w:rPr>
          <w:color w:val="221E1F"/>
        </w:rPr>
        <w:t xml:space="preserve"> que cursa</w:t>
      </w:r>
      <w:r w:rsidRPr="004B55B6">
        <w:rPr>
          <w:color w:val="221E1F"/>
        </w:rPr>
        <w:t xml:space="preserve">, participación actual en </w:t>
      </w:r>
      <w:r w:rsidRPr="004B55B6">
        <w:t>alguna organización política, social comunitaria y/o educacional -sí/no-, y en caso positivo, a qué tipo de organización pertenece -partido político, educacional, social, comunitaria, otra</w:t>
      </w:r>
      <w:r w:rsidRPr="004B55B6">
        <w:rPr>
          <w:color w:val="221E1F"/>
        </w:rPr>
        <w:t>).</w:t>
      </w:r>
    </w:p>
    <w:p w14:paraId="60244A00" w14:textId="77777777" w:rsidR="001A3A15" w:rsidRPr="005B24FF" w:rsidRDefault="001A3A15" w:rsidP="001A3A15">
      <w:pPr>
        <w:pStyle w:val="Prrafocomn"/>
        <w:rPr>
          <w:lang w:val="es-AR" w:eastAsia="en-US"/>
        </w:rPr>
      </w:pPr>
      <w:r w:rsidRPr="00B85289">
        <w:rPr>
          <w:rFonts w:eastAsia="Garamond"/>
          <w:lang w:val="es-CL"/>
        </w:rPr>
        <w:t xml:space="preserve">Para la variable Competencias Ciudadanas, se consideró la escala de competencias ciudadanas en su versión depurada de Zambrano (2018), la que consta de veintinueve ítems tipo Likert que incluyen 5 factores: acciones (3), emociones (7), empatía (7), ambiente (9) y cognición (3). Su estructura interna reporta un coeficiente de confiabilidad de </w:t>
      </w:r>
      <w:r w:rsidRPr="00D2048F">
        <w:rPr>
          <w:rFonts w:eastAsia="Garamond"/>
        </w:rPr>
        <w:t>α</w:t>
      </w:r>
      <w:r w:rsidRPr="00B85289">
        <w:rPr>
          <w:rFonts w:eastAsia="Garamond"/>
          <w:lang w:val="es-CL"/>
        </w:rPr>
        <w:t xml:space="preserve">=.73 para la escala total. En esta investigación, dicho coeficiente fue de </w:t>
      </w:r>
      <w:r w:rsidRPr="00D2048F">
        <w:rPr>
          <w:rFonts w:eastAsia="Garamond"/>
        </w:rPr>
        <w:t>α</w:t>
      </w:r>
      <w:r w:rsidRPr="00B85289">
        <w:rPr>
          <w:rFonts w:eastAsia="Garamond"/>
          <w:lang w:val="es-CL"/>
        </w:rPr>
        <w:t>=.908. Para las Actitudes hacia la Política, se trabajó con la escala de actitudes hacia la política de Álvarez-Ramírez (2014).</w:t>
      </w:r>
      <w:r w:rsidRPr="00B85289">
        <w:rPr>
          <w:lang w:val="es-CL"/>
        </w:rPr>
        <w:t xml:space="preserve"> </w:t>
      </w:r>
      <w:r w:rsidRPr="00B85289">
        <w:rPr>
          <w:rFonts w:eastAsia="Gungsuh"/>
          <w:lang w:val="es-CL"/>
        </w:rPr>
        <w:t xml:space="preserve">En su versión original, esta escala Likert está conformada por sesenta ítems en 10 distintos factores: satisfacción con la democracia (4), valoración de líderes y partidos políticos (6), eficacia política (5), ubicación ideológica en política (7), participación electoral (15), interés y comprensión de los asuntos públicos (6), confianza política (4), influencia política (4), optimismo político (4), e implicación política (5), mostró una buena confiabilidad y representación en sus factores (0.85 ≤ </w:t>
      </w:r>
      <w:r w:rsidRPr="00D2048F">
        <w:rPr>
          <w:rFonts w:eastAsia="Gungsuh"/>
        </w:rPr>
        <w:t>α</w:t>
      </w:r>
      <w:r w:rsidRPr="00B85289">
        <w:rPr>
          <w:rFonts w:eastAsia="Gungsuh"/>
          <w:lang w:val="es-CL"/>
        </w:rPr>
        <w:t xml:space="preserve"> ≥ 0.74) en</w:t>
      </w:r>
      <w:r w:rsidRPr="00B85289">
        <w:rPr>
          <w:rFonts w:eastAsia="Garamond"/>
          <w:i/>
          <w:lang w:val="es-CL"/>
        </w:rPr>
        <w:t xml:space="preserve"> pre</w:t>
      </w:r>
      <w:r w:rsidRPr="00B85289">
        <w:rPr>
          <w:rFonts w:eastAsia="Garamond"/>
          <w:iCs/>
          <w:lang w:val="es-CL"/>
        </w:rPr>
        <w:t xml:space="preserve"> y </w:t>
      </w:r>
      <w:proofErr w:type="spellStart"/>
      <w:r w:rsidRPr="00B85289">
        <w:rPr>
          <w:rFonts w:eastAsia="Garamond"/>
          <w:i/>
          <w:lang w:val="es-CL"/>
        </w:rPr>
        <w:t>retest</w:t>
      </w:r>
      <w:proofErr w:type="spellEnd"/>
      <w:r w:rsidRPr="00B85289">
        <w:rPr>
          <w:rFonts w:eastAsia="Garamond"/>
          <w:lang w:val="es-CL"/>
        </w:rPr>
        <w:t xml:space="preserve">, denotando su estabilidad. Para esta investigación, su valor </w:t>
      </w:r>
      <w:r w:rsidRPr="00D2048F">
        <w:rPr>
          <w:rFonts w:eastAsia="Garamond"/>
        </w:rPr>
        <w:t>α</w:t>
      </w:r>
      <w:r w:rsidRPr="00B85289">
        <w:rPr>
          <w:rFonts w:eastAsia="Garamond"/>
          <w:lang w:val="es-CL"/>
        </w:rPr>
        <w:t xml:space="preserve"> fue =.834 lo que es consistente con sus mediciones originales</w:t>
      </w:r>
      <w:r w:rsidRPr="005B24FF">
        <w:rPr>
          <w:lang w:val="es-AR" w:eastAsia="en-US"/>
        </w:rPr>
        <w:t>.</w:t>
      </w:r>
    </w:p>
    <w:p w14:paraId="0F4ED851" w14:textId="4BC03188" w:rsidR="007C3C14" w:rsidRPr="005B24FF" w:rsidRDefault="005B24FF" w:rsidP="007C3C14">
      <w:pPr>
        <w:pStyle w:val="SubtituloInterno"/>
        <w:rPr>
          <w:lang w:val="es-AR"/>
        </w:rPr>
      </w:pPr>
      <w:r>
        <w:rPr>
          <w:lang w:val="es-AR"/>
        </w:rPr>
        <w:t>Análisis de los datos</w:t>
      </w:r>
    </w:p>
    <w:p w14:paraId="733EE13C" w14:textId="3332DC67" w:rsidR="001A3A15" w:rsidRPr="00D2048F" w:rsidRDefault="001A3A15" w:rsidP="001A3A15">
      <w:pPr>
        <w:pBdr>
          <w:top w:val="nil"/>
          <w:left w:val="nil"/>
          <w:bottom w:val="nil"/>
          <w:right w:val="nil"/>
          <w:between w:val="nil"/>
        </w:pBdr>
        <w:spacing w:line="360" w:lineRule="auto"/>
        <w:ind w:right="-91" w:firstLine="720"/>
        <w:jc w:val="both"/>
        <w:rPr>
          <w:rFonts w:eastAsia="Garamond"/>
        </w:rPr>
      </w:pPr>
      <w:r>
        <w:rPr>
          <w:rFonts w:eastAsia="Garamond"/>
          <w:bCs/>
        </w:rPr>
        <w:t>En una primera etapa s</w:t>
      </w:r>
      <w:r w:rsidRPr="00D2048F">
        <w:rPr>
          <w:rFonts w:eastAsia="Garamond"/>
        </w:rPr>
        <w:t xml:space="preserve">e realizó un análisis exploratorio de las variables mediante estadística descriptiva. Posteriormente, se compararon las variables entre dos grupos: 1) Aquellos/aquellas </w:t>
      </w:r>
      <w:r w:rsidRPr="00D2048F">
        <w:rPr>
          <w:rFonts w:eastAsia="Garamond"/>
        </w:rPr>
        <w:lastRenderedPageBreak/>
        <w:t xml:space="preserve">estudiantes que indicaron participar en actividades pertenecientes a organismos socio comunitarios o educacional internos y/o externos a la universidad, y 2) Aquellos/aquellas que señalaron no pertenecer ni participar en ninguna institución de la misma índole. En este caso, se estableció el tamaño del efecto de las diferencias entre ambos grupos, para finalmente ejecutarse un proceso de regresión logística binaria, considerando como variable criterio la pertenencia/no pertenencia a los grupos de participación anterior descritos, y como variables predictoras los distintos factores de la competencia ciudadana y la actitud hacia la política. El tratamiento de datos se realizó a través del </w:t>
      </w:r>
      <w:r w:rsidRPr="00D2048F">
        <w:rPr>
          <w:rFonts w:eastAsia="Garamond"/>
          <w:i/>
          <w:iCs/>
        </w:rPr>
        <w:t>software</w:t>
      </w:r>
      <w:r w:rsidRPr="00D2048F">
        <w:rPr>
          <w:rFonts w:eastAsia="Garamond"/>
        </w:rPr>
        <w:t xml:space="preserve"> IBM-SPSS</w:t>
      </w:r>
      <w:r w:rsidRPr="00D2048F">
        <w:rPr>
          <w:rFonts w:eastAsia="Garamond"/>
          <w:vertAlign w:val="superscript"/>
        </w:rPr>
        <w:t>©</w:t>
      </w:r>
      <w:r w:rsidRPr="00D2048F">
        <w:rPr>
          <w:rFonts w:eastAsia="Garamond"/>
        </w:rPr>
        <w:t>, v. 24.</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5B50E63C" w:rsidR="00076F0A" w:rsidRPr="005B24FF" w:rsidRDefault="00CD290B" w:rsidP="00680260">
      <w:pPr>
        <w:pBdr>
          <w:top w:val="nil"/>
          <w:left w:val="nil"/>
          <w:bottom w:val="nil"/>
          <w:right w:val="nil"/>
          <w:between w:val="nil"/>
        </w:pBdr>
        <w:spacing w:line="360" w:lineRule="auto"/>
        <w:ind w:right="-91" w:firstLine="720"/>
        <w:jc w:val="both"/>
        <w:rPr>
          <w:lang w:val="es-AR"/>
        </w:rPr>
      </w:pPr>
      <w:bookmarkStart w:id="0" w:name="_Hlk132040337"/>
      <w:r w:rsidRPr="00D2048F">
        <w:rPr>
          <w:rFonts w:eastAsia="Garamond"/>
        </w:rPr>
        <w:t>Se invitó a participar a los/las participantes por medio de dos vías: 1) correo electrónico, 2) respuesta escrita. En el primer caso, se envió un enlace cuyo destino fue la redirección a una plataforma</w:t>
      </w:r>
      <w:r w:rsidRPr="00D2048F">
        <w:rPr>
          <w:rFonts w:eastAsia="Garamond"/>
          <w:i/>
        </w:rPr>
        <w:t xml:space="preserve"> </w:t>
      </w:r>
      <w:r w:rsidRPr="00D2048F">
        <w:rPr>
          <w:rFonts w:eastAsia="Garamond"/>
          <w:iCs/>
        </w:rPr>
        <w:t>donde</w:t>
      </w:r>
      <w:r w:rsidRPr="00D2048F">
        <w:rPr>
          <w:rFonts w:eastAsia="Garamond"/>
        </w:rPr>
        <w:t xml:space="preserve"> se alojaron los instrumentos para su respuesta virtual. En ambos casos, a los/las participantes se le solicitó lectura y aceptación de un consentimiento informado que informó de las características de la investigación, así como su procedimiento metodológico e implicaciones éticas. Este documento contó con la aprobación previa de un Comité de Ética</w:t>
      </w:r>
      <w:r>
        <w:rPr>
          <w:rFonts w:eastAsia="Garamond"/>
        </w:rPr>
        <w:t xml:space="preserve">, el que por medio de su aprobación, actuó como ministerio de fe respecto a que la investigación </w:t>
      </w:r>
      <w:r w:rsidR="00680260">
        <w:rPr>
          <w:rFonts w:eastAsia="Garamond"/>
        </w:rPr>
        <w:t xml:space="preserve">dio cumplimiento irrestricto a </w:t>
      </w:r>
      <w:r w:rsidRPr="00CD290B">
        <w:rPr>
          <w:rFonts w:eastAsia="Garamond"/>
        </w:rPr>
        <w:t>lo señalado en las leyes 20.120/2006 y 19.628/1999</w:t>
      </w:r>
      <w:r w:rsidR="00680260">
        <w:rPr>
          <w:rFonts w:eastAsia="Garamond"/>
        </w:rPr>
        <w:t xml:space="preserve"> y</w:t>
      </w:r>
      <w:r w:rsidRPr="00CD290B">
        <w:rPr>
          <w:rFonts w:eastAsia="Garamond"/>
        </w:rPr>
        <w:t xml:space="preserve"> el reglamento 114/2010</w:t>
      </w:r>
      <w:r w:rsidR="00680260">
        <w:rPr>
          <w:rFonts w:eastAsia="Garamond"/>
        </w:rPr>
        <w:t xml:space="preserve"> de la República de Chile, así como sobre</w:t>
      </w:r>
      <w:r w:rsidRPr="00CD290B">
        <w:rPr>
          <w:rFonts w:eastAsia="Garamond"/>
        </w:rPr>
        <w:t xml:space="preserve"> la Declaración internacional de Derechos Humanos, respecto a la investigación científica en seres humanos.</w:t>
      </w:r>
      <w:bookmarkEnd w:id="0"/>
    </w:p>
    <w:p w14:paraId="61754C2A" w14:textId="04F11712" w:rsidR="006F7E7E" w:rsidRPr="006F676F" w:rsidRDefault="005B5614" w:rsidP="008D6D3D">
      <w:pPr>
        <w:pStyle w:val="Ttulosinternos"/>
        <w:rPr>
          <w:lang w:val="es-CL"/>
        </w:rPr>
      </w:pPr>
      <w:r w:rsidRPr="006F676F">
        <w:rPr>
          <w:lang w:val="es-CL"/>
        </w:rPr>
        <w:t>Result</w:t>
      </w:r>
      <w:r w:rsidR="005B24FF" w:rsidRPr="006F676F">
        <w:rPr>
          <w:lang w:val="es-CL"/>
        </w:rPr>
        <w:t>ados</w:t>
      </w:r>
    </w:p>
    <w:p w14:paraId="70C94DC3"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En un primer paso, se realizó un análisis de comparación de grupos entre estudiantes de psicología que reportaron participar y no participar de actividades en instituciones internas o externas a la de su carrera (Tabla 1), apreciándose los promedios obtenidos en relación con cada una de las variables de estudio. Al analizar los supuestos de normalidad y homogeneidad de varianzas, se optó por la realización de análisis no paramétricos -</w:t>
      </w:r>
      <w:r w:rsidRPr="00D2048F">
        <w:rPr>
          <w:rFonts w:eastAsia="Garamond"/>
          <w:i/>
          <w:iCs/>
        </w:rPr>
        <w:t>U</w:t>
      </w:r>
      <w:r w:rsidRPr="00D2048F">
        <w:rPr>
          <w:rFonts w:eastAsia="Garamond"/>
          <w:i/>
        </w:rPr>
        <w:t xml:space="preserve"> Mann-Whitney</w:t>
      </w:r>
      <w:r w:rsidRPr="00D2048F">
        <w:rPr>
          <w:rFonts w:eastAsia="Garamond"/>
        </w:rPr>
        <w:t>-, dando cuenta de diferencias estadísticamente significativas entre ambos grupos en las competencias ciudadanas ‘acción’ y ‘empatía’, destacándose en éstas un puntaje estadísticamente superior en quienes sí participan respecto de los que no participan, con un tamaño del efecto bajo -</w:t>
      </w:r>
      <w:r w:rsidRPr="00D2048F">
        <w:rPr>
          <w:rFonts w:eastAsia="Garamond"/>
          <w:i/>
        </w:rPr>
        <w:t xml:space="preserve">r </w:t>
      </w:r>
      <w:r w:rsidRPr="00D2048F">
        <w:rPr>
          <w:rFonts w:eastAsia="Garamond"/>
        </w:rPr>
        <w:t xml:space="preserve">- (Rosenthal, 1991; </w:t>
      </w:r>
      <w:proofErr w:type="spellStart"/>
      <w:r w:rsidRPr="00D2048F">
        <w:lastRenderedPageBreak/>
        <w:t>Tomczak</w:t>
      </w:r>
      <w:proofErr w:type="spellEnd"/>
      <w:r w:rsidRPr="00D2048F">
        <w:t xml:space="preserve"> &amp; </w:t>
      </w:r>
      <w:proofErr w:type="spellStart"/>
      <w:r w:rsidRPr="00D2048F">
        <w:t>Tomcak</w:t>
      </w:r>
      <w:proofErr w:type="spellEnd"/>
      <w:r w:rsidRPr="00D2048F">
        <w:t>, 2014</w:t>
      </w:r>
      <w:r w:rsidRPr="00D2048F">
        <w:rPr>
          <w:rFonts w:eastAsia="Garamond"/>
        </w:rPr>
        <w:t>). En el caso de la actitud hacia la política, en los factores ‘eficacia política’ e ‘implicancia política’, se muestran diferencias estadísticamente significativas entre ambos grupos, observándose en los cuatro factores un tamaño del efecto bajo.</w:t>
      </w:r>
    </w:p>
    <w:p w14:paraId="56F90415" w14:textId="77777777" w:rsidR="001A3A15" w:rsidRDefault="001A3A15" w:rsidP="001A3A15">
      <w:pPr>
        <w:pBdr>
          <w:top w:val="nil"/>
          <w:left w:val="nil"/>
          <w:bottom w:val="nil"/>
          <w:right w:val="nil"/>
          <w:between w:val="nil"/>
        </w:pBdr>
        <w:spacing w:line="360" w:lineRule="auto"/>
        <w:jc w:val="both"/>
        <w:rPr>
          <w:rFonts w:eastAsia="Garamond"/>
          <w:bCs/>
          <w:sz w:val="20"/>
          <w:szCs w:val="20"/>
        </w:rPr>
      </w:pPr>
    </w:p>
    <w:p w14:paraId="599FA5C0" w14:textId="0B6258E5" w:rsidR="001A3A15" w:rsidRPr="001A3A15" w:rsidRDefault="001A3A15" w:rsidP="001A3A15">
      <w:pPr>
        <w:pBdr>
          <w:top w:val="nil"/>
          <w:left w:val="nil"/>
          <w:bottom w:val="nil"/>
          <w:right w:val="nil"/>
          <w:between w:val="nil"/>
        </w:pBdr>
        <w:jc w:val="both"/>
        <w:rPr>
          <w:rFonts w:eastAsia="Garamond"/>
          <w:bCs/>
          <w:sz w:val="20"/>
          <w:szCs w:val="20"/>
        </w:rPr>
      </w:pPr>
      <w:r w:rsidRPr="001A3A15">
        <w:rPr>
          <w:rFonts w:eastAsia="Garamond"/>
          <w:bCs/>
          <w:sz w:val="20"/>
          <w:szCs w:val="20"/>
        </w:rPr>
        <w:t>Tabla 1</w:t>
      </w:r>
    </w:p>
    <w:p w14:paraId="5CA68F17" w14:textId="77777777" w:rsidR="001A3A15" w:rsidRPr="001A3A15" w:rsidRDefault="001A3A15" w:rsidP="001A3A15">
      <w:pPr>
        <w:pBdr>
          <w:top w:val="nil"/>
          <w:left w:val="nil"/>
          <w:bottom w:val="nil"/>
          <w:right w:val="nil"/>
          <w:between w:val="nil"/>
        </w:pBdr>
        <w:jc w:val="both"/>
        <w:rPr>
          <w:rFonts w:eastAsia="Garamond"/>
          <w:i/>
          <w:iCs/>
          <w:sz w:val="20"/>
          <w:szCs w:val="20"/>
        </w:rPr>
      </w:pPr>
      <w:r w:rsidRPr="001A3A15">
        <w:rPr>
          <w:rFonts w:eastAsia="Garamond"/>
          <w:i/>
          <w:iCs/>
          <w:sz w:val="20"/>
          <w:szCs w:val="20"/>
        </w:rPr>
        <w:t>Estadísticos descriptivos y diferencia entre grupos con su respectivo tamaño del efecto.</w:t>
      </w:r>
    </w:p>
    <w:tbl>
      <w:tblPr>
        <w:tblpPr w:leftFromText="141" w:rightFromText="141" w:vertAnchor="text" w:tblpY="78"/>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1"/>
        <w:gridCol w:w="1417"/>
        <w:gridCol w:w="1418"/>
        <w:gridCol w:w="1134"/>
        <w:gridCol w:w="1077"/>
        <w:gridCol w:w="737"/>
      </w:tblGrid>
      <w:tr w:rsidR="001A3A15" w:rsidRPr="00D2048F" w14:paraId="65B2241A" w14:textId="77777777" w:rsidTr="00B023AC">
        <w:tc>
          <w:tcPr>
            <w:tcW w:w="3231" w:type="dxa"/>
            <w:vMerge w:val="restart"/>
            <w:tcBorders>
              <w:left w:val="nil"/>
              <w:right w:val="nil"/>
            </w:tcBorders>
            <w:vAlign w:val="center"/>
          </w:tcPr>
          <w:p w14:paraId="7CCC451C" w14:textId="77777777" w:rsidR="001A3A15" w:rsidRPr="001A3A15" w:rsidRDefault="001A3A15" w:rsidP="001A3A15">
            <w:pPr>
              <w:pStyle w:val="Sinespaciado"/>
              <w:spacing w:line="276" w:lineRule="auto"/>
              <w:rPr>
                <w:rFonts w:ascii="Times New Roman" w:hAnsi="Times New Roman" w:cs="Times New Roman"/>
                <w:sz w:val="20"/>
                <w:szCs w:val="20"/>
              </w:rPr>
            </w:pPr>
            <w:r w:rsidRPr="001A3A15">
              <w:rPr>
                <w:rFonts w:ascii="Times New Roman" w:hAnsi="Times New Roman" w:cs="Times New Roman"/>
                <w:sz w:val="20"/>
                <w:szCs w:val="20"/>
              </w:rPr>
              <w:t>Variables</w:t>
            </w:r>
          </w:p>
        </w:tc>
        <w:tc>
          <w:tcPr>
            <w:tcW w:w="2835" w:type="dxa"/>
            <w:gridSpan w:val="2"/>
            <w:tcBorders>
              <w:top w:val="single" w:sz="4" w:space="0" w:color="000000"/>
              <w:left w:val="nil"/>
              <w:bottom w:val="nil"/>
              <w:right w:val="nil"/>
            </w:tcBorders>
            <w:vAlign w:val="center"/>
          </w:tcPr>
          <w:p w14:paraId="4384489F"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Media (D.T.)</w:t>
            </w:r>
          </w:p>
        </w:tc>
        <w:tc>
          <w:tcPr>
            <w:tcW w:w="1134" w:type="dxa"/>
            <w:vMerge w:val="restart"/>
            <w:tcBorders>
              <w:left w:val="nil"/>
              <w:right w:val="nil"/>
            </w:tcBorders>
            <w:vAlign w:val="center"/>
          </w:tcPr>
          <w:p w14:paraId="44E2C292"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u</w:t>
            </w:r>
          </w:p>
        </w:tc>
        <w:tc>
          <w:tcPr>
            <w:tcW w:w="1077" w:type="dxa"/>
            <w:vMerge w:val="restart"/>
            <w:tcBorders>
              <w:top w:val="single" w:sz="4" w:space="0" w:color="auto"/>
              <w:left w:val="nil"/>
              <w:right w:val="nil"/>
            </w:tcBorders>
            <w:vAlign w:val="center"/>
          </w:tcPr>
          <w:p w14:paraId="4A4F2777"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z</w:t>
            </w:r>
          </w:p>
        </w:tc>
        <w:tc>
          <w:tcPr>
            <w:tcW w:w="737" w:type="dxa"/>
            <w:vMerge w:val="restart"/>
            <w:tcBorders>
              <w:top w:val="single" w:sz="4" w:space="0" w:color="auto"/>
              <w:left w:val="nil"/>
              <w:right w:val="nil"/>
            </w:tcBorders>
            <w:shd w:val="clear" w:color="auto" w:fill="auto"/>
            <w:vAlign w:val="center"/>
          </w:tcPr>
          <w:p w14:paraId="59A9E48F"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r</w:t>
            </w:r>
          </w:p>
        </w:tc>
      </w:tr>
      <w:tr w:rsidR="001A3A15" w:rsidRPr="00D2048F" w14:paraId="72EEA54F" w14:textId="77777777" w:rsidTr="00B023AC">
        <w:tc>
          <w:tcPr>
            <w:tcW w:w="3231" w:type="dxa"/>
            <w:vMerge/>
            <w:tcBorders>
              <w:left w:val="nil"/>
              <w:bottom w:val="nil"/>
              <w:right w:val="nil"/>
            </w:tcBorders>
            <w:vAlign w:val="center"/>
          </w:tcPr>
          <w:p w14:paraId="7E1FF7B2" w14:textId="77777777" w:rsidR="001A3A15" w:rsidRPr="001A3A15" w:rsidRDefault="001A3A15" w:rsidP="001A3A15">
            <w:pPr>
              <w:pStyle w:val="Sinespaciado"/>
              <w:spacing w:line="276" w:lineRule="auto"/>
              <w:rPr>
                <w:rFonts w:ascii="Times New Roman" w:hAnsi="Times New Roman" w:cs="Times New Roman"/>
                <w:i/>
                <w:sz w:val="20"/>
                <w:szCs w:val="20"/>
              </w:rPr>
            </w:pPr>
          </w:p>
        </w:tc>
        <w:tc>
          <w:tcPr>
            <w:tcW w:w="1417" w:type="dxa"/>
            <w:tcBorders>
              <w:top w:val="single" w:sz="4" w:space="0" w:color="000000"/>
              <w:left w:val="nil"/>
              <w:bottom w:val="nil"/>
              <w:right w:val="nil"/>
            </w:tcBorders>
            <w:vAlign w:val="center"/>
          </w:tcPr>
          <w:p w14:paraId="2B6E6A57"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Participan (N=45)</w:t>
            </w:r>
          </w:p>
        </w:tc>
        <w:tc>
          <w:tcPr>
            <w:tcW w:w="1418" w:type="dxa"/>
            <w:tcBorders>
              <w:left w:val="nil"/>
              <w:bottom w:val="nil"/>
              <w:right w:val="nil"/>
            </w:tcBorders>
            <w:vAlign w:val="center"/>
          </w:tcPr>
          <w:p w14:paraId="45F25D0D"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No participan (N=371)</w:t>
            </w:r>
          </w:p>
        </w:tc>
        <w:tc>
          <w:tcPr>
            <w:tcW w:w="1134" w:type="dxa"/>
            <w:vMerge/>
            <w:tcBorders>
              <w:left w:val="nil"/>
              <w:bottom w:val="single" w:sz="4" w:space="0" w:color="auto"/>
              <w:right w:val="nil"/>
            </w:tcBorders>
            <w:vAlign w:val="center"/>
          </w:tcPr>
          <w:p w14:paraId="7DE8A691" w14:textId="77777777" w:rsidR="001A3A15" w:rsidRPr="001A3A15" w:rsidRDefault="001A3A15" w:rsidP="001A3A15">
            <w:pPr>
              <w:pStyle w:val="Sinespaciado"/>
              <w:spacing w:line="276" w:lineRule="auto"/>
              <w:jc w:val="center"/>
              <w:rPr>
                <w:rFonts w:ascii="Times New Roman" w:hAnsi="Times New Roman" w:cs="Times New Roman"/>
                <w:sz w:val="20"/>
                <w:szCs w:val="20"/>
              </w:rPr>
            </w:pPr>
          </w:p>
        </w:tc>
        <w:tc>
          <w:tcPr>
            <w:tcW w:w="1077" w:type="dxa"/>
            <w:vMerge/>
            <w:tcBorders>
              <w:left w:val="nil"/>
              <w:bottom w:val="single" w:sz="4" w:space="0" w:color="auto"/>
              <w:right w:val="nil"/>
            </w:tcBorders>
            <w:vAlign w:val="center"/>
          </w:tcPr>
          <w:p w14:paraId="614B09A0" w14:textId="77777777" w:rsidR="001A3A15" w:rsidRPr="001A3A15" w:rsidRDefault="001A3A15" w:rsidP="001A3A15">
            <w:pPr>
              <w:pStyle w:val="Sinespaciado"/>
              <w:spacing w:line="276" w:lineRule="auto"/>
              <w:jc w:val="center"/>
              <w:rPr>
                <w:rFonts w:ascii="Times New Roman" w:hAnsi="Times New Roman" w:cs="Times New Roman"/>
                <w:sz w:val="20"/>
                <w:szCs w:val="20"/>
              </w:rPr>
            </w:pPr>
          </w:p>
        </w:tc>
        <w:tc>
          <w:tcPr>
            <w:tcW w:w="737" w:type="dxa"/>
            <w:vMerge/>
            <w:tcBorders>
              <w:left w:val="nil"/>
              <w:bottom w:val="single" w:sz="4" w:space="0" w:color="auto"/>
              <w:right w:val="nil"/>
            </w:tcBorders>
            <w:shd w:val="clear" w:color="auto" w:fill="auto"/>
            <w:vAlign w:val="center"/>
          </w:tcPr>
          <w:p w14:paraId="16BD3032" w14:textId="77777777" w:rsidR="001A3A15" w:rsidRPr="001A3A15" w:rsidRDefault="001A3A15" w:rsidP="001A3A15">
            <w:pPr>
              <w:pStyle w:val="Sinespaciado"/>
              <w:spacing w:line="276" w:lineRule="auto"/>
              <w:jc w:val="center"/>
              <w:rPr>
                <w:rFonts w:ascii="Times New Roman" w:hAnsi="Times New Roman" w:cs="Times New Roman"/>
                <w:color w:val="000000"/>
                <w:sz w:val="20"/>
                <w:szCs w:val="20"/>
              </w:rPr>
            </w:pPr>
          </w:p>
        </w:tc>
      </w:tr>
      <w:tr w:rsidR="001A3A15" w:rsidRPr="00D2048F" w14:paraId="27CB6800" w14:textId="77777777" w:rsidTr="00B023AC">
        <w:tc>
          <w:tcPr>
            <w:tcW w:w="3231" w:type="dxa"/>
            <w:tcBorders>
              <w:left w:val="nil"/>
              <w:bottom w:val="nil"/>
              <w:right w:val="nil"/>
            </w:tcBorders>
            <w:vAlign w:val="center"/>
          </w:tcPr>
          <w:p w14:paraId="4848BBEA"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Acción</w:t>
            </w:r>
          </w:p>
        </w:tc>
        <w:tc>
          <w:tcPr>
            <w:tcW w:w="1417" w:type="dxa"/>
            <w:tcBorders>
              <w:top w:val="single" w:sz="4" w:space="0" w:color="000000"/>
              <w:left w:val="nil"/>
              <w:bottom w:val="nil"/>
              <w:right w:val="nil"/>
            </w:tcBorders>
            <w:vAlign w:val="center"/>
          </w:tcPr>
          <w:p w14:paraId="295DCF5C"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5.29 (.991)</w:t>
            </w:r>
          </w:p>
        </w:tc>
        <w:tc>
          <w:tcPr>
            <w:tcW w:w="1418" w:type="dxa"/>
            <w:tcBorders>
              <w:top w:val="single" w:sz="4" w:space="0" w:color="auto"/>
              <w:left w:val="nil"/>
              <w:bottom w:val="nil"/>
              <w:right w:val="nil"/>
            </w:tcBorders>
            <w:vAlign w:val="center"/>
          </w:tcPr>
          <w:p w14:paraId="0EE8BD9D"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4.82 (1.182)</w:t>
            </w:r>
          </w:p>
        </w:tc>
        <w:tc>
          <w:tcPr>
            <w:tcW w:w="1134" w:type="dxa"/>
            <w:tcBorders>
              <w:top w:val="single" w:sz="4" w:space="0" w:color="auto"/>
              <w:left w:val="nil"/>
              <w:bottom w:val="nil"/>
              <w:right w:val="nil"/>
            </w:tcBorders>
            <w:vAlign w:val="center"/>
          </w:tcPr>
          <w:p w14:paraId="11BEE490"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6497.500</w:t>
            </w:r>
          </w:p>
        </w:tc>
        <w:tc>
          <w:tcPr>
            <w:tcW w:w="1077" w:type="dxa"/>
            <w:tcBorders>
              <w:top w:val="single" w:sz="4" w:space="0" w:color="auto"/>
              <w:left w:val="nil"/>
              <w:bottom w:val="nil"/>
              <w:right w:val="nil"/>
            </w:tcBorders>
            <w:vAlign w:val="center"/>
          </w:tcPr>
          <w:p w14:paraId="63532873"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-2.524**</w:t>
            </w:r>
          </w:p>
        </w:tc>
        <w:tc>
          <w:tcPr>
            <w:tcW w:w="737" w:type="dxa"/>
            <w:tcBorders>
              <w:top w:val="single" w:sz="4" w:space="0" w:color="auto"/>
              <w:left w:val="nil"/>
              <w:bottom w:val="nil"/>
              <w:right w:val="nil"/>
            </w:tcBorders>
            <w:shd w:val="clear" w:color="auto" w:fill="auto"/>
          </w:tcPr>
          <w:p w14:paraId="0843B034"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.12</w:t>
            </w:r>
          </w:p>
        </w:tc>
      </w:tr>
      <w:tr w:rsidR="001A3A15" w:rsidRPr="00D2048F" w14:paraId="357AD2A7" w14:textId="77777777" w:rsidTr="00B023AC">
        <w:tc>
          <w:tcPr>
            <w:tcW w:w="3231" w:type="dxa"/>
            <w:tcBorders>
              <w:top w:val="nil"/>
              <w:left w:val="nil"/>
              <w:bottom w:val="nil"/>
              <w:right w:val="nil"/>
            </w:tcBorders>
            <w:vAlign w:val="center"/>
          </w:tcPr>
          <w:p w14:paraId="416188D0"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Emoción</w:t>
            </w:r>
          </w:p>
        </w:tc>
        <w:tc>
          <w:tcPr>
            <w:tcW w:w="1417" w:type="dxa"/>
            <w:tcBorders>
              <w:top w:val="nil"/>
              <w:left w:val="nil"/>
              <w:bottom w:val="nil"/>
              <w:right w:val="nil"/>
            </w:tcBorders>
            <w:vAlign w:val="center"/>
          </w:tcPr>
          <w:p w14:paraId="55CA71F9"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5.93 (.939)</w:t>
            </w:r>
          </w:p>
        </w:tc>
        <w:tc>
          <w:tcPr>
            <w:tcW w:w="1418" w:type="dxa"/>
            <w:tcBorders>
              <w:top w:val="nil"/>
              <w:left w:val="nil"/>
              <w:bottom w:val="nil"/>
              <w:right w:val="nil"/>
            </w:tcBorders>
            <w:vAlign w:val="center"/>
          </w:tcPr>
          <w:p w14:paraId="52833233"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5.74 (1.041)</w:t>
            </w:r>
          </w:p>
        </w:tc>
        <w:tc>
          <w:tcPr>
            <w:tcW w:w="1134" w:type="dxa"/>
            <w:tcBorders>
              <w:top w:val="nil"/>
              <w:left w:val="nil"/>
              <w:bottom w:val="nil"/>
              <w:right w:val="nil"/>
            </w:tcBorders>
            <w:vAlign w:val="center"/>
          </w:tcPr>
          <w:p w14:paraId="0E29B914"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7399.500</w:t>
            </w:r>
          </w:p>
        </w:tc>
        <w:tc>
          <w:tcPr>
            <w:tcW w:w="1077" w:type="dxa"/>
            <w:tcBorders>
              <w:top w:val="nil"/>
              <w:left w:val="nil"/>
              <w:bottom w:val="nil"/>
              <w:right w:val="nil"/>
            </w:tcBorders>
            <w:vAlign w:val="center"/>
          </w:tcPr>
          <w:p w14:paraId="71ADF2FA"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-1.335</w:t>
            </w:r>
          </w:p>
        </w:tc>
        <w:tc>
          <w:tcPr>
            <w:tcW w:w="737" w:type="dxa"/>
            <w:tcBorders>
              <w:top w:val="nil"/>
              <w:left w:val="nil"/>
              <w:bottom w:val="nil"/>
              <w:right w:val="nil"/>
            </w:tcBorders>
            <w:shd w:val="clear" w:color="auto" w:fill="auto"/>
            <w:vAlign w:val="center"/>
          </w:tcPr>
          <w:p w14:paraId="394F624C"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.07</w:t>
            </w:r>
          </w:p>
        </w:tc>
      </w:tr>
      <w:tr w:rsidR="001A3A15" w:rsidRPr="00D2048F" w14:paraId="745E6585" w14:textId="77777777" w:rsidTr="00B023AC">
        <w:tc>
          <w:tcPr>
            <w:tcW w:w="3231" w:type="dxa"/>
            <w:tcBorders>
              <w:top w:val="nil"/>
              <w:left w:val="nil"/>
              <w:bottom w:val="nil"/>
              <w:right w:val="nil"/>
            </w:tcBorders>
            <w:vAlign w:val="center"/>
          </w:tcPr>
          <w:p w14:paraId="43F030BA"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Empatía</w:t>
            </w:r>
          </w:p>
        </w:tc>
        <w:tc>
          <w:tcPr>
            <w:tcW w:w="1417" w:type="dxa"/>
            <w:tcBorders>
              <w:top w:val="nil"/>
              <w:left w:val="nil"/>
              <w:bottom w:val="nil"/>
              <w:right w:val="nil"/>
            </w:tcBorders>
            <w:vAlign w:val="center"/>
          </w:tcPr>
          <w:p w14:paraId="708A2429"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5.98 (1.011)</w:t>
            </w:r>
          </w:p>
        </w:tc>
        <w:tc>
          <w:tcPr>
            <w:tcW w:w="1418" w:type="dxa"/>
            <w:tcBorders>
              <w:top w:val="nil"/>
              <w:left w:val="nil"/>
              <w:bottom w:val="nil"/>
              <w:right w:val="nil"/>
            </w:tcBorders>
            <w:vAlign w:val="center"/>
          </w:tcPr>
          <w:p w14:paraId="7E9A3BDE"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5.51 (1.028)</w:t>
            </w:r>
          </w:p>
        </w:tc>
        <w:tc>
          <w:tcPr>
            <w:tcW w:w="1134" w:type="dxa"/>
            <w:tcBorders>
              <w:top w:val="nil"/>
              <w:left w:val="nil"/>
              <w:bottom w:val="nil"/>
              <w:right w:val="nil"/>
            </w:tcBorders>
            <w:vAlign w:val="center"/>
          </w:tcPr>
          <w:p w14:paraId="7DF7A0F7"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5983.000</w:t>
            </w:r>
          </w:p>
        </w:tc>
        <w:tc>
          <w:tcPr>
            <w:tcW w:w="1077" w:type="dxa"/>
            <w:tcBorders>
              <w:top w:val="nil"/>
              <w:left w:val="nil"/>
              <w:bottom w:val="nil"/>
              <w:right w:val="nil"/>
            </w:tcBorders>
            <w:vAlign w:val="center"/>
          </w:tcPr>
          <w:p w14:paraId="1FE72489"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-3.290*</w:t>
            </w:r>
          </w:p>
        </w:tc>
        <w:tc>
          <w:tcPr>
            <w:tcW w:w="737" w:type="dxa"/>
            <w:tcBorders>
              <w:top w:val="nil"/>
              <w:left w:val="nil"/>
              <w:bottom w:val="nil"/>
              <w:right w:val="nil"/>
            </w:tcBorders>
            <w:shd w:val="clear" w:color="auto" w:fill="auto"/>
            <w:vAlign w:val="center"/>
          </w:tcPr>
          <w:p w14:paraId="0171588A"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.16</w:t>
            </w:r>
          </w:p>
        </w:tc>
      </w:tr>
      <w:tr w:rsidR="001A3A15" w:rsidRPr="00D2048F" w14:paraId="41FB947A" w14:textId="77777777" w:rsidTr="00B023AC">
        <w:tc>
          <w:tcPr>
            <w:tcW w:w="3231" w:type="dxa"/>
            <w:tcBorders>
              <w:top w:val="nil"/>
              <w:left w:val="nil"/>
              <w:bottom w:val="nil"/>
              <w:right w:val="nil"/>
            </w:tcBorders>
            <w:vAlign w:val="center"/>
          </w:tcPr>
          <w:p w14:paraId="646992C8"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Ambientes democráticos</w:t>
            </w:r>
          </w:p>
        </w:tc>
        <w:tc>
          <w:tcPr>
            <w:tcW w:w="1417" w:type="dxa"/>
            <w:tcBorders>
              <w:top w:val="nil"/>
              <w:left w:val="nil"/>
              <w:bottom w:val="nil"/>
              <w:right w:val="nil"/>
            </w:tcBorders>
            <w:vAlign w:val="center"/>
          </w:tcPr>
          <w:p w14:paraId="4130E496"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6.42 (1.055)</w:t>
            </w:r>
          </w:p>
        </w:tc>
        <w:tc>
          <w:tcPr>
            <w:tcW w:w="1418" w:type="dxa"/>
            <w:tcBorders>
              <w:top w:val="nil"/>
              <w:left w:val="nil"/>
              <w:bottom w:val="nil"/>
              <w:right w:val="nil"/>
            </w:tcBorders>
            <w:vAlign w:val="center"/>
          </w:tcPr>
          <w:p w14:paraId="0BBE37D8"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6.38 (1.171)</w:t>
            </w:r>
          </w:p>
        </w:tc>
        <w:tc>
          <w:tcPr>
            <w:tcW w:w="1134" w:type="dxa"/>
            <w:tcBorders>
              <w:top w:val="nil"/>
              <w:left w:val="nil"/>
              <w:bottom w:val="nil"/>
              <w:right w:val="nil"/>
            </w:tcBorders>
            <w:vAlign w:val="center"/>
          </w:tcPr>
          <w:p w14:paraId="1B711BC8"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8212.500</w:t>
            </w:r>
          </w:p>
        </w:tc>
        <w:tc>
          <w:tcPr>
            <w:tcW w:w="1077" w:type="dxa"/>
            <w:tcBorders>
              <w:top w:val="nil"/>
              <w:left w:val="nil"/>
              <w:bottom w:val="nil"/>
              <w:right w:val="nil"/>
            </w:tcBorders>
            <w:vAlign w:val="center"/>
          </w:tcPr>
          <w:p w14:paraId="5D4397FA"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-.206</w:t>
            </w:r>
          </w:p>
        </w:tc>
        <w:tc>
          <w:tcPr>
            <w:tcW w:w="737" w:type="dxa"/>
            <w:tcBorders>
              <w:top w:val="nil"/>
              <w:left w:val="nil"/>
              <w:bottom w:val="nil"/>
              <w:right w:val="nil"/>
            </w:tcBorders>
            <w:shd w:val="clear" w:color="auto" w:fill="auto"/>
            <w:vAlign w:val="center"/>
          </w:tcPr>
          <w:p w14:paraId="052A473D"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.01</w:t>
            </w:r>
          </w:p>
        </w:tc>
      </w:tr>
      <w:tr w:rsidR="001A3A15" w:rsidRPr="00D2048F" w14:paraId="493EFB17" w14:textId="77777777" w:rsidTr="00B023AC">
        <w:tc>
          <w:tcPr>
            <w:tcW w:w="3231" w:type="dxa"/>
            <w:tcBorders>
              <w:top w:val="nil"/>
              <w:left w:val="nil"/>
              <w:bottom w:val="single" w:sz="4" w:space="0" w:color="000000"/>
              <w:right w:val="nil"/>
            </w:tcBorders>
            <w:vAlign w:val="center"/>
          </w:tcPr>
          <w:p w14:paraId="6B7BD154"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Cognición</w:t>
            </w:r>
          </w:p>
        </w:tc>
        <w:tc>
          <w:tcPr>
            <w:tcW w:w="1417" w:type="dxa"/>
            <w:tcBorders>
              <w:top w:val="nil"/>
              <w:left w:val="nil"/>
              <w:bottom w:val="single" w:sz="4" w:space="0" w:color="000000"/>
              <w:right w:val="nil"/>
            </w:tcBorders>
            <w:vAlign w:val="center"/>
          </w:tcPr>
          <w:p w14:paraId="081A6886"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4.07 (1.074)</w:t>
            </w:r>
          </w:p>
        </w:tc>
        <w:tc>
          <w:tcPr>
            <w:tcW w:w="1418" w:type="dxa"/>
            <w:tcBorders>
              <w:top w:val="nil"/>
              <w:left w:val="nil"/>
              <w:bottom w:val="single" w:sz="4" w:space="0" w:color="000000"/>
              <w:right w:val="nil"/>
            </w:tcBorders>
            <w:vAlign w:val="center"/>
          </w:tcPr>
          <w:p w14:paraId="78288A75"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3.75 (1.019)</w:t>
            </w:r>
          </w:p>
        </w:tc>
        <w:tc>
          <w:tcPr>
            <w:tcW w:w="1134" w:type="dxa"/>
            <w:tcBorders>
              <w:top w:val="nil"/>
              <w:left w:val="nil"/>
              <w:bottom w:val="single" w:sz="4" w:space="0" w:color="000000"/>
              <w:right w:val="nil"/>
            </w:tcBorders>
            <w:vAlign w:val="center"/>
          </w:tcPr>
          <w:p w14:paraId="4654AA08"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7024.000</w:t>
            </w:r>
          </w:p>
        </w:tc>
        <w:tc>
          <w:tcPr>
            <w:tcW w:w="1077" w:type="dxa"/>
            <w:tcBorders>
              <w:top w:val="nil"/>
              <w:left w:val="nil"/>
              <w:bottom w:val="single" w:sz="4" w:space="0" w:color="000000"/>
              <w:right w:val="nil"/>
            </w:tcBorders>
            <w:vAlign w:val="center"/>
          </w:tcPr>
          <w:p w14:paraId="390BD4BE"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-1.831</w:t>
            </w:r>
          </w:p>
        </w:tc>
        <w:tc>
          <w:tcPr>
            <w:tcW w:w="737" w:type="dxa"/>
            <w:tcBorders>
              <w:top w:val="nil"/>
              <w:left w:val="nil"/>
              <w:bottom w:val="single" w:sz="4" w:space="0" w:color="auto"/>
              <w:right w:val="nil"/>
            </w:tcBorders>
            <w:shd w:val="clear" w:color="auto" w:fill="auto"/>
            <w:vAlign w:val="center"/>
          </w:tcPr>
          <w:p w14:paraId="15ED3CB7"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.09</w:t>
            </w:r>
          </w:p>
        </w:tc>
      </w:tr>
      <w:tr w:rsidR="001A3A15" w:rsidRPr="00D2048F" w14:paraId="270EFFDD" w14:textId="77777777" w:rsidTr="00B023AC">
        <w:tc>
          <w:tcPr>
            <w:tcW w:w="3231" w:type="dxa"/>
            <w:tcBorders>
              <w:top w:val="single" w:sz="4" w:space="0" w:color="000000"/>
              <w:left w:val="nil"/>
              <w:bottom w:val="nil"/>
              <w:right w:val="nil"/>
            </w:tcBorders>
            <w:vAlign w:val="center"/>
          </w:tcPr>
          <w:p w14:paraId="10338D8E"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Satisfacción con la democracia</w:t>
            </w:r>
          </w:p>
        </w:tc>
        <w:tc>
          <w:tcPr>
            <w:tcW w:w="1417" w:type="dxa"/>
            <w:tcBorders>
              <w:top w:val="single" w:sz="4" w:space="0" w:color="000000"/>
              <w:left w:val="nil"/>
              <w:bottom w:val="nil"/>
              <w:right w:val="nil"/>
            </w:tcBorders>
            <w:vAlign w:val="center"/>
          </w:tcPr>
          <w:p w14:paraId="24CA3F27"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2.49 (.695)</w:t>
            </w:r>
          </w:p>
        </w:tc>
        <w:tc>
          <w:tcPr>
            <w:tcW w:w="1418" w:type="dxa"/>
            <w:tcBorders>
              <w:top w:val="single" w:sz="4" w:space="0" w:color="000000"/>
              <w:left w:val="nil"/>
              <w:bottom w:val="nil"/>
              <w:right w:val="nil"/>
            </w:tcBorders>
            <w:vAlign w:val="center"/>
          </w:tcPr>
          <w:p w14:paraId="7DE58857"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2.62 (.763)</w:t>
            </w:r>
          </w:p>
        </w:tc>
        <w:tc>
          <w:tcPr>
            <w:tcW w:w="1134" w:type="dxa"/>
            <w:tcBorders>
              <w:top w:val="single" w:sz="4" w:space="0" w:color="000000"/>
              <w:left w:val="nil"/>
              <w:bottom w:val="nil"/>
              <w:right w:val="nil"/>
            </w:tcBorders>
            <w:vAlign w:val="center"/>
          </w:tcPr>
          <w:p w14:paraId="69AC7541"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7526.000</w:t>
            </w:r>
          </w:p>
        </w:tc>
        <w:tc>
          <w:tcPr>
            <w:tcW w:w="1077" w:type="dxa"/>
            <w:tcBorders>
              <w:top w:val="single" w:sz="4" w:space="0" w:color="000000"/>
              <w:left w:val="nil"/>
              <w:bottom w:val="nil"/>
              <w:right w:val="nil"/>
            </w:tcBorders>
            <w:vAlign w:val="center"/>
          </w:tcPr>
          <w:p w14:paraId="181B1E00"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-1.174</w:t>
            </w:r>
          </w:p>
        </w:tc>
        <w:tc>
          <w:tcPr>
            <w:tcW w:w="737" w:type="dxa"/>
            <w:tcBorders>
              <w:top w:val="single" w:sz="4" w:space="0" w:color="auto"/>
              <w:left w:val="nil"/>
              <w:bottom w:val="nil"/>
              <w:right w:val="nil"/>
            </w:tcBorders>
            <w:shd w:val="clear" w:color="auto" w:fill="auto"/>
            <w:vAlign w:val="center"/>
          </w:tcPr>
          <w:p w14:paraId="635AA23E"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.06</w:t>
            </w:r>
          </w:p>
        </w:tc>
      </w:tr>
      <w:tr w:rsidR="001A3A15" w:rsidRPr="00D2048F" w14:paraId="1F634080" w14:textId="77777777" w:rsidTr="00B023AC">
        <w:tc>
          <w:tcPr>
            <w:tcW w:w="3231" w:type="dxa"/>
            <w:tcBorders>
              <w:top w:val="nil"/>
              <w:left w:val="nil"/>
              <w:bottom w:val="nil"/>
              <w:right w:val="nil"/>
            </w:tcBorders>
            <w:vAlign w:val="center"/>
          </w:tcPr>
          <w:p w14:paraId="057A84E0"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Valoración de líderes políticos</w:t>
            </w:r>
          </w:p>
        </w:tc>
        <w:tc>
          <w:tcPr>
            <w:tcW w:w="1417" w:type="dxa"/>
            <w:tcBorders>
              <w:top w:val="nil"/>
              <w:left w:val="nil"/>
              <w:bottom w:val="nil"/>
              <w:right w:val="nil"/>
            </w:tcBorders>
            <w:vAlign w:val="center"/>
          </w:tcPr>
          <w:p w14:paraId="484832B5"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3.73 (.720)</w:t>
            </w:r>
          </w:p>
        </w:tc>
        <w:tc>
          <w:tcPr>
            <w:tcW w:w="1418" w:type="dxa"/>
            <w:tcBorders>
              <w:top w:val="nil"/>
              <w:left w:val="nil"/>
              <w:bottom w:val="nil"/>
              <w:right w:val="nil"/>
            </w:tcBorders>
            <w:vAlign w:val="center"/>
          </w:tcPr>
          <w:p w14:paraId="14CE1F7A"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3.86 (.615)</w:t>
            </w:r>
          </w:p>
        </w:tc>
        <w:tc>
          <w:tcPr>
            <w:tcW w:w="1134" w:type="dxa"/>
            <w:tcBorders>
              <w:top w:val="nil"/>
              <w:left w:val="nil"/>
              <w:bottom w:val="nil"/>
              <w:right w:val="nil"/>
            </w:tcBorders>
            <w:vAlign w:val="center"/>
          </w:tcPr>
          <w:p w14:paraId="429A3701"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7591.500</w:t>
            </w:r>
          </w:p>
        </w:tc>
        <w:tc>
          <w:tcPr>
            <w:tcW w:w="1077" w:type="dxa"/>
            <w:tcBorders>
              <w:top w:val="nil"/>
              <w:left w:val="nil"/>
              <w:bottom w:val="nil"/>
              <w:right w:val="nil"/>
            </w:tcBorders>
            <w:vAlign w:val="center"/>
          </w:tcPr>
          <w:p w14:paraId="313CF73B"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-1.156</w:t>
            </w:r>
          </w:p>
        </w:tc>
        <w:tc>
          <w:tcPr>
            <w:tcW w:w="737" w:type="dxa"/>
            <w:tcBorders>
              <w:top w:val="nil"/>
              <w:left w:val="nil"/>
              <w:bottom w:val="nil"/>
              <w:right w:val="nil"/>
            </w:tcBorders>
            <w:shd w:val="clear" w:color="auto" w:fill="auto"/>
            <w:vAlign w:val="center"/>
          </w:tcPr>
          <w:p w14:paraId="0AE5726C"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.06</w:t>
            </w:r>
          </w:p>
        </w:tc>
      </w:tr>
      <w:tr w:rsidR="001A3A15" w:rsidRPr="00D2048F" w14:paraId="47C967BD" w14:textId="77777777" w:rsidTr="00B023AC">
        <w:tc>
          <w:tcPr>
            <w:tcW w:w="3231" w:type="dxa"/>
            <w:tcBorders>
              <w:top w:val="nil"/>
              <w:left w:val="nil"/>
              <w:bottom w:val="nil"/>
              <w:right w:val="nil"/>
            </w:tcBorders>
            <w:vAlign w:val="center"/>
          </w:tcPr>
          <w:p w14:paraId="3DAE28DF"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Eficacia política</w:t>
            </w:r>
          </w:p>
        </w:tc>
        <w:tc>
          <w:tcPr>
            <w:tcW w:w="1417" w:type="dxa"/>
            <w:tcBorders>
              <w:top w:val="nil"/>
              <w:left w:val="nil"/>
              <w:bottom w:val="nil"/>
              <w:right w:val="nil"/>
            </w:tcBorders>
            <w:vAlign w:val="center"/>
          </w:tcPr>
          <w:p w14:paraId="5D62B998"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2.56 (.841)</w:t>
            </w:r>
          </w:p>
        </w:tc>
        <w:tc>
          <w:tcPr>
            <w:tcW w:w="1418" w:type="dxa"/>
            <w:tcBorders>
              <w:top w:val="nil"/>
              <w:left w:val="nil"/>
              <w:bottom w:val="nil"/>
              <w:right w:val="nil"/>
            </w:tcBorders>
            <w:vAlign w:val="center"/>
          </w:tcPr>
          <w:p w14:paraId="2F76DA1B"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2.92 (.746)</w:t>
            </w:r>
          </w:p>
        </w:tc>
        <w:tc>
          <w:tcPr>
            <w:tcW w:w="1134" w:type="dxa"/>
            <w:tcBorders>
              <w:top w:val="nil"/>
              <w:left w:val="nil"/>
              <w:bottom w:val="nil"/>
              <w:right w:val="nil"/>
            </w:tcBorders>
            <w:vAlign w:val="center"/>
          </w:tcPr>
          <w:p w14:paraId="7D9A0822"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6392.500</w:t>
            </w:r>
          </w:p>
        </w:tc>
        <w:tc>
          <w:tcPr>
            <w:tcW w:w="1077" w:type="dxa"/>
            <w:tcBorders>
              <w:top w:val="nil"/>
              <w:left w:val="nil"/>
              <w:bottom w:val="nil"/>
              <w:right w:val="nil"/>
            </w:tcBorders>
            <w:vAlign w:val="center"/>
          </w:tcPr>
          <w:p w14:paraId="193707C0"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-2.848*</w:t>
            </w:r>
          </w:p>
        </w:tc>
        <w:tc>
          <w:tcPr>
            <w:tcW w:w="737" w:type="dxa"/>
            <w:tcBorders>
              <w:top w:val="nil"/>
              <w:left w:val="nil"/>
              <w:bottom w:val="nil"/>
              <w:right w:val="nil"/>
            </w:tcBorders>
            <w:shd w:val="clear" w:color="auto" w:fill="auto"/>
            <w:vAlign w:val="center"/>
          </w:tcPr>
          <w:p w14:paraId="6F310CEA"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.14</w:t>
            </w:r>
          </w:p>
        </w:tc>
      </w:tr>
      <w:tr w:rsidR="001A3A15" w:rsidRPr="00D2048F" w14:paraId="39274DF6" w14:textId="77777777" w:rsidTr="00B023AC">
        <w:tc>
          <w:tcPr>
            <w:tcW w:w="3231" w:type="dxa"/>
            <w:tcBorders>
              <w:top w:val="nil"/>
              <w:left w:val="nil"/>
              <w:bottom w:val="nil"/>
              <w:right w:val="nil"/>
            </w:tcBorders>
            <w:vAlign w:val="center"/>
          </w:tcPr>
          <w:p w14:paraId="149DABE2"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Ubicación ideológica en política</w:t>
            </w:r>
          </w:p>
        </w:tc>
        <w:tc>
          <w:tcPr>
            <w:tcW w:w="1417" w:type="dxa"/>
            <w:tcBorders>
              <w:top w:val="nil"/>
              <w:left w:val="nil"/>
              <w:bottom w:val="nil"/>
              <w:right w:val="nil"/>
            </w:tcBorders>
            <w:vAlign w:val="center"/>
          </w:tcPr>
          <w:p w14:paraId="7FD7B7FE"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3.04 (.601)</w:t>
            </w:r>
          </w:p>
        </w:tc>
        <w:tc>
          <w:tcPr>
            <w:tcW w:w="1418" w:type="dxa"/>
            <w:tcBorders>
              <w:top w:val="nil"/>
              <w:left w:val="nil"/>
              <w:bottom w:val="nil"/>
              <w:right w:val="nil"/>
            </w:tcBorders>
            <w:vAlign w:val="center"/>
          </w:tcPr>
          <w:p w14:paraId="11BA82A3"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3.17 (.576)</w:t>
            </w:r>
          </w:p>
        </w:tc>
        <w:tc>
          <w:tcPr>
            <w:tcW w:w="1134" w:type="dxa"/>
            <w:tcBorders>
              <w:top w:val="nil"/>
              <w:left w:val="nil"/>
              <w:bottom w:val="nil"/>
              <w:right w:val="nil"/>
            </w:tcBorders>
            <w:vAlign w:val="center"/>
          </w:tcPr>
          <w:p w14:paraId="3B326854"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7581.000</w:t>
            </w:r>
          </w:p>
        </w:tc>
        <w:tc>
          <w:tcPr>
            <w:tcW w:w="1077" w:type="dxa"/>
            <w:tcBorders>
              <w:top w:val="nil"/>
              <w:left w:val="nil"/>
              <w:bottom w:val="nil"/>
              <w:right w:val="nil"/>
            </w:tcBorders>
            <w:vAlign w:val="center"/>
          </w:tcPr>
          <w:p w14:paraId="17D93270"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-1.230</w:t>
            </w:r>
          </w:p>
        </w:tc>
        <w:tc>
          <w:tcPr>
            <w:tcW w:w="737" w:type="dxa"/>
            <w:tcBorders>
              <w:top w:val="nil"/>
              <w:left w:val="nil"/>
              <w:bottom w:val="nil"/>
              <w:right w:val="nil"/>
            </w:tcBorders>
            <w:shd w:val="clear" w:color="auto" w:fill="auto"/>
            <w:vAlign w:val="center"/>
          </w:tcPr>
          <w:p w14:paraId="0270B6F4"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.06</w:t>
            </w:r>
          </w:p>
        </w:tc>
      </w:tr>
      <w:tr w:rsidR="001A3A15" w:rsidRPr="00D2048F" w14:paraId="019C03D5" w14:textId="77777777" w:rsidTr="00B023AC">
        <w:tc>
          <w:tcPr>
            <w:tcW w:w="3231" w:type="dxa"/>
            <w:tcBorders>
              <w:top w:val="nil"/>
              <w:left w:val="nil"/>
              <w:bottom w:val="nil"/>
              <w:right w:val="nil"/>
            </w:tcBorders>
            <w:vAlign w:val="center"/>
          </w:tcPr>
          <w:p w14:paraId="33E6AD5D"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Participación electoral</w:t>
            </w:r>
          </w:p>
        </w:tc>
        <w:tc>
          <w:tcPr>
            <w:tcW w:w="1417" w:type="dxa"/>
            <w:tcBorders>
              <w:top w:val="nil"/>
              <w:left w:val="nil"/>
              <w:bottom w:val="nil"/>
              <w:right w:val="nil"/>
            </w:tcBorders>
            <w:vAlign w:val="center"/>
          </w:tcPr>
          <w:p w14:paraId="33958ED8"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3.73 (.654)</w:t>
            </w:r>
          </w:p>
        </w:tc>
        <w:tc>
          <w:tcPr>
            <w:tcW w:w="1418" w:type="dxa"/>
            <w:tcBorders>
              <w:top w:val="nil"/>
              <w:left w:val="nil"/>
              <w:bottom w:val="nil"/>
              <w:right w:val="nil"/>
            </w:tcBorders>
            <w:vAlign w:val="center"/>
          </w:tcPr>
          <w:p w14:paraId="0B95C7F1"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3.72 (.505)</w:t>
            </w:r>
          </w:p>
        </w:tc>
        <w:tc>
          <w:tcPr>
            <w:tcW w:w="1134" w:type="dxa"/>
            <w:tcBorders>
              <w:top w:val="nil"/>
              <w:left w:val="nil"/>
              <w:bottom w:val="nil"/>
              <w:right w:val="nil"/>
            </w:tcBorders>
            <w:vAlign w:val="center"/>
          </w:tcPr>
          <w:p w14:paraId="0C24295E"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7939.000</w:t>
            </w:r>
          </w:p>
        </w:tc>
        <w:tc>
          <w:tcPr>
            <w:tcW w:w="1077" w:type="dxa"/>
            <w:tcBorders>
              <w:top w:val="nil"/>
              <w:left w:val="nil"/>
              <w:bottom w:val="nil"/>
              <w:right w:val="nil"/>
            </w:tcBorders>
            <w:vAlign w:val="center"/>
          </w:tcPr>
          <w:p w14:paraId="6253B331"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-.687</w:t>
            </w:r>
          </w:p>
        </w:tc>
        <w:tc>
          <w:tcPr>
            <w:tcW w:w="737" w:type="dxa"/>
            <w:tcBorders>
              <w:top w:val="nil"/>
              <w:left w:val="nil"/>
              <w:bottom w:val="nil"/>
              <w:right w:val="nil"/>
            </w:tcBorders>
            <w:shd w:val="clear" w:color="auto" w:fill="auto"/>
            <w:vAlign w:val="center"/>
          </w:tcPr>
          <w:p w14:paraId="400E59E9"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.03</w:t>
            </w:r>
          </w:p>
        </w:tc>
      </w:tr>
      <w:tr w:rsidR="001A3A15" w:rsidRPr="00D2048F" w14:paraId="7B0A0954" w14:textId="77777777" w:rsidTr="00B023AC">
        <w:tc>
          <w:tcPr>
            <w:tcW w:w="3231" w:type="dxa"/>
            <w:tcBorders>
              <w:top w:val="nil"/>
              <w:left w:val="nil"/>
              <w:bottom w:val="nil"/>
              <w:right w:val="nil"/>
            </w:tcBorders>
            <w:vAlign w:val="center"/>
          </w:tcPr>
          <w:p w14:paraId="594BC118"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Interés y comprensión de asuntos públicos</w:t>
            </w:r>
          </w:p>
        </w:tc>
        <w:tc>
          <w:tcPr>
            <w:tcW w:w="1417" w:type="dxa"/>
            <w:tcBorders>
              <w:top w:val="nil"/>
              <w:left w:val="nil"/>
              <w:bottom w:val="nil"/>
              <w:right w:val="nil"/>
            </w:tcBorders>
            <w:vAlign w:val="center"/>
          </w:tcPr>
          <w:p w14:paraId="4A3B90D5"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3.60 (.688)</w:t>
            </w:r>
          </w:p>
        </w:tc>
        <w:tc>
          <w:tcPr>
            <w:tcW w:w="1418" w:type="dxa"/>
            <w:tcBorders>
              <w:top w:val="nil"/>
              <w:left w:val="nil"/>
              <w:bottom w:val="nil"/>
              <w:right w:val="nil"/>
            </w:tcBorders>
            <w:vAlign w:val="center"/>
          </w:tcPr>
          <w:p w14:paraId="6A301BE2"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3.53 (.638)</w:t>
            </w:r>
          </w:p>
        </w:tc>
        <w:tc>
          <w:tcPr>
            <w:tcW w:w="1134" w:type="dxa"/>
            <w:tcBorders>
              <w:top w:val="nil"/>
              <w:left w:val="nil"/>
              <w:bottom w:val="nil"/>
              <w:right w:val="nil"/>
            </w:tcBorders>
            <w:vAlign w:val="center"/>
          </w:tcPr>
          <w:p w14:paraId="52AAAB81"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7604.000</w:t>
            </w:r>
          </w:p>
        </w:tc>
        <w:tc>
          <w:tcPr>
            <w:tcW w:w="1077" w:type="dxa"/>
            <w:tcBorders>
              <w:top w:val="nil"/>
              <w:left w:val="nil"/>
              <w:bottom w:val="nil"/>
              <w:right w:val="nil"/>
            </w:tcBorders>
            <w:vAlign w:val="center"/>
          </w:tcPr>
          <w:p w14:paraId="78825E1C"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-1.102</w:t>
            </w:r>
          </w:p>
        </w:tc>
        <w:tc>
          <w:tcPr>
            <w:tcW w:w="737" w:type="dxa"/>
            <w:tcBorders>
              <w:top w:val="nil"/>
              <w:left w:val="nil"/>
              <w:bottom w:val="nil"/>
              <w:right w:val="nil"/>
            </w:tcBorders>
            <w:shd w:val="clear" w:color="auto" w:fill="auto"/>
            <w:vAlign w:val="center"/>
          </w:tcPr>
          <w:p w14:paraId="3C6147BE"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.05</w:t>
            </w:r>
          </w:p>
        </w:tc>
      </w:tr>
      <w:tr w:rsidR="001A3A15" w:rsidRPr="00D2048F" w14:paraId="14531EC1" w14:textId="77777777" w:rsidTr="00B023AC">
        <w:tc>
          <w:tcPr>
            <w:tcW w:w="3231" w:type="dxa"/>
            <w:tcBorders>
              <w:top w:val="nil"/>
              <w:left w:val="nil"/>
              <w:bottom w:val="nil"/>
              <w:right w:val="nil"/>
            </w:tcBorders>
            <w:vAlign w:val="center"/>
          </w:tcPr>
          <w:p w14:paraId="4B14DC64"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Confianza política</w:t>
            </w:r>
          </w:p>
        </w:tc>
        <w:tc>
          <w:tcPr>
            <w:tcW w:w="1417" w:type="dxa"/>
            <w:tcBorders>
              <w:top w:val="nil"/>
              <w:left w:val="nil"/>
              <w:bottom w:val="nil"/>
              <w:right w:val="nil"/>
            </w:tcBorders>
            <w:vAlign w:val="center"/>
          </w:tcPr>
          <w:p w14:paraId="7A57D259"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3.36 (.692)</w:t>
            </w:r>
          </w:p>
        </w:tc>
        <w:tc>
          <w:tcPr>
            <w:tcW w:w="1418" w:type="dxa"/>
            <w:tcBorders>
              <w:top w:val="nil"/>
              <w:left w:val="nil"/>
              <w:bottom w:val="nil"/>
              <w:right w:val="nil"/>
            </w:tcBorders>
            <w:vAlign w:val="center"/>
          </w:tcPr>
          <w:p w14:paraId="162DA15D"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3.46 (.753)</w:t>
            </w:r>
          </w:p>
        </w:tc>
        <w:tc>
          <w:tcPr>
            <w:tcW w:w="1134" w:type="dxa"/>
            <w:tcBorders>
              <w:top w:val="nil"/>
              <w:left w:val="nil"/>
              <w:bottom w:val="nil"/>
              <w:right w:val="nil"/>
            </w:tcBorders>
            <w:vAlign w:val="center"/>
          </w:tcPr>
          <w:p w14:paraId="6F94182B"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7978.000</w:t>
            </w:r>
          </w:p>
        </w:tc>
        <w:tc>
          <w:tcPr>
            <w:tcW w:w="1077" w:type="dxa"/>
            <w:tcBorders>
              <w:top w:val="nil"/>
              <w:left w:val="nil"/>
              <w:bottom w:val="nil"/>
              <w:right w:val="nil"/>
            </w:tcBorders>
            <w:vAlign w:val="center"/>
          </w:tcPr>
          <w:p w14:paraId="1F7009FB"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-.535</w:t>
            </w:r>
          </w:p>
        </w:tc>
        <w:tc>
          <w:tcPr>
            <w:tcW w:w="737" w:type="dxa"/>
            <w:tcBorders>
              <w:top w:val="nil"/>
              <w:left w:val="nil"/>
              <w:bottom w:val="nil"/>
              <w:right w:val="nil"/>
            </w:tcBorders>
            <w:shd w:val="clear" w:color="auto" w:fill="auto"/>
            <w:vAlign w:val="center"/>
          </w:tcPr>
          <w:p w14:paraId="283BAC70"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.03</w:t>
            </w:r>
          </w:p>
        </w:tc>
      </w:tr>
      <w:tr w:rsidR="001A3A15" w:rsidRPr="00D2048F" w14:paraId="6EDF3E1E" w14:textId="77777777" w:rsidTr="00B023AC">
        <w:tc>
          <w:tcPr>
            <w:tcW w:w="3231" w:type="dxa"/>
            <w:tcBorders>
              <w:top w:val="nil"/>
              <w:left w:val="nil"/>
              <w:bottom w:val="nil"/>
              <w:right w:val="nil"/>
            </w:tcBorders>
            <w:vAlign w:val="center"/>
          </w:tcPr>
          <w:p w14:paraId="53CF9253"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Influencia política</w:t>
            </w:r>
          </w:p>
        </w:tc>
        <w:tc>
          <w:tcPr>
            <w:tcW w:w="1417" w:type="dxa"/>
            <w:tcBorders>
              <w:top w:val="nil"/>
              <w:left w:val="nil"/>
              <w:bottom w:val="nil"/>
              <w:right w:val="nil"/>
            </w:tcBorders>
            <w:vAlign w:val="center"/>
          </w:tcPr>
          <w:p w14:paraId="5D2D6D8A"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3.87 (.696)</w:t>
            </w:r>
          </w:p>
        </w:tc>
        <w:tc>
          <w:tcPr>
            <w:tcW w:w="1418" w:type="dxa"/>
            <w:tcBorders>
              <w:top w:val="nil"/>
              <w:left w:val="nil"/>
              <w:bottom w:val="nil"/>
              <w:right w:val="nil"/>
            </w:tcBorders>
            <w:vAlign w:val="center"/>
          </w:tcPr>
          <w:p w14:paraId="32D03CD9"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3.73 (.762)</w:t>
            </w:r>
          </w:p>
        </w:tc>
        <w:tc>
          <w:tcPr>
            <w:tcW w:w="1134" w:type="dxa"/>
            <w:tcBorders>
              <w:top w:val="nil"/>
              <w:left w:val="nil"/>
              <w:bottom w:val="nil"/>
              <w:right w:val="nil"/>
            </w:tcBorders>
            <w:vAlign w:val="center"/>
          </w:tcPr>
          <w:p w14:paraId="79BB1204"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7446.500</w:t>
            </w:r>
          </w:p>
        </w:tc>
        <w:tc>
          <w:tcPr>
            <w:tcW w:w="1077" w:type="dxa"/>
            <w:tcBorders>
              <w:top w:val="nil"/>
              <w:left w:val="nil"/>
              <w:bottom w:val="nil"/>
              <w:right w:val="nil"/>
            </w:tcBorders>
            <w:vAlign w:val="center"/>
          </w:tcPr>
          <w:p w14:paraId="18AF24B5"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-1.286</w:t>
            </w:r>
          </w:p>
        </w:tc>
        <w:tc>
          <w:tcPr>
            <w:tcW w:w="737" w:type="dxa"/>
            <w:tcBorders>
              <w:top w:val="nil"/>
              <w:left w:val="nil"/>
              <w:bottom w:val="nil"/>
              <w:right w:val="nil"/>
            </w:tcBorders>
            <w:shd w:val="clear" w:color="auto" w:fill="auto"/>
            <w:vAlign w:val="center"/>
          </w:tcPr>
          <w:p w14:paraId="121FF3F8"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.06</w:t>
            </w:r>
          </w:p>
        </w:tc>
      </w:tr>
      <w:tr w:rsidR="001A3A15" w:rsidRPr="00D2048F" w14:paraId="3DCED511" w14:textId="77777777" w:rsidTr="00B023AC">
        <w:tc>
          <w:tcPr>
            <w:tcW w:w="3231" w:type="dxa"/>
            <w:tcBorders>
              <w:top w:val="nil"/>
              <w:left w:val="nil"/>
              <w:bottom w:val="nil"/>
              <w:right w:val="nil"/>
            </w:tcBorders>
            <w:vAlign w:val="center"/>
          </w:tcPr>
          <w:p w14:paraId="055EFA9D"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Optimismo político</w:t>
            </w:r>
          </w:p>
        </w:tc>
        <w:tc>
          <w:tcPr>
            <w:tcW w:w="1417" w:type="dxa"/>
            <w:tcBorders>
              <w:top w:val="nil"/>
              <w:left w:val="nil"/>
              <w:bottom w:val="nil"/>
              <w:right w:val="nil"/>
            </w:tcBorders>
            <w:vAlign w:val="center"/>
          </w:tcPr>
          <w:p w14:paraId="27C11A4D"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2.58 (.739)</w:t>
            </w:r>
          </w:p>
        </w:tc>
        <w:tc>
          <w:tcPr>
            <w:tcW w:w="1418" w:type="dxa"/>
            <w:tcBorders>
              <w:top w:val="nil"/>
              <w:left w:val="nil"/>
              <w:bottom w:val="nil"/>
              <w:right w:val="nil"/>
            </w:tcBorders>
            <w:vAlign w:val="center"/>
          </w:tcPr>
          <w:p w14:paraId="361AB777"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2.47 (.833)</w:t>
            </w:r>
          </w:p>
        </w:tc>
        <w:tc>
          <w:tcPr>
            <w:tcW w:w="1134" w:type="dxa"/>
            <w:tcBorders>
              <w:top w:val="nil"/>
              <w:left w:val="nil"/>
              <w:bottom w:val="nil"/>
              <w:right w:val="nil"/>
            </w:tcBorders>
            <w:vAlign w:val="center"/>
          </w:tcPr>
          <w:p w14:paraId="39FD329D"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7764.500</w:t>
            </w:r>
          </w:p>
        </w:tc>
        <w:tc>
          <w:tcPr>
            <w:tcW w:w="1077" w:type="dxa"/>
            <w:tcBorders>
              <w:top w:val="nil"/>
              <w:left w:val="nil"/>
              <w:bottom w:val="nil"/>
              <w:right w:val="nil"/>
            </w:tcBorders>
            <w:vAlign w:val="center"/>
          </w:tcPr>
          <w:p w14:paraId="418B7778"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-.825</w:t>
            </w:r>
          </w:p>
        </w:tc>
        <w:tc>
          <w:tcPr>
            <w:tcW w:w="737" w:type="dxa"/>
            <w:tcBorders>
              <w:top w:val="nil"/>
              <w:left w:val="nil"/>
              <w:bottom w:val="nil"/>
              <w:right w:val="nil"/>
            </w:tcBorders>
            <w:shd w:val="clear" w:color="auto" w:fill="auto"/>
            <w:vAlign w:val="center"/>
          </w:tcPr>
          <w:p w14:paraId="1E73068B"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.04</w:t>
            </w:r>
          </w:p>
        </w:tc>
      </w:tr>
      <w:tr w:rsidR="001A3A15" w:rsidRPr="001A3A15" w14:paraId="41F644EB" w14:textId="77777777" w:rsidTr="00B023AC">
        <w:tc>
          <w:tcPr>
            <w:tcW w:w="3231" w:type="dxa"/>
            <w:tcBorders>
              <w:top w:val="nil"/>
              <w:left w:val="nil"/>
              <w:right w:val="nil"/>
            </w:tcBorders>
            <w:vAlign w:val="center"/>
          </w:tcPr>
          <w:p w14:paraId="42D0CD75" w14:textId="77777777" w:rsidR="001A3A15" w:rsidRPr="001A3A15" w:rsidRDefault="001A3A15" w:rsidP="001A3A15">
            <w:pPr>
              <w:pStyle w:val="Sinespaciado"/>
              <w:spacing w:line="276" w:lineRule="auto"/>
              <w:rPr>
                <w:rFonts w:ascii="Times New Roman" w:hAnsi="Times New Roman" w:cs="Times New Roman"/>
                <w:iCs/>
                <w:sz w:val="20"/>
                <w:szCs w:val="20"/>
              </w:rPr>
            </w:pPr>
            <w:r w:rsidRPr="001A3A15">
              <w:rPr>
                <w:rFonts w:ascii="Times New Roman" w:hAnsi="Times New Roman" w:cs="Times New Roman"/>
                <w:iCs/>
                <w:sz w:val="20"/>
                <w:szCs w:val="20"/>
              </w:rPr>
              <w:t>Implicancia política</w:t>
            </w:r>
          </w:p>
        </w:tc>
        <w:tc>
          <w:tcPr>
            <w:tcW w:w="1417" w:type="dxa"/>
            <w:tcBorders>
              <w:top w:val="nil"/>
              <w:left w:val="nil"/>
              <w:right w:val="nil"/>
            </w:tcBorders>
            <w:vAlign w:val="center"/>
          </w:tcPr>
          <w:p w14:paraId="5F66EB00"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1.78 (.801)</w:t>
            </w:r>
          </w:p>
        </w:tc>
        <w:tc>
          <w:tcPr>
            <w:tcW w:w="1418" w:type="dxa"/>
            <w:tcBorders>
              <w:top w:val="nil"/>
              <w:left w:val="nil"/>
              <w:right w:val="nil"/>
            </w:tcBorders>
            <w:vAlign w:val="center"/>
          </w:tcPr>
          <w:p w14:paraId="0A52559D"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2.05 (.845)</w:t>
            </w:r>
          </w:p>
        </w:tc>
        <w:tc>
          <w:tcPr>
            <w:tcW w:w="1134" w:type="dxa"/>
            <w:tcBorders>
              <w:top w:val="nil"/>
              <w:left w:val="nil"/>
              <w:right w:val="nil"/>
            </w:tcBorders>
            <w:vAlign w:val="center"/>
          </w:tcPr>
          <w:p w14:paraId="13AB301F"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6812.500</w:t>
            </w:r>
          </w:p>
        </w:tc>
        <w:tc>
          <w:tcPr>
            <w:tcW w:w="1077" w:type="dxa"/>
            <w:tcBorders>
              <w:top w:val="nil"/>
              <w:left w:val="nil"/>
              <w:right w:val="nil"/>
            </w:tcBorders>
            <w:vAlign w:val="center"/>
          </w:tcPr>
          <w:p w14:paraId="2961BEB3"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sz w:val="20"/>
                <w:szCs w:val="20"/>
              </w:rPr>
              <w:t>-2.146**</w:t>
            </w:r>
          </w:p>
        </w:tc>
        <w:tc>
          <w:tcPr>
            <w:tcW w:w="737" w:type="dxa"/>
            <w:tcBorders>
              <w:top w:val="nil"/>
              <w:left w:val="nil"/>
              <w:bottom w:val="single" w:sz="4" w:space="0" w:color="auto"/>
              <w:right w:val="nil"/>
            </w:tcBorders>
            <w:shd w:val="clear" w:color="auto" w:fill="auto"/>
            <w:vAlign w:val="center"/>
          </w:tcPr>
          <w:p w14:paraId="25DD9DAA" w14:textId="77777777" w:rsidR="001A3A15" w:rsidRPr="001A3A15" w:rsidRDefault="001A3A15" w:rsidP="001A3A15">
            <w:pPr>
              <w:pStyle w:val="Sinespaciado"/>
              <w:spacing w:line="276" w:lineRule="auto"/>
              <w:jc w:val="center"/>
              <w:rPr>
                <w:rFonts w:ascii="Times New Roman" w:hAnsi="Times New Roman" w:cs="Times New Roman"/>
                <w:sz w:val="20"/>
                <w:szCs w:val="20"/>
              </w:rPr>
            </w:pPr>
            <w:r w:rsidRPr="001A3A15">
              <w:rPr>
                <w:rFonts w:ascii="Times New Roman" w:hAnsi="Times New Roman" w:cs="Times New Roman"/>
                <w:color w:val="000000"/>
                <w:sz w:val="20"/>
                <w:szCs w:val="20"/>
              </w:rPr>
              <w:t>.11</w:t>
            </w:r>
          </w:p>
        </w:tc>
      </w:tr>
    </w:tbl>
    <w:p w14:paraId="1FBED420" w14:textId="77777777" w:rsidR="001A3A15" w:rsidRPr="001A3A15" w:rsidRDefault="001A3A15" w:rsidP="001A3A15">
      <w:pPr>
        <w:pBdr>
          <w:top w:val="nil"/>
          <w:left w:val="nil"/>
          <w:bottom w:val="nil"/>
          <w:right w:val="nil"/>
          <w:between w:val="nil"/>
        </w:pBdr>
        <w:spacing w:line="360" w:lineRule="auto"/>
        <w:jc w:val="both"/>
        <w:rPr>
          <w:rFonts w:eastAsia="Garamond"/>
          <w:sz w:val="20"/>
          <w:szCs w:val="20"/>
        </w:rPr>
      </w:pPr>
      <w:r w:rsidRPr="001A3A15">
        <w:rPr>
          <w:rFonts w:eastAsia="Garamond"/>
          <w:i/>
          <w:iCs/>
          <w:sz w:val="20"/>
          <w:szCs w:val="20"/>
        </w:rPr>
        <w:t>Nota.</w:t>
      </w:r>
      <w:r w:rsidRPr="001A3A15">
        <w:rPr>
          <w:rFonts w:eastAsia="Garamond"/>
          <w:sz w:val="20"/>
          <w:szCs w:val="20"/>
        </w:rPr>
        <w:t xml:space="preserve"> **</w:t>
      </w:r>
      <w:r w:rsidRPr="001A3A15">
        <w:rPr>
          <w:rFonts w:eastAsia="Garamond"/>
          <w:i/>
          <w:sz w:val="20"/>
          <w:szCs w:val="20"/>
        </w:rPr>
        <w:t>p</w:t>
      </w:r>
      <w:r w:rsidRPr="001A3A15">
        <w:rPr>
          <w:sz w:val="20"/>
          <w:szCs w:val="20"/>
        </w:rPr>
        <w:t xml:space="preserve"> </w:t>
      </w:r>
      <w:r w:rsidRPr="001A3A15">
        <w:rPr>
          <w:rFonts w:eastAsia="Gungsuh"/>
          <w:sz w:val="20"/>
          <w:szCs w:val="20"/>
        </w:rPr>
        <w:t>≤.05/*</w:t>
      </w:r>
      <w:r w:rsidRPr="001A3A15">
        <w:rPr>
          <w:rFonts w:eastAsia="Garamond"/>
          <w:i/>
          <w:sz w:val="20"/>
          <w:szCs w:val="20"/>
        </w:rPr>
        <w:t xml:space="preserve"> p</w:t>
      </w:r>
      <w:r w:rsidRPr="001A3A15">
        <w:rPr>
          <w:rFonts w:eastAsia="Gungsuh"/>
          <w:sz w:val="20"/>
          <w:szCs w:val="20"/>
        </w:rPr>
        <w:t>≤.01</w:t>
      </w:r>
    </w:p>
    <w:p w14:paraId="11BDD45F" w14:textId="77777777" w:rsidR="001032ED" w:rsidRDefault="001032ED" w:rsidP="001A3A15">
      <w:pPr>
        <w:pBdr>
          <w:top w:val="nil"/>
          <w:left w:val="nil"/>
          <w:bottom w:val="nil"/>
          <w:right w:val="nil"/>
          <w:between w:val="nil"/>
        </w:pBdr>
        <w:spacing w:line="360" w:lineRule="auto"/>
        <w:ind w:firstLine="720"/>
        <w:jc w:val="both"/>
        <w:rPr>
          <w:rFonts w:eastAsia="Garamond"/>
        </w:rPr>
      </w:pPr>
    </w:p>
    <w:p w14:paraId="043C9285" w14:textId="24BC7C5C" w:rsidR="001A3A15"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 xml:space="preserve">Con el fin de apreciar la contribución de las distintas competencias ciudadanas y de la actitud hacia la política a la explicación de la conducta de participación o no participación estudiantil, en un segundo paso se procedió con una regresión logística binaria mediante el método </w:t>
      </w:r>
      <w:r w:rsidRPr="00D2048F">
        <w:rPr>
          <w:rFonts w:eastAsia="Garamond"/>
          <w:i/>
          <w:iCs/>
        </w:rPr>
        <w:t>hacia atrás-Wald</w:t>
      </w:r>
      <w:r w:rsidRPr="00D2048F">
        <w:rPr>
          <w:rFonts w:eastAsia="Garamond"/>
        </w:rPr>
        <w:t>, eliminándose una a una las variables que tuvieron menor fuerza y significancia para el modelo definitivo. Se consideraron como variables independientes aquellas que componen las competencias ciudadanas y aquellas que componen la actitud hacia la política presentes en la muestra. La variable dependiente consideró un tratamiento cualitativo dicotómico</w:t>
      </w:r>
      <w:r w:rsidR="008D6D3D">
        <w:rPr>
          <w:rFonts w:eastAsia="Garamond"/>
        </w:rPr>
        <w:t xml:space="preserve"> </w:t>
      </w:r>
      <w:r w:rsidR="008D6D3D" w:rsidRPr="008D6D3D">
        <w:rPr>
          <w:rFonts w:eastAsia="Garamond"/>
          <w:i/>
          <w:iCs/>
        </w:rPr>
        <w:t>-Dummy-</w:t>
      </w:r>
      <w:r w:rsidRPr="00D2048F">
        <w:rPr>
          <w:rFonts w:eastAsia="Garamond"/>
        </w:rPr>
        <w:t>, asignándosele valores 0</w:t>
      </w:r>
      <w:r w:rsidR="008D6D3D">
        <w:rPr>
          <w:rFonts w:eastAsia="Garamond"/>
        </w:rPr>
        <w:t xml:space="preserve"> -cero-</w:t>
      </w:r>
      <w:r w:rsidRPr="00D2048F">
        <w:rPr>
          <w:rFonts w:eastAsia="Garamond"/>
        </w:rPr>
        <w:t xml:space="preserve"> para quienes señalaron no participar en instituciones y 1</w:t>
      </w:r>
      <w:r w:rsidR="008D6D3D">
        <w:rPr>
          <w:rFonts w:eastAsia="Garamond"/>
        </w:rPr>
        <w:t xml:space="preserve"> -uno-</w:t>
      </w:r>
      <w:r w:rsidRPr="00D2048F">
        <w:rPr>
          <w:rFonts w:eastAsia="Garamond"/>
        </w:rPr>
        <w:t xml:space="preserve"> para quienes indicaron sí participar activamente.</w:t>
      </w:r>
    </w:p>
    <w:p w14:paraId="5A546EC6"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En el modelo, la prueba ómnibus de coeficientes muestra un contraste significativo (X</w:t>
      </w:r>
      <w:r w:rsidRPr="00D2048F">
        <w:rPr>
          <w:rFonts w:eastAsia="Garamond"/>
          <w:vertAlign w:val="superscript"/>
        </w:rPr>
        <w:t>2</w:t>
      </w:r>
      <w:r w:rsidRPr="00D2048F">
        <w:rPr>
          <w:rFonts w:eastAsia="Garamond"/>
        </w:rPr>
        <w:t xml:space="preserve">=37.530; gl=6; </w:t>
      </w:r>
      <w:r w:rsidRPr="00D2048F">
        <w:rPr>
          <w:rFonts w:eastAsia="Gungsuh"/>
          <w:i/>
        </w:rPr>
        <w:t>p≤</w:t>
      </w:r>
      <w:r w:rsidRPr="00D2048F">
        <w:rPr>
          <w:rFonts w:eastAsia="Garamond"/>
        </w:rPr>
        <w:t xml:space="preserve">.01), por lo que se considera factible continuar con el estudio de las variables independientes respecto a la explicación de la participación estudiantil. La varianza explicada por </w:t>
      </w:r>
      <w:r w:rsidRPr="00D2048F">
        <w:rPr>
          <w:rFonts w:eastAsia="Garamond"/>
        </w:rPr>
        <w:lastRenderedPageBreak/>
        <w:t>las variables independientes en su conjunto, a través del coeficiente R</w:t>
      </w:r>
      <w:r w:rsidRPr="00D2048F">
        <w:rPr>
          <w:rFonts w:eastAsia="Garamond"/>
          <w:vertAlign w:val="superscript"/>
        </w:rPr>
        <w:t>2</w:t>
      </w:r>
      <w:r w:rsidRPr="00D2048F">
        <w:rPr>
          <w:rFonts w:eastAsia="Garamond"/>
        </w:rPr>
        <w:t xml:space="preserve"> de </w:t>
      </w:r>
      <w:r w:rsidRPr="00D2048F">
        <w:rPr>
          <w:rFonts w:eastAsia="Garamond"/>
          <w:i/>
          <w:iCs/>
        </w:rPr>
        <w:t>Nagelkerke</w:t>
      </w:r>
      <w:r w:rsidRPr="00D2048F">
        <w:rPr>
          <w:rFonts w:eastAsia="Garamond"/>
        </w:rPr>
        <w:t xml:space="preserve">, fue de .174, presentándose un tamaño del efecto moderado. Por medio de la prueba </w:t>
      </w:r>
      <w:r w:rsidRPr="00D2048F">
        <w:rPr>
          <w:rFonts w:eastAsia="Garamond"/>
          <w:i/>
          <w:iCs/>
        </w:rPr>
        <w:t>Hosmer</w:t>
      </w:r>
      <w:r w:rsidRPr="00D2048F">
        <w:rPr>
          <w:rFonts w:eastAsia="Garamond"/>
        </w:rPr>
        <w:t xml:space="preserve"> y </w:t>
      </w:r>
      <w:r w:rsidRPr="00D2048F">
        <w:rPr>
          <w:rFonts w:eastAsia="Garamond"/>
          <w:i/>
          <w:iCs/>
        </w:rPr>
        <w:t>Lemeshow</w:t>
      </w:r>
      <w:r w:rsidRPr="00D2048F">
        <w:rPr>
          <w:rFonts w:eastAsia="Garamond"/>
        </w:rPr>
        <w:t>, se aprecia un ajuste satisfactorio de los datos respecto a los resultados observados y los predichos por el modelo, no existiendo diferencias estadísticamente significativas (X</w:t>
      </w:r>
      <w:r w:rsidRPr="00D2048F">
        <w:rPr>
          <w:rFonts w:eastAsia="Garamond"/>
          <w:vertAlign w:val="superscript"/>
        </w:rPr>
        <w:t>2</w:t>
      </w:r>
      <w:r w:rsidRPr="00D2048F">
        <w:rPr>
          <w:rFonts w:eastAsia="Garamond"/>
        </w:rPr>
        <w:t xml:space="preserve"> [8, N=416] 8.854;</w:t>
      </w:r>
      <w:r w:rsidRPr="00D2048F">
        <w:rPr>
          <w:rFonts w:eastAsia="Garamond"/>
          <w:i/>
        </w:rPr>
        <w:t xml:space="preserve"> p</w:t>
      </w:r>
      <w:r w:rsidRPr="00D2048F">
        <w:rPr>
          <w:rFonts w:eastAsia="Garamond"/>
        </w:rPr>
        <w:t xml:space="preserve">=.355). </w:t>
      </w:r>
    </w:p>
    <w:p w14:paraId="1BDE119F" w14:textId="77777777" w:rsidR="001A3A15" w:rsidRPr="00D2048F" w:rsidRDefault="001A3A15" w:rsidP="001A3A15">
      <w:pPr>
        <w:pStyle w:val="Sinespaciado"/>
        <w:spacing w:line="360" w:lineRule="auto"/>
        <w:ind w:firstLine="720"/>
        <w:jc w:val="both"/>
        <w:rPr>
          <w:rFonts w:ascii="Times New Roman" w:hAnsi="Times New Roman" w:cs="Times New Roman"/>
          <w:sz w:val="24"/>
          <w:szCs w:val="24"/>
        </w:rPr>
      </w:pPr>
      <w:r w:rsidRPr="00D2048F">
        <w:rPr>
          <w:rFonts w:ascii="Times New Roman" w:hAnsi="Times New Roman" w:cs="Times New Roman"/>
          <w:sz w:val="24"/>
          <w:szCs w:val="24"/>
        </w:rPr>
        <w:t xml:space="preserve">Respecto al modelo en sí mismo, la tabla 2 muestra los valores estimados por coeficientes, señalando el estadístico </w:t>
      </w:r>
      <w:r w:rsidRPr="00D2048F">
        <w:rPr>
          <w:rFonts w:ascii="Times New Roman" w:hAnsi="Times New Roman" w:cs="Times New Roman"/>
          <w:i/>
          <w:iCs/>
          <w:sz w:val="24"/>
          <w:szCs w:val="24"/>
        </w:rPr>
        <w:t>Wald</w:t>
      </w:r>
      <w:r w:rsidRPr="00D2048F">
        <w:rPr>
          <w:rFonts w:ascii="Times New Roman" w:hAnsi="Times New Roman" w:cs="Times New Roman"/>
          <w:sz w:val="24"/>
          <w:szCs w:val="24"/>
        </w:rPr>
        <w:t xml:space="preserve"> y sus respectivos valores de significación, permitiendo apreciar el peso de cada variable incluida. En lo que concierne a las competencias ciudadanas, sus factores más significativos son ‘empatía’ (B=-.745,</w:t>
      </w:r>
      <w:r w:rsidRPr="00D2048F">
        <w:rPr>
          <w:rFonts w:ascii="Times New Roman" w:eastAsia="Gungsuh" w:hAnsi="Times New Roman" w:cs="Times New Roman"/>
          <w:sz w:val="24"/>
          <w:szCs w:val="24"/>
        </w:rPr>
        <w:t xml:space="preserve"> p≤.01), ‘ambientes democráticos’ (B=</w:t>
      </w:r>
      <w:r w:rsidRPr="00D2048F">
        <w:rPr>
          <w:rFonts w:ascii="Times New Roman" w:hAnsi="Times New Roman" w:cs="Times New Roman"/>
          <w:sz w:val="24"/>
          <w:szCs w:val="24"/>
        </w:rPr>
        <w:t>.581</w:t>
      </w:r>
      <w:r w:rsidRPr="00D2048F">
        <w:rPr>
          <w:rFonts w:ascii="Times New Roman" w:eastAsia="Gungsuh" w:hAnsi="Times New Roman" w:cs="Times New Roman"/>
          <w:sz w:val="24"/>
          <w:szCs w:val="24"/>
        </w:rPr>
        <w:t>; p≤.05) y acción (B=</w:t>
      </w:r>
      <w:r w:rsidRPr="00D2048F">
        <w:rPr>
          <w:rFonts w:ascii="Times New Roman" w:hAnsi="Times New Roman" w:cs="Times New Roman"/>
          <w:sz w:val="24"/>
          <w:szCs w:val="24"/>
        </w:rPr>
        <w:t>-.364</w:t>
      </w:r>
      <w:r w:rsidRPr="00D2048F">
        <w:rPr>
          <w:rFonts w:ascii="Times New Roman" w:eastAsia="Gungsuh" w:hAnsi="Times New Roman" w:cs="Times New Roman"/>
          <w:sz w:val="24"/>
          <w:szCs w:val="24"/>
        </w:rPr>
        <w:t xml:space="preserve">; p≤.05). En este mismo orden y valores, los </w:t>
      </w:r>
      <w:r w:rsidRPr="00D2048F">
        <w:rPr>
          <w:rFonts w:ascii="Times New Roman" w:hAnsi="Times New Roman" w:cs="Times New Roman"/>
          <w:i/>
          <w:sz w:val="24"/>
          <w:szCs w:val="24"/>
        </w:rPr>
        <w:t>odds ratio</w:t>
      </w:r>
      <w:r w:rsidRPr="00D2048F">
        <w:rPr>
          <w:rFonts w:ascii="Times New Roman" w:hAnsi="Times New Roman" w:cs="Times New Roman"/>
          <w:sz w:val="24"/>
          <w:szCs w:val="24"/>
        </w:rPr>
        <w:t xml:space="preserve"> expresados indicarían que la probabilidad de participación estudiantil es más alta al desarrollar la competencia ‘ambientes democráticos’ (OR= 1.788; 95% CI= .1.195, 2.675) por sobre ‘acción’ (OR= .695; 95% CI= .495, .974) y ‘empatía’ (OR= .475; 95% CI= .302, .747). Las restantes competencias ciudadanas no contribuyen significativamente al modelo, y por tanto a la explicación de la participación estudiantil en esta muestra.</w:t>
      </w:r>
    </w:p>
    <w:p w14:paraId="3156C553" w14:textId="77777777" w:rsidR="001A3A15" w:rsidRPr="00D2048F" w:rsidRDefault="001A3A15" w:rsidP="001A3A15">
      <w:pPr>
        <w:pStyle w:val="Sinespaciado"/>
        <w:spacing w:line="360" w:lineRule="auto"/>
        <w:ind w:firstLine="284"/>
        <w:jc w:val="both"/>
        <w:rPr>
          <w:rFonts w:ascii="Times New Roman" w:hAnsi="Times New Roman" w:cs="Times New Roman"/>
          <w:sz w:val="24"/>
          <w:szCs w:val="24"/>
        </w:rPr>
      </w:pPr>
      <w:r w:rsidRPr="00D2048F">
        <w:rPr>
          <w:rFonts w:ascii="Times New Roman" w:hAnsi="Times New Roman" w:cs="Times New Roman"/>
          <w:sz w:val="24"/>
          <w:szCs w:val="24"/>
        </w:rPr>
        <w:t xml:space="preserve"> </w:t>
      </w:r>
    </w:p>
    <w:p w14:paraId="68DCBC58" w14:textId="77777777" w:rsidR="001A3A15" w:rsidRPr="001A3A15" w:rsidRDefault="001A3A15" w:rsidP="001A3A15">
      <w:pPr>
        <w:pBdr>
          <w:top w:val="nil"/>
          <w:left w:val="nil"/>
          <w:bottom w:val="nil"/>
          <w:right w:val="nil"/>
          <w:between w:val="nil"/>
        </w:pBdr>
        <w:jc w:val="both"/>
        <w:rPr>
          <w:rFonts w:eastAsia="Garamond"/>
          <w:bCs/>
          <w:sz w:val="20"/>
          <w:szCs w:val="20"/>
        </w:rPr>
      </w:pPr>
      <w:r w:rsidRPr="001A3A15">
        <w:rPr>
          <w:rFonts w:eastAsia="Garamond"/>
          <w:bCs/>
          <w:sz w:val="20"/>
          <w:szCs w:val="20"/>
        </w:rPr>
        <w:t>Tabla 2</w:t>
      </w:r>
    </w:p>
    <w:p w14:paraId="773268D6" w14:textId="2970AC54" w:rsidR="001A3A15" w:rsidRDefault="001A3A15" w:rsidP="001A3A15">
      <w:pPr>
        <w:pBdr>
          <w:top w:val="nil"/>
          <w:left w:val="nil"/>
          <w:bottom w:val="nil"/>
          <w:right w:val="nil"/>
          <w:between w:val="nil"/>
        </w:pBdr>
        <w:jc w:val="both"/>
        <w:rPr>
          <w:rFonts w:eastAsia="Garamond"/>
          <w:i/>
          <w:iCs/>
          <w:sz w:val="20"/>
          <w:szCs w:val="20"/>
        </w:rPr>
      </w:pPr>
      <w:r w:rsidRPr="001A3A15">
        <w:rPr>
          <w:rFonts w:eastAsia="Garamond"/>
          <w:i/>
          <w:iCs/>
          <w:sz w:val="20"/>
          <w:szCs w:val="20"/>
        </w:rPr>
        <w:t>Modelo de regresión logística binaria para la participación estudiantil a partir de las variables predictoras.</w:t>
      </w:r>
    </w:p>
    <w:p w14:paraId="628FDF2A" w14:textId="77777777" w:rsidR="001A3A15" w:rsidRPr="001A3A15" w:rsidRDefault="001A3A15" w:rsidP="001A3A15">
      <w:pPr>
        <w:pBdr>
          <w:top w:val="nil"/>
          <w:left w:val="nil"/>
          <w:bottom w:val="nil"/>
          <w:right w:val="nil"/>
          <w:between w:val="nil"/>
        </w:pBdr>
        <w:jc w:val="both"/>
        <w:rPr>
          <w:rFonts w:eastAsia="Garamond"/>
          <w:i/>
          <w:iCs/>
          <w:sz w:val="20"/>
          <w:szCs w:val="20"/>
        </w:rPr>
      </w:pPr>
    </w:p>
    <w:tbl>
      <w:tblPr>
        <w:tblW w:w="963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231"/>
        <w:gridCol w:w="737"/>
        <w:gridCol w:w="680"/>
        <w:gridCol w:w="907"/>
        <w:gridCol w:w="680"/>
        <w:gridCol w:w="680"/>
        <w:gridCol w:w="907"/>
        <w:gridCol w:w="907"/>
        <w:gridCol w:w="907"/>
      </w:tblGrid>
      <w:tr w:rsidR="001A3A15" w:rsidRPr="00D2048F" w14:paraId="7ADF0380" w14:textId="77777777" w:rsidTr="00B023AC">
        <w:tc>
          <w:tcPr>
            <w:tcW w:w="3231" w:type="dxa"/>
            <w:vMerge w:val="restart"/>
            <w:vAlign w:val="center"/>
          </w:tcPr>
          <w:p w14:paraId="63ECD705" w14:textId="77777777" w:rsidR="001A3A15" w:rsidRPr="001A3A15" w:rsidRDefault="001A3A15" w:rsidP="001A3A15">
            <w:pPr>
              <w:pStyle w:val="Sinespaciado"/>
              <w:rPr>
                <w:rFonts w:ascii="Times New Roman" w:hAnsi="Times New Roman" w:cs="Times New Roman"/>
                <w:sz w:val="20"/>
                <w:szCs w:val="20"/>
              </w:rPr>
            </w:pPr>
            <w:r w:rsidRPr="001A3A15">
              <w:rPr>
                <w:rFonts w:ascii="Times New Roman" w:hAnsi="Times New Roman" w:cs="Times New Roman"/>
                <w:sz w:val="20"/>
                <w:szCs w:val="20"/>
              </w:rPr>
              <w:t>Variables</w:t>
            </w:r>
          </w:p>
        </w:tc>
        <w:tc>
          <w:tcPr>
            <w:tcW w:w="737" w:type="dxa"/>
            <w:vMerge w:val="restart"/>
            <w:vAlign w:val="center"/>
          </w:tcPr>
          <w:p w14:paraId="1001CFA2" w14:textId="77777777" w:rsidR="001A3A15" w:rsidRPr="001A3A15" w:rsidRDefault="001A3A15" w:rsidP="001A3A15">
            <w:pPr>
              <w:pStyle w:val="Sinespaciado"/>
              <w:jc w:val="center"/>
              <w:rPr>
                <w:rFonts w:ascii="Times New Roman" w:hAnsi="Times New Roman" w:cs="Times New Roman"/>
                <w:iCs/>
                <w:sz w:val="20"/>
                <w:szCs w:val="20"/>
              </w:rPr>
            </w:pPr>
            <w:r w:rsidRPr="001A3A15">
              <w:rPr>
                <w:rFonts w:ascii="Times New Roman" w:hAnsi="Times New Roman" w:cs="Times New Roman"/>
                <w:iCs/>
                <w:sz w:val="20"/>
                <w:szCs w:val="20"/>
              </w:rPr>
              <w:t>B</w:t>
            </w:r>
          </w:p>
        </w:tc>
        <w:tc>
          <w:tcPr>
            <w:tcW w:w="680" w:type="dxa"/>
            <w:vMerge w:val="restart"/>
            <w:vAlign w:val="center"/>
          </w:tcPr>
          <w:p w14:paraId="30873426" w14:textId="77777777" w:rsidR="001A3A15" w:rsidRPr="001A3A15" w:rsidRDefault="001A3A15" w:rsidP="001A3A15">
            <w:pPr>
              <w:pStyle w:val="Sinespaciado"/>
              <w:jc w:val="center"/>
              <w:rPr>
                <w:rFonts w:ascii="Times New Roman" w:hAnsi="Times New Roman" w:cs="Times New Roman"/>
                <w:iCs/>
                <w:sz w:val="20"/>
                <w:szCs w:val="20"/>
              </w:rPr>
            </w:pPr>
            <w:r w:rsidRPr="001A3A15">
              <w:rPr>
                <w:rFonts w:ascii="Times New Roman" w:hAnsi="Times New Roman" w:cs="Times New Roman"/>
                <w:iCs/>
                <w:sz w:val="20"/>
                <w:szCs w:val="20"/>
              </w:rPr>
              <w:t>E.E</w:t>
            </w:r>
          </w:p>
        </w:tc>
        <w:tc>
          <w:tcPr>
            <w:tcW w:w="907" w:type="dxa"/>
            <w:vMerge w:val="restart"/>
            <w:vAlign w:val="center"/>
          </w:tcPr>
          <w:p w14:paraId="4DE8556B" w14:textId="77777777" w:rsidR="001A3A15" w:rsidRPr="001A3A15" w:rsidRDefault="001A3A15" w:rsidP="001A3A15">
            <w:pPr>
              <w:pStyle w:val="Sinespaciado"/>
              <w:jc w:val="center"/>
              <w:rPr>
                <w:rFonts w:ascii="Times New Roman" w:hAnsi="Times New Roman" w:cs="Times New Roman"/>
                <w:iCs/>
                <w:sz w:val="20"/>
                <w:szCs w:val="20"/>
              </w:rPr>
            </w:pPr>
            <w:r w:rsidRPr="001A3A15">
              <w:rPr>
                <w:rFonts w:ascii="Times New Roman" w:hAnsi="Times New Roman" w:cs="Times New Roman"/>
                <w:iCs/>
                <w:sz w:val="20"/>
                <w:szCs w:val="20"/>
              </w:rPr>
              <w:t>Wald</w:t>
            </w:r>
          </w:p>
        </w:tc>
        <w:tc>
          <w:tcPr>
            <w:tcW w:w="680" w:type="dxa"/>
            <w:vMerge w:val="restart"/>
            <w:vAlign w:val="center"/>
          </w:tcPr>
          <w:p w14:paraId="6521CBE0" w14:textId="77777777" w:rsidR="001A3A15" w:rsidRPr="001A3A15" w:rsidRDefault="001A3A15" w:rsidP="001A3A15">
            <w:pPr>
              <w:pStyle w:val="Sinespaciado"/>
              <w:jc w:val="center"/>
              <w:rPr>
                <w:rFonts w:ascii="Times New Roman" w:hAnsi="Times New Roman" w:cs="Times New Roman"/>
                <w:iCs/>
                <w:sz w:val="20"/>
                <w:szCs w:val="20"/>
              </w:rPr>
            </w:pPr>
            <w:r w:rsidRPr="001A3A15">
              <w:rPr>
                <w:rFonts w:ascii="Times New Roman" w:hAnsi="Times New Roman" w:cs="Times New Roman"/>
                <w:iCs/>
                <w:sz w:val="20"/>
                <w:szCs w:val="20"/>
              </w:rPr>
              <w:t>Gl</w:t>
            </w:r>
          </w:p>
        </w:tc>
        <w:tc>
          <w:tcPr>
            <w:tcW w:w="680" w:type="dxa"/>
            <w:vMerge w:val="restart"/>
            <w:vAlign w:val="center"/>
          </w:tcPr>
          <w:p w14:paraId="5C9740B1" w14:textId="77777777" w:rsidR="001A3A15" w:rsidRPr="001A3A15" w:rsidRDefault="001A3A15" w:rsidP="001A3A15">
            <w:pPr>
              <w:pStyle w:val="Sinespaciado"/>
              <w:jc w:val="center"/>
              <w:rPr>
                <w:rFonts w:ascii="Times New Roman" w:hAnsi="Times New Roman" w:cs="Times New Roman"/>
                <w:iCs/>
                <w:sz w:val="20"/>
                <w:szCs w:val="20"/>
              </w:rPr>
            </w:pPr>
            <w:r w:rsidRPr="001A3A15">
              <w:rPr>
                <w:rFonts w:ascii="Times New Roman" w:hAnsi="Times New Roman" w:cs="Times New Roman"/>
                <w:iCs/>
                <w:sz w:val="20"/>
                <w:szCs w:val="20"/>
              </w:rPr>
              <w:t>p</w:t>
            </w:r>
          </w:p>
        </w:tc>
        <w:tc>
          <w:tcPr>
            <w:tcW w:w="907" w:type="dxa"/>
            <w:vMerge w:val="restart"/>
            <w:vAlign w:val="center"/>
          </w:tcPr>
          <w:p w14:paraId="3199AADB" w14:textId="77777777" w:rsidR="001A3A15" w:rsidRPr="001A3A15" w:rsidRDefault="001A3A15" w:rsidP="001A3A15">
            <w:pPr>
              <w:pStyle w:val="Sinespaciado"/>
              <w:jc w:val="center"/>
              <w:rPr>
                <w:rFonts w:ascii="Times New Roman" w:hAnsi="Times New Roman" w:cs="Times New Roman"/>
                <w:iCs/>
                <w:sz w:val="20"/>
                <w:szCs w:val="20"/>
              </w:rPr>
            </w:pPr>
            <w:r w:rsidRPr="001A3A15">
              <w:rPr>
                <w:rFonts w:ascii="Times New Roman" w:hAnsi="Times New Roman" w:cs="Times New Roman"/>
                <w:iCs/>
                <w:sz w:val="20"/>
                <w:szCs w:val="20"/>
              </w:rPr>
              <w:t>OR</w:t>
            </w:r>
          </w:p>
        </w:tc>
        <w:tc>
          <w:tcPr>
            <w:tcW w:w="1814" w:type="dxa"/>
            <w:gridSpan w:val="2"/>
            <w:tcBorders>
              <w:bottom w:val="single" w:sz="4" w:space="0" w:color="000000"/>
            </w:tcBorders>
            <w:vAlign w:val="center"/>
          </w:tcPr>
          <w:p w14:paraId="6F3C6441" w14:textId="77777777" w:rsidR="001A3A15" w:rsidRPr="001A3A15" w:rsidRDefault="001A3A15" w:rsidP="001A3A15">
            <w:pPr>
              <w:pStyle w:val="Sinespaciado"/>
              <w:jc w:val="center"/>
              <w:rPr>
                <w:rFonts w:ascii="Times New Roman" w:hAnsi="Times New Roman" w:cs="Times New Roman"/>
                <w:iCs/>
                <w:sz w:val="20"/>
                <w:szCs w:val="20"/>
              </w:rPr>
            </w:pPr>
            <w:r w:rsidRPr="001A3A15">
              <w:rPr>
                <w:rFonts w:ascii="Times New Roman" w:hAnsi="Times New Roman" w:cs="Times New Roman"/>
                <w:iCs/>
                <w:sz w:val="20"/>
                <w:szCs w:val="20"/>
              </w:rPr>
              <w:t>IC 95% OR</w:t>
            </w:r>
          </w:p>
        </w:tc>
      </w:tr>
      <w:tr w:rsidR="001A3A15" w:rsidRPr="00D2048F" w14:paraId="54335A0E" w14:textId="77777777" w:rsidTr="00B023AC">
        <w:tc>
          <w:tcPr>
            <w:tcW w:w="3231" w:type="dxa"/>
            <w:vMerge/>
            <w:vAlign w:val="center"/>
          </w:tcPr>
          <w:p w14:paraId="5896494C" w14:textId="77777777" w:rsidR="001A3A15" w:rsidRPr="001A3A15" w:rsidRDefault="001A3A15" w:rsidP="001A3A15">
            <w:pPr>
              <w:pStyle w:val="Sinespaciado"/>
              <w:rPr>
                <w:rFonts w:ascii="Times New Roman" w:hAnsi="Times New Roman" w:cs="Times New Roman"/>
                <w:sz w:val="20"/>
                <w:szCs w:val="20"/>
              </w:rPr>
            </w:pPr>
          </w:p>
        </w:tc>
        <w:tc>
          <w:tcPr>
            <w:tcW w:w="737" w:type="dxa"/>
            <w:vMerge/>
            <w:tcBorders>
              <w:bottom w:val="single" w:sz="4" w:space="0" w:color="000000"/>
            </w:tcBorders>
            <w:vAlign w:val="center"/>
          </w:tcPr>
          <w:p w14:paraId="1886D5EF" w14:textId="77777777" w:rsidR="001A3A15" w:rsidRPr="001A3A15" w:rsidRDefault="001A3A15" w:rsidP="001A3A15">
            <w:pPr>
              <w:pStyle w:val="Sinespaciado"/>
              <w:jc w:val="center"/>
              <w:rPr>
                <w:rFonts w:ascii="Times New Roman" w:hAnsi="Times New Roman" w:cs="Times New Roman"/>
                <w:iCs/>
                <w:sz w:val="20"/>
                <w:szCs w:val="20"/>
              </w:rPr>
            </w:pPr>
          </w:p>
        </w:tc>
        <w:tc>
          <w:tcPr>
            <w:tcW w:w="680" w:type="dxa"/>
            <w:vMerge/>
            <w:tcBorders>
              <w:bottom w:val="single" w:sz="4" w:space="0" w:color="000000"/>
            </w:tcBorders>
            <w:vAlign w:val="center"/>
          </w:tcPr>
          <w:p w14:paraId="07C9E5D4" w14:textId="77777777" w:rsidR="001A3A15" w:rsidRPr="001A3A15" w:rsidRDefault="001A3A15" w:rsidP="001A3A15">
            <w:pPr>
              <w:pStyle w:val="Sinespaciado"/>
              <w:jc w:val="center"/>
              <w:rPr>
                <w:rFonts w:ascii="Times New Roman" w:hAnsi="Times New Roman" w:cs="Times New Roman"/>
                <w:iCs/>
                <w:sz w:val="20"/>
                <w:szCs w:val="20"/>
              </w:rPr>
            </w:pPr>
          </w:p>
        </w:tc>
        <w:tc>
          <w:tcPr>
            <w:tcW w:w="907" w:type="dxa"/>
            <w:vMerge/>
            <w:tcBorders>
              <w:bottom w:val="single" w:sz="4" w:space="0" w:color="000000"/>
            </w:tcBorders>
            <w:vAlign w:val="center"/>
          </w:tcPr>
          <w:p w14:paraId="6782ABBD" w14:textId="77777777" w:rsidR="001A3A15" w:rsidRPr="001A3A15" w:rsidRDefault="001A3A15" w:rsidP="001A3A15">
            <w:pPr>
              <w:pStyle w:val="Sinespaciado"/>
              <w:jc w:val="center"/>
              <w:rPr>
                <w:rFonts w:ascii="Times New Roman" w:hAnsi="Times New Roman" w:cs="Times New Roman"/>
                <w:iCs/>
                <w:sz w:val="20"/>
                <w:szCs w:val="20"/>
              </w:rPr>
            </w:pPr>
          </w:p>
        </w:tc>
        <w:tc>
          <w:tcPr>
            <w:tcW w:w="680" w:type="dxa"/>
            <w:vMerge/>
            <w:tcBorders>
              <w:bottom w:val="single" w:sz="4" w:space="0" w:color="000000"/>
            </w:tcBorders>
            <w:vAlign w:val="center"/>
          </w:tcPr>
          <w:p w14:paraId="1B035491" w14:textId="77777777" w:rsidR="001A3A15" w:rsidRPr="001A3A15" w:rsidRDefault="001A3A15" w:rsidP="001A3A15">
            <w:pPr>
              <w:pStyle w:val="Sinespaciado"/>
              <w:jc w:val="center"/>
              <w:rPr>
                <w:rFonts w:ascii="Times New Roman" w:hAnsi="Times New Roman" w:cs="Times New Roman"/>
                <w:iCs/>
                <w:sz w:val="20"/>
                <w:szCs w:val="20"/>
              </w:rPr>
            </w:pPr>
          </w:p>
        </w:tc>
        <w:tc>
          <w:tcPr>
            <w:tcW w:w="680" w:type="dxa"/>
            <w:vMerge/>
            <w:tcBorders>
              <w:bottom w:val="single" w:sz="4" w:space="0" w:color="000000"/>
            </w:tcBorders>
            <w:vAlign w:val="center"/>
          </w:tcPr>
          <w:p w14:paraId="69D00F85" w14:textId="77777777" w:rsidR="001A3A15" w:rsidRPr="001A3A15" w:rsidRDefault="001A3A15" w:rsidP="001A3A15">
            <w:pPr>
              <w:pStyle w:val="Sinespaciado"/>
              <w:jc w:val="center"/>
              <w:rPr>
                <w:rFonts w:ascii="Times New Roman" w:hAnsi="Times New Roman" w:cs="Times New Roman"/>
                <w:iCs/>
                <w:sz w:val="20"/>
                <w:szCs w:val="20"/>
              </w:rPr>
            </w:pPr>
          </w:p>
        </w:tc>
        <w:tc>
          <w:tcPr>
            <w:tcW w:w="907" w:type="dxa"/>
            <w:vMerge/>
            <w:tcBorders>
              <w:bottom w:val="single" w:sz="4" w:space="0" w:color="000000"/>
            </w:tcBorders>
            <w:vAlign w:val="center"/>
          </w:tcPr>
          <w:p w14:paraId="6DF06124" w14:textId="77777777" w:rsidR="001A3A15" w:rsidRPr="001A3A15" w:rsidRDefault="001A3A15" w:rsidP="001A3A15">
            <w:pPr>
              <w:pStyle w:val="Sinespaciado"/>
              <w:jc w:val="center"/>
              <w:rPr>
                <w:rFonts w:ascii="Times New Roman" w:hAnsi="Times New Roman" w:cs="Times New Roman"/>
                <w:iCs/>
                <w:sz w:val="20"/>
                <w:szCs w:val="20"/>
              </w:rPr>
            </w:pPr>
          </w:p>
        </w:tc>
        <w:tc>
          <w:tcPr>
            <w:tcW w:w="907" w:type="dxa"/>
            <w:tcBorders>
              <w:top w:val="single" w:sz="4" w:space="0" w:color="000000"/>
              <w:bottom w:val="single" w:sz="4" w:space="0" w:color="000000"/>
            </w:tcBorders>
            <w:vAlign w:val="center"/>
          </w:tcPr>
          <w:p w14:paraId="39CB9DA3" w14:textId="77777777" w:rsidR="001A3A15" w:rsidRPr="001A3A15" w:rsidRDefault="001A3A15" w:rsidP="001A3A15">
            <w:pPr>
              <w:pStyle w:val="Sinespaciado"/>
              <w:jc w:val="center"/>
              <w:rPr>
                <w:rFonts w:ascii="Times New Roman" w:hAnsi="Times New Roman" w:cs="Times New Roman"/>
                <w:iCs/>
                <w:sz w:val="20"/>
                <w:szCs w:val="20"/>
              </w:rPr>
            </w:pPr>
            <w:r w:rsidRPr="001A3A15">
              <w:rPr>
                <w:rFonts w:ascii="Times New Roman" w:hAnsi="Times New Roman" w:cs="Times New Roman"/>
                <w:iCs/>
                <w:sz w:val="20"/>
                <w:szCs w:val="20"/>
              </w:rPr>
              <w:t>LI</w:t>
            </w:r>
          </w:p>
        </w:tc>
        <w:tc>
          <w:tcPr>
            <w:tcW w:w="907" w:type="dxa"/>
            <w:tcBorders>
              <w:top w:val="single" w:sz="4" w:space="0" w:color="000000"/>
              <w:bottom w:val="single" w:sz="4" w:space="0" w:color="000000"/>
            </w:tcBorders>
            <w:vAlign w:val="center"/>
          </w:tcPr>
          <w:p w14:paraId="536B3DEC" w14:textId="77777777" w:rsidR="001A3A15" w:rsidRPr="001A3A15" w:rsidRDefault="001A3A15" w:rsidP="001A3A15">
            <w:pPr>
              <w:pStyle w:val="Sinespaciado"/>
              <w:jc w:val="center"/>
              <w:rPr>
                <w:rFonts w:ascii="Times New Roman" w:hAnsi="Times New Roman" w:cs="Times New Roman"/>
                <w:iCs/>
                <w:sz w:val="20"/>
                <w:szCs w:val="20"/>
              </w:rPr>
            </w:pPr>
            <w:r w:rsidRPr="001A3A15">
              <w:rPr>
                <w:rFonts w:ascii="Times New Roman" w:hAnsi="Times New Roman" w:cs="Times New Roman"/>
                <w:iCs/>
                <w:sz w:val="20"/>
                <w:szCs w:val="20"/>
              </w:rPr>
              <w:t>LS</w:t>
            </w:r>
          </w:p>
        </w:tc>
      </w:tr>
      <w:tr w:rsidR="001A3A15" w:rsidRPr="00D2048F" w14:paraId="4AD9E7D6" w14:textId="77777777" w:rsidTr="00B023AC">
        <w:tc>
          <w:tcPr>
            <w:tcW w:w="3231" w:type="dxa"/>
            <w:tcBorders>
              <w:top w:val="single" w:sz="4" w:space="0" w:color="000000"/>
              <w:bottom w:val="nil"/>
            </w:tcBorders>
            <w:vAlign w:val="center"/>
          </w:tcPr>
          <w:p w14:paraId="5112A453"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Acción</w:t>
            </w:r>
          </w:p>
        </w:tc>
        <w:tc>
          <w:tcPr>
            <w:tcW w:w="737" w:type="dxa"/>
            <w:tcBorders>
              <w:top w:val="single" w:sz="4" w:space="0" w:color="000000"/>
              <w:bottom w:val="nil"/>
            </w:tcBorders>
            <w:vAlign w:val="center"/>
          </w:tcPr>
          <w:p w14:paraId="5336EAC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-.364</w:t>
            </w:r>
          </w:p>
        </w:tc>
        <w:tc>
          <w:tcPr>
            <w:tcW w:w="680" w:type="dxa"/>
            <w:tcBorders>
              <w:top w:val="single" w:sz="4" w:space="0" w:color="000000"/>
              <w:bottom w:val="nil"/>
            </w:tcBorders>
            <w:vAlign w:val="center"/>
          </w:tcPr>
          <w:p w14:paraId="7CDAB4D4"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.173</w:t>
            </w:r>
          </w:p>
        </w:tc>
        <w:tc>
          <w:tcPr>
            <w:tcW w:w="907" w:type="dxa"/>
            <w:tcBorders>
              <w:top w:val="single" w:sz="4" w:space="0" w:color="000000"/>
              <w:bottom w:val="nil"/>
            </w:tcBorders>
            <w:vAlign w:val="center"/>
          </w:tcPr>
          <w:p w14:paraId="6D581A9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4.464</w:t>
            </w:r>
          </w:p>
        </w:tc>
        <w:tc>
          <w:tcPr>
            <w:tcW w:w="680" w:type="dxa"/>
            <w:tcBorders>
              <w:top w:val="single" w:sz="4" w:space="0" w:color="000000"/>
              <w:bottom w:val="nil"/>
            </w:tcBorders>
            <w:vAlign w:val="center"/>
          </w:tcPr>
          <w:p w14:paraId="6801943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tcBorders>
              <w:top w:val="single" w:sz="4" w:space="0" w:color="000000"/>
              <w:bottom w:val="nil"/>
            </w:tcBorders>
            <w:vAlign w:val="center"/>
          </w:tcPr>
          <w:p w14:paraId="1FA0993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.035</w:t>
            </w:r>
          </w:p>
        </w:tc>
        <w:tc>
          <w:tcPr>
            <w:tcW w:w="907" w:type="dxa"/>
            <w:tcBorders>
              <w:top w:val="single" w:sz="4" w:space="0" w:color="000000"/>
              <w:bottom w:val="nil"/>
            </w:tcBorders>
            <w:vAlign w:val="center"/>
          </w:tcPr>
          <w:p w14:paraId="6F239206"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.695</w:t>
            </w:r>
          </w:p>
        </w:tc>
        <w:tc>
          <w:tcPr>
            <w:tcW w:w="907" w:type="dxa"/>
            <w:tcBorders>
              <w:top w:val="single" w:sz="4" w:space="0" w:color="000000"/>
              <w:bottom w:val="nil"/>
            </w:tcBorders>
            <w:vAlign w:val="center"/>
          </w:tcPr>
          <w:p w14:paraId="42A5DA5A"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.495</w:t>
            </w:r>
          </w:p>
        </w:tc>
        <w:tc>
          <w:tcPr>
            <w:tcW w:w="907" w:type="dxa"/>
            <w:tcBorders>
              <w:top w:val="single" w:sz="4" w:space="0" w:color="000000"/>
              <w:bottom w:val="nil"/>
            </w:tcBorders>
            <w:vAlign w:val="center"/>
          </w:tcPr>
          <w:p w14:paraId="6FB6975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.974</w:t>
            </w:r>
          </w:p>
        </w:tc>
      </w:tr>
      <w:tr w:rsidR="001A3A15" w:rsidRPr="00D2048F" w14:paraId="27B76657" w14:textId="77777777" w:rsidTr="00B023AC">
        <w:tc>
          <w:tcPr>
            <w:tcW w:w="3231" w:type="dxa"/>
            <w:tcBorders>
              <w:top w:val="nil"/>
            </w:tcBorders>
            <w:vAlign w:val="center"/>
          </w:tcPr>
          <w:p w14:paraId="249FCBCB"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Emoción</w:t>
            </w:r>
          </w:p>
        </w:tc>
        <w:tc>
          <w:tcPr>
            <w:tcW w:w="737" w:type="dxa"/>
            <w:tcBorders>
              <w:top w:val="nil"/>
            </w:tcBorders>
            <w:vAlign w:val="center"/>
          </w:tcPr>
          <w:p w14:paraId="2159F66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.016</w:t>
            </w:r>
          </w:p>
        </w:tc>
        <w:tc>
          <w:tcPr>
            <w:tcW w:w="680" w:type="dxa"/>
            <w:tcBorders>
              <w:top w:val="nil"/>
            </w:tcBorders>
            <w:vAlign w:val="center"/>
          </w:tcPr>
          <w:p w14:paraId="134F789C"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.274</w:t>
            </w:r>
          </w:p>
        </w:tc>
        <w:tc>
          <w:tcPr>
            <w:tcW w:w="907" w:type="dxa"/>
            <w:tcBorders>
              <w:top w:val="nil"/>
            </w:tcBorders>
            <w:vAlign w:val="center"/>
          </w:tcPr>
          <w:p w14:paraId="6AD2B74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.003</w:t>
            </w:r>
          </w:p>
        </w:tc>
        <w:tc>
          <w:tcPr>
            <w:tcW w:w="680" w:type="dxa"/>
            <w:tcBorders>
              <w:top w:val="nil"/>
            </w:tcBorders>
            <w:vAlign w:val="center"/>
          </w:tcPr>
          <w:p w14:paraId="30CF4C35"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tcBorders>
              <w:top w:val="nil"/>
            </w:tcBorders>
            <w:vAlign w:val="center"/>
          </w:tcPr>
          <w:p w14:paraId="1BAB667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.955</w:t>
            </w:r>
          </w:p>
        </w:tc>
        <w:tc>
          <w:tcPr>
            <w:tcW w:w="907" w:type="dxa"/>
            <w:tcBorders>
              <w:top w:val="nil"/>
            </w:tcBorders>
            <w:vAlign w:val="center"/>
          </w:tcPr>
          <w:p w14:paraId="1987D66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1.016</w:t>
            </w:r>
          </w:p>
        </w:tc>
        <w:tc>
          <w:tcPr>
            <w:tcW w:w="907" w:type="dxa"/>
            <w:tcBorders>
              <w:top w:val="nil"/>
            </w:tcBorders>
            <w:vAlign w:val="center"/>
          </w:tcPr>
          <w:p w14:paraId="0B39E799"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.594</w:t>
            </w:r>
          </w:p>
        </w:tc>
        <w:tc>
          <w:tcPr>
            <w:tcW w:w="907" w:type="dxa"/>
            <w:tcBorders>
              <w:top w:val="nil"/>
            </w:tcBorders>
            <w:vAlign w:val="center"/>
          </w:tcPr>
          <w:p w14:paraId="47767D7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1.737</w:t>
            </w:r>
          </w:p>
        </w:tc>
      </w:tr>
      <w:tr w:rsidR="001A3A15" w:rsidRPr="00D2048F" w14:paraId="67778C97" w14:textId="77777777" w:rsidTr="00B023AC">
        <w:tc>
          <w:tcPr>
            <w:tcW w:w="3231" w:type="dxa"/>
            <w:vAlign w:val="center"/>
          </w:tcPr>
          <w:p w14:paraId="41DDEEF9"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Empatía</w:t>
            </w:r>
          </w:p>
        </w:tc>
        <w:tc>
          <w:tcPr>
            <w:tcW w:w="737" w:type="dxa"/>
            <w:vAlign w:val="center"/>
          </w:tcPr>
          <w:p w14:paraId="7A25985A"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-.745</w:t>
            </w:r>
          </w:p>
        </w:tc>
        <w:tc>
          <w:tcPr>
            <w:tcW w:w="680" w:type="dxa"/>
            <w:vAlign w:val="center"/>
          </w:tcPr>
          <w:p w14:paraId="0F52A2F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.231</w:t>
            </w:r>
          </w:p>
        </w:tc>
        <w:tc>
          <w:tcPr>
            <w:tcW w:w="907" w:type="dxa"/>
            <w:vAlign w:val="center"/>
          </w:tcPr>
          <w:p w14:paraId="7043AC2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10.394</w:t>
            </w:r>
          </w:p>
        </w:tc>
        <w:tc>
          <w:tcPr>
            <w:tcW w:w="680" w:type="dxa"/>
            <w:vAlign w:val="center"/>
          </w:tcPr>
          <w:p w14:paraId="6F2F8797"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0D7193C9"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.001</w:t>
            </w:r>
          </w:p>
        </w:tc>
        <w:tc>
          <w:tcPr>
            <w:tcW w:w="907" w:type="dxa"/>
            <w:vAlign w:val="center"/>
          </w:tcPr>
          <w:p w14:paraId="593F3719"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.475</w:t>
            </w:r>
          </w:p>
        </w:tc>
        <w:tc>
          <w:tcPr>
            <w:tcW w:w="907" w:type="dxa"/>
            <w:vAlign w:val="center"/>
          </w:tcPr>
          <w:p w14:paraId="693192F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.302</w:t>
            </w:r>
          </w:p>
        </w:tc>
        <w:tc>
          <w:tcPr>
            <w:tcW w:w="907" w:type="dxa"/>
            <w:vAlign w:val="center"/>
          </w:tcPr>
          <w:p w14:paraId="2DDF3817"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.747</w:t>
            </w:r>
          </w:p>
        </w:tc>
      </w:tr>
      <w:tr w:rsidR="001A3A15" w:rsidRPr="00D2048F" w14:paraId="03FE7413" w14:textId="77777777" w:rsidTr="00B023AC">
        <w:tc>
          <w:tcPr>
            <w:tcW w:w="3231" w:type="dxa"/>
            <w:vAlign w:val="center"/>
          </w:tcPr>
          <w:p w14:paraId="70596C92"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Ambientes democráticos</w:t>
            </w:r>
          </w:p>
        </w:tc>
        <w:tc>
          <w:tcPr>
            <w:tcW w:w="737" w:type="dxa"/>
            <w:vAlign w:val="center"/>
          </w:tcPr>
          <w:p w14:paraId="31A71693"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.581</w:t>
            </w:r>
          </w:p>
        </w:tc>
        <w:tc>
          <w:tcPr>
            <w:tcW w:w="680" w:type="dxa"/>
            <w:vAlign w:val="center"/>
          </w:tcPr>
          <w:p w14:paraId="7219D0DA"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.206</w:t>
            </w:r>
          </w:p>
        </w:tc>
        <w:tc>
          <w:tcPr>
            <w:tcW w:w="907" w:type="dxa"/>
            <w:vAlign w:val="center"/>
          </w:tcPr>
          <w:p w14:paraId="636E3806"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7.990</w:t>
            </w:r>
          </w:p>
        </w:tc>
        <w:tc>
          <w:tcPr>
            <w:tcW w:w="680" w:type="dxa"/>
            <w:vAlign w:val="center"/>
          </w:tcPr>
          <w:p w14:paraId="16682FB3"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35FAA09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.005</w:t>
            </w:r>
          </w:p>
        </w:tc>
        <w:tc>
          <w:tcPr>
            <w:tcW w:w="907" w:type="dxa"/>
            <w:vAlign w:val="center"/>
          </w:tcPr>
          <w:p w14:paraId="6AF0CF3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1.788</w:t>
            </w:r>
          </w:p>
        </w:tc>
        <w:tc>
          <w:tcPr>
            <w:tcW w:w="907" w:type="dxa"/>
            <w:vAlign w:val="center"/>
          </w:tcPr>
          <w:p w14:paraId="334B9BC6"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1.195</w:t>
            </w:r>
          </w:p>
        </w:tc>
        <w:tc>
          <w:tcPr>
            <w:tcW w:w="907" w:type="dxa"/>
            <w:vAlign w:val="center"/>
          </w:tcPr>
          <w:p w14:paraId="76A3C661"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2.675</w:t>
            </w:r>
          </w:p>
        </w:tc>
      </w:tr>
      <w:tr w:rsidR="001A3A15" w:rsidRPr="00D2048F" w14:paraId="212B7EDC" w14:textId="77777777" w:rsidTr="00B023AC">
        <w:tc>
          <w:tcPr>
            <w:tcW w:w="3231" w:type="dxa"/>
            <w:tcBorders>
              <w:bottom w:val="single" w:sz="4" w:space="0" w:color="000000"/>
            </w:tcBorders>
            <w:vAlign w:val="center"/>
          </w:tcPr>
          <w:p w14:paraId="53B7A1B1"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Cognición</w:t>
            </w:r>
          </w:p>
        </w:tc>
        <w:tc>
          <w:tcPr>
            <w:tcW w:w="737" w:type="dxa"/>
            <w:tcBorders>
              <w:bottom w:val="single" w:sz="4" w:space="0" w:color="000000"/>
            </w:tcBorders>
            <w:vAlign w:val="center"/>
          </w:tcPr>
          <w:p w14:paraId="46C2E44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-.201</w:t>
            </w:r>
          </w:p>
        </w:tc>
        <w:tc>
          <w:tcPr>
            <w:tcW w:w="680" w:type="dxa"/>
            <w:tcBorders>
              <w:bottom w:val="single" w:sz="4" w:space="0" w:color="000000"/>
            </w:tcBorders>
            <w:vAlign w:val="center"/>
          </w:tcPr>
          <w:p w14:paraId="3DBB9377"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.171</w:t>
            </w:r>
          </w:p>
        </w:tc>
        <w:tc>
          <w:tcPr>
            <w:tcW w:w="907" w:type="dxa"/>
            <w:tcBorders>
              <w:bottom w:val="single" w:sz="4" w:space="0" w:color="000000"/>
            </w:tcBorders>
            <w:vAlign w:val="center"/>
          </w:tcPr>
          <w:p w14:paraId="60150DC0"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1.390</w:t>
            </w:r>
          </w:p>
        </w:tc>
        <w:tc>
          <w:tcPr>
            <w:tcW w:w="680" w:type="dxa"/>
            <w:tcBorders>
              <w:bottom w:val="single" w:sz="4" w:space="0" w:color="000000"/>
            </w:tcBorders>
            <w:vAlign w:val="center"/>
          </w:tcPr>
          <w:p w14:paraId="22BD7091"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tcBorders>
              <w:bottom w:val="single" w:sz="4" w:space="0" w:color="000000"/>
            </w:tcBorders>
            <w:vAlign w:val="center"/>
          </w:tcPr>
          <w:p w14:paraId="58944124"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.238</w:t>
            </w:r>
          </w:p>
        </w:tc>
        <w:tc>
          <w:tcPr>
            <w:tcW w:w="907" w:type="dxa"/>
            <w:tcBorders>
              <w:bottom w:val="single" w:sz="4" w:space="0" w:color="000000"/>
            </w:tcBorders>
            <w:vAlign w:val="center"/>
          </w:tcPr>
          <w:p w14:paraId="4A93F37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.818</w:t>
            </w:r>
          </w:p>
        </w:tc>
        <w:tc>
          <w:tcPr>
            <w:tcW w:w="907" w:type="dxa"/>
            <w:tcBorders>
              <w:bottom w:val="single" w:sz="4" w:space="0" w:color="000000"/>
            </w:tcBorders>
            <w:vAlign w:val="center"/>
          </w:tcPr>
          <w:p w14:paraId="28EF2F70"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.586</w:t>
            </w:r>
          </w:p>
        </w:tc>
        <w:tc>
          <w:tcPr>
            <w:tcW w:w="907" w:type="dxa"/>
            <w:tcBorders>
              <w:bottom w:val="single" w:sz="4" w:space="0" w:color="000000"/>
            </w:tcBorders>
            <w:vAlign w:val="center"/>
          </w:tcPr>
          <w:p w14:paraId="7AFB990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1.142</w:t>
            </w:r>
          </w:p>
        </w:tc>
      </w:tr>
      <w:tr w:rsidR="001A3A15" w:rsidRPr="00D2048F" w14:paraId="6D298C4F" w14:textId="77777777" w:rsidTr="00B023AC">
        <w:tc>
          <w:tcPr>
            <w:tcW w:w="3231" w:type="dxa"/>
            <w:tcBorders>
              <w:top w:val="single" w:sz="4" w:space="0" w:color="000000"/>
              <w:bottom w:val="nil"/>
            </w:tcBorders>
            <w:vAlign w:val="center"/>
          </w:tcPr>
          <w:p w14:paraId="1CAE9092"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Satisfacción con la democracia</w:t>
            </w:r>
          </w:p>
        </w:tc>
        <w:tc>
          <w:tcPr>
            <w:tcW w:w="737" w:type="dxa"/>
            <w:tcBorders>
              <w:top w:val="single" w:sz="4" w:space="0" w:color="000000"/>
              <w:bottom w:val="nil"/>
            </w:tcBorders>
            <w:vAlign w:val="center"/>
          </w:tcPr>
          <w:p w14:paraId="6FECF1E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.192</w:t>
            </w:r>
          </w:p>
        </w:tc>
        <w:tc>
          <w:tcPr>
            <w:tcW w:w="680" w:type="dxa"/>
            <w:tcBorders>
              <w:top w:val="single" w:sz="4" w:space="0" w:color="000000"/>
              <w:bottom w:val="nil"/>
            </w:tcBorders>
            <w:vAlign w:val="center"/>
          </w:tcPr>
          <w:p w14:paraId="7009F679"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.248</w:t>
            </w:r>
          </w:p>
        </w:tc>
        <w:tc>
          <w:tcPr>
            <w:tcW w:w="907" w:type="dxa"/>
            <w:tcBorders>
              <w:top w:val="single" w:sz="4" w:space="0" w:color="000000"/>
              <w:bottom w:val="nil"/>
            </w:tcBorders>
            <w:vAlign w:val="center"/>
          </w:tcPr>
          <w:p w14:paraId="49417705"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.597</w:t>
            </w:r>
          </w:p>
        </w:tc>
        <w:tc>
          <w:tcPr>
            <w:tcW w:w="680" w:type="dxa"/>
            <w:tcBorders>
              <w:top w:val="single" w:sz="4" w:space="0" w:color="000000"/>
              <w:bottom w:val="nil"/>
            </w:tcBorders>
            <w:vAlign w:val="center"/>
          </w:tcPr>
          <w:p w14:paraId="6F7FC66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tcBorders>
              <w:top w:val="single" w:sz="4" w:space="0" w:color="000000"/>
              <w:bottom w:val="nil"/>
            </w:tcBorders>
            <w:vAlign w:val="center"/>
          </w:tcPr>
          <w:p w14:paraId="13EBDB47"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.440</w:t>
            </w:r>
          </w:p>
        </w:tc>
        <w:tc>
          <w:tcPr>
            <w:tcW w:w="907" w:type="dxa"/>
            <w:tcBorders>
              <w:top w:val="single" w:sz="4" w:space="0" w:color="000000"/>
              <w:bottom w:val="nil"/>
            </w:tcBorders>
            <w:vAlign w:val="center"/>
          </w:tcPr>
          <w:p w14:paraId="5A47F58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1.212</w:t>
            </w:r>
          </w:p>
        </w:tc>
        <w:tc>
          <w:tcPr>
            <w:tcW w:w="907" w:type="dxa"/>
            <w:tcBorders>
              <w:top w:val="single" w:sz="4" w:space="0" w:color="000000"/>
              <w:bottom w:val="nil"/>
            </w:tcBorders>
            <w:vAlign w:val="center"/>
          </w:tcPr>
          <w:p w14:paraId="15A41C5C"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.745</w:t>
            </w:r>
          </w:p>
        </w:tc>
        <w:tc>
          <w:tcPr>
            <w:tcW w:w="907" w:type="dxa"/>
            <w:tcBorders>
              <w:top w:val="single" w:sz="4" w:space="0" w:color="000000"/>
              <w:bottom w:val="nil"/>
            </w:tcBorders>
            <w:vAlign w:val="center"/>
          </w:tcPr>
          <w:p w14:paraId="53E0ABB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1.972</w:t>
            </w:r>
          </w:p>
        </w:tc>
      </w:tr>
      <w:tr w:rsidR="001A3A15" w:rsidRPr="00D2048F" w14:paraId="7C3ED385" w14:textId="77777777" w:rsidTr="00B023AC">
        <w:tc>
          <w:tcPr>
            <w:tcW w:w="3231" w:type="dxa"/>
            <w:tcBorders>
              <w:top w:val="nil"/>
            </w:tcBorders>
            <w:vAlign w:val="center"/>
          </w:tcPr>
          <w:p w14:paraId="6DF8AF4D"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Valoración de líderes políticos</w:t>
            </w:r>
          </w:p>
        </w:tc>
        <w:tc>
          <w:tcPr>
            <w:tcW w:w="737" w:type="dxa"/>
            <w:tcBorders>
              <w:top w:val="nil"/>
            </w:tcBorders>
            <w:vAlign w:val="center"/>
          </w:tcPr>
          <w:p w14:paraId="786A1FD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.153</w:t>
            </w:r>
          </w:p>
        </w:tc>
        <w:tc>
          <w:tcPr>
            <w:tcW w:w="680" w:type="dxa"/>
            <w:tcBorders>
              <w:top w:val="nil"/>
            </w:tcBorders>
            <w:vAlign w:val="center"/>
          </w:tcPr>
          <w:p w14:paraId="1A559471"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.288</w:t>
            </w:r>
          </w:p>
        </w:tc>
        <w:tc>
          <w:tcPr>
            <w:tcW w:w="907" w:type="dxa"/>
            <w:tcBorders>
              <w:top w:val="nil"/>
            </w:tcBorders>
            <w:vAlign w:val="center"/>
          </w:tcPr>
          <w:p w14:paraId="602C7237"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.281</w:t>
            </w:r>
          </w:p>
        </w:tc>
        <w:tc>
          <w:tcPr>
            <w:tcW w:w="680" w:type="dxa"/>
            <w:tcBorders>
              <w:top w:val="nil"/>
            </w:tcBorders>
            <w:vAlign w:val="center"/>
          </w:tcPr>
          <w:p w14:paraId="2426868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tcBorders>
              <w:top w:val="nil"/>
            </w:tcBorders>
            <w:vAlign w:val="center"/>
          </w:tcPr>
          <w:p w14:paraId="75043EC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.596</w:t>
            </w:r>
          </w:p>
        </w:tc>
        <w:tc>
          <w:tcPr>
            <w:tcW w:w="907" w:type="dxa"/>
            <w:tcBorders>
              <w:top w:val="nil"/>
            </w:tcBorders>
            <w:vAlign w:val="center"/>
          </w:tcPr>
          <w:p w14:paraId="3EEA93D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1.165</w:t>
            </w:r>
          </w:p>
        </w:tc>
        <w:tc>
          <w:tcPr>
            <w:tcW w:w="907" w:type="dxa"/>
            <w:tcBorders>
              <w:top w:val="nil"/>
            </w:tcBorders>
            <w:vAlign w:val="center"/>
          </w:tcPr>
          <w:p w14:paraId="4837917A"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.662</w:t>
            </w:r>
          </w:p>
        </w:tc>
        <w:tc>
          <w:tcPr>
            <w:tcW w:w="907" w:type="dxa"/>
            <w:tcBorders>
              <w:top w:val="nil"/>
            </w:tcBorders>
            <w:vAlign w:val="center"/>
          </w:tcPr>
          <w:p w14:paraId="16D4C965"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2.050</w:t>
            </w:r>
          </w:p>
        </w:tc>
      </w:tr>
      <w:tr w:rsidR="001A3A15" w:rsidRPr="00D2048F" w14:paraId="19146918" w14:textId="77777777" w:rsidTr="00B023AC">
        <w:tc>
          <w:tcPr>
            <w:tcW w:w="3231" w:type="dxa"/>
            <w:vAlign w:val="center"/>
          </w:tcPr>
          <w:p w14:paraId="11459F7D"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Eficacia política</w:t>
            </w:r>
          </w:p>
        </w:tc>
        <w:tc>
          <w:tcPr>
            <w:tcW w:w="737" w:type="dxa"/>
            <w:vAlign w:val="center"/>
          </w:tcPr>
          <w:p w14:paraId="37042FCA"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.750</w:t>
            </w:r>
          </w:p>
        </w:tc>
        <w:tc>
          <w:tcPr>
            <w:tcW w:w="680" w:type="dxa"/>
            <w:vAlign w:val="center"/>
          </w:tcPr>
          <w:p w14:paraId="36AA26C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.238</w:t>
            </w:r>
          </w:p>
        </w:tc>
        <w:tc>
          <w:tcPr>
            <w:tcW w:w="907" w:type="dxa"/>
            <w:vAlign w:val="center"/>
          </w:tcPr>
          <w:p w14:paraId="389DBA2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9.954</w:t>
            </w:r>
          </w:p>
        </w:tc>
        <w:tc>
          <w:tcPr>
            <w:tcW w:w="680" w:type="dxa"/>
            <w:vAlign w:val="center"/>
          </w:tcPr>
          <w:p w14:paraId="15FBC75C"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771BCFB0"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.002</w:t>
            </w:r>
          </w:p>
        </w:tc>
        <w:tc>
          <w:tcPr>
            <w:tcW w:w="907" w:type="dxa"/>
            <w:vAlign w:val="center"/>
          </w:tcPr>
          <w:p w14:paraId="00FB86C8"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2.117</w:t>
            </w:r>
          </w:p>
        </w:tc>
        <w:tc>
          <w:tcPr>
            <w:tcW w:w="907" w:type="dxa"/>
            <w:vAlign w:val="center"/>
          </w:tcPr>
          <w:p w14:paraId="4C6E533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1.329</w:t>
            </w:r>
          </w:p>
        </w:tc>
        <w:tc>
          <w:tcPr>
            <w:tcW w:w="907" w:type="dxa"/>
            <w:vAlign w:val="center"/>
          </w:tcPr>
          <w:p w14:paraId="3F7C27EC"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3.374</w:t>
            </w:r>
          </w:p>
        </w:tc>
      </w:tr>
      <w:tr w:rsidR="001A3A15" w:rsidRPr="00D2048F" w14:paraId="6630AFBF" w14:textId="77777777" w:rsidTr="00B023AC">
        <w:tc>
          <w:tcPr>
            <w:tcW w:w="3231" w:type="dxa"/>
            <w:vAlign w:val="center"/>
          </w:tcPr>
          <w:p w14:paraId="3F1087D3"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Ubicación ideológica en política</w:t>
            </w:r>
          </w:p>
        </w:tc>
        <w:tc>
          <w:tcPr>
            <w:tcW w:w="737" w:type="dxa"/>
            <w:vAlign w:val="center"/>
          </w:tcPr>
          <w:p w14:paraId="783775C7"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.236</w:t>
            </w:r>
          </w:p>
        </w:tc>
        <w:tc>
          <w:tcPr>
            <w:tcW w:w="680" w:type="dxa"/>
            <w:vAlign w:val="center"/>
          </w:tcPr>
          <w:p w14:paraId="02AE421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.328</w:t>
            </w:r>
          </w:p>
        </w:tc>
        <w:tc>
          <w:tcPr>
            <w:tcW w:w="907" w:type="dxa"/>
            <w:vAlign w:val="center"/>
          </w:tcPr>
          <w:p w14:paraId="722B1EE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.517</w:t>
            </w:r>
          </w:p>
        </w:tc>
        <w:tc>
          <w:tcPr>
            <w:tcW w:w="680" w:type="dxa"/>
            <w:vAlign w:val="center"/>
          </w:tcPr>
          <w:p w14:paraId="7B4CC7D3"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4B9AE70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.472</w:t>
            </w:r>
          </w:p>
        </w:tc>
        <w:tc>
          <w:tcPr>
            <w:tcW w:w="907" w:type="dxa"/>
            <w:vAlign w:val="center"/>
          </w:tcPr>
          <w:p w14:paraId="109D0D39"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1.266</w:t>
            </w:r>
          </w:p>
        </w:tc>
        <w:tc>
          <w:tcPr>
            <w:tcW w:w="907" w:type="dxa"/>
            <w:vAlign w:val="center"/>
          </w:tcPr>
          <w:p w14:paraId="741100D8"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.666</w:t>
            </w:r>
          </w:p>
        </w:tc>
        <w:tc>
          <w:tcPr>
            <w:tcW w:w="907" w:type="dxa"/>
            <w:vAlign w:val="center"/>
          </w:tcPr>
          <w:p w14:paraId="4B5A6710"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2.407</w:t>
            </w:r>
          </w:p>
        </w:tc>
      </w:tr>
      <w:tr w:rsidR="001A3A15" w:rsidRPr="00D2048F" w14:paraId="61711FAC" w14:textId="77777777" w:rsidTr="00B023AC">
        <w:tc>
          <w:tcPr>
            <w:tcW w:w="3231" w:type="dxa"/>
            <w:vAlign w:val="center"/>
          </w:tcPr>
          <w:p w14:paraId="74D3118B"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Participación electoral</w:t>
            </w:r>
          </w:p>
        </w:tc>
        <w:tc>
          <w:tcPr>
            <w:tcW w:w="737" w:type="dxa"/>
            <w:vAlign w:val="center"/>
          </w:tcPr>
          <w:p w14:paraId="6054F58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.332</w:t>
            </w:r>
          </w:p>
        </w:tc>
        <w:tc>
          <w:tcPr>
            <w:tcW w:w="680" w:type="dxa"/>
            <w:vAlign w:val="center"/>
          </w:tcPr>
          <w:p w14:paraId="365D56BA"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.320</w:t>
            </w:r>
          </w:p>
        </w:tc>
        <w:tc>
          <w:tcPr>
            <w:tcW w:w="907" w:type="dxa"/>
            <w:vAlign w:val="center"/>
          </w:tcPr>
          <w:p w14:paraId="35D4E700"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1.077</w:t>
            </w:r>
          </w:p>
        </w:tc>
        <w:tc>
          <w:tcPr>
            <w:tcW w:w="680" w:type="dxa"/>
            <w:vAlign w:val="center"/>
          </w:tcPr>
          <w:p w14:paraId="43AEC524"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22CDBD43"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.299</w:t>
            </w:r>
          </w:p>
        </w:tc>
        <w:tc>
          <w:tcPr>
            <w:tcW w:w="907" w:type="dxa"/>
            <w:vAlign w:val="center"/>
          </w:tcPr>
          <w:p w14:paraId="49E27C3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1.394</w:t>
            </w:r>
          </w:p>
        </w:tc>
        <w:tc>
          <w:tcPr>
            <w:tcW w:w="907" w:type="dxa"/>
            <w:vAlign w:val="center"/>
          </w:tcPr>
          <w:p w14:paraId="10C54C9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.745</w:t>
            </w:r>
          </w:p>
        </w:tc>
        <w:tc>
          <w:tcPr>
            <w:tcW w:w="907" w:type="dxa"/>
            <w:vAlign w:val="center"/>
          </w:tcPr>
          <w:p w14:paraId="7C18E0B3"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2.610</w:t>
            </w:r>
          </w:p>
        </w:tc>
      </w:tr>
      <w:tr w:rsidR="001A3A15" w:rsidRPr="00D2048F" w14:paraId="30182976" w14:textId="77777777" w:rsidTr="00B023AC">
        <w:tc>
          <w:tcPr>
            <w:tcW w:w="3231" w:type="dxa"/>
            <w:vAlign w:val="center"/>
          </w:tcPr>
          <w:p w14:paraId="4BD8F202"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Interés y comprensión de asuntos públicos</w:t>
            </w:r>
          </w:p>
        </w:tc>
        <w:tc>
          <w:tcPr>
            <w:tcW w:w="737" w:type="dxa"/>
            <w:vAlign w:val="center"/>
          </w:tcPr>
          <w:p w14:paraId="5CC91F7A"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-.358</w:t>
            </w:r>
          </w:p>
        </w:tc>
        <w:tc>
          <w:tcPr>
            <w:tcW w:w="680" w:type="dxa"/>
            <w:vAlign w:val="center"/>
          </w:tcPr>
          <w:p w14:paraId="2AC9629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.263</w:t>
            </w:r>
          </w:p>
        </w:tc>
        <w:tc>
          <w:tcPr>
            <w:tcW w:w="907" w:type="dxa"/>
            <w:vAlign w:val="center"/>
          </w:tcPr>
          <w:p w14:paraId="0AD8EBF8"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1.851</w:t>
            </w:r>
          </w:p>
        </w:tc>
        <w:tc>
          <w:tcPr>
            <w:tcW w:w="680" w:type="dxa"/>
            <w:vAlign w:val="center"/>
          </w:tcPr>
          <w:p w14:paraId="3EE12EC8"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5FCC9681"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.174</w:t>
            </w:r>
          </w:p>
        </w:tc>
        <w:tc>
          <w:tcPr>
            <w:tcW w:w="907" w:type="dxa"/>
            <w:vAlign w:val="center"/>
          </w:tcPr>
          <w:p w14:paraId="46B6C9A0"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.699</w:t>
            </w:r>
          </w:p>
        </w:tc>
        <w:tc>
          <w:tcPr>
            <w:tcW w:w="907" w:type="dxa"/>
            <w:vAlign w:val="center"/>
          </w:tcPr>
          <w:p w14:paraId="6D61D524"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.417</w:t>
            </w:r>
          </w:p>
        </w:tc>
        <w:tc>
          <w:tcPr>
            <w:tcW w:w="907" w:type="dxa"/>
            <w:vAlign w:val="center"/>
          </w:tcPr>
          <w:p w14:paraId="5D3AB3F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1.171</w:t>
            </w:r>
          </w:p>
        </w:tc>
      </w:tr>
      <w:tr w:rsidR="001A3A15" w:rsidRPr="00D2048F" w14:paraId="5B612B59" w14:textId="77777777" w:rsidTr="00B023AC">
        <w:tc>
          <w:tcPr>
            <w:tcW w:w="3231" w:type="dxa"/>
            <w:vAlign w:val="center"/>
          </w:tcPr>
          <w:p w14:paraId="29FB55F5"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Confianza política</w:t>
            </w:r>
          </w:p>
        </w:tc>
        <w:tc>
          <w:tcPr>
            <w:tcW w:w="737" w:type="dxa"/>
            <w:vAlign w:val="center"/>
          </w:tcPr>
          <w:p w14:paraId="2A1D536C"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.043</w:t>
            </w:r>
          </w:p>
        </w:tc>
        <w:tc>
          <w:tcPr>
            <w:tcW w:w="680" w:type="dxa"/>
            <w:vAlign w:val="center"/>
          </w:tcPr>
          <w:p w14:paraId="421631A6"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.304</w:t>
            </w:r>
          </w:p>
        </w:tc>
        <w:tc>
          <w:tcPr>
            <w:tcW w:w="907" w:type="dxa"/>
            <w:vAlign w:val="center"/>
          </w:tcPr>
          <w:p w14:paraId="687B77D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.020</w:t>
            </w:r>
          </w:p>
        </w:tc>
        <w:tc>
          <w:tcPr>
            <w:tcW w:w="680" w:type="dxa"/>
            <w:vAlign w:val="center"/>
          </w:tcPr>
          <w:p w14:paraId="63B2027E"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3F16983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.887</w:t>
            </w:r>
          </w:p>
        </w:tc>
        <w:tc>
          <w:tcPr>
            <w:tcW w:w="907" w:type="dxa"/>
            <w:vAlign w:val="center"/>
          </w:tcPr>
          <w:p w14:paraId="60DADDF5"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1.044</w:t>
            </w:r>
          </w:p>
        </w:tc>
        <w:tc>
          <w:tcPr>
            <w:tcW w:w="907" w:type="dxa"/>
            <w:vAlign w:val="center"/>
          </w:tcPr>
          <w:p w14:paraId="4781E7A1"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.576</w:t>
            </w:r>
          </w:p>
        </w:tc>
        <w:tc>
          <w:tcPr>
            <w:tcW w:w="907" w:type="dxa"/>
            <w:vAlign w:val="center"/>
          </w:tcPr>
          <w:p w14:paraId="5D9FED58"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1.893</w:t>
            </w:r>
          </w:p>
        </w:tc>
      </w:tr>
      <w:tr w:rsidR="001A3A15" w:rsidRPr="00D2048F" w14:paraId="244AB171" w14:textId="77777777" w:rsidTr="00B023AC">
        <w:tc>
          <w:tcPr>
            <w:tcW w:w="3231" w:type="dxa"/>
            <w:vAlign w:val="center"/>
          </w:tcPr>
          <w:p w14:paraId="39C8E221"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Influencia política</w:t>
            </w:r>
          </w:p>
        </w:tc>
        <w:tc>
          <w:tcPr>
            <w:tcW w:w="737" w:type="dxa"/>
            <w:vAlign w:val="center"/>
          </w:tcPr>
          <w:p w14:paraId="6A97DBE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.016</w:t>
            </w:r>
          </w:p>
        </w:tc>
        <w:tc>
          <w:tcPr>
            <w:tcW w:w="680" w:type="dxa"/>
            <w:vAlign w:val="center"/>
          </w:tcPr>
          <w:p w14:paraId="5EDD58C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.258</w:t>
            </w:r>
          </w:p>
        </w:tc>
        <w:tc>
          <w:tcPr>
            <w:tcW w:w="907" w:type="dxa"/>
            <w:vAlign w:val="center"/>
          </w:tcPr>
          <w:p w14:paraId="6CA2EAC2"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.004</w:t>
            </w:r>
          </w:p>
        </w:tc>
        <w:tc>
          <w:tcPr>
            <w:tcW w:w="680" w:type="dxa"/>
            <w:vAlign w:val="center"/>
          </w:tcPr>
          <w:p w14:paraId="4114FDFA"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5D603011"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.950</w:t>
            </w:r>
          </w:p>
        </w:tc>
        <w:tc>
          <w:tcPr>
            <w:tcW w:w="907" w:type="dxa"/>
            <w:vAlign w:val="center"/>
          </w:tcPr>
          <w:p w14:paraId="4E20EA9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1.016</w:t>
            </w:r>
          </w:p>
        </w:tc>
        <w:tc>
          <w:tcPr>
            <w:tcW w:w="907" w:type="dxa"/>
            <w:vAlign w:val="center"/>
          </w:tcPr>
          <w:p w14:paraId="5FD5A58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.613</w:t>
            </w:r>
          </w:p>
        </w:tc>
        <w:tc>
          <w:tcPr>
            <w:tcW w:w="907" w:type="dxa"/>
            <w:vAlign w:val="center"/>
          </w:tcPr>
          <w:p w14:paraId="223D49F3"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1.685</w:t>
            </w:r>
          </w:p>
        </w:tc>
      </w:tr>
      <w:tr w:rsidR="001A3A15" w:rsidRPr="00D2048F" w14:paraId="34A56434" w14:textId="77777777" w:rsidTr="00B023AC">
        <w:tc>
          <w:tcPr>
            <w:tcW w:w="3231" w:type="dxa"/>
            <w:vAlign w:val="center"/>
          </w:tcPr>
          <w:p w14:paraId="6085FE70"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Optimismo político</w:t>
            </w:r>
          </w:p>
        </w:tc>
        <w:tc>
          <w:tcPr>
            <w:tcW w:w="737" w:type="dxa"/>
            <w:vAlign w:val="center"/>
          </w:tcPr>
          <w:p w14:paraId="0F7EE5F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-.738</w:t>
            </w:r>
          </w:p>
        </w:tc>
        <w:tc>
          <w:tcPr>
            <w:tcW w:w="680" w:type="dxa"/>
            <w:vAlign w:val="center"/>
          </w:tcPr>
          <w:p w14:paraId="1249991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.249</w:t>
            </w:r>
          </w:p>
        </w:tc>
        <w:tc>
          <w:tcPr>
            <w:tcW w:w="907" w:type="dxa"/>
            <w:vAlign w:val="center"/>
          </w:tcPr>
          <w:p w14:paraId="2C83B997"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8.753</w:t>
            </w:r>
          </w:p>
        </w:tc>
        <w:tc>
          <w:tcPr>
            <w:tcW w:w="680" w:type="dxa"/>
            <w:vAlign w:val="center"/>
          </w:tcPr>
          <w:p w14:paraId="54739758"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7181DB5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.003</w:t>
            </w:r>
          </w:p>
        </w:tc>
        <w:tc>
          <w:tcPr>
            <w:tcW w:w="907" w:type="dxa"/>
            <w:vAlign w:val="center"/>
          </w:tcPr>
          <w:p w14:paraId="1DC97B2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.478</w:t>
            </w:r>
          </w:p>
        </w:tc>
        <w:tc>
          <w:tcPr>
            <w:tcW w:w="907" w:type="dxa"/>
            <w:vAlign w:val="center"/>
          </w:tcPr>
          <w:p w14:paraId="5586E82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.293</w:t>
            </w:r>
          </w:p>
        </w:tc>
        <w:tc>
          <w:tcPr>
            <w:tcW w:w="907" w:type="dxa"/>
            <w:vAlign w:val="center"/>
          </w:tcPr>
          <w:p w14:paraId="3385F218"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.780</w:t>
            </w:r>
          </w:p>
        </w:tc>
      </w:tr>
      <w:tr w:rsidR="001A3A15" w:rsidRPr="00D2048F" w14:paraId="37AF751E" w14:textId="77777777" w:rsidTr="00B023AC">
        <w:tc>
          <w:tcPr>
            <w:tcW w:w="3231" w:type="dxa"/>
            <w:vAlign w:val="center"/>
          </w:tcPr>
          <w:p w14:paraId="4801DE6E" w14:textId="77777777" w:rsidR="001A3A15" w:rsidRPr="001032ED" w:rsidRDefault="001A3A15" w:rsidP="001A3A15">
            <w:pPr>
              <w:pStyle w:val="Sinespaciado"/>
              <w:rPr>
                <w:rFonts w:ascii="Times New Roman" w:hAnsi="Times New Roman" w:cs="Times New Roman"/>
                <w:iCs/>
                <w:sz w:val="20"/>
                <w:szCs w:val="20"/>
              </w:rPr>
            </w:pPr>
            <w:r w:rsidRPr="001032ED">
              <w:rPr>
                <w:rFonts w:ascii="Times New Roman" w:hAnsi="Times New Roman" w:cs="Times New Roman"/>
                <w:iCs/>
                <w:sz w:val="20"/>
                <w:szCs w:val="20"/>
              </w:rPr>
              <w:t>Implicancia política</w:t>
            </w:r>
          </w:p>
        </w:tc>
        <w:tc>
          <w:tcPr>
            <w:tcW w:w="737" w:type="dxa"/>
            <w:vAlign w:val="center"/>
          </w:tcPr>
          <w:p w14:paraId="0ABEFD01"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.523</w:t>
            </w:r>
          </w:p>
        </w:tc>
        <w:tc>
          <w:tcPr>
            <w:tcW w:w="680" w:type="dxa"/>
            <w:vAlign w:val="center"/>
          </w:tcPr>
          <w:p w14:paraId="5BFCB713"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.246</w:t>
            </w:r>
          </w:p>
        </w:tc>
        <w:tc>
          <w:tcPr>
            <w:tcW w:w="907" w:type="dxa"/>
            <w:vAlign w:val="center"/>
          </w:tcPr>
          <w:p w14:paraId="09083816"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4.523</w:t>
            </w:r>
          </w:p>
        </w:tc>
        <w:tc>
          <w:tcPr>
            <w:tcW w:w="680" w:type="dxa"/>
            <w:vAlign w:val="center"/>
          </w:tcPr>
          <w:p w14:paraId="1B5C51DA"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w:t>
            </w:r>
          </w:p>
        </w:tc>
        <w:tc>
          <w:tcPr>
            <w:tcW w:w="680" w:type="dxa"/>
            <w:vAlign w:val="center"/>
          </w:tcPr>
          <w:p w14:paraId="3FBCD1F7"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.033</w:t>
            </w:r>
          </w:p>
        </w:tc>
        <w:tc>
          <w:tcPr>
            <w:tcW w:w="907" w:type="dxa"/>
            <w:vAlign w:val="center"/>
          </w:tcPr>
          <w:p w14:paraId="49CFCC4B"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1.688</w:t>
            </w:r>
          </w:p>
        </w:tc>
        <w:tc>
          <w:tcPr>
            <w:tcW w:w="907" w:type="dxa"/>
            <w:vAlign w:val="center"/>
          </w:tcPr>
          <w:p w14:paraId="43DD31BD"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1.042</w:t>
            </w:r>
          </w:p>
        </w:tc>
        <w:tc>
          <w:tcPr>
            <w:tcW w:w="907" w:type="dxa"/>
            <w:vAlign w:val="center"/>
          </w:tcPr>
          <w:p w14:paraId="17C9E6FF" w14:textId="77777777" w:rsidR="001A3A15" w:rsidRPr="001A3A15" w:rsidRDefault="001A3A15" w:rsidP="001A3A15">
            <w:pPr>
              <w:pStyle w:val="Sinespaciado"/>
              <w:jc w:val="center"/>
              <w:rPr>
                <w:rFonts w:ascii="Times New Roman" w:hAnsi="Times New Roman" w:cs="Times New Roman"/>
                <w:sz w:val="20"/>
                <w:szCs w:val="20"/>
              </w:rPr>
            </w:pPr>
            <w:r w:rsidRPr="001A3A15">
              <w:rPr>
                <w:rFonts w:ascii="Times New Roman" w:hAnsi="Times New Roman" w:cs="Times New Roman"/>
                <w:sz w:val="20"/>
                <w:szCs w:val="20"/>
              </w:rPr>
              <w:t>2.734</w:t>
            </w:r>
          </w:p>
        </w:tc>
      </w:tr>
    </w:tbl>
    <w:p w14:paraId="612CC761" w14:textId="77777777" w:rsidR="001A3A15" w:rsidRPr="001A3A15" w:rsidRDefault="001A3A15" w:rsidP="001A3A15">
      <w:pPr>
        <w:pBdr>
          <w:top w:val="nil"/>
          <w:left w:val="nil"/>
          <w:bottom w:val="nil"/>
          <w:right w:val="nil"/>
          <w:between w:val="nil"/>
        </w:pBdr>
        <w:ind w:right="-234"/>
        <w:jc w:val="both"/>
        <w:rPr>
          <w:rFonts w:eastAsia="Garamond"/>
          <w:sz w:val="20"/>
          <w:szCs w:val="20"/>
        </w:rPr>
      </w:pPr>
      <w:r w:rsidRPr="001A3A15">
        <w:rPr>
          <w:rFonts w:eastAsia="Garamond"/>
          <w:i/>
          <w:iCs/>
          <w:sz w:val="20"/>
          <w:szCs w:val="20"/>
        </w:rPr>
        <w:t xml:space="preserve">Nota. </w:t>
      </w:r>
      <w:r w:rsidRPr="001A3A15">
        <w:rPr>
          <w:rFonts w:eastAsia="Garamond"/>
          <w:sz w:val="20"/>
          <w:szCs w:val="20"/>
        </w:rPr>
        <w:t xml:space="preserve">Los valores reportados para las variables no incluidas en el modelo son aquellos reportados en el último paso respectivo en que fueron consideradas por el método </w:t>
      </w:r>
      <w:r w:rsidRPr="001A3A15">
        <w:rPr>
          <w:rFonts w:eastAsia="Garamond"/>
          <w:i/>
          <w:iCs/>
          <w:sz w:val="20"/>
          <w:szCs w:val="20"/>
        </w:rPr>
        <w:t>Hacia Atrás-Wald</w:t>
      </w:r>
      <w:r w:rsidRPr="001A3A15">
        <w:rPr>
          <w:rFonts w:eastAsia="Garamond"/>
          <w:sz w:val="20"/>
          <w:szCs w:val="20"/>
        </w:rPr>
        <w:t>.</w:t>
      </w:r>
    </w:p>
    <w:p w14:paraId="0DE9B905" w14:textId="77777777" w:rsidR="001A3A15" w:rsidRPr="00D2048F" w:rsidRDefault="001A3A15" w:rsidP="001A3A15">
      <w:pPr>
        <w:pBdr>
          <w:top w:val="nil"/>
          <w:left w:val="nil"/>
          <w:bottom w:val="nil"/>
          <w:right w:val="nil"/>
          <w:between w:val="nil"/>
        </w:pBdr>
        <w:spacing w:line="360" w:lineRule="auto"/>
        <w:ind w:firstLine="284"/>
        <w:jc w:val="both"/>
        <w:rPr>
          <w:rFonts w:eastAsia="Garamond"/>
        </w:rPr>
      </w:pPr>
    </w:p>
    <w:p w14:paraId="68C392CF" w14:textId="00DE29C0" w:rsidR="001A3A15" w:rsidRPr="001032ED" w:rsidRDefault="001A3A15" w:rsidP="001A3A15">
      <w:pPr>
        <w:pBdr>
          <w:top w:val="nil"/>
          <w:left w:val="nil"/>
          <w:bottom w:val="nil"/>
          <w:right w:val="nil"/>
          <w:between w:val="nil"/>
        </w:pBdr>
        <w:spacing w:line="360" w:lineRule="auto"/>
        <w:ind w:firstLine="720"/>
        <w:jc w:val="both"/>
        <w:rPr>
          <w:rFonts w:eastAsia="Garamond"/>
          <w:lang w:val="es-CL"/>
        </w:rPr>
      </w:pPr>
      <w:r w:rsidRPr="00D2048F">
        <w:rPr>
          <w:rFonts w:eastAsia="Garamond"/>
        </w:rPr>
        <w:t xml:space="preserve">Respecto a la actitud hacia la política, la ‘eficacia política’ (B=.750, </w:t>
      </w:r>
      <w:r w:rsidRPr="00D2048F">
        <w:rPr>
          <w:rFonts w:eastAsia="Garamond"/>
          <w:i/>
        </w:rPr>
        <w:t>p</w:t>
      </w:r>
      <w:r w:rsidRPr="00D2048F">
        <w:rPr>
          <w:rFonts w:eastAsia="Gungsuh"/>
        </w:rPr>
        <w:t>≤.01), ‘optimismo político’ (B=-.738,</w:t>
      </w:r>
      <w:r w:rsidRPr="00D2048F">
        <w:rPr>
          <w:rFonts w:eastAsia="Garamond"/>
          <w:i/>
        </w:rPr>
        <w:t xml:space="preserve"> p</w:t>
      </w:r>
      <w:r w:rsidRPr="00D2048F">
        <w:rPr>
          <w:rFonts w:eastAsia="Gungsuh"/>
        </w:rPr>
        <w:t xml:space="preserve">≤.01) e ‘implicancia política’ (B=-.738, </w:t>
      </w:r>
      <w:r w:rsidRPr="00D2048F">
        <w:rPr>
          <w:rFonts w:eastAsia="Garamond"/>
          <w:i/>
        </w:rPr>
        <w:t>p</w:t>
      </w:r>
      <w:r w:rsidRPr="00D2048F">
        <w:rPr>
          <w:rFonts w:eastAsia="Gungsuh"/>
        </w:rPr>
        <w:t xml:space="preserve">≤.05), constituyen los factores más </w:t>
      </w:r>
      <w:r w:rsidRPr="00D2048F">
        <w:rPr>
          <w:rFonts w:eastAsia="Gungsuh"/>
        </w:rPr>
        <w:lastRenderedPageBreak/>
        <w:t xml:space="preserve">significativos para explicar la participación estudiantil. </w:t>
      </w:r>
      <w:r w:rsidRPr="00D2048F">
        <w:rPr>
          <w:rFonts w:eastAsia="Garamond"/>
        </w:rPr>
        <w:t xml:space="preserve">El análisis de los </w:t>
      </w:r>
      <w:r w:rsidRPr="00D2048F">
        <w:rPr>
          <w:rFonts w:eastAsia="Garamond"/>
          <w:i/>
        </w:rPr>
        <w:t xml:space="preserve">odds ratio </w:t>
      </w:r>
      <w:r w:rsidRPr="00D2048F">
        <w:rPr>
          <w:rFonts w:eastAsia="Garamond"/>
        </w:rPr>
        <w:t xml:space="preserve">indica que la probabilidad de participación estudiantil aumenta respectivamente al desarrollar ‘eficacia política’ (OR= 2.117; 95% CI= 1.329, 3.374), ‘la implicancia política’ (OR= 1.688; 95% CI= 1.042, 2.734) y el ‘optimismo político’ (OR= .478; </w:t>
      </w:r>
      <w:r w:rsidRPr="001032ED">
        <w:rPr>
          <w:rFonts w:eastAsia="Garamond"/>
          <w:lang w:val="es-CL"/>
        </w:rPr>
        <w:t>95% CI= .293, .780).</w:t>
      </w:r>
    </w:p>
    <w:p w14:paraId="220C813D" w14:textId="1FFB5965" w:rsidR="00CE7D65" w:rsidRPr="006F676F" w:rsidRDefault="00CE7D65" w:rsidP="008D6D3D">
      <w:pPr>
        <w:pStyle w:val="Ttulosinternos"/>
        <w:rPr>
          <w:lang w:val="es-CL"/>
        </w:rPr>
      </w:pPr>
      <w:r w:rsidRPr="006F676F">
        <w:rPr>
          <w:lang w:val="es-CL"/>
        </w:rPr>
        <w:t>Discusi</w:t>
      </w:r>
      <w:r w:rsidR="00E23C9E" w:rsidRPr="006F676F">
        <w:rPr>
          <w:lang w:val="es-CL"/>
        </w:rPr>
        <w:t>ó</w:t>
      </w:r>
      <w:r w:rsidRPr="006F676F">
        <w:rPr>
          <w:lang w:val="es-CL"/>
        </w:rPr>
        <w:t>n</w:t>
      </w:r>
    </w:p>
    <w:p w14:paraId="62A3B011"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1032ED">
        <w:rPr>
          <w:rFonts w:eastAsia="Garamond"/>
          <w:lang w:val="es-CL"/>
        </w:rPr>
        <w:t>En función del objetivo general, los resultados dan</w:t>
      </w:r>
      <w:r w:rsidRPr="00D2048F">
        <w:rPr>
          <w:rFonts w:eastAsia="Garamond"/>
        </w:rPr>
        <w:t xml:space="preserve"> cuenta de la existencia de una relación entre las competencias ciudadanas y las actitudes hacia la política de estudiantes de psicología que participan y no participan en organizaciones socio-comunitarias o educacionales formales/no formales. </w:t>
      </w:r>
    </w:p>
    <w:p w14:paraId="56D3CB61"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 xml:space="preserve">A partir del análisis estadístico y el modelo presentado se pueden obtener las siguientes conclusiones en relación a las competencias ciudadanas en esta muestra de estudiantes: 1) </w:t>
      </w:r>
      <w:r w:rsidRPr="00D2048F">
        <w:rPr>
          <w:rFonts w:eastAsia="Garamond"/>
          <w:i/>
          <w:iCs/>
        </w:rPr>
        <w:t>acción y empatía</w:t>
      </w:r>
      <w:r w:rsidRPr="00D2048F">
        <w:rPr>
          <w:rFonts w:eastAsia="Garamond"/>
        </w:rPr>
        <w:t xml:space="preserve"> presentan diferencias significativas entre ambos grupos de estudiantes (participantes/no participantes), no así las restantes competencias. 2) Las competencias ciudadanas posibles de apreciar con mayor peso predictivo sobre la posibilidad de participación son respectivamente </w:t>
      </w:r>
      <w:r w:rsidRPr="00D2048F">
        <w:rPr>
          <w:rFonts w:eastAsia="Garamond"/>
          <w:i/>
          <w:iCs/>
        </w:rPr>
        <w:t>ambientes democráticos, acción y empatía</w:t>
      </w:r>
      <w:r>
        <w:rPr>
          <w:rFonts w:eastAsia="Garamond"/>
        </w:rPr>
        <w:t>.</w:t>
      </w:r>
      <w:r w:rsidRPr="00D2048F">
        <w:rPr>
          <w:rFonts w:eastAsia="Garamond"/>
        </w:rPr>
        <w:t xml:space="preserve"> </w:t>
      </w:r>
      <w:r>
        <w:rPr>
          <w:rFonts w:eastAsia="Garamond"/>
        </w:rPr>
        <w:t>S</w:t>
      </w:r>
      <w:r w:rsidRPr="00D2048F">
        <w:rPr>
          <w:rFonts w:eastAsia="Garamond"/>
        </w:rPr>
        <w:t>in embargo</w:t>
      </w:r>
      <w:r>
        <w:rPr>
          <w:rFonts w:eastAsia="Garamond"/>
        </w:rPr>
        <w:t>,</w:t>
      </w:r>
      <w:r w:rsidRPr="00D2048F">
        <w:rPr>
          <w:rFonts w:eastAsia="Garamond"/>
        </w:rPr>
        <w:t xml:space="preserve"> la primera no presenta diferencias estadísticamente significativas entre los grupos, por lo que entiende como una competencia que actúa en forma homogénea para ambos. 3) La </w:t>
      </w:r>
      <w:r w:rsidRPr="00D2048F">
        <w:rPr>
          <w:rFonts w:eastAsia="Garamond"/>
          <w:i/>
          <w:iCs/>
        </w:rPr>
        <w:t>empatía</w:t>
      </w:r>
      <w:r w:rsidRPr="00D2048F">
        <w:rPr>
          <w:rFonts w:eastAsia="Garamond"/>
        </w:rPr>
        <w:t xml:space="preserve"> como competencia ciudadana, se diferencia de la </w:t>
      </w:r>
      <w:r w:rsidRPr="00D2048F">
        <w:rPr>
          <w:rFonts w:eastAsia="Garamond"/>
          <w:i/>
          <w:iCs/>
        </w:rPr>
        <w:t>emoción</w:t>
      </w:r>
      <w:r w:rsidRPr="00D2048F">
        <w:rPr>
          <w:rFonts w:eastAsia="Garamond"/>
        </w:rPr>
        <w:t xml:space="preserve">, por lo que su análisis debe realizarse con cautela a propósito de su aproximación teórica. </w:t>
      </w:r>
    </w:p>
    <w:p w14:paraId="047C1852"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 xml:space="preserve">En definitiva, la generación y participación en </w:t>
      </w:r>
      <w:r w:rsidRPr="00D2048F">
        <w:rPr>
          <w:rFonts w:eastAsia="Garamond"/>
          <w:i/>
          <w:iCs/>
        </w:rPr>
        <w:t>ambientes democráticos</w:t>
      </w:r>
      <w:r w:rsidRPr="00D2048F">
        <w:rPr>
          <w:rFonts w:eastAsia="Garamond"/>
        </w:rPr>
        <w:t xml:space="preserve"> sería una competencia clave a considerar de forma previa a la acción, en tanto actúa homogéneamente para todos/todas promoviendo una especie de práctica o ensayo de acciones autónomas y responsablemente comprometidas con la convivencia, la participación y la responsabilidad social. El desarrollo inicial de esta competencia da paso a la </w:t>
      </w:r>
      <w:r w:rsidRPr="00D2048F">
        <w:rPr>
          <w:rFonts w:eastAsia="Garamond"/>
          <w:i/>
          <w:iCs/>
        </w:rPr>
        <w:t xml:space="preserve">acción </w:t>
      </w:r>
      <w:r w:rsidRPr="00D2048F">
        <w:rPr>
          <w:rFonts w:eastAsia="Garamond"/>
        </w:rPr>
        <w:t xml:space="preserve">como participación concreta al servicio de la construcción de relaciones interpersonales y bienestar social eficaz, conllevando al desarrollo de la </w:t>
      </w:r>
      <w:r w:rsidRPr="00D2048F">
        <w:rPr>
          <w:rFonts w:eastAsia="Garamond"/>
          <w:i/>
          <w:iCs/>
        </w:rPr>
        <w:t xml:space="preserve">empatía </w:t>
      </w:r>
      <w:r w:rsidRPr="00D2048F">
        <w:rPr>
          <w:rFonts w:eastAsia="Garamond"/>
        </w:rPr>
        <w:t xml:space="preserve">entendida en el ámbito social y no exclusivamente individual. A su vez, esta acción o participación promueve el desarrollo de la empatía y la posibilidad de generar y/o participar en ambientes más democráticos. Estos hallazgos son consistentes con lo indicado por Calderíus-Fernández </w:t>
      </w:r>
      <w:r>
        <w:rPr>
          <w:rFonts w:eastAsia="Garamond"/>
        </w:rPr>
        <w:t>&amp;</w:t>
      </w:r>
      <w:r w:rsidRPr="00D2048F">
        <w:rPr>
          <w:rFonts w:eastAsia="Garamond"/>
        </w:rPr>
        <w:t xml:space="preserve"> Martínez-Sánchez (2013) y Zambrano (2018) respecto a la importancia que tienen estas competencias en la pragmática y quehacer ciudadano, resultando de suma </w:t>
      </w:r>
      <w:r w:rsidRPr="00D2048F">
        <w:rPr>
          <w:rFonts w:eastAsia="Garamond"/>
        </w:rPr>
        <w:lastRenderedPageBreak/>
        <w:t>importancia considerarlas en la formación profesional a través de espacios de interacción y acción política real.</w:t>
      </w:r>
    </w:p>
    <w:p w14:paraId="311CA331"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 xml:space="preserve">En relación a las actitudes hacia la política se pudo concluir lo siguiente: 1) Las actitudes </w:t>
      </w:r>
      <w:r w:rsidRPr="00D2048F">
        <w:rPr>
          <w:rFonts w:eastAsia="Garamond"/>
          <w:i/>
          <w:iCs/>
        </w:rPr>
        <w:t xml:space="preserve">eficacia política e implicación política </w:t>
      </w:r>
      <w:r w:rsidRPr="00D2048F">
        <w:rPr>
          <w:rFonts w:eastAsia="Garamond"/>
        </w:rPr>
        <w:t>presentan diferencias significativas entre ambos grupos de estudiantes (participantes/no participantes), no así las restantes actitudes hacia la política,</w:t>
      </w:r>
      <w:r w:rsidRPr="00D2048F">
        <w:rPr>
          <w:rFonts w:eastAsia="Garamond"/>
          <w:i/>
          <w:iCs/>
        </w:rPr>
        <w:t xml:space="preserve"> </w:t>
      </w:r>
      <w:r w:rsidRPr="00D2048F">
        <w:rPr>
          <w:rFonts w:eastAsia="Garamond"/>
        </w:rPr>
        <w:t xml:space="preserve">2) La </w:t>
      </w:r>
      <w:r w:rsidRPr="00D2048F">
        <w:rPr>
          <w:rFonts w:eastAsia="Garamond"/>
          <w:i/>
          <w:iCs/>
        </w:rPr>
        <w:t xml:space="preserve">eficacia política, </w:t>
      </w:r>
      <w:r w:rsidRPr="00D2048F">
        <w:rPr>
          <w:rFonts w:eastAsia="Garamond"/>
        </w:rPr>
        <w:t xml:space="preserve">el </w:t>
      </w:r>
      <w:r w:rsidRPr="00D2048F">
        <w:rPr>
          <w:rFonts w:eastAsia="Garamond"/>
          <w:i/>
          <w:iCs/>
        </w:rPr>
        <w:t xml:space="preserve">optimismo político </w:t>
      </w:r>
      <w:r w:rsidRPr="00D2048F">
        <w:rPr>
          <w:rFonts w:eastAsia="Garamond"/>
        </w:rPr>
        <w:t>y la</w:t>
      </w:r>
      <w:r w:rsidRPr="00D2048F">
        <w:rPr>
          <w:rFonts w:eastAsia="Garamond"/>
          <w:i/>
          <w:iCs/>
        </w:rPr>
        <w:t xml:space="preserve"> implicancia política</w:t>
      </w:r>
      <w:r w:rsidRPr="00D2048F">
        <w:rPr>
          <w:rFonts w:eastAsia="Garamond"/>
        </w:rPr>
        <w:t xml:space="preserve"> respectivamente poseen mayor preso predictivo sobre la posibilidad de participación, aunque tan solo </w:t>
      </w:r>
      <w:r w:rsidRPr="00D2048F">
        <w:rPr>
          <w:rFonts w:eastAsia="Garamond"/>
          <w:i/>
          <w:iCs/>
        </w:rPr>
        <w:t>optimismo político</w:t>
      </w:r>
      <w:r w:rsidRPr="00D2048F">
        <w:rPr>
          <w:rFonts w:eastAsia="Garamond"/>
        </w:rPr>
        <w:t xml:space="preserve"> actúa como una actitud homogénea entre ambos grupos (participa/no participa). </w:t>
      </w:r>
    </w:p>
    <w:p w14:paraId="3E35D40C"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En definitiva, la percepción de una acción política capaz de conseguir resultados colectivos concretos para el bienestar social permite una implicación más profunda y comprometida producto de esta asociación, lo que resulta consistente con la diferencia observada a favor de quienes participan, desarrollando una actitud consistente con su participación activa que a su vez actúa como fundamento que la retroalimenta. Por otro lado, cuando se es optimista hacia la acción, la tendencia actúa por igual hacia la actitud a la política produciendo oportunidades de participación por igual producto del interés situado en resultados concretos y con sentido de utilidad personal y/o social.</w:t>
      </w:r>
    </w:p>
    <w:p w14:paraId="5F0E69F9"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 xml:space="preserve">En conjunto, los resultados obtenidos son consistentes con los planteamientos realizados principalmente por la literatura latinoamericana respecto a la condición política de la psicología y cómo ésta debe articularse no tan solo en su </w:t>
      </w:r>
      <w:proofErr w:type="spellStart"/>
      <w:r w:rsidRPr="00D2048F">
        <w:rPr>
          <w:rFonts w:eastAsia="Garamond"/>
          <w:i/>
        </w:rPr>
        <w:t>lexis</w:t>
      </w:r>
      <w:proofErr w:type="spellEnd"/>
      <w:r w:rsidRPr="00D2048F">
        <w:rPr>
          <w:rFonts w:eastAsia="Garamond"/>
        </w:rPr>
        <w:t xml:space="preserve">, sino también en su </w:t>
      </w:r>
      <w:r w:rsidRPr="00D2048F">
        <w:rPr>
          <w:rFonts w:eastAsia="Garamond"/>
          <w:i/>
        </w:rPr>
        <w:t>praxis</w:t>
      </w:r>
      <w:r w:rsidRPr="00D2048F">
        <w:rPr>
          <w:rFonts w:eastAsia="Garamond"/>
          <w:iCs/>
          <w:vertAlign w:val="superscript"/>
        </w:rPr>
        <w:footnoteReference w:id="3"/>
      </w:r>
      <w:r w:rsidRPr="00D2048F">
        <w:rPr>
          <w:rFonts w:eastAsia="Garamond"/>
          <w:i/>
        </w:rPr>
        <w:t xml:space="preserve"> </w:t>
      </w:r>
      <w:r w:rsidRPr="00D2048F">
        <w:rPr>
          <w:rFonts w:eastAsia="Garamond"/>
        </w:rPr>
        <w:t xml:space="preserve">(Martín-Baro, 2006; Cuéllar, 2015; Barrero, 2017), por lo que se releva la necesidad de incorporar prácticas formativas al interior de las instituciones educacionales con el fin de favorecer el ejercicio de las competencias ciudadanas (Ruiz </w:t>
      </w:r>
      <w:r>
        <w:rPr>
          <w:rFonts w:eastAsia="Garamond"/>
        </w:rPr>
        <w:t>&amp;</w:t>
      </w:r>
      <w:r w:rsidRPr="00D2048F">
        <w:rPr>
          <w:rFonts w:eastAsia="Garamond"/>
        </w:rPr>
        <w:t xml:space="preserve"> Chaux, 2005).</w:t>
      </w:r>
    </w:p>
    <w:p w14:paraId="0C5FDCE7"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 xml:space="preserve">Con relación a esta </w:t>
      </w:r>
      <w:proofErr w:type="spellStart"/>
      <w:r w:rsidRPr="00D2048F">
        <w:rPr>
          <w:rFonts w:eastAsia="Garamond"/>
          <w:i/>
          <w:iCs/>
        </w:rPr>
        <w:t>lexis</w:t>
      </w:r>
      <w:proofErr w:type="spellEnd"/>
      <w:r w:rsidRPr="00D2048F">
        <w:rPr>
          <w:rFonts w:eastAsia="Garamond"/>
        </w:rPr>
        <w:t xml:space="preserve"> y </w:t>
      </w:r>
      <w:r w:rsidRPr="00D2048F">
        <w:rPr>
          <w:rFonts w:eastAsia="Garamond"/>
          <w:i/>
          <w:iCs/>
        </w:rPr>
        <w:t>praxis</w:t>
      </w:r>
      <w:r w:rsidRPr="00D2048F">
        <w:rPr>
          <w:rFonts w:eastAsia="Garamond"/>
        </w:rPr>
        <w:t xml:space="preserve">, es conveniente discutir respecto a cómo entienden hoy estas competencias ciudadanas este grupo de estudiantes de psicología. Una posible respuesta a esta pregunta la encontramos al relacionarlas con las distintas actitudes hacia la política que las acompañan en el modelo propuesto, puesto que comparten un trasfondo conceptual relativamente claro y estable: la necesaria interdependencia entre ambas dimensiones. En este caso, </w:t>
      </w:r>
      <w:proofErr w:type="spellStart"/>
      <w:r w:rsidRPr="00D2048F">
        <w:rPr>
          <w:rFonts w:eastAsia="Garamond"/>
          <w:i/>
          <w:iCs/>
        </w:rPr>
        <w:t>lexis</w:t>
      </w:r>
      <w:proofErr w:type="spellEnd"/>
      <w:r w:rsidRPr="00D2048F">
        <w:rPr>
          <w:rFonts w:eastAsia="Garamond"/>
        </w:rPr>
        <w:t xml:space="preserve"> entendido como actos de conceptualización y teorización psicológica no tienen sentido político si no se sustentan o corresponden consecuentemente en la </w:t>
      </w:r>
      <w:r w:rsidRPr="00D2048F">
        <w:rPr>
          <w:rFonts w:eastAsia="Garamond"/>
          <w:i/>
          <w:iCs/>
        </w:rPr>
        <w:t xml:space="preserve">praxis, </w:t>
      </w:r>
      <w:r w:rsidRPr="00D2048F">
        <w:rPr>
          <w:rFonts w:eastAsia="Garamond"/>
        </w:rPr>
        <w:t xml:space="preserve">pudiendo ser ésta un espacio de </w:t>
      </w:r>
      <w:r w:rsidRPr="00D2048F">
        <w:rPr>
          <w:rFonts w:eastAsia="Garamond"/>
        </w:rPr>
        <w:lastRenderedPageBreak/>
        <w:t xml:space="preserve">participación educativo, comunitario o social donde se desarrollan actividades al servicio de las expectativas para con la formación profesional psicológica -por una parte-, o como respuesta a intereses personales e individuales también adscritos a una forma de entender y hacer psicología -por otra-. </w:t>
      </w:r>
    </w:p>
    <w:p w14:paraId="2515B9EE"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 xml:space="preserve">Lo anterior resulta consistente con la tradición de </w:t>
      </w:r>
      <w:r w:rsidRPr="00D2048F">
        <w:rPr>
          <w:rFonts w:eastAsia="Garamond"/>
          <w:i/>
        </w:rPr>
        <w:t>saberes psi</w:t>
      </w:r>
      <w:r w:rsidRPr="00D2048F">
        <w:rPr>
          <w:rFonts w:eastAsia="Garamond"/>
        </w:rPr>
        <w:t xml:space="preserve"> provenientes de la formación tradicional de la psicología, donde los discursos sobre la empatía como una habilidad profesional, comprendida como un `mirar desde afuera como si se viviera la experiencia’ de un/una otro/otra, se diferencian de aquellos que la sitúan como un involucramiento activo en y con el contexto social (Muñoz-Pérez, 2017). </w:t>
      </w:r>
    </w:p>
    <w:p w14:paraId="5B642E21"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Esto constituye un punto de suma relevancia, puesto que dependerá de las concepciones formativas de la disciplina acerca de la empatía la calidad del desempeño profesional de los psicólogos y psicólogas en ámbitos vinculados a problemas sociales, políticos y ciudadanos.</w:t>
      </w:r>
    </w:p>
    <w:p w14:paraId="212693E0"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Finalmente, y en relación con la participación estudiantil, los resultados son consistentes con lo señalado por la literatura, en tanto esta relación entre competencias ciudadanas y actitudes hacia la política actúan más bien en sintonía con un tipo de participación inspirada en las propias motivaciones distanciadas de la institucionalidad. Esta forma de acción política es propia del desencanto juvenil existente, producto de la falta de oportunidades y la no-escucha de sus propuestas creativas, vinculadas a la tecnología y la globalización, entre otras (Reguillo, 2004), a su vez que se corresponde con un enfoque neoliberal de formación profesional en la disciplina centrado en el estudiante que ‘estudia’ y que no se vincula en asuntos políticos no contingentes a la juventud (Eliécer, 2008).</w:t>
      </w:r>
    </w:p>
    <w:p w14:paraId="0B2076A0" w14:textId="77777777" w:rsidR="001A3A15" w:rsidRPr="00D2048F" w:rsidRDefault="001A3A15" w:rsidP="001A3A15">
      <w:pPr>
        <w:pBdr>
          <w:top w:val="nil"/>
          <w:left w:val="nil"/>
          <w:bottom w:val="nil"/>
          <w:right w:val="nil"/>
          <w:between w:val="nil"/>
        </w:pBdr>
        <w:spacing w:line="360" w:lineRule="auto"/>
        <w:ind w:firstLine="720"/>
        <w:jc w:val="both"/>
        <w:rPr>
          <w:rFonts w:eastAsia="Garamond"/>
        </w:rPr>
      </w:pPr>
      <w:r w:rsidRPr="00D2048F">
        <w:rPr>
          <w:rFonts w:eastAsia="Garamond"/>
        </w:rPr>
        <w:t xml:space="preserve">Esta discusión constituye un aporte a la construcción de un perfil inicial y un punto de partida respecto a ‘desde dónde’ comenzar a fomentar la incorporación de la ciudadanía y la participación de psicólogas/psicólogos en formación en contextos específicos de cambios, transformaciones e incertidumbre político-social. Esto supone una necesidad de transformación de los </w:t>
      </w:r>
      <w:r w:rsidRPr="00D2048F">
        <w:rPr>
          <w:rFonts w:eastAsia="Garamond"/>
          <w:i/>
        </w:rPr>
        <w:t xml:space="preserve">saberes psi </w:t>
      </w:r>
      <w:r w:rsidRPr="00D2048F">
        <w:rPr>
          <w:rFonts w:eastAsia="Garamond"/>
        </w:rPr>
        <w:t xml:space="preserve">tradicionales (Ramírez-Botero, 2008), invitando a reconsiderar sus premisas ortodoxas situadas en modelos objetivos con énfasis en el individualismo, el atomismo y el positivismo, para transitar hacia una perspectiva social, histórica y compleja. Se sugiere retomar la discusión en torno a los comités curriculares de cada carrera de psicología respecto a cómo la formación de sus futuros/as profesionales requiere contemplar transversalmente el desarrollo de la ciudadanía y de competencias ciudadanas como parte de las competencias genéricas asociadas a </w:t>
      </w:r>
      <w:r w:rsidRPr="00D2048F">
        <w:rPr>
          <w:rFonts w:eastAsia="Garamond"/>
        </w:rPr>
        <w:lastRenderedPageBreak/>
        <w:t xml:space="preserve">la carrera, con el fin de incentivar la participación estudiantil en hechos y fenómenos situados en la contingencia inmediata de la comunidad. </w:t>
      </w:r>
    </w:p>
    <w:p w14:paraId="270A2142" w14:textId="31E9AA9B" w:rsidR="001A3A15" w:rsidRPr="00D2048F" w:rsidRDefault="001A3A15" w:rsidP="001A3A15">
      <w:pPr>
        <w:pBdr>
          <w:top w:val="nil"/>
          <w:left w:val="nil"/>
          <w:bottom w:val="nil"/>
          <w:right w:val="nil"/>
          <w:between w:val="nil"/>
        </w:pBdr>
        <w:spacing w:line="360" w:lineRule="auto"/>
        <w:ind w:firstLine="720"/>
        <w:jc w:val="both"/>
        <w:rPr>
          <w:rFonts w:eastAsia="Garamond"/>
          <w:b/>
        </w:rPr>
      </w:pPr>
      <w:r w:rsidRPr="00D2048F">
        <w:rPr>
          <w:rFonts w:eastAsia="Garamond"/>
        </w:rPr>
        <w:t>Las limitaciones de esta investigación radican en su tipo transversal o transeccional y situado en una muestra criterial e intencional, por lo que establecer generalizaciones resulta arriesgado y debe interpretarse con cautela. Una segunda limitación la constituyen los instrumentos aplicados y sus características psicométricas, puesto que su validez y adaptación han sido puestas a prueba en un país distinto al de esta investigación. Si bien se han calculado para cado caso los valores de confiabilidad, no se desarrollaron adaptaciones</w:t>
      </w:r>
      <w:r w:rsidR="008D6D3D">
        <w:rPr>
          <w:rFonts w:eastAsia="Garamond"/>
        </w:rPr>
        <w:t xml:space="preserve"> ni estandarizaciones</w:t>
      </w:r>
      <w:r w:rsidRPr="00D2048F">
        <w:rPr>
          <w:rFonts w:eastAsia="Garamond"/>
        </w:rPr>
        <w:t xml:space="preserve"> específicas para esta muestra, por lo que esta condición da pie para sugerir la actualización de estos instrumentos a la realidad nacional, permitiendo así acceder a una medición aún más válida y confiable de las variables acá presentadas. </w:t>
      </w:r>
      <w:r w:rsidR="008D6D3D">
        <w:rPr>
          <w:rFonts w:eastAsia="Garamond"/>
        </w:rPr>
        <w:t xml:space="preserve">Una tercera limitación lo constituye el valor de la varianza explicada por el modelo (17,4%), que si bien es considerada como de interés para comenzar una línea de trabajo e investigación, resulta insuficiente para efectos de generalización hacia el resto de la población, por lo que se deben consultar diversas alternativas vinculadas al problema principal de investigación. En este sentido, se plantea seguir una </w:t>
      </w:r>
      <w:r w:rsidR="00056D00">
        <w:rPr>
          <w:rFonts w:eastAsia="Garamond"/>
        </w:rPr>
        <w:t xml:space="preserve">línea de </w:t>
      </w:r>
      <w:r w:rsidR="008D6D3D">
        <w:rPr>
          <w:rFonts w:eastAsia="Garamond"/>
        </w:rPr>
        <w:t xml:space="preserve">profundización basada </w:t>
      </w:r>
      <w:r w:rsidR="00056D00">
        <w:rPr>
          <w:rFonts w:eastAsia="Garamond"/>
        </w:rPr>
        <w:t xml:space="preserve">en los estudios sobre </w:t>
      </w:r>
      <w:r w:rsidR="008D6D3D">
        <w:rPr>
          <w:rFonts w:eastAsia="Garamond"/>
        </w:rPr>
        <w:t>participación juvenil y estudiantil</w:t>
      </w:r>
      <w:r w:rsidR="00056D00">
        <w:rPr>
          <w:rFonts w:eastAsia="Garamond"/>
        </w:rPr>
        <w:t xml:space="preserve"> desarrollados en Chile por </w:t>
      </w:r>
      <w:proofErr w:type="spellStart"/>
      <w:r w:rsidR="00056D00">
        <w:rPr>
          <w:rFonts w:eastAsia="Garamond"/>
        </w:rPr>
        <w:t>Zarzuri</w:t>
      </w:r>
      <w:proofErr w:type="spellEnd"/>
      <w:r w:rsidR="00056D00">
        <w:rPr>
          <w:rFonts w:eastAsia="Garamond"/>
        </w:rPr>
        <w:t xml:space="preserve"> (2016), Muñoz-Tamayo y </w:t>
      </w:r>
      <w:proofErr w:type="spellStart"/>
      <w:r w:rsidR="00056D00">
        <w:rPr>
          <w:rFonts w:eastAsia="Garamond"/>
        </w:rPr>
        <w:t>Migliardi</w:t>
      </w:r>
      <w:proofErr w:type="spellEnd"/>
      <w:r w:rsidR="00056D00">
        <w:rPr>
          <w:rFonts w:eastAsia="Garamond"/>
        </w:rPr>
        <w:t xml:space="preserve"> (2019) y otros/otras autores, mas no vinculados a nivel nacional con las competencias ciudadanas, variable que aun públicamente no adquiere un notorio interés país.</w:t>
      </w:r>
      <w:r w:rsidR="008D6D3D">
        <w:rPr>
          <w:rFonts w:eastAsia="Garamond"/>
        </w:rPr>
        <w:t xml:space="preserve"> </w:t>
      </w:r>
      <w:r w:rsidRPr="00D2048F">
        <w:rPr>
          <w:rFonts w:eastAsia="Garamond"/>
        </w:rPr>
        <w:t xml:space="preserve">Finalmente, </w:t>
      </w:r>
      <w:r w:rsidR="008D6D3D">
        <w:rPr>
          <w:rFonts w:eastAsia="Garamond"/>
        </w:rPr>
        <w:t>s</w:t>
      </w:r>
      <w:r w:rsidRPr="00D2048F">
        <w:rPr>
          <w:rFonts w:eastAsia="Garamond"/>
        </w:rPr>
        <w:t xml:space="preserve">e sugiere profundizar </w:t>
      </w:r>
      <w:r w:rsidR="00056D00">
        <w:rPr>
          <w:rFonts w:eastAsia="Garamond"/>
        </w:rPr>
        <w:t xml:space="preserve">específicamente </w:t>
      </w:r>
      <w:r w:rsidRPr="00D2048F">
        <w:rPr>
          <w:rFonts w:eastAsia="Garamond"/>
        </w:rPr>
        <w:t>en otras variables y contextos que complementen la explicación de la participación de estudiantes de psicología en contextos de acción educacional, social o comunitaria u otros.</w:t>
      </w:r>
    </w:p>
    <w:p w14:paraId="49DEAE69" w14:textId="77777777" w:rsidR="001032ED" w:rsidRPr="008D6D3D" w:rsidRDefault="001032ED">
      <w:pPr>
        <w:rPr>
          <w:b/>
          <w:lang w:val="es-CL" w:eastAsia="en-US"/>
        </w:rPr>
      </w:pPr>
      <w:r>
        <w:br w:type="page"/>
      </w:r>
    </w:p>
    <w:p w14:paraId="6CD8B4A8" w14:textId="3E186B71" w:rsidR="006F7E7E" w:rsidRPr="00E25900" w:rsidRDefault="00CE7D65" w:rsidP="008D6D3D">
      <w:pPr>
        <w:pStyle w:val="Ttulosinternos"/>
      </w:pPr>
      <w:r w:rsidRPr="00732110">
        <w:lastRenderedPageBreak/>
        <w:t>Referenc</w:t>
      </w:r>
      <w:r w:rsidR="00E23C9E" w:rsidRPr="00732110">
        <w:t>ias</w:t>
      </w:r>
    </w:p>
    <w:p w14:paraId="2E6BCB61" w14:textId="77777777" w:rsidR="001A3A15" w:rsidRPr="00D2048F" w:rsidRDefault="001A3A15" w:rsidP="001032ED">
      <w:pPr>
        <w:pBdr>
          <w:top w:val="nil"/>
          <w:left w:val="nil"/>
          <w:bottom w:val="nil"/>
          <w:right w:val="nil"/>
          <w:between w:val="nil"/>
        </w:pBdr>
        <w:spacing w:line="360" w:lineRule="auto"/>
        <w:ind w:left="720" w:hanging="720"/>
        <w:jc w:val="both"/>
        <w:rPr>
          <w:rFonts w:eastAsia="Garamond"/>
        </w:rPr>
      </w:pPr>
      <w:r w:rsidRPr="00CE1572">
        <w:rPr>
          <w:rFonts w:eastAsia="Garamond"/>
          <w:lang w:val="en-US"/>
        </w:rPr>
        <w:t xml:space="preserve">Almond, G. &amp; </w:t>
      </w:r>
      <w:proofErr w:type="spellStart"/>
      <w:r w:rsidRPr="00CE1572">
        <w:rPr>
          <w:rFonts w:eastAsia="Garamond"/>
          <w:lang w:val="en-US"/>
        </w:rPr>
        <w:t>Verba</w:t>
      </w:r>
      <w:proofErr w:type="spellEnd"/>
      <w:r w:rsidRPr="00CE1572">
        <w:rPr>
          <w:rFonts w:eastAsia="Garamond"/>
          <w:lang w:val="en-US"/>
        </w:rPr>
        <w:t xml:space="preserve">, S. (1989). </w:t>
      </w:r>
      <w:r w:rsidRPr="00D2048F">
        <w:rPr>
          <w:rFonts w:eastAsia="Garamond"/>
          <w:i/>
          <w:lang w:val="en-US"/>
        </w:rPr>
        <w:t>The Civic Culture. Political Attitudes and Democracy in Five Nations</w:t>
      </w:r>
      <w:r w:rsidRPr="00D2048F">
        <w:rPr>
          <w:rFonts w:eastAsia="Garamond"/>
          <w:lang w:val="en-US"/>
        </w:rPr>
        <w:t xml:space="preserve">. </w:t>
      </w:r>
      <w:r w:rsidRPr="00D2048F">
        <w:rPr>
          <w:rFonts w:eastAsia="Garamond"/>
        </w:rPr>
        <w:t xml:space="preserve">Sage </w:t>
      </w:r>
      <w:proofErr w:type="spellStart"/>
      <w:r w:rsidRPr="00D2048F">
        <w:rPr>
          <w:rFonts w:eastAsia="Garamond"/>
        </w:rPr>
        <w:t>Publications</w:t>
      </w:r>
      <w:proofErr w:type="spellEnd"/>
      <w:r w:rsidRPr="00D2048F">
        <w:rPr>
          <w:rFonts w:eastAsia="Garamond"/>
        </w:rPr>
        <w:t xml:space="preserve"> Inc.</w:t>
      </w:r>
    </w:p>
    <w:p w14:paraId="78660574" w14:textId="424ADE7E" w:rsidR="001A3A15" w:rsidRDefault="001A3A15" w:rsidP="001032ED">
      <w:pPr>
        <w:pBdr>
          <w:top w:val="nil"/>
          <w:left w:val="nil"/>
          <w:bottom w:val="nil"/>
          <w:right w:val="nil"/>
          <w:between w:val="nil"/>
        </w:pBdr>
        <w:spacing w:line="360" w:lineRule="auto"/>
        <w:ind w:left="720" w:hanging="720"/>
        <w:jc w:val="both"/>
      </w:pPr>
      <w:r w:rsidRPr="00D2048F">
        <w:rPr>
          <w:rFonts w:eastAsia="Garamond"/>
        </w:rPr>
        <w:t xml:space="preserve">Álvarez-Ramírez, L. (2014). Escala de actitudes hacia la política en población adulta de Bucaramanga. </w:t>
      </w:r>
      <w:r w:rsidRPr="00D2048F">
        <w:rPr>
          <w:rFonts w:eastAsia="Garamond"/>
          <w:i/>
        </w:rPr>
        <w:t>Revista latinoamericana de ciencias sociales, niñez y juventud</w:t>
      </w:r>
      <w:r w:rsidRPr="00D2048F">
        <w:rPr>
          <w:rFonts w:eastAsia="Garamond"/>
        </w:rPr>
        <w:t xml:space="preserve">, </w:t>
      </w:r>
      <w:r w:rsidRPr="00D2048F">
        <w:rPr>
          <w:rFonts w:eastAsia="Garamond"/>
          <w:i/>
        </w:rPr>
        <w:t>12</w:t>
      </w:r>
      <w:r w:rsidRPr="00D2048F">
        <w:rPr>
          <w:rFonts w:eastAsia="Garamond"/>
        </w:rPr>
        <w:t xml:space="preserve">(1), 291-308. </w:t>
      </w:r>
      <w:hyperlink r:id="rId11" w:history="1">
        <w:r w:rsidR="001032ED" w:rsidRPr="00E92917">
          <w:rPr>
            <w:rStyle w:val="Hipervnculo"/>
            <w:rFonts w:eastAsia="Garamond"/>
          </w:rPr>
          <w:t>https://</w:t>
        </w:r>
        <w:r w:rsidR="001032ED" w:rsidRPr="00E92917">
          <w:rPr>
            <w:rStyle w:val="Hipervnculo"/>
          </w:rPr>
          <w:t>bit.ly/3WJwI9P</w:t>
        </w:r>
      </w:hyperlink>
    </w:p>
    <w:p w14:paraId="7CEC1C56" w14:textId="0923F1BB" w:rsidR="001A3A15" w:rsidRDefault="001A3A15" w:rsidP="001032ED">
      <w:pPr>
        <w:pBdr>
          <w:top w:val="nil"/>
          <w:left w:val="nil"/>
          <w:bottom w:val="nil"/>
          <w:right w:val="nil"/>
          <w:between w:val="nil"/>
        </w:pBdr>
        <w:spacing w:line="360" w:lineRule="auto"/>
        <w:ind w:left="720" w:hanging="720"/>
        <w:jc w:val="both"/>
      </w:pPr>
      <w:r w:rsidRPr="00D2048F">
        <w:t xml:space="preserve">Amador-Soriano, K., Velázquez-Albo, M. A. </w:t>
      </w:r>
      <w:r>
        <w:t>&amp;</w:t>
      </w:r>
      <w:r w:rsidRPr="00D2048F">
        <w:t xml:space="preserve"> Alarcón-Pérez, L.M. (2018). Las competencias profesionales del psicólogo desde una perspectiva integral. </w:t>
      </w:r>
      <w:r w:rsidRPr="00D2048F">
        <w:rPr>
          <w:i/>
          <w:iCs/>
        </w:rPr>
        <w:t xml:space="preserve">Educación y Desarrollo, 45, </w:t>
      </w:r>
      <w:r w:rsidRPr="00D2048F">
        <w:t xml:space="preserve">5-14. </w:t>
      </w:r>
      <w:hyperlink r:id="rId12" w:history="1">
        <w:r w:rsidR="001032ED" w:rsidRPr="00E92917">
          <w:rPr>
            <w:rStyle w:val="Hipervnculo"/>
          </w:rPr>
          <w:t>https://bit.ly/3BT8lOD</w:t>
        </w:r>
      </w:hyperlink>
    </w:p>
    <w:p w14:paraId="09081059" w14:textId="1F6DB1DC" w:rsidR="001A3A15" w:rsidRDefault="001A3A15" w:rsidP="001032ED">
      <w:pPr>
        <w:pBdr>
          <w:top w:val="nil"/>
          <w:left w:val="nil"/>
          <w:bottom w:val="nil"/>
          <w:right w:val="nil"/>
          <w:between w:val="nil"/>
        </w:pBdr>
        <w:spacing w:line="360" w:lineRule="auto"/>
        <w:ind w:left="720" w:hanging="720"/>
        <w:jc w:val="both"/>
      </w:pPr>
      <w:r w:rsidRPr="00D2048F">
        <w:t xml:space="preserve">Arias, W., Timaná, C., Román, A., Maquera, C., Zúñiga, C. </w:t>
      </w:r>
      <w:r>
        <w:t>&amp;</w:t>
      </w:r>
      <w:r w:rsidRPr="00D2048F">
        <w:t xml:space="preserve"> Díaz, C. (2017). Un Cuestionario de actitudes hacia la Política validado en habitantes de la ciudad de Arequipa, Perú. </w:t>
      </w:r>
      <w:r w:rsidRPr="00D2048F">
        <w:rPr>
          <w:i/>
          <w:iCs/>
        </w:rPr>
        <w:t>Psicología Política</w:t>
      </w:r>
      <w:r w:rsidRPr="00D2048F">
        <w:t xml:space="preserve">, </w:t>
      </w:r>
      <w:r w:rsidRPr="00D2048F">
        <w:rPr>
          <w:i/>
          <w:iCs/>
        </w:rPr>
        <w:t>17</w:t>
      </w:r>
      <w:r w:rsidRPr="00D2048F">
        <w:t xml:space="preserve">(39), 386-398. </w:t>
      </w:r>
      <w:hyperlink r:id="rId13" w:history="1">
        <w:r w:rsidR="001032ED" w:rsidRPr="00E92917">
          <w:rPr>
            <w:rStyle w:val="Hipervnculo"/>
          </w:rPr>
          <w:t>https://bit.ly/3HWyXCk</w:t>
        </w:r>
      </w:hyperlink>
    </w:p>
    <w:p w14:paraId="1567D89D" w14:textId="6A2F47CE" w:rsidR="001A3A15" w:rsidRDefault="001A3A15" w:rsidP="001032ED">
      <w:pPr>
        <w:pStyle w:val="Sinespaciado"/>
        <w:spacing w:line="360" w:lineRule="auto"/>
        <w:ind w:left="720" w:hanging="720"/>
        <w:jc w:val="both"/>
        <w:rPr>
          <w:rFonts w:ascii="Times New Roman" w:eastAsia="Garamond" w:hAnsi="Times New Roman" w:cs="Times New Roman"/>
          <w:sz w:val="24"/>
          <w:szCs w:val="24"/>
        </w:rPr>
      </w:pPr>
      <w:r w:rsidRPr="00CE1572">
        <w:rPr>
          <w:rFonts w:ascii="Times New Roman" w:hAnsi="Times New Roman" w:cs="Times New Roman"/>
          <w:sz w:val="24"/>
          <w:szCs w:val="24"/>
        </w:rPr>
        <w:t xml:space="preserve">Ato, M., López, J. </w:t>
      </w:r>
      <w:r w:rsidRPr="00CE1572">
        <w:rPr>
          <w:rFonts w:ascii="Times New Roman" w:eastAsia="Garamond" w:hAnsi="Times New Roman" w:cs="Times New Roman"/>
          <w:sz w:val="24"/>
          <w:szCs w:val="24"/>
        </w:rPr>
        <w:t>&amp;</w:t>
      </w:r>
      <w:r w:rsidRPr="00CE1572">
        <w:rPr>
          <w:rFonts w:ascii="Times New Roman" w:hAnsi="Times New Roman" w:cs="Times New Roman"/>
          <w:sz w:val="24"/>
          <w:szCs w:val="24"/>
        </w:rPr>
        <w:t xml:space="preserve"> Benavente, A. (2013). </w:t>
      </w:r>
      <w:r w:rsidRPr="00D2048F">
        <w:rPr>
          <w:rFonts w:ascii="Times New Roman" w:hAnsi="Times New Roman" w:cs="Times New Roman"/>
          <w:sz w:val="24"/>
          <w:szCs w:val="24"/>
        </w:rPr>
        <w:t xml:space="preserve">Un sistema de clasificación de los diseños de investigación en psicología. </w:t>
      </w:r>
      <w:r w:rsidRPr="00D2048F">
        <w:rPr>
          <w:rFonts w:ascii="Times New Roman" w:hAnsi="Times New Roman" w:cs="Times New Roman"/>
          <w:i/>
          <w:sz w:val="24"/>
          <w:szCs w:val="24"/>
        </w:rPr>
        <w:t>Anales de Psicología</w:t>
      </w:r>
      <w:r w:rsidRPr="00D2048F">
        <w:rPr>
          <w:rFonts w:ascii="Times New Roman" w:hAnsi="Times New Roman" w:cs="Times New Roman"/>
          <w:sz w:val="24"/>
          <w:szCs w:val="24"/>
        </w:rPr>
        <w:t>,</w:t>
      </w:r>
      <w:r w:rsidRPr="00D2048F">
        <w:rPr>
          <w:rFonts w:ascii="Times New Roman" w:hAnsi="Times New Roman" w:cs="Times New Roman"/>
          <w:i/>
          <w:sz w:val="24"/>
          <w:szCs w:val="24"/>
        </w:rPr>
        <w:t xml:space="preserve"> 29</w:t>
      </w:r>
      <w:r w:rsidRPr="00D2048F">
        <w:rPr>
          <w:rFonts w:ascii="Times New Roman" w:hAnsi="Times New Roman" w:cs="Times New Roman"/>
          <w:sz w:val="24"/>
          <w:szCs w:val="24"/>
        </w:rPr>
        <w:t xml:space="preserve">(3), 1038-1059. </w:t>
      </w:r>
      <w:hyperlink r:id="rId14" w:history="1">
        <w:r w:rsidR="001032ED" w:rsidRPr="00E92917">
          <w:rPr>
            <w:rStyle w:val="Hipervnculo"/>
            <w:rFonts w:ascii="Times New Roman" w:eastAsia="Garamond" w:hAnsi="Times New Roman" w:cs="Times New Roman"/>
            <w:sz w:val="24"/>
            <w:szCs w:val="24"/>
          </w:rPr>
          <w:t>http://dx.doi.org/10.6018/analesps.29.3.178511</w:t>
        </w:r>
      </w:hyperlink>
    </w:p>
    <w:p w14:paraId="4BEDADF1" w14:textId="77777777" w:rsidR="001A3A15" w:rsidRPr="00D2048F"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Barrero, E. (2017). </w:t>
      </w:r>
      <w:r w:rsidRPr="00D2048F">
        <w:rPr>
          <w:rFonts w:ascii="Times New Roman" w:hAnsi="Times New Roman" w:cs="Times New Roman"/>
          <w:i/>
          <w:iCs/>
          <w:sz w:val="24"/>
          <w:szCs w:val="24"/>
        </w:rPr>
        <w:t xml:space="preserve">La psicología como engaño, ¿adaptar o subvertir? </w:t>
      </w:r>
      <w:r w:rsidRPr="00D2048F">
        <w:rPr>
          <w:rFonts w:ascii="Times New Roman" w:hAnsi="Times New Roman" w:cs="Times New Roman"/>
          <w:sz w:val="24"/>
          <w:szCs w:val="24"/>
        </w:rPr>
        <w:t>Cátedra Libre.</w:t>
      </w:r>
    </w:p>
    <w:p w14:paraId="7836C526" w14:textId="4BCB6384"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Barrero, E. (2015). </w:t>
      </w:r>
      <w:r w:rsidRPr="00D2048F">
        <w:rPr>
          <w:rFonts w:ascii="Times New Roman" w:hAnsi="Times New Roman" w:cs="Times New Roman"/>
          <w:i/>
          <w:iCs/>
          <w:sz w:val="24"/>
          <w:szCs w:val="24"/>
        </w:rPr>
        <w:t>Psicología de la liberación. Del discurso encantador a la praxis liberadora.</w:t>
      </w:r>
      <w:r w:rsidRPr="00D2048F">
        <w:rPr>
          <w:rFonts w:ascii="Times New Roman" w:hAnsi="Times New Roman" w:cs="Times New Roman"/>
          <w:sz w:val="24"/>
          <w:szCs w:val="24"/>
        </w:rPr>
        <w:t xml:space="preserve"> Cátedra Libre. </w:t>
      </w:r>
      <w:hyperlink r:id="rId15" w:history="1">
        <w:r w:rsidR="001032ED" w:rsidRPr="00E92917">
          <w:rPr>
            <w:rStyle w:val="Hipervnculo"/>
            <w:rFonts w:ascii="Times New Roman" w:hAnsi="Times New Roman" w:cs="Times New Roman"/>
            <w:sz w:val="24"/>
            <w:szCs w:val="24"/>
          </w:rPr>
          <w:t>https://bit.ly/3QwUmUU</w:t>
        </w:r>
      </w:hyperlink>
    </w:p>
    <w:p w14:paraId="68363166" w14:textId="67296E79" w:rsidR="001A3A15" w:rsidRDefault="001A3A15" w:rsidP="001032ED">
      <w:pPr>
        <w:pStyle w:val="Sinespaciado"/>
        <w:spacing w:line="360" w:lineRule="auto"/>
        <w:ind w:left="720" w:hanging="720"/>
        <w:jc w:val="both"/>
        <w:rPr>
          <w:rFonts w:ascii="Times New Roman" w:eastAsia="Garamond" w:hAnsi="Times New Roman" w:cs="Times New Roman"/>
          <w:sz w:val="24"/>
          <w:szCs w:val="24"/>
        </w:rPr>
      </w:pPr>
      <w:r w:rsidRPr="00D2048F">
        <w:rPr>
          <w:rFonts w:ascii="Times New Roman" w:hAnsi="Times New Roman" w:cs="Times New Roman"/>
          <w:sz w:val="24"/>
          <w:szCs w:val="24"/>
        </w:rPr>
        <w:t xml:space="preserve">Bedolla-Ramírez, B. </w:t>
      </w:r>
      <w:r>
        <w:rPr>
          <w:rFonts w:ascii="Times New Roman" w:hAnsi="Times New Roman" w:cs="Times New Roman"/>
          <w:sz w:val="24"/>
          <w:szCs w:val="24"/>
        </w:rPr>
        <w:t>&amp;</w:t>
      </w:r>
      <w:r w:rsidRPr="00D2048F">
        <w:rPr>
          <w:rFonts w:ascii="Times New Roman" w:hAnsi="Times New Roman" w:cs="Times New Roman"/>
          <w:sz w:val="24"/>
          <w:szCs w:val="24"/>
        </w:rPr>
        <w:t xml:space="preserve"> Reyes-Lagunes, I. (2012). Actitudes hacia la participación política, cívica y social: un modelo psicosocial. </w:t>
      </w:r>
      <w:r w:rsidRPr="00D2048F">
        <w:rPr>
          <w:rFonts w:ascii="Times New Roman" w:hAnsi="Times New Roman" w:cs="Times New Roman"/>
          <w:i/>
          <w:sz w:val="24"/>
          <w:szCs w:val="24"/>
        </w:rPr>
        <w:t>Revista Internacional de Ciencias Sociales y Humanidades</w:t>
      </w:r>
      <w:r w:rsidRPr="00D2048F">
        <w:rPr>
          <w:rFonts w:ascii="Times New Roman" w:hAnsi="Times New Roman" w:cs="Times New Roman"/>
          <w:sz w:val="24"/>
          <w:szCs w:val="24"/>
        </w:rPr>
        <w:t xml:space="preserve">, </w:t>
      </w:r>
      <w:r w:rsidRPr="00D2048F">
        <w:rPr>
          <w:rFonts w:ascii="Times New Roman" w:hAnsi="Times New Roman" w:cs="Times New Roman"/>
          <w:i/>
          <w:sz w:val="24"/>
          <w:szCs w:val="24"/>
        </w:rPr>
        <w:t>12</w:t>
      </w:r>
      <w:r w:rsidRPr="00D2048F">
        <w:rPr>
          <w:rFonts w:ascii="Times New Roman" w:hAnsi="Times New Roman" w:cs="Times New Roman"/>
          <w:sz w:val="24"/>
          <w:szCs w:val="24"/>
        </w:rPr>
        <w:t xml:space="preserve">(1), 33-48. </w:t>
      </w:r>
      <w:hyperlink r:id="rId16" w:history="1">
        <w:r w:rsidR="001032ED" w:rsidRPr="00E92917">
          <w:rPr>
            <w:rStyle w:val="Hipervnculo"/>
            <w:rFonts w:ascii="Times New Roman" w:eastAsia="Garamond" w:hAnsi="Times New Roman" w:cs="Times New Roman"/>
            <w:sz w:val="24"/>
            <w:szCs w:val="24"/>
          </w:rPr>
          <w:t>https://bit.ly/3HYbCQB</w:t>
        </w:r>
      </w:hyperlink>
    </w:p>
    <w:p w14:paraId="0211F3CB" w14:textId="3C2B3E31" w:rsidR="001A3A15" w:rsidRDefault="001A3A15" w:rsidP="001032ED">
      <w:pPr>
        <w:pStyle w:val="Sinespaciado"/>
        <w:spacing w:line="360" w:lineRule="auto"/>
        <w:ind w:left="720" w:hanging="720"/>
        <w:jc w:val="both"/>
        <w:rPr>
          <w:rFonts w:ascii="Times New Roman" w:hAnsi="Times New Roman" w:cs="Times New Roman"/>
          <w:sz w:val="24"/>
          <w:szCs w:val="24"/>
        </w:rPr>
      </w:pPr>
      <w:r w:rsidRPr="009B743D">
        <w:rPr>
          <w:rFonts w:ascii="Times New Roman" w:hAnsi="Times New Roman" w:cs="Times New Roman"/>
          <w:sz w:val="24"/>
          <w:szCs w:val="24"/>
          <w:lang w:val="pt-PT"/>
        </w:rPr>
        <w:t xml:space="preserve">Calderíus-Fernández, M. </w:t>
      </w:r>
      <w:r w:rsidRPr="009B743D">
        <w:rPr>
          <w:rFonts w:ascii="Times New Roman" w:eastAsia="Garamond" w:hAnsi="Times New Roman" w:cs="Times New Roman"/>
          <w:sz w:val="24"/>
          <w:szCs w:val="24"/>
          <w:lang w:val="pt-PT"/>
        </w:rPr>
        <w:t>&amp;</w:t>
      </w:r>
      <w:r w:rsidRPr="009B743D">
        <w:rPr>
          <w:rFonts w:ascii="Times New Roman" w:hAnsi="Times New Roman" w:cs="Times New Roman"/>
          <w:sz w:val="24"/>
          <w:szCs w:val="24"/>
          <w:lang w:val="pt-PT"/>
        </w:rPr>
        <w:t xml:space="preserve"> Martínez-Sánchez, N. (2013). </w:t>
      </w:r>
      <w:r w:rsidRPr="00D2048F">
        <w:rPr>
          <w:rFonts w:ascii="Times New Roman" w:hAnsi="Times New Roman" w:cs="Times New Roman"/>
          <w:sz w:val="24"/>
          <w:szCs w:val="24"/>
        </w:rPr>
        <w:t xml:space="preserve">La Formación de competencias ciudadanas en las universidades cubanas. </w:t>
      </w:r>
      <w:r w:rsidRPr="00D2048F">
        <w:rPr>
          <w:rFonts w:ascii="Times New Roman" w:hAnsi="Times New Roman" w:cs="Times New Roman"/>
          <w:i/>
          <w:iCs/>
          <w:sz w:val="24"/>
          <w:szCs w:val="24"/>
        </w:rPr>
        <w:t>Revista Santiago, 132</w:t>
      </w:r>
      <w:r w:rsidRPr="00D2048F">
        <w:rPr>
          <w:rFonts w:ascii="Times New Roman" w:hAnsi="Times New Roman" w:cs="Times New Roman"/>
          <w:sz w:val="24"/>
          <w:szCs w:val="24"/>
        </w:rPr>
        <w:t xml:space="preserve">, 687-713. </w:t>
      </w:r>
      <w:hyperlink r:id="rId17" w:history="1">
        <w:r w:rsidR="001032ED" w:rsidRPr="00E92917">
          <w:rPr>
            <w:rStyle w:val="Hipervnculo"/>
            <w:rFonts w:ascii="Times New Roman" w:hAnsi="Times New Roman" w:cs="Times New Roman"/>
            <w:sz w:val="24"/>
            <w:szCs w:val="24"/>
          </w:rPr>
          <w:t>https://bit.ly/3VjzVf8</w:t>
        </w:r>
      </w:hyperlink>
    </w:p>
    <w:p w14:paraId="05C26F24" w14:textId="6E4DE1DB"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Carrillo Mardones, O., Jurado de los Santos, P. </w:t>
      </w:r>
      <w:r>
        <w:rPr>
          <w:rFonts w:ascii="Times New Roman" w:eastAsia="Garamond" w:hAnsi="Times New Roman" w:cs="Times New Roman"/>
          <w:sz w:val="24"/>
          <w:szCs w:val="24"/>
        </w:rPr>
        <w:t>&amp;</w:t>
      </w:r>
      <w:r w:rsidRPr="00D2048F">
        <w:rPr>
          <w:rFonts w:ascii="Times New Roman" w:hAnsi="Times New Roman" w:cs="Times New Roman"/>
          <w:sz w:val="24"/>
          <w:szCs w:val="24"/>
        </w:rPr>
        <w:t xml:space="preserve"> Lagos Rebolledo, P. (2018). Las competencias ciudadanas en la formación profesional de las ciudades de Concepción (Chile) y Barcelona (España). </w:t>
      </w:r>
      <w:r w:rsidRPr="00D2048F">
        <w:rPr>
          <w:rFonts w:ascii="Times New Roman" w:hAnsi="Times New Roman" w:cs="Times New Roman"/>
          <w:i/>
          <w:iCs/>
          <w:sz w:val="24"/>
          <w:szCs w:val="24"/>
        </w:rPr>
        <w:t>Revista Española de orientación y psicopedagogía</w:t>
      </w:r>
      <w:r w:rsidRPr="00D2048F">
        <w:rPr>
          <w:rFonts w:ascii="Times New Roman" w:hAnsi="Times New Roman" w:cs="Times New Roman"/>
          <w:sz w:val="24"/>
          <w:szCs w:val="24"/>
        </w:rPr>
        <w:t xml:space="preserve">, </w:t>
      </w:r>
      <w:r w:rsidRPr="00D2048F">
        <w:rPr>
          <w:rFonts w:ascii="Times New Roman" w:hAnsi="Times New Roman" w:cs="Times New Roman"/>
          <w:i/>
          <w:iCs/>
          <w:sz w:val="24"/>
          <w:szCs w:val="24"/>
        </w:rPr>
        <w:t>29</w:t>
      </w:r>
      <w:r w:rsidRPr="00D2048F">
        <w:rPr>
          <w:rFonts w:ascii="Times New Roman" w:hAnsi="Times New Roman" w:cs="Times New Roman"/>
          <w:sz w:val="24"/>
          <w:szCs w:val="24"/>
        </w:rPr>
        <w:t xml:space="preserve">(3), 110–130. </w:t>
      </w:r>
      <w:hyperlink r:id="rId18" w:history="1">
        <w:r w:rsidR="001032ED" w:rsidRPr="00E92917">
          <w:rPr>
            <w:rStyle w:val="Hipervnculo"/>
            <w:rFonts w:ascii="Times New Roman" w:hAnsi="Times New Roman" w:cs="Times New Roman"/>
            <w:sz w:val="24"/>
            <w:szCs w:val="24"/>
          </w:rPr>
          <w:t>https://doi.org/10.5944/reop.vol.29.num.3.2018.23324</w:t>
        </w:r>
      </w:hyperlink>
    </w:p>
    <w:p w14:paraId="0F2E7AFF" w14:textId="4D62514A"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Castro, D. (2012). La psicología como una práctica social comunitaria y su lugar en la construcción colectiva. </w:t>
      </w:r>
      <w:r w:rsidRPr="00D2048F">
        <w:rPr>
          <w:rFonts w:ascii="Times New Roman" w:hAnsi="Times New Roman" w:cs="Times New Roman"/>
          <w:i/>
          <w:iCs/>
          <w:sz w:val="24"/>
          <w:szCs w:val="24"/>
        </w:rPr>
        <w:t>Pensando Psicología</w:t>
      </w:r>
      <w:r w:rsidRPr="00D2048F">
        <w:rPr>
          <w:rFonts w:ascii="Times New Roman" w:hAnsi="Times New Roman" w:cs="Times New Roman"/>
          <w:sz w:val="24"/>
          <w:szCs w:val="24"/>
        </w:rPr>
        <w:t xml:space="preserve">, </w:t>
      </w:r>
      <w:r w:rsidRPr="00D2048F">
        <w:rPr>
          <w:rFonts w:ascii="Times New Roman" w:hAnsi="Times New Roman" w:cs="Times New Roman"/>
          <w:i/>
          <w:iCs/>
          <w:sz w:val="24"/>
          <w:szCs w:val="24"/>
        </w:rPr>
        <w:t>8</w:t>
      </w:r>
      <w:r w:rsidRPr="00D2048F">
        <w:rPr>
          <w:rFonts w:ascii="Times New Roman" w:hAnsi="Times New Roman" w:cs="Times New Roman"/>
          <w:sz w:val="24"/>
          <w:szCs w:val="24"/>
        </w:rPr>
        <w:t xml:space="preserve">(14), 142–152. </w:t>
      </w:r>
      <w:hyperlink r:id="rId19" w:history="1">
        <w:r w:rsidR="001032ED" w:rsidRPr="00E92917">
          <w:rPr>
            <w:rStyle w:val="Hipervnculo"/>
            <w:rFonts w:ascii="Times New Roman" w:hAnsi="Times New Roman" w:cs="Times New Roman"/>
            <w:sz w:val="24"/>
            <w:szCs w:val="24"/>
          </w:rPr>
          <w:t>https://bit.ly/3Ghaw1q</w:t>
        </w:r>
      </w:hyperlink>
    </w:p>
    <w:p w14:paraId="471B1A50" w14:textId="34BD01E3" w:rsidR="001032ED"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lastRenderedPageBreak/>
        <w:t xml:space="preserve">Castro, A. (2004). Las competencias profesionales del psicólogo y las necesidades de perfiles profesionales en los diferentes ámbitos laborales. </w:t>
      </w:r>
      <w:r w:rsidRPr="00D2048F">
        <w:rPr>
          <w:rFonts w:ascii="Times New Roman" w:hAnsi="Times New Roman" w:cs="Times New Roman"/>
          <w:i/>
          <w:iCs/>
          <w:sz w:val="24"/>
          <w:szCs w:val="24"/>
        </w:rPr>
        <w:t>Interdisciplinaria</w:t>
      </w:r>
      <w:r w:rsidRPr="00D2048F">
        <w:rPr>
          <w:rFonts w:ascii="Times New Roman" w:hAnsi="Times New Roman" w:cs="Times New Roman"/>
          <w:sz w:val="24"/>
          <w:szCs w:val="24"/>
        </w:rPr>
        <w:t xml:space="preserve">, </w:t>
      </w:r>
      <w:r w:rsidRPr="00D2048F">
        <w:rPr>
          <w:rFonts w:ascii="Times New Roman" w:hAnsi="Times New Roman" w:cs="Times New Roman"/>
          <w:i/>
          <w:iCs/>
          <w:sz w:val="24"/>
          <w:szCs w:val="24"/>
        </w:rPr>
        <w:t>21</w:t>
      </w:r>
      <w:r w:rsidRPr="00D2048F">
        <w:rPr>
          <w:rFonts w:ascii="Times New Roman" w:hAnsi="Times New Roman" w:cs="Times New Roman"/>
          <w:sz w:val="24"/>
          <w:szCs w:val="24"/>
        </w:rPr>
        <w:t xml:space="preserve">(2), 117-152. </w:t>
      </w:r>
      <w:hyperlink r:id="rId20" w:history="1">
        <w:r w:rsidR="001032ED" w:rsidRPr="00E92917">
          <w:rPr>
            <w:rStyle w:val="Hipervnculo"/>
            <w:rFonts w:ascii="Times New Roman" w:hAnsi="Times New Roman" w:cs="Times New Roman"/>
            <w:sz w:val="24"/>
            <w:szCs w:val="24"/>
          </w:rPr>
          <w:t>https://bit.ly/3CINw9k</w:t>
        </w:r>
      </w:hyperlink>
    </w:p>
    <w:p w14:paraId="4BBC272A" w14:textId="5E57CB01"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Castro-Tejerina, J. (2016). Psicología y ciudadanía: el gobierno psicológico de la subjetividad en el mundo latino. </w:t>
      </w:r>
      <w:r w:rsidRPr="00D2048F">
        <w:rPr>
          <w:rFonts w:ascii="Times New Roman" w:hAnsi="Times New Roman" w:cs="Times New Roman"/>
          <w:i/>
          <w:iCs/>
          <w:sz w:val="24"/>
          <w:szCs w:val="24"/>
        </w:rPr>
        <w:t xml:space="preserve">Revista Historia de la Psicología, 37, </w:t>
      </w:r>
      <w:r w:rsidRPr="00D2048F">
        <w:rPr>
          <w:rFonts w:ascii="Times New Roman" w:hAnsi="Times New Roman" w:cs="Times New Roman"/>
          <w:sz w:val="24"/>
          <w:szCs w:val="24"/>
        </w:rPr>
        <w:t xml:space="preserve">3-7. </w:t>
      </w:r>
      <w:hyperlink r:id="rId21" w:history="1">
        <w:r w:rsidR="001032ED" w:rsidRPr="00E92917">
          <w:rPr>
            <w:rStyle w:val="Hipervnculo"/>
            <w:rFonts w:ascii="Times New Roman" w:hAnsi="Times New Roman" w:cs="Times New Roman"/>
            <w:sz w:val="24"/>
            <w:szCs w:val="24"/>
          </w:rPr>
          <w:t>https://bit.ly/3Vn4pfY</w:t>
        </w:r>
      </w:hyperlink>
    </w:p>
    <w:p w14:paraId="0C375A54" w14:textId="77777777" w:rsidR="001A3A15" w:rsidRPr="00D2048F"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Cortina, A. (1999). </w:t>
      </w:r>
      <w:r w:rsidRPr="00D2048F">
        <w:rPr>
          <w:rFonts w:ascii="Times New Roman" w:hAnsi="Times New Roman" w:cs="Times New Roman"/>
          <w:i/>
          <w:iCs/>
          <w:sz w:val="24"/>
          <w:szCs w:val="24"/>
        </w:rPr>
        <w:t>Ciudadanos del mundo: hacia una teoría de la ciudadanía</w:t>
      </w:r>
      <w:r w:rsidRPr="00D2048F">
        <w:rPr>
          <w:rFonts w:ascii="Times New Roman" w:hAnsi="Times New Roman" w:cs="Times New Roman"/>
          <w:sz w:val="24"/>
          <w:szCs w:val="24"/>
        </w:rPr>
        <w:t xml:space="preserve">. Alianza. </w:t>
      </w:r>
    </w:p>
    <w:p w14:paraId="669D6364" w14:textId="60385A53" w:rsidR="001032ED"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Cuéllar, L. (2015). Hablar de ciudadanía desde la psicología. </w:t>
      </w:r>
      <w:r w:rsidRPr="00D2048F">
        <w:rPr>
          <w:rFonts w:ascii="Times New Roman" w:hAnsi="Times New Roman" w:cs="Times New Roman"/>
          <w:i/>
          <w:iCs/>
          <w:sz w:val="24"/>
          <w:szCs w:val="24"/>
        </w:rPr>
        <w:t xml:space="preserve">Revista Contextos, </w:t>
      </w:r>
      <w:r w:rsidRPr="00D2048F">
        <w:rPr>
          <w:rFonts w:ascii="Times New Roman" w:hAnsi="Times New Roman" w:cs="Times New Roman"/>
          <w:sz w:val="24"/>
          <w:szCs w:val="24"/>
        </w:rPr>
        <w:t xml:space="preserve">13, 2-10. </w:t>
      </w:r>
      <w:hyperlink r:id="rId22" w:history="1">
        <w:r w:rsidR="001032ED" w:rsidRPr="00E92917">
          <w:rPr>
            <w:rStyle w:val="Hipervnculo"/>
            <w:rFonts w:ascii="Times New Roman" w:hAnsi="Times New Roman" w:cs="Times New Roman"/>
            <w:sz w:val="24"/>
            <w:szCs w:val="24"/>
          </w:rPr>
          <w:t>https://bit.ly/3FQDeVp</w:t>
        </w:r>
      </w:hyperlink>
    </w:p>
    <w:p w14:paraId="4F95EBA4" w14:textId="7DB5BFDF"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Disi, R. </w:t>
      </w:r>
      <w:r>
        <w:rPr>
          <w:rFonts w:ascii="Times New Roman" w:eastAsia="Garamond" w:hAnsi="Times New Roman" w:cs="Times New Roman"/>
          <w:sz w:val="24"/>
          <w:szCs w:val="24"/>
        </w:rPr>
        <w:t>&amp;</w:t>
      </w:r>
      <w:r w:rsidRPr="00D2048F">
        <w:rPr>
          <w:rFonts w:ascii="Times New Roman" w:hAnsi="Times New Roman" w:cs="Times New Roman"/>
          <w:sz w:val="24"/>
          <w:szCs w:val="24"/>
        </w:rPr>
        <w:t xml:space="preserve"> Mardones, R. (2019). Chile 2010: la desafección política y su impacto en la participación política convencional y no convencional. </w:t>
      </w:r>
      <w:r w:rsidRPr="00D2048F">
        <w:rPr>
          <w:rFonts w:ascii="Times New Roman" w:hAnsi="Times New Roman" w:cs="Times New Roman"/>
          <w:i/>
          <w:iCs/>
          <w:sz w:val="24"/>
          <w:szCs w:val="24"/>
        </w:rPr>
        <w:t>CLAD, Reforma y Democracia</w:t>
      </w:r>
      <w:r w:rsidRPr="00D2048F">
        <w:rPr>
          <w:rFonts w:ascii="Times New Roman" w:hAnsi="Times New Roman" w:cs="Times New Roman"/>
          <w:sz w:val="24"/>
          <w:szCs w:val="24"/>
        </w:rPr>
        <w:t xml:space="preserve"> (73), 189-226. </w:t>
      </w:r>
      <w:hyperlink r:id="rId23" w:history="1">
        <w:r w:rsidR="001032ED" w:rsidRPr="00E92917">
          <w:rPr>
            <w:rStyle w:val="Hipervnculo"/>
            <w:rFonts w:ascii="Times New Roman" w:hAnsi="Times New Roman" w:cs="Times New Roman"/>
            <w:sz w:val="24"/>
            <w:szCs w:val="24"/>
          </w:rPr>
          <w:t>https://bit.ly/3PMgw5f</w:t>
        </w:r>
      </w:hyperlink>
    </w:p>
    <w:p w14:paraId="457DE2D2" w14:textId="176B6C0D"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Eliécer, J. (2008). Participación política juvenil como políticas del acontecimiento. </w:t>
      </w:r>
      <w:r w:rsidRPr="00D2048F">
        <w:rPr>
          <w:rFonts w:ascii="Times New Roman" w:hAnsi="Times New Roman" w:cs="Times New Roman"/>
          <w:i/>
          <w:sz w:val="24"/>
          <w:szCs w:val="24"/>
        </w:rPr>
        <w:t>Revista Argentina de Sociología,</w:t>
      </w:r>
      <w:r w:rsidRPr="00D2048F">
        <w:rPr>
          <w:rFonts w:ascii="Times New Roman" w:hAnsi="Times New Roman" w:cs="Times New Roman"/>
          <w:sz w:val="24"/>
          <w:szCs w:val="24"/>
        </w:rPr>
        <w:t xml:space="preserve"> </w:t>
      </w:r>
      <w:r w:rsidRPr="00D2048F">
        <w:rPr>
          <w:rFonts w:ascii="Times New Roman" w:hAnsi="Times New Roman" w:cs="Times New Roman"/>
          <w:i/>
          <w:sz w:val="24"/>
          <w:szCs w:val="24"/>
        </w:rPr>
        <w:t>6</w:t>
      </w:r>
      <w:r w:rsidRPr="00D2048F">
        <w:rPr>
          <w:rFonts w:ascii="Times New Roman" w:hAnsi="Times New Roman" w:cs="Times New Roman"/>
          <w:sz w:val="24"/>
          <w:szCs w:val="24"/>
        </w:rPr>
        <w:t xml:space="preserve">(11), 148-168. </w:t>
      </w:r>
      <w:hyperlink r:id="rId24" w:history="1">
        <w:r w:rsidR="001032ED" w:rsidRPr="00E92917">
          <w:rPr>
            <w:rStyle w:val="Hipervnculo"/>
            <w:rFonts w:ascii="Times New Roman" w:hAnsi="Times New Roman" w:cs="Times New Roman"/>
            <w:sz w:val="24"/>
            <w:szCs w:val="24"/>
          </w:rPr>
          <w:t>https://bit.ly/3BXbwou</w:t>
        </w:r>
      </w:hyperlink>
    </w:p>
    <w:p w14:paraId="09736FE1" w14:textId="528327F5"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Fraser, N. </w:t>
      </w:r>
      <w:r>
        <w:rPr>
          <w:rFonts w:ascii="Times New Roman" w:eastAsia="Garamond" w:hAnsi="Times New Roman" w:cs="Times New Roman"/>
          <w:sz w:val="24"/>
          <w:szCs w:val="24"/>
        </w:rPr>
        <w:t>&amp;</w:t>
      </w:r>
      <w:r w:rsidRPr="00D2048F">
        <w:rPr>
          <w:rFonts w:ascii="Times New Roman" w:hAnsi="Times New Roman" w:cs="Times New Roman"/>
          <w:sz w:val="24"/>
          <w:szCs w:val="24"/>
        </w:rPr>
        <w:t xml:space="preserve"> Gordon, L. (1992). Contrato versus caridad: una reconsideración de la relación entre ciudadanía civil y ciudadanía social. </w:t>
      </w:r>
      <w:r w:rsidRPr="00D2048F">
        <w:rPr>
          <w:rStyle w:val="nfasis"/>
          <w:rFonts w:ascii="Times New Roman" w:hAnsi="Times New Roman" w:cs="Times New Roman"/>
          <w:sz w:val="24"/>
          <w:szCs w:val="24"/>
        </w:rPr>
        <w:t>Isegoría</w:t>
      </w:r>
      <w:r w:rsidRPr="00D2048F">
        <w:rPr>
          <w:rFonts w:ascii="Times New Roman" w:hAnsi="Times New Roman" w:cs="Times New Roman"/>
          <w:sz w:val="24"/>
          <w:szCs w:val="24"/>
        </w:rPr>
        <w:t xml:space="preserve"> (6), 65-82. </w:t>
      </w:r>
      <w:hyperlink r:id="rId25" w:history="1">
        <w:r w:rsidR="001032ED" w:rsidRPr="00E92917">
          <w:rPr>
            <w:rStyle w:val="Hipervnculo"/>
            <w:rFonts w:ascii="Times New Roman" w:hAnsi="Times New Roman" w:cs="Times New Roman"/>
            <w:sz w:val="24"/>
            <w:szCs w:val="24"/>
          </w:rPr>
          <w:t>https://dx.doi.org/10.3989/isegoria.1992.i6.324</w:t>
        </w:r>
      </w:hyperlink>
    </w:p>
    <w:p w14:paraId="2C97B932" w14:textId="2C4471C0" w:rsidR="001A3A15" w:rsidRDefault="001A3A15" w:rsidP="001032ED">
      <w:pPr>
        <w:pStyle w:val="Sinespaciado"/>
        <w:spacing w:line="360" w:lineRule="auto"/>
        <w:ind w:left="720" w:hanging="720"/>
        <w:jc w:val="both"/>
        <w:rPr>
          <w:rFonts w:ascii="Times New Roman" w:hAnsi="Times New Roman" w:cs="Times New Roman"/>
          <w:sz w:val="24"/>
          <w:szCs w:val="24"/>
          <w:lang w:val="en-US"/>
        </w:rPr>
      </w:pPr>
      <w:r w:rsidRPr="009B743D">
        <w:rPr>
          <w:rFonts w:ascii="Times New Roman" w:hAnsi="Times New Roman" w:cs="Times New Roman"/>
          <w:sz w:val="24"/>
          <w:szCs w:val="24"/>
        </w:rPr>
        <w:t xml:space="preserve">Goyenechea, E. (2022). La categoría de performance en Hannah Arendt. </w:t>
      </w:r>
      <w:r w:rsidRPr="00CE1572">
        <w:rPr>
          <w:rFonts w:ascii="Times New Roman" w:hAnsi="Times New Roman" w:cs="Times New Roman"/>
          <w:i/>
          <w:iCs/>
          <w:sz w:val="24"/>
          <w:szCs w:val="24"/>
          <w:lang w:val="en-US"/>
        </w:rPr>
        <w:t>International Humanities Review, 11</w:t>
      </w:r>
      <w:r w:rsidRPr="00CE1572">
        <w:rPr>
          <w:rFonts w:ascii="Times New Roman" w:hAnsi="Times New Roman" w:cs="Times New Roman"/>
          <w:sz w:val="24"/>
          <w:szCs w:val="24"/>
          <w:lang w:val="en-US"/>
        </w:rPr>
        <w:t xml:space="preserve">(2), 1-18. </w:t>
      </w:r>
      <w:hyperlink r:id="rId26" w:history="1">
        <w:r w:rsidR="001032ED" w:rsidRPr="00E92917">
          <w:rPr>
            <w:rStyle w:val="Hipervnculo"/>
            <w:rFonts w:ascii="Times New Roman" w:hAnsi="Times New Roman" w:cs="Times New Roman"/>
            <w:sz w:val="24"/>
            <w:szCs w:val="24"/>
            <w:lang w:val="en-US"/>
          </w:rPr>
          <w:t>https://doi.org/10.37467/gkarevhuman.v11.3179</w:t>
        </w:r>
      </w:hyperlink>
    </w:p>
    <w:p w14:paraId="53A87E51" w14:textId="77777777" w:rsidR="001A3A15" w:rsidRPr="00D2048F" w:rsidRDefault="001A3A15" w:rsidP="001032ED">
      <w:pPr>
        <w:pBdr>
          <w:top w:val="nil"/>
          <w:left w:val="nil"/>
          <w:bottom w:val="nil"/>
          <w:right w:val="nil"/>
          <w:between w:val="nil"/>
        </w:pBdr>
        <w:spacing w:line="360" w:lineRule="auto"/>
        <w:ind w:left="720" w:hanging="720"/>
        <w:jc w:val="both"/>
        <w:rPr>
          <w:rFonts w:eastAsia="Garamond"/>
        </w:rPr>
      </w:pPr>
      <w:r w:rsidRPr="00CE1572">
        <w:rPr>
          <w:lang w:val="en-US"/>
        </w:rPr>
        <w:t xml:space="preserve">Ibáñez, T. (2004). </w:t>
      </w:r>
      <w:r w:rsidRPr="009B743D">
        <w:t>El cómo y el porqué de la psicología social. En T. Ibáñez (Coord.),</w:t>
      </w:r>
      <w:r w:rsidRPr="00D2048F">
        <w:t xml:space="preserve"> </w:t>
      </w:r>
      <w:r w:rsidRPr="00D2048F">
        <w:rPr>
          <w:i/>
          <w:iCs/>
        </w:rPr>
        <w:t xml:space="preserve">Introducción a la psicología social </w:t>
      </w:r>
      <w:r w:rsidRPr="00D2048F">
        <w:t>(pp.53-91). Editorial UOC.</w:t>
      </w:r>
    </w:p>
    <w:p w14:paraId="0202CA63" w14:textId="52E0CB0A" w:rsidR="001A3A15" w:rsidRPr="006F676F" w:rsidRDefault="001A3A15" w:rsidP="001032ED">
      <w:pPr>
        <w:pBdr>
          <w:top w:val="nil"/>
          <w:left w:val="nil"/>
          <w:bottom w:val="nil"/>
          <w:right w:val="nil"/>
          <w:between w:val="nil"/>
        </w:pBdr>
        <w:spacing w:line="360" w:lineRule="auto"/>
        <w:ind w:left="720" w:hanging="720"/>
        <w:jc w:val="both"/>
        <w:rPr>
          <w:lang w:val="es-CL"/>
        </w:rPr>
      </w:pPr>
      <w:r w:rsidRPr="00D2048F">
        <w:t>Iñiguez-Rueda, L</w:t>
      </w:r>
      <w:r>
        <w:t>.</w:t>
      </w:r>
      <w:r w:rsidRPr="00D2048F">
        <w:t xml:space="preserve"> (2003). La psicología social como crítica: continuismo, estabilidad y efervescencias tres décadas después de la “crisis”.</w:t>
      </w:r>
      <w:r w:rsidRPr="00D2048F">
        <w:rPr>
          <w:b/>
          <w:bCs/>
          <w:i/>
          <w:iCs/>
        </w:rPr>
        <w:t xml:space="preserve"> </w:t>
      </w:r>
      <w:r w:rsidRPr="00D2048F">
        <w:rPr>
          <w:i/>
          <w:iCs/>
        </w:rPr>
        <w:t>Revista Interamericana de Psicología, 37</w:t>
      </w:r>
      <w:r w:rsidRPr="00D2048F">
        <w:t xml:space="preserve">(2), 221-238. </w:t>
      </w:r>
      <w:hyperlink r:id="rId27" w:history="1">
        <w:r w:rsidR="001032ED" w:rsidRPr="006F676F">
          <w:rPr>
            <w:rStyle w:val="Hipervnculo"/>
            <w:lang w:val="es-CL"/>
          </w:rPr>
          <w:t>https://journal.sipsych.org/index.php/IJP/article/view/822/714</w:t>
        </w:r>
      </w:hyperlink>
    </w:p>
    <w:p w14:paraId="172DF064" w14:textId="7B2E0880" w:rsidR="001032ED" w:rsidRDefault="001A3A15" w:rsidP="001032ED">
      <w:pPr>
        <w:pStyle w:val="Sinespaciado"/>
        <w:spacing w:line="360" w:lineRule="auto"/>
        <w:ind w:left="720" w:hanging="720"/>
        <w:jc w:val="both"/>
        <w:rPr>
          <w:rFonts w:ascii="Times New Roman" w:eastAsiaTheme="minorHAnsi" w:hAnsi="Times New Roman" w:cs="Times New Roman"/>
          <w:sz w:val="24"/>
          <w:szCs w:val="24"/>
        </w:rPr>
      </w:pPr>
      <w:r w:rsidRPr="006F676F">
        <w:rPr>
          <w:rFonts w:ascii="Times New Roman" w:eastAsiaTheme="minorHAnsi" w:hAnsi="Times New Roman" w:cs="Times New Roman"/>
          <w:sz w:val="24"/>
          <w:szCs w:val="24"/>
        </w:rPr>
        <w:t xml:space="preserve">Jara, C., Sánchez, M. </w:t>
      </w:r>
      <w:r w:rsidRPr="006F676F">
        <w:rPr>
          <w:rFonts w:ascii="Times New Roman" w:eastAsia="Garamond" w:hAnsi="Times New Roman" w:cs="Times New Roman"/>
          <w:sz w:val="24"/>
          <w:szCs w:val="24"/>
        </w:rPr>
        <w:t>&amp;</w:t>
      </w:r>
      <w:r w:rsidRPr="006F676F">
        <w:rPr>
          <w:rFonts w:ascii="Times New Roman" w:eastAsiaTheme="minorHAnsi" w:hAnsi="Times New Roman" w:cs="Times New Roman"/>
          <w:sz w:val="24"/>
          <w:szCs w:val="24"/>
        </w:rPr>
        <w:t xml:space="preserve"> Cox, C. (2019). </w:t>
      </w:r>
      <w:r w:rsidRPr="00D2048F">
        <w:rPr>
          <w:rFonts w:ascii="Times New Roman" w:eastAsiaTheme="minorHAnsi" w:hAnsi="Times New Roman" w:cs="Times New Roman"/>
          <w:i/>
          <w:iCs/>
          <w:sz w:val="24"/>
          <w:szCs w:val="24"/>
        </w:rPr>
        <w:t>Liderazgo educativo y el desarrollo de competencias ciudadanas en</w:t>
      </w:r>
      <w:r w:rsidRPr="00D2048F">
        <w:rPr>
          <w:rFonts w:ascii="Times New Roman" w:eastAsiaTheme="minorHAnsi" w:hAnsi="Times New Roman" w:cs="Times New Roman"/>
          <w:sz w:val="24"/>
          <w:szCs w:val="24"/>
        </w:rPr>
        <w:t xml:space="preserve"> </w:t>
      </w:r>
      <w:r w:rsidRPr="00D2048F">
        <w:rPr>
          <w:rFonts w:ascii="Times New Roman" w:eastAsiaTheme="minorHAnsi" w:hAnsi="Times New Roman" w:cs="Times New Roman"/>
          <w:i/>
          <w:iCs/>
          <w:sz w:val="24"/>
          <w:szCs w:val="24"/>
        </w:rPr>
        <w:t>el contexto escolar</w:t>
      </w:r>
      <w:r w:rsidRPr="00D2048F">
        <w:rPr>
          <w:rFonts w:ascii="Times New Roman" w:eastAsiaTheme="minorHAnsi" w:hAnsi="Times New Roman" w:cs="Times New Roman"/>
          <w:sz w:val="24"/>
          <w:szCs w:val="24"/>
        </w:rPr>
        <w:t xml:space="preserve">. Centro de liderazgo educativo UDP. </w:t>
      </w:r>
      <w:hyperlink r:id="rId28" w:history="1">
        <w:r w:rsidR="001032ED" w:rsidRPr="00E92917">
          <w:rPr>
            <w:rStyle w:val="Hipervnculo"/>
            <w:rFonts w:ascii="Times New Roman" w:eastAsiaTheme="minorHAnsi" w:hAnsi="Times New Roman" w:cs="Times New Roman"/>
            <w:sz w:val="24"/>
            <w:szCs w:val="24"/>
          </w:rPr>
          <w:t>https://bit.ly/3YJPCPu</w:t>
        </w:r>
      </w:hyperlink>
    </w:p>
    <w:p w14:paraId="64065CE1" w14:textId="1A9C6458"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Juliá, M. T. (2006). Competencias profesionales del psicólogo educacional: una tarea asociativa. </w:t>
      </w:r>
      <w:r w:rsidRPr="00D2048F">
        <w:rPr>
          <w:rFonts w:ascii="Times New Roman" w:hAnsi="Times New Roman" w:cs="Times New Roman"/>
          <w:i/>
          <w:iCs/>
          <w:sz w:val="24"/>
          <w:szCs w:val="24"/>
        </w:rPr>
        <w:t>Revista De Psicología</w:t>
      </w:r>
      <w:r w:rsidRPr="00D2048F">
        <w:rPr>
          <w:rFonts w:ascii="Times New Roman" w:hAnsi="Times New Roman" w:cs="Times New Roman"/>
          <w:sz w:val="24"/>
          <w:szCs w:val="24"/>
        </w:rPr>
        <w:t xml:space="preserve">, </w:t>
      </w:r>
      <w:r w:rsidRPr="00D2048F">
        <w:rPr>
          <w:rFonts w:ascii="Times New Roman" w:hAnsi="Times New Roman" w:cs="Times New Roman"/>
          <w:i/>
          <w:iCs/>
          <w:sz w:val="24"/>
          <w:szCs w:val="24"/>
        </w:rPr>
        <w:t>15</w:t>
      </w:r>
      <w:r w:rsidRPr="00D2048F">
        <w:rPr>
          <w:rFonts w:ascii="Times New Roman" w:hAnsi="Times New Roman" w:cs="Times New Roman"/>
          <w:sz w:val="24"/>
          <w:szCs w:val="24"/>
        </w:rPr>
        <w:t xml:space="preserve">(2), 115–130. </w:t>
      </w:r>
      <w:hyperlink r:id="rId29" w:history="1">
        <w:r w:rsidR="001032ED" w:rsidRPr="00E92917">
          <w:rPr>
            <w:rStyle w:val="Hipervnculo"/>
            <w:rFonts w:ascii="Times New Roman" w:hAnsi="Times New Roman" w:cs="Times New Roman"/>
            <w:sz w:val="24"/>
            <w:szCs w:val="24"/>
          </w:rPr>
          <w:t>https://doi.org/10.5354/0719-0581.2006.18417</w:t>
        </w:r>
      </w:hyperlink>
    </w:p>
    <w:p w14:paraId="63260631" w14:textId="7DAEC327" w:rsidR="001A3A15" w:rsidRDefault="001A3A15" w:rsidP="001032ED">
      <w:pPr>
        <w:pBdr>
          <w:top w:val="nil"/>
          <w:left w:val="nil"/>
          <w:bottom w:val="nil"/>
          <w:right w:val="nil"/>
          <w:between w:val="nil"/>
        </w:pBdr>
        <w:spacing w:line="360" w:lineRule="auto"/>
        <w:ind w:left="720" w:hanging="720"/>
        <w:jc w:val="both"/>
        <w:rPr>
          <w:rFonts w:eastAsia="Garamond"/>
        </w:rPr>
      </w:pPr>
      <w:r w:rsidRPr="00D2048F">
        <w:rPr>
          <w:rFonts w:eastAsia="Garamond"/>
        </w:rPr>
        <w:t>Martín-Baró, I. (2006). Hacia una psicología de la liberación. Psicología Sin Fronteras.</w:t>
      </w:r>
      <w:r w:rsidRPr="00D2048F">
        <w:rPr>
          <w:rFonts w:eastAsia="Garamond"/>
          <w:i/>
          <w:iCs/>
        </w:rPr>
        <w:t xml:space="preserve"> Revista Electrónica de Intervención psicosocial y Psicología comunitaria</w:t>
      </w:r>
      <w:r w:rsidRPr="00D2048F">
        <w:rPr>
          <w:rFonts w:eastAsia="Garamond"/>
        </w:rPr>
        <w:t xml:space="preserve">, </w:t>
      </w:r>
      <w:r w:rsidRPr="00D2048F">
        <w:rPr>
          <w:rFonts w:eastAsia="Garamond"/>
          <w:i/>
          <w:iCs/>
        </w:rPr>
        <w:t>1</w:t>
      </w:r>
      <w:r w:rsidRPr="00D2048F">
        <w:rPr>
          <w:rFonts w:eastAsia="Garamond"/>
        </w:rPr>
        <w:t xml:space="preserve">(2), 7-14. </w:t>
      </w:r>
      <w:hyperlink r:id="rId30" w:history="1">
        <w:r w:rsidR="001032ED" w:rsidRPr="00E92917">
          <w:rPr>
            <w:rStyle w:val="Hipervnculo"/>
            <w:rFonts w:eastAsia="Garamond"/>
          </w:rPr>
          <w:t>https://bit.ly/3GbnH3H</w:t>
        </w:r>
      </w:hyperlink>
    </w:p>
    <w:p w14:paraId="44C87991" w14:textId="31825312" w:rsidR="001A3A15" w:rsidRDefault="001A3A15" w:rsidP="001032ED">
      <w:pPr>
        <w:pBdr>
          <w:top w:val="nil"/>
          <w:left w:val="nil"/>
          <w:bottom w:val="nil"/>
          <w:right w:val="nil"/>
          <w:between w:val="nil"/>
        </w:pBdr>
        <w:spacing w:line="360" w:lineRule="auto"/>
        <w:ind w:left="720" w:hanging="720"/>
        <w:jc w:val="both"/>
      </w:pPr>
      <w:proofErr w:type="spellStart"/>
      <w:r w:rsidRPr="00D2048F">
        <w:lastRenderedPageBreak/>
        <w:t>Martuccelli</w:t>
      </w:r>
      <w:proofErr w:type="spellEnd"/>
      <w:r w:rsidRPr="00D2048F">
        <w:t xml:space="preserve">, D. (2018). Variantes del individualismo. </w:t>
      </w:r>
      <w:r w:rsidRPr="00D2048F">
        <w:rPr>
          <w:i/>
          <w:iCs/>
        </w:rPr>
        <w:t>Estudios sociológicos de El Colegio de México</w:t>
      </w:r>
      <w:r w:rsidRPr="00D2048F">
        <w:t xml:space="preserve">, </w:t>
      </w:r>
      <w:r w:rsidRPr="00D2048F">
        <w:rPr>
          <w:i/>
          <w:iCs/>
        </w:rPr>
        <w:t>37</w:t>
      </w:r>
      <w:r w:rsidRPr="00D2048F">
        <w:t xml:space="preserve">(109), 7–37. </w:t>
      </w:r>
      <w:hyperlink r:id="rId31" w:history="1">
        <w:r w:rsidR="001032ED" w:rsidRPr="00E92917">
          <w:rPr>
            <w:rStyle w:val="Hipervnculo"/>
          </w:rPr>
          <w:t>https://doi.org/10.24201/es.2019v37n109.1732</w:t>
        </w:r>
      </w:hyperlink>
    </w:p>
    <w:p w14:paraId="59EC7B81" w14:textId="339CDE63" w:rsidR="001A3A15" w:rsidRDefault="001A3A15" w:rsidP="001032ED">
      <w:pPr>
        <w:pBdr>
          <w:top w:val="nil"/>
          <w:left w:val="nil"/>
          <w:bottom w:val="nil"/>
          <w:right w:val="nil"/>
          <w:between w:val="nil"/>
        </w:pBdr>
        <w:spacing w:line="360" w:lineRule="auto"/>
        <w:ind w:left="720" w:hanging="720"/>
        <w:jc w:val="both"/>
      </w:pPr>
      <w:r w:rsidRPr="00D2048F">
        <w:rPr>
          <w:rStyle w:val="highlight"/>
        </w:rPr>
        <w:t xml:space="preserve">Montaña Contreras, D. S. </w:t>
      </w:r>
      <w:r>
        <w:rPr>
          <w:rStyle w:val="highlight"/>
        </w:rPr>
        <w:t xml:space="preserve">&amp; </w:t>
      </w:r>
      <w:r w:rsidRPr="00D2048F">
        <w:rPr>
          <w:rStyle w:val="highlight"/>
        </w:rPr>
        <w:t xml:space="preserve">López Guio, A. (2021). Competencias ciudadanas y sus políticas educativas en Hispanoamérica y Colombia. </w:t>
      </w:r>
      <w:r w:rsidRPr="00D2048F">
        <w:rPr>
          <w:i/>
          <w:iCs/>
        </w:rPr>
        <w:t xml:space="preserve">Revista </w:t>
      </w:r>
      <w:proofErr w:type="spellStart"/>
      <w:r w:rsidRPr="00D2048F">
        <w:rPr>
          <w:i/>
          <w:iCs/>
        </w:rPr>
        <w:t>Habitus</w:t>
      </w:r>
      <w:proofErr w:type="spellEnd"/>
      <w:r w:rsidRPr="00D2048F">
        <w:rPr>
          <w:i/>
          <w:iCs/>
        </w:rPr>
        <w:t>: Semilleros de investigación, 1</w:t>
      </w:r>
      <w:r w:rsidRPr="00D2048F">
        <w:t xml:space="preserve">(1). </w:t>
      </w:r>
      <w:hyperlink r:id="rId32" w:history="1">
        <w:r w:rsidR="001032ED" w:rsidRPr="00E92917">
          <w:rPr>
            <w:rStyle w:val="Hipervnculo"/>
          </w:rPr>
          <w:t>https://doi.org/10.19053/22158391.13316</w:t>
        </w:r>
      </w:hyperlink>
    </w:p>
    <w:p w14:paraId="604AD6CF" w14:textId="4170448E"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Style w:val="highlight"/>
          <w:rFonts w:ascii="Times New Roman" w:hAnsi="Times New Roman" w:cs="Times New Roman"/>
          <w:sz w:val="24"/>
          <w:szCs w:val="24"/>
        </w:rPr>
        <w:t>Montero</w:t>
      </w:r>
      <w:r w:rsidRPr="00D2048F">
        <w:rPr>
          <w:rFonts w:ascii="Times New Roman" w:hAnsi="Times New Roman" w:cs="Times New Roman"/>
          <w:sz w:val="24"/>
          <w:szCs w:val="24"/>
        </w:rPr>
        <w:t xml:space="preserve">, M. (2009). ¿Para qué sirve la Psicología política? </w:t>
      </w:r>
      <w:r w:rsidRPr="00D2048F">
        <w:rPr>
          <w:rFonts w:ascii="Times New Roman" w:hAnsi="Times New Roman" w:cs="Times New Roman"/>
          <w:i/>
          <w:iCs/>
          <w:sz w:val="24"/>
          <w:szCs w:val="24"/>
        </w:rPr>
        <w:t>Revista de Psicología Política</w:t>
      </w:r>
      <w:r w:rsidRPr="00D2048F">
        <w:rPr>
          <w:rFonts w:ascii="Times New Roman" w:hAnsi="Times New Roman" w:cs="Times New Roman"/>
          <w:sz w:val="24"/>
          <w:szCs w:val="24"/>
        </w:rPr>
        <w:t xml:space="preserve">, </w:t>
      </w:r>
      <w:r w:rsidRPr="00D2048F">
        <w:rPr>
          <w:rFonts w:ascii="Times New Roman" w:hAnsi="Times New Roman" w:cs="Times New Roman"/>
          <w:i/>
          <w:iCs/>
          <w:sz w:val="24"/>
          <w:szCs w:val="24"/>
        </w:rPr>
        <w:t>9</w:t>
      </w:r>
      <w:r w:rsidRPr="00D2048F">
        <w:rPr>
          <w:rFonts w:ascii="Times New Roman" w:hAnsi="Times New Roman" w:cs="Times New Roman"/>
          <w:sz w:val="24"/>
          <w:szCs w:val="24"/>
        </w:rPr>
        <w:t xml:space="preserve">(18), 199-213. </w:t>
      </w:r>
      <w:hyperlink r:id="rId33" w:history="1">
        <w:r w:rsidR="001032ED" w:rsidRPr="00E92917">
          <w:rPr>
            <w:rStyle w:val="Hipervnculo"/>
            <w:rFonts w:ascii="Times New Roman" w:hAnsi="Times New Roman" w:cs="Times New Roman"/>
            <w:sz w:val="24"/>
            <w:szCs w:val="24"/>
          </w:rPr>
          <w:t>https://bit.ly/3PLo3kV</w:t>
        </w:r>
      </w:hyperlink>
    </w:p>
    <w:p w14:paraId="321F9FF6" w14:textId="5DD48D88"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Morales, M. (2020). Estallido social en Chile 2019: participación, representación, confianza institucional y escándalos públicos. </w:t>
      </w:r>
      <w:r w:rsidRPr="00D2048F">
        <w:rPr>
          <w:rFonts w:ascii="Times New Roman" w:hAnsi="Times New Roman" w:cs="Times New Roman"/>
          <w:i/>
          <w:iCs/>
          <w:sz w:val="24"/>
          <w:szCs w:val="24"/>
        </w:rPr>
        <w:t>Revista análisis político</w:t>
      </w:r>
      <w:r w:rsidRPr="00D2048F">
        <w:rPr>
          <w:rFonts w:ascii="Times New Roman" w:hAnsi="Times New Roman" w:cs="Times New Roman"/>
          <w:sz w:val="24"/>
          <w:szCs w:val="24"/>
        </w:rPr>
        <w:t xml:space="preserve">, </w:t>
      </w:r>
      <w:r w:rsidRPr="00D2048F">
        <w:rPr>
          <w:rFonts w:ascii="Times New Roman" w:hAnsi="Times New Roman" w:cs="Times New Roman"/>
          <w:i/>
          <w:iCs/>
          <w:sz w:val="24"/>
          <w:szCs w:val="24"/>
        </w:rPr>
        <w:t>98</w:t>
      </w:r>
      <w:r w:rsidRPr="00D2048F">
        <w:rPr>
          <w:rFonts w:ascii="Times New Roman" w:hAnsi="Times New Roman" w:cs="Times New Roman"/>
          <w:sz w:val="24"/>
          <w:szCs w:val="24"/>
        </w:rPr>
        <w:t xml:space="preserve">, 3-25. </w:t>
      </w:r>
      <w:hyperlink r:id="rId34" w:history="1">
        <w:r w:rsidR="001032ED" w:rsidRPr="00E92917">
          <w:rPr>
            <w:rStyle w:val="Hipervnculo"/>
            <w:rFonts w:ascii="Times New Roman" w:hAnsi="Times New Roman" w:cs="Times New Roman"/>
            <w:sz w:val="24"/>
            <w:szCs w:val="24"/>
          </w:rPr>
          <w:t>http://orcid.org/0000-0001-6010-9604</w:t>
        </w:r>
      </w:hyperlink>
    </w:p>
    <w:p w14:paraId="02487544" w14:textId="5E10755E" w:rsidR="001A3A15" w:rsidRDefault="001A3A15" w:rsidP="001032ED">
      <w:pPr>
        <w:pStyle w:val="Sinespaciado"/>
        <w:spacing w:line="360" w:lineRule="auto"/>
        <w:ind w:left="720" w:hanging="720"/>
        <w:jc w:val="both"/>
        <w:rPr>
          <w:rFonts w:ascii="Times New Roman" w:eastAsia="Garamond" w:hAnsi="Times New Roman" w:cs="Times New Roman"/>
          <w:sz w:val="24"/>
          <w:szCs w:val="24"/>
        </w:rPr>
      </w:pPr>
      <w:r w:rsidRPr="00D2048F">
        <w:rPr>
          <w:rFonts w:ascii="Times New Roman" w:eastAsia="Garamond" w:hAnsi="Times New Roman" w:cs="Times New Roman"/>
          <w:sz w:val="24"/>
          <w:szCs w:val="24"/>
        </w:rPr>
        <w:t>Muñoz Pérez, E. (2017). El concepto de empatía </w:t>
      </w:r>
      <w:r w:rsidRPr="00D2048F">
        <w:rPr>
          <w:rFonts w:ascii="Times New Roman" w:eastAsia="Garamond" w:hAnsi="Times New Roman" w:cs="Times New Roman"/>
          <w:i/>
          <w:sz w:val="24"/>
          <w:szCs w:val="24"/>
        </w:rPr>
        <w:t>(</w:t>
      </w:r>
      <w:proofErr w:type="spellStart"/>
      <w:r w:rsidRPr="00D2048F">
        <w:rPr>
          <w:rFonts w:ascii="Times New Roman" w:eastAsia="Garamond" w:hAnsi="Times New Roman" w:cs="Times New Roman"/>
          <w:i/>
          <w:sz w:val="24"/>
          <w:szCs w:val="24"/>
        </w:rPr>
        <w:t>Einfühlung</w:t>
      </w:r>
      <w:proofErr w:type="spellEnd"/>
      <w:r w:rsidRPr="00D2048F">
        <w:rPr>
          <w:rFonts w:ascii="Times New Roman" w:eastAsia="Garamond" w:hAnsi="Times New Roman" w:cs="Times New Roman"/>
          <w:i/>
          <w:sz w:val="24"/>
          <w:szCs w:val="24"/>
        </w:rPr>
        <w:t>) </w:t>
      </w:r>
      <w:r w:rsidRPr="00D2048F">
        <w:rPr>
          <w:rFonts w:ascii="Times New Roman" w:eastAsia="Garamond" w:hAnsi="Times New Roman" w:cs="Times New Roman"/>
          <w:sz w:val="24"/>
          <w:szCs w:val="24"/>
        </w:rPr>
        <w:t xml:space="preserve">en Max Scheler y Edith Stein. Sus alcances religiosos y políticos. </w:t>
      </w:r>
      <w:r w:rsidRPr="00D2048F">
        <w:rPr>
          <w:rFonts w:ascii="Times New Roman" w:eastAsia="Garamond" w:hAnsi="Times New Roman" w:cs="Times New Roman"/>
          <w:i/>
          <w:iCs/>
          <w:sz w:val="24"/>
          <w:szCs w:val="24"/>
        </w:rPr>
        <w:t>Veritas, 38</w:t>
      </w:r>
      <w:r w:rsidRPr="00D2048F">
        <w:rPr>
          <w:rFonts w:ascii="Times New Roman" w:eastAsia="Garamond" w:hAnsi="Times New Roman" w:cs="Times New Roman"/>
          <w:sz w:val="24"/>
          <w:szCs w:val="24"/>
        </w:rPr>
        <w:t xml:space="preserve">, 77-95. </w:t>
      </w:r>
      <w:hyperlink r:id="rId35" w:history="1">
        <w:r w:rsidR="001032ED" w:rsidRPr="00E92917">
          <w:rPr>
            <w:rStyle w:val="Hipervnculo"/>
            <w:rFonts w:ascii="Times New Roman" w:eastAsia="Garamond" w:hAnsi="Times New Roman" w:cs="Times New Roman"/>
            <w:sz w:val="24"/>
            <w:szCs w:val="24"/>
          </w:rPr>
          <w:t>https://bit.ly/3WBGOJC</w:t>
        </w:r>
      </w:hyperlink>
    </w:p>
    <w:p w14:paraId="7D1EDAED" w14:textId="667B8370" w:rsidR="00056D00" w:rsidRDefault="00056D00" w:rsidP="001032ED">
      <w:pPr>
        <w:pStyle w:val="Sinespaciado"/>
        <w:spacing w:line="360" w:lineRule="auto"/>
        <w:ind w:left="720" w:hanging="720"/>
        <w:jc w:val="both"/>
        <w:rPr>
          <w:rFonts w:ascii="Times New Roman" w:hAnsi="Times New Roman" w:cs="Times New Roman"/>
          <w:sz w:val="24"/>
          <w:szCs w:val="24"/>
        </w:rPr>
      </w:pPr>
      <w:r w:rsidRPr="00056D00">
        <w:rPr>
          <w:rFonts w:ascii="Times New Roman" w:hAnsi="Times New Roman" w:cs="Times New Roman"/>
          <w:sz w:val="24"/>
          <w:szCs w:val="24"/>
        </w:rPr>
        <w:t>Muñoz-Tamayo, V. y Durán-</w:t>
      </w:r>
      <w:proofErr w:type="spellStart"/>
      <w:r w:rsidRPr="00056D00">
        <w:rPr>
          <w:rFonts w:ascii="Times New Roman" w:hAnsi="Times New Roman" w:cs="Times New Roman"/>
          <w:sz w:val="24"/>
          <w:szCs w:val="24"/>
        </w:rPr>
        <w:t>Migliardi</w:t>
      </w:r>
      <w:proofErr w:type="spellEnd"/>
      <w:r w:rsidRPr="00056D00">
        <w:rPr>
          <w:rFonts w:ascii="Times New Roman" w:hAnsi="Times New Roman" w:cs="Times New Roman"/>
          <w:sz w:val="24"/>
          <w:szCs w:val="24"/>
        </w:rPr>
        <w:t xml:space="preserve">, C. (2019). Los jóvenes, la política y los movimientos estudiantiles en el Chile reciente. Ciclos sociopolíticos entre 1967 y 2017. Izquierdas, (45), 129-159. </w:t>
      </w:r>
      <w:hyperlink r:id="rId36" w:history="1">
        <w:r w:rsidRPr="00E92917">
          <w:rPr>
            <w:rStyle w:val="Hipervnculo"/>
            <w:rFonts w:ascii="Times New Roman" w:hAnsi="Times New Roman" w:cs="Times New Roman"/>
            <w:sz w:val="24"/>
            <w:szCs w:val="24"/>
          </w:rPr>
          <w:t>https://dx.doi.org/10.4067/S0718-50492019000100129</w:t>
        </w:r>
      </w:hyperlink>
    </w:p>
    <w:p w14:paraId="30C75D76" w14:textId="0E661420"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Peiró, J. M. (2003). La enseñanza de la Psicología en Europa : un proyecto de titulación europea. </w:t>
      </w:r>
      <w:r w:rsidRPr="00D2048F">
        <w:rPr>
          <w:rFonts w:ascii="Times New Roman" w:hAnsi="Times New Roman" w:cs="Times New Roman"/>
          <w:i/>
          <w:iCs/>
          <w:sz w:val="24"/>
          <w:szCs w:val="24"/>
        </w:rPr>
        <w:t>Papeles del Psicólogo</w:t>
      </w:r>
      <w:r w:rsidRPr="00D2048F">
        <w:rPr>
          <w:rFonts w:ascii="Times New Roman" w:hAnsi="Times New Roman" w:cs="Times New Roman"/>
          <w:sz w:val="24"/>
          <w:szCs w:val="24"/>
        </w:rPr>
        <w:t xml:space="preserve">, </w:t>
      </w:r>
      <w:r w:rsidRPr="00D2048F">
        <w:rPr>
          <w:rFonts w:ascii="Times New Roman" w:hAnsi="Times New Roman" w:cs="Times New Roman"/>
          <w:i/>
          <w:iCs/>
          <w:sz w:val="24"/>
          <w:szCs w:val="24"/>
        </w:rPr>
        <w:t>24</w:t>
      </w:r>
      <w:r w:rsidRPr="00D2048F">
        <w:rPr>
          <w:rFonts w:ascii="Times New Roman" w:hAnsi="Times New Roman" w:cs="Times New Roman"/>
          <w:sz w:val="24"/>
          <w:szCs w:val="24"/>
        </w:rPr>
        <w:t xml:space="preserve">(86), 25-33. </w:t>
      </w:r>
      <w:hyperlink r:id="rId37" w:history="1">
        <w:r w:rsidR="001032ED" w:rsidRPr="00E92917">
          <w:rPr>
            <w:rStyle w:val="Hipervnculo"/>
            <w:rFonts w:ascii="Times New Roman" w:hAnsi="Times New Roman" w:cs="Times New Roman"/>
            <w:sz w:val="24"/>
            <w:szCs w:val="24"/>
          </w:rPr>
          <w:t>https://bit.ly/3FRMd8y</w:t>
        </w:r>
      </w:hyperlink>
    </w:p>
    <w:p w14:paraId="6B5954B4" w14:textId="64B2022C" w:rsidR="001A3A15" w:rsidRDefault="001A3A15" w:rsidP="001032ED">
      <w:pPr>
        <w:pStyle w:val="Sinespaciado"/>
        <w:spacing w:line="360" w:lineRule="auto"/>
        <w:ind w:left="720" w:hanging="720"/>
        <w:jc w:val="both"/>
        <w:rPr>
          <w:rFonts w:ascii="Times New Roman" w:eastAsia="Garamond" w:hAnsi="Times New Roman" w:cs="Times New Roman"/>
          <w:sz w:val="24"/>
          <w:szCs w:val="24"/>
        </w:rPr>
      </w:pPr>
      <w:r w:rsidRPr="00D2048F">
        <w:rPr>
          <w:rFonts w:ascii="Times New Roman" w:eastAsia="Garamond" w:hAnsi="Times New Roman" w:cs="Times New Roman"/>
          <w:sz w:val="24"/>
          <w:szCs w:val="24"/>
        </w:rPr>
        <w:t xml:space="preserve">Ramírez-Botero, A. (2008). Los saberes psi y las réplicas de prácticas sociales moralizantes. </w:t>
      </w:r>
      <w:r w:rsidRPr="00D2048F">
        <w:rPr>
          <w:rFonts w:ascii="Times New Roman" w:eastAsia="Garamond" w:hAnsi="Times New Roman" w:cs="Times New Roman"/>
          <w:i/>
          <w:sz w:val="24"/>
          <w:szCs w:val="24"/>
        </w:rPr>
        <w:t xml:space="preserve">Revista </w:t>
      </w:r>
      <w:proofErr w:type="spellStart"/>
      <w:r w:rsidRPr="00D2048F">
        <w:rPr>
          <w:rFonts w:ascii="Times New Roman" w:eastAsia="Garamond" w:hAnsi="Times New Roman" w:cs="Times New Roman"/>
          <w:i/>
          <w:sz w:val="24"/>
          <w:szCs w:val="24"/>
        </w:rPr>
        <w:t>Katharsis</w:t>
      </w:r>
      <w:proofErr w:type="spellEnd"/>
      <w:r w:rsidRPr="00D2048F">
        <w:rPr>
          <w:rFonts w:ascii="Times New Roman" w:eastAsia="Garamond" w:hAnsi="Times New Roman" w:cs="Times New Roman"/>
          <w:i/>
          <w:sz w:val="24"/>
          <w:szCs w:val="24"/>
        </w:rPr>
        <w:t xml:space="preserve"> </w:t>
      </w:r>
      <w:r w:rsidRPr="00D2048F">
        <w:rPr>
          <w:rFonts w:ascii="Times New Roman" w:eastAsia="Garamond" w:hAnsi="Times New Roman" w:cs="Times New Roman"/>
          <w:sz w:val="24"/>
          <w:szCs w:val="24"/>
        </w:rPr>
        <w:t xml:space="preserve">(5), 37.60. </w:t>
      </w:r>
      <w:hyperlink r:id="rId38" w:history="1">
        <w:r w:rsidR="001032ED" w:rsidRPr="00E92917">
          <w:rPr>
            <w:rStyle w:val="Hipervnculo"/>
            <w:rFonts w:ascii="Times New Roman" w:eastAsia="Garamond" w:hAnsi="Times New Roman" w:cs="Times New Roman"/>
            <w:sz w:val="24"/>
            <w:szCs w:val="24"/>
          </w:rPr>
          <w:t>https://bit.ly/3Vl8qBC</w:t>
        </w:r>
      </w:hyperlink>
    </w:p>
    <w:p w14:paraId="3E3A602A" w14:textId="12274DC1" w:rsidR="001032ED" w:rsidRDefault="001A3A15" w:rsidP="001032ED">
      <w:pPr>
        <w:pStyle w:val="Sinespaciado"/>
        <w:spacing w:line="360" w:lineRule="auto"/>
        <w:ind w:left="720" w:hanging="720"/>
        <w:jc w:val="both"/>
        <w:rPr>
          <w:rFonts w:ascii="Times New Roman" w:eastAsia="Garamond" w:hAnsi="Times New Roman" w:cs="Times New Roman"/>
          <w:sz w:val="24"/>
          <w:szCs w:val="24"/>
          <w:lang w:val="pt-PT"/>
        </w:rPr>
      </w:pPr>
      <w:r w:rsidRPr="00D2048F">
        <w:rPr>
          <w:rFonts w:ascii="Times New Roman" w:eastAsia="Garamond" w:hAnsi="Times New Roman" w:cs="Times New Roman"/>
          <w:sz w:val="24"/>
          <w:szCs w:val="24"/>
        </w:rPr>
        <w:t xml:space="preserve">Reguillo, R. (2004). La performatividad de las culturas juveniles. </w:t>
      </w:r>
      <w:r w:rsidRPr="00D2048F">
        <w:rPr>
          <w:rFonts w:ascii="Times New Roman" w:eastAsia="Garamond" w:hAnsi="Times New Roman" w:cs="Times New Roman"/>
          <w:i/>
          <w:sz w:val="24"/>
          <w:szCs w:val="24"/>
          <w:lang w:val="pt-PT"/>
        </w:rPr>
        <w:t xml:space="preserve">Estudios de juventud, 64, </w:t>
      </w:r>
      <w:r w:rsidRPr="00D2048F">
        <w:rPr>
          <w:rFonts w:ascii="Times New Roman" w:eastAsia="Garamond" w:hAnsi="Times New Roman" w:cs="Times New Roman"/>
          <w:sz w:val="24"/>
          <w:szCs w:val="24"/>
          <w:lang w:val="pt-PT"/>
        </w:rPr>
        <w:t xml:space="preserve">49-56. </w:t>
      </w:r>
      <w:hyperlink r:id="rId39" w:history="1">
        <w:r w:rsidR="001032ED" w:rsidRPr="00E92917">
          <w:rPr>
            <w:rStyle w:val="Hipervnculo"/>
            <w:rFonts w:ascii="Times New Roman" w:eastAsia="Garamond" w:hAnsi="Times New Roman" w:cs="Times New Roman"/>
            <w:sz w:val="24"/>
            <w:szCs w:val="24"/>
            <w:lang w:val="pt-PT"/>
          </w:rPr>
          <w:t>https://bit.ly/3vdJ7ac</w:t>
        </w:r>
      </w:hyperlink>
    </w:p>
    <w:p w14:paraId="4DC658FC" w14:textId="41744679" w:rsidR="001A3A15" w:rsidRDefault="001A3A15" w:rsidP="001032ED">
      <w:pPr>
        <w:pStyle w:val="Sinespaciado"/>
        <w:spacing w:line="360" w:lineRule="auto"/>
        <w:ind w:left="720" w:hanging="720"/>
        <w:jc w:val="both"/>
        <w:rPr>
          <w:rStyle w:val="group-doi"/>
          <w:rFonts w:ascii="Times New Roman" w:hAnsi="Times New Roman" w:cs="Times New Roman"/>
          <w:sz w:val="24"/>
          <w:szCs w:val="24"/>
        </w:rPr>
      </w:pPr>
      <w:r w:rsidRPr="00D2048F">
        <w:rPr>
          <w:rFonts w:ascii="Times New Roman" w:hAnsi="Times New Roman" w:cs="Times New Roman"/>
          <w:sz w:val="24"/>
          <w:szCs w:val="24"/>
          <w:lang w:val="pt-PT"/>
        </w:rPr>
        <w:t xml:space="preserve">Rose N. (2008). Psicologia como uma ciência social. </w:t>
      </w:r>
      <w:proofErr w:type="spellStart"/>
      <w:r w:rsidRPr="00D2048F">
        <w:rPr>
          <w:rFonts w:ascii="Times New Roman" w:hAnsi="Times New Roman" w:cs="Times New Roman"/>
          <w:i/>
          <w:iCs/>
          <w:sz w:val="24"/>
          <w:szCs w:val="24"/>
        </w:rPr>
        <w:t>Psicol</w:t>
      </w:r>
      <w:proofErr w:type="spellEnd"/>
      <w:r w:rsidRPr="00D2048F">
        <w:rPr>
          <w:rFonts w:ascii="Times New Roman" w:hAnsi="Times New Roman" w:cs="Times New Roman"/>
          <w:i/>
          <w:iCs/>
          <w:sz w:val="24"/>
          <w:szCs w:val="24"/>
        </w:rPr>
        <w:t xml:space="preserve"> Soc.</w:t>
      </w:r>
      <w:r w:rsidRPr="00D2048F">
        <w:rPr>
          <w:rFonts w:ascii="Times New Roman" w:hAnsi="Times New Roman" w:cs="Times New Roman"/>
          <w:sz w:val="24"/>
          <w:szCs w:val="24"/>
        </w:rPr>
        <w:t xml:space="preserve">, </w:t>
      </w:r>
      <w:r w:rsidRPr="00D2048F">
        <w:rPr>
          <w:rFonts w:ascii="Times New Roman" w:hAnsi="Times New Roman" w:cs="Times New Roman"/>
          <w:i/>
          <w:iCs/>
          <w:sz w:val="24"/>
          <w:szCs w:val="24"/>
        </w:rPr>
        <w:t>20</w:t>
      </w:r>
      <w:r w:rsidRPr="00D2048F">
        <w:rPr>
          <w:rFonts w:ascii="Times New Roman" w:hAnsi="Times New Roman" w:cs="Times New Roman"/>
          <w:sz w:val="24"/>
          <w:szCs w:val="24"/>
        </w:rPr>
        <w:t xml:space="preserve">(2), 155-64. </w:t>
      </w:r>
      <w:hyperlink r:id="rId40" w:history="1">
        <w:r w:rsidR="001032ED" w:rsidRPr="00E92917">
          <w:rPr>
            <w:rStyle w:val="Hipervnculo"/>
            <w:rFonts w:ascii="Times New Roman" w:hAnsi="Times New Roman" w:cs="Times New Roman"/>
            <w:sz w:val="24"/>
            <w:szCs w:val="24"/>
          </w:rPr>
          <w:t>https://doi.org/10.1590/S0102-71822008000200002</w:t>
        </w:r>
      </w:hyperlink>
    </w:p>
    <w:p w14:paraId="4D50A08D" w14:textId="3D4C3D38"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rPr>
        <w:t xml:space="preserve">Rivera Gómez, A. (octubre, 2018). </w:t>
      </w:r>
      <w:r w:rsidRPr="00D2048F">
        <w:rPr>
          <w:rFonts w:ascii="Times New Roman" w:hAnsi="Times New Roman" w:cs="Times New Roman"/>
          <w:i/>
          <w:iCs/>
          <w:sz w:val="24"/>
          <w:szCs w:val="24"/>
        </w:rPr>
        <w:t xml:space="preserve">Hacia la construcción de una conciencia política. </w:t>
      </w:r>
      <w:r w:rsidRPr="00D2048F">
        <w:rPr>
          <w:rStyle w:val="markedcontent"/>
          <w:rFonts w:ascii="Times New Roman" w:hAnsi="Times New Roman" w:cs="Times New Roman"/>
          <w:i/>
          <w:iCs/>
          <w:sz w:val="24"/>
          <w:szCs w:val="24"/>
        </w:rPr>
        <w:t>Propuesta para la mesa temática 2: política, democracia y</w:t>
      </w:r>
      <w:r w:rsidRPr="00D2048F">
        <w:rPr>
          <w:rFonts w:ascii="Times New Roman" w:hAnsi="Times New Roman" w:cs="Times New Roman"/>
          <w:i/>
          <w:iCs/>
          <w:sz w:val="24"/>
          <w:szCs w:val="24"/>
        </w:rPr>
        <w:t xml:space="preserve"> </w:t>
      </w:r>
      <w:r w:rsidRPr="00D2048F">
        <w:rPr>
          <w:rStyle w:val="markedcontent"/>
          <w:rFonts w:ascii="Times New Roman" w:hAnsi="Times New Roman" w:cs="Times New Roman"/>
          <w:i/>
          <w:iCs/>
          <w:sz w:val="24"/>
          <w:szCs w:val="24"/>
        </w:rPr>
        <w:t xml:space="preserve">religión </w:t>
      </w:r>
      <w:r w:rsidRPr="00D2048F">
        <w:rPr>
          <w:rStyle w:val="markedcontent"/>
          <w:rFonts w:ascii="Times New Roman" w:hAnsi="Times New Roman" w:cs="Times New Roman"/>
          <w:sz w:val="24"/>
          <w:szCs w:val="24"/>
        </w:rPr>
        <w:t xml:space="preserve">[Presentación de </w:t>
      </w:r>
      <w:proofErr w:type="spellStart"/>
      <w:r w:rsidRPr="00D2048F">
        <w:rPr>
          <w:rStyle w:val="markedcontent"/>
          <w:rFonts w:ascii="Times New Roman" w:hAnsi="Times New Roman" w:cs="Times New Roman"/>
          <w:sz w:val="24"/>
          <w:szCs w:val="24"/>
        </w:rPr>
        <w:t>paper</w:t>
      </w:r>
      <w:proofErr w:type="spellEnd"/>
      <w:r w:rsidRPr="00D2048F">
        <w:rPr>
          <w:rStyle w:val="markedcontent"/>
          <w:rFonts w:ascii="Times New Roman" w:hAnsi="Times New Roman" w:cs="Times New Roman"/>
          <w:sz w:val="24"/>
          <w:szCs w:val="24"/>
        </w:rPr>
        <w:t xml:space="preserve">]. </w:t>
      </w:r>
      <w:r w:rsidRPr="00D2048F">
        <w:rPr>
          <w:rFonts w:ascii="Times New Roman" w:eastAsia="Times New Roman" w:hAnsi="Times New Roman" w:cs="Times New Roman"/>
          <w:sz w:val="24"/>
          <w:szCs w:val="24"/>
        </w:rPr>
        <w:t xml:space="preserve">V Congreso COMIUCAP, </w:t>
      </w:r>
      <w:r w:rsidRPr="00D2048F">
        <w:rPr>
          <w:rStyle w:val="markedcontent"/>
          <w:rFonts w:ascii="Times New Roman" w:hAnsi="Times New Roman" w:cs="Times New Roman"/>
          <w:sz w:val="24"/>
          <w:szCs w:val="24"/>
        </w:rPr>
        <w:t xml:space="preserve">Bogotá, Colombia. </w:t>
      </w:r>
      <w:hyperlink r:id="rId41" w:history="1">
        <w:r w:rsidR="001032ED" w:rsidRPr="00E92917">
          <w:rPr>
            <w:rStyle w:val="Hipervnculo"/>
            <w:rFonts w:ascii="Times New Roman" w:hAnsi="Times New Roman" w:cs="Times New Roman"/>
            <w:sz w:val="24"/>
            <w:szCs w:val="24"/>
          </w:rPr>
          <w:t>https://bit.ly/3HWAsQY</w:t>
        </w:r>
      </w:hyperlink>
    </w:p>
    <w:p w14:paraId="292C155E" w14:textId="75CFC16E" w:rsidR="001A3A15" w:rsidRDefault="001A3A15" w:rsidP="001032ED">
      <w:pPr>
        <w:pStyle w:val="Sinespaciado"/>
        <w:spacing w:line="360" w:lineRule="auto"/>
        <w:ind w:left="720" w:hanging="720"/>
        <w:jc w:val="both"/>
        <w:rPr>
          <w:rFonts w:ascii="Times New Roman" w:hAnsi="Times New Roman" w:cs="Times New Roman"/>
          <w:sz w:val="24"/>
          <w:szCs w:val="24"/>
          <w:lang w:val="en-US"/>
        </w:rPr>
      </w:pPr>
      <w:r w:rsidRPr="00D2048F">
        <w:rPr>
          <w:rFonts w:ascii="Times New Roman" w:hAnsi="Times New Roman" w:cs="Times New Roman"/>
          <w:sz w:val="24"/>
          <w:szCs w:val="24"/>
        </w:rPr>
        <w:t xml:space="preserve">Rosenthal, R. (1991). </w:t>
      </w:r>
      <w:r w:rsidRPr="00D2048F">
        <w:rPr>
          <w:rFonts w:ascii="Times New Roman" w:hAnsi="Times New Roman" w:cs="Times New Roman"/>
          <w:i/>
          <w:iCs/>
          <w:sz w:val="24"/>
          <w:szCs w:val="24"/>
          <w:lang w:val="en-US"/>
        </w:rPr>
        <w:t>Meta- analytic procedures for social research</w:t>
      </w:r>
      <w:r w:rsidRPr="00D2048F">
        <w:rPr>
          <w:rFonts w:ascii="Times New Roman" w:hAnsi="Times New Roman" w:cs="Times New Roman"/>
          <w:sz w:val="24"/>
          <w:szCs w:val="24"/>
          <w:lang w:val="en-US"/>
        </w:rPr>
        <w:t xml:space="preserve">. Newbury Park, CA: Sage. </w:t>
      </w:r>
      <w:hyperlink r:id="rId42" w:history="1">
        <w:r w:rsidR="001032ED" w:rsidRPr="00E92917">
          <w:rPr>
            <w:rStyle w:val="Hipervnculo"/>
            <w:rFonts w:ascii="Times New Roman" w:hAnsi="Times New Roman" w:cs="Times New Roman"/>
            <w:sz w:val="24"/>
            <w:szCs w:val="24"/>
            <w:lang w:val="en-US"/>
          </w:rPr>
          <w:t>https://dx.doi.org/10.4135/9781412984997</w:t>
        </w:r>
      </w:hyperlink>
    </w:p>
    <w:p w14:paraId="1B3C9051" w14:textId="77777777" w:rsidR="001A3A15" w:rsidRPr="00D2048F"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lang w:val="en-US"/>
        </w:rPr>
        <w:t xml:space="preserve">Ruiz, A., </w:t>
      </w:r>
      <w:r>
        <w:rPr>
          <w:rFonts w:ascii="Times New Roman" w:hAnsi="Times New Roman" w:cs="Times New Roman"/>
          <w:sz w:val="24"/>
          <w:szCs w:val="24"/>
          <w:lang w:val="en-US"/>
        </w:rPr>
        <w:t>&amp;</w:t>
      </w:r>
      <w:r w:rsidRPr="00D2048F">
        <w:rPr>
          <w:rFonts w:ascii="Times New Roman" w:hAnsi="Times New Roman" w:cs="Times New Roman"/>
          <w:sz w:val="24"/>
          <w:szCs w:val="24"/>
          <w:lang w:val="en-US"/>
        </w:rPr>
        <w:t xml:space="preserve"> Chaux, E. (2005). </w:t>
      </w:r>
      <w:r w:rsidRPr="00D2048F">
        <w:rPr>
          <w:rFonts w:ascii="Times New Roman" w:hAnsi="Times New Roman" w:cs="Times New Roman"/>
          <w:i/>
          <w:iCs/>
          <w:sz w:val="24"/>
          <w:szCs w:val="24"/>
        </w:rPr>
        <w:t>La Formación de Competencias Ciudadanas</w:t>
      </w:r>
      <w:r w:rsidRPr="00D2048F">
        <w:rPr>
          <w:rFonts w:ascii="Times New Roman" w:hAnsi="Times New Roman" w:cs="Times New Roman"/>
          <w:sz w:val="24"/>
          <w:szCs w:val="24"/>
        </w:rPr>
        <w:t xml:space="preserve">. </w:t>
      </w:r>
      <w:proofErr w:type="spellStart"/>
      <w:r w:rsidRPr="00D2048F">
        <w:rPr>
          <w:rFonts w:ascii="Times New Roman" w:hAnsi="Times New Roman" w:cs="Times New Roman"/>
          <w:sz w:val="24"/>
          <w:szCs w:val="24"/>
        </w:rPr>
        <w:t>Ascofade</w:t>
      </w:r>
      <w:proofErr w:type="spellEnd"/>
      <w:r w:rsidRPr="00D2048F">
        <w:rPr>
          <w:rFonts w:ascii="Times New Roman" w:hAnsi="Times New Roman" w:cs="Times New Roman"/>
          <w:sz w:val="24"/>
          <w:szCs w:val="24"/>
        </w:rPr>
        <w:t>.</w:t>
      </w:r>
    </w:p>
    <w:p w14:paraId="7D792CBE" w14:textId="6ACB0E51" w:rsidR="001A3A15"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eastAsia="Verdana" w:hAnsi="Times New Roman" w:cs="Times New Roman"/>
          <w:sz w:val="24"/>
          <w:szCs w:val="24"/>
        </w:rPr>
        <w:lastRenderedPageBreak/>
        <w:t xml:space="preserve">Salinas, J., Castellví, J., </w:t>
      </w:r>
      <w:r>
        <w:rPr>
          <w:rFonts w:ascii="Times New Roman" w:hAnsi="Times New Roman" w:cs="Times New Roman"/>
          <w:sz w:val="24"/>
          <w:szCs w:val="24"/>
        </w:rPr>
        <w:t>&amp;</w:t>
      </w:r>
      <w:r w:rsidRPr="00D2048F">
        <w:rPr>
          <w:rFonts w:ascii="Times New Roman" w:eastAsia="Verdana" w:hAnsi="Times New Roman" w:cs="Times New Roman"/>
          <w:sz w:val="24"/>
          <w:szCs w:val="24"/>
        </w:rPr>
        <w:t xml:space="preserve"> Camus, P. (2020). </w:t>
      </w:r>
      <w:r w:rsidRPr="00D2048F">
        <w:rPr>
          <w:rFonts w:ascii="Times New Roman" w:eastAsiaTheme="minorHAnsi" w:hAnsi="Times New Roman" w:cs="Times New Roman"/>
          <w:sz w:val="24"/>
          <w:szCs w:val="24"/>
          <w:lang w:eastAsia="en-US"/>
        </w:rPr>
        <w:t>¡Chile despertó! Una investigación-acción en formación ciudadana de futuros docentes durante el estallido social</w:t>
      </w:r>
      <w:r w:rsidRPr="00D2048F">
        <w:rPr>
          <w:rFonts w:ascii="Times New Roman" w:hAnsi="Times New Roman" w:cs="Times New Roman"/>
          <w:sz w:val="24"/>
          <w:szCs w:val="24"/>
        </w:rPr>
        <w:t xml:space="preserve">. </w:t>
      </w:r>
      <w:r w:rsidRPr="00D2048F">
        <w:rPr>
          <w:rFonts w:ascii="Times New Roman" w:hAnsi="Times New Roman" w:cs="Times New Roman"/>
          <w:i/>
          <w:sz w:val="24"/>
          <w:szCs w:val="24"/>
        </w:rPr>
        <w:t xml:space="preserve">Revista </w:t>
      </w:r>
      <w:proofErr w:type="spellStart"/>
      <w:r w:rsidRPr="00D2048F">
        <w:rPr>
          <w:rFonts w:ascii="Times New Roman" w:hAnsi="Times New Roman" w:cs="Times New Roman"/>
          <w:i/>
          <w:sz w:val="24"/>
          <w:szCs w:val="24"/>
        </w:rPr>
        <w:t>Sophia</w:t>
      </w:r>
      <w:proofErr w:type="spellEnd"/>
      <w:r w:rsidRPr="00D2048F">
        <w:rPr>
          <w:rFonts w:ascii="Times New Roman" w:hAnsi="Times New Roman" w:cs="Times New Roman"/>
          <w:i/>
          <w:sz w:val="24"/>
          <w:szCs w:val="24"/>
        </w:rPr>
        <w:t xml:space="preserve"> Austral</w:t>
      </w:r>
      <w:r w:rsidRPr="00D2048F">
        <w:rPr>
          <w:rFonts w:ascii="Times New Roman" w:hAnsi="Times New Roman" w:cs="Times New Roman"/>
          <w:sz w:val="24"/>
          <w:szCs w:val="24"/>
        </w:rPr>
        <w:t xml:space="preserve"> (26), 325–347. </w:t>
      </w:r>
      <w:hyperlink r:id="rId43" w:history="1">
        <w:r w:rsidR="001032ED" w:rsidRPr="00E92917">
          <w:rPr>
            <w:rStyle w:val="Hipervnculo"/>
            <w:rFonts w:ascii="Times New Roman" w:hAnsi="Times New Roman" w:cs="Times New Roman"/>
            <w:sz w:val="24"/>
            <w:szCs w:val="24"/>
          </w:rPr>
          <w:t>https://bit.ly/3hMrPOa</w:t>
        </w:r>
      </w:hyperlink>
    </w:p>
    <w:p w14:paraId="0E5DCD9C" w14:textId="16ABB9C9" w:rsidR="001032ED" w:rsidRPr="006F676F"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kern w:val="36"/>
          <w:sz w:val="24"/>
          <w:szCs w:val="24"/>
        </w:rPr>
        <w:t xml:space="preserve">Santana, A. </w:t>
      </w:r>
      <w:r>
        <w:rPr>
          <w:rFonts w:ascii="Times New Roman" w:hAnsi="Times New Roman" w:cs="Times New Roman"/>
          <w:sz w:val="24"/>
          <w:szCs w:val="24"/>
        </w:rPr>
        <w:t>&amp;</w:t>
      </w:r>
      <w:r w:rsidRPr="00D2048F">
        <w:rPr>
          <w:rFonts w:ascii="Times New Roman" w:hAnsi="Times New Roman" w:cs="Times New Roman"/>
          <w:kern w:val="36"/>
          <w:sz w:val="24"/>
          <w:szCs w:val="24"/>
        </w:rPr>
        <w:t xml:space="preserve"> Hernández, N. (2012). Las prácticas de participación política de dirigentes de Centros de Estudiantes de Trabajo Social en Universidades Privadas.</w:t>
      </w:r>
      <w:r w:rsidRPr="00D2048F">
        <w:rPr>
          <w:rFonts w:ascii="Times New Roman" w:hAnsi="Times New Roman" w:cs="Times New Roman"/>
          <w:sz w:val="24"/>
          <w:szCs w:val="24"/>
        </w:rPr>
        <w:t xml:space="preserve"> </w:t>
      </w:r>
      <w:r w:rsidRPr="00D2048F">
        <w:rPr>
          <w:rFonts w:ascii="Times New Roman" w:hAnsi="Times New Roman" w:cs="Times New Roman"/>
          <w:i/>
          <w:sz w:val="24"/>
          <w:szCs w:val="24"/>
        </w:rPr>
        <w:t>Revista de trabajo social, 8</w:t>
      </w:r>
      <w:r w:rsidRPr="00D2048F">
        <w:rPr>
          <w:rFonts w:ascii="Times New Roman" w:hAnsi="Times New Roman" w:cs="Times New Roman"/>
          <w:iCs/>
          <w:sz w:val="24"/>
          <w:szCs w:val="24"/>
        </w:rPr>
        <w:t xml:space="preserve">, </w:t>
      </w:r>
      <w:r w:rsidRPr="00D2048F">
        <w:rPr>
          <w:rFonts w:ascii="Times New Roman" w:hAnsi="Times New Roman" w:cs="Times New Roman"/>
          <w:sz w:val="24"/>
          <w:szCs w:val="24"/>
        </w:rPr>
        <w:t>79-94</w:t>
      </w:r>
      <w:r w:rsidRPr="00D2048F">
        <w:rPr>
          <w:rFonts w:ascii="Times New Roman" w:hAnsi="Times New Roman" w:cs="Times New Roman"/>
          <w:iCs/>
          <w:sz w:val="24"/>
          <w:szCs w:val="24"/>
        </w:rPr>
        <w:t xml:space="preserve">. </w:t>
      </w:r>
      <w:hyperlink r:id="rId44" w:history="1">
        <w:r w:rsidR="001032ED" w:rsidRPr="006F676F">
          <w:rPr>
            <w:rStyle w:val="Hipervnculo"/>
            <w:rFonts w:ascii="Times New Roman" w:hAnsi="Times New Roman" w:cs="Times New Roman"/>
            <w:sz w:val="24"/>
            <w:szCs w:val="24"/>
          </w:rPr>
          <w:t>https://doi.org/10.7764/rts.81.79-94</w:t>
        </w:r>
      </w:hyperlink>
    </w:p>
    <w:p w14:paraId="6E79E6B7" w14:textId="54712B17" w:rsidR="001A3A15" w:rsidRDefault="001A3A15" w:rsidP="001032ED">
      <w:pPr>
        <w:pStyle w:val="Sinespaciado"/>
        <w:spacing w:line="360" w:lineRule="auto"/>
        <w:ind w:left="720" w:hanging="720"/>
        <w:jc w:val="both"/>
        <w:rPr>
          <w:rFonts w:ascii="Times New Roman" w:eastAsia="Times New Roman" w:hAnsi="Times New Roman" w:cs="Times New Roman"/>
          <w:sz w:val="24"/>
          <w:szCs w:val="24"/>
          <w:lang w:val="en-US"/>
        </w:rPr>
      </w:pPr>
      <w:r w:rsidRPr="006F676F">
        <w:rPr>
          <w:rFonts w:ascii="Times New Roman" w:eastAsia="Times New Roman" w:hAnsi="Times New Roman" w:cs="Times New Roman"/>
          <w:sz w:val="24"/>
          <w:szCs w:val="24"/>
        </w:rPr>
        <w:t xml:space="preserve">Spyer Dulci, T., &amp; Alvarado Sadivia, V. (2021). </w:t>
      </w:r>
      <w:r w:rsidRPr="00D2048F">
        <w:rPr>
          <w:rFonts w:ascii="Times New Roman" w:eastAsia="Times New Roman" w:hAnsi="Times New Roman" w:cs="Times New Roman"/>
          <w:sz w:val="24"/>
          <w:szCs w:val="24"/>
        </w:rPr>
        <w:t xml:space="preserve">El </w:t>
      </w:r>
      <w:r w:rsidRPr="00D2048F">
        <w:rPr>
          <w:rFonts w:ascii="Times New Roman" w:eastAsia="Times New Roman" w:hAnsi="Times New Roman" w:cs="Times New Roman"/>
          <w:i/>
          <w:iCs/>
          <w:sz w:val="24"/>
          <w:szCs w:val="24"/>
        </w:rPr>
        <w:t>Estallido Social</w:t>
      </w:r>
      <w:r w:rsidRPr="00D2048F">
        <w:rPr>
          <w:rFonts w:ascii="Times New Roman" w:eastAsia="Times New Roman" w:hAnsi="Times New Roman" w:cs="Times New Roman"/>
          <w:sz w:val="24"/>
          <w:szCs w:val="24"/>
        </w:rPr>
        <w:t xml:space="preserve"> en Chile: ¿rumbo a un Nuevo Constitucionalismo? </w:t>
      </w:r>
      <w:r w:rsidRPr="00D2048F">
        <w:rPr>
          <w:rFonts w:ascii="Times New Roman" w:eastAsia="Times New Roman" w:hAnsi="Times New Roman" w:cs="Times New Roman"/>
          <w:i/>
          <w:iCs/>
          <w:sz w:val="24"/>
          <w:szCs w:val="24"/>
          <w:lang w:val="en-US"/>
        </w:rPr>
        <w:t xml:space="preserve">Revista </w:t>
      </w:r>
      <w:proofErr w:type="spellStart"/>
      <w:r w:rsidRPr="00D2048F">
        <w:rPr>
          <w:rFonts w:ascii="Times New Roman" w:eastAsia="Times New Roman" w:hAnsi="Times New Roman" w:cs="Times New Roman"/>
          <w:i/>
          <w:iCs/>
          <w:sz w:val="24"/>
          <w:szCs w:val="24"/>
          <w:lang w:val="en-US"/>
        </w:rPr>
        <w:t>Katálysis</w:t>
      </w:r>
      <w:proofErr w:type="spellEnd"/>
      <w:r w:rsidRPr="00D2048F">
        <w:rPr>
          <w:rFonts w:ascii="Times New Roman" w:eastAsia="Times New Roman" w:hAnsi="Times New Roman" w:cs="Times New Roman"/>
          <w:sz w:val="24"/>
          <w:szCs w:val="24"/>
          <w:lang w:val="en-US"/>
        </w:rPr>
        <w:t xml:space="preserve">, </w:t>
      </w:r>
      <w:r w:rsidRPr="00D2048F">
        <w:rPr>
          <w:rFonts w:ascii="Times New Roman" w:eastAsia="Times New Roman" w:hAnsi="Times New Roman" w:cs="Times New Roman"/>
          <w:i/>
          <w:iCs/>
          <w:sz w:val="24"/>
          <w:szCs w:val="24"/>
          <w:lang w:val="en-US"/>
        </w:rPr>
        <w:t>24</w:t>
      </w:r>
      <w:r w:rsidRPr="00D2048F">
        <w:rPr>
          <w:rFonts w:ascii="Times New Roman" w:eastAsia="Times New Roman" w:hAnsi="Times New Roman" w:cs="Times New Roman"/>
          <w:sz w:val="24"/>
          <w:szCs w:val="24"/>
          <w:lang w:val="en-US"/>
        </w:rPr>
        <w:t xml:space="preserve">(1), 43-52. </w:t>
      </w:r>
      <w:hyperlink r:id="rId45" w:history="1">
        <w:r w:rsidR="001032ED" w:rsidRPr="00E92917">
          <w:rPr>
            <w:rStyle w:val="Hipervnculo"/>
            <w:rFonts w:ascii="Times New Roman" w:eastAsia="Times New Roman" w:hAnsi="Times New Roman" w:cs="Times New Roman"/>
            <w:sz w:val="24"/>
            <w:szCs w:val="24"/>
            <w:lang w:val="en-US"/>
          </w:rPr>
          <w:t>https://doi.org/10.1590/1982-0259.2021.e73555</w:t>
        </w:r>
      </w:hyperlink>
    </w:p>
    <w:p w14:paraId="02640CA5" w14:textId="0376949A" w:rsidR="001032ED" w:rsidRPr="006F676F" w:rsidRDefault="001A3A15" w:rsidP="001032ED">
      <w:pPr>
        <w:pStyle w:val="Sinespaciado"/>
        <w:spacing w:line="360" w:lineRule="auto"/>
        <w:ind w:left="720" w:hanging="720"/>
        <w:jc w:val="both"/>
        <w:rPr>
          <w:rFonts w:ascii="Times New Roman" w:hAnsi="Times New Roman" w:cs="Times New Roman"/>
          <w:sz w:val="24"/>
          <w:szCs w:val="24"/>
        </w:rPr>
      </w:pPr>
      <w:r w:rsidRPr="00D2048F">
        <w:rPr>
          <w:rFonts w:ascii="Times New Roman" w:hAnsi="Times New Roman" w:cs="Times New Roman"/>
          <w:sz w:val="24"/>
          <w:szCs w:val="24"/>
          <w:lang w:val="en-US"/>
        </w:rPr>
        <w:t xml:space="preserve">Tomczak, M &amp; </w:t>
      </w:r>
      <w:proofErr w:type="spellStart"/>
      <w:r w:rsidRPr="00D2048F">
        <w:rPr>
          <w:rFonts w:ascii="Times New Roman" w:hAnsi="Times New Roman" w:cs="Times New Roman"/>
          <w:sz w:val="24"/>
          <w:szCs w:val="24"/>
          <w:lang w:val="en-US"/>
        </w:rPr>
        <w:t>Tomcak</w:t>
      </w:r>
      <w:proofErr w:type="spellEnd"/>
      <w:r w:rsidRPr="00D2048F">
        <w:rPr>
          <w:rFonts w:ascii="Times New Roman" w:hAnsi="Times New Roman" w:cs="Times New Roman"/>
          <w:sz w:val="24"/>
          <w:szCs w:val="24"/>
          <w:lang w:val="en-US"/>
        </w:rPr>
        <w:t xml:space="preserve">, E. (2014). The need to report effect size estimates revisited. An overview of some recommended measures of effect size. </w:t>
      </w:r>
      <w:r w:rsidRPr="00D2048F">
        <w:rPr>
          <w:rFonts w:ascii="Times New Roman" w:hAnsi="Times New Roman" w:cs="Times New Roman"/>
          <w:i/>
          <w:iCs/>
          <w:sz w:val="24"/>
          <w:szCs w:val="24"/>
          <w:lang w:val="en-US"/>
        </w:rPr>
        <w:t xml:space="preserve">Trends Sport </w:t>
      </w:r>
      <w:proofErr w:type="spellStart"/>
      <w:r w:rsidRPr="00D2048F">
        <w:rPr>
          <w:rFonts w:ascii="Times New Roman" w:hAnsi="Times New Roman" w:cs="Times New Roman"/>
          <w:i/>
          <w:iCs/>
          <w:sz w:val="24"/>
          <w:szCs w:val="24"/>
          <w:lang w:val="en-US"/>
        </w:rPr>
        <w:t>Scicences</w:t>
      </w:r>
      <w:proofErr w:type="spellEnd"/>
      <w:r w:rsidRPr="00D2048F">
        <w:rPr>
          <w:rFonts w:ascii="Times New Roman" w:hAnsi="Times New Roman" w:cs="Times New Roman"/>
          <w:sz w:val="24"/>
          <w:szCs w:val="24"/>
          <w:lang w:val="en-US"/>
        </w:rPr>
        <w:t xml:space="preserve">, </w:t>
      </w:r>
      <w:r w:rsidRPr="00D2048F">
        <w:rPr>
          <w:rFonts w:ascii="Times New Roman" w:hAnsi="Times New Roman" w:cs="Times New Roman"/>
          <w:i/>
          <w:iCs/>
          <w:sz w:val="24"/>
          <w:szCs w:val="24"/>
          <w:lang w:val="en-US"/>
        </w:rPr>
        <w:t>1(21)</w:t>
      </w:r>
      <w:r w:rsidRPr="00D2048F">
        <w:rPr>
          <w:rFonts w:ascii="Times New Roman" w:hAnsi="Times New Roman" w:cs="Times New Roman"/>
          <w:sz w:val="24"/>
          <w:szCs w:val="24"/>
          <w:lang w:val="en-US"/>
        </w:rPr>
        <w:t xml:space="preserve">, 19-25. </w:t>
      </w:r>
      <w:hyperlink r:id="rId46" w:history="1">
        <w:r w:rsidR="001032ED" w:rsidRPr="006F676F">
          <w:rPr>
            <w:rStyle w:val="Hipervnculo"/>
            <w:rFonts w:ascii="Times New Roman" w:hAnsi="Times New Roman" w:cs="Times New Roman"/>
            <w:sz w:val="24"/>
            <w:szCs w:val="24"/>
          </w:rPr>
          <w:t>https://bit.ly/3BVkti8</w:t>
        </w:r>
      </w:hyperlink>
    </w:p>
    <w:p w14:paraId="4C45A138" w14:textId="1590C709" w:rsidR="001A3A15" w:rsidRDefault="001A3A15" w:rsidP="001032ED">
      <w:pPr>
        <w:pStyle w:val="Sinespaciado"/>
        <w:spacing w:line="360" w:lineRule="auto"/>
        <w:ind w:left="720" w:hanging="720"/>
        <w:jc w:val="both"/>
        <w:rPr>
          <w:rFonts w:ascii="Times New Roman" w:eastAsia="Garamond" w:hAnsi="Times New Roman" w:cs="Times New Roman"/>
          <w:sz w:val="24"/>
          <w:szCs w:val="24"/>
        </w:rPr>
      </w:pPr>
      <w:r w:rsidRPr="00D2048F">
        <w:rPr>
          <w:rFonts w:ascii="Times New Roman" w:hAnsi="Times New Roman" w:cs="Times New Roman"/>
          <w:sz w:val="24"/>
          <w:szCs w:val="24"/>
        </w:rPr>
        <w:t xml:space="preserve">Zambrano, E. L. (2018). Prácticas pedagógicas para el desarrollo de competencias ciudadanas. </w:t>
      </w:r>
      <w:r w:rsidRPr="00D2048F">
        <w:rPr>
          <w:rFonts w:ascii="Times New Roman" w:hAnsi="Times New Roman" w:cs="Times New Roman"/>
          <w:i/>
          <w:iCs/>
          <w:sz w:val="24"/>
          <w:szCs w:val="24"/>
        </w:rPr>
        <w:t>Revista Electrónica de Investigación Educativa, 20</w:t>
      </w:r>
      <w:r w:rsidRPr="00D2048F">
        <w:rPr>
          <w:rFonts w:ascii="Times New Roman" w:hAnsi="Times New Roman" w:cs="Times New Roman"/>
          <w:sz w:val="24"/>
          <w:szCs w:val="24"/>
        </w:rPr>
        <w:t xml:space="preserve">(1), 69-82 </w:t>
      </w:r>
      <w:hyperlink r:id="rId47" w:history="1">
        <w:r w:rsidR="001032ED" w:rsidRPr="00E92917">
          <w:rPr>
            <w:rStyle w:val="Hipervnculo"/>
            <w:rFonts w:ascii="Times New Roman" w:eastAsia="Garamond" w:hAnsi="Times New Roman" w:cs="Times New Roman"/>
            <w:sz w:val="24"/>
            <w:szCs w:val="24"/>
          </w:rPr>
          <w:t>https://doi.org/10.24320/redie.2018.20.1.1409</w:t>
        </w:r>
      </w:hyperlink>
    </w:p>
    <w:p w14:paraId="1DC20F61" w14:textId="2C65D732" w:rsidR="00056D00" w:rsidRDefault="00056D00" w:rsidP="001032ED">
      <w:pPr>
        <w:pStyle w:val="Sinespaciado"/>
        <w:spacing w:line="360" w:lineRule="auto"/>
        <w:ind w:left="720" w:hanging="720"/>
        <w:jc w:val="both"/>
        <w:rPr>
          <w:rFonts w:ascii="Times New Roman" w:hAnsi="Times New Roman" w:cs="Times New Roman"/>
          <w:sz w:val="24"/>
          <w:szCs w:val="24"/>
        </w:rPr>
      </w:pPr>
      <w:proofErr w:type="spellStart"/>
      <w:r w:rsidRPr="00056D00">
        <w:rPr>
          <w:rFonts w:ascii="Times New Roman" w:hAnsi="Times New Roman" w:cs="Times New Roman"/>
          <w:sz w:val="24"/>
          <w:szCs w:val="24"/>
        </w:rPr>
        <w:t>Zarzuri</w:t>
      </w:r>
      <w:proofErr w:type="spellEnd"/>
      <w:r w:rsidRPr="00056D00">
        <w:rPr>
          <w:rFonts w:ascii="Times New Roman" w:hAnsi="Times New Roman" w:cs="Times New Roman"/>
          <w:sz w:val="24"/>
          <w:szCs w:val="24"/>
        </w:rPr>
        <w:t>, R. (2016). Las transformaciones en la participación política de los jóvenes en el Chile actual. En M. A. Garretón (ed.), La gran ruptura (pp. 133-159). LOM ediciones.</w:t>
      </w:r>
    </w:p>
    <w:p w14:paraId="781863B5" w14:textId="3C838CEC" w:rsidR="00594317" w:rsidRDefault="001A3A15" w:rsidP="001032ED">
      <w:pPr>
        <w:pStyle w:val="Sinespaciado"/>
        <w:spacing w:line="360" w:lineRule="auto"/>
        <w:ind w:left="720" w:hanging="720"/>
        <w:jc w:val="both"/>
        <w:rPr>
          <w:rFonts w:ascii="Times New Roman" w:hAnsi="Times New Roman" w:cs="Times New Roman"/>
          <w:sz w:val="24"/>
          <w:szCs w:val="24"/>
          <w:lang w:val="pt-PT"/>
        </w:rPr>
      </w:pPr>
      <w:r w:rsidRPr="00D2048F">
        <w:rPr>
          <w:rFonts w:ascii="Times New Roman" w:hAnsi="Times New Roman" w:cs="Times New Roman"/>
          <w:sz w:val="24"/>
          <w:szCs w:val="24"/>
        </w:rPr>
        <w:t xml:space="preserve">Zurita Garrido, F. A. (2015). El sistema universitario en el Chile contemporáneo. </w:t>
      </w:r>
      <w:r w:rsidRPr="00D2048F">
        <w:rPr>
          <w:rFonts w:ascii="Times New Roman" w:hAnsi="Times New Roman" w:cs="Times New Roman"/>
          <w:i/>
          <w:sz w:val="24"/>
          <w:szCs w:val="24"/>
          <w:lang w:val="pt-PT"/>
        </w:rPr>
        <w:t>Educação em Revista, 31</w:t>
      </w:r>
      <w:r w:rsidRPr="00D2048F">
        <w:rPr>
          <w:rFonts w:ascii="Times New Roman" w:hAnsi="Times New Roman" w:cs="Times New Roman"/>
          <w:sz w:val="24"/>
          <w:szCs w:val="24"/>
          <w:lang w:val="pt-PT"/>
        </w:rPr>
        <w:t xml:space="preserve">(2), 329-343. </w:t>
      </w:r>
      <w:hyperlink r:id="rId48" w:history="1">
        <w:r w:rsidR="001032ED" w:rsidRPr="00E92917">
          <w:rPr>
            <w:rStyle w:val="Hipervnculo"/>
            <w:rFonts w:ascii="Times New Roman" w:hAnsi="Times New Roman" w:cs="Times New Roman"/>
            <w:sz w:val="24"/>
            <w:szCs w:val="24"/>
            <w:lang w:val="pt-PT"/>
          </w:rPr>
          <w:t>https://doi.org/10.1590/0102-4698138059</w:t>
        </w:r>
      </w:hyperlink>
    </w:p>
    <w:p w14:paraId="505D7D8B" w14:textId="77777777" w:rsidR="001032ED" w:rsidRPr="001032ED" w:rsidRDefault="001032ED" w:rsidP="001032ED">
      <w:pPr>
        <w:pStyle w:val="Sinespaciado"/>
        <w:spacing w:line="360" w:lineRule="auto"/>
        <w:ind w:left="720" w:hanging="720"/>
        <w:jc w:val="both"/>
        <w:rPr>
          <w:rFonts w:ascii="Times New Roman" w:hAnsi="Times New Roman" w:cs="Times New Roman"/>
          <w:color w:val="FF0000"/>
          <w:sz w:val="24"/>
          <w:szCs w:val="24"/>
        </w:rPr>
      </w:pPr>
    </w:p>
    <w:sectPr w:rsidR="001032ED" w:rsidRPr="001032ED" w:rsidSect="0059034C">
      <w:headerReference w:type="even" r:id="rId49"/>
      <w:headerReference w:type="default" r:id="rId50"/>
      <w:footerReference w:type="even"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F6F5" w14:textId="77777777" w:rsidR="003E438F" w:rsidRDefault="003E438F" w:rsidP="00C413D4">
      <w:r>
        <w:separator/>
      </w:r>
    </w:p>
  </w:endnote>
  <w:endnote w:type="continuationSeparator" w:id="0">
    <w:p w14:paraId="40C976C1" w14:textId="77777777" w:rsidR="003E438F" w:rsidRDefault="003E438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548F" w14:textId="77777777" w:rsidR="003E438F" w:rsidRDefault="003E438F" w:rsidP="00C413D4">
      <w:r>
        <w:separator/>
      </w:r>
    </w:p>
  </w:footnote>
  <w:footnote w:type="continuationSeparator" w:id="0">
    <w:p w14:paraId="090EFD90" w14:textId="77777777" w:rsidR="003E438F" w:rsidRDefault="003E438F" w:rsidP="00C413D4">
      <w:r>
        <w:continuationSeparator/>
      </w:r>
    </w:p>
  </w:footnote>
  <w:footnote w:id="1">
    <w:p w14:paraId="274EBCA7" w14:textId="77777777" w:rsidR="00761DF5" w:rsidRPr="00434775" w:rsidRDefault="00761DF5" w:rsidP="00761DF5">
      <w:pPr>
        <w:pBdr>
          <w:top w:val="nil"/>
          <w:left w:val="nil"/>
          <w:bottom w:val="nil"/>
          <w:right w:val="nil"/>
          <w:between w:val="nil"/>
        </w:pBdr>
        <w:spacing w:line="480" w:lineRule="auto"/>
        <w:jc w:val="both"/>
        <w:rPr>
          <w:rFonts w:eastAsia="Garamond"/>
          <w:color w:val="000000"/>
        </w:rPr>
      </w:pPr>
      <w:r w:rsidRPr="00434775">
        <w:rPr>
          <w:sz w:val="20"/>
          <w:szCs w:val="20"/>
          <w:vertAlign w:val="superscript"/>
        </w:rPr>
        <w:footnoteRef/>
      </w:r>
      <w:r w:rsidRPr="00434775">
        <w:rPr>
          <w:rFonts w:eastAsia="Garamond"/>
          <w:color w:val="000000"/>
          <w:sz w:val="14"/>
          <w:szCs w:val="14"/>
        </w:rPr>
        <w:t xml:space="preserve"> </w:t>
      </w:r>
      <w:r w:rsidRPr="00434775">
        <w:rPr>
          <w:rFonts w:eastAsia="Garamond"/>
          <w:i/>
          <w:color w:val="000000"/>
          <w:sz w:val="20"/>
          <w:szCs w:val="20"/>
        </w:rPr>
        <w:t>Proyecto Tuning</w:t>
      </w:r>
      <w:r w:rsidRPr="00434775">
        <w:rPr>
          <w:rFonts w:eastAsia="Garamond"/>
          <w:color w:val="000000"/>
          <w:sz w:val="20"/>
          <w:szCs w:val="20"/>
        </w:rPr>
        <w:t xml:space="preserve"> Latinoamérica, 2004, a cargo de una serie de universidades representantes de todo el continente.</w:t>
      </w:r>
    </w:p>
  </w:footnote>
  <w:footnote w:id="2">
    <w:p w14:paraId="106E5573" w14:textId="77777777" w:rsidR="00680260" w:rsidRPr="004A552A" w:rsidRDefault="00680260" w:rsidP="00680260">
      <w:pPr>
        <w:pBdr>
          <w:top w:val="nil"/>
          <w:left w:val="nil"/>
          <w:bottom w:val="nil"/>
          <w:right w:val="nil"/>
          <w:between w:val="nil"/>
        </w:pBdr>
        <w:spacing w:line="360" w:lineRule="auto"/>
        <w:jc w:val="both"/>
        <w:rPr>
          <w:rFonts w:eastAsia="Garamond"/>
          <w:color w:val="000000"/>
          <w:sz w:val="20"/>
          <w:szCs w:val="20"/>
        </w:rPr>
      </w:pPr>
      <w:r w:rsidRPr="00B85289">
        <w:rPr>
          <w:rStyle w:val="Refdenotaalpie"/>
          <w:sz w:val="16"/>
          <w:szCs w:val="16"/>
        </w:rPr>
        <w:footnoteRef/>
      </w:r>
      <w:r w:rsidRPr="00B85289">
        <w:rPr>
          <w:rFonts w:eastAsia="Garamond"/>
          <w:color w:val="000000"/>
          <w:sz w:val="16"/>
          <w:szCs w:val="16"/>
        </w:rPr>
        <w:t xml:space="preserve"> En Chile, las universidades son catalogadas como Estatales-tradicionales, Privadas-tradicionales -reciben un aporte económico por parte del Estado- y Privadas-no tradicionales, que poseen un modelo de autogestión y sustentación económica no estatal.</w:t>
      </w:r>
    </w:p>
  </w:footnote>
  <w:footnote w:id="3">
    <w:p w14:paraId="4AAA9BF2" w14:textId="77777777" w:rsidR="001A3A15" w:rsidRPr="001A3A15" w:rsidRDefault="001A3A15" w:rsidP="001A3A15">
      <w:pPr>
        <w:spacing w:line="360" w:lineRule="auto"/>
        <w:rPr>
          <w:rFonts w:eastAsia="Garamond"/>
        </w:rPr>
      </w:pPr>
      <w:r w:rsidRPr="001A3A15">
        <w:rPr>
          <w:sz w:val="16"/>
          <w:szCs w:val="16"/>
          <w:vertAlign w:val="superscript"/>
        </w:rPr>
        <w:footnoteRef/>
      </w:r>
      <w:r w:rsidRPr="001A3A15">
        <w:rPr>
          <w:rFonts w:eastAsia="Garamond"/>
          <w:sz w:val="16"/>
          <w:szCs w:val="16"/>
        </w:rPr>
        <w:t xml:space="preserve"> </w:t>
      </w:r>
      <w:r w:rsidRPr="001A3A15">
        <w:rPr>
          <w:rFonts w:eastAsia="Garamond"/>
          <w:i/>
          <w:sz w:val="16"/>
          <w:szCs w:val="16"/>
        </w:rPr>
        <w:t>Lexis</w:t>
      </w:r>
      <w:r w:rsidRPr="001A3A15">
        <w:rPr>
          <w:rFonts w:eastAsia="Garamond"/>
          <w:sz w:val="16"/>
          <w:szCs w:val="16"/>
        </w:rPr>
        <w:t xml:space="preserve"> y </w:t>
      </w:r>
      <w:r w:rsidRPr="001A3A15">
        <w:rPr>
          <w:rFonts w:eastAsia="Garamond"/>
          <w:i/>
          <w:sz w:val="16"/>
          <w:szCs w:val="16"/>
        </w:rPr>
        <w:t>Praxis</w:t>
      </w:r>
      <w:r w:rsidRPr="001A3A15">
        <w:rPr>
          <w:rFonts w:eastAsia="Garamond"/>
          <w:sz w:val="16"/>
          <w:szCs w:val="16"/>
        </w:rPr>
        <w:t xml:space="preserve"> como conceptos originales de Anna Arendt (1963, citada por Goyenechea, 2022), a propósito de su noción y desarrollo teórico acerca de la ciudadanía.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774351592">
    <w:abstractNumId w:val="10"/>
  </w:num>
  <w:num w:numId="2" w16cid:durableId="1464272236">
    <w:abstractNumId w:val="4"/>
  </w:num>
  <w:num w:numId="3" w16cid:durableId="487942531">
    <w:abstractNumId w:val="5"/>
  </w:num>
  <w:num w:numId="4" w16cid:durableId="1458641599">
    <w:abstractNumId w:val="6"/>
  </w:num>
  <w:num w:numId="5" w16cid:durableId="1236356731">
    <w:abstractNumId w:val="7"/>
  </w:num>
  <w:num w:numId="6" w16cid:durableId="1962376487">
    <w:abstractNumId w:val="9"/>
  </w:num>
  <w:num w:numId="7" w16cid:durableId="1392998623">
    <w:abstractNumId w:val="0"/>
  </w:num>
  <w:num w:numId="8" w16cid:durableId="1732074790">
    <w:abstractNumId w:val="1"/>
  </w:num>
  <w:num w:numId="9" w16cid:durableId="1748722099">
    <w:abstractNumId w:val="2"/>
  </w:num>
  <w:num w:numId="10" w16cid:durableId="194343748">
    <w:abstractNumId w:val="3"/>
  </w:num>
  <w:num w:numId="11" w16cid:durableId="1152327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56D00"/>
    <w:rsid w:val="00076F0A"/>
    <w:rsid w:val="000D35CD"/>
    <w:rsid w:val="000E3B16"/>
    <w:rsid w:val="001032ED"/>
    <w:rsid w:val="00107993"/>
    <w:rsid w:val="001253E7"/>
    <w:rsid w:val="00127870"/>
    <w:rsid w:val="001516ED"/>
    <w:rsid w:val="00153DC5"/>
    <w:rsid w:val="001566F6"/>
    <w:rsid w:val="001A3A15"/>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38F"/>
    <w:rsid w:val="003E4B06"/>
    <w:rsid w:val="0042142D"/>
    <w:rsid w:val="004306F6"/>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80260"/>
    <w:rsid w:val="006937D3"/>
    <w:rsid w:val="006A1BA2"/>
    <w:rsid w:val="006B0812"/>
    <w:rsid w:val="006B088F"/>
    <w:rsid w:val="006B294A"/>
    <w:rsid w:val="006C21BC"/>
    <w:rsid w:val="006F676F"/>
    <w:rsid w:val="006F6924"/>
    <w:rsid w:val="006F7E7E"/>
    <w:rsid w:val="00700F77"/>
    <w:rsid w:val="00704ECD"/>
    <w:rsid w:val="00724F5C"/>
    <w:rsid w:val="00732110"/>
    <w:rsid w:val="00742E4A"/>
    <w:rsid w:val="0075056B"/>
    <w:rsid w:val="00761DF5"/>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8D6D3D"/>
    <w:rsid w:val="009032D5"/>
    <w:rsid w:val="00903DEB"/>
    <w:rsid w:val="00977250"/>
    <w:rsid w:val="00993241"/>
    <w:rsid w:val="009A583F"/>
    <w:rsid w:val="009B3EF3"/>
    <w:rsid w:val="009D2551"/>
    <w:rsid w:val="00A30790"/>
    <w:rsid w:val="00A457D0"/>
    <w:rsid w:val="00A516C7"/>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4447E"/>
    <w:rsid w:val="00C64ECF"/>
    <w:rsid w:val="00C84812"/>
    <w:rsid w:val="00CA3BFF"/>
    <w:rsid w:val="00CA3C92"/>
    <w:rsid w:val="00CD290B"/>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D6D3D"/>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32110"/>
    <w:pPr>
      <w:jc w:val="center"/>
      <w:outlineLvl w:val="0"/>
    </w:pPr>
    <w:rPr>
      <w:rFonts w:eastAsia="Garamond"/>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8D6D3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61DF5"/>
    <w:pPr>
      <w:spacing w:line="360" w:lineRule="auto"/>
      <w:jc w:val="center"/>
      <w:outlineLvl w:val="0"/>
    </w:pPr>
    <w:rPr>
      <w:lang w:val="pt-BR"/>
    </w:rPr>
  </w:style>
  <w:style w:type="character" w:customStyle="1" w:styleId="TitulodeartculoCar">
    <w:name w:val="Titulo de artículo Car"/>
    <w:basedOn w:val="Fuentedeprrafopredeter"/>
    <w:link w:val="Titulodeartculo"/>
    <w:rsid w:val="00732110"/>
    <w:rPr>
      <w:rFonts w:ascii="Times New Roman" w:eastAsia="Garamond"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61DF5"/>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Prrafodelista">
    <w:name w:val="List Paragraph"/>
    <w:basedOn w:val="Normal"/>
    <w:uiPriority w:val="1"/>
    <w:qFormat/>
    <w:rsid w:val="00761DF5"/>
    <w:pPr>
      <w:spacing w:after="200" w:line="276" w:lineRule="auto"/>
      <w:ind w:left="720"/>
      <w:contextualSpacing/>
    </w:pPr>
    <w:rPr>
      <w:rFonts w:ascii="Calibri" w:eastAsia="Calibri" w:hAnsi="Calibri" w:cs="Calibri"/>
      <w:sz w:val="22"/>
      <w:szCs w:val="22"/>
      <w:lang w:val="es-CL" w:eastAsia="es-CL"/>
    </w:rPr>
  </w:style>
  <w:style w:type="paragraph" w:styleId="Sinespaciado">
    <w:name w:val="No Spacing"/>
    <w:uiPriority w:val="1"/>
    <w:qFormat/>
    <w:rsid w:val="004306F6"/>
    <w:rPr>
      <w:rFonts w:ascii="Calibri" w:eastAsia="Calibri" w:hAnsi="Calibri" w:cs="Calibri"/>
      <w:sz w:val="22"/>
      <w:szCs w:val="22"/>
      <w:lang w:val="es-CL" w:eastAsia="es-CL"/>
    </w:rPr>
  </w:style>
  <w:style w:type="character" w:styleId="nfasis">
    <w:name w:val="Emphasis"/>
    <w:basedOn w:val="Fuentedeprrafopredeter"/>
    <w:uiPriority w:val="20"/>
    <w:qFormat/>
    <w:rsid w:val="001A3A15"/>
    <w:rPr>
      <w:i/>
      <w:iCs/>
    </w:rPr>
  </w:style>
  <w:style w:type="character" w:customStyle="1" w:styleId="highlight">
    <w:name w:val="highlight"/>
    <w:basedOn w:val="Fuentedeprrafopredeter"/>
    <w:rsid w:val="001A3A15"/>
  </w:style>
  <w:style w:type="character" w:customStyle="1" w:styleId="markedcontent">
    <w:name w:val="markedcontent"/>
    <w:basedOn w:val="Fuentedeprrafopredeter"/>
    <w:rsid w:val="001A3A15"/>
  </w:style>
  <w:style w:type="character" w:customStyle="1" w:styleId="group-doi">
    <w:name w:val="group-doi"/>
    <w:basedOn w:val="Fuentedeprrafopredeter"/>
    <w:rsid w:val="001A3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HWyXCk" TargetMode="External"/><Relationship Id="rId18" Type="http://schemas.openxmlformats.org/officeDocument/2006/relationships/hyperlink" Target="https://doi.org/10.5944/reop.vol.29.num.3.2018.23324" TargetMode="External"/><Relationship Id="rId26" Type="http://schemas.openxmlformats.org/officeDocument/2006/relationships/hyperlink" Target="https://doi.org/10.37467/gkarevhuman.v11.3179" TargetMode="External"/><Relationship Id="rId39" Type="http://schemas.openxmlformats.org/officeDocument/2006/relationships/hyperlink" Target="https://bit.ly/3vdJ7ac" TargetMode="External"/><Relationship Id="rId21" Type="http://schemas.openxmlformats.org/officeDocument/2006/relationships/hyperlink" Target="https://bit.ly/3Vn4pfY" TargetMode="External"/><Relationship Id="rId34" Type="http://schemas.openxmlformats.org/officeDocument/2006/relationships/hyperlink" Target="http://orcid.org/0000-0001-6010-9604" TargetMode="External"/><Relationship Id="rId42" Type="http://schemas.openxmlformats.org/officeDocument/2006/relationships/hyperlink" Target="https://dx.doi.org/10.4135/9781412984997" TargetMode="External"/><Relationship Id="rId47" Type="http://schemas.openxmlformats.org/officeDocument/2006/relationships/hyperlink" Target="https://doi.org/10.24320/redie.2018.20.1.1409"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t.ly/3HYbCQB" TargetMode="External"/><Relationship Id="rId29" Type="http://schemas.openxmlformats.org/officeDocument/2006/relationships/hyperlink" Target="https://doi.org/10.5354/0719-0581.2006.18417" TargetMode="External"/><Relationship Id="rId11" Type="http://schemas.openxmlformats.org/officeDocument/2006/relationships/hyperlink" Target="https://bit.ly/3WJwI9P" TargetMode="External"/><Relationship Id="rId24" Type="http://schemas.openxmlformats.org/officeDocument/2006/relationships/hyperlink" Target="https://bit.ly/3BXbwou" TargetMode="External"/><Relationship Id="rId32" Type="http://schemas.openxmlformats.org/officeDocument/2006/relationships/hyperlink" Target="https://doi.org/10.19053/22158391.13316" TargetMode="External"/><Relationship Id="rId37" Type="http://schemas.openxmlformats.org/officeDocument/2006/relationships/hyperlink" Target="https://bit.ly/3FRMd8y" TargetMode="External"/><Relationship Id="rId40" Type="http://schemas.openxmlformats.org/officeDocument/2006/relationships/hyperlink" Target="https://doi.org/10.1590/S0102-71822008000200002" TargetMode="External"/><Relationship Id="rId45" Type="http://schemas.openxmlformats.org/officeDocument/2006/relationships/hyperlink" Target="https://doi.org/10.1590/1982-0259.2021.e7355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svg"/><Relationship Id="rId19" Type="http://schemas.openxmlformats.org/officeDocument/2006/relationships/hyperlink" Target="https://bit.ly/3Ghaw1q" TargetMode="External"/><Relationship Id="rId31" Type="http://schemas.openxmlformats.org/officeDocument/2006/relationships/hyperlink" Target="https://doi.org/10.24201/es.2019v37n109.1732" TargetMode="External"/><Relationship Id="rId44" Type="http://schemas.openxmlformats.org/officeDocument/2006/relationships/hyperlink" Target="https://doi.org/10.7764/rts.81.79-94"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6018/analesps.29.3.178511" TargetMode="External"/><Relationship Id="rId22" Type="http://schemas.openxmlformats.org/officeDocument/2006/relationships/hyperlink" Target="https://bit.ly/3FQDeVp" TargetMode="External"/><Relationship Id="rId27" Type="http://schemas.openxmlformats.org/officeDocument/2006/relationships/hyperlink" Target="https://journal.sipsych.org/index.php/IJP/article/view/822/714" TargetMode="External"/><Relationship Id="rId30" Type="http://schemas.openxmlformats.org/officeDocument/2006/relationships/hyperlink" Target="https://bit.ly/3GbnH3H" TargetMode="External"/><Relationship Id="rId35" Type="http://schemas.openxmlformats.org/officeDocument/2006/relationships/hyperlink" Target="https://bit.ly/3WBGOJC" TargetMode="External"/><Relationship Id="rId43" Type="http://schemas.openxmlformats.org/officeDocument/2006/relationships/hyperlink" Target="https://bit.ly/3hMrPOa" TargetMode="External"/><Relationship Id="rId48" Type="http://schemas.openxmlformats.org/officeDocument/2006/relationships/hyperlink" Target="https://doi.org/10.1590/0102-4698138059" TargetMode="External"/><Relationship Id="rId8" Type="http://schemas.openxmlformats.org/officeDocument/2006/relationships/hyperlink" Target="https://sipsych.org/"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bit.ly/3BT8lOD" TargetMode="External"/><Relationship Id="rId17" Type="http://schemas.openxmlformats.org/officeDocument/2006/relationships/hyperlink" Target="https://bit.ly/3VjzVf8" TargetMode="External"/><Relationship Id="rId25" Type="http://schemas.openxmlformats.org/officeDocument/2006/relationships/hyperlink" Target="https://dx.doi.org/10.3989/isegoria.1992.i6.324" TargetMode="External"/><Relationship Id="rId33" Type="http://schemas.openxmlformats.org/officeDocument/2006/relationships/hyperlink" Target="https://bit.ly/3PLo3kV" TargetMode="External"/><Relationship Id="rId38" Type="http://schemas.openxmlformats.org/officeDocument/2006/relationships/hyperlink" Target="https://bit.ly/3Vl8qBC" TargetMode="External"/><Relationship Id="rId46" Type="http://schemas.openxmlformats.org/officeDocument/2006/relationships/hyperlink" Target="https://bit.ly/3BVkti8" TargetMode="External"/><Relationship Id="rId20" Type="http://schemas.openxmlformats.org/officeDocument/2006/relationships/hyperlink" Target="https://bit.ly/3CINw9k" TargetMode="External"/><Relationship Id="rId41" Type="http://schemas.openxmlformats.org/officeDocument/2006/relationships/hyperlink" Target="https://bit.ly/3HWAsQ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t.ly/3QwUmUU" TargetMode="External"/><Relationship Id="rId23" Type="http://schemas.openxmlformats.org/officeDocument/2006/relationships/hyperlink" Target="https://bit.ly/3PMgw5f" TargetMode="External"/><Relationship Id="rId28" Type="http://schemas.openxmlformats.org/officeDocument/2006/relationships/hyperlink" Target="https://bit.ly/3YJPCPu" TargetMode="External"/><Relationship Id="rId36" Type="http://schemas.openxmlformats.org/officeDocument/2006/relationships/hyperlink" Target="https://dx.doi.org/10.4067/S0718-50492019000100129"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6876</Words>
  <Characters>37824</Characters>
  <Application>Microsoft Office Word</Application>
  <DocSecurity>0</DocSecurity>
  <Lines>315</Lines>
  <Paragraphs>89</Paragraphs>
  <ScaleCrop>false</ScaleCrop>
  <Company/>
  <LinksUpToDate>false</LinksUpToDate>
  <CharactersWithSpaces>44611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2023-04-10T22:07:00Z</dcterms:created>
  <dcterms:modified xsi:type="dcterms:W3CDTF">2023-04-10T22:08:00Z</dcterms:modified>
</cp:coreProperties>
</file>