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25CE5B91" w:rsidR="00742E4A" w:rsidRPr="00E25900" w:rsidRDefault="00153DC5" w:rsidP="00977250">
      <w:pPr>
        <w:pStyle w:val="Titulodeartculo"/>
        <w:rPr>
          <w:lang w:val="en-US" w:eastAsia="pt-BR"/>
        </w:rPr>
      </w:pPr>
      <w:r w:rsidRPr="002B2297">
        <w:rPr>
          <w:lang w:val="en-US"/>
        </w:rPr>
        <w:t xml:space="preserve"> </w:t>
      </w:r>
      <w:r w:rsidR="00050EC2" w:rsidRPr="00050EC2">
        <w:rPr>
          <w:lang w:val="en-US"/>
        </w:rPr>
        <w:t>Test Anxiety and Academic Procastination: A Study with Brazilian University Students</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5A26F683" w:rsidR="00C413D4" w:rsidRPr="00E25900" w:rsidRDefault="00050EC2" w:rsidP="005B5614">
      <w:pPr>
        <w:jc w:val="both"/>
        <w:rPr>
          <w:sz w:val="20"/>
          <w:szCs w:val="20"/>
          <w:lang w:val="en-US"/>
        </w:rPr>
      </w:pPr>
      <w:r w:rsidRPr="00050EC2">
        <w:rPr>
          <w:sz w:val="20"/>
          <w:szCs w:val="20"/>
          <w:lang w:val="en-US"/>
        </w:rPr>
        <w:t xml:space="preserve">The present study aimed to verify the predictive power of test-related cognitive anxiety on academic procrastination among university students from the interior of Piauí, as well as to determine if levels of test-related cognitive anxiety and academic procrastination differ based on participants' gender. The participation of 204 university students from a public institution of higher education (IES) in Brazil was counted (Mean age = 22.88; SD = 5.09). </w:t>
      </w:r>
      <w:proofErr w:type="gramStart"/>
      <w:r w:rsidRPr="00050EC2">
        <w:rPr>
          <w:sz w:val="20"/>
          <w:szCs w:val="20"/>
          <w:lang w:val="en-US"/>
        </w:rPr>
        <w:t>The majority of</w:t>
      </w:r>
      <w:proofErr w:type="gramEnd"/>
      <w:r w:rsidRPr="00050EC2">
        <w:rPr>
          <w:sz w:val="20"/>
          <w:szCs w:val="20"/>
          <w:lang w:val="en-US"/>
        </w:rPr>
        <w:t xml:space="preserve"> participants were women (57.8%), who were majoring in Pedagogy (27%), Portuguese Language and Literature (15.7%), and Law (15.2%). The Test Anxiety Cognitive Scale, Tuckman Procrastination Scale, and sociodemographic questions were utilized. The results, using Pearson correlation and multiple regression analysis, demonstrated that test-related cognitive anxiety was positively and significantly related to academic procrastination. Finally, an independent samples t-test was conducted, revealing no significant differences in academic procrastination between men and women; however, women exhibited higher levels of test-related cognitive anxiety compared to men. It is concluded that test-related cognitive anxiety and academic procrastination are positively related, leading to negative consequences for university students, particularly for women who appear to be more vulnerable to anxiety in evaluative contexts.</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6AC1C10A" w:rsidR="00153DC5" w:rsidRPr="00E25900" w:rsidRDefault="00B02133" w:rsidP="007A7C7C">
      <w:pPr>
        <w:jc w:val="both"/>
        <w:rPr>
          <w:bCs/>
          <w:sz w:val="20"/>
          <w:szCs w:val="20"/>
          <w:lang w:val="en-US"/>
        </w:rPr>
      </w:pPr>
      <w:r w:rsidRPr="00B02133">
        <w:rPr>
          <w:bCs/>
          <w:sz w:val="20"/>
          <w:szCs w:val="20"/>
          <w:lang w:val="en-US"/>
        </w:rPr>
        <w:t>word</w:t>
      </w:r>
      <w:r w:rsidR="00050EC2" w:rsidRPr="00050EC2">
        <w:t xml:space="preserve"> </w:t>
      </w:r>
      <w:r w:rsidR="00050EC2">
        <w:rPr>
          <w:bCs/>
          <w:sz w:val="20"/>
          <w:szCs w:val="20"/>
          <w:lang w:val="en-US"/>
        </w:rPr>
        <w:t>t</w:t>
      </w:r>
      <w:r w:rsidR="00050EC2" w:rsidRPr="00050EC2">
        <w:rPr>
          <w:bCs/>
          <w:sz w:val="20"/>
          <w:szCs w:val="20"/>
          <w:lang w:val="en-US"/>
        </w:rPr>
        <w:t xml:space="preserve">est </w:t>
      </w:r>
      <w:r w:rsidR="00050EC2">
        <w:rPr>
          <w:bCs/>
          <w:sz w:val="20"/>
          <w:szCs w:val="20"/>
          <w:lang w:val="en-US"/>
        </w:rPr>
        <w:t>a</w:t>
      </w:r>
      <w:r w:rsidR="00050EC2" w:rsidRPr="00050EC2">
        <w:rPr>
          <w:bCs/>
          <w:sz w:val="20"/>
          <w:szCs w:val="20"/>
          <w:lang w:val="en-US"/>
        </w:rPr>
        <w:t>nxiety; procrastination; university</w:t>
      </w:r>
    </w:p>
    <w:p w14:paraId="3C2A8692" w14:textId="46796CA0" w:rsidR="00153DC5" w:rsidRPr="00E25900" w:rsidRDefault="00153DC5" w:rsidP="007A7C7C">
      <w:pPr>
        <w:jc w:val="both"/>
        <w:rPr>
          <w:bCs/>
          <w:sz w:val="20"/>
          <w:szCs w:val="20"/>
          <w:lang w:val="en-US"/>
        </w:rPr>
      </w:pPr>
    </w:p>
    <w:p w14:paraId="1D18B459" w14:textId="7B6B2E61"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r w:rsidRPr="00EA5C75">
        <w:rPr>
          <w:b/>
          <w:smallCaps/>
          <w:color w:val="000000"/>
          <w:sz w:val="20"/>
          <w:szCs w:val="20"/>
          <w:lang w:val="en-US"/>
        </w:rPr>
        <w:t xml:space="preserve">Resumo </w:t>
      </w:r>
    </w:p>
    <w:p w14:paraId="57CB705B" w14:textId="69CA3460" w:rsidR="009E37BF" w:rsidRPr="00EA5C75" w:rsidRDefault="00050EC2" w:rsidP="009E37BF">
      <w:pPr>
        <w:jc w:val="both"/>
        <w:rPr>
          <w:i/>
          <w:sz w:val="20"/>
          <w:szCs w:val="20"/>
          <w:lang w:val="en-US"/>
        </w:rPr>
      </w:pPr>
      <w:r w:rsidRPr="00050EC2">
        <w:rPr>
          <w:sz w:val="20"/>
          <w:szCs w:val="20"/>
          <w:lang w:val="en-US"/>
        </w:rPr>
        <w:t>A presente pesquisa objetivou verificar o poder preditivo da ansiedade cognitiva de provas na procrastinação acadêmica de universitários do interior do Piauí, além de verificar se os níveis de ansiedade cognitiva de provas e a procrastinação acadêmica se diferem em função do gênero dos participantes. Contou-se com a participação de 204 estudantes universitários de uma Instituição pública de Ensino Superior (IES) do Brasil (Midade = 22,88; DP = 5,09). Estes eram em maioria mulheres (57,8%), que cursavam Pedagogia (27%), Letras Português (15,7%), Direito (15,2%). Foram utilizadas Escala de Ansiedade Cognitiva de Provas, a Tuckman Procrastination Scale. e questões sociodemográficas. Os resultados, por meio da correlação de Pearson e regressão múltipla, demonstraram que a ansiedade cognitiva de provas estava relacionada de forma positiva e significativa com a procrastinação acadêmica. Por fim, foi realizado o Teste-t de Student, para amostras independentes, que se evidenciou não haver diferenças significativas da procrastinação acadêmica entre homens e mulheres; entretanto, em relação a ansiedade cognitiva de provas, as mulheres apresentaram níveis mais elevados de ansiedade cognitiva frente a provas em comparação aos homens. Conclui-se que a ansiedade cognitiva de provas e a procrastinação acadêmica estão relacionados positivamente, ocasionando consequências negativas para os universitários, principalmente as mulheres que se apresentam como mais vulneráveis para a ansiedade em contextos avaliativos.</w:t>
      </w:r>
    </w:p>
    <w:p w14:paraId="32A22B7A" w14:textId="77777777" w:rsidR="009E37BF" w:rsidRPr="00EA5C75" w:rsidRDefault="009E37BF" w:rsidP="009E37BF">
      <w:pPr>
        <w:rPr>
          <w:sz w:val="20"/>
          <w:szCs w:val="20"/>
          <w:lang w:val="en-US"/>
        </w:rPr>
      </w:pPr>
    </w:p>
    <w:p w14:paraId="126AA7B0" w14:textId="5E94DB1F" w:rsidR="009E37BF" w:rsidRPr="00EA5C75" w:rsidRDefault="009E37BF" w:rsidP="009E37BF">
      <w:pPr>
        <w:jc w:val="both"/>
        <w:rPr>
          <w:b/>
          <w:sz w:val="20"/>
          <w:szCs w:val="20"/>
          <w:lang w:val="en-US"/>
        </w:rPr>
      </w:pPr>
      <w:r w:rsidRPr="00EA5C75">
        <w:rPr>
          <w:b/>
          <w:sz w:val="20"/>
          <w:szCs w:val="20"/>
          <w:lang w:val="en-US"/>
        </w:rPr>
        <w:t>Palavras-chave</w:t>
      </w:r>
    </w:p>
    <w:p w14:paraId="7189B82D" w14:textId="0B3E677F" w:rsidR="00E55124" w:rsidRPr="009E37BF" w:rsidRDefault="00050EC2" w:rsidP="009E37BF">
      <w:pPr>
        <w:jc w:val="both"/>
        <w:rPr>
          <w:bCs/>
          <w:sz w:val="20"/>
          <w:szCs w:val="20"/>
          <w:lang w:val="pt-BR"/>
        </w:rPr>
      </w:pPr>
      <w:r>
        <w:rPr>
          <w:bCs/>
          <w:noProof/>
          <w:sz w:val="20"/>
          <w:szCs w:val="20"/>
          <w:lang w:val="pt-BR"/>
        </w:rPr>
        <w:t>a</w:t>
      </w:r>
      <w:r w:rsidRPr="00050EC2">
        <w:rPr>
          <w:bCs/>
          <w:noProof/>
          <w:sz w:val="20"/>
          <w:szCs w:val="20"/>
          <w:lang w:val="pt-BR"/>
        </w:rPr>
        <w:t xml:space="preserve">nsiedade </w:t>
      </w:r>
      <w:r w:rsidR="00734588">
        <w:rPr>
          <w:bCs/>
          <w:noProof/>
          <w:sz w:val="20"/>
          <w:szCs w:val="20"/>
          <w:lang w:val="pt-BR"/>
        </w:rPr>
        <w:t>de</w:t>
      </w:r>
      <w:r w:rsidRPr="00050EC2">
        <w:rPr>
          <w:bCs/>
          <w:noProof/>
          <w:sz w:val="20"/>
          <w:szCs w:val="20"/>
          <w:lang w:val="pt-BR"/>
        </w:rPr>
        <w:t xml:space="preserve"> </w:t>
      </w:r>
      <w:r>
        <w:rPr>
          <w:bCs/>
          <w:noProof/>
          <w:sz w:val="20"/>
          <w:szCs w:val="20"/>
          <w:lang w:val="pt-BR"/>
        </w:rPr>
        <w:t>p</w:t>
      </w:r>
      <w:r w:rsidRPr="00050EC2">
        <w:rPr>
          <w:bCs/>
          <w:noProof/>
          <w:sz w:val="20"/>
          <w:szCs w:val="20"/>
          <w:lang w:val="pt-BR"/>
        </w:rPr>
        <w:t xml:space="preserve">rova; procrastinação; universitários </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61E9FF99" w:rsidR="00153DC5" w:rsidRPr="00E25900" w:rsidRDefault="0059034C" w:rsidP="007A7CDC">
      <w:pPr>
        <w:pStyle w:val="Ttuloprincipiodeartculo"/>
        <w:rPr>
          <w:lang w:val="es-AR"/>
        </w:rPr>
      </w:pPr>
      <w:r w:rsidRPr="009E37BF">
        <w:rPr>
          <w:lang w:val="es-AR"/>
        </w:rPr>
        <w:br w:type="page"/>
      </w:r>
      <w:r w:rsidR="00B02133">
        <w:rPr>
          <w:lang w:val="es-AR"/>
        </w:rPr>
        <w:lastRenderedPageBreak/>
        <w:t xml:space="preserve"> </w:t>
      </w:r>
      <w:r w:rsidR="00050EC2" w:rsidRPr="00050EC2">
        <w:rPr>
          <w:lang w:val="es-AR"/>
        </w:rPr>
        <w:t>Ansiedade Cognitiva de Provas e Procrastinação Acadêmica: Um Estudo com Universitários do Brasil</w:t>
      </w:r>
    </w:p>
    <w:p w14:paraId="4FA726CB" w14:textId="2D8AC943" w:rsidR="006A1BA2" w:rsidRPr="0042142D" w:rsidRDefault="00153DC5" w:rsidP="00CE7D65">
      <w:pPr>
        <w:pStyle w:val="Ttulosinternos"/>
        <w:rPr>
          <w:bCs/>
        </w:rPr>
      </w:pPr>
      <w:r w:rsidRPr="0042142D">
        <w:t>Introdu</w:t>
      </w:r>
      <w:r w:rsidR="00E6641C">
        <w:t>ção</w:t>
      </w:r>
    </w:p>
    <w:p w14:paraId="14C4084B" w14:textId="5B789B9A" w:rsidR="002075A5" w:rsidRPr="00297145" w:rsidRDefault="002075A5" w:rsidP="002075A5">
      <w:pPr>
        <w:spacing w:line="360" w:lineRule="auto"/>
        <w:ind w:firstLine="708"/>
        <w:jc w:val="both"/>
        <w:rPr>
          <w:rFonts w:eastAsia="Arial"/>
          <w:bCs/>
        </w:rPr>
      </w:pPr>
      <w:r w:rsidRPr="00297145">
        <w:rPr>
          <w:rFonts w:eastAsia="Arial"/>
          <w:bCs/>
        </w:rPr>
        <w:t>No contexto acadêmico as pessoas estão frequentemente expostas a situações de ameaça, as quais podem gerar ansiedade (Reali et al., 2016</w:t>
      </w:r>
      <w:r w:rsidRPr="00297145">
        <w:rPr>
          <w:rFonts w:eastAsia="Arial"/>
        </w:rPr>
        <w:t>),</w:t>
      </w:r>
      <w:r w:rsidRPr="00297145">
        <w:rPr>
          <w:rFonts w:eastAsia="Arial"/>
          <w:bCs/>
        </w:rPr>
        <w:t xml:space="preserve"> por exemplo, o estresse devido às cobranças pessoais e sociais, atreladas a longas horas de estudo, podem afetar o desempenho acadêmico (Medeiros et al., 2020). Essas demandas e exigências podem gerar sintomatologias negativas que se aplicam a contextos específicos, como os avaliativos, a exemplo da ansiedade de provas (Silva et al., 2022). </w:t>
      </w:r>
    </w:p>
    <w:p w14:paraId="3F7EE217" w14:textId="77777777" w:rsidR="002075A5" w:rsidRPr="00297145" w:rsidRDefault="002075A5" w:rsidP="002075A5">
      <w:pPr>
        <w:spacing w:line="360" w:lineRule="auto"/>
        <w:ind w:firstLine="708"/>
        <w:jc w:val="both"/>
        <w:rPr>
          <w:rFonts w:eastAsia="Arial"/>
          <w:bCs/>
        </w:rPr>
      </w:pPr>
      <w:r w:rsidRPr="00297145">
        <w:rPr>
          <w:rFonts w:eastAsia="Arial"/>
          <w:bCs/>
        </w:rPr>
        <w:t xml:space="preserve">Especificamente, a ansiedade de prova, é uma forma de ansiedade específica (situacional) em que os indivíduos </w:t>
      </w:r>
      <w:r w:rsidRPr="00297145">
        <w:rPr>
          <w:rFonts w:eastAsia="Arial"/>
        </w:rPr>
        <w:t>interpretam</w:t>
      </w:r>
      <w:r w:rsidRPr="00297145">
        <w:rPr>
          <w:rFonts w:eastAsia="Arial"/>
          <w:bCs/>
        </w:rPr>
        <w:t xml:space="preserve"> as situações de avaliação do desempenho como ameaçadora (Huntley et al., 2022), </w:t>
      </w:r>
      <w:r w:rsidRPr="00297145">
        <w:rPr>
          <w:rFonts w:eastAsia="Arial"/>
        </w:rPr>
        <w:t>isso</w:t>
      </w:r>
      <w:r w:rsidRPr="00297145">
        <w:rPr>
          <w:rFonts w:eastAsia="Arial"/>
          <w:bCs/>
        </w:rPr>
        <w:t xml:space="preserve"> inclui reações psicofisiológicas e comportamentais associadas ao medo do fracasso em situações avaliativas (Gonzaga et al., 2017). Em uma conceituação abrangente da temática, sugere-se que a mesma pode ser representada por três dimensões: a) cognitiva, referente a pensamentos ansiosos sobre o fracasso ou mau desempenho nas provas; b) emocional, manifestada por reações fisiológicas</w:t>
      </w:r>
      <w:r w:rsidRPr="00297145">
        <w:rPr>
          <w:rFonts w:eastAsia="Arial"/>
        </w:rPr>
        <w:t>,</w:t>
      </w:r>
      <w:r w:rsidRPr="00297145">
        <w:rPr>
          <w:rFonts w:eastAsia="Arial"/>
          <w:bCs/>
        </w:rPr>
        <w:t xml:space="preserve"> incluem excitação emocional, como aumento da ansiedade e tensão (por exemplo, elevada frequência cardíaca ou rigidez muscular) e; c) comportamental, que inclui o declínio no desempenho de uma pessoa em situações avaliativas ou na preparação prévia.  São manifestados tanto os comportamentos relevantes para a tarefa (por exemplo, focar a atenção na tarefa), quanto o comportamento irrelevante para a tarefa (por exemplo, passar rapidamente os olhos pelas questões ou exercícios) (Medeiros et al., 2020; Tan &amp; Pang, 2023).   </w:t>
      </w:r>
    </w:p>
    <w:p w14:paraId="01B452B8" w14:textId="77777777" w:rsidR="002075A5" w:rsidRPr="00297145" w:rsidRDefault="002075A5" w:rsidP="002075A5">
      <w:pPr>
        <w:spacing w:line="360" w:lineRule="auto"/>
        <w:ind w:firstLine="708"/>
        <w:jc w:val="both"/>
        <w:rPr>
          <w:rFonts w:eastAsia="Arial"/>
          <w:bCs/>
        </w:rPr>
      </w:pPr>
      <w:r w:rsidRPr="00297145">
        <w:rPr>
          <w:rFonts w:eastAsia="Arial"/>
          <w:bCs/>
        </w:rPr>
        <w:t>Particularmente, o componente cognitivo tem se demonstrado relevante na explicação da ansiedade de prova, ou seja, preocupar-se com o desempenho e suas consequências, tem sido associado a um desempenho acadêmico mais baixo, ocasionando decréscimos na saúde mental dos universitários (</w:t>
      </w:r>
      <w:r w:rsidRPr="00297145">
        <w:rPr>
          <w:rFonts w:eastAsia="Arial"/>
        </w:rPr>
        <w:t>Schillinger et al., 2021</w:t>
      </w:r>
      <w:r w:rsidRPr="00297145">
        <w:rPr>
          <w:rFonts w:eastAsia="Arial"/>
          <w:bCs/>
        </w:rPr>
        <w:t xml:space="preserve">). Isto foi retificado em uma metanálise realizada por </w:t>
      </w:r>
      <w:r w:rsidRPr="00297145">
        <w:rPr>
          <w:rFonts w:eastAsia="Arial"/>
        </w:rPr>
        <w:t>Embse et al. (2018)</w:t>
      </w:r>
      <w:r w:rsidRPr="00297145">
        <w:rPr>
          <w:rFonts w:eastAsia="Arial"/>
          <w:bCs/>
        </w:rPr>
        <w:t>,</w:t>
      </w:r>
      <w:r w:rsidRPr="00297145">
        <w:rPr>
          <w:rFonts w:eastAsia="Arial"/>
        </w:rPr>
        <w:t xml:space="preserve"> que</w:t>
      </w:r>
      <w:r w:rsidRPr="00297145">
        <w:rPr>
          <w:rFonts w:eastAsia="Arial"/>
          <w:bCs/>
        </w:rPr>
        <w:t xml:space="preserve"> verificaram que a dimensão cognitiva apresenta uma relação negativa mais alta com as áreas de realização de tarefas.</w:t>
      </w:r>
    </w:p>
    <w:p w14:paraId="7DD5FF75" w14:textId="77777777" w:rsidR="002075A5" w:rsidRPr="00297145" w:rsidRDefault="002075A5" w:rsidP="002075A5">
      <w:pPr>
        <w:spacing w:line="360" w:lineRule="auto"/>
        <w:ind w:firstLine="708"/>
        <w:jc w:val="both"/>
        <w:rPr>
          <w:rFonts w:eastAsia="Arial"/>
          <w:bCs/>
        </w:rPr>
      </w:pPr>
      <w:r w:rsidRPr="00297145">
        <w:rPr>
          <w:rFonts w:eastAsia="Arial"/>
          <w:bCs/>
        </w:rPr>
        <w:t>Essa faceta cognitiva, também conhecida como Ansiedade Cognitiva Frente a Provas (ACFP</w:t>
      </w:r>
      <w:r w:rsidRPr="00297145">
        <w:rPr>
          <w:rFonts w:eastAsia="Arial"/>
        </w:rPr>
        <w:t>),</w:t>
      </w:r>
      <w:r w:rsidRPr="00297145">
        <w:rPr>
          <w:rFonts w:eastAsia="Arial"/>
          <w:bCs/>
        </w:rPr>
        <w:t xml:space="preserve"> </w:t>
      </w:r>
      <w:proofErr w:type="gramStart"/>
      <w:r w:rsidRPr="00297145">
        <w:rPr>
          <w:rFonts w:eastAsia="Arial"/>
          <w:bCs/>
        </w:rPr>
        <w:t>pode</w:t>
      </w:r>
      <w:proofErr w:type="gramEnd"/>
      <w:r w:rsidRPr="00297145">
        <w:rPr>
          <w:rFonts w:eastAsia="Arial"/>
          <w:bCs/>
        </w:rPr>
        <w:t xml:space="preserve"> ser definida como a preocupação com possíveis resultados negativos antes, durante e até mesmo depois do cenário avaliativo (Medeiros et al., 2020). </w:t>
      </w:r>
      <w:r w:rsidRPr="00297145">
        <w:rPr>
          <w:rFonts w:eastAsia="Arial"/>
        </w:rPr>
        <w:t>Ela</w:t>
      </w:r>
      <w:r w:rsidRPr="00297145">
        <w:rPr>
          <w:rFonts w:eastAsia="Arial"/>
          <w:bCs/>
        </w:rPr>
        <w:t xml:space="preserve"> surge, principalmente, quando situações são percebidas como ameaçadoras e incontroláveis, </w:t>
      </w:r>
      <w:r w:rsidRPr="00297145">
        <w:rPr>
          <w:rFonts w:eastAsia="Arial"/>
        </w:rPr>
        <w:t>caracterizando</w:t>
      </w:r>
      <w:r w:rsidRPr="00297145">
        <w:rPr>
          <w:rFonts w:eastAsia="Arial"/>
          <w:bCs/>
        </w:rPr>
        <w:t xml:space="preserve">-se </w:t>
      </w:r>
      <w:r w:rsidRPr="00297145">
        <w:rPr>
          <w:rFonts w:eastAsia="Arial"/>
        </w:rPr>
        <w:t>como um</w:t>
      </w:r>
      <w:r w:rsidRPr="00297145">
        <w:rPr>
          <w:rFonts w:eastAsia="Arial"/>
          <w:bCs/>
        </w:rPr>
        <w:t xml:space="preserve"> </w:t>
      </w:r>
      <w:r w:rsidRPr="00297145">
        <w:rPr>
          <w:rFonts w:eastAsia="Arial"/>
          <w:bCs/>
        </w:rPr>
        <w:lastRenderedPageBreak/>
        <w:t>conjunto de respostas fisiológicas, cognitivas, emocionais e comportamentais frente ao processo de avaliação acadêmica, sobretudo quando está relacionado diretamente ao futuro profissional dos alunos</w:t>
      </w:r>
      <w:r w:rsidRPr="00297145">
        <w:rPr>
          <w:rFonts w:eastAsia="Arial"/>
        </w:rPr>
        <w:t xml:space="preserve"> (Raufelder et al., 2017). </w:t>
      </w:r>
    </w:p>
    <w:p w14:paraId="15B62891" w14:textId="77777777" w:rsidR="002075A5" w:rsidRPr="00297145" w:rsidRDefault="002075A5" w:rsidP="002075A5">
      <w:pPr>
        <w:spacing w:line="360" w:lineRule="auto"/>
        <w:ind w:firstLine="708"/>
        <w:jc w:val="both"/>
        <w:rPr>
          <w:rFonts w:eastAsia="Arial"/>
          <w:bCs/>
        </w:rPr>
      </w:pPr>
      <w:r w:rsidRPr="00297145">
        <w:rPr>
          <w:rFonts w:eastAsia="Arial"/>
          <w:bCs/>
        </w:rPr>
        <w:t>Tendo em vista que a ansiedade de provas pode trazer prejuízos, alunos ansiosos com as provas expressam preocupação com as consequências de não ter um desempenho satisfatório em provas importantes e constrangimento em consequência de uma provável falha (</w:t>
      </w:r>
      <w:r w:rsidRPr="00297145">
        <w:rPr>
          <w:rFonts w:eastAsia="Arial"/>
        </w:rPr>
        <w:t>Silva et al., 2022).</w:t>
      </w:r>
      <w:r w:rsidRPr="00297145">
        <w:rPr>
          <w:rFonts w:eastAsia="Arial"/>
          <w:bCs/>
        </w:rPr>
        <w:t xml:space="preserve"> Alunos com ansiedade de provas podem ter um mau desempenho devido à incapacidade para interpretar, organizar, ou compreender de forma eficaz o conteúdo a ser usado durante a situação avaliativa </w:t>
      </w:r>
      <w:r w:rsidRPr="00297145">
        <w:rPr>
          <w:rFonts w:eastAsia="Arial"/>
        </w:rPr>
        <w:t>(Cassady &amp; Finch, 2015)</w:t>
      </w:r>
      <w:r w:rsidRPr="00297145">
        <w:rPr>
          <w:rFonts w:eastAsia="Arial"/>
          <w:bCs/>
        </w:rPr>
        <w:t>. Devido a isto, acabam procrastinando suas atividades acadêmicas (</w:t>
      </w:r>
      <w:r w:rsidRPr="00297145">
        <w:rPr>
          <w:rFonts w:eastAsia="Arial"/>
        </w:rPr>
        <w:t>Silva et al., 2020</w:t>
      </w:r>
      <w:r w:rsidRPr="00297145">
        <w:rPr>
          <w:rFonts w:eastAsia="Arial"/>
          <w:bCs/>
        </w:rPr>
        <w:t>), além de ocasionar resultados acadêmicos negativos, como baixo desempenho acadêmico ou aumento do tempo para se formar (</w:t>
      </w:r>
      <w:r w:rsidRPr="00297145">
        <w:rPr>
          <w:rFonts w:eastAsia="Arial"/>
        </w:rPr>
        <w:t>Maier et al., 2020</w:t>
      </w:r>
      <w:r w:rsidRPr="00297145">
        <w:rPr>
          <w:rFonts w:eastAsia="Arial"/>
          <w:bCs/>
        </w:rPr>
        <w:t xml:space="preserve">). </w:t>
      </w:r>
    </w:p>
    <w:p w14:paraId="083EECDD" w14:textId="77777777" w:rsidR="002075A5" w:rsidRPr="00297145" w:rsidRDefault="002075A5" w:rsidP="002075A5">
      <w:pPr>
        <w:spacing w:line="360" w:lineRule="auto"/>
        <w:ind w:firstLine="708"/>
        <w:jc w:val="both"/>
        <w:rPr>
          <w:rFonts w:eastAsia="Arial"/>
          <w:bCs/>
        </w:rPr>
      </w:pPr>
      <w:r w:rsidRPr="00297145">
        <w:rPr>
          <w:rFonts w:eastAsia="Arial"/>
          <w:bCs/>
        </w:rPr>
        <w:t>Assim, a relação inversa entre a ansiedade de prova e o desempenho é comumente explicada pela tendência dos alunos ansiosos se preocuparem com a prova e as consequências da reprovação (</w:t>
      </w:r>
      <w:r w:rsidRPr="00297145">
        <w:rPr>
          <w:rFonts w:eastAsia="Arial"/>
        </w:rPr>
        <w:t>Silva et al., 2022</w:t>
      </w:r>
      <w:r w:rsidRPr="00297145">
        <w:rPr>
          <w:rFonts w:eastAsia="Arial"/>
          <w:bCs/>
        </w:rPr>
        <w:t xml:space="preserve">). De acordo com os estudos de </w:t>
      </w:r>
      <w:r w:rsidRPr="00297145">
        <w:rPr>
          <w:rFonts w:eastAsia="Arial"/>
        </w:rPr>
        <w:t>Angelidis et al. (2019)</w:t>
      </w:r>
      <w:r w:rsidRPr="00297145">
        <w:rPr>
          <w:rFonts w:eastAsia="Arial"/>
          <w:bCs/>
        </w:rPr>
        <w:t xml:space="preserve"> estima-se que cerca de 10 a 40% dos estudantes apresentam algum grau de ansiedade em provas. Devido a isto, surge-se</w:t>
      </w:r>
      <w:r w:rsidRPr="00297145">
        <w:rPr>
          <w:rFonts w:eastAsia="Arial"/>
        </w:rPr>
        <w:t xml:space="preserve"> a</w:t>
      </w:r>
      <w:r w:rsidRPr="00297145">
        <w:rPr>
          <w:rFonts w:eastAsia="Arial"/>
          <w:bCs/>
        </w:rPr>
        <w:t xml:space="preserve"> importância em compreender quais os aspectos específicos podem estar relacionados a ansiedade de provas. </w:t>
      </w:r>
    </w:p>
    <w:p w14:paraId="711197E0" w14:textId="77777777" w:rsidR="002075A5" w:rsidRPr="00297145" w:rsidRDefault="002075A5" w:rsidP="002075A5">
      <w:pPr>
        <w:spacing w:line="360" w:lineRule="auto"/>
        <w:ind w:firstLine="708"/>
        <w:jc w:val="both"/>
        <w:rPr>
          <w:rFonts w:eastAsia="Arial"/>
          <w:bCs/>
        </w:rPr>
      </w:pPr>
      <w:r w:rsidRPr="00297145">
        <w:rPr>
          <w:rFonts w:eastAsia="Arial"/>
          <w:bCs/>
        </w:rPr>
        <w:t>Por exemplo, sabe-se que a ansiedade avaliativa pode ser afetada por fatores situacionais em torno da avaliação, como as percepções dos alunos sobre a competência acadêmica; no qual, percepções mais baixas de competência estão associadas a níveis mais elevados de ansiedade de provas (</w:t>
      </w:r>
      <w:r w:rsidRPr="00297145">
        <w:rPr>
          <w:rFonts w:eastAsia="Arial"/>
        </w:rPr>
        <w:t>Ewell et al., 2022).</w:t>
      </w:r>
      <w:r w:rsidRPr="00297145">
        <w:rPr>
          <w:rFonts w:eastAsia="Arial"/>
          <w:bCs/>
        </w:rPr>
        <w:t xml:space="preserve"> Isto pode ser explicado pelo fato de níveis elevados de ansiedade de provas prejudicarem a aquisição eficiente do conhecimento durante a preparação para uma prova (</w:t>
      </w:r>
      <w:r w:rsidRPr="00297145">
        <w:rPr>
          <w:rFonts w:eastAsia="Arial"/>
        </w:rPr>
        <w:t>Maier et al., 2021</w:t>
      </w:r>
      <w:r w:rsidRPr="00297145">
        <w:rPr>
          <w:rFonts w:eastAsia="Arial"/>
          <w:bCs/>
        </w:rPr>
        <w:t>).  Como resultado da preocupação com o fracasso, as pessoas ansiosas por testes tornam-se tendenciosas no processamento de informações relacionadas a ameaças. Esse viés pode ocasionar uma interpretação equivocada a indicação de uma possível falha ou baixa competência (</w:t>
      </w:r>
      <w:proofErr w:type="gramStart"/>
      <w:r w:rsidRPr="00297145">
        <w:rPr>
          <w:rFonts w:eastAsia="Arial"/>
        </w:rPr>
        <w:t>Theobald  et al.</w:t>
      </w:r>
      <w:proofErr w:type="gramEnd"/>
      <w:r w:rsidRPr="00297145">
        <w:rPr>
          <w:rFonts w:eastAsia="Arial"/>
        </w:rPr>
        <w:t>, 2022)</w:t>
      </w:r>
      <w:r w:rsidRPr="00297145">
        <w:rPr>
          <w:rFonts w:eastAsia="Arial"/>
          <w:bCs/>
        </w:rPr>
        <w:t>.</w:t>
      </w:r>
    </w:p>
    <w:p w14:paraId="4AFC520D" w14:textId="77777777" w:rsidR="002075A5" w:rsidRPr="00297145" w:rsidRDefault="002075A5" w:rsidP="002075A5">
      <w:pPr>
        <w:spacing w:line="360" w:lineRule="auto"/>
        <w:ind w:firstLine="708"/>
        <w:jc w:val="both"/>
        <w:rPr>
          <w:rFonts w:eastAsia="Arial"/>
          <w:bCs/>
        </w:rPr>
      </w:pPr>
      <w:r w:rsidRPr="00297145">
        <w:rPr>
          <w:rFonts w:eastAsia="Arial"/>
          <w:bCs/>
        </w:rPr>
        <w:t xml:space="preserve">Dito isto, sabe-se que no âmbito </w:t>
      </w:r>
      <w:r w:rsidRPr="00297145">
        <w:rPr>
          <w:rFonts w:eastAsia="Arial"/>
        </w:rPr>
        <w:t>acadêmico</w:t>
      </w:r>
      <w:r w:rsidRPr="00297145">
        <w:rPr>
          <w:rFonts w:eastAsia="Arial"/>
          <w:bCs/>
        </w:rPr>
        <w:t xml:space="preserve"> uma variável que está associada a características negativas é a procrastinação (Silva et al. 2020), que em geral, é vista como um hábito disfuncional, que ocasiona consequências psicológicas, como sentimento de culpa, diminuição do desempenho acadêmico, além de consequências sociais, como de falta de confiança (</w:t>
      </w:r>
      <w:r w:rsidRPr="00297145">
        <w:rPr>
          <w:rFonts w:eastAsia="Arial"/>
        </w:rPr>
        <w:t>van Eerde 2003)</w:t>
      </w:r>
      <w:r w:rsidRPr="00297145">
        <w:rPr>
          <w:rFonts w:eastAsia="Arial"/>
          <w:bCs/>
        </w:rPr>
        <w:t xml:space="preserve">. Já a ansiedade ocasionada, por exemplo, pelo medo do fracasso, tende a </w:t>
      </w:r>
      <w:r w:rsidRPr="00297145">
        <w:rPr>
          <w:rFonts w:eastAsia="Arial"/>
          <w:bCs/>
        </w:rPr>
        <w:lastRenderedPageBreak/>
        <w:t>aumentar o adiamento ou conclusão de uma tarefa (comportamento procrastinador</w:t>
      </w:r>
      <w:r w:rsidRPr="00297145">
        <w:rPr>
          <w:rFonts w:eastAsia="Arial"/>
        </w:rPr>
        <w:t>).</w:t>
      </w:r>
      <w:r w:rsidRPr="00297145">
        <w:rPr>
          <w:rFonts w:eastAsia="Arial"/>
          <w:bCs/>
        </w:rPr>
        <w:t xml:space="preserve"> Além disso, o medo de reprovar pode ocasionar uma resposta de ansiedade, fazendo com que o nível de ansiedade de uma pessoa aumente e, como resultado, para reduzir a sua ansiedade, uma pessoa pode procrastinar atividades acadêmicas (</w:t>
      </w:r>
      <w:r w:rsidRPr="00297145">
        <w:rPr>
          <w:rFonts w:eastAsia="Arial"/>
        </w:rPr>
        <w:t>Bolbolian et al., 2021</w:t>
      </w:r>
      <w:r w:rsidRPr="00297145">
        <w:rPr>
          <w:rFonts w:eastAsia="Arial"/>
          <w:bCs/>
        </w:rPr>
        <w:t>). Assim, a procrastinação também pode ocorrer devido ao medo de errar e receber notas baixas no curso (</w:t>
      </w:r>
      <w:r w:rsidRPr="00297145">
        <w:rPr>
          <w:rFonts w:eastAsia="Arial"/>
        </w:rPr>
        <w:t>Cotner et al., 2020</w:t>
      </w:r>
      <w:r w:rsidRPr="00297145">
        <w:rPr>
          <w:rFonts w:eastAsia="Arial"/>
          <w:bCs/>
        </w:rPr>
        <w:t xml:space="preserve">). </w:t>
      </w:r>
    </w:p>
    <w:p w14:paraId="4CE4A94B" w14:textId="77777777" w:rsidR="002075A5" w:rsidRPr="00297145" w:rsidRDefault="002075A5" w:rsidP="002075A5">
      <w:pPr>
        <w:spacing w:line="360" w:lineRule="auto"/>
        <w:ind w:firstLine="708"/>
        <w:jc w:val="both"/>
        <w:rPr>
          <w:rFonts w:eastAsia="Arial"/>
          <w:bCs/>
        </w:rPr>
      </w:pPr>
      <w:r w:rsidRPr="00297145">
        <w:rPr>
          <w:rFonts w:eastAsia="Arial"/>
          <w:bCs/>
        </w:rPr>
        <w:t xml:space="preserve">Para </w:t>
      </w:r>
      <w:r w:rsidRPr="00297145">
        <w:rPr>
          <w:rFonts w:eastAsia="Arial"/>
        </w:rPr>
        <w:t>Sampaio e Bariani (2011)</w:t>
      </w:r>
      <w:r w:rsidRPr="00297145">
        <w:rPr>
          <w:rFonts w:eastAsia="Arial"/>
          <w:bCs/>
        </w:rPr>
        <w:t>, o medo das avaliações, falta de tempo, insatisfação ao realizar determinadas tarefas, dificuldades na realização de atividades, são algumas razões dos estudantes procrastinarem. Ademais, uma das principais variáveis da procrastinação é o medo do fracasso causado pela ansiedade da aproximação da entrega dos trabalhos acadêmicos e para diminuir a aflição, a atividade é adiada, e no esforço de salvar sua decisão inventam desculpas e imprevistos (</w:t>
      </w:r>
      <w:r w:rsidRPr="00297145">
        <w:rPr>
          <w:rFonts w:eastAsia="Arial"/>
        </w:rPr>
        <w:t>Somers, 2008</w:t>
      </w:r>
      <w:r w:rsidRPr="00297145">
        <w:rPr>
          <w:rFonts w:eastAsia="Arial"/>
          <w:bCs/>
        </w:rPr>
        <w:t xml:space="preserve">). Dito isto, uma vez que a procrastinação é uma prática de regulação emocional desadaptativa, aponta-se a importância </w:t>
      </w:r>
      <w:r w:rsidRPr="00297145">
        <w:rPr>
          <w:rFonts w:eastAsia="Arial"/>
        </w:rPr>
        <w:t xml:space="preserve">de </w:t>
      </w:r>
      <w:r w:rsidRPr="00297145">
        <w:rPr>
          <w:rFonts w:eastAsia="Arial"/>
          <w:bCs/>
        </w:rPr>
        <w:t xml:space="preserve">compreender o papel de varáveis de cunho emocional, como por exemplo, a ansiedade, parece de fundamental importância para intervir no fenômeno </w:t>
      </w:r>
      <w:r w:rsidRPr="00297145">
        <w:rPr>
          <w:rFonts w:eastAsia="Arial"/>
        </w:rPr>
        <w:t>(Behnagh &amp; Ferrari, 2022</w:t>
      </w:r>
      <w:r w:rsidRPr="00297145">
        <w:rPr>
          <w:rFonts w:eastAsia="Arial"/>
          <w:bCs/>
        </w:rPr>
        <w:t>), uma vez que regular comportamentos é essencial para a concretização de metas (</w:t>
      </w:r>
      <w:r w:rsidRPr="00297145">
        <w:rPr>
          <w:rFonts w:eastAsia="Arial"/>
        </w:rPr>
        <w:t>Rahimi et al., 2023)</w:t>
      </w:r>
      <w:r w:rsidRPr="00297145">
        <w:rPr>
          <w:rFonts w:eastAsia="Arial"/>
          <w:bCs/>
        </w:rPr>
        <w:t>.</w:t>
      </w:r>
    </w:p>
    <w:p w14:paraId="7B3F83A6" w14:textId="77777777" w:rsidR="002075A5" w:rsidRPr="00297145" w:rsidRDefault="002075A5" w:rsidP="002075A5">
      <w:pPr>
        <w:spacing w:line="360" w:lineRule="auto"/>
        <w:ind w:firstLine="708"/>
        <w:jc w:val="both"/>
        <w:rPr>
          <w:rFonts w:eastAsia="Arial"/>
          <w:bCs/>
        </w:rPr>
      </w:pPr>
      <w:r w:rsidRPr="00297145">
        <w:rPr>
          <w:rFonts w:eastAsia="Arial"/>
          <w:bCs/>
        </w:rPr>
        <w:t xml:space="preserve">No transcurso da história, estudos tem apontado a existência de uma relação entre a procrastinação e a ansiedade no contexto acadêmico </w:t>
      </w:r>
      <w:r w:rsidRPr="00297145">
        <w:rPr>
          <w:rFonts w:eastAsia="Arial"/>
        </w:rPr>
        <w:t>(Desai et al., 2021</w:t>
      </w:r>
      <w:r w:rsidRPr="00297145">
        <w:rPr>
          <w:rFonts w:eastAsia="Arial"/>
          <w:bCs/>
        </w:rPr>
        <w:t xml:space="preserve">; </w:t>
      </w:r>
      <w:r w:rsidRPr="00297145">
        <w:rPr>
          <w:rFonts w:eastAsia="Arial"/>
        </w:rPr>
        <w:t>Gadosey et al., 2021</w:t>
      </w:r>
      <w:r w:rsidRPr="00297145">
        <w:rPr>
          <w:rFonts w:eastAsia="Arial"/>
          <w:bCs/>
        </w:rPr>
        <w:t xml:space="preserve">; </w:t>
      </w:r>
      <w:r w:rsidRPr="00297145">
        <w:rPr>
          <w:rFonts w:eastAsia="Arial"/>
        </w:rPr>
        <w:t>Solomon &amp; Rothblum, 1984</w:t>
      </w:r>
      <w:r w:rsidRPr="00297145">
        <w:rPr>
          <w:rFonts w:eastAsia="Arial"/>
          <w:bCs/>
        </w:rPr>
        <w:t xml:space="preserve">; </w:t>
      </w:r>
      <w:r w:rsidRPr="00297145">
        <w:rPr>
          <w:rFonts w:eastAsia="Arial"/>
        </w:rPr>
        <w:t xml:space="preserve">Steel, 2007). </w:t>
      </w:r>
      <w:r w:rsidRPr="00297145">
        <w:rPr>
          <w:rFonts w:eastAsia="Arial"/>
          <w:bCs/>
        </w:rPr>
        <w:t>A procrastinação é considerada um fenômeno psicológico contemporâneo, definido como a propensão do indivíduo a adiar, postergar a finalização de projetos e tarefas importantes (Silva et al., 2021). Isto resulta em impactos negativos tanto na vida profissional quanto pessoal, sendo prevalente, principalmente em contexto acadêmico, no qual, as pesquisas mostram que 80% dos estudantes procrastinam, e 50% sofrem prejuízos significativos por conta desse comportamento (</w:t>
      </w:r>
      <w:r w:rsidRPr="00297145">
        <w:rPr>
          <w:rFonts w:eastAsia="Arial"/>
        </w:rPr>
        <w:t>Geara et al., 2017</w:t>
      </w:r>
      <w:r w:rsidRPr="00297145">
        <w:rPr>
          <w:rFonts w:eastAsia="Arial"/>
          <w:bCs/>
        </w:rPr>
        <w:t xml:space="preserve">). </w:t>
      </w:r>
    </w:p>
    <w:p w14:paraId="4EAA7C9A" w14:textId="77777777" w:rsidR="002075A5" w:rsidRPr="00297145" w:rsidRDefault="002075A5" w:rsidP="002075A5">
      <w:pPr>
        <w:spacing w:line="360" w:lineRule="auto"/>
        <w:ind w:firstLine="708"/>
        <w:jc w:val="both"/>
        <w:rPr>
          <w:rFonts w:eastAsia="Arial"/>
        </w:rPr>
      </w:pPr>
      <w:r w:rsidRPr="00297145">
        <w:rPr>
          <w:rFonts w:eastAsia="Arial"/>
        </w:rPr>
        <w:t xml:space="preserve">Ressalta-se que na presente pesquisa, será explorada a procrastinação acadêmica, ou seja, situacional, que ocorre quando os alunos atrasam tarefas acadêmicas como estudar, concluir tarefas e trabalhar em atividades relacionadas ao curso (Silva et al., 2020). Além disso, deve-se ter em conta que a procrastinação situacional não se restringe somente ao contexto acadêmico, mas é o tipo que mais tem ganhado destaque entre os pesquisadores (Silva et al., 2020). As evidências empíricas sobre a procrastinação acadêmica demonstram um consenso comum, que o comportamento procrastinatório implica em efeitos negativos no desempenho acadêmico dos estudantes e no seu bem-estar subjetivo (Steel 2007). Assim, pessoas com procrastinação </w:t>
      </w:r>
      <w:r w:rsidRPr="00297145">
        <w:rPr>
          <w:rFonts w:eastAsia="Arial"/>
        </w:rPr>
        <w:lastRenderedPageBreak/>
        <w:t>acadêmica apresentam com maior intensidade, medo de humilhação, estresse, pensamentos irracionais e negativos e ansiedade de prova (Bolbolian et al., 2021).</w:t>
      </w:r>
    </w:p>
    <w:p w14:paraId="7D7AFF2D" w14:textId="77777777" w:rsidR="002075A5" w:rsidRPr="00297145" w:rsidRDefault="002075A5" w:rsidP="002075A5">
      <w:pPr>
        <w:spacing w:line="360" w:lineRule="auto"/>
        <w:ind w:firstLine="708"/>
        <w:jc w:val="both"/>
        <w:rPr>
          <w:rFonts w:eastAsia="Arial"/>
          <w:bCs/>
        </w:rPr>
      </w:pPr>
      <w:r w:rsidRPr="00297145">
        <w:rPr>
          <w:rFonts w:eastAsia="Arial"/>
          <w:bCs/>
        </w:rPr>
        <w:t xml:space="preserve">Assim, </w:t>
      </w:r>
      <w:r w:rsidRPr="00297145">
        <w:rPr>
          <w:rFonts w:eastAsia="Arial"/>
        </w:rPr>
        <w:t>esta</w:t>
      </w:r>
      <w:r w:rsidRPr="00297145">
        <w:rPr>
          <w:rFonts w:eastAsia="Arial"/>
          <w:bCs/>
        </w:rPr>
        <w:t xml:space="preserve"> pesquisa justifica-se pelo fato de tal temática apresentar uma relevância social, pois, na atualidade, as variáveis da ansiedade cognitiva de provas e a procrastinação acadêmica apresentam-se como as que mais provocam tensão e estresse aos estudantes universitários (</w:t>
      </w:r>
      <w:r w:rsidRPr="00297145">
        <w:rPr>
          <w:rFonts w:eastAsia="Arial"/>
        </w:rPr>
        <w:t>Desai et al., 2021</w:t>
      </w:r>
      <w:r w:rsidRPr="00297145">
        <w:rPr>
          <w:rFonts w:eastAsia="Arial"/>
          <w:bCs/>
        </w:rPr>
        <w:t>). Assim, no contexto acadêmico, as emoções negativas podem funcionar como fator de risco para o comportamento procrastinador (Yang et al., 2021). Por exemplo, o medo de reprovar pode ocasionar uma resposta de ansiedade, fazendo com que o nível de ansiedade de uma pessoa aumente e, como resultado, para reduzir a sua ansiedade, uma pessoa pode procrastinar atividades acadêmicas (</w:t>
      </w:r>
      <w:r w:rsidRPr="00297145">
        <w:rPr>
          <w:rFonts w:eastAsia="Arial"/>
        </w:rPr>
        <w:t>Bolbolian et al., 2021</w:t>
      </w:r>
      <w:r w:rsidRPr="00297145">
        <w:rPr>
          <w:rFonts w:eastAsia="Arial"/>
          <w:bCs/>
        </w:rPr>
        <w:t>). Pessoas que se envolvem em comportamentos procrastinatórios no ambiente acadêmico apresentam níveis mais elevados de estados emocionais negativos, como ansiedade diante de atividades (</w:t>
      </w:r>
      <w:r w:rsidRPr="00297145">
        <w:rPr>
          <w:rFonts w:eastAsia="Arial"/>
        </w:rPr>
        <w:t>Pereira &amp; Ramos, 2021</w:t>
      </w:r>
      <w:r w:rsidRPr="00297145">
        <w:rPr>
          <w:rFonts w:eastAsia="Arial"/>
          <w:bCs/>
        </w:rPr>
        <w:t>), que podem levar ao baixo desempenho acadêmico (Silva et al., 2020</w:t>
      </w:r>
      <w:r w:rsidRPr="00297145">
        <w:rPr>
          <w:rFonts w:eastAsia="Arial"/>
        </w:rPr>
        <w:t>)</w:t>
      </w:r>
      <w:r w:rsidRPr="00297145">
        <w:rPr>
          <w:rFonts w:eastAsia="Arial"/>
          <w:bCs/>
        </w:rPr>
        <w:t xml:space="preserve">. </w:t>
      </w:r>
    </w:p>
    <w:p w14:paraId="729C5C61" w14:textId="77777777" w:rsidR="002075A5" w:rsidRPr="00297145" w:rsidRDefault="002075A5" w:rsidP="002075A5">
      <w:pPr>
        <w:spacing w:line="360" w:lineRule="auto"/>
        <w:ind w:firstLine="708"/>
        <w:jc w:val="both"/>
        <w:rPr>
          <w:rFonts w:eastAsia="Arial"/>
          <w:bCs/>
        </w:rPr>
      </w:pPr>
      <w:r w:rsidRPr="00297145">
        <w:rPr>
          <w:rFonts w:eastAsia="Arial"/>
          <w:bCs/>
        </w:rPr>
        <w:t xml:space="preserve">Entretanto, apesar da procrastinação acadêmica ser um comportamento relevante entre universitários, pesquisas sobre a temática ainda são escassas no Brasil (Silva et al., 2022). </w:t>
      </w:r>
      <w:r w:rsidRPr="00297145">
        <w:rPr>
          <w:rFonts w:eastAsia="Arial"/>
        </w:rPr>
        <w:t xml:space="preserve">Apesar de escassas, evidências sugerem, que no contexto brasileiro, cerca de quatro em cada cinco universitários procrastinam suas atividades acadêmicas, e mais da metade desses alunos fazem isso pelo menos uma vez por semana (Geara et al., 2017). </w:t>
      </w:r>
      <w:r w:rsidRPr="00297145">
        <w:rPr>
          <w:rFonts w:eastAsia="Arial"/>
          <w:bCs/>
        </w:rPr>
        <w:t xml:space="preserve">Portanto, existe a necessidade de discussões sobre a possível relação entre a ansiedade cognitiva de provas e a procrastinação acadêmica, além de verificar a influência de variáveis sociodemográficas nessa conduta, pois isto pode trazer importantes resultados para uma compreensão mais ampliada deste cenário. </w:t>
      </w:r>
    </w:p>
    <w:p w14:paraId="7390D8F7" w14:textId="77777777" w:rsidR="002075A5" w:rsidRPr="00297145" w:rsidRDefault="002075A5" w:rsidP="002075A5">
      <w:pPr>
        <w:spacing w:line="360" w:lineRule="auto"/>
        <w:ind w:firstLine="708"/>
        <w:jc w:val="both"/>
        <w:rPr>
          <w:rFonts w:eastAsia="Arial"/>
        </w:rPr>
      </w:pPr>
      <w:r w:rsidRPr="00297145">
        <w:rPr>
          <w:rFonts w:eastAsia="Arial"/>
        </w:rPr>
        <w:t xml:space="preserve">Em relação a variável demográfica gênero, é indicado a necessidade de serem realizados mais estudos (Silva et al., 2020; Silva et al., 2022), para verificar o perfil prevalente dos construtos abordados. Por exemplo, pesquisa de Van Eerde (2003) verificou-se que o gênero foi relacionado com a procrastinação, sendo que é mais provável os homens procrastinarem, como corroboram pesquisas posteriores, que sugerem que estudantes do gênero masculino tendem a ser mais procrastinadores (Silva et al., 2020). De maneira contrária, alguns autores têm verificado que a procrastinação acadêmica afeta homens e mulheres de maneira similar (Solomon &amp; Rothblum, 1984; Steel, 2007). </w:t>
      </w:r>
    </w:p>
    <w:p w14:paraId="16E072F2" w14:textId="77777777" w:rsidR="002075A5" w:rsidRPr="00297145" w:rsidRDefault="002075A5" w:rsidP="002075A5">
      <w:pPr>
        <w:spacing w:line="360" w:lineRule="auto"/>
        <w:ind w:firstLine="708"/>
        <w:jc w:val="both"/>
        <w:rPr>
          <w:rFonts w:eastAsia="Arial"/>
        </w:rPr>
      </w:pPr>
      <w:r w:rsidRPr="00297145">
        <w:rPr>
          <w:rFonts w:eastAsia="Arial"/>
        </w:rPr>
        <w:t xml:space="preserve">Quando considerada a ansiedade cognitiva de provas, ou seja, as preocupações com a possibilidade de um possível fracasso nas avaliações, as pesquisas sugerem que as mulheres </w:t>
      </w:r>
      <w:r w:rsidRPr="00297145">
        <w:rPr>
          <w:rFonts w:eastAsia="Arial"/>
        </w:rPr>
        <w:lastRenderedPageBreak/>
        <w:t>apresentam níveis mais acentuados em comparação aos homens (Danthony et al., 2020). Resultados similares foram encontrados em uma amostra de universitários brasileiros (Silva et al., 2022), além de estudantes da Noruega, que foi observado que as mulheres expressaram mais ansiedade nas provas, e por consequência, menor desempenho (Cotner et al., 2020).</w:t>
      </w:r>
    </w:p>
    <w:p w14:paraId="3BA66117" w14:textId="77777777" w:rsidR="002075A5" w:rsidRPr="00297145" w:rsidRDefault="002075A5" w:rsidP="002075A5">
      <w:pPr>
        <w:spacing w:line="360" w:lineRule="auto"/>
        <w:ind w:firstLine="709"/>
        <w:jc w:val="both"/>
        <w:rPr>
          <w:rFonts w:eastAsia="Arial"/>
        </w:rPr>
      </w:pPr>
      <w:r w:rsidRPr="00297145">
        <w:rPr>
          <w:rFonts w:eastAsia="Arial"/>
        </w:rPr>
        <w:t>Dado o exposto e as limitações das descobertas anteriores, Schillinger et al. (2021) salientam que mais estudos são necessários para determinar quais variáveis podem estar associadas a faceta cognitiva da ansiedade de provas, ou seja, a preocupação. Os autores argumentam que isto ajudaria a identificar alunos ansiosos em contextos avaliativos, além de possibilitar que os educadores adaptassem as intervenções aos alunos vulneráveis. Diante do exposto, a presente pesquisa tem como objetivo geral, verificar o poder preditivo da ansiedade cognitiva de provas na procrastinação acadêmica de universitários do interior do Piauí, além de verificar se os níveis de ansiedade cognitiva de provas e a procrastinação acadêmica se diferem em função do gênero dos participantes.</w:t>
      </w:r>
    </w:p>
    <w:p w14:paraId="48B96131" w14:textId="77777777" w:rsidR="00575541" w:rsidRPr="00575541" w:rsidRDefault="00575541" w:rsidP="00575541">
      <w:pPr>
        <w:pStyle w:val="Prrafocomn"/>
      </w:pPr>
    </w:p>
    <w:p w14:paraId="2254AC27" w14:textId="6ED9CE7E" w:rsidR="006F7E7E" w:rsidRPr="00E25900" w:rsidRDefault="001516ED" w:rsidP="001516ED">
      <w:pPr>
        <w:pStyle w:val="Ttulosinternos"/>
      </w:pPr>
      <w:r w:rsidRPr="00E25900">
        <w:t>M</w:t>
      </w:r>
      <w:r w:rsidR="00E6641C">
        <w:t>étodo</w:t>
      </w:r>
    </w:p>
    <w:p w14:paraId="2F19162A" w14:textId="6A8130F5" w:rsidR="006F7E7E" w:rsidRPr="00E25900" w:rsidRDefault="005B5614" w:rsidP="007E3B8D">
      <w:pPr>
        <w:pStyle w:val="SubtituloInterno"/>
        <w:rPr>
          <w:rFonts w:eastAsia="Calibri"/>
        </w:rPr>
      </w:pPr>
      <w:r w:rsidRPr="00E25900">
        <w:rPr>
          <w:rFonts w:eastAsia="Calibri"/>
        </w:rPr>
        <w:t>Participant</w:t>
      </w:r>
      <w:r w:rsidR="00E6641C">
        <w:rPr>
          <w:rFonts w:eastAsia="Calibri"/>
        </w:rPr>
        <w:t>es</w:t>
      </w:r>
    </w:p>
    <w:p w14:paraId="4E94F089" w14:textId="77777777" w:rsidR="002075A5" w:rsidRPr="00297145" w:rsidRDefault="002075A5" w:rsidP="002075A5">
      <w:pPr>
        <w:pBdr>
          <w:top w:val="nil"/>
          <w:left w:val="nil"/>
          <w:bottom w:val="nil"/>
          <w:right w:val="nil"/>
          <w:between w:val="nil"/>
        </w:pBdr>
        <w:spacing w:line="360" w:lineRule="auto"/>
        <w:ind w:firstLine="720"/>
        <w:jc w:val="both"/>
        <w:rPr>
          <w:rFonts w:eastAsia="Arial"/>
        </w:rPr>
      </w:pPr>
      <w:r w:rsidRPr="00297145">
        <w:rPr>
          <w:rFonts w:eastAsia="Arial"/>
        </w:rPr>
        <w:t xml:space="preserve">Contou-se com a participação de 204 estudantes universitários de uma Instituição de Ensino Superior (IES) </w:t>
      </w:r>
      <w:r>
        <w:rPr>
          <w:rFonts w:eastAsia="Arial"/>
        </w:rPr>
        <w:t xml:space="preserve">do Brasil </w:t>
      </w:r>
      <w:r w:rsidRPr="00297145">
        <w:rPr>
          <w:rFonts w:eastAsia="Arial"/>
        </w:rPr>
        <w:t>(</w:t>
      </w:r>
      <w:r w:rsidRPr="00297145">
        <w:rPr>
          <w:rFonts w:eastAsia="Arial"/>
          <w:i/>
        </w:rPr>
        <w:t>M</w:t>
      </w:r>
      <w:r w:rsidRPr="00297145">
        <w:rPr>
          <w:rFonts w:eastAsia="Arial"/>
          <w:i/>
          <w:vertAlign w:val="subscript"/>
        </w:rPr>
        <w:t xml:space="preserve">idade </w:t>
      </w:r>
      <w:r w:rsidRPr="00297145">
        <w:rPr>
          <w:rFonts w:eastAsia="Arial"/>
        </w:rPr>
        <w:t xml:space="preserve">= 22,88; </w:t>
      </w:r>
      <w:r w:rsidRPr="00297145">
        <w:rPr>
          <w:rFonts w:eastAsia="Arial"/>
          <w:i/>
        </w:rPr>
        <w:t>DP</w:t>
      </w:r>
      <w:r w:rsidRPr="00297145">
        <w:rPr>
          <w:rFonts w:eastAsia="Arial"/>
        </w:rPr>
        <w:t xml:space="preserve"> = 5,09; com idades variando de 18 a 44 anos). Estes eram em maioria mulheres (57,8%), que cursavam respectivamente: Pedagogia (27%), Letras Português (15,7%), Direito (15,2%), Licenciatura em Química (14,7%), Licenciatura em Física (12,7%), Letras Inglês (8,8%) e Ciências da Computação (5,9%).</w:t>
      </w:r>
    </w:p>
    <w:p w14:paraId="526EC9AE" w14:textId="46682B94" w:rsidR="00507B29" w:rsidRPr="00507B29" w:rsidRDefault="00507B29" w:rsidP="00507B29">
      <w:pPr>
        <w:pStyle w:val="SubtituloInterno"/>
      </w:pPr>
      <w:r w:rsidRPr="00507B29">
        <w:t>Materia</w:t>
      </w:r>
      <w:r w:rsidR="00E6641C">
        <w:t>is</w:t>
      </w:r>
    </w:p>
    <w:p w14:paraId="618BE622" w14:textId="77777777" w:rsidR="002075A5" w:rsidRPr="00297145" w:rsidRDefault="002075A5" w:rsidP="002075A5">
      <w:pPr>
        <w:pBdr>
          <w:top w:val="nil"/>
          <w:left w:val="nil"/>
          <w:bottom w:val="nil"/>
          <w:right w:val="nil"/>
          <w:between w:val="nil"/>
        </w:pBdr>
        <w:spacing w:line="360" w:lineRule="auto"/>
        <w:ind w:firstLine="720"/>
        <w:jc w:val="both"/>
        <w:rPr>
          <w:rFonts w:eastAsia="Arial"/>
        </w:rPr>
      </w:pPr>
      <w:r w:rsidRPr="00297145">
        <w:rPr>
          <w:rFonts w:eastAsia="Arial"/>
          <w:bCs/>
          <w:i/>
          <w:iCs/>
        </w:rPr>
        <w:t>Es</w:t>
      </w:r>
      <w:r w:rsidRPr="00297145">
        <w:rPr>
          <w:rFonts w:eastAsia="Arial"/>
          <w:bCs/>
          <w:i/>
          <w:iCs/>
          <w:highlight w:val="white"/>
        </w:rPr>
        <w:t>cala de Ansiedade Cognitiva de Provas</w:t>
      </w:r>
      <w:r w:rsidRPr="00297145">
        <w:rPr>
          <w:rFonts w:eastAsia="Arial"/>
          <w:bCs/>
          <w:highlight w:val="white"/>
        </w:rPr>
        <w:t>.</w:t>
      </w:r>
      <w:r w:rsidRPr="00297145">
        <w:rPr>
          <w:rFonts w:eastAsia="Arial"/>
          <w:bCs/>
          <w:i/>
          <w:iCs/>
          <w:highlight w:val="white"/>
        </w:rPr>
        <w:t xml:space="preserve"> </w:t>
      </w:r>
      <w:r w:rsidRPr="00297145">
        <w:rPr>
          <w:rFonts w:eastAsia="Arial"/>
          <w:highlight w:val="white"/>
        </w:rPr>
        <w:t xml:space="preserve">Instrumento adaptado para o contexto brasileiro por Medeiros et al (2020), foi elaborado por Cassady e Johnson (2002). É composto por 16 itens que avaliam a ansiedade cognitiva de provas de maneira geral (e.g., item 01., “A preocupação pelas avaliações me tira o sono” e Item 03, “Quando me entregam uma avaliação demoro um tempo para me acalmar e pensar com claridade”). Estes são respondidos em escala do tipo </w:t>
      </w:r>
      <w:r w:rsidRPr="00297145">
        <w:rPr>
          <w:rFonts w:eastAsia="Arial"/>
          <w:i/>
          <w:highlight w:val="white"/>
        </w:rPr>
        <w:t>Likert</w:t>
      </w:r>
      <w:r w:rsidRPr="00297145">
        <w:rPr>
          <w:rFonts w:eastAsia="Arial"/>
          <w:highlight w:val="white"/>
        </w:rPr>
        <w:t xml:space="preserve">, </w:t>
      </w:r>
      <w:r w:rsidRPr="00297145">
        <w:rPr>
          <w:rFonts w:eastAsia="Arial"/>
          <w:highlight w:val="white"/>
        </w:rPr>
        <w:lastRenderedPageBreak/>
        <w:t>variando entre 1 (nada frequente em mim) a 4 (muito frequente em mim). Na presente pesquisa a EACP apresentou um coeficiente de consistência interna adequado (α de Cronbach = 0,94).</w:t>
      </w:r>
      <w:r w:rsidRPr="00297145">
        <w:rPr>
          <w:rFonts w:eastAsia="Arial"/>
        </w:rPr>
        <w:t xml:space="preserve"> </w:t>
      </w:r>
    </w:p>
    <w:p w14:paraId="4F0896AB" w14:textId="77777777" w:rsidR="002075A5" w:rsidRPr="00297145" w:rsidRDefault="002075A5" w:rsidP="002075A5">
      <w:pPr>
        <w:pBdr>
          <w:top w:val="nil"/>
          <w:left w:val="nil"/>
          <w:bottom w:val="nil"/>
          <w:right w:val="nil"/>
          <w:between w:val="nil"/>
        </w:pBdr>
        <w:spacing w:line="360" w:lineRule="auto"/>
        <w:ind w:firstLine="720"/>
        <w:jc w:val="both"/>
        <w:rPr>
          <w:rFonts w:eastAsia="Arial"/>
        </w:rPr>
      </w:pPr>
      <w:r w:rsidRPr="00297145">
        <w:rPr>
          <w:rFonts w:eastAsia="Arial"/>
          <w:bCs/>
          <w:i/>
          <w:iCs/>
        </w:rPr>
        <w:t>Tuckman Procrastination Scale.</w:t>
      </w:r>
      <w:r w:rsidRPr="00297145">
        <w:rPr>
          <w:rFonts w:eastAsia="Arial"/>
          <w:b/>
        </w:rPr>
        <w:t xml:space="preserve"> </w:t>
      </w:r>
      <w:r w:rsidRPr="00297145">
        <w:rPr>
          <w:rFonts w:eastAsia="Arial"/>
          <w:bCs/>
        </w:rPr>
        <w:t>Elaborado por</w:t>
      </w:r>
      <w:r w:rsidRPr="00297145">
        <w:rPr>
          <w:rFonts w:eastAsia="Arial"/>
          <w:b/>
        </w:rPr>
        <w:t xml:space="preserve"> </w:t>
      </w:r>
      <w:proofErr w:type="gramStart"/>
      <w:r w:rsidRPr="00297145">
        <w:rPr>
          <w:rFonts w:eastAsia="Arial"/>
          <w:bCs/>
        </w:rPr>
        <w:t>Tuckman</w:t>
      </w:r>
      <w:r w:rsidRPr="00297145">
        <w:rPr>
          <w:rFonts w:eastAsia="Arial"/>
          <w:bCs/>
          <w:i/>
          <w:iCs/>
        </w:rPr>
        <w:t xml:space="preserve">  </w:t>
      </w:r>
      <w:r w:rsidRPr="00297145">
        <w:rPr>
          <w:rFonts w:eastAsia="Arial"/>
          <w:bCs/>
        </w:rPr>
        <w:t>(</w:t>
      </w:r>
      <w:proofErr w:type="gramEnd"/>
      <w:r w:rsidRPr="00297145">
        <w:rPr>
          <w:rFonts w:eastAsia="Arial"/>
          <w:bCs/>
        </w:rPr>
        <w:t>1991), adaptada para o Brasil por Couto et al. (2020),</w:t>
      </w:r>
      <w:r w:rsidRPr="00297145">
        <w:rPr>
          <w:rFonts w:eastAsia="Arial"/>
          <w:bCs/>
          <w:i/>
          <w:iCs/>
        </w:rPr>
        <w:t xml:space="preserve"> </w:t>
      </w:r>
      <w:r w:rsidRPr="00297145">
        <w:rPr>
          <w:rFonts w:eastAsia="Arial"/>
        </w:rPr>
        <w:t xml:space="preserve">que objetiva medir de forma global a tendência de perder tempo, procrastinar e deixar de fazer as coisas que deveriam fazer. É composta por 14 itens como (e.g. item 2 Adio o início das coisas que não gosto de fazer), nas quais quatro (itens 05, 07, 10 e 13) são codificados inversamente (e.g. item 5. Começo a trabalhar imediatamente, </w:t>
      </w:r>
      <w:proofErr w:type="gramStart"/>
      <w:r w:rsidRPr="00297145">
        <w:rPr>
          <w:rFonts w:eastAsia="Arial"/>
        </w:rPr>
        <w:t>mesmo em</w:t>
      </w:r>
      <w:proofErr w:type="gramEnd"/>
      <w:r w:rsidRPr="00297145">
        <w:rPr>
          <w:rFonts w:eastAsia="Arial"/>
        </w:rPr>
        <w:t xml:space="preserve"> atividades que eu acho desagradável.). Estes são respondidas em escala de cinco pontos tipo </w:t>
      </w:r>
      <w:r w:rsidRPr="00297145">
        <w:rPr>
          <w:rFonts w:eastAsia="Arial"/>
          <w:i/>
          <w:iCs/>
        </w:rPr>
        <w:t>Likert,</w:t>
      </w:r>
      <w:r w:rsidRPr="00297145">
        <w:rPr>
          <w:rFonts w:eastAsia="Arial"/>
        </w:rPr>
        <w:t xml:space="preserve"> variando de 1 (Nunca) a 5 (Sempre).  Apresenta consistência interna significativa de Cronbach = 0,87. </w:t>
      </w:r>
    </w:p>
    <w:p w14:paraId="178902AD" w14:textId="77777777" w:rsidR="002075A5" w:rsidRPr="00297145" w:rsidRDefault="002075A5" w:rsidP="002075A5">
      <w:pPr>
        <w:pBdr>
          <w:top w:val="nil"/>
          <w:left w:val="nil"/>
          <w:bottom w:val="nil"/>
          <w:right w:val="nil"/>
          <w:between w:val="nil"/>
        </w:pBdr>
        <w:spacing w:line="360" w:lineRule="auto"/>
        <w:ind w:firstLine="720"/>
        <w:jc w:val="both"/>
        <w:rPr>
          <w:rFonts w:eastAsia="Arial"/>
        </w:rPr>
      </w:pPr>
      <w:r w:rsidRPr="00297145">
        <w:rPr>
          <w:rFonts w:eastAsia="Arial"/>
          <w:bCs/>
          <w:i/>
          <w:iCs/>
        </w:rPr>
        <w:t>Questionário Sociodemográfico.</w:t>
      </w:r>
      <w:r w:rsidRPr="00297145">
        <w:rPr>
          <w:rFonts w:eastAsia="Arial"/>
        </w:rPr>
        <w:t xml:space="preserve"> Conjunto de perguntas com objetivo de caracterizar a amostra, a exemplo das seguintes variáveis: idade, sexo, estado civil, tipo de instituição, entre outros.</w:t>
      </w:r>
    </w:p>
    <w:p w14:paraId="788EC80D" w14:textId="7453EC89" w:rsidR="004C1FD8" w:rsidRPr="009E37BF" w:rsidRDefault="007C3C14" w:rsidP="007E3B8D">
      <w:pPr>
        <w:pStyle w:val="SubtituloInterno"/>
      </w:pPr>
      <w:r w:rsidRPr="009E37BF">
        <w:t>Proced</w:t>
      </w:r>
      <w:r w:rsidR="00E6641C">
        <w:t>imentos</w:t>
      </w:r>
      <w:r w:rsidRPr="009E37BF">
        <w:t xml:space="preserve"> </w:t>
      </w:r>
    </w:p>
    <w:p w14:paraId="59198CA6" w14:textId="3E0E6353" w:rsidR="002075A5" w:rsidRPr="00297145" w:rsidRDefault="002075A5" w:rsidP="002075A5">
      <w:pPr>
        <w:spacing w:line="360" w:lineRule="auto"/>
        <w:ind w:firstLine="708"/>
        <w:jc w:val="both"/>
        <w:rPr>
          <w:rFonts w:eastAsia="Arial"/>
        </w:rPr>
      </w:pPr>
      <w:r w:rsidRPr="00297145">
        <w:rPr>
          <w:rFonts w:eastAsia="Arial"/>
        </w:rPr>
        <w:t xml:space="preserve">Após autorização de um Comitê de Ética Pesquisa com seres humanos </w:t>
      </w:r>
      <w:proofErr w:type="gramStart"/>
      <w:r>
        <w:rPr>
          <w:rFonts w:eastAsia="Arial"/>
        </w:rPr>
        <w:t>e</w:t>
      </w:r>
      <w:proofErr w:type="gramEnd"/>
      <w:r>
        <w:rPr>
          <w:rFonts w:eastAsia="Arial"/>
        </w:rPr>
        <w:t xml:space="preserve"> da </w:t>
      </w:r>
      <w:r w:rsidRPr="00297145">
        <w:rPr>
          <w:rFonts w:eastAsia="Arial"/>
        </w:rPr>
        <w:t xml:space="preserve">IES pública selecionada para a pesquisa, procedeu-se a coleta, que aconteceu em ambiente coletivo de sala de aula, porém os questionários foram respondidos individualmente. </w:t>
      </w:r>
      <w:r>
        <w:rPr>
          <w:rFonts w:eastAsia="Arial"/>
        </w:rPr>
        <w:t>Os</w:t>
      </w:r>
      <w:r w:rsidRPr="00297145">
        <w:rPr>
          <w:rFonts w:eastAsia="Arial"/>
        </w:rPr>
        <w:t xml:space="preserve"> universitários que aceitaram participar, </w:t>
      </w:r>
      <w:r>
        <w:rPr>
          <w:rFonts w:eastAsia="Arial"/>
        </w:rPr>
        <w:t>assinaram um</w:t>
      </w:r>
      <w:r w:rsidRPr="00297145">
        <w:rPr>
          <w:rFonts w:eastAsia="Arial"/>
        </w:rPr>
        <w:t xml:space="preserve"> Termo de Consentimento Livre e Esclarecido</w:t>
      </w:r>
      <w:r w:rsidR="00E6641C">
        <w:rPr>
          <w:rFonts w:eastAsia="Arial"/>
        </w:rPr>
        <w:t xml:space="preserve"> autorizando a pesquisa.</w:t>
      </w:r>
    </w:p>
    <w:p w14:paraId="44359B17" w14:textId="77777777" w:rsidR="002075A5" w:rsidRPr="00297145" w:rsidRDefault="002075A5" w:rsidP="002075A5">
      <w:pPr>
        <w:spacing w:line="360" w:lineRule="auto"/>
        <w:ind w:firstLine="708"/>
        <w:jc w:val="both"/>
        <w:rPr>
          <w:rFonts w:eastAsia="Arial"/>
        </w:rPr>
      </w:pPr>
      <w:r w:rsidRPr="00297145">
        <w:rPr>
          <w:rFonts w:eastAsia="Arial"/>
        </w:rPr>
        <w:t>Para todos foram informados dos propósitos gerais da pesquisa e que os questionários deveriam ser respondidos individualmente, sendo assegurado o caráter voluntário, anonimato das respostas, que a participação na pesquisa não traria nenhum prejuízo aos participantes e que poderiam desistir a qualquer momento, sem prejuízo ou bônus aos participantes, podendo desistir da mesma a qualquer momento sem ônus; ainda buscar-se-á indicar que as análises foram tomadas em conjunto e somente tiveram acesso os pesquisadores diretamente envolvidos. Foram necessários de 10 a 20 minutos para finalizar a participação.</w:t>
      </w:r>
    </w:p>
    <w:p w14:paraId="0F4ED851" w14:textId="4C39EB3F" w:rsidR="007C3C14" w:rsidRPr="004C1FD8" w:rsidRDefault="00E6641C" w:rsidP="007C3C14">
      <w:pPr>
        <w:pStyle w:val="SubtituloInterno"/>
        <w:rPr>
          <w:lang w:val="es-AR"/>
        </w:rPr>
      </w:pPr>
      <w:r>
        <w:rPr>
          <w:lang w:val="es-AR"/>
        </w:rPr>
        <w:t>Análise de Dados</w:t>
      </w:r>
    </w:p>
    <w:p w14:paraId="5BFEEE15" w14:textId="77777777" w:rsidR="00E6641C" w:rsidRPr="00297145" w:rsidRDefault="00E6641C" w:rsidP="00E6641C">
      <w:pPr>
        <w:spacing w:line="360" w:lineRule="auto"/>
        <w:ind w:firstLine="708"/>
        <w:jc w:val="both"/>
        <w:rPr>
          <w:rFonts w:eastAsia="Arial"/>
        </w:rPr>
      </w:pPr>
      <w:r w:rsidRPr="00297145">
        <w:rPr>
          <w:rFonts w:eastAsia="Arial"/>
        </w:rPr>
        <w:t>Com o SPSS, versão 26, serão realizadas estatísticas descritivas (média e desvio padrão) com a finalidade de caracterizar os participantes da pesquisa, correlação</w:t>
      </w:r>
      <w:r w:rsidRPr="00297145">
        <w:rPr>
          <w:rFonts w:eastAsia="Arial"/>
          <w:i/>
        </w:rPr>
        <w:t xml:space="preserve"> </w:t>
      </w:r>
      <w:r w:rsidRPr="00297145">
        <w:rPr>
          <w:rFonts w:eastAsia="Arial"/>
        </w:rPr>
        <w:t xml:space="preserve">de </w:t>
      </w:r>
      <w:r w:rsidRPr="00297145">
        <w:rPr>
          <w:rFonts w:eastAsia="Arial"/>
          <w:i/>
        </w:rPr>
        <w:t>Pearson e regressão múltipla</w:t>
      </w:r>
      <w:r w:rsidRPr="00297145">
        <w:rPr>
          <w:rFonts w:eastAsia="Arial"/>
        </w:rPr>
        <w:t xml:space="preserve">. Além disso, foi realizado o </w:t>
      </w:r>
      <w:r w:rsidRPr="00297145">
        <w:rPr>
          <w:rFonts w:eastAsia="Arial"/>
          <w:i/>
        </w:rPr>
        <w:t>Teste-t de Student</w:t>
      </w:r>
      <w:r w:rsidRPr="00297145">
        <w:rPr>
          <w:rFonts w:eastAsia="Arial"/>
        </w:rPr>
        <w:t xml:space="preserve">, para amostras independentes para </w:t>
      </w:r>
      <w:r w:rsidRPr="00297145">
        <w:rPr>
          <w:rFonts w:eastAsia="Arial"/>
        </w:rPr>
        <w:lastRenderedPageBreak/>
        <w:t>averiguar se existem diferenças em função do gênero para a ansiedade cognitiva de provas e a procrastinação acadêmica.</w:t>
      </w:r>
    </w:p>
    <w:p w14:paraId="681BC02D" w14:textId="3049913A" w:rsidR="004C1FD8" w:rsidRPr="00E25900" w:rsidRDefault="00E6641C" w:rsidP="004C1FD8">
      <w:pPr>
        <w:pStyle w:val="SubtituloInterno"/>
      </w:pPr>
      <w:r>
        <w:t>Aspectos éticos</w:t>
      </w:r>
    </w:p>
    <w:p w14:paraId="336975B6" w14:textId="19755BE3" w:rsidR="00076F0A" w:rsidRPr="004C1FD8" w:rsidRDefault="002075A5" w:rsidP="004C1FD8">
      <w:pPr>
        <w:pStyle w:val="Prrafocomn"/>
      </w:pPr>
      <w:r w:rsidRPr="00297145">
        <w:rPr>
          <w:rFonts w:eastAsia="Arial"/>
        </w:rPr>
        <w:t xml:space="preserve">O projeto foi submetido ao Comitê de Ética em Pesquisa da Universidade Estadual do Piauí e seguiu as normas e as recomendações das resoluções 466/12 e 510/16 do Conselho Nacional de Saúde. </w:t>
      </w:r>
      <w:r>
        <w:rPr>
          <w:rFonts w:eastAsia="Arial"/>
        </w:rPr>
        <w:t>A pesquisa foi autorizada por</w:t>
      </w:r>
      <w:r w:rsidRPr="00297145">
        <w:rPr>
          <w:rFonts w:eastAsia="Arial"/>
        </w:rPr>
        <w:t xml:space="preserve"> um Comitê de Ética Pesquisa com seres humanos (CAAE: 54449321.8.0000.5209, Parecer: 5.213.273) e </w:t>
      </w:r>
      <w:r>
        <w:rPr>
          <w:rFonts w:eastAsia="Arial"/>
        </w:rPr>
        <w:t>pelos</w:t>
      </w:r>
      <w:r w:rsidRPr="00297145">
        <w:rPr>
          <w:rFonts w:eastAsia="Arial"/>
        </w:rPr>
        <w:t xml:space="preserve"> responsáveis da IES pública selecionada para a pesquisa</w:t>
      </w:r>
      <w:r>
        <w:t xml:space="preserve">. </w:t>
      </w:r>
      <w:r w:rsidRPr="00297145">
        <w:rPr>
          <w:rFonts w:eastAsia="Arial"/>
        </w:rPr>
        <w:t>Aos universitários que aceitaram participar, foi entregue o Termos de Consentimento Livre e Esclarecido para que pudessem autorizar sua participação na pesquisa.</w:t>
      </w:r>
    </w:p>
    <w:p w14:paraId="61754C2A" w14:textId="25BC99C1" w:rsidR="006F7E7E" w:rsidRDefault="005B5614" w:rsidP="00CE7D65">
      <w:pPr>
        <w:pStyle w:val="Ttulosinternos"/>
      </w:pPr>
      <w:r w:rsidRPr="00E25900">
        <w:t>Result</w:t>
      </w:r>
      <w:r w:rsidR="00E6641C">
        <w:t>ados</w:t>
      </w:r>
    </w:p>
    <w:p w14:paraId="7A631EEF" w14:textId="77777777" w:rsidR="00E6641C" w:rsidRPr="00297145" w:rsidRDefault="00E6641C" w:rsidP="00E6641C">
      <w:pPr>
        <w:spacing w:line="360" w:lineRule="auto"/>
        <w:ind w:firstLine="709"/>
        <w:jc w:val="both"/>
        <w:rPr>
          <w:rFonts w:eastAsia="Arial"/>
        </w:rPr>
      </w:pPr>
      <w:r w:rsidRPr="00297145">
        <w:rPr>
          <w:rFonts w:eastAsia="Arial"/>
          <w:highlight w:val="white"/>
        </w:rPr>
        <w:t xml:space="preserve">Inicialmente, procurou-se conhecer a relação entre a </w:t>
      </w:r>
      <w:r w:rsidRPr="00297145">
        <w:rPr>
          <w:rFonts w:eastAsia="Arial"/>
        </w:rPr>
        <w:t>ansiedade cognitiva de provas</w:t>
      </w:r>
      <w:r w:rsidRPr="00297145">
        <w:rPr>
          <w:rFonts w:eastAsia="Arial"/>
          <w:highlight w:val="white"/>
        </w:rPr>
        <w:t xml:space="preserve"> e a procrastinação acadêmica, sendo realizadas correlações de </w:t>
      </w:r>
      <w:r w:rsidRPr="00297145">
        <w:rPr>
          <w:rFonts w:eastAsia="Arial"/>
          <w:i/>
          <w:highlight w:val="white"/>
        </w:rPr>
        <w:t>Pearson</w:t>
      </w:r>
      <w:r w:rsidRPr="00297145">
        <w:rPr>
          <w:rFonts w:eastAsia="Arial"/>
          <w:highlight w:val="white"/>
        </w:rPr>
        <w:t xml:space="preserve">. Em um primeiro momento, destacam-se as médias e desvios padrões dos fatores da </w:t>
      </w:r>
      <w:r w:rsidRPr="00297145">
        <w:rPr>
          <w:rFonts w:eastAsia="Arial"/>
        </w:rPr>
        <w:t>ansiedade cognitiva de provas</w:t>
      </w:r>
      <w:r w:rsidRPr="00297145">
        <w:rPr>
          <w:rFonts w:eastAsia="Arial"/>
          <w:highlight w:val="white"/>
        </w:rPr>
        <w:t xml:space="preserve"> (</w:t>
      </w:r>
      <w:r w:rsidRPr="00297145">
        <w:rPr>
          <w:rFonts w:eastAsia="Arial"/>
          <w:i/>
          <w:highlight w:val="white"/>
        </w:rPr>
        <w:t>M</w:t>
      </w:r>
      <w:r w:rsidRPr="00297145">
        <w:rPr>
          <w:rFonts w:eastAsia="Arial"/>
          <w:highlight w:val="white"/>
        </w:rPr>
        <w:t xml:space="preserve"> = 2,69, </w:t>
      </w:r>
      <w:r w:rsidRPr="00297145">
        <w:rPr>
          <w:rFonts w:eastAsia="Arial"/>
          <w:i/>
          <w:highlight w:val="white"/>
        </w:rPr>
        <w:t>DP</w:t>
      </w:r>
      <w:r w:rsidRPr="00297145">
        <w:rPr>
          <w:rFonts w:eastAsia="Arial"/>
          <w:highlight w:val="white"/>
        </w:rPr>
        <w:t xml:space="preserve"> = 0,68) e a procrastinação acadêmica (</w:t>
      </w:r>
      <w:r w:rsidRPr="00297145">
        <w:rPr>
          <w:rFonts w:eastAsia="Arial"/>
          <w:i/>
          <w:highlight w:val="white"/>
        </w:rPr>
        <w:t>M</w:t>
      </w:r>
      <w:r w:rsidRPr="00297145">
        <w:rPr>
          <w:rFonts w:eastAsia="Arial"/>
          <w:highlight w:val="white"/>
        </w:rPr>
        <w:t xml:space="preserve"> = 4,6, </w:t>
      </w:r>
      <w:r w:rsidRPr="00297145">
        <w:rPr>
          <w:rFonts w:eastAsia="Arial"/>
          <w:i/>
          <w:highlight w:val="white"/>
        </w:rPr>
        <w:t>DP</w:t>
      </w:r>
      <w:r w:rsidRPr="00297145">
        <w:rPr>
          <w:rFonts w:eastAsia="Arial"/>
          <w:highlight w:val="white"/>
        </w:rPr>
        <w:t xml:space="preserve"> = 1,41).</w:t>
      </w:r>
      <w:r w:rsidRPr="00297145">
        <w:rPr>
          <w:rFonts w:eastAsia="Arial"/>
        </w:rPr>
        <w:t xml:space="preserve"> Posteriormente, para verificar a relação entre ansiedade cognitiva de provas</w:t>
      </w:r>
      <w:r w:rsidRPr="00297145">
        <w:rPr>
          <w:rFonts w:eastAsia="Arial"/>
          <w:highlight w:val="white"/>
        </w:rPr>
        <w:t xml:space="preserve"> e a procrastinação acadêmica </w:t>
      </w:r>
      <w:r w:rsidRPr="00297145">
        <w:rPr>
          <w:rFonts w:eastAsia="Arial"/>
        </w:rPr>
        <w:t xml:space="preserve">foram realizadas correlações de Pearson, que indicaram que os fenômenos se relacionam de forma positiva </w:t>
      </w:r>
      <w:proofErr w:type="gramStart"/>
      <w:r w:rsidRPr="00297145">
        <w:rPr>
          <w:rFonts w:eastAsia="Arial"/>
        </w:rPr>
        <w:t>e</w:t>
      </w:r>
      <w:proofErr w:type="gramEnd"/>
      <w:r w:rsidRPr="00297145">
        <w:rPr>
          <w:rFonts w:eastAsia="Arial"/>
        </w:rPr>
        <w:t xml:space="preserve"> significativa (0,29; </w:t>
      </w:r>
      <w:r w:rsidRPr="00297145">
        <w:rPr>
          <w:rFonts w:eastAsia="Arial"/>
          <w:i/>
        </w:rPr>
        <w:t>&lt;</w:t>
      </w:r>
      <w:r w:rsidRPr="00297145">
        <w:rPr>
          <w:rFonts w:eastAsia="Arial"/>
        </w:rPr>
        <w:t xml:space="preserve"> 0,001). Portanto, quanto maiores os níveis de ansiedade cognitiva de provas, maior será a tendência de os universitários apresentarem comportamentos procrastinadores.</w:t>
      </w:r>
    </w:p>
    <w:p w14:paraId="47A6A5B8" w14:textId="77777777" w:rsidR="00E6641C" w:rsidRPr="00297145" w:rsidRDefault="00E6641C" w:rsidP="00E6641C">
      <w:pPr>
        <w:pBdr>
          <w:top w:val="nil"/>
          <w:left w:val="nil"/>
          <w:bottom w:val="nil"/>
          <w:right w:val="nil"/>
          <w:between w:val="nil"/>
        </w:pBdr>
        <w:spacing w:line="360" w:lineRule="auto"/>
        <w:ind w:firstLine="851"/>
        <w:jc w:val="both"/>
        <w:rPr>
          <w:rFonts w:eastAsia="Arial"/>
        </w:rPr>
      </w:pPr>
      <w:r w:rsidRPr="00297145">
        <w:rPr>
          <w:rFonts w:eastAsia="Arial"/>
        </w:rPr>
        <w:t xml:space="preserve"> Em seguida, buscou-se verificar em que medida </w:t>
      </w:r>
      <w:r w:rsidRPr="00297145">
        <w:rPr>
          <w:rFonts w:eastAsia="Arial"/>
          <w:highlight w:val="white"/>
        </w:rPr>
        <w:t>a ansiedade cognitiva de provas explica a procrastinação acadêmica. Neste caso, realizou-se uma análise de regressão linear múltipla, introduzindo como variável antecedente a ansiedade cognitiva de provas e como variável consequente a procrastinação acadêmica. Assim, os resultados demonstraram que a ansiedade cognitiva de provas explicou cerca de 9% da variância da procrastinação acadêmica [</w:t>
      </w:r>
      <w:r w:rsidRPr="00297145">
        <w:rPr>
          <w:rFonts w:eastAsia="Arial"/>
          <w:i/>
          <w:highlight w:val="white"/>
        </w:rPr>
        <w:t xml:space="preserve">R </w:t>
      </w:r>
      <w:r w:rsidRPr="00297145">
        <w:rPr>
          <w:rFonts w:eastAsia="Arial"/>
          <w:highlight w:val="white"/>
        </w:rPr>
        <w:t xml:space="preserve">= 0,29, </w:t>
      </w:r>
      <w:r w:rsidRPr="00297145">
        <w:rPr>
          <w:rFonts w:eastAsia="Arial"/>
          <w:i/>
          <w:highlight w:val="white"/>
        </w:rPr>
        <w:t>R</w:t>
      </w:r>
      <w:r w:rsidRPr="00297145">
        <w:rPr>
          <w:rFonts w:eastAsia="Arial"/>
          <w:highlight w:val="white"/>
        </w:rPr>
        <w:t>²</w:t>
      </w:r>
      <w:r w:rsidRPr="00297145">
        <w:rPr>
          <w:rFonts w:eastAsia="Arial"/>
          <w:highlight w:val="white"/>
          <w:vertAlign w:val="subscript"/>
        </w:rPr>
        <w:t>Ajustado</w:t>
      </w:r>
      <w:r w:rsidRPr="00297145">
        <w:rPr>
          <w:rFonts w:eastAsia="Arial"/>
          <w:highlight w:val="white"/>
        </w:rPr>
        <w:t xml:space="preserve"> = 0,09; </w:t>
      </w:r>
      <w:r w:rsidRPr="00297145">
        <w:rPr>
          <w:rFonts w:eastAsia="Arial"/>
          <w:i/>
          <w:highlight w:val="white"/>
        </w:rPr>
        <w:t xml:space="preserve">F </w:t>
      </w:r>
      <w:r w:rsidRPr="00297145">
        <w:rPr>
          <w:rFonts w:eastAsia="Arial"/>
          <w:highlight w:val="white"/>
        </w:rPr>
        <w:t xml:space="preserve">(1, 189) = 17,80, </w:t>
      </w:r>
      <w:r w:rsidRPr="00297145">
        <w:rPr>
          <w:rFonts w:eastAsia="Arial"/>
          <w:i/>
          <w:highlight w:val="white"/>
        </w:rPr>
        <w:t>p</w:t>
      </w:r>
      <w:r w:rsidRPr="00297145">
        <w:rPr>
          <w:rFonts w:eastAsia="Arial"/>
          <w:highlight w:val="white"/>
        </w:rPr>
        <w:t xml:space="preserve"> &lt; 0,001; </w:t>
      </w:r>
      <w:r w:rsidRPr="00297145">
        <w:rPr>
          <w:rFonts w:eastAsia="Arial"/>
          <w:i/>
          <w:highlight w:val="white"/>
        </w:rPr>
        <w:t xml:space="preserve">β </w:t>
      </w:r>
      <w:r w:rsidRPr="00297145">
        <w:rPr>
          <w:rFonts w:eastAsia="Arial"/>
          <w:highlight w:val="white"/>
        </w:rPr>
        <w:t xml:space="preserve">= 0,29, </w:t>
      </w:r>
      <w:r w:rsidRPr="00297145">
        <w:rPr>
          <w:rFonts w:eastAsia="Arial"/>
          <w:i/>
          <w:highlight w:val="white"/>
        </w:rPr>
        <w:t xml:space="preserve">t </w:t>
      </w:r>
      <w:r w:rsidRPr="00297145">
        <w:rPr>
          <w:rFonts w:eastAsia="Arial"/>
          <w:highlight w:val="white"/>
        </w:rPr>
        <w:t xml:space="preserve">= 4,22, </w:t>
      </w:r>
      <w:r w:rsidRPr="00297145">
        <w:rPr>
          <w:rFonts w:eastAsia="Arial"/>
          <w:i/>
          <w:highlight w:val="white"/>
        </w:rPr>
        <w:t>p</w:t>
      </w:r>
      <w:r w:rsidRPr="00297145">
        <w:rPr>
          <w:rFonts w:eastAsia="Arial"/>
          <w:highlight w:val="white"/>
        </w:rPr>
        <w:t xml:space="preserve"> &lt; 0,001]. </w:t>
      </w:r>
    </w:p>
    <w:p w14:paraId="5F305716" w14:textId="77777777" w:rsidR="00E6641C" w:rsidRPr="00297145" w:rsidRDefault="00E6641C" w:rsidP="00E6641C">
      <w:pPr>
        <w:pBdr>
          <w:top w:val="nil"/>
          <w:left w:val="nil"/>
          <w:bottom w:val="nil"/>
          <w:right w:val="nil"/>
          <w:between w:val="nil"/>
        </w:pBdr>
        <w:spacing w:line="360" w:lineRule="auto"/>
        <w:ind w:firstLine="851"/>
        <w:jc w:val="both"/>
        <w:rPr>
          <w:rFonts w:eastAsia="Arial"/>
        </w:rPr>
      </w:pPr>
      <w:r w:rsidRPr="00297145">
        <w:rPr>
          <w:rFonts w:eastAsia="Arial"/>
        </w:rPr>
        <w:t xml:space="preserve">Posteriormente, foi observado em que medida os participantes do estudo se diferenciam em relação aos níveis de </w:t>
      </w:r>
      <w:r w:rsidRPr="00297145">
        <w:rPr>
          <w:rFonts w:eastAsia="Arial"/>
          <w:highlight w:val="white"/>
        </w:rPr>
        <w:t>ansiedade cognitiva de provas explicando a procrastinação acadêmica</w:t>
      </w:r>
      <w:r w:rsidRPr="00297145">
        <w:rPr>
          <w:rFonts w:eastAsia="Arial"/>
        </w:rPr>
        <w:t xml:space="preserve"> em função do gênero dos participantes, ou seja, masculino feminino. Nesta oportunidade, considerado o teste T de </w:t>
      </w:r>
      <w:r w:rsidRPr="00297145">
        <w:rPr>
          <w:rFonts w:eastAsia="Arial"/>
          <w:i/>
        </w:rPr>
        <w:t xml:space="preserve">Student </w:t>
      </w:r>
      <w:r w:rsidRPr="00297145">
        <w:rPr>
          <w:rFonts w:eastAsia="Arial"/>
        </w:rPr>
        <w:t>para amostras independentes. Os resultados apresentados na Tabela 1.</w:t>
      </w:r>
    </w:p>
    <w:p w14:paraId="5C89DFA0" w14:textId="77777777" w:rsidR="00E6641C" w:rsidRPr="00297145" w:rsidRDefault="00E6641C" w:rsidP="00E6641C">
      <w:pPr>
        <w:pBdr>
          <w:top w:val="nil"/>
          <w:left w:val="nil"/>
          <w:bottom w:val="nil"/>
          <w:right w:val="nil"/>
          <w:between w:val="nil"/>
        </w:pBdr>
        <w:spacing w:line="360" w:lineRule="auto"/>
        <w:ind w:firstLine="851"/>
        <w:jc w:val="both"/>
        <w:rPr>
          <w:rFonts w:eastAsia="Arial"/>
        </w:rPr>
      </w:pPr>
    </w:p>
    <w:p w14:paraId="3054E7E6" w14:textId="77777777" w:rsidR="00E6641C" w:rsidRPr="00E6641C" w:rsidRDefault="00E6641C" w:rsidP="00E6641C">
      <w:pPr>
        <w:pBdr>
          <w:top w:val="nil"/>
          <w:left w:val="nil"/>
          <w:bottom w:val="nil"/>
          <w:right w:val="nil"/>
          <w:between w:val="nil"/>
        </w:pBdr>
        <w:spacing w:line="480" w:lineRule="auto"/>
        <w:jc w:val="both"/>
        <w:rPr>
          <w:rFonts w:eastAsia="Arial"/>
          <w:bCs/>
          <w:sz w:val="20"/>
          <w:szCs w:val="20"/>
        </w:rPr>
      </w:pPr>
      <w:r w:rsidRPr="00E6641C">
        <w:rPr>
          <w:rFonts w:eastAsia="Arial"/>
          <w:bCs/>
          <w:sz w:val="20"/>
          <w:szCs w:val="20"/>
        </w:rPr>
        <w:lastRenderedPageBreak/>
        <w:t>Tabela 1</w:t>
      </w:r>
    </w:p>
    <w:p w14:paraId="4451362D" w14:textId="77777777" w:rsidR="00E6641C" w:rsidRPr="00E6641C" w:rsidRDefault="00E6641C" w:rsidP="00E6641C">
      <w:pPr>
        <w:pBdr>
          <w:top w:val="nil"/>
          <w:left w:val="nil"/>
          <w:bottom w:val="nil"/>
          <w:right w:val="nil"/>
          <w:between w:val="nil"/>
        </w:pBdr>
        <w:spacing w:line="480" w:lineRule="auto"/>
        <w:jc w:val="both"/>
        <w:rPr>
          <w:rFonts w:eastAsia="Arial"/>
          <w:sz w:val="20"/>
          <w:szCs w:val="20"/>
        </w:rPr>
      </w:pPr>
      <w:r w:rsidRPr="00E6641C">
        <w:rPr>
          <w:rFonts w:eastAsia="Arial"/>
          <w:sz w:val="20"/>
          <w:szCs w:val="20"/>
        </w:rPr>
        <w:t xml:space="preserve"> </w:t>
      </w:r>
      <w:r w:rsidRPr="00E6641C">
        <w:rPr>
          <w:rFonts w:eastAsia="Arial"/>
          <w:i/>
          <w:sz w:val="20"/>
          <w:szCs w:val="20"/>
        </w:rPr>
        <w:t xml:space="preserve">Diferença de médias entre homens e mulheres em relação da </w:t>
      </w:r>
      <w:r w:rsidRPr="00E6641C">
        <w:rPr>
          <w:rFonts w:eastAsia="Arial"/>
          <w:i/>
          <w:sz w:val="20"/>
          <w:szCs w:val="20"/>
          <w:highlight w:val="white"/>
        </w:rPr>
        <w:t>ansiedade cognitiva de provas e a procrastinação acadêmica</w:t>
      </w:r>
    </w:p>
    <w:tbl>
      <w:tblPr>
        <w:tblW w:w="912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8"/>
        <w:gridCol w:w="797"/>
        <w:gridCol w:w="1370"/>
        <w:gridCol w:w="887"/>
        <w:gridCol w:w="349"/>
        <w:gridCol w:w="797"/>
        <w:gridCol w:w="883"/>
        <w:gridCol w:w="733"/>
        <w:gridCol w:w="1029"/>
      </w:tblGrid>
      <w:tr w:rsidR="00E6641C" w:rsidRPr="00E6641C" w14:paraId="1CE9EAD0" w14:textId="77777777" w:rsidTr="00EB2181">
        <w:trPr>
          <w:trHeight w:val="397"/>
        </w:trPr>
        <w:tc>
          <w:tcPr>
            <w:tcW w:w="2278" w:type="dxa"/>
            <w:vMerge w:val="restart"/>
            <w:tcBorders>
              <w:top w:val="single" w:sz="4" w:space="0" w:color="000000"/>
              <w:left w:val="single" w:sz="4" w:space="0" w:color="FFFFFF"/>
              <w:right w:val="single" w:sz="4" w:space="0" w:color="FFFFFF"/>
            </w:tcBorders>
            <w:vAlign w:val="center"/>
          </w:tcPr>
          <w:p w14:paraId="7A982B18" w14:textId="77777777" w:rsidR="00E6641C" w:rsidRPr="00E6641C" w:rsidRDefault="00E6641C" w:rsidP="00EB2181">
            <w:pPr>
              <w:spacing w:line="480" w:lineRule="auto"/>
              <w:jc w:val="center"/>
              <w:rPr>
                <w:rFonts w:eastAsia="Arial"/>
                <w:sz w:val="20"/>
                <w:szCs w:val="20"/>
              </w:rPr>
            </w:pPr>
            <w:r w:rsidRPr="00E6641C">
              <w:rPr>
                <w:rFonts w:eastAsia="Arial"/>
                <w:sz w:val="20"/>
                <w:szCs w:val="20"/>
              </w:rPr>
              <w:t>Variáveis</w:t>
            </w:r>
          </w:p>
        </w:tc>
        <w:tc>
          <w:tcPr>
            <w:tcW w:w="3054" w:type="dxa"/>
            <w:gridSpan w:val="3"/>
            <w:tcBorders>
              <w:top w:val="single" w:sz="4" w:space="0" w:color="000000"/>
              <w:left w:val="single" w:sz="4" w:space="0" w:color="FFFFFF"/>
              <w:right w:val="single" w:sz="4" w:space="0" w:color="FFFFFF"/>
            </w:tcBorders>
            <w:vAlign w:val="center"/>
          </w:tcPr>
          <w:p w14:paraId="3ABA3440" w14:textId="77777777" w:rsidR="00E6641C" w:rsidRPr="00E6641C" w:rsidRDefault="00E6641C" w:rsidP="00EB2181">
            <w:pPr>
              <w:spacing w:line="480" w:lineRule="auto"/>
              <w:jc w:val="center"/>
              <w:rPr>
                <w:rFonts w:eastAsia="Arial"/>
                <w:sz w:val="20"/>
                <w:szCs w:val="20"/>
              </w:rPr>
            </w:pPr>
            <w:r w:rsidRPr="00E6641C">
              <w:rPr>
                <w:rFonts w:eastAsia="Arial"/>
                <w:sz w:val="20"/>
                <w:szCs w:val="20"/>
              </w:rPr>
              <w:t>Grupos</w:t>
            </w:r>
          </w:p>
        </w:tc>
        <w:tc>
          <w:tcPr>
            <w:tcW w:w="1146" w:type="dxa"/>
            <w:gridSpan w:val="2"/>
            <w:tcBorders>
              <w:top w:val="single" w:sz="4" w:space="0" w:color="000000"/>
              <w:left w:val="single" w:sz="4" w:space="0" w:color="FFFFFF"/>
              <w:right w:val="single" w:sz="4" w:space="0" w:color="FFFFFF"/>
            </w:tcBorders>
            <w:vAlign w:val="center"/>
          </w:tcPr>
          <w:p w14:paraId="147350E5" w14:textId="77777777" w:rsidR="00E6641C" w:rsidRPr="00E6641C" w:rsidRDefault="00E6641C" w:rsidP="00EB2181">
            <w:pPr>
              <w:spacing w:line="480" w:lineRule="auto"/>
              <w:jc w:val="center"/>
              <w:rPr>
                <w:rFonts w:eastAsia="Arial"/>
                <w:i/>
                <w:sz w:val="20"/>
                <w:szCs w:val="20"/>
              </w:rPr>
            </w:pPr>
          </w:p>
        </w:tc>
        <w:tc>
          <w:tcPr>
            <w:tcW w:w="883" w:type="dxa"/>
            <w:vMerge w:val="restart"/>
            <w:tcBorders>
              <w:top w:val="single" w:sz="4" w:space="0" w:color="000000"/>
              <w:left w:val="single" w:sz="4" w:space="0" w:color="FFFFFF"/>
              <w:right w:val="single" w:sz="4" w:space="0" w:color="FFFFFF"/>
            </w:tcBorders>
            <w:vAlign w:val="center"/>
          </w:tcPr>
          <w:p w14:paraId="26F32C45" w14:textId="77777777" w:rsidR="00E6641C" w:rsidRPr="00E6641C" w:rsidRDefault="00E6641C" w:rsidP="00EB2181">
            <w:pPr>
              <w:spacing w:line="480" w:lineRule="auto"/>
              <w:jc w:val="center"/>
              <w:rPr>
                <w:rFonts w:eastAsia="Arial"/>
                <w:i/>
                <w:sz w:val="20"/>
                <w:szCs w:val="20"/>
              </w:rPr>
            </w:pPr>
          </w:p>
        </w:tc>
        <w:tc>
          <w:tcPr>
            <w:tcW w:w="733" w:type="dxa"/>
            <w:tcBorders>
              <w:top w:val="single" w:sz="4" w:space="0" w:color="000000"/>
              <w:left w:val="single" w:sz="4" w:space="0" w:color="FFFFFF"/>
              <w:bottom w:val="single" w:sz="4" w:space="0" w:color="FFFFFF"/>
              <w:right w:val="single" w:sz="12" w:space="0" w:color="FFFFFF"/>
            </w:tcBorders>
            <w:vAlign w:val="center"/>
          </w:tcPr>
          <w:p w14:paraId="59F62D0E" w14:textId="77777777" w:rsidR="00E6641C" w:rsidRPr="00E6641C" w:rsidRDefault="00E6641C" w:rsidP="00EB2181">
            <w:pPr>
              <w:spacing w:line="480" w:lineRule="auto"/>
              <w:jc w:val="center"/>
              <w:rPr>
                <w:rFonts w:eastAsia="Arial"/>
                <w:i/>
                <w:sz w:val="20"/>
                <w:szCs w:val="20"/>
              </w:rPr>
            </w:pPr>
          </w:p>
        </w:tc>
        <w:tc>
          <w:tcPr>
            <w:tcW w:w="1029" w:type="dxa"/>
            <w:vMerge w:val="restart"/>
            <w:tcBorders>
              <w:top w:val="single" w:sz="4" w:space="0" w:color="000000"/>
              <w:left w:val="single" w:sz="12" w:space="0" w:color="FFFFFF"/>
              <w:right w:val="single" w:sz="4" w:space="0" w:color="FFFFFF"/>
            </w:tcBorders>
            <w:vAlign w:val="center"/>
          </w:tcPr>
          <w:p w14:paraId="542B51B2" w14:textId="77777777" w:rsidR="00E6641C" w:rsidRPr="00E6641C" w:rsidRDefault="00E6641C" w:rsidP="00EB2181">
            <w:pPr>
              <w:spacing w:line="480" w:lineRule="auto"/>
              <w:jc w:val="center"/>
              <w:rPr>
                <w:rFonts w:eastAsia="Arial"/>
                <w:i/>
                <w:sz w:val="20"/>
                <w:szCs w:val="20"/>
              </w:rPr>
            </w:pPr>
          </w:p>
        </w:tc>
      </w:tr>
      <w:tr w:rsidR="00E6641C" w:rsidRPr="00E6641C" w14:paraId="3FF204CD" w14:textId="77777777" w:rsidTr="00EB2181">
        <w:trPr>
          <w:trHeight w:val="149"/>
        </w:trPr>
        <w:tc>
          <w:tcPr>
            <w:tcW w:w="2278" w:type="dxa"/>
            <w:vMerge/>
            <w:tcBorders>
              <w:top w:val="single" w:sz="4" w:space="0" w:color="000000"/>
              <w:left w:val="single" w:sz="4" w:space="0" w:color="FFFFFF"/>
              <w:right w:val="single" w:sz="4" w:space="0" w:color="FFFFFF"/>
            </w:tcBorders>
            <w:vAlign w:val="center"/>
          </w:tcPr>
          <w:p w14:paraId="54E1FC89" w14:textId="77777777" w:rsidR="00E6641C" w:rsidRPr="00E6641C" w:rsidRDefault="00E6641C" w:rsidP="00EB2181">
            <w:pPr>
              <w:widowControl w:val="0"/>
              <w:pBdr>
                <w:top w:val="nil"/>
                <w:left w:val="nil"/>
                <w:bottom w:val="nil"/>
                <w:right w:val="nil"/>
                <w:between w:val="nil"/>
              </w:pBdr>
              <w:spacing w:line="480" w:lineRule="auto"/>
              <w:rPr>
                <w:rFonts w:eastAsia="Arial"/>
                <w:i/>
                <w:sz w:val="20"/>
                <w:szCs w:val="20"/>
              </w:rPr>
            </w:pPr>
          </w:p>
        </w:tc>
        <w:tc>
          <w:tcPr>
            <w:tcW w:w="2167" w:type="dxa"/>
            <w:gridSpan w:val="2"/>
            <w:tcBorders>
              <w:top w:val="single" w:sz="4" w:space="0" w:color="000000"/>
              <w:left w:val="single" w:sz="4" w:space="0" w:color="FFFFFF"/>
              <w:right w:val="single" w:sz="4" w:space="0" w:color="FFFFFF"/>
            </w:tcBorders>
            <w:vAlign w:val="center"/>
          </w:tcPr>
          <w:p w14:paraId="7CA1FED7" w14:textId="77777777" w:rsidR="00E6641C" w:rsidRPr="00E6641C" w:rsidRDefault="00E6641C" w:rsidP="00EB2181">
            <w:pPr>
              <w:spacing w:line="480" w:lineRule="auto"/>
              <w:jc w:val="center"/>
              <w:rPr>
                <w:rFonts w:eastAsia="Arial"/>
                <w:sz w:val="20"/>
                <w:szCs w:val="20"/>
              </w:rPr>
            </w:pPr>
            <w:r w:rsidRPr="00E6641C">
              <w:rPr>
                <w:rFonts w:eastAsia="Arial"/>
                <w:sz w:val="20"/>
                <w:szCs w:val="20"/>
              </w:rPr>
              <w:t>Masculino (n= 82)</w:t>
            </w:r>
          </w:p>
        </w:tc>
        <w:tc>
          <w:tcPr>
            <w:tcW w:w="2033" w:type="dxa"/>
            <w:gridSpan w:val="3"/>
            <w:tcBorders>
              <w:top w:val="single" w:sz="4" w:space="0" w:color="000000"/>
              <w:left w:val="single" w:sz="4" w:space="0" w:color="FFFFFF"/>
              <w:right w:val="single" w:sz="4" w:space="0" w:color="FFFFFF"/>
            </w:tcBorders>
            <w:vAlign w:val="center"/>
          </w:tcPr>
          <w:p w14:paraId="6DBA6D99" w14:textId="77777777" w:rsidR="00E6641C" w:rsidRPr="00E6641C" w:rsidRDefault="00E6641C" w:rsidP="00EB2181">
            <w:pPr>
              <w:spacing w:line="480" w:lineRule="auto"/>
              <w:jc w:val="center"/>
              <w:rPr>
                <w:rFonts w:eastAsia="Arial"/>
                <w:i/>
                <w:sz w:val="20"/>
                <w:szCs w:val="20"/>
              </w:rPr>
            </w:pPr>
            <w:r w:rsidRPr="00E6641C">
              <w:rPr>
                <w:rFonts w:eastAsia="Arial"/>
                <w:sz w:val="20"/>
                <w:szCs w:val="20"/>
              </w:rPr>
              <w:t>Feminino (n=113)</w:t>
            </w:r>
          </w:p>
        </w:tc>
        <w:tc>
          <w:tcPr>
            <w:tcW w:w="883" w:type="dxa"/>
            <w:vMerge/>
            <w:tcBorders>
              <w:top w:val="single" w:sz="4" w:space="0" w:color="000000"/>
              <w:left w:val="single" w:sz="4" w:space="0" w:color="FFFFFF"/>
              <w:right w:val="single" w:sz="4" w:space="0" w:color="FFFFFF"/>
            </w:tcBorders>
            <w:vAlign w:val="center"/>
          </w:tcPr>
          <w:p w14:paraId="240B6B36" w14:textId="77777777" w:rsidR="00E6641C" w:rsidRPr="00E6641C" w:rsidRDefault="00E6641C" w:rsidP="00EB2181">
            <w:pPr>
              <w:widowControl w:val="0"/>
              <w:pBdr>
                <w:top w:val="nil"/>
                <w:left w:val="nil"/>
                <w:bottom w:val="nil"/>
                <w:right w:val="nil"/>
                <w:between w:val="nil"/>
              </w:pBdr>
              <w:spacing w:line="480" w:lineRule="auto"/>
              <w:rPr>
                <w:rFonts w:eastAsia="Arial"/>
                <w:i/>
                <w:sz w:val="20"/>
                <w:szCs w:val="20"/>
              </w:rPr>
            </w:pPr>
          </w:p>
        </w:tc>
        <w:tc>
          <w:tcPr>
            <w:tcW w:w="733" w:type="dxa"/>
            <w:tcBorders>
              <w:top w:val="single" w:sz="4" w:space="0" w:color="FFFFFF"/>
              <w:left w:val="single" w:sz="4" w:space="0" w:color="FFFFFF"/>
              <w:right w:val="single" w:sz="12" w:space="0" w:color="FFFFFF"/>
            </w:tcBorders>
            <w:vAlign w:val="center"/>
          </w:tcPr>
          <w:p w14:paraId="651CCE5B" w14:textId="77777777" w:rsidR="00E6641C" w:rsidRPr="00E6641C" w:rsidRDefault="00E6641C" w:rsidP="00EB2181">
            <w:pPr>
              <w:spacing w:line="480" w:lineRule="auto"/>
              <w:jc w:val="center"/>
              <w:rPr>
                <w:rFonts w:eastAsia="Arial"/>
                <w:i/>
                <w:sz w:val="20"/>
                <w:szCs w:val="20"/>
              </w:rPr>
            </w:pPr>
          </w:p>
        </w:tc>
        <w:tc>
          <w:tcPr>
            <w:tcW w:w="1029" w:type="dxa"/>
            <w:vMerge/>
            <w:tcBorders>
              <w:top w:val="single" w:sz="4" w:space="0" w:color="000000"/>
              <w:left w:val="single" w:sz="12" w:space="0" w:color="FFFFFF"/>
              <w:right w:val="single" w:sz="4" w:space="0" w:color="FFFFFF"/>
            </w:tcBorders>
            <w:vAlign w:val="center"/>
          </w:tcPr>
          <w:p w14:paraId="1D256DCD" w14:textId="77777777" w:rsidR="00E6641C" w:rsidRPr="00E6641C" w:rsidRDefault="00E6641C" w:rsidP="00EB2181">
            <w:pPr>
              <w:widowControl w:val="0"/>
              <w:pBdr>
                <w:top w:val="nil"/>
                <w:left w:val="nil"/>
                <w:bottom w:val="nil"/>
                <w:right w:val="nil"/>
                <w:between w:val="nil"/>
              </w:pBdr>
              <w:spacing w:line="480" w:lineRule="auto"/>
              <w:rPr>
                <w:rFonts w:eastAsia="Arial"/>
                <w:i/>
                <w:sz w:val="20"/>
                <w:szCs w:val="20"/>
              </w:rPr>
            </w:pPr>
          </w:p>
        </w:tc>
      </w:tr>
      <w:tr w:rsidR="00E6641C" w:rsidRPr="00E6641C" w14:paraId="5A346E60" w14:textId="77777777" w:rsidTr="00EB2181">
        <w:trPr>
          <w:trHeight w:val="149"/>
        </w:trPr>
        <w:tc>
          <w:tcPr>
            <w:tcW w:w="2278" w:type="dxa"/>
            <w:vMerge/>
            <w:tcBorders>
              <w:top w:val="single" w:sz="4" w:space="0" w:color="000000"/>
              <w:left w:val="single" w:sz="4" w:space="0" w:color="FFFFFF"/>
              <w:right w:val="single" w:sz="4" w:space="0" w:color="FFFFFF"/>
            </w:tcBorders>
            <w:vAlign w:val="center"/>
          </w:tcPr>
          <w:p w14:paraId="42AEF035" w14:textId="77777777" w:rsidR="00E6641C" w:rsidRPr="00E6641C" w:rsidRDefault="00E6641C" w:rsidP="00EB2181">
            <w:pPr>
              <w:widowControl w:val="0"/>
              <w:pBdr>
                <w:top w:val="nil"/>
                <w:left w:val="nil"/>
                <w:bottom w:val="nil"/>
                <w:right w:val="nil"/>
                <w:between w:val="nil"/>
              </w:pBdr>
              <w:spacing w:line="480" w:lineRule="auto"/>
              <w:rPr>
                <w:rFonts w:eastAsia="Arial"/>
                <w:i/>
                <w:sz w:val="20"/>
                <w:szCs w:val="20"/>
              </w:rPr>
            </w:pPr>
          </w:p>
        </w:tc>
        <w:tc>
          <w:tcPr>
            <w:tcW w:w="797" w:type="dxa"/>
            <w:tcBorders>
              <w:top w:val="single" w:sz="4" w:space="0" w:color="000000"/>
              <w:left w:val="single" w:sz="4" w:space="0" w:color="FFFFFF"/>
              <w:right w:val="single" w:sz="4" w:space="0" w:color="FFFFFF"/>
            </w:tcBorders>
            <w:vAlign w:val="center"/>
          </w:tcPr>
          <w:p w14:paraId="4C4202E3" w14:textId="77777777" w:rsidR="00E6641C" w:rsidRPr="00E6641C" w:rsidRDefault="00E6641C" w:rsidP="00EB2181">
            <w:pPr>
              <w:spacing w:line="480" w:lineRule="auto"/>
              <w:jc w:val="center"/>
              <w:rPr>
                <w:rFonts w:eastAsia="Arial"/>
                <w:i/>
                <w:sz w:val="20"/>
                <w:szCs w:val="20"/>
              </w:rPr>
            </w:pPr>
            <w:r w:rsidRPr="00E6641C">
              <w:rPr>
                <w:rFonts w:eastAsia="Arial"/>
                <w:i/>
                <w:sz w:val="20"/>
                <w:szCs w:val="20"/>
              </w:rPr>
              <w:t>M</w:t>
            </w:r>
          </w:p>
        </w:tc>
        <w:tc>
          <w:tcPr>
            <w:tcW w:w="1369" w:type="dxa"/>
            <w:tcBorders>
              <w:top w:val="single" w:sz="4" w:space="0" w:color="000000"/>
              <w:left w:val="single" w:sz="4" w:space="0" w:color="FFFFFF"/>
              <w:right w:val="single" w:sz="4" w:space="0" w:color="FFFFFF"/>
            </w:tcBorders>
            <w:vAlign w:val="center"/>
          </w:tcPr>
          <w:p w14:paraId="1B758BF1" w14:textId="77777777" w:rsidR="00E6641C" w:rsidRPr="00E6641C" w:rsidRDefault="00E6641C" w:rsidP="00EB2181">
            <w:pPr>
              <w:spacing w:line="480" w:lineRule="auto"/>
              <w:jc w:val="center"/>
              <w:rPr>
                <w:rFonts w:eastAsia="Arial"/>
                <w:i/>
                <w:sz w:val="20"/>
                <w:szCs w:val="20"/>
              </w:rPr>
            </w:pPr>
            <w:r w:rsidRPr="00E6641C">
              <w:rPr>
                <w:rFonts w:eastAsia="Arial"/>
                <w:i/>
                <w:sz w:val="20"/>
                <w:szCs w:val="20"/>
              </w:rPr>
              <w:t>DP</w:t>
            </w:r>
          </w:p>
        </w:tc>
        <w:tc>
          <w:tcPr>
            <w:tcW w:w="1236" w:type="dxa"/>
            <w:gridSpan w:val="2"/>
            <w:tcBorders>
              <w:top w:val="single" w:sz="4" w:space="0" w:color="000000"/>
              <w:left w:val="single" w:sz="4" w:space="0" w:color="FFFFFF"/>
              <w:right w:val="single" w:sz="4" w:space="0" w:color="FFFFFF"/>
            </w:tcBorders>
            <w:vAlign w:val="center"/>
          </w:tcPr>
          <w:p w14:paraId="07866F5A" w14:textId="77777777" w:rsidR="00E6641C" w:rsidRPr="00E6641C" w:rsidRDefault="00E6641C" w:rsidP="00EB2181">
            <w:pPr>
              <w:spacing w:line="480" w:lineRule="auto"/>
              <w:jc w:val="center"/>
              <w:rPr>
                <w:rFonts w:eastAsia="Arial"/>
                <w:i/>
                <w:sz w:val="20"/>
                <w:szCs w:val="20"/>
              </w:rPr>
            </w:pPr>
            <w:r w:rsidRPr="00E6641C">
              <w:rPr>
                <w:rFonts w:eastAsia="Arial"/>
                <w:i/>
                <w:sz w:val="20"/>
                <w:szCs w:val="20"/>
              </w:rPr>
              <w:t>M</w:t>
            </w:r>
          </w:p>
        </w:tc>
        <w:tc>
          <w:tcPr>
            <w:tcW w:w="797" w:type="dxa"/>
            <w:tcBorders>
              <w:top w:val="single" w:sz="4" w:space="0" w:color="000000"/>
              <w:left w:val="single" w:sz="4" w:space="0" w:color="FFFFFF"/>
              <w:right w:val="single" w:sz="4" w:space="0" w:color="FFFFFF"/>
            </w:tcBorders>
            <w:vAlign w:val="center"/>
          </w:tcPr>
          <w:p w14:paraId="4B6A7828" w14:textId="77777777" w:rsidR="00E6641C" w:rsidRPr="00E6641C" w:rsidRDefault="00E6641C" w:rsidP="00EB2181">
            <w:pPr>
              <w:spacing w:line="480" w:lineRule="auto"/>
              <w:jc w:val="center"/>
              <w:rPr>
                <w:rFonts w:eastAsia="Arial"/>
                <w:i/>
                <w:sz w:val="20"/>
                <w:szCs w:val="20"/>
              </w:rPr>
            </w:pPr>
            <w:r w:rsidRPr="00E6641C">
              <w:rPr>
                <w:rFonts w:eastAsia="Arial"/>
                <w:i/>
                <w:sz w:val="20"/>
                <w:szCs w:val="20"/>
              </w:rPr>
              <w:t>DP</w:t>
            </w:r>
          </w:p>
        </w:tc>
        <w:tc>
          <w:tcPr>
            <w:tcW w:w="883" w:type="dxa"/>
            <w:tcBorders>
              <w:top w:val="single" w:sz="4" w:space="0" w:color="000000"/>
              <w:left w:val="single" w:sz="4" w:space="0" w:color="FFFFFF"/>
              <w:right w:val="single" w:sz="4" w:space="0" w:color="FFFFFF"/>
            </w:tcBorders>
            <w:vAlign w:val="center"/>
          </w:tcPr>
          <w:p w14:paraId="4E9073AB" w14:textId="77777777" w:rsidR="00E6641C" w:rsidRPr="00E6641C" w:rsidRDefault="00E6641C" w:rsidP="00EB2181">
            <w:pPr>
              <w:spacing w:line="480" w:lineRule="auto"/>
              <w:jc w:val="center"/>
              <w:rPr>
                <w:rFonts w:eastAsia="Arial"/>
                <w:i/>
                <w:sz w:val="20"/>
                <w:szCs w:val="20"/>
              </w:rPr>
            </w:pPr>
            <w:r w:rsidRPr="00E6641C">
              <w:rPr>
                <w:rFonts w:eastAsia="Arial"/>
                <w:i/>
                <w:sz w:val="20"/>
                <w:szCs w:val="20"/>
              </w:rPr>
              <w:t>t</w:t>
            </w:r>
          </w:p>
        </w:tc>
        <w:tc>
          <w:tcPr>
            <w:tcW w:w="733" w:type="dxa"/>
            <w:tcBorders>
              <w:top w:val="single" w:sz="4" w:space="0" w:color="000000"/>
              <w:left w:val="single" w:sz="4" w:space="0" w:color="FFFFFF"/>
              <w:right w:val="single" w:sz="12" w:space="0" w:color="FFFFFF"/>
            </w:tcBorders>
            <w:vAlign w:val="center"/>
          </w:tcPr>
          <w:p w14:paraId="16B2387F" w14:textId="77777777" w:rsidR="00E6641C" w:rsidRPr="00E6641C" w:rsidRDefault="00E6641C" w:rsidP="00EB2181">
            <w:pPr>
              <w:spacing w:line="480" w:lineRule="auto"/>
              <w:jc w:val="center"/>
              <w:rPr>
                <w:rFonts w:eastAsia="Arial"/>
                <w:i/>
                <w:sz w:val="20"/>
                <w:szCs w:val="20"/>
              </w:rPr>
            </w:pPr>
            <w:r w:rsidRPr="00E6641C">
              <w:rPr>
                <w:rFonts w:eastAsia="Arial"/>
                <w:i/>
                <w:sz w:val="20"/>
                <w:szCs w:val="20"/>
              </w:rPr>
              <w:t>gl</w:t>
            </w:r>
          </w:p>
        </w:tc>
        <w:tc>
          <w:tcPr>
            <w:tcW w:w="1029" w:type="dxa"/>
            <w:tcBorders>
              <w:top w:val="single" w:sz="4" w:space="0" w:color="000000"/>
              <w:left w:val="single" w:sz="12" w:space="0" w:color="FFFFFF"/>
              <w:right w:val="single" w:sz="4" w:space="0" w:color="FFFFFF"/>
            </w:tcBorders>
            <w:vAlign w:val="center"/>
          </w:tcPr>
          <w:p w14:paraId="4E2E1DA7" w14:textId="77777777" w:rsidR="00E6641C" w:rsidRPr="00E6641C" w:rsidRDefault="00E6641C" w:rsidP="00EB2181">
            <w:pPr>
              <w:spacing w:line="480" w:lineRule="auto"/>
              <w:jc w:val="center"/>
              <w:rPr>
                <w:rFonts w:eastAsia="Arial"/>
                <w:i/>
                <w:sz w:val="20"/>
                <w:szCs w:val="20"/>
              </w:rPr>
            </w:pPr>
            <w:r w:rsidRPr="00E6641C">
              <w:rPr>
                <w:rFonts w:eastAsia="Arial"/>
                <w:i/>
                <w:sz w:val="20"/>
                <w:szCs w:val="20"/>
              </w:rPr>
              <w:t>p</w:t>
            </w:r>
          </w:p>
        </w:tc>
      </w:tr>
      <w:tr w:rsidR="00E6641C" w:rsidRPr="00E6641C" w14:paraId="6BCCC7D5" w14:textId="77777777" w:rsidTr="00EB2181">
        <w:trPr>
          <w:trHeight w:val="783"/>
        </w:trPr>
        <w:tc>
          <w:tcPr>
            <w:tcW w:w="2278" w:type="dxa"/>
            <w:tcBorders>
              <w:top w:val="single" w:sz="4" w:space="0" w:color="000000"/>
              <w:left w:val="single" w:sz="4" w:space="0" w:color="FFFFFF"/>
              <w:bottom w:val="single" w:sz="4" w:space="0" w:color="FFFFFF"/>
              <w:right w:val="single" w:sz="4" w:space="0" w:color="FFFFFF"/>
            </w:tcBorders>
            <w:vAlign w:val="center"/>
          </w:tcPr>
          <w:p w14:paraId="287B497E" w14:textId="77777777" w:rsidR="00E6641C" w:rsidRPr="00E6641C" w:rsidRDefault="00E6641C" w:rsidP="00EB2181">
            <w:pPr>
              <w:spacing w:line="480" w:lineRule="auto"/>
              <w:jc w:val="center"/>
              <w:rPr>
                <w:rFonts w:eastAsia="Arial"/>
                <w:sz w:val="20"/>
                <w:szCs w:val="20"/>
              </w:rPr>
            </w:pPr>
            <w:r w:rsidRPr="00E6641C">
              <w:rPr>
                <w:rFonts w:eastAsia="Arial"/>
                <w:sz w:val="20"/>
                <w:szCs w:val="20"/>
                <w:highlight w:val="white"/>
              </w:rPr>
              <w:t>ansiedade cognitiva de provas</w:t>
            </w:r>
          </w:p>
        </w:tc>
        <w:tc>
          <w:tcPr>
            <w:tcW w:w="797" w:type="dxa"/>
            <w:tcBorders>
              <w:top w:val="single" w:sz="4" w:space="0" w:color="FFFFFF"/>
              <w:left w:val="single" w:sz="4" w:space="0" w:color="FFFFFF"/>
              <w:bottom w:val="single" w:sz="4" w:space="0" w:color="FFFFFF"/>
              <w:right w:val="single" w:sz="4" w:space="0" w:color="FFFFFF"/>
            </w:tcBorders>
            <w:vAlign w:val="center"/>
          </w:tcPr>
          <w:p w14:paraId="1CBF40D7"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2,46</w:t>
            </w:r>
          </w:p>
        </w:tc>
        <w:tc>
          <w:tcPr>
            <w:tcW w:w="1369" w:type="dxa"/>
            <w:tcBorders>
              <w:top w:val="single" w:sz="4" w:space="0" w:color="FFFFFF"/>
              <w:left w:val="single" w:sz="4" w:space="0" w:color="FFFFFF"/>
              <w:bottom w:val="single" w:sz="4" w:space="0" w:color="FFFFFF"/>
              <w:right w:val="single" w:sz="4" w:space="0" w:color="FFFFFF"/>
            </w:tcBorders>
            <w:vAlign w:val="center"/>
          </w:tcPr>
          <w:p w14:paraId="70273851"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0,66</w:t>
            </w:r>
          </w:p>
        </w:tc>
        <w:tc>
          <w:tcPr>
            <w:tcW w:w="1236" w:type="dxa"/>
            <w:gridSpan w:val="2"/>
            <w:tcBorders>
              <w:top w:val="single" w:sz="4" w:space="0" w:color="FFFFFF"/>
              <w:left w:val="single" w:sz="4" w:space="0" w:color="FFFFFF"/>
              <w:bottom w:val="single" w:sz="4" w:space="0" w:color="FFFFFF"/>
              <w:right w:val="single" w:sz="4" w:space="0" w:color="FFFFFF"/>
            </w:tcBorders>
            <w:vAlign w:val="center"/>
          </w:tcPr>
          <w:p w14:paraId="2BA86ED1"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3,15</w:t>
            </w:r>
          </w:p>
        </w:tc>
        <w:tc>
          <w:tcPr>
            <w:tcW w:w="797" w:type="dxa"/>
            <w:tcBorders>
              <w:top w:val="single" w:sz="4" w:space="0" w:color="FFFFFF"/>
              <w:left w:val="single" w:sz="4" w:space="0" w:color="FFFFFF"/>
              <w:bottom w:val="single" w:sz="4" w:space="0" w:color="FFFFFF"/>
              <w:right w:val="single" w:sz="4" w:space="0" w:color="FFFFFF"/>
            </w:tcBorders>
            <w:vAlign w:val="center"/>
          </w:tcPr>
          <w:p w14:paraId="77B01746"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0,58</w:t>
            </w:r>
          </w:p>
        </w:tc>
        <w:tc>
          <w:tcPr>
            <w:tcW w:w="883" w:type="dxa"/>
            <w:tcBorders>
              <w:top w:val="single" w:sz="4" w:space="0" w:color="FFFFFF"/>
              <w:left w:val="single" w:sz="4" w:space="0" w:color="FFFFFF"/>
              <w:bottom w:val="single" w:sz="4" w:space="0" w:color="FFFFFF"/>
              <w:right w:val="single" w:sz="4" w:space="0" w:color="FFFFFF"/>
            </w:tcBorders>
            <w:vAlign w:val="center"/>
          </w:tcPr>
          <w:p w14:paraId="3979BFFB"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-4,09</w:t>
            </w:r>
          </w:p>
        </w:tc>
        <w:tc>
          <w:tcPr>
            <w:tcW w:w="733" w:type="dxa"/>
            <w:tcBorders>
              <w:top w:val="single" w:sz="4" w:space="0" w:color="FFFFFF"/>
              <w:left w:val="single" w:sz="4" w:space="0" w:color="FFFFFF"/>
              <w:bottom w:val="single" w:sz="4" w:space="0" w:color="FFFFFF"/>
              <w:right w:val="single" w:sz="4" w:space="0" w:color="FFFFFF"/>
            </w:tcBorders>
            <w:vAlign w:val="center"/>
          </w:tcPr>
          <w:p w14:paraId="0EC6DB3A"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193</w:t>
            </w:r>
          </w:p>
        </w:tc>
        <w:tc>
          <w:tcPr>
            <w:tcW w:w="1029" w:type="dxa"/>
            <w:tcBorders>
              <w:top w:val="single" w:sz="4" w:space="0" w:color="FFFFFF"/>
              <w:left w:val="single" w:sz="4" w:space="0" w:color="FFFFFF"/>
              <w:bottom w:val="single" w:sz="4" w:space="0" w:color="FFFFFF"/>
              <w:right w:val="single" w:sz="4" w:space="0" w:color="FFFFFF"/>
            </w:tcBorders>
            <w:vAlign w:val="center"/>
          </w:tcPr>
          <w:p w14:paraId="7DD4E7C7"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0,001*</w:t>
            </w:r>
          </w:p>
        </w:tc>
      </w:tr>
      <w:tr w:rsidR="00E6641C" w:rsidRPr="00E6641C" w14:paraId="24381004" w14:textId="77777777" w:rsidTr="00EB2181">
        <w:trPr>
          <w:trHeight w:val="793"/>
        </w:trPr>
        <w:tc>
          <w:tcPr>
            <w:tcW w:w="2278" w:type="dxa"/>
            <w:tcBorders>
              <w:top w:val="single" w:sz="4" w:space="0" w:color="FFFFFF"/>
              <w:left w:val="single" w:sz="12" w:space="0" w:color="FFFFFF"/>
              <w:bottom w:val="single" w:sz="4" w:space="0" w:color="000000"/>
              <w:right w:val="single" w:sz="4" w:space="0" w:color="FFFFFF"/>
            </w:tcBorders>
            <w:vAlign w:val="center"/>
          </w:tcPr>
          <w:p w14:paraId="2A1B310A" w14:textId="77777777" w:rsidR="00E6641C" w:rsidRPr="00E6641C" w:rsidRDefault="00E6641C" w:rsidP="00EB2181">
            <w:pPr>
              <w:spacing w:line="480" w:lineRule="auto"/>
              <w:jc w:val="center"/>
              <w:rPr>
                <w:rFonts w:eastAsia="Arial"/>
                <w:sz w:val="20"/>
                <w:szCs w:val="20"/>
              </w:rPr>
            </w:pPr>
            <w:r w:rsidRPr="00E6641C">
              <w:rPr>
                <w:rFonts w:eastAsia="Arial"/>
                <w:sz w:val="20"/>
                <w:szCs w:val="20"/>
                <w:highlight w:val="white"/>
              </w:rPr>
              <w:t>procrastinação acadêmica</w:t>
            </w:r>
          </w:p>
        </w:tc>
        <w:tc>
          <w:tcPr>
            <w:tcW w:w="797" w:type="dxa"/>
            <w:tcBorders>
              <w:top w:val="single" w:sz="4" w:space="0" w:color="FFFFFF"/>
              <w:left w:val="single" w:sz="4" w:space="0" w:color="FFFFFF"/>
              <w:bottom w:val="single" w:sz="4" w:space="0" w:color="000000"/>
              <w:right w:val="single" w:sz="4" w:space="0" w:color="FFFFFF"/>
            </w:tcBorders>
            <w:vAlign w:val="center"/>
          </w:tcPr>
          <w:p w14:paraId="70350D71"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2,85</w:t>
            </w:r>
          </w:p>
        </w:tc>
        <w:tc>
          <w:tcPr>
            <w:tcW w:w="1369" w:type="dxa"/>
            <w:tcBorders>
              <w:top w:val="single" w:sz="4" w:space="0" w:color="FFFFFF"/>
              <w:left w:val="single" w:sz="4" w:space="0" w:color="FFFFFF"/>
              <w:bottom w:val="single" w:sz="4" w:space="0" w:color="000000"/>
              <w:right w:val="single" w:sz="4" w:space="0" w:color="FFFFFF"/>
            </w:tcBorders>
            <w:vAlign w:val="center"/>
          </w:tcPr>
          <w:p w14:paraId="3E51ACD3"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0,65</w:t>
            </w:r>
          </w:p>
        </w:tc>
        <w:tc>
          <w:tcPr>
            <w:tcW w:w="1236" w:type="dxa"/>
            <w:gridSpan w:val="2"/>
            <w:tcBorders>
              <w:top w:val="single" w:sz="4" w:space="0" w:color="FFFFFF"/>
              <w:left w:val="single" w:sz="4" w:space="0" w:color="FFFFFF"/>
              <w:bottom w:val="single" w:sz="4" w:space="0" w:color="000000"/>
              <w:right w:val="single" w:sz="4" w:space="0" w:color="FFFFFF"/>
            </w:tcBorders>
            <w:vAlign w:val="center"/>
          </w:tcPr>
          <w:p w14:paraId="5E5FEF65"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3,25</w:t>
            </w:r>
          </w:p>
        </w:tc>
        <w:tc>
          <w:tcPr>
            <w:tcW w:w="797" w:type="dxa"/>
            <w:tcBorders>
              <w:top w:val="single" w:sz="4" w:space="0" w:color="FFFFFF"/>
              <w:left w:val="single" w:sz="4" w:space="0" w:color="FFFFFF"/>
              <w:bottom w:val="single" w:sz="4" w:space="0" w:color="000000"/>
              <w:right w:val="single" w:sz="4" w:space="0" w:color="FFFFFF"/>
            </w:tcBorders>
            <w:vAlign w:val="center"/>
          </w:tcPr>
          <w:p w14:paraId="216FE03E"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0,69</w:t>
            </w:r>
          </w:p>
        </w:tc>
        <w:tc>
          <w:tcPr>
            <w:tcW w:w="883" w:type="dxa"/>
            <w:tcBorders>
              <w:top w:val="single" w:sz="4" w:space="0" w:color="FFFFFF"/>
              <w:left w:val="single" w:sz="4" w:space="0" w:color="FFFFFF"/>
              <w:bottom w:val="single" w:sz="4" w:space="0" w:color="000000"/>
              <w:right w:val="single" w:sz="4" w:space="0" w:color="FFFFFF"/>
            </w:tcBorders>
            <w:vAlign w:val="center"/>
          </w:tcPr>
          <w:p w14:paraId="5BFA693D"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-1,08</w:t>
            </w:r>
          </w:p>
        </w:tc>
        <w:tc>
          <w:tcPr>
            <w:tcW w:w="733" w:type="dxa"/>
            <w:tcBorders>
              <w:top w:val="single" w:sz="4" w:space="0" w:color="FFFFFF"/>
              <w:left w:val="single" w:sz="4" w:space="0" w:color="FFFFFF"/>
              <w:bottom w:val="single" w:sz="4" w:space="0" w:color="000000"/>
              <w:right w:val="single" w:sz="4" w:space="0" w:color="FFFFFF"/>
            </w:tcBorders>
            <w:vAlign w:val="center"/>
          </w:tcPr>
          <w:p w14:paraId="30A42446"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196</w:t>
            </w:r>
          </w:p>
        </w:tc>
        <w:tc>
          <w:tcPr>
            <w:tcW w:w="1029" w:type="dxa"/>
            <w:tcBorders>
              <w:top w:val="single" w:sz="4" w:space="0" w:color="FFFFFF"/>
              <w:left w:val="single" w:sz="4" w:space="0" w:color="FFFFFF"/>
              <w:bottom w:val="single" w:sz="4" w:space="0" w:color="000000"/>
              <w:right w:val="single" w:sz="4" w:space="0" w:color="FFFFFF"/>
            </w:tcBorders>
            <w:vAlign w:val="center"/>
          </w:tcPr>
          <w:p w14:paraId="2410667A" w14:textId="77777777" w:rsidR="00E6641C" w:rsidRPr="00E6641C" w:rsidRDefault="00E6641C" w:rsidP="00EB2181">
            <w:pPr>
              <w:spacing w:line="480" w:lineRule="auto"/>
              <w:ind w:left="60" w:right="60"/>
              <w:jc w:val="center"/>
              <w:rPr>
                <w:rFonts w:eastAsia="Arial"/>
                <w:sz w:val="20"/>
                <w:szCs w:val="20"/>
              </w:rPr>
            </w:pPr>
            <w:r w:rsidRPr="00E6641C">
              <w:rPr>
                <w:rFonts w:eastAsia="Arial"/>
                <w:sz w:val="20"/>
                <w:szCs w:val="20"/>
              </w:rPr>
              <w:t>0,281</w:t>
            </w:r>
          </w:p>
        </w:tc>
      </w:tr>
    </w:tbl>
    <w:p w14:paraId="31182EF9" w14:textId="5E145DD5" w:rsidR="00E6641C" w:rsidRPr="00E6641C" w:rsidRDefault="00E6641C" w:rsidP="00E6641C">
      <w:pPr>
        <w:spacing w:line="480" w:lineRule="auto"/>
        <w:jc w:val="both"/>
        <w:rPr>
          <w:rFonts w:eastAsia="Arial"/>
          <w:b/>
          <w:sz w:val="20"/>
          <w:szCs w:val="20"/>
        </w:rPr>
      </w:pPr>
      <w:r w:rsidRPr="00E6641C">
        <w:rPr>
          <w:rFonts w:eastAsia="Arial"/>
          <w:i/>
          <w:sz w:val="20"/>
          <w:szCs w:val="20"/>
        </w:rPr>
        <w:t>Nota:</w:t>
      </w:r>
      <w:r w:rsidRPr="00E6641C">
        <w:rPr>
          <w:rFonts w:eastAsia="Arial"/>
          <w:sz w:val="20"/>
          <w:szCs w:val="20"/>
        </w:rPr>
        <w:t xml:space="preserve"> *diferença considerada estatisticamente significativa (</w:t>
      </w:r>
      <w:r w:rsidRPr="00E6641C">
        <w:rPr>
          <w:rFonts w:eastAsia="Arial"/>
          <w:i/>
          <w:sz w:val="20"/>
          <w:szCs w:val="20"/>
        </w:rPr>
        <w:t>p</w:t>
      </w:r>
      <w:r w:rsidRPr="00E6641C">
        <w:rPr>
          <w:rFonts w:eastAsia="Arial"/>
          <w:sz w:val="20"/>
          <w:szCs w:val="20"/>
        </w:rPr>
        <w:t xml:space="preserve"> &lt; 0,001).</w:t>
      </w:r>
    </w:p>
    <w:p w14:paraId="3F6A8187" w14:textId="413F5F43" w:rsidR="00575541" w:rsidRPr="00E6641C" w:rsidRDefault="00E6641C" w:rsidP="00E6641C">
      <w:pPr>
        <w:shd w:val="clear" w:color="auto" w:fill="FFFFFF" w:themeFill="background1"/>
        <w:spacing w:line="360" w:lineRule="auto"/>
        <w:ind w:firstLine="709"/>
        <w:jc w:val="both"/>
        <w:rPr>
          <w:rFonts w:eastAsia="Arial"/>
        </w:rPr>
      </w:pPr>
      <w:r w:rsidRPr="00297145">
        <w:rPr>
          <w:rFonts w:eastAsia="Arial"/>
        </w:rPr>
        <w:t xml:space="preserve">Por meio de diferentes testes T de </w:t>
      </w:r>
      <w:r w:rsidRPr="00297145">
        <w:rPr>
          <w:rFonts w:eastAsia="Arial"/>
          <w:i/>
        </w:rPr>
        <w:t xml:space="preserve">Student </w:t>
      </w:r>
      <w:r w:rsidRPr="00297145">
        <w:rPr>
          <w:rFonts w:eastAsia="Arial"/>
        </w:rPr>
        <w:t>para amostras independentes, que consideraram os somatórios dos itens dos instrumentos sobre ansiedade cognitiva de provas e procrastinação acadêmica, foi possível observar diferenças significativas em função do gênero, com mulheres apresentando níveis de ansiedade cognitiva de provas (</w:t>
      </w:r>
      <w:r w:rsidRPr="00297145">
        <w:rPr>
          <w:rFonts w:eastAsia="Arial"/>
          <w:i/>
        </w:rPr>
        <w:t>M =</w:t>
      </w:r>
      <w:r w:rsidRPr="00297145">
        <w:rPr>
          <w:rFonts w:eastAsia="Arial"/>
        </w:rPr>
        <w:t xml:space="preserve"> 3,15; </w:t>
      </w:r>
      <w:r w:rsidRPr="00297145">
        <w:rPr>
          <w:rFonts w:eastAsia="Arial"/>
          <w:i/>
        </w:rPr>
        <w:t>DP</w:t>
      </w:r>
      <w:r w:rsidRPr="00297145">
        <w:rPr>
          <w:rFonts w:eastAsia="Arial"/>
        </w:rPr>
        <w:t xml:space="preserve"> = 0,58) em comparação com os homens (</w:t>
      </w:r>
      <w:r w:rsidRPr="00297145">
        <w:rPr>
          <w:rFonts w:eastAsia="Arial"/>
          <w:i/>
        </w:rPr>
        <w:t>M =</w:t>
      </w:r>
      <w:r w:rsidRPr="00297145">
        <w:rPr>
          <w:rFonts w:eastAsia="Arial"/>
        </w:rPr>
        <w:t xml:space="preserve"> 2,46; </w:t>
      </w:r>
      <w:r w:rsidRPr="00297145">
        <w:rPr>
          <w:rFonts w:eastAsia="Arial"/>
          <w:i/>
        </w:rPr>
        <w:t>DP</w:t>
      </w:r>
      <w:r w:rsidRPr="00297145">
        <w:rPr>
          <w:rFonts w:eastAsia="Arial"/>
        </w:rPr>
        <w:t xml:space="preserve"> = 0,66), sendo estas diferenças significativas [t (193) = -4,09; </w:t>
      </w:r>
      <w:r w:rsidRPr="00297145">
        <w:rPr>
          <w:rFonts w:eastAsia="Arial"/>
          <w:i/>
        </w:rPr>
        <w:t>p &lt;</w:t>
      </w:r>
      <w:r w:rsidRPr="00297145">
        <w:rPr>
          <w:rFonts w:eastAsia="Arial"/>
        </w:rPr>
        <w:t xml:space="preserve"> 0,001]. De maneira similar, as mulheres também apresentaram médias mais elevadas de frequência de procrastinação acadêmica (</w:t>
      </w:r>
      <w:r w:rsidRPr="00297145">
        <w:rPr>
          <w:rFonts w:eastAsia="Arial"/>
          <w:i/>
        </w:rPr>
        <w:t>M =</w:t>
      </w:r>
      <w:r w:rsidRPr="00297145">
        <w:rPr>
          <w:rFonts w:eastAsia="Arial"/>
        </w:rPr>
        <w:t xml:space="preserve"> 3,25; </w:t>
      </w:r>
      <w:r w:rsidRPr="00297145">
        <w:rPr>
          <w:rFonts w:eastAsia="Arial"/>
          <w:i/>
        </w:rPr>
        <w:t>DP</w:t>
      </w:r>
      <w:r w:rsidRPr="00297145">
        <w:rPr>
          <w:rFonts w:eastAsia="Arial"/>
        </w:rPr>
        <w:t xml:space="preserve"> = 0,69), quando comparadas aos homens (</w:t>
      </w:r>
      <w:r w:rsidRPr="00297145">
        <w:rPr>
          <w:rFonts w:eastAsia="Arial"/>
          <w:i/>
        </w:rPr>
        <w:t>M =</w:t>
      </w:r>
      <w:r w:rsidRPr="00297145">
        <w:rPr>
          <w:rFonts w:eastAsia="Arial"/>
        </w:rPr>
        <w:t xml:space="preserve"> 2,85; </w:t>
      </w:r>
      <w:r w:rsidRPr="00297145">
        <w:rPr>
          <w:rFonts w:eastAsia="Arial"/>
          <w:i/>
        </w:rPr>
        <w:t>DP</w:t>
      </w:r>
      <w:r w:rsidRPr="00297145">
        <w:rPr>
          <w:rFonts w:eastAsia="Arial"/>
        </w:rPr>
        <w:t xml:space="preserve"> = 0,65). Entretanto, esta diferença não foi significativa [t (196) = -1,08; </w:t>
      </w:r>
      <w:r w:rsidRPr="00297145">
        <w:rPr>
          <w:rFonts w:eastAsia="Arial"/>
          <w:i/>
        </w:rPr>
        <w:t>p &lt;</w:t>
      </w:r>
      <w:r w:rsidRPr="00297145">
        <w:rPr>
          <w:rFonts w:eastAsia="Arial"/>
        </w:rPr>
        <w:t xml:space="preserve"> 0,05]. Os resultados foram descritos previamente na Tabela 1.</w:t>
      </w:r>
    </w:p>
    <w:p w14:paraId="220C813D" w14:textId="6C1C53F7" w:rsidR="00CE7D65" w:rsidRDefault="00CE7D65" w:rsidP="00CE7D65">
      <w:pPr>
        <w:pStyle w:val="Ttulosinternos"/>
      </w:pPr>
      <w:r w:rsidRPr="00E25900">
        <w:t>Discuss</w:t>
      </w:r>
      <w:r w:rsidR="00E6641C">
        <w:t>ão</w:t>
      </w:r>
    </w:p>
    <w:p w14:paraId="6AB45144" w14:textId="77777777" w:rsidR="00E6641C" w:rsidRPr="00297145" w:rsidRDefault="00E6641C" w:rsidP="00E6641C">
      <w:pPr>
        <w:spacing w:line="360" w:lineRule="auto"/>
        <w:ind w:firstLine="709"/>
        <w:jc w:val="both"/>
        <w:rPr>
          <w:rFonts w:eastAsia="Arial"/>
        </w:rPr>
      </w:pPr>
      <w:r w:rsidRPr="00297145">
        <w:rPr>
          <w:rFonts w:eastAsia="Arial"/>
          <w:highlight w:val="white"/>
        </w:rPr>
        <w:t>O objetivo do presente estudo</w:t>
      </w:r>
      <w:r w:rsidRPr="00297145">
        <w:rPr>
          <w:rFonts w:eastAsia="Arial"/>
        </w:rPr>
        <w:t xml:space="preserve"> foi verificar o poder preditivo da ansiedade cognitiva de provas na procrastinação acadêmica de universitários do interior do Piauí, além de verificar se os níveis de ansiedade cognitiva de provas e a procrastinação acadêmica se diferem em função do gênero dos participantes. Nessa seção, os principais resultados serão discutidos na ordem que foram realizadas as análises estatísticas.</w:t>
      </w:r>
    </w:p>
    <w:p w14:paraId="229E985D" w14:textId="77777777" w:rsidR="00E6641C" w:rsidRPr="00297145" w:rsidRDefault="00E6641C" w:rsidP="00E6641C">
      <w:pPr>
        <w:spacing w:line="360" w:lineRule="auto"/>
        <w:ind w:firstLine="709"/>
        <w:jc w:val="both"/>
        <w:rPr>
          <w:rFonts w:eastAsia="Arial"/>
        </w:rPr>
      </w:pPr>
      <w:r w:rsidRPr="00297145">
        <w:rPr>
          <w:rFonts w:eastAsia="Arial"/>
        </w:rPr>
        <w:t xml:space="preserve">Inicialmente, verificou-se que a ansiedade cognitiva em situações avaliativas estava relacionada positivamente com a procrastinação acadêmica. Esses achados são consistentes com o que foi encontrado na literatura, que sugerem que estudantes que experimentam maiores níveis de </w:t>
      </w:r>
      <w:r w:rsidRPr="00297145">
        <w:rPr>
          <w:rFonts w:eastAsia="Arial"/>
        </w:rPr>
        <w:lastRenderedPageBreak/>
        <w:t xml:space="preserve">ansiedade em avaliações, tendem a relatar níveis mais altos de procrastinação (Krispenz et al., 2019; Porras &amp; Ortega, 2021). Por exemplo, o estudo realizado por Desai et al. (2021) também evidenciou que universitários com alto grau de procrastinação podem apresentar níveis elevados de ansiedade, especialmente no contexto avaliativo. </w:t>
      </w:r>
      <w:r w:rsidRPr="00297145">
        <w:rPr>
          <w:rFonts w:eastAsia="Arial"/>
          <w:bCs/>
        </w:rPr>
        <w:t xml:space="preserve">Da mesma forma, os alunos com alta ansiedade de provas são mais propensos a endossar estratégias de enfrentamento de evitação de tarefas acadêmicas, assim, </w:t>
      </w:r>
      <w:r w:rsidRPr="00297145">
        <w:rPr>
          <w:rFonts w:eastAsia="Arial"/>
        </w:rPr>
        <w:t>recorrem à procrastinação para aliviar seu desconforto</w:t>
      </w:r>
      <w:r w:rsidRPr="00297145">
        <w:t xml:space="preserve"> (Bolbolian et al., 2021).</w:t>
      </w:r>
    </w:p>
    <w:p w14:paraId="3947E886" w14:textId="77777777" w:rsidR="00E6641C" w:rsidRPr="00297145" w:rsidRDefault="00E6641C" w:rsidP="00E6641C">
      <w:pPr>
        <w:spacing w:line="360" w:lineRule="auto"/>
        <w:ind w:firstLine="709"/>
        <w:jc w:val="both"/>
        <w:rPr>
          <w:rFonts w:eastAsia="Arial"/>
        </w:rPr>
      </w:pPr>
      <w:r w:rsidRPr="00297145">
        <w:rPr>
          <w:rFonts w:eastAsia="Arial"/>
        </w:rPr>
        <w:t xml:space="preserve">O outro objetivo da pesquisa foi verificar se haviam diferenças em relação a variável demográfica gênero e os construtos abordados (ansiedade cognitiva de provas e a procrastinação acadêmica). Os resultados desta pesquisa apontaram níveis mais elevados de ansiedade cognitiva em mulheres, em consonância com a literatura (Cassady </w:t>
      </w:r>
      <w:r w:rsidRPr="00297145">
        <w:rPr>
          <w:rFonts w:eastAsia="Arial"/>
          <w:highlight w:val="white"/>
        </w:rPr>
        <w:t>&amp; Johnson, 2002). Isto é confirmado em pesquisa realizada por Gonzaga et al. (2016), com 379 alunos de São Paulo, que evidenciou que 62,53% dos participantes apresentaram ansiedade de provas, com mulheres apresentando níveis mais elevados (66,96%).</w:t>
      </w:r>
      <w:r w:rsidRPr="00297145">
        <w:rPr>
          <w:rFonts w:eastAsia="Arial"/>
        </w:rPr>
        <w:t xml:space="preserve"> Este resultado é corroborado por Silva et al. (2022) em universitários nordestinos. </w:t>
      </w:r>
    </w:p>
    <w:p w14:paraId="16B03420" w14:textId="77777777" w:rsidR="00E6641C" w:rsidRPr="00297145" w:rsidRDefault="00E6641C" w:rsidP="00E6641C">
      <w:pPr>
        <w:spacing w:line="360" w:lineRule="auto"/>
        <w:ind w:firstLine="709"/>
        <w:jc w:val="both"/>
        <w:rPr>
          <w:rFonts w:eastAsia="Arial"/>
        </w:rPr>
      </w:pPr>
      <w:r w:rsidRPr="00297145">
        <w:rPr>
          <w:rFonts w:eastAsia="Arial"/>
        </w:rPr>
        <w:t xml:space="preserve">Em suma, esta condição pode estar relacionada a uma tendência geral das mulheres perceberem as situações avaliativas de provas como uma ameaça ao invés de interpretar como um desafio, aumentando, desta forma, uma crença de incapacidade diante das avaliações (Lay &amp; Schouwenburg, 1993). Entretanto, apesar de vários autores terem concluído que as mulheres possuem mais tendência a terem ansiedade (Cassady </w:t>
      </w:r>
      <w:r w:rsidRPr="00297145">
        <w:rPr>
          <w:rFonts w:eastAsia="Arial"/>
          <w:highlight w:val="white"/>
        </w:rPr>
        <w:t>&amp; Johnson, 2002</w:t>
      </w:r>
      <w:r w:rsidRPr="00297145">
        <w:rPr>
          <w:rFonts w:eastAsia="Arial"/>
        </w:rPr>
        <w:t xml:space="preserve">; Silva et al., 2022). Em sua revisão, Reali et al. (2016) constataram em alguns estudos não haver diferenças significativas em função do gênero. </w:t>
      </w:r>
    </w:p>
    <w:p w14:paraId="00CC6221" w14:textId="77777777" w:rsidR="00E6641C" w:rsidRPr="00297145" w:rsidRDefault="00E6641C" w:rsidP="00E6641C">
      <w:pPr>
        <w:spacing w:line="360" w:lineRule="auto"/>
        <w:ind w:firstLine="709"/>
        <w:jc w:val="both"/>
        <w:rPr>
          <w:rFonts w:eastAsia="Arial"/>
        </w:rPr>
      </w:pPr>
      <w:r w:rsidRPr="00297145">
        <w:rPr>
          <w:rFonts w:eastAsia="Arial"/>
        </w:rPr>
        <w:t xml:space="preserve"> Referente a procrastinação acadêmica, em relação ao gênero, a presente pesquisa não apresentou diferença significativa</w:t>
      </w:r>
      <w:r w:rsidRPr="00297145">
        <w:rPr>
          <w:rFonts w:eastAsia="Arial"/>
          <w:highlight w:val="white"/>
        </w:rPr>
        <w:t>, como já tem sido evidenciado em outros estudos (Solomon &amp; Rothblum, 1984; Steel, 2007)</w:t>
      </w:r>
      <w:r w:rsidRPr="00297145">
        <w:rPr>
          <w:rFonts w:eastAsia="Arial"/>
        </w:rPr>
        <w:t xml:space="preserve">.  Dito isto, Somers (2008) salienta que quando consideradas amostras com universitários, os resultados têm se mostrado conflitantes. A metanálise realizada por Lu et al. (2022), apontou que os homens tendem a experimentar níveis mais elevados de procrastinação acadêmica, quando comparados com mulheres. Entretanto, no estudo realizado por Silva et al. (2020), com universitários do nordeste brasileiro (Pernambuco e Paraíba) o gênero não foi um preditor eficaz da procrastinação. </w:t>
      </w:r>
    </w:p>
    <w:p w14:paraId="3BDD4FCD" w14:textId="77777777" w:rsidR="00E6641C" w:rsidRPr="00297145" w:rsidRDefault="00E6641C" w:rsidP="00E6641C">
      <w:pPr>
        <w:spacing w:line="360" w:lineRule="auto"/>
        <w:ind w:firstLine="709"/>
        <w:jc w:val="both"/>
        <w:rPr>
          <w:rFonts w:eastAsia="Arial"/>
        </w:rPr>
      </w:pPr>
      <w:r w:rsidRPr="00297145">
        <w:rPr>
          <w:rFonts w:eastAsia="Arial"/>
        </w:rPr>
        <w:lastRenderedPageBreak/>
        <w:t>Esse comportamento pode ter consequências no contexto universitário, que geralmente apresentam didáticas, metodológicas e avaliativas de docentes, podendo causar sobrecarga de estudos e níveis elevados de ansiedade (Medeiros et al., 2020).</w:t>
      </w:r>
      <w:r w:rsidRPr="00297145">
        <w:t xml:space="preserve"> </w:t>
      </w:r>
      <w:r w:rsidRPr="00297145">
        <w:rPr>
          <w:rFonts w:eastAsia="Arial"/>
        </w:rPr>
        <w:t xml:space="preserve">Por isso é importante a realização de mais pesquisas nessa área principalmente no contexto de ensino brasileiro, que busquem entender os mecanismos que podem ocasionar a ansiedade em situações de provas; principalmente, as preditoras, pois isto pode ajudar no desenvolvimento de intervenções que visem a diminuição da ansiedade em situações avaliativas, bem como, a controlar os seus efeitos negativos (Rozental et al., 2018; Silva et al., 2022). </w:t>
      </w:r>
    </w:p>
    <w:p w14:paraId="344B2DB6" w14:textId="77777777" w:rsidR="00E6641C" w:rsidRPr="00297145" w:rsidRDefault="00E6641C" w:rsidP="00E6641C">
      <w:pPr>
        <w:spacing w:line="360" w:lineRule="auto"/>
        <w:ind w:firstLine="709"/>
        <w:jc w:val="both"/>
        <w:rPr>
          <w:rFonts w:eastAsia="Arial"/>
          <w:highlight w:val="white"/>
        </w:rPr>
      </w:pPr>
      <w:r w:rsidRPr="00297145">
        <w:rPr>
          <w:rFonts w:eastAsia="Arial"/>
          <w:highlight w:val="white"/>
        </w:rPr>
        <w:t xml:space="preserve">Apesar dos resultados serem favoráveis, a presente pesquisa apresenta algumas limitações. Assim, destaca-se que a amostra por conveniência não possibilita estender os resultados além da amostra considerada na presente pesquisa (Medeiros et al., 2020). Outra limitação refere-se ao fato de ter sido aplicado uma medida de autorrelato (lápis e papel), que trazem algumas desvantagens, pois, os construtos em questão uma vez que a procrastinação não é um fenômeno socialmente desejável (Silva et al., 2022).  Tal fato pode ocasionar respostas dos participantes, que visem a promoção pessoal (Silva et al., 2020). </w:t>
      </w:r>
    </w:p>
    <w:p w14:paraId="432573F0" w14:textId="77777777" w:rsidR="00E6641C" w:rsidRPr="00297145" w:rsidRDefault="00E6641C" w:rsidP="00E6641C">
      <w:pPr>
        <w:spacing w:line="360" w:lineRule="auto"/>
        <w:ind w:firstLine="709"/>
        <w:jc w:val="both"/>
        <w:rPr>
          <w:rFonts w:eastAsia="Arial"/>
        </w:rPr>
      </w:pPr>
      <w:r w:rsidRPr="00297145">
        <w:rPr>
          <w:rFonts w:eastAsia="Arial"/>
          <w:highlight w:val="white"/>
        </w:rPr>
        <w:t xml:space="preserve">Outra limitação potencial refere-se ao caráter transversal do estudo, que impede explicações de forma temporal ou causal. Sugere-se que estudos futuros empreguem desenhos longitudinais, visando observar tais relações entre as variáveis em questão, (Silva et al., 2022). </w:t>
      </w:r>
      <w:r w:rsidRPr="00297145">
        <w:rPr>
          <w:rFonts w:eastAsia="Arial"/>
        </w:rPr>
        <w:t>Por exemplo, sabe-se que o reforço de emoções positivas em ambientes educacionais pode reduzir a procrastinação acadêmica. Os alunos com níveis mais altos de esperança em suas habilidades para aprender, maior prazer e orgulho em seu trabalho acadêmico, geralmente optam por não postergar suas tarefas acadêmicas, mas por antecipá-la, realizando-a de maneira bem-sucedida (Rahimi et al., 2023).</w:t>
      </w:r>
    </w:p>
    <w:p w14:paraId="0EDD8958" w14:textId="77777777" w:rsidR="00E6641C" w:rsidRPr="00297145" w:rsidRDefault="00E6641C" w:rsidP="00E6641C">
      <w:pPr>
        <w:spacing w:line="360" w:lineRule="auto"/>
        <w:ind w:firstLine="708"/>
        <w:jc w:val="both"/>
        <w:rPr>
          <w:rFonts w:eastAsia="Arial"/>
        </w:rPr>
      </w:pPr>
      <w:r w:rsidRPr="00297145">
        <w:rPr>
          <w:rFonts w:eastAsia="Arial"/>
          <w:bCs/>
        </w:rPr>
        <w:t>Por fim,</w:t>
      </w:r>
      <w:r w:rsidRPr="00297145">
        <w:rPr>
          <w:rFonts w:eastAsia="Arial"/>
          <w:b/>
        </w:rPr>
        <w:t xml:space="preserve"> </w:t>
      </w:r>
      <w:r w:rsidRPr="00297145">
        <w:rPr>
          <w:rFonts w:eastAsia="Arial"/>
        </w:rPr>
        <w:t xml:space="preserve">conclui-se, que os resultados da presente pesquisa estão de acordo com a literatura, reforçando que a ansiedade pode funcionar como uma variável de vulnerabilidade no contexto educacional (Silva et al., 2022). Neste caso específico, a ansiedade pode ocasionar comportamentos procrastinadores no contexto acadêmico. Além disso, reforça-se o papel do gênero, sugerindo que as mulheres se apresentam como o grupo mais vulnerável para a preocupação excessiva com a consequência de fracassar em contextos avaliativos (Cotner et al., 2020; </w:t>
      </w:r>
      <w:r w:rsidRPr="00297145">
        <w:t>Danthony et al., 2020</w:t>
      </w:r>
      <w:r w:rsidRPr="00297145">
        <w:rPr>
          <w:rFonts w:eastAsia="Arial"/>
        </w:rPr>
        <w:t xml:space="preserve">). </w:t>
      </w:r>
    </w:p>
    <w:p w14:paraId="63EAAF90" w14:textId="77777777" w:rsidR="00E6641C" w:rsidRPr="00297145" w:rsidRDefault="00E6641C" w:rsidP="00E6641C">
      <w:pPr>
        <w:spacing w:line="360" w:lineRule="auto"/>
        <w:ind w:firstLine="709"/>
        <w:jc w:val="both"/>
        <w:rPr>
          <w:rFonts w:eastAsia="Arial"/>
        </w:rPr>
      </w:pPr>
      <w:r w:rsidRPr="00297145">
        <w:rPr>
          <w:rFonts w:eastAsia="Arial"/>
        </w:rPr>
        <w:lastRenderedPageBreak/>
        <w:t xml:space="preserve">Sugere-se que sejam realizados mais estudos, que considerem outras variáveis na explicação da ansiedade cognitiva de provas e da procrastinação acadêmica (Medeiros et al., 2020; Silva et al., 2020). Por exemplo, no contexto brasileiro existe um esforço de pesquisadores em explicar a ansiedade cognitiva em provas por meio de variáveis individuais, (personalidade e gênero) (Silva et al., 2022). Assim, seria importante ampliar a gama de variáveis que ajudem a explicar o mecanismo relacionado aos construtos em contexto educativo. Essas pesquisas podem fornecer importantes pistas que auxiliem no planejamento de intervenções, direcionadas para que os estudantes ressignifiquem as suas percepções sobre as exigências acadêmicas, que ajudem na regulação emocional durante as avaliações, visando melhorar o seu rendimento acadêmico (Dominguez-Lara, 2017). </w:t>
      </w:r>
    </w:p>
    <w:p w14:paraId="3D5E02CD" w14:textId="77777777" w:rsidR="00E6641C" w:rsidRPr="00297145" w:rsidRDefault="00E6641C" w:rsidP="00E6641C">
      <w:pPr>
        <w:spacing w:line="360" w:lineRule="auto"/>
        <w:ind w:firstLine="709"/>
        <w:jc w:val="both"/>
        <w:rPr>
          <w:rFonts w:eastAsia="Arial"/>
        </w:rPr>
      </w:pPr>
      <w:r w:rsidRPr="00297145">
        <w:rPr>
          <w:rFonts w:eastAsia="Arial"/>
        </w:rPr>
        <w:t xml:space="preserve">Nesse âmbito, sabe-se que as pessoas tendem a procrastinar como forma de regular emoções negativas associadas a uma tarefa desagradável. Assim, Behnagh e Ferrari (2022) agrumetam que intervenções pautadas em estratégias eficazes de regulação emocional podem ser ensinadas vivando a reduzir da procrastinação entre os universitários. Nesse sentido, estudantes com níveis elevados de ansiedade de provas e procrastinação acadêmica, podem se beneficiar com intervenções pautadas na terapia cognitivo-comportamental, por meio de mudanças nas crenças (distorcidas) e padrões de pensamento (Rozental et al., 2018). Ademais, enfatiza-se que entender os mecanismos pode auxiliar os professores ou outros profissionais do âmbito da educação a realizarem atividades que estimulem os estudantes a superarem as adversidades nos contextos avaliativos. </w:t>
      </w:r>
    </w:p>
    <w:p w14:paraId="3DC932F2" w14:textId="77777777" w:rsidR="00E6641C" w:rsidRDefault="00E6641C" w:rsidP="00CE7D65">
      <w:pPr>
        <w:pStyle w:val="Ttulosinternos"/>
      </w:pPr>
    </w:p>
    <w:p w14:paraId="64D6AAEF" w14:textId="77777777" w:rsidR="00E6641C" w:rsidRDefault="00E6641C" w:rsidP="00CE7D65">
      <w:pPr>
        <w:pStyle w:val="Ttulosinternos"/>
      </w:pPr>
    </w:p>
    <w:p w14:paraId="3556ADD3" w14:textId="77777777" w:rsidR="00E6641C" w:rsidRDefault="00E6641C" w:rsidP="00CE7D65">
      <w:pPr>
        <w:pStyle w:val="Ttulosinternos"/>
      </w:pPr>
    </w:p>
    <w:p w14:paraId="04403312" w14:textId="77777777" w:rsidR="00E6641C" w:rsidRDefault="00E6641C" w:rsidP="00CE7D65">
      <w:pPr>
        <w:pStyle w:val="Ttulosinternos"/>
      </w:pPr>
    </w:p>
    <w:p w14:paraId="047925DE" w14:textId="77777777" w:rsidR="00E6641C" w:rsidRDefault="00E6641C" w:rsidP="00CE7D65">
      <w:pPr>
        <w:pStyle w:val="Ttulosinternos"/>
      </w:pPr>
    </w:p>
    <w:p w14:paraId="5B294C20" w14:textId="77777777" w:rsidR="00E6641C" w:rsidRDefault="00E6641C" w:rsidP="00CE7D65">
      <w:pPr>
        <w:pStyle w:val="Ttulosinternos"/>
      </w:pPr>
    </w:p>
    <w:p w14:paraId="546E79D0" w14:textId="77777777" w:rsidR="00E6641C" w:rsidRDefault="00E6641C" w:rsidP="00CE7D65">
      <w:pPr>
        <w:pStyle w:val="Ttulosinternos"/>
      </w:pPr>
    </w:p>
    <w:p w14:paraId="100856E1" w14:textId="77777777" w:rsidR="00E6641C" w:rsidRPr="00E25900" w:rsidRDefault="00E6641C" w:rsidP="00CE7D65">
      <w:pPr>
        <w:pStyle w:val="Ttulosinternos"/>
      </w:pPr>
    </w:p>
    <w:p w14:paraId="6CD8B4A8" w14:textId="08F13E27" w:rsidR="006F7E7E" w:rsidRPr="00E25900" w:rsidRDefault="00CE7D65" w:rsidP="007A7CDC">
      <w:pPr>
        <w:pStyle w:val="Ttulosinternos"/>
      </w:pPr>
      <w:r w:rsidRPr="00E25900">
        <w:lastRenderedPageBreak/>
        <w:t>Refer</w:t>
      </w:r>
      <w:r w:rsidR="00E6641C">
        <w:t>ê</w:t>
      </w:r>
      <w:r w:rsidRPr="00E25900">
        <w:t>nc</w:t>
      </w:r>
      <w:r w:rsidR="00E6641C">
        <w:t>ias</w:t>
      </w:r>
    </w:p>
    <w:p w14:paraId="79943DC7" w14:textId="77777777" w:rsidR="0015691C" w:rsidRDefault="0015691C" w:rsidP="0078702D">
      <w:pPr>
        <w:ind w:left="720" w:hanging="720"/>
        <w:jc w:val="both"/>
        <w:rPr>
          <w:lang w:val="en-US"/>
        </w:rPr>
      </w:pPr>
      <w:r w:rsidRPr="0078702D">
        <w:rPr>
          <w:lang w:val="en-US"/>
        </w:rPr>
        <w:t xml:space="preserve">American Heart Association. (2012). </w:t>
      </w:r>
      <w:r w:rsidRPr="0078702D">
        <w:rPr>
          <w:i/>
          <w:iCs/>
          <w:lang w:val="en-US"/>
        </w:rPr>
        <w:t xml:space="preserve">Guidelines for reducing heart attack symptoms </w:t>
      </w:r>
      <w:r w:rsidRPr="0078702D">
        <w:rPr>
          <w:lang w:val="en-US"/>
        </w:rPr>
        <w:t xml:space="preserve">[Fact sheet]. Retrieved from </w:t>
      </w:r>
      <w:hyperlink r:id="rId11" w:history="1">
        <w:r w:rsidRPr="0078702D">
          <w:rPr>
            <w:rStyle w:val="Hyperlink"/>
            <w:lang w:val="en-US"/>
          </w:rPr>
          <w:t>http://www.aha.org</w:t>
        </w:r>
      </w:hyperlink>
    </w:p>
    <w:p w14:paraId="4712F1FB" w14:textId="77777777" w:rsidR="0015691C" w:rsidRPr="009E37BF" w:rsidRDefault="0015691C" w:rsidP="0078702D">
      <w:pPr>
        <w:ind w:left="720" w:hanging="720"/>
        <w:jc w:val="both"/>
      </w:pPr>
      <w:r>
        <w:rPr>
          <w:lang w:val="en-US"/>
        </w:rPr>
        <w:t xml:space="preserve">APA (2019). </w:t>
      </w:r>
      <w:r w:rsidRPr="002B644E">
        <w:rPr>
          <w:i/>
          <w:iCs/>
          <w:lang w:val="en-US"/>
        </w:rPr>
        <w:t>Publication Manual of the American Psychological Association</w:t>
      </w:r>
      <w:r>
        <w:rPr>
          <w:i/>
          <w:iCs/>
          <w:lang w:val="en-US"/>
        </w:rPr>
        <w:t xml:space="preserve"> </w:t>
      </w:r>
      <w:r>
        <w:rPr>
          <w:lang w:val="en-US"/>
        </w:rPr>
        <w:t>(7</w:t>
      </w:r>
      <w:r w:rsidRPr="0015691C">
        <w:rPr>
          <w:vertAlign w:val="superscript"/>
          <w:lang w:val="en-US"/>
        </w:rPr>
        <w:t>th</w:t>
      </w:r>
      <w:r>
        <w:rPr>
          <w:lang w:val="en-US"/>
        </w:rPr>
        <w:t xml:space="preserve"> Edition). </w:t>
      </w:r>
      <w:r w:rsidRPr="009E37BF">
        <w:t>Author.</w:t>
      </w:r>
    </w:p>
    <w:p w14:paraId="3CD9F93C" w14:textId="77777777" w:rsidR="0015691C" w:rsidRPr="0074214E" w:rsidRDefault="0015691C" w:rsidP="0074214E">
      <w:pPr>
        <w:ind w:left="720" w:hanging="720"/>
        <w:jc w:val="both"/>
        <w:rPr>
          <w:lang w:val="en-US"/>
        </w:rPr>
      </w:pPr>
      <w:r w:rsidRPr="009E37BF">
        <w:t xml:space="preserve">CIOMS, OMS &amp; OPS (2016). </w:t>
      </w:r>
      <w:r w:rsidRPr="0074214E">
        <w:t xml:space="preserve">Pautas éticas internacionales para la investigación relacionada con la salud con seres humanos. </w:t>
      </w:r>
      <w:r w:rsidRPr="0078702D">
        <w:rPr>
          <w:lang w:val="en-US"/>
        </w:rPr>
        <w:t>Retrieved from</w:t>
      </w:r>
      <w:r w:rsidRPr="0074214E">
        <w:rPr>
          <w:lang w:val="en-US"/>
        </w:rPr>
        <w:t xml:space="preserve"> </w:t>
      </w:r>
      <w:hyperlink r:id="rId12" w:history="1">
        <w:r w:rsidRPr="0074214E">
          <w:rPr>
            <w:rStyle w:val="Hyperlink"/>
            <w:lang w:val="en-US"/>
          </w:rPr>
          <w:t>https://cioms.ch/wp-content/uploads/2017/12/CIOMS-EthicalGuideline_SP_INTERIOR-FINAL.pdf</w:t>
        </w:r>
      </w:hyperlink>
      <w:r>
        <w:rPr>
          <w:lang w:val="en-US"/>
        </w:rPr>
        <w:t xml:space="preserve"> </w:t>
      </w:r>
    </w:p>
    <w:p w14:paraId="113B3E7A" w14:textId="77777777" w:rsidR="0015691C" w:rsidRPr="0074214E" w:rsidRDefault="0015691C" w:rsidP="0074214E">
      <w:pPr>
        <w:ind w:left="720" w:hanging="720"/>
        <w:jc w:val="both"/>
        <w:rPr>
          <w:lang w:val="en-US"/>
        </w:rPr>
      </w:pPr>
      <w:r w:rsidRPr="0074214E">
        <w:rPr>
          <w:lang w:val="en-US"/>
        </w:rPr>
        <w:t xml:space="preserve">IAAP &amp; IUPsyS (2008). Universal Declaration of Ethical Principles for Psychologists. Available from the International Union of Psychological Science Web site: </w:t>
      </w:r>
      <w:hyperlink r:id="rId13" w:history="1">
        <w:r w:rsidRPr="0074214E">
          <w:rPr>
            <w:rStyle w:val="Hyperlink"/>
            <w:lang w:val="en-US"/>
          </w:rPr>
          <w:t>https://www.iupsys.net/about/governance/universal-declaration-of-ethical-principles-for-psychologists.html</w:t>
        </w:r>
      </w:hyperlink>
      <w:r>
        <w:rPr>
          <w:lang w:val="en-US"/>
        </w:rPr>
        <w:t xml:space="preserve"> </w:t>
      </w:r>
    </w:p>
    <w:p w14:paraId="28D89355" w14:textId="77777777" w:rsidR="0015691C" w:rsidRPr="0074214E" w:rsidRDefault="0015691C" w:rsidP="0074214E">
      <w:pPr>
        <w:ind w:left="720" w:hanging="720"/>
        <w:jc w:val="both"/>
      </w:pPr>
      <w:r>
        <w:t>I</w:t>
      </w:r>
      <w:r w:rsidRPr="0074214E">
        <w:t>SP (1978). Resolución sobre la práctica psicológica y los derechos humanos. Revista Latinoamericana de Psicología, 10(2), 298-299.</w:t>
      </w:r>
      <w:r>
        <w:t xml:space="preserve"> </w:t>
      </w:r>
      <w:hyperlink r:id="rId14" w:history="1">
        <w:r w:rsidRPr="001F38FF">
          <w:rPr>
            <w:rStyle w:val="Hyperlink"/>
          </w:rPr>
          <w:t>http://doi.org/10.333.23rlp10i2.298-299</w:t>
        </w:r>
      </w:hyperlink>
      <w:r>
        <w:t xml:space="preserve"> </w:t>
      </w:r>
    </w:p>
    <w:p w14:paraId="1798E286" w14:textId="77777777" w:rsidR="0015691C" w:rsidRPr="0074214E" w:rsidRDefault="0015691C" w:rsidP="0074214E">
      <w:pPr>
        <w:ind w:left="720" w:hanging="720"/>
        <w:jc w:val="both"/>
        <w:rPr>
          <w:lang w:val="en-US"/>
        </w:rPr>
      </w:pPr>
      <w:r>
        <w:t>I</w:t>
      </w:r>
      <w:r w:rsidRPr="0074214E">
        <w:t>SP (2008a). Declaración de la Mesa Directiva de la SIP sobre Terápias de Conversión.</w:t>
      </w:r>
      <w:r>
        <w:t xml:space="preserve"> </w:t>
      </w:r>
      <w:r w:rsidRPr="0078702D">
        <w:rPr>
          <w:lang w:val="en-US"/>
        </w:rPr>
        <w:t>Retrieved from</w:t>
      </w:r>
      <w:r w:rsidRPr="0015691C">
        <w:rPr>
          <w:lang w:val="en-US"/>
        </w:rPr>
        <w:t xml:space="preserve"> </w:t>
      </w:r>
      <w:hyperlink r:id="rId15" w:history="1">
        <w:r w:rsidRPr="001F38FF">
          <w:rPr>
            <w:rStyle w:val="Hyperlink"/>
            <w:lang w:val="en-US"/>
          </w:rPr>
          <w:t>https://archive.org/details/sip-2008a-declaracion-sobre-terapias-de-conversion</w:t>
        </w:r>
      </w:hyperlink>
      <w:r>
        <w:rPr>
          <w:lang w:val="en-US"/>
        </w:rPr>
        <w:t xml:space="preserve"> </w:t>
      </w:r>
    </w:p>
    <w:p w14:paraId="5F36DC76" w14:textId="77777777" w:rsidR="0015691C" w:rsidRPr="0074214E" w:rsidRDefault="0015691C" w:rsidP="0074214E">
      <w:pPr>
        <w:ind w:left="720" w:hanging="720"/>
        <w:jc w:val="both"/>
        <w:rPr>
          <w:lang w:val="en-US"/>
        </w:rPr>
      </w:pPr>
      <w:r>
        <w:t>I</w:t>
      </w:r>
      <w:r w:rsidRPr="0074214E">
        <w:t>SP (2008b). Consideraciones Éticas de la SIP.</w:t>
      </w:r>
      <w:r>
        <w:t xml:space="preserve"> </w:t>
      </w:r>
      <w:r w:rsidRPr="0078702D">
        <w:rPr>
          <w:lang w:val="en-US"/>
        </w:rPr>
        <w:t>Retrieved from</w:t>
      </w:r>
      <w:r w:rsidRPr="0015691C">
        <w:rPr>
          <w:lang w:val="en-US"/>
        </w:rPr>
        <w:t xml:space="preserve"> </w:t>
      </w:r>
      <w:hyperlink r:id="rId16" w:history="1">
        <w:r w:rsidRPr="001F38FF">
          <w:rPr>
            <w:rStyle w:val="Hyperlink"/>
            <w:lang w:val="en-US"/>
          </w:rPr>
          <w:t>https://archive.org/details/sip-2008b-declaracion-sobre-principios-eticos</w:t>
        </w:r>
      </w:hyperlink>
      <w:r>
        <w:rPr>
          <w:lang w:val="en-US"/>
        </w:rPr>
        <w:t xml:space="preserve"> </w:t>
      </w:r>
    </w:p>
    <w:p w14:paraId="56B47408" w14:textId="77777777" w:rsidR="0015691C" w:rsidRPr="0074214E" w:rsidRDefault="0015691C" w:rsidP="0074214E">
      <w:pPr>
        <w:ind w:left="720" w:hanging="720"/>
        <w:jc w:val="both"/>
        <w:rPr>
          <w:lang w:val="en-US"/>
        </w:rPr>
      </w:pPr>
      <w:r>
        <w:t>I</w:t>
      </w:r>
      <w:r w:rsidRPr="0074214E">
        <w:t>SP (2014). Declaración de la SIP sobre Refugiados menores de edad en tránsito a los Estados Unidos.</w:t>
      </w:r>
      <w:r>
        <w:t xml:space="preserve"> </w:t>
      </w:r>
      <w:r w:rsidRPr="0078702D">
        <w:rPr>
          <w:lang w:val="en-US"/>
        </w:rPr>
        <w:t>Retrieved from</w:t>
      </w:r>
      <w:r w:rsidRPr="0015691C">
        <w:rPr>
          <w:lang w:val="en-US"/>
        </w:rPr>
        <w:t xml:space="preserve"> </w:t>
      </w:r>
      <w:hyperlink r:id="rId17" w:history="1">
        <w:r w:rsidRPr="001F38FF">
          <w:rPr>
            <w:rStyle w:val="Hyperlink"/>
            <w:lang w:val="en-US"/>
          </w:rPr>
          <w:t>https://archive.org/details/sip-2014-declaracion-sobre-ninos-migrantes-en-centro-america</w:t>
        </w:r>
      </w:hyperlink>
      <w:r>
        <w:rPr>
          <w:lang w:val="en-US"/>
        </w:rPr>
        <w:t xml:space="preserve"> </w:t>
      </w:r>
    </w:p>
    <w:p w14:paraId="63D43696" w14:textId="77777777" w:rsidR="0015691C" w:rsidRPr="0074214E" w:rsidRDefault="0015691C" w:rsidP="0074214E">
      <w:pPr>
        <w:ind w:left="720" w:hanging="720"/>
        <w:jc w:val="both"/>
        <w:rPr>
          <w:lang w:val="en-US"/>
        </w:rPr>
      </w:pPr>
      <w:r>
        <w:t>I</w:t>
      </w:r>
      <w:r w:rsidRPr="0074214E">
        <w:t>SP (2016). Declaración de la SIP de apoyo a psicólogas y psicólogos colombianos que promueven los acuerdos de paz.</w:t>
      </w:r>
      <w:r>
        <w:t xml:space="preserve"> </w:t>
      </w:r>
      <w:r w:rsidRPr="0078702D">
        <w:rPr>
          <w:lang w:val="en-US"/>
        </w:rPr>
        <w:t>Retrieved from</w:t>
      </w:r>
      <w:r>
        <w:rPr>
          <w:lang w:val="en-US"/>
        </w:rPr>
        <w:t xml:space="preserve"> </w:t>
      </w:r>
      <w:hyperlink r:id="rId18" w:history="1">
        <w:r w:rsidRPr="001F38FF">
          <w:rPr>
            <w:rStyle w:val="Hyperlink"/>
            <w:lang w:val="en-US"/>
          </w:rPr>
          <w:t>https://archive.org/details/sip-2016-declaracion-apoyo-a-acuerdos-de-paz-en-colombia</w:t>
        </w:r>
      </w:hyperlink>
      <w:r>
        <w:rPr>
          <w:lang w:val="en-US"/>
        </w:rPr>
        <w:t xml:space="preserve"> </w:t>
      </w:r>
    </w:p>
    <w:p w14:paraId="5F3F16F8" w14:textId="77777777" w:rsidR="0015691C" w:rsidRPr="0074214E" w:rsidRDefault="0015691C" w:rsidP="0074214E">
      <w:pPr>
        <w:ind w:left="720" w:hanging="720"/>
        <w:jc w:val="both"/>
        <w:rPr>
          <w:lang w:val="en-US"/>
        </w:rPr>
      </w:pPr>
      <w:r>
        <w:rPr>
          <w:lang w:val="en-US"/>
        </w:rPr>
        <w:t>I</w:t>
      </w:r>
      <w:r w:rsidRPr="0074214E">
        <w:rPr>
          <w:lang w:val="en-US"/>
        </w:rPr>
        <w:t>SP (2018). Position Statement of the Inter-American Psychological Society (SIP).</w:t>
      </w:r>
      <w:r w:rsidRPr="0015691C">
        <w:rPr>
          <w:lang w:val="en-US"/>
        </w:rPr>
        <w:t xml:space="preserve"> </w:t>
      </w:r>
      <w:r w:rsidRPr="0078702D">
        <w:rPr>
          <w:lang w:val="en-US"/>
        </w:rPr>
        <w:t>Retrieved from</w:t>
      </w:r>
      <w:r w:rsidRPr="0015691C">
        <w:rPr>
          <w:lang w:val="en-US"/>
        </w:rPr>
        <w:t xml:space="preserve"> </w:t>
      </w:r>
      <w:hyperlink r:id="rId19" w:history="1">
        <w:r w:rsidRPr="001F38FF">
          <w:rPr>
            <w:rStyle w:val="Hyperlink"/>
            <w:lang w:val="en-US"/>
          </w:rPr>
          <w:t>https://archive.org/details/sip-2018-position-statement-on-immigration</w:t>
        </w:r>
      </w:hyperlink>
      <w:r>
        <w:rPr>
          <w:lang w:val="en-US"/>
        </w:rPr>
        <w:t xml:space="preserve"> </w:t>
      </w:r>
    </w:p>
    <w:p w14:paraId="12611950" w14:textId="77777777" w:rsidR="0015691C" w:rsidRPr="0074214E" w:rsidRDefault="0015691C" w:rsidP="0074214E">
      <w:pPr>
        <w:ind w:left="720" w:hanging="720"/>
        <w:jc w:val="both"/>
        <w:rPr>
          <w:lang w:val="en-US"/>
        </w:rPr>
      </w:pPr>
      <w:r>
        <w:t>I</w:t>
      </w:r>
      <w:r w:rsidRPr="0074214E">
        <w:t>SP (2019). Declaración de la SIP sobre experticia de psicólogas y psicólogos en el campo de la salud mental y las ciencias del comportamiento.</w:t>
      </w:r>
      <w:r w:rsidRPr="0015691C">
        <w:t xml:space="preserve"> </w:t>
      </w:r>
      <w:r w:rsidRPr="0078702D">
        <w:rPr>
          <w:lang w:val="en-US"/>
        </w:rPr>
        <w:t>Retrieved from</w:t>
      </w:r>
      <w:r>
        <w:rPr>
          <w:lang w:val="en-US"/>
        </w:rPr>
        <w:t xml:space="preserve"> </w:t>
      </w:r>
      <w:hyperlink r:id="rId20" w:history="1">
        <w:r w:rsidRPr="001F38FF">
          <w:rPr>
            <w:rStyle w:val="Hyperlink"/>
            <w:lang w:val="en-US"/>
          </w:rPr>
          <w:t>https://archive.org/details/sip-2019-declaracion-experticia-en-salud-mental</w:t>
        </w:r>
      </w:hyperlink>
      <w:r>
        <w:rPr>
          <w:lang w:val="en-US"/>
        </w:rPr>
        <w:t xml:space="preserve"> </w:t>
      </w:r>
    </w:p>
    <w:p w14:paraId="3214D726" w14:textId="5AB486F2" w:rsidR="0015691C" w:rsidRPr="0078702D" w:rsidRDefault="0015691C" w:rsidP="0078702D">
      <w:pPr>
        <w:ind w:left="720" w:hanging="720"/>
        <w:jc w:val="both"/>
        <w:rPr>
          <w:lang w:val="en-US"/>
        </w:rPr>
      </w:pPr>
      <w:r w:rsidRPr="0078702D">
        <w:rPr>
          <w:lang w:val="en-US"/>
        </w:rPr>
        <w:t xml:space="preserve">McBride, D. M., &amp; Wagman, J. B. (1997). Rules for reporting statistics in papers. </w:t>
      </w:r>
      <w:r w:rsidRPr="0078702D">
        <w:rPr>
          <w:i/>
          <w:iCs/>
          <w:lang w:val="en-US"/>
        </w:rPr>
        <w:t>Journal of APA Style Rules</w:t>
      </w:r>
      <w:r w:rsidRPr="0078702D">
        <w:rPr>
          <w:lang w:val="en-US"/>
        </w:rPr>
        <w:t xml:space="preserve">, </w:t>
      </w:r>
      <w:r w:rsidRPr="0078702D">
        <w:rPr>
          <w:i/>
          <w:iCs/>
          <w:lang w:val="en-US"/>
        </w:rPr>
        <w:t>105</w:t>
      </w:r>
      <w:r w:rsidRPr="0078702D">
        <w:rPr>
          <w:lang w:val="en-US"/>
        </w:rPr>
        <w:t>, 55-67.</w:t>
      </w:r>
    </w:p>
    <w:p w14:paraId="648E9269" w14:textId="3F5398C7" w:rsidR="0015691C" w:rsidRPr="0078702D" w:rsidRDefault="0015691C" w:rsidP="0078702D">
      <w:pPr>
        <w:ind w:left="720" w:hanging="720"/>
        <w:jc w:val="both"/>
        <w:rPr>
          <w:lang w:val="en-US"/>
        </w:rPr>
      </w:pPr>
      <w:r w:rsidRPr="0078702D">
        <w:rPr>
          <w:lang w:val="en-US"/>
        </w:rPr>
        <w:t xml:space="preserve">Smith, K. C. (2006). How to write an APA-style paper in psychology, </w:t>
      </w:r>
      <w:r w:rsidRPr="0078702D">
        <w:rPr>
          <w:i/>
          <w:iCs/>
          <w:lang w:val="en-US"/>
        </w:rPr>
        <w:t>Journal of APA Style Rules</w:t>
      </w:r>
      <w:r w:rsidRPr="0078702D">
        <w:rPr>
          <w:lang w:val="en-US"/>
        </w:rPr>
        <w:t xml:space="preserve">, </w:t>
      </w:r>
      <w:r w:rsidRPr="0078702D">
        <w:rPr>
          <w:i/>
          <w:iCs/>
          <w:lang w:val="en-US"/>
        </w:rPr>
        <w:t>114</w:t>
      </w:r>
      <w:r w:rsidRPr="0078702D">
        <w:rPr>
          <w:lang w:val="en-US"/>
        </w:rPr>
        <w:t>, 23-25.</w:t>
      </w:r>
    </w:p>
    <w:p w14:paraId="69343779" w14:textId="690254EC" w:rsidR="007C3C14" w:rsidRPr="0074214E" w:rsidRDefault="007C3C14" w:rsidP="007C3C14">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4E83660D" w14:textId="0181CF2F" w:rsidR="0078702D" w:rsidRPr="0015691C" w:rsidRDefault="0078702D">
      <w:pPr>
        <w:rPr>
          <w:i/>
          <w:sz w:val="28"/>
          <w:szCs w:val="28"/>
          <w:lang w:val="en-US"/>
        </w:rPr>
      </w:pPr>
      <w:r w:rsidRPr="0015691C">
        <w:rPr>
          <w:lang w:val="en-US"/>
        </w:rPr>
        <w:br w:type="page"/>
      </w:r>
    </w:p>
    <w:p w14:paraId="60976BF6" w14:textId="77777777" w:rsidR="00E6641C" w:rsidRPr="00297145" w:rsidRDefault="00E6641C" w:rsidP="00E6641C">
      <w:pPr>
        <w:spacing w:line="360" w:lineRule="auto"/>
        <w:ind w:left="426" w:hanging="426"/>
        <w:jc w:val="both"/>
        <w:rPr>
          <w:rFonts w:eastAsia="Arial"/>
        </w:rPr>
      </w:pPr>
      <w:r w:rsidRPr="00297145">
        <w:rPr>
          <w:rFonts w:eastAsia="Arial"/>
        </w:rPr>
        <w:lastRenderedPageBreak/>
        <w:t xml:space="preserve">Angelidis, A., Solis, E., Lautenbach, F., van der Does, W., &amp; Putman, P. (2019). I’m going to fail! Acute cognitive performance anxiety increases threat-interference and impairs WM performance. </w:t>
      </w:r>
      <w:r w:rsidRPr="00297145">
        <w:rPr>
          <w:rFonts w:eastAsia="Arial"/>
          <w:i/>
          <w:iCs/>
        </w:rPr>
        <w:t>PloS one, 14</w:t>
      </w:r>
      <w:r w:rsidRPr="00297145">
        <w:rPr>
          <w:rFonts w:eastAsia="Arial"/>
        </w:rPr>
        <w:t>(2), e0210824. https://doi.org/10.1371/journal.pone.0210824</w:t>
      </w:r>
    </w:p>
    <w:p w14:paraId="2C159708" w14:textId="77777777" w:rsidR="00E6641C" w:rsidRPr="00297145" w:rsidRDefault="00E6641C" w:rsidP="00E6641C">
      <w:pPr>
        <w:pBdr>
          <w:top w:val="nil"/>
          <w:left w:val="nil"/>
          <w:bottom w:val="nil"/>
          <w:right w:val="nil"/>
          <w:between w:val="nil"/>
        </w:pBdr>
        <w:spacing w:line="360" w:lineRule="auto"/>
        <w:ind w:left="426" w:hanging="426"/>
        <w:jc w:val="both"/>
        <w:rPr>
          <w:rFonts w:eastAsia="Arial"/>
        </w:rPr>
      </w:pPr>
      <w:r w:rsidRPr="00297145">
        <w:rPr>
          <w:rFonts w:eastAsia="Arial"/>
        </w:rPr>
        <w:t xml:space="preserve">Behnagh, R. F., &amp; Ferrari, J. R. (2022). Exploring 40 years on affective correlates to procrastination: a literature review of situational and dispositional types. Current </w:t>
      </w:r>
      <w:r w:rsidRPr="00297145">
        <w:rPr>
          <w:rFonts w:eastAsia="Arial"/>
          <w:i/>
          <w:iCs/>
        </w:rPr>
        <w:t>Psychology, 41</w:t>
      </w:r>
      <w:r w:rsidRPr="00297145">
        <w:rPr>
          <w:rFonts w:eastAsia="Arial"/>
        </w:rPr>
        <w:t xml:space="preserve">, 1097-1111 (2022). </w:t>
      </w:r>
      <w:hyperlink r:id="rId21" w:history="1">
        <w:r w:rsidRPr="00297145">
          <w:rPr>
            <w:rStyle w:val="Hyperlink"/>
            <w:rFonts w:eastAsia="Arial"/>
          </w:rPr>
          <w:t>https://doi.org/10.1007/s12144-021-02653-z</w:t>
        </w:r>
      </w:hyperlink>
    </w:p>
    <w:p w14:paraId="534FDF81" w14:textId="77777777" w:rsidR="00E6641C" w:rsidRPr="00297145" w:rsidRDefault="00E6641C" w:rsidP="00E6641C">
      <w:pPr>
        <w:pBdr>
          <w:top w:val="nil"/>
          <w:left w:val="nil"/>
          <w:bottom w:val="nil"/>
          <w:right w:val="nil"/>
          <w:between w:val="nil"/>
        </w:pBdr>
        <w:spacing w:line="360" w:lineRule="auto"/>
        <w:ind w:left="426" w:hanging="426"/>
        <w:jc w:val="both"/>
        <w:rPr>
          <w:rFonts w:eastAsia="Arial"/>
        </w:rPr>
      </w:pPr>
      <w:r w:rsidRPr="00297145">
        <w:rPr>
          <w:rFonts w:eastAsia="Arial"/>
          <w:lang w:val="es-ES"/>
        </w:rPr>
        <w:t>Bolbolian, M., Asgari, S., Sefidi, F., &amp; Zadeh, A. S. (2021). The relationship between test anxiety and academic procrastination among the dental students.</w:t>
      </w:r>
      <w:r w:rsidRPr="00297145">
        <w:rPr>
          <w:lang w:val="es-ES"/>
        </w:rPr>
        <w:t xml:space="preserve"> </w:t>
      </w:r>
      <w:r w:rsidRPr="00297145">
        <w:rPr>
          <w:rFonts w:eastAsia="Arial"/>
          <w:i/>
          <w:iCs/>
        </w:rPr>
        <w:t>Journal of Education and Health Promotion, 10</w:t>
      </w:r>
      <w:r w:rsidRPr="00297145">
        <w:rPr>
          <w:rFonts w:eastAsia="Arial"/>
        </w:rPr>
        <w:t>(67), 1-6. https://doi.org/10.4103/jehp.jehp_867_20</w:t>
      </w:r>
    </w:p>
    <w:p w14:paraId="3A3E2A49" w14:textId="77777777" w:rsidR="00E6641C" w:rsidRPr="00297145" w:rsidRDefault="00E6641C" w:rsidP="00E6641C">
      <w:pPr>
        <w:pBdr>
          <w:top w:val="nil"/>
          <w:left w:val="nil"/>
          <w:bottom w:val="nil"/>
          <w:right w:val="nil"/>
          <w:between w:val="nil"/>
        </w:pBdr>
        <w:spacing w:line="360" w:lineRule="auto"/>
        <w:ind w:left="426" w:hanging="426"/>
        <w:jc w:val="both"/>
        <w:rPr>
          <w:rFonts w:eastAsia="Arial"/>
        </w:rPr>
      </w:pPr>
      <w:r w:rsidRPr="00297145">
        <w:rPr>
          <w:rFonts w:eastAsia="Arial"/>
        </w:rPr>
        <w:t>Cassady, J. C., &amp; Finch, W. H. (2015). Using factor mixture modeling to identify dimensions of cognitive test anxiety.</w:t>
      </w:r>
      <w:r w:rsidRPr="00297145">
        <w:rPr>
          <w:rFonts w:eastAsia="Arial"/>
          <w:i/>
          <w:iCs/>
        </w:rPr>
        <w:t xml:space="preserve"> Learning and Individual Differences</w:t>
      </w:r>
      <w:r w:rsidRPr="00297145">
        <w:rPr>
          <w:rFonts w:eastAsia="Arial"/>
        </w:rPr>
        <w:t xml:space="preserve">, 41, 14-20. </w:t>
      </w:r>
      <w:hyperlink r:id="rId22" w:history="1">
        <w:r w:rsidRPr="00297145">
          <w:rPr>
            <w:rStyle w:val="Hyperlink"/>
            <w:rFonts w:eastAsia="Arial"/>
          </w:rPr>
          <w:t>https://doi.org/10.1016/j.lindif.2015.06.002</w:t>
        </w:r>
      </w:hyperlink>
    </w:p>
    <w:p w14:paraId="7DE904DD" w14:textId="77777777" w:rsidR="00E6641C" w:rsidRPr="00297145" w:rsidRDefault="00E6641C" w:rsidP="00E6641C">
      <w:pPr>
        <w:pBdr>
          <w:top w:val="nil"/>
          <w:left w:val="nil"/>
          <w:bottom w:val="nil"/>
          <w:right w:val="nil"/>
          <w:between w:val="nil"/>
        </w:pBdr>
        <w:spacing w:line="360" w:lineRule="auto"/>
        <w:ind w:left="426" w:hanging="426"/>
        <w:jc w:val="both"/>
        <w:rPr>
          <w:rFonts w:eastAsia="Arial"/>
        </w:rPr>
      </w:pPr>
      <w:r w:rsidRPr="00297145">
        <w:rPr>
          <w:rFonts w:eastAsia="Arial"/>
        </w:rPr>
        <w:t xml:space="preserve">Cassady, J. C., &amp; Johnson, R. E. (2002). Cognitive test anxiety and academic performance. </w:t>
      </w:r>
      <w:r w:rsidRPr="00297145">
        <w:rPr>
          <w:rFonts w:eastAsia="Arial"/>
          <w:bCs/>
          <w:i/>
          <w:iCs/>
        </w:rPr>
        <w:t>Contemporary educational psychology, 27</w:t>
      </w:r>
      <w:r w:rsidRPr="00297145">
        <w:rPr>
          <w:rFonts w:eastAsia="Arial"/>
        </w:rPr>
        <w:t xml:space="preserve">(2), 270-295. https://doi.org/10.1006/ceps.2001.1094 </w:t>
      </w:r>
    </w:p>
    <w:p w14:paraId="6F6C8406" w14:textId="77777777" w:rsidR="00E6641C" w:rsidRPr="00297145" w:rsidRDefault="00E6641C" w:rsidP="00E6641C">
      <w:pPr>
        <w:spacing w:line="360" w:lineRule="auto"/>
        <w:ind w:left="426" w:hanging="426"/>
        <w:jc w:val="both"/>
        <w:rPr>
          <w:rFonts w:eastAsia="Arial"/>
        </w:rPr>
      </w:pPr>
      <w:r w:rsidRPr="00297145">
        <w:rPr>
          <w:rFonts w:eastAsia="Arial"/>
        </w:rPr>
        <w:t xml:space="preserve">Cotner, S., Jeno, L. M., Walker, J. D., Jørgensen, C., &amp; Vandvik, V. (2020). Gender gaps in the performance of Norwegian biology students: the roles of test anxiety and science confidence. </w:t>
      </w:r>
      <w:r w:rsidRPr="00297145">
        <w:rPr>
          <w:rFonts w:eastAsia="Arial"/>
          <w:i/>
          <w:iCs/>
        </w:rPr>
        <w:t>International Journal of STEM Education, 7</w:t>
      </w:r>
      <w:r w:rsidRPr="00297145">
        <w:rPr>
          <w:rFonts w:eastAsia="Arial"/>
        </w:rPr>
        <w:t xml:space="preserve">(55), 1-10. </w:t>
      </w:r>
      <w:hyperlink r:id="rId23" w:history="1">
        <w:r w:rsidRPr="00297145">
          <w:rPr>
            <w:rStyle w:val="Hyperlink"/>
            <w:rFonts w:eastAsia="Arial"/>
          </w:rPr>
          <w:t>https://doi.org/10.1186/s40594-020-00252-1</w:t>
        </w:r>
      </w:hyperlink>
    </w:p>
    <w:p w14:paraId="3111D031" w14:textId="77777777" w:rsidR="00E6641C" w:rsidRPr="00297145" w:rsidRDefault="00E6641C" w:rsidP="00E6641C">
      <w:pPr>
        <w:spacing w:line="360" w:lineRule="auto"/>
        <w:ind w:left="284" w:hanging="284"/>
        <w:jc w:val="both"/>
      </w:pPr>
      <w:r w:rsidRPr="00297145">
        <w:t xml:space="preserve">Couto, R. N., Fonseca, P. N., Silva, P. G. N., Medeiros, E. D., &amp; Carvalho, T. A. (2020). Versão brasileira da </w:t>
      </w:r>
      <w:r w:rsidRPr="00297145">
        <w:rPr>
          <w:i/>
          <w:iCs/>
        </w:rPr>
        <w:t>Tuckman Procrastination Scale</w:t>
      </w:r>
      <w:r w:rsidRPr="00297145">
        <w:t xml:space="preserve">: adaptação e evidências psicométricas. </w:t>
      </w:r>
      <w:r w:rsidRPr="00297145">
        <w:rPr>
          <w:i/>
          <w:iCs/>
        </w:rPr>
        <w:t>Revista Interamericana de Psicología, 54</w:t>
      </w:r>
      <w:r w:rsidRPr="00297145">
        <w:t>(3), e863. https://doi.org/10.30849/ripijp.v54i3.863</w:t>
      </w:r>
    </w:p>
    <w:p w14:paraId="136CC4F1" w14:textId="77777777" w:rsidR="00E6641C" w:rsidRPr="00297145" w:rsidRDefault="00E6641C" w:rsidP="00E6641C">
      <w:pPr>
        <w:spacing w:line="360" w:lineRule="auto"/>
        <w:ind w:left="426" w:hanging="426"/>
        <w:jc w:val="both"/>
        <w:rPr>
          <w:rFonts w:eastAsia="Arial"/>
          <w:lang w:val="es-ES"/>
        </w:rPr>
      </w:pPr>
      <w:r w:rsidRPr="00297145">
        <w:rPr>
          <w:rFonts w:eastAsia="Arial"/>
        </w:rPr>
        <w:t xml:space="preserve">Danthony, S., Mascret, N., &amp; Cury, F. (2020). Test anxiety in physical education: The predictive role of gender, age, and implicit theories of athletic ability. </w:t>
      </w:r>
      <w:r w:rsidRPr="00297145">
        <w:rPr>
          <w:rFonts w:eastAsia="Arial"/>
          <w:i/>
          <w:iCs/>
          <w:lang w:val="es-ES"/>
        </w:rPr>
        <w:t>European Physical Education Review, 26</w:t>
      </w:r>
      <w:r w:rsidRPr="00297145">
        <w:rPr>
          <w:rFonts w:eastAsia="Arial"/>
          <w:lang w:val="es-ES"/>
        </w:rPr>
        <w:t xml:space="preserve">(1), 128-143. </w:t>
      </w:r>
      <w:hyperlink r:id="rId24" w:history="1">
        <w:r w:rsidRPr="00297145">
          <w:rPr>
            <w:rStyle w:val="Hyperlink"/>
            <w:rFonts w:eastAsia="Arial"/>
            <w:lang w:val="es-ES"/>
          </w:rPr>
          <w:t>https://doi.org/10.1177/1356336X19839408</w:t>
        </w:r>
      </w:hyperlink>
    </w:p>
    <w:p w14:paraId="4ECBFC8F"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t xml:space="preserve">Desai, M., Pandit, U., Nerurkar, A., Verma, C., &amp; Gandhi, S. (2021). Test anxiety and procrastination in physiotherapy students. </w:t>
      </w:r>
      <w:r w:rsidRPr="00297145">
        <w:rPr>
          <w:rFonts w:eastAsia="Arial"/>
          <w:i/>
          <w:iCs/>
          <w:lang w:val="es-ES"/>
        </w:rPr>
        <w:t>Journal of education and health promotion, 10</w:t>
      </w:r>
      <w:r w:rsidRPr="00297145">
        <w:rPr>
          <w:rFonts w:eastAsia="Arial"/>
          <w:lang w:val="es-ES"/>
        </w:rPr>
        <w:t xml:space="preserve">, 132. </w:t>
      </w:r>
      <w:hyperlink r:id="rId25" w:history="1">
        <w:r w:rsidRPr="00297145">
          <w:rPr>
            <w:rStyle w:val="Hyperlink"/>
            <w:rFonts w:eastAsia="Arial"/>
            <w:lang w:val="es-ES"/>
          </w:rPr>
          <w:t>https://doi.org/10.4103/jehp.jehp_851_20</w:t>
        </w:r>
      </w:hyperlink>
    </w:p>
    <w:p w14:paraId="02A4DDD5"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t xml:space="preserve">Dominguez-Lara, S. (2017). Procrastinación académica, afrontamiento de la ansiedad pre-examen y rendimiento académico en estudiantes de psicología: análisis preliminar. </w:t>
      </w:r>
      <w:r w:rsidRPr="00297145">
        <w:rPr>
          <w:rFonts w:eastAsia="Arial"/>
          <w:i/>
          <w:iCs/>
          <w:lang w:val="es-ES"/>
        </w:rPr>
        <w:t xml:space="preserve">Cultura: Revista </w:t>
      </w:r>
      <w:r w:rsidRPr="00297145">
        <w:rPr>
          <w:rFonts w:eastAsia="Arial"/>
          <w:i/>
          <w:iCs/>
          <w:lang w:val="es-ES"/>
        </w:rPr>
        <w:lastRenderedPageBreak/>
        <w:t>de la Asociación de Docentes de la USMP</w:t>
      </w:r>
      <w:r w:rsidRPr="00297145">
        <w:rPr>
          <w:rFonts w:eastAsia="Arial"/>
          <w:lang w:val="es-ES"/>
        </w:rPr>
        <w:t xml:space="preserve">, 31, 181-193. </w:t>
      </w:r>
      <w:hyperlink r:id="rId26" w:history="1">
        <w:r w:rsidRPr="00297145">
          <w:rPr>
            <w:rStyle w:val="Hyperlink"/>
            <w:rFonts w:eastAsia="Arial"/>
            <w:lang w:val="es-ES"/>
          </w:rPr>
          <w:t>https://doi.org/10.24265/cultura.2017.v31.10</w:t>
        </w:r>
      </w:hyperlink>
    </w:p>
    <w:p w14:paraId="09DEECBB" w14:textId="77777777" w:rsidR="00E6641C" w:rsidRPr="00297145" w:rsidRDefault="00E6641C" w:rsidP="00E6641C">
      <w:pPr>
        <w:spacing w:line="360" w:lineRule="auto"/>
        <w:ind w:left="426" w:hanging="426"/>
        <w:jc w:val="both"/>
        <w:rPr>
          <w:rFonts w:eastAsia="Arial"/>
        </w:rPr>
      </w:pPr>
      <w:r w:rsidRPr="00297145">
        <w:rPr>
          <w:rFonts w:eastAsia="Arial"/>
          <w:lang w:val="es-ES"/>
        </w:rPr>
        <w:t xml:space="preserve">Ewell, S. N., Josefson, C. C., &amp; Ballen, C. J. (2022). Why did students report lower test anxiety during the COVID-19 </w:t>
      </w:r>
      <w:proofErr w:type="gramStart"/>
      <w:r w:rsidRPr="00297145">
        <w:rPr>
          <w:rFonts w:eastAsia="Arial"/>
          <w:lang w:val="es-ES"/>
        </w:rPr>
        <w:t>pandemic?.</w:t>
      </w:r>
      <w:proofErr w:type="gramEnd"/>
      <w:r w:rsidRPr="00297145">
        <w:rPr>
          <w:rFonts w:eastAsia="Arial"/>
          <w:lang w:val="es-ES"/>
        </w:rPr>
        <w:t xml:space="preserve"> Journal of microbiology &amp; biology education, 23(1), e00282-21. </w:t>
      </w:r>
      <w:hyperlink r:id="rId27" w:history="1">
        <w:r w:rsidRPr="00297145">
          <w:rPr>
            <w:rStyle w:val="Hyperlink"/>
            <w:rFonts w:eastAsia="Arial"/>
          </w:rPr>
          <w:t>https://doi.org/10.1128/jmbe.00282-21</w:t>
        </w:r>
      </w:hyperlink>
    </w:p>
    <w:p w14:paraId="482C65D4" w14:textId="77777777" w:rsidR="00E6641C" w:rsidRPr="00297145" w:rsidRDefault="00E6641C" w:rsidP="00E6641C">
      <w:pPr>
        <w:spacing w:line="360" w:lineRule="auto"/>
        <w:ind w:left="426" w:hanging="426"/>
        <w:jc w:val="both"/>
        <w:rPr>
          <w:rFonts w:eastAsia="Arial"/>
        </w:rPr>
      </w:pPr>
      <w:r w:rsidRPr="00297145">
        <w:rPr>
          <w:rFonts w:eastAsia="Arial"/>
        </w:rPr>
        <w:t xml:space="preserve">Gadosey, C. K., Schnettler, T., Scheunemann, A., Fries, S., &amp; Grunschel, C. (2021). The intraindividual co-occurrence of anxiety and hope in procrastination episodes during exam preparations: An experience sampling study. </w:t>
      </w:r>
      <w:r w:rsidRPr="00297145">
        <w:rPr>
          <w:rFonts w:eastAsia="Arial"/>
          <w:i/>
          <w:iCs/>
        </w:rPr>
        <w:t>Learning and Individual Differences,</w:t>
      </w:r>
      <w:r w:rsidRPr="00297145">
        <w:rPr>
          <w:rFonts w:eastAsia="Arial"/>
        </w:rPr>
        <w:t xml:space="preserve"> 88, 102013. </w:t>
      </w:r>
      <w:hyperlink r:id="rId28">
        <w:r w:rsidRPr="00297145">
          <w:rPr>
            <w:rStyle w:val="Hyperlink"/>
            <w:rFonts w:eastAsia="Arial"/>
          </w:rPr>
          <w:t>https://doi.org/10.1016/j.lindif.2021.102013</w:t>
        </w:r>
      </w:hyperlink>
    </w:p>
    <w:p w14:paraId="6A4B40B5" w14:textId="77777777" w:rsidR="00E6641C" w:rsidRPr="00297145" w:rsidRDefault="00E6641C" w:rsidP="00E6641C">
      <w:pPr>
        <w:spacing w:line="360" w:lineRule="auto"/>
        <w:ind w:left="426" w:hanging="426"/>
        <w:jc w:val="both"/>
        <w:rPr>
          <w:rFonts w:eastAsia="Arial"/>
        </w:rPr>
      </w:pPr>
      <w:r w:rsidRPr="00297145">
        <w:rPr>
          <w:rFonts w:eastAsia="Arial"/>
        </w:rPr>
        <w:t xml:space="preserve">Geara, G. B., Hauck Filho, N., &amp; Teixeira, M. A. P. (2017). Construção da escala de motivos da procrastinação acadêmica. </w:t>
      </w:r>
      <w:r w:rsidRPr="00297145">
        <w:rPr>
          <w:rFonts w:eastAsia="Arial"/>
          <w:i/>
          <w:iCs/>
        </w:rPr>
        <w:t>Psico, 48</w:t>
      </w:r>
      <w:r w:rsidRPr="00297145">
        <w:rPr>
          <w:rFonts w:eastAsia="Arial"/>
        </w:rPr>
        <w:t xml:space="preserve">(2), 140-151. </w:t>
      </w:r>
      <w:hyperlink r:id="rId29">
        <w:r w:rsidRPr="00297145">
          <w:rPr>
            <w:rStyle w:val="Hyperlink"/>
            <w:rFonts w:eastAsia="Arial"/>
          </w:rPr>
          <w:t>https://doi.org/10.15448/1980-8623.2017.2.24635</w:t>
        </w:r>
      </w:hyperlink>
    </w:p>
    <w:p w14:paraId="63FE5457" w14:textId="77777777" w:rsidR="00E6641C" w:rsidRPr="00297145" w:rsidRDefault="00E6641C" w:rsidP="00E6641C">
      <w:pPr>
        <w:spacing w:line="360" w:lineRule="auto"/>
        <w:ind w:left="426" w:hanging="426"/>
        <w:jc w:val="both"/>
        <w:rPr>
          <w:rFonts w:eastAsia="Arial"/>
        </w:rPr>
      </w:pPr>
      <w:r w:rsidRPr="00297145">
        <w:rPr>
          <w:rFonts w:eastAsia="Arial"/>
        </w:rPr>
        <w:t xml:space="preserve">Gonzaga, L. R. V., Silva, A. M. B, &amp; Enumo, S. R. F. (2017). Ansiedade de provas em estudantes do Ensino Médio. </w:t>
      </w:r>
      <w:r w:rsidRPr="00297145">
        <w:rPr>
          <w:rFonts w:eastAsia="Arial"/>
          <w:i/>
          <w:iCs/>
        </w:rPr>
        <w:t>Psicologia Argumento, 34</w:t>
      </w:r>
      <w:r w:rsidRPr="00297145">
        <w:rPr>
          <w:rFonts w:eastAsia="Arial"/>
        </w:rPr>
        <w:t xml:space="preserve">(84). </w:t>
      </w:r>
      <w:hyperlink r:id="rId30">
        <w:r w:rsidRPr="00297145">
          <w:rPr>
            <w:rStyle w:val="Hyperlink"/>
            <w:rFonts w:eastAsia="Arial"/>
          </w:rPr>
          <w:t>https://doi.org/10.7213/psicol.argum.34.084.AO07</w:t>
        </w:r>
      </w:hyperlink>
      <w:r w:rsidRPr="00297145">
        <w:rPr>
          <w:rFonts w:eastAsia="Arial"/>
        </w:rPr>
        <w:t xml:space="preserve"> </w:t>
      </w:r>
    </w:p>
    <w:p w14:paraId="2EF67FB9" w14:textId="77777777" w:rsidR="00E6641C" w:rsidRPr="00297145" w:rsidRDefault="00E6641C" w:rsidP="00E6641C">
      <w:pPr>
        <w:spacing w:line="360" w:lineRule="auto"/>
        <w:ind w:left="284" w:hanging="284"/>
        <w:jc w:val="both"/>
        <w:rPr>
          <w:rFonts w:eastAsia="Arial"/>
        </w:rPr>
      </w:pPr>
      <w:r w:rsidRPr="00297145">
        <w:rPr>
          <w:rFonts w:eastAsia="Arial"/>
        </w:rPr>
        <w:t xml:space="preserve">Huntley, C., Young, B., Smith, C. T., Jha, V., &amp; Fisher, P.  (2022).    Testing times: the association of intolerance of uncertainty and metacognitive beliefs to test anxiety in college students. </w:t>
      </w:r>
      <w:r w:rsidRPr="00297145">
        <w:rPr>
          <w:rFonts w:eastAsia="Arial"/>
          <w:lang w:val="es-ES"/>
        </w:rPr>
        <w:t xml:space="preserve">Huntley et al. </w:t>
      </w:r>
      <w:r w:rsidRPr="00297145">
        <w:rPr>
          <w:rFonts w:eastAsia="Arial"/>
          <w:i/>
          <w:iCs/>
          <w:lang w:val="es-ES"/>
        </w:rPr>
        <w:t>BMC Psychology, 10</w:t>
      </w:r>
      <w:r w:rsidRPr="00297145">
        <w:rPr>
          <w:rFonts w:eastAsia="Arial"/>
          <w:lang w:val="es-ES"/>
        </w:rPr>
        <w:t xml:space="preserve">(6), 1-7. </w:t>
      </w:r>
      <w:hyperlink r:id="rId31">
        <w:r w:rsidRPr="00297145">
          <w:rPr>
            <w:rStyle w:val="Hyperlink"/>
            <w:rFonts w:eastAsia="Arial"/>
          </w:rPr>
          <w:t>https://doi.org/10.1186/s40359-021-00710-7</w:t>
        </w:r>
      </w:hyperlink>
      <w:bookmarkStart w:id="0" w:name="_heading=h.30j0zll" w:colFirst="0" w:colLast="0"/>
      <w:bookmarkEnd w:id="0"/>
    </w:p>
    <w:p w14:paraId="418EA82F" w14:textId="77777777" w:rsidR="00E6641C" w:rsidRPr="00297145" w:rsidRDefault="00E6641C" w:rsidP="00E6641C">
      <w:pPr>
        <w:spacing w:line="360" w:lineRule="auto"/>
        <w:ind w:left="426" w:hanging="426"/>
        <w:jc w:val="both"/>
        <w:rPr>
          <w:rFonts w:eastAsia="Arial"/>
          <w:lang w:val="es-ES"/>
        </w:rPr>
      </w:pPr>
      <w:r w:rsidRPr="00297145">
        <w:rPr>
          <w:rFonts w:eastAsia="Arial"/>
        </w:rPr>
        <w:t xml:space="preserve">Krispenz, A., Gort, C., Schültke, L., &amp; Dickhäuser, O. (2019). How to reduce test anxiety and academic procrastination through inquiry of cognitive appraisals: A pilot study investigating the role of academic self-efficacy. </w:t>
      </w:r>
      <w:r w:rsidRPr="00297145">
        <w:rPr>
          <w:rFonts w:eastAsia="Arial"/>
          <w:i/>
          <w:iCs/>
          <w:lang w:val="es-ES"/>
        </w:rPr>
        <w:t>Frontiers in Psychology, 20</w:t>
      </w:r>
      <w:r w:rsidRPr="00297145">
        <w:rPr>
          <w:rFonts w:eastAsia="Arial"/>
          <w:lang w:val="es-ES"/>
        </w:rPr>
        <w:t xml:space="preserve">(10), 1917. </w:t>
      </w:r>
      <w:hyperlink r:id="rId32">
        <w:r w:rsidRPr="00297145">
          <w:rPr>
            <w:rStyle w:val="Hyperlink"/>
            <w:rFonts w:eastAsia="Arial"/>
            <w:lang w:val="es-ES"/>
          </w:rPr>
          <w:t>https://doi.org/10.3389/fpsyg.2019.01917</w:t>
        </w:r>
      </w:hyperlink>
    </w:p>
    <w:p w14:paraId="18D6F3F6" w14:textId="77777777" w:rsidR="00E6641C" w:rsidRPr="00297145" w:rsidRDefault="00E6641C" w:rsidP="00E6641C">
      <w:pPr>
        <w:spacing w:line="360" w:lineRule="auto"/>
        <w:ind w:left="284" w:hanging="284"/>
        <w:jc w:val="both"/>
        <w:rPr>
          <w:rFonts w:eastAsia="Arial"/>
          <w:lang w:val="es-ES"/>
        </w:rPr>
      </w:pPr>
      <w:r w:rsidRPr="00297145">
        <w:rPr>
          <w:rFonts w:eastAsia="Arial"/>
          <w:lang w:val="es-ES"/>
        </w:rPr>
        <w:t xml:space="preserve">Lay, C., &amp; Schouwenburg, H. (1993). Trait Procrastination, Time Management, and Academic Behavior. </w:t>
      </w:r>
      <w:r w:rsidRPr="00297145">
        <w:rPr>
          <w:rFonts w:eastAsia="Arial"/>
          <w:i/>
          <w:iCs/>
          <w:lang w:val="es-ES"/>
        </w:rPr>
        <w:t>Journal of Social Behavior and Personality, 8</w:t>
      </w:r>
      <w:r w:rsidRPr="00297145">
        <w:rPr>
          <w:rFonts w:eastAsia="Arial"/>
          <w:lang w:val="es-ES"/>
        </w:rPr>
        <w:t xml:space="preserve">, 647-662. </w:t>
      </w:r>
      <w:hyperlink r:id="rId33">
        <w:r w:rsidRPr="00297145">
          <w:rPr>
            <w:rStyle w:val="Hyperlink"/>
            <w:rFonts w:eastAsia="Arial"/>
            <w:lang w:val="es-ES"/>
          </w:rPr>
          <w:t>https://www.researchgate.net/publication/209836122</w:t>
        </w:r>
      </w:hyperlink>
    </w:p>
    <w:p w14:paraId="0959D287" w14:textId="77777777" w:rsidR="00E6641C" w:rsidRPr="00297145" w:rsidRDefault="00E6641C" w:rsidP="00E6641C">
      <w:pPr>
        <w:spacing w:line="360" w:lineRule="auto"/>
        <w:ind w:left="284" w:hanging="284"/>
        <w:jc w:val="both"/>
        <w:rPr>
          <w:rFonts w:eastAsia="Arial"/>
          <w:lang w:val="es-ES"/>
        </w:rPr>
      </w:pPr>
      <w:r w:rsidRPr="00297145">
        <w:rPr>
          <w:rFonts w:eastAsia="Arial"/>
          <w:lang w:val="es-ES"/>
        </w:rPr>
        <w:t>Maier, A., Schaitz, C., Kröner, J., Berger, A., Keller, F., Beschoner, P., ... &amp; Sosic-Vasic, Z. (2021). The association between test anxiety, self-efficacy, and mental images among university students: Results from an online survey.</w:t>
      </w:r>
      <w:r w:rsidRPr="00297145">
        <w:rPr>
          <w:rFonts w:eastAsia="Arial"/>
          <w:i/>
          <w:iCs/>
          <w:lang w:val="es-ES"/>
        </w:rPr>
        <w:t xml:space="preserve"> Frontiers in psychiatry</w:t>
      </w:r>
      <w:r w:rsidRPr="00297145">
        <w:rPr>
          <w:rFonts w:eastAsia="Arial"/>
          <w:lang w:val="es-ES"/>
        </w:rPr>
        <w:t xml:space="preserve">, 12, 618108. </w:t>
      </w:r>
      <w:hyperlink r:id="rId34">
        <w:r w:rsidRPr="00297145">
          <w:rPr>
            <w:rStyle w:val="Hyperlink"/>
            <w:rFonts w:eastAsia="Arial"/>
            <w:lang w:val="es-ES"/>
          </w:rPr>
          <w:t>https://doi.org/10.3389/fpsyt.2021.618108</w:t>
        </w:r>
      </w:hyperlink>
    </w:p>
    <w:p w14:paraId="55EE3452" w14:textId="77777777" w:rsidR="00E6641C" w:rsidRPr="00297145" w:rsidRDefault="00E6641C" w:rsidP="00E6641C">
      <w:pPr>
        <w:spacing w:line="360" w:lineRule="auto"/>
        <w:ind w:left="284" w:hanging="284"/>
        <w:jc w:val="both"/>
        <w:rPr>
          <w:rFonts w:eastAsia="Arial"/>
        </w:rPr>
      </w:pPr>
      <w:r w:rsidRPr="00297145">
        <w:rPr>
          <w:rFonts w:eastAsia="Arial"/>
          <w:lang w:val="es-ES"/>
        </w:rPr>
        <w:lastRenderedPageBreak/>
        <w:t xml:space="preserve">Maier, A., Schaitz, C., Kröner, J., Connemann, B., &amp; Sosic-Vasic, Z. (2020). Imagery rescripting: exploratory evaluation of a short intervention to reduce test anxiety in university students. </w:t>
      </w:r>
      <w:r w:rsidRPr="00297145">
        <w:rPr>
          <w:rFonts w:eastAsia="Arial"/>
          <w:i/>
          <w:iCs/>
        </w:rPr>
        <w:t>Frontiers in psychiatry</w:t>
      </w:r>
      <w:r w:rsidRPr="00297145">
        <w:rPr>
          <w:rFonts w:eastAsia="Arial"/>
        </w:rPr>
        <w:t xml:space="preserve">, 11, 84. </w:t>
      </w:r>
      <w:hyperlink r:id="rId35">
        <w:r w:rsidRPr="00297145">
          <w:rPr>
            <w:rStyle w:val="Hyperlink"/>
            <w:rFonts w:eastAsia="Arial"/>
          </w:rPr>
          <w:t>https://doi.org/10.3389/fpsyt.2020.00084</w:t>
        </w:r>
      </w:hyperlink>
    </w:p>
    <w:p w14:paraId="2E5A1F3B" w14:textId="77777777" w:rsidR="00E6641C" w:rsidRPr="00297145" w:rsidRDefault="00E6641C" w:rsidP="00E6641C">
      <w:pPr>
        <w:spacing w:line="360" w:lineRule="auto"/>
        <w:ind w:left="284" w:hanging="284"/>
        <w:jc w:val="both"/>
        <w:rPr>
          <w:rFonts w:eastAsia="Arial"/>
        </w:rPr>
      </w:pPr>
      <w:r w:rsidRPr="00297145">
        <w:rPr>
          <w:rFonts w:eastAsia="Arial"/>
        </w:rPr>
        <w:t xml:space="preserve">Medeiros, E. D., Silva, P. G. N., Medeiros, P. C. B., Sousa, G. M., Nunes, C. C., Fonseca, P. N., &amp; Gomes, E. B. (2020). Cognitive Test Anxiety Scale: Propriedades psicométricas no contexto brasileiro. </w:t>
      </w:r>
      <w:r w:rsidRPr="00297145">
        <w:rPr>
          <w:rFonts w:eastAsia="Arial"/>
          <w:i/>
          <w:iCs/>
        </w:rPr>
        <w:t>Salud &amp; Sociedad, 11</w:t>
      </w:r>
      <w:r w:rsidRPr="00297145">
        <w:rPr>
          <w:rFonts w:eastAsia="Arial"/>
        </w:rPr>
        <w:t xml:space="preserve">, e3923. </w:t>
      </w:r>
      <w:hyperlink r:id="rId36">
        <w:r w:rsidRPr="00297145">
          <w:rPr>
            <w:rStyle w:val="Hyperlink"/>
            <w:rFonts w:eastAsia="Arial"/>
          </w:rPr>
          <w:t>https://doi.org/10.22199/issn.0718-7475-2020-0004</w:t>
        </w:r>
      </w:hyperlink>
    </w:p>
    <w:p w14:paraId="526CF46C" w14:textId="77777777" w:rsidR="00E6641C" w:rsidRPr="00297145" w:rsidRDefault="00E6641C" w:rsidP="00E6641C">
      <w:pPr>
        <w:spacing w:line="360" w:lineRule="auto"/>
        <w:ind w:left="284" w:hanging="284"/>
        <w:jc w:val="both"/>
        <w:rPr>
          <w:rFonts w:eastAsia="Arial"/>
          <w:lang w:val="es-ES"/>
        </w:rPr>
      </w:pPr>
      <w:r w:rsidRPr="00297145">
        <w:rPr>
          <w:rFonts w:eastAsia="Arial"/>
        </w:rPr>
        <w:t xml:space="preserve">Pereira, L. D. C., &amp; Ramos, F. P. (2021). Procrastinação acadêmica em estudantes universitários: uma revisão sistemática da literatura. </w:t>
      </w:r>
      <w:r w:rsidRPr="00297145">
        <w:rPr>
          <w:rFonts w:eastAsia="Arial"/>
          <w:i/>
          <w:iCs/>
          <w:lang w:val="es-ES"/>
        </w:rPr>
        <w:t>Psicologia Escolar e Educacional</w:t>
      </w:r>
      <w:r w:rsidRPr="00297145">
        <w:rPr>
          <w:rFonts w:eastAsia="Arial"/>
          <w:lang w:val="es-ES"/>
        </w:rPr>
        <w:t xml:space="preserve">, 25, 1-6. </w:t>
      </w:r>
      <w:hyperlink r:id="rId37">
        <w:r w:rsidRPr="00297145">
          <w:rPr>
            <w:rStyle w:val="Hyperlink"/>
            <w:rFonts w:eastAsia="Arial"/>
            <w:lang w:val="es-ES"/>
          </w:rPr>
          <w:t>https://doi.org/10.1590/2175-35392021223504</w:t>
        </w:r>
      </w:hyperlink>
    </w:p>
    <w:p w14:paraId="38E9B2D8" w14:textId="77777777" w:rsidR="00E6641C" w:rsidRPr="00297145" w:rsidRDefault="00E6641C" w:rsidP="00E6641C">
      <w:pPr>
        <w:spacing w:line="360" w:lineRule="auto"/>
        <w:ind w:left="284" w:hanging="284"/>
        <w:jc w:val="both"/>
        <w:rPr>
          <w:rFonts w:eastAsia="Arial"/>
          <w:lang w:val="es-ES"/>
        </w:rPr>
      </w:pPr>
      <w:r w:rsidRPr="00297145">
        <w:rPr>
          <w:rFonts w:eastAsia="Arial"/>
          <w:lang w:val="es-ES"/>
        </w:rPr>
        <w:t xml:space="preserve">Porras, M. M. &amp; Ortega, F. H. (2021). Procrastinación, ansiedad ante los exámenes y rendimiento académico en estudiantes universitarios. </w:t>
      </w:r>
      <w:r w:rsidRPr="00297145">
        <w:rPr>
          <w:rFonts w:eastAsia="Arial"/>
          <w:bCs/>
          <w:i/>
          <w:iCs/>
          <w:lang w:val="es-ES"/>
        </w:rPr>
        <w:t>Interdisciplinaria, 38</w:t>
      </w:r>
      <w:r w:rsidRPr="00297145">
        <w:rPr>
          <w:rFonts w:eastAsia="Arial"/>
          <w:lang w:val="es-ES"/>
        </w:rPr>
        <w:t xml:space="preserve">, 242-258. </w:t>
      </w:r>
      <w:hyperlink r:id="rId38">
        <w:r w:rsidRPr="00297145">
          <w:rPr>
            <w:rStyle w:val="Hyperlink"/>
            <w:rFonts w:eastAsia="Arial"/>
            <w:lang w:val="es-ES"/>
          </w:rPr>
          <w:t>https://www.redalyc.org/articulo.oa?id=18066677016</w:t>
        </w:r>
      </w:hyperlink>
    </w:p>
    <w:p w14:paraId="787ED99D" w14:textId="77777777" w:rsidR="00E6641C" w:rsidRPr="00297145" w:rsidRDefault="00E6641C" w:rsidP="00E6641C">
      <w:pPr>
        <w:spacing w:line="360" w:lineRule="auto"/>
        <w:ind w:left="284" w:hanging="284"/>
        <w:jc w:val="both"/>
        <w:rPr>
          <w:rFonts w:eastAsia="Arial"/>
          <w:lang w:val="es-ES"/>
        </w:rPr>
      </w:pPr>
      <w:r w:rsidRPr="00297145">
        <w:rPr>
          <w:rFonts w:eastAsia="Arial"/>
          <w:lang w:val="es-ES"/>
        </w:rPr>
        <w:t>Rahimi, S., Hall, N. C., &amp; Sticca, F. (2023). Understanding academic procrastination: A longitudinal analysis of procrastination and emotions in undergraduate and graduate students.</w:t>
      </w:r>
      <w:r w:rsidRPr="00297145">
        <w:rPr>
          <w:rFonts w:eastAsia="Arial"/>
          <w:i/>
          <w:iCs/>
          <w:lang w:val="es-ES"/>
        </w:rPr>
        <w:t xml:space="preserve"> Motivation and Emotion</w:t>
      </w:r>
      <w:r w:rsidRPr="00297145">
        <w:rPr>
          <w:rFonts w:eastAsia="Arial"/>
          <w:lang w:val="es-ES"/>
        </w:rPr>
        <w:t xml:space="preserve">, 1-21. </w:t>
      </w:r>
      <w:hyperlink r:id="rId39">
        <w:r w:rsidRPr="00297145">
          <w:rPr>
            <w:rStyle w:val="Hyperlink"/>
            <w:rFonts w:eastAsia="Arial"/>
            <w:lang w:val="es-ES"/>
          </w:rPr>
          <w:t>https://doi.org/10.1007/s11031-023-10010-9</w:t>
        </w:r>
      </w:hyperlink>
    </w:p>
    <w:p w14:paraId="356F5160" w14:textId="77777777" w:rsidR="00E6641C" w:rsidRPr="00297145" w:rsidRDefault="00E6641C" w:rsidP="00E6641C">
      <w:pPr>
        <w:spacing w:line="360" w:lineRule="auto"/>
        <w:ind w:left="284" w:hanging="284"/>
        <w:jc w:val="both"/>
        <w:rPr>
          <w:rFonts w:eastAsia="Arial"/>
          <w:lang w:val="es-ES"/>
        </w:rPr>
      </w:pPr>
      <w:r w:rsidRPr="00297145">
        <w:rPr>
          <w:rFonts w:eastAsia="Arial"/>
          <w:lang w:val="es-ES"/>
        </w:rPr>
        <w:t>Raufelder, D., Regner, N., &amp; Wood, M. A. (2018). Test anxiety and learned helplessness is moderated by student perceptions of teacher motivational support. Educational Psychology, 38(1), 54-74. https://doi.org/10.1080/01443410.2017.1304532</w:t>
      </w:r>
    </w:p>
    <w:p w14:paraId="0A9194BD"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t xml:space="preserve">Reali, F., Jiménez-Leal, W., Maldonado-Carreño, C., Devine, A., &amp; Szücs, D. (2016). </w:t>
      </w:r>
      <w:r w:rsidRPr="00297145">
        <w:rPr>
          <w:rFonts w:eastAsia="Arial"/>
        </w:rPr>
        <w:t xml:space="preserve">Examinando a ligação entre a ansiedade matemática e o desempenho matemático em estudantes colombianos. </w:t>
      </w:r>
      <w:r w:rsidRPr="00297145">
        <w:rPr>
          <w:rFonts w:eastAsia="Arial"/>
          <w:i/>
          <w:iCs/>
          <w:lang w:val="es-ES"/>
        </w:rPr>
        <w:t>Revista Colombiana de Psicología, 25</w:t>
      </w:r>
      <w:r w:rsidRPr="00297145">
        <w:rPr>
          <w:rFonts w:eastAsia="Arial"/>
          <w:lang w:val="es-ES"/>
        </w:rPr>
        <w:t xml:space="preserve">(2), 369-379. https://doi.org/10.15446/rcp.v25n2.54532 </w:t>
      </w:r>
    </w:p>
    <w:p w14:paraId="0E03C75E" w14:textId="77777777" w:rsidR="00E6641C" w:rsidRPr="00297145" w:rsidRDefault="00E6641C" w:rsidP="00E6641C">
      <w:pPr>
        <w:spacing w:line="360" w:lineRule="auto"/>
        <w:ind w:left="284" w:hanging="284"/>
        <w:jc w:val="both"/>
        <w:rPr>
          <w:rFonts w:eastAsia="Arial"/>
          <w:lang w:val="es-ES"/>
        </w:rPr>
      </w:pPr>
      <w:r w:rsidRPr="00297145">
        <w:rPr>
          <w:rFonts w:eastAsia="Arial"/>
          <w:lang w:val="es-ES"/>
        </w:rPr>
        <w:t>Rozental, A., Bennett, S., Forsström, D., Ebert, D. D., Shafran, R., Andersson, G., &amp; Carlbring, P. (2018). Targeting procrastination using psychological treatments: a systematic review and meta-analysis. </w:t>
      </w:r>
      <w:r w:rsidRPr="00297145">
        <w:rPr>
          <w:rFonts w:eastAsia="Arial"/>
          <w:i/>
          <w:iCs/>
          <w:lang w:val="es-ES"/>
        </w:rPr>
        <w:t>Frontiers in Psychology. 9</w:t>
      </w:r>
      <w:r w:rsidRPr="00297145">
        <w:rPr>
          <w:rFonts w:eastAsia="Arial"/>
          <w:lang w:val="es-ES"/>
        </w:rPr>
        <w:t xml:space="preserve">, 1588. </w:t>
      </w:r>
      <w:hyperlink r:id="rId40">
        <w:r w:rsidRPr="00297145">
          <w:rPr>
            <w:rStyle w:val="Hyperlink"/>
            <w:rFonts w:eastAsia="Arial"/>
            <w:lang w:val="es-ES"/>
          </w:rPr>
          <w:t>https://doi.org/10.3389/fpsychg.2018.01588</w:t>
        </w:r>
      </w:hyperlink>
    </w:p>
    <w:p w14:paraId="4204172C"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t>Rozental, A., Bennett, S., Forsström, D., Ebert, D. D., Shafran, R., Andersson, G., et al. (2018). Targeting procrastination using psychological treatments: a systematic review and meta-analysis. </w:t>
      </w:r>
      <w:r w:rsidRPr="00297145">
        <w:rPr>
          <w:rFonts w:eastAsia="Arial"/>
          <w:i/>
          <w:iCs/>
          <w:lang w:val="es-ES"/>
        </w:rPr>
        <w:t>Frontiers in Psychology, 9</w:t>
      </w:r>
      <w:r w:rsidRPr="00297145">
        <w:rPr>
          <w:rFonts w:eastAsia="Arial"/>
          <w:lang w:val="es-ES"/>
        </w:rPr>
        <w:t>, 1588. https://doi.org/10.3389/fpsychg.2018.01588</w:t>
      </w:r>
    </w:p>
    <w:p w14:paraId="31F9CB67" w14:textId="77777777" w:rsidR="00E6641C" w:rsidRPr="00297145" w:rsidRDefault="00E6641C" w:rsidP="00E6641C">
      <w:pPr>
        <w:spacing w:line="360" w:lineRule="auto"/>
        <w:ind w:left="426" w:hanging="426"/>
        <w:jc w:val="both"/>
        <w:rPr>
          <w:rFonts w:eastAsia="Arial"/>
        </w:rPr>
      </w:pPr>
      <w:r w:rsidRPr="00297145">
        <w:rPr>
          <w:rFonts w:eastAsia="Arial"/>
          <w:lang w:val="es-ES"/>
        </w:rPr>
        <w:t xml:space="preserve">Sampaio, R. K. N., &amp; Bariani, I. C. D. (2011). </w:t>
      </w:r>
      <w:r w:rsidRPr="00297145">
        <w:rPr>
          <w:rFonts w:eastAsia="Arial"/>
        </w:rPr>
        <w:t xml:space="preserve">Procrastinação acadêmica: um estudo exploratório. </w:t>
      </w:r>
      <w:r w:rsidRPr="00297145">
        <w:rPr>
          <w:rFonts w:eastAsia="Arial"/>
          <w:i/>
          <w:iCs/>
        </w:rPr>
        <w:t>Estudos Interdisciplinares em Psicologia</w:t>
      </w:r>
      <w:r w:rsidRPr="00297145">
        <w:rPr>
          <w:rFonts w:eastAsia="Arial"/>
        </w:rPr>
        <w:t xml:space="preserve">, 2(2), 242-262. </w:t>
      </w:r>
      <w:hyperlink r:id="rId41">
        <w:r w:rsidRPr="00297145">
          <w:rPr>
            <w:rStyle w:val="Hyperlink"/>
            <w:rFonts w:eastAsia="Arial"/>
          </w:rPr>
          <w:t>https://doi.org/10.5433/2236-6407.2011v2n2p242</w:t>
        </w:r>
      </w:hyperlink>
    </w:p>
    <w:p w14:paraId="56FCEEC8" w14:textId="77777777" w:rsidR="00E6641C" w:rsidRPr="00297145" w:rsidRDefault="00E6641C" w:rsidP="00E6641C">
      <w:pPr>
        <w:spacing w:line="360" w:lineRule="auto"/>
        <w:ind w:left="426" w:hanging="426"/>
        <w:jc w:val="both"/>
        <w:rPr>
          <w:rFonts w:eastAsia="Arial"/>
        </w:rPr>
      </w:pPr>
      <w:r w:rsidRPr="00297145">
        <w:rPr>
          <w:rFonts w:eastAsia="Arial"/>
        </w:rPr>
        <w:lastRenderedPageBreak/>
        <w:t xml:space="preserve">Schillinger, F. L., Mosbacher, J. A., Brunner, C., Vogel, S. E., Grabner, R. H. (2021). </w:t>
      </w:r>
      <w:r w:rsidRPr="00297145">
        <w:rPr>
          <w:rFonts w:eastAsia="Arial"/>
          <w:lang w:val="es-ES"/>
        </w:rPr>
        <w:t xml:space="preserve">Revisiting the role of worries in explaining the </w:t>
      </w:r>
      <w:proofErr w:type="gramStart"/>
      <w:r w:rsidRPr="00297145">
        <w:rPr>
          <w:rFonts w:eastAsia="Arial"/>
          <w:lang w:val="es-ES"/>
        </w:rPr>
        <w:t>link</w:t>
      </w:r>
      <w:proofErr w:type="gramEnd"/>
      <w:r w:rsidRPr="00297145">
        <w:rPr>
          <w:rFonts w:eastAsia="Arial"/>
          <w:lang w:val="es-ES"/>
        </w:rPr>
        <w:t xml:space="preserve"> between test anxiety and test performance. </w:t>
      </w:r>
      <w:r w:rsidRPr="00297145">
        <w:rPr>
          <w:rFonts w:eastAsia="Arial"/>
          <w:i/>
        </w:rPr>
        <w:t>Educational Psychology Review, 33</w:t>
      </w:r>
      <w:r w:rsidRPr="00297145">
        <w:rPr>
          <w:rFonts w:eastAsia="Arial"/>
        </w:rPr>
        <w:t xml:space="preserve">(4), 1887-1906. </w:t>
      </w:r>
      <w:hyperlink r:id="rId42" w:history="1">
        <w:r w:rsidRPr="00297145">
          <w:rPr>
            <w:rStyle w:val="Hyperlink"/>
            <w:rFonts w:eastAsia="Arial"/>
          </w:rPr>
          <w:t>https://doi.org/10.1007/s10648-021-09601-0</w:t>
        </w:r>
      </w:hyperlink>
    </w:p>
    <w:p w14:paraId="4061499F" w14:textId="77777777" w:rsidR="00E6641C" w:rsidRPr="00297145" w:rsidRDefault="00E6641C" w:rsidP="00E6641C">
      <w:pPr>
        <w:spacing w:line="360" w:lineRule="auto"/>
        <w:ind w:left="284" w:hanging="284"/>
        <w:jc w:val="both"/>
        <w:rPr>
          <w:rStyle w:val="Hyperlink"/>
          <w:rFonts w:eastAsia="Arial"/>
        </w:rPr>
      </w:pPr>
      <w:r w:rsidRPr="00297145">
        <w:rPr>
          <w:rFonts w:eastAsia="Arial"/>
        </w:rPr>
        <w:t xml:space="preserve">Silva, P. G. N., Araújo, R. S., Araújo, G. R., Alves, M. E. S., Medeiros, P. C. B., Fonseca, P. N., Medeiros, E. D. (2022). Ansiedade cognitiva de provas em universitários do Brasil: o papel das variáveis sociodemográficas e traços de personalidade. </w:t>
      </w:r>
      <w:r w:rsidRPr="00297145">
        <w:rPr>
          <w:rFonts w:eastAsia="Arial"/>
          <w:bCs/>
          <w:i/>
          <w:iCs/>
        </w:rPr>
        <w:t>Revista Portuguesa de Investigação Comportamental e Social</w:t>
      </w:r>
      <w:r w:rsidRPr="00297145">
        <w:rPr>
          <w:rFonts w:eastAsia="Arial"/>
          <w:i/>
          <w:iCs/>
        </w:rPr>
        <w:t>, 8</w:t>
      </w:r>
      <w:r w:rsidRPr="00297145">
        <w:rPr>
          <w:rFonts w:eastAsia="Arial"/>
        </w:rPr>
        <w:t xml:space="preserve">(1), 1-17, </w:t>
      </w:r>
      <w:hyperlink r:id="rId43">
        <w:r w:rsidRPr="00297145">
          <w:rPr>
            <w:rStyle w:val="Hyperlink"/>
            <w:rFonts w:eastAsia="Arial"/>
          </w:rPr>
          <w:t>https://doi.org/10.31211/rpics.2022.8.1.246</w:t>
        </w:r>
      </w:hyperlink>
    </w:p>
    <w:p w14:paraId="6F521FDE" w14:textId="77777777" w:rsidR="00E6641C" w:rsidRPr="00297145" w:rsidRDefault="00E6641C" w:rsidP="00E6641C">
      <w:pPr>
        <w:spacing w:line="360" w:lineRule="auto"/>
        <w:ind w:left="284" w:hanging="284"/>
        <w:jc w:val="both"/>
        <w:rPr>
          <w:rFonts w:eastAsia="Arial"/>
          <w:lang w:val="es-ES"/>
        </w:rPr>
      </w:pPr>
      <w:r w:rsidRPr="00297145">
        <w:rPr>
          <w:rFonts w:eastAsia="Arial"/>
        </w:rPr>
        <w:t>Silva, P. G. N., Machado, M. de O. S, Oliveira, L. B. S. de, &amp; Fonsêca, P. N. (2020). Motivação para leitura e variáveis sociodemográficas como preditoras da procrastinação acadêmica</w:t>
      </w:r>
      <w:r w:rsidRPr="00297145">
        <w:rPr>
          <w:rFonts w:eastAsia="Arial"/>
          <w:i/>
          <w:iCs/>
        </w:rPr>
        <w:t xml:space="preserve">. </w:t>
      </w:r>
      <w:r w:rsidRPr="00297145">
        <w:rPr>
          <w:rFonts w:eastAsia="Arial"/>
          <w:i/>
          <w:iCs/>
          <w:lang w:val="es-ES"/>
        </w:rPr>
        <w:t>Psicología, Conocimiento y Sociedad, 10</w:t>
      </w:r>
      <w:r w:rsidRPr="00297145">
        <w:rPr>
          <w:rFonts w:eastAsia="Arial"/>
          <w:lang w:val="es-ES"/>
        </w:rPr>
        <w:t>(1), 139-159. https://dx.doi.org/10.26864/pcs.v10.n1.7</w:t>
      </w:r>
    </w:p>
    <w:p w14:paraId="3C9D6FF3" w14:textId="77777777" w:rsidR="00E6641C" w:rsidRPr="00297145" w:rsidRDefault="00E6641C" w:rsidP="00E6641C">
      <w:pPr>
        <w:spacing w:line="360" w:lineRule="auto"/>
        <w:ind w:left="284" w:hanging="284"/>
        <w:jc w:val="both"/>
        <w:rPr>
          <w:rFonts w:eastAsia="Arial"/>
        </w:rPr>
      </w:pPr>
      <w:r w:rsidRPr="00297145">
        <w:rPr>
          <w:rFonts w:eastAsia="Arial"/>
          <w:lang w:val="es-ES"/>
        </w:rPr>
        <w:t xml:space="preserve">Solomon, L. J., &amp; Rothblum, E. D. (1984). </w:t>
      </w:r>
      <w:r w:rsidRPr="00297145">
        <w:rPr>
          <w:rFonts w:eastAsia="Arial"/>
        </w:rPr>
        <w:t xml:space="preserve">Academic procrastination: Frequency and cognitive-behavioral correlates. </w:t>
      </w:r>
      <w:r w:rsidRPr="00297145">
        <w:rPr>
          <w:rFonts w:eastAsia="Arial"/>
          <w:i/>
          <w:iCs/>
        </w:rPr>
        <w:t>Journal of Counseling Psychology, 31</w:t>
      </w:r>
      <w:r w:rsidRPr="00297145">
        <w:rPr>
          <w:rFonts w:eastAsia="Arial"/>
        </w:rPr>
        <w:t>(4), 503–509. https://doi.org/10.1037/0022-0167.31.4.503</w:t>
      </w:r>
    </w:p>
    <w:p w14:paraId="7EDC911E" w14:textId="77777777" w:rsidR="00E6641C" w:rsidRPr="00297145" w:rsidRDefault="00E6641C" w:rsidP="00E6641C">
      <w:pPr>
        <w:spacing w:line="360" w:lineRule="auto"/>
        <w:ind w:left="426" w:hanging="426"/>
        <w:jc w:val="both"/>
        <w:rPr>
          <w:rFonts w:eastAsia="Arial"/>
        </w:rPr>
      </w:pPr>
      <w:r w:rsidRPr="00297145">
        <w:rPr>
          <w:rFonts w:eastAsia="Arial"/>
        </w:rPr>
        <w:t xml:space="preserve">Somers, P. (2008). Gênero e outras variáveis que influenciam na procrastinação acadêmica. </w:t>
      </w:r>
      <w:r w:rsidRPr="00297145">
        <w:rPr>
          <w:rFonts w:eastAsia="Arial"/>
          <w:bCs/>
          <w:i/>
          <w:iCs/>
        </w:rPr>
        <w:t>Educação, 31</w:t>
      </w:r>
      <w:r w:rsidRPr="00297145">
        <w:rPr>
          <w:rFonts w:eastAsia="Arial"/>
        </w:rPr>
        <w:t xml:space="preserve">(1), 54-60. </w:t>
      </w:r>
      <w:hyperlink r:id="rId44">
        <w:r w:rsidRPr="00297145">
          <w:rPr>
            <w:rStyle w:val="Hyperlink"/>
            <w:rFonts w:eastAsia="Arial"/>
          </w:rPr>
          <w:t>http://educa.fcc.org.br/pdf/reveduc/v31n01/v31n01a08.pdf</w:t>
        </w:r>
      </w:hyperlink>
    </w:p>
    <w:p w14:paraId="6EB835EA" w14:textId="77777777" w:rsidR="00E6641C" w:rsidRPr="00297145" w:rsidRDefault="00E6641C" w:rsidP="00E6641C">
      <w:pPr>
        <w:spacing w:line="360" w:lineRule="auto"/>
        <w:ind w:left="426" w:hanging="426"/>
        <w:jc w:val="both"/>
        <w:rPr>
          <w:rFonts w:eastAsia="Arial"/>
          <w:lang w:val="es-ES"/>
        </w:rPr>
      </w:pPr>
      <w:r w:rsidRPr="00297145">
        <w:rPr>
          <w:rFonts w:eastAsia="Arial"/>
        </w:rPr>
        <w:t xml:space="preserve">Steel, P. (2007). The nature of procrastination: a meta-analytic and theoretical review of quintessential self-regulatory failure. </w:t>
      </w:r>
      <w:r w:rsidRPr="00297145">
        <w:rPr>
          <w:rFonts w:eastAsia="Arial"/>
          <w:i/>
          <w:lang w:val="es-ES"/>
        </w:rPr>
        <w:t>Psychological bulletin</w:t>
      </w:r>
      <w:r w:rsidRPr="00297145">
        <w:rPr>
          <w:rFonts w:eastAsia="Arial"/>
          <w:lang w:val="es-ES"/>
        </w:rPr>
        <w:t xml:space="preserve">, 133(1), 65-94. </w:t>
      </w:r>
      <w:hyperlink r:id="rId45">
        <w:r w:rsidRPr="00297145">
          <w:rPr>
            <w:rStyle w:val="Hyperlink"/>
            <w:rFonts w:eastAsia="Arial"/>
            <w:lang w:val="es-ES"/>
          </w:rPr>
          <w:t>https://doi.org/10.1037/0033-2909.133.1.65</w:t>
        </w:r>
      </w:hyperlink>
    </w:p>
    <w:p w14:paraId="2BF94254"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t xml:space="preserve">Tan, S. H., &amp; Pang, J. S. (2023). Test anxiety: An Integration of the test anxiety and achievement motivation research traditions. </w:t>
      </w:r>
      <w:r w:rsidRPr="00297145">
        <w:rPr>
          <w:rFonts w:eastAsia="Arial"/>
          <w:i/>
          <w:iCs/>
          <w:lang w:val="es-ES"/>
        </w:rPr>
        <w:t>Educational Psychology Review, 35</w:t>
      </w:r>
      <w:r w:rsidRPr="00297145">
        <w:rPr>
          <w:rFonts w:eastAsia="Arial"/>
          <w:lang w:val="es-ES"/>
        </w:rPr>
        <w:t xml:space="preserve">(13), 0123456789. </w:t>
      </w:r>
      <w:hyperlink r:id="rId46">
        <w:r w:rsidRPr="00297145">
          <w:rPr>
            <w:rStyle w:val="Hyperlink"/>
            <w:rFonts w:eastAsia="Arial"/>
            <w:lang w:val="es-ES"/>
          </w:rPr>
          <w:t>https://doi.org/10.1007/s10648-023-09737-1</w:t>
        </w:r>
      </w:hyperlink>
    </w:p>
    <w:p w14:paraId="14724EC9"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t xml:space="preserve">Theobald, M., Breitwieser, J., &amp; Brod, G. (2022). Test Anxiety Does Not Predict Exam Performance When Knowledge Is Controlled For: Strong Evidence Against the Interference Hypothesis of Test Anxiety. </w:t>
      </w:r>
      <w:r w:rsidRPr="00297145">
        <w:rPr>
          <w:rFonts w:eastAsia="Arial"/>
          <w:i/>
          <w:lang w:val="es-ES"/>
        </w:rPr>
        <w:t>Psychological Science</w:t>
      </w:r>
      <w:r w:rsidRPr="00297145">
        <w:rPr>
          <w:rFonts w:eastAsia="Arial"/>
          <w:lang w:val="es-ES"/>
        </w:rPr>
        <w:t xml:space="preserve">, 33(12), 2073–2083. </w:t>
      </w:r>
      <w:hyperlink r:id="rId47" w:history="1">
        <w:r w:rsidRPr="00297145">
          <w:rPr>
            <w:rStyle w:val="Hyperlink"/>
            <w:rFonts w:eastAsia="Arial"/>
            <w:lang w:val="es-ES"/>
          </w:rPr>
          <w:t>https://doi.org/10.1177/09567976221119391</w:t>
        </w:r>
      </w:hyperlink>
    </w:p>
    <w:p w14:paraId="00452654"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t xml:space="preserve">Tuckman, B. W. (1991). The Development and Concurrent Validity of the Procrastination Scale. </w:t>
      </w:r>
      <w:r w:rsidRPr="00297145">
        <w:rPr>
          <w:rFonts w:eastAsia="Arial"/>
          <w:i/>
          <w:iCs/>
          <w:lang w:val="es-ES"/>
        </w:rPr>
        <w:t>Educational and Psychological Measurement, 51</w:t>
      </w:r>
      <w:r w:rsidRPr="00297145">
        <w:rPr>
          <w:rFonts w:eastAsia="Arial"/>
          <w:lang w:val="es-ES"/>
        </w:rPr>
        <w:t xml:space="preserve">, 473-480. </w:t>
      </w:r>
      <w:hyperlink r:id="rId48" w:history="1">
        <w:r w:rsidRPr="00297145">
          <w:rPr>
            <w:rStyle w:val="Hyperlink"/>
            <w:rFonts w:eastAsia="Arial"/>
            <w:lang w:val="es-ES"/>
          </w:rPr>
          <w:t>https://doi.org/10.1177/0013164491512022</w:t>
        </w:r>
      </w:hyperlink>
    </w:p>
    <w:p w14:paraId="77DC058E" w14:textId="77777777" w:rsidR="00E6641C" w:rsidRPr="00297145" w:rsidRDefault="00E6641C" w:rsidP="00E6641C">
      <w:pPr>
        <w:spacing w:line="360" w:lineRule="auto"/>
        <w:ind w:left="426" w:hanging="426"/>
        <w:jc w:val="both"/>
        <w:rPr>
          <w:rFonts w:eastAsia="Arial"/>
          <w:lang w:val="es-ES"/>
        </w:rPr>
      </w:pPr>
      <w:r w:rsidRPr="00297145">
        <w:rPr>
          <w:rFonts w:eastAsia="Arial"/>
          <w:lang w:val="es-ES"/>
        </w:rPr>
        <w:lastRenderedPageBreak/>
        <w:t xml:space="preserve">Van Eerde, W. (2003). A meta-analytically derived nomological network of procrastination. </w:t>
      </w:r>
      <w:r w:rsidRPr="00297145">
        <w:rPr>
          <w:rFonts w:eastAsia="Arial"/>
          <w:i/>
          <w:iCs/>
          <w:lang w:val="es-ES"/>
        </w:rPr>
        <w:t>Personality and individual differences, 35</w:t>
      </w:r>
      <w:r w:rsidRPr="00297145">
        <w:rPr>
          <w:rFonts w:eastAsia="Arial"/>
          <w:lang w:val="es-ES"/>
        </w:rPr>
        <w:t xml:space="preserve">(6), 1401-1418. </w:t>
      </w:r>
      <w:hyperlink r:id="rId49" w:history="1">
        <w:r w:rsidRPr="00297145">
          <w:rPr>
            <w:rStyle w:val="Hyperlink"/>
            <w:rFonts w:eastAsia="Arial"/>
            <w:lang w:val="es-ES"/>
          </w:rPr>
          <w:t>https://doi.org/10.1016/S0191-8869(02)00358-6</w:t>
        </w:r>
      </w:hyperlink>
    </w:p>
    <w:p w14:paraId="4ECE1CC3" w14:textId="77777777" w:rsidR="00E6641C" w:rsidRPr="00297145" w:rsidRDefault="00E6641C" w:rsidP="00E6641C">
      <w:pPr>
        <w:spacing w:line="360" w:lineRule="auto"/>
        <w:ind w:left="284" w:hanging="284"/>
        <w:jc w:val="both"/>
        <w:rPr>
          <w:rFonts w:eastAsia="Arial"/>
          <w:lang w:val="es-ES"/>
        </w:rPr>
      </w:pPr>
      <w:r w:rsidRPr="00297145">
        <w:rPr>
          <w:rFonts w:eastAsia="Arial"/>
          <w:lang w:val="es-ES"/>
        </w:rPr>
        <w:t xml:space="preserve">Yang, Z. (2021). Does procrastination always predict lower life satisfaction? A study on the moderation effect of self-regulation in China and the United Kingdom. </w:t>
      </w:r>
      <w:r w:rsidRPr="00297145">
        <w:rPr>
          <w:rFonts w:eastAsia="Arial"/>
          <w:i/>
          <w:iCs/>
          <w:lang w:val="es-ES"/>
        </w:rPr>
        <w:t xml:space="preserve">Frontiers in Psychology, 12. </w:t>
      </w:r>
      <w:hyperlink r:id="rId50" w:history="1">
        <w:r w:rsidRPr="00297145">
          <w:rPr>
            <w:rStyle w:val="Hyperlink"/>
            <w:shd w:val="clear" w:color="auto" w:fill="F7F7F7"/>
            <w:lang w:val="es-ES"/>
          </w:rPr>
          <w:t>https://doi.org/10.3389/fpsyg.2021.690838</w:t>
        </w:r>
      </w:hyperlink>
    </w:p>
    <w:p w14:paraId="54323696" w14:textId="77777777" w:rsidR="00E6641C" w:rsidRPr="00297145" w:rsidRDefault="00E6641C" w:rsidP="00E6641C">
      <w:pPr>
        <w:spacing w:line="360" w:lineRule="auto"/>
        <w:jc w:val="both"/>
        <w:rPr>
          <w:rFonts w:eastAsia="Arial"/>
          <w:b/>
          <w:lang w:val="es-ES"/>
        </w:rPr>
      </w:pPr>
    </w:p>
    <w:p w14:paraId="2E2DA350" w14:textId="77777777" w:rsidR="002B644E" w:rsidRPr="002B644E" w:rsidRDefault="002B644E" w:rsidP="00E6641C">
      <w:pPr>
        <w:pStyle w:val="Prrafocomn"/>
        <w:ind w:firstLine="0"/>
      </w:pPr>
    </w:p>
    <w:sectPr w:rsidR="002B644E" w:rsidRPr="002B644E" w:rsidSect="0059034C">
      <w:headerReference w:type="even" r:id="rId51"/>
      <w:headerReference w:type="default" r:id="rId52"/>
      <w:footerReference w:type="even"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BE09" w14:textId="77777777" w:rsidR="00F90ACD" w:rsidRDefault="00F90ACD" w:rsidP="00C413D4">
      <w:r>
        <w:separator/>
      </w:r>
    </w:p>
  </w:endnote>
  <w:endnote w:type="continuationSeparator" w:id="0">
    <w:p w14:paraId="6F3CB18B" w14:textId="77777777" w:rsidR="00F90ACD" w:rsidRDefault="00F90AC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543444E2"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3B66B543"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7B83" w14:textId="77777777" w:rsidR="00F90ACD" w:rsidRDefault="00F90ACD" w:rsidP="00C413D4">
      <w:r>
        <w:separator/>
      </w:r>
    </w:p>
  </w:footnote>
  <w:footnote w:type="continuationSeparator" w:id="0">
    <w:p w14:paraId="512A23C0" w14:textId="77777777" w:rsidR="00F90ACD" w:rsidRDefault="00F90ACD"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5ECE7128" w:rsidR="007C3C14" w:rsidRPr="00B02133" w:rsidRDefault="00B02133"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47EA8139"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847793323">
    <w:abstractNumId w:val="4"/>
  </w:num>
  <w:num w:numId="2" w16cid:durableId="1876236295">
    <w:abstractNumId w:val="5"/>
  </w:num>
  <w:num w:numId="3" w16cid:durableId="1751803688">
    <w:abstractNumId w:val="6"/>
  </w:num>
  <w:num w:numId="4" w16cid:durableId="1571236022">
    <w:abstractNumId w:val="7"/>
  </w:num>
  <w:num w:numId="5" w16cid:durableId="780078115">
    <w:abstractNumId w:val="9"/>
  </w:num>
  <w:num w:numId="6" w16cid:durableId="190655956">
    <w:abstractNumId w:val="0"/>
  </w:num>
  <w:num w:numId="7" w16cid:durableId="2130397841">
    <w:abstractNumId w:val="1"/>
  </w:num>
  <w:num w:numId="8" w16cid:durableId="138695514">
    <w:abstractNumId w:val="2"/>
  </w:num>
  <w:num w:numId="9" w16cid:durableId="166864831">
    <w:abstractNumId w:val="3"/>
  </w:num>
  <w:num w:numId="10" w16cid:durableId="586547745">
    <w:abstractNumId w:val="8"/>
  </w:num>
  <w:num w:numId="11" w16cid:durableId="67700433">
    <w:abstractNumId w:val="10"/>
  </w:num>
  <w:num w:numId="12" w16cid:durableId="1241602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403A2"/>
    <w:rsid w:val="00050EC2"/>
    <w:rsid w:val="00076F0A"/>
    <w:rsid w:val="001253E7"/>
    <w:rsid w:val="00127870"/>
    <w:rsid w:val="001516ED"/>
    <w:rsid w:val="00153DC5"/>
    <w:rsid w:val="0015691C"/>
    <w:rsid w:val="001F7509"/>
    <w:rsid w:val="002075A5"/>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83294"/>
    <w:rsid w:val="006937D3"/>
    <w:rsid w:val="006A1BA2"/>
    <w:rsid w:val="006B0812"/>
    <w:rsid w:val="006B088F"/>
    <w:rsid w:val="006C21BC"/>
    <w:rsid w:val="006F6924"/>
    <w:rsid w:val="006F7E7E"/>
    <w:rsid w:val="00700F77"/>
    <w:rsid w:val="00704ECD"/>
    <w:rsid w:val="00724F5C"/>
    <w:rsid w:val="00734588"/>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609BB"/>
    <w:rsid w:val="00D94A3F"/>
    <w:rsid w:val="00DA7BE3"/>
    <w:rsid w:val="00DB4A71"/>
    <w:rsid w:val="00DB6400"/>
    <w:rsid w:val="00DE1119"/>
    <w:rsid w:val="00E25900"/>
    <w:rsid w:val="00E26883"/>
    <w:rsid w:val="00E3671F"/>
    <w:rsid w:val="00E416F6"/>
    <w:rsid w:val="00E449A9"/>
    <w:rsid w:val="00E55124"/>
    <w:rsid w:val="00E6641C"/>
    <w:rsid w:val="00E97D42"/>
    <w:rsid w:val="00EA6646"/>
    <w:rsid w:val="00EB213C"/>
    <w:rsid w:val="00ED2663"/>
    <w:rsid w:val="00F21272"/>
    <w:rsid w:val="00F90ACD"/>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upsys.net/about/governance/universal-declaration-of-ethical-principles-for-psychologists.html" TargetMode="External"/><Relationship Id="rId18" Type="http://schemas.openxmlformats.org/officeDocument/2006/relationships/hyperlink" Target="https://archive.org/details/sip-2016-declaracion-apoyo-a-acuerdos-de-paz-en-colombia" TargetMode="External"/><Relationship Id="rId26" Type="http://schemas.openxmlformats.org/officeDocument/2006/relationships/hyperlink" Target="https://doi.org/10.24265/cultura.2017.v31.10" TargetMode="External"/><Relationship Id="rId39" Type="http://schemas.openxmlformats.org/officeDocument/2006/relationships/hyperlink" Target="https://doi.org/10.1007/s11031-023-10010-9" TargetMode="External"/><Relationship Id="rId21" Type="http://schemas.openxmlformats.org/officeDocument/2006/relationships/hyperlink" Target="https://doi.org/10.1007/s12144-021-02653-z" TargetMode="External"/><Relationship Id="rId34" Type="http://schemas.openxmlformats.org/officeDocument/2006/relationships/hyperlink" Target="https://doi.org/10.3389/fpsyt.2021.618108" TargetMode="External"/><Relationship Id="rId42" Type="http://schemas.openxmlformats.org/officeDocument/2006/relationships/hyperlink" Target="https://doi.org/10.1007/s10648-021-09601-0" TargetMode="External"/><Relationship Id="rId47" Type="http://schemas.openxmlformats.org/officeDocument/2006/relationships/hyperlink" Target="https://doi.org/10.1177/09567976221119391" TargetMode="External"/><Relationship Id="rId50" Type="http://schemas.openxmlformats.org/officeDocument/2006/relationships/hyperlink" Target="https://doi.org/10.3389/fpsyg.2021.69083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oms.ch/wp-content/uploads/2017/12/CIOMS-EthicalGuideline_SP_INTERIOR-FINAL.pdf" TargetMode="External"/><Relationship Id="rId17" Type="http://schemas.openxmlformats.org/officeDocument/2006/relationships/hyperlink" Target="https://archive.org/details/sip-2014-declaracion-sobre-ninos-migrantes-en-centro-america" TargetMode="External"/><Relationship Id="rId25" Type="http://schemas.openxmlformats.org/officeDocument/2006/relationships/hyperlink" Target="https://doi.org/10.4103/jehp.jehp_851_20" TargetMode="External"/><Relationship Id="rId33" Type="http://schemas.openxmlformats.org/officeDocument/2006/relationships/hyperlink" Target="https://www.researchgate.net/publication/209836122" TargetMode="External"/><Relationship Id="rId38" Type="http://schemas.openxmlformats.org/officeDocument/2006/relationships/hyperlink" Target="https://www.redalyc.org/articulo.oa?id=18066677016" TargetMode="External"/><Relationship Id="rId46" Type="http://schemas.openxmlformats.org/officeDocument/2006/relationships/hyperlink" Target="https://doi.org/10.1007/s10648-023-09737-1" TargetMode="External"/><Relationship Id="rId2" Type="http://schemas.openxmlformats.org/officeDocument/2006/relationships/numbering" Target="numbering.xml"/><Relationship Id="rId16" Type="http://schemas.openxmlformats.org/officeDocument/2006/relationships/hyperlink" Target="https://archive.org/details/sip-2008b-declaracion-sobre-principios-eticos" TargetMode="External"/><Relationship Id="rId20" Type="http://schemas.openxmlformats.org/officeDocument/2006/relationships/hyperlink" Target="https://archive.org/details/sip-2019-declaracion-experticia-en-salud-mental" TargetMode="External"/><Relationship Id="rId29" Type="http://schemas.openxmlformats.org/officeDocument/2006/relationships/hyperlink" Target="https://doi.org/10.15448/1980-8623.2017.2.24635" TargetMode="External"/><Relationship Id="rId41" Type="http://schemas.openxmlformats.org/officeDocument/2006/relationships/hyperlink" Target="https://doi.org/10.5433/2236-6407.2011v2n2p242"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a.org" TargetMode="External"/><Relationship Id="rId24" Type="http://schemas.openxmlformats.org/officeDocument/2006/relationships/hyperlink" Target="https://doi.org/10.1177/1356336X19839408" TargetMode="External"/><Relationship Id="rId32" Type="http://schemas.openxmlformats.org/officeDocument/2006/relationships/hyperlink" Target="https://doi.org/10.3389/fpsyg.2019.01917" TargetMode="External"/><Relationship Id="rId37" Type="http://schemas.openxmlformats.org/officeDocument/2006/relationships/hyperlink" Target="https://doi.org/10.1590/2175-35392021223504" TargetMode="External"/><Relationship Id="rId40" Type="http://schemas.openxmlformats.org/officeDocument/2006/relationships/hyperlink" Target="https://doi.org/10.3389/fpsychg.2018.01588" TargetMode="External"/><Relationship Id="rId45" Type="http://schemas.openxmlformats.org/officeDocument/2006/relationships/hyperlink" Target="https://doi.org/10.1037/0033-2909.133.1.65"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rchive.org/details/sip-2008a-declaracion-sobre-terapias-de-conversion" TargetMode="External"/><Relationship Id="rId23" Type="http://schemas.openxmlformats.org/officeDocument/2006/relationships/hyperlink" Target="https://doi.org/10.1186/s40594-020-00252-1" TargetMode="External"/><Relationship Id="rId28" Type="http://schemas.openxmlformats.org/officeDocument/2006/relationships/hyperlink" Target="https://doi.org/10.1016/j.lindif.2021.102013" TargetMode="External"/><Relationship Id="rId36" Type="http://schemas.openxmlformats.org/officeDocument/2006/relationships/hyperlink" Target="https://doi.org/10.22199/issn.0718-7475-2020-0004" TargetMode="External"/><Relationship Id="rId49" Type="http://schemas.openxmlformats.org/officeDocument/2006/relationships/hyperlink" Target="https://doi.org/10.1016/S0191-8869(02)00358-6" TargetMode="External"/><Relationship Id="rId10" Type="http://schemas.openxmlformats.org/officeDocument/2006/relationships/image" Target="media/image2.svg"/><Relationship Id="rId19" Type="http://schemas.openxmlformats.org/officeDocument/2006/relationships/hyperlink" Target="https://archive.org/details/sip-2018-position-statement-on-immigration" TargetMode="External"/><Relationship Id="rId31" Type="http://schemas.openxmlformats.org/officeDocument/2006/relationships/hyperlink" Target="https://doi.org/10.1186/s40359-021-00710-7" TargetMode="External"/><Relationship Id="rId44" Type="http://schemas.openxmlformats.org/officeDocument/2006/relationships/hyperlink" Target="http://educa.fcc.org.br/pdf/reveduc/v31n01/v31n01a08.pdf"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oi.org/10.333.23rlp10i2.298-299" TargetMode="External"/><Relationship Id="rId22" Type="http://schemas.openxmlformats.org/officeDocument/2006/relationships/hyperlink" Target="https://doi.org/10.1016/j.lindif.2015.06.002" TargetMode="External"/><Relationship Id="rId27" Type="http://schemas.openxmlformats.org/officeDocument/2006/relationships/hyperlink" Target="https://doi.org/10.1128/jmbe.00282-21" TargetMode="External"/><Relationship Id="rId30" Type="http://schemas.openxmlformats.org/officeDocument/2006/relationships/hyperlink" Target="https://doi.org/10.7213/psicol.argum.34.084.AO07" TargetMode="External"/><Relationship Id="rId35" Type="http://schemas.openxmlformats.org/officeDocument/2006/relationships/hyperlink" Target="https://doi.org/10.3389/fpsyt.2020.00084" TargetMode="External"/><Relationship Id="rId43" Type="http://schemas.openxmlformats.org/officeDocument/2006/relationships/hyperlink" Target="https://doi.org/10.31211/rpics.2022.8.1.246" TargetMode="External"/><Relationship Id="rId48" Type="http://schemas.openxmlformats.org/officeDocument/2006/relationships/hyperlink" Target="https://doi.org/10.1177/0013164491512022" TargetMode="External"/><Relationship Id="rId56" Type="http://schemas.openxmlformats.org/officeDocument/2006/relationships/theme" Target="theme/theme1.xml"/><Relationship Id="rId8" Type="http://schemas.openxmlformats.org/officeDocument/2006/relationships/hyperlink" Target="https://sipsych.org/" TargetMode="External"/><Relationship Id="rId51"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2CFD-A517-4E0A-B15C-FC580D5E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6863</Words>
  <Characters>37061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2023-07-18T18:01:00Z</dcterms:created>
  <dcterms:modified xsi:type="dcterms:W3CDTF">2023-07-18T18:11:00Z</dcterms:modified>
</cp:coreProperties>
</file>