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5255" w14:textId="5DAAA21F" w:rsidR="00C413D4" w:rsidRPr="00E25900" w:rsidRDefault="002665ED" w:rsidP="00DE1119">
      <w:pPr>
        <w:rPr>
          <w:b/>
          <w:lang w:val="en-US"/>
        </w:rPr>
      </w:pPr>
      <w:r w:rsidRPr="002665ED">
        <w:rPr>
          <w:b/>
          <w:noProof/>
          <w:sz w:val="36"/>
          <w:szCs w:val="36"/>
          <w:lang w:val="en-US"/>
        </w:rPr>
        <w:t>PREVALENCE AND FACTORS ASSOCIATED WITH STARTING SUBSTANCE USE DURING THE COVID-19 PANDEMIC</w:t>
      </w: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547103FF" w14:textId="4B9DC342" w:rsidR="00C413D4" w:rsidRPr="00E25900" w:rsidRDefault="002665ED" w:rsidP="006750CE">
      <w:pPr>
        <w:jc w:val="both"/>
        <w:rPr>
          <w:sz w:val="20"/>
          <w:szCs w:val="20"/>
          <w:lang w:val="en-US"/>
        </w:rPr>
      </w:pPr>
      <w:r w:rsidRPr="002665ED">
        <w:rPr>
          <w:sz w:val="20"/>
          <w:szCs w:val="20"/>
          <w:lang w:val="en-US"/>
        </w:rPr>
        <w:t>The crisis emerging from the COVID-19 pandemic raised many challenges related to mental health. As a response to cope with this sudden situation, the general population may experience psychological symptoms, including the use of psychoactive substances. This study aims to present the rate of and factors associated with alcohol and/or other psychoactive substance use initiation during the pandemic. Observational cross-sectional study was carried out between April and September 2021 with 2,469 participants (students, professors and staff) from four federal universities in Mid-West Brazil. We performed logistic regression to estimate odds ratios. Overall, around one quarter of participants endorsed started using substances during the COVID-19 pandemic. Medical drugs were the most reported initiated substances by both students and professors/staff, followed by alcohol. Among students, staring to use alcohol was associated with living with friends/roommates, belonging to risk group for CoVID-19 severe illness and being victim of domestic violence during social isolation measures. Different individual and social factors were associated with substance use initiation amidst the pandemic, and being a student and being younger was related to illicit substance initiation.</w:t>
      </w: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4BCD0521" w:rsidR="00153DC5" w:rsidRPr="00E25900" w:rsidRDefault="002665ED" w:rsidP="007A7C7C">
      <w:pPr>
        <w:jc w:val="both"/>
        <w:rPr>
          <w:bCs/>
          <w:sz w:val="20"/>
          <w:szCs w:val="20"/>
          <w:lang w:val="en-US"/>
        </w:rPr>
      </w:pPr>
      <w:r w:rsidRPr="002665ED">
        <w:rPr>
          <w:bCs/>
          <w:sz w:val="20"/>
          <w:szCs w:val="20"/>
          <w:lang w:val="en-US"/>
        </w:rPr>
        <w:t>COVID-19, drugs (use), college, mental health.</w:t>
      </w:r>
    </w:p>
    <w:p w14:paraId="3C2A8692" w14:textId="46796CA0" w:rsidR="00153DC5" w:rsidRPr="00E25900" w:rsidRDefault="00153DC5" w:rsidP="007A7C7C">
      <w:pPr>
        <w:jc w:val="both"/>
        <w:rPr>
          <w:bCs/>
          <w:sz w:val="20"/>
          <w:szCs w:val="20"/>
          <w:lang w:val="en-US"/>
        </w:rPr>
      </w:pPr>
    </w:p>
    <w:p w14:paraId="1D18B459" w14:textId="75C23A38" w:rsidR="009E37BF" w:rsidRPr="006750CE" w:rsidRDefault="009E37BF" w:rsidP="009E37BF">
      <w:pPr>
        <w:pBdr>
          <w:top w:val="nil"/>
          <w:left w:val="nil"/>
          <w:bottom w:val="nil"/>
          <w:right w:val="nil"/>
          <w:between w:val="nil"/>
        </w:pBdr>
        <w:spacing w:after="120"/>
        <w:jc w:val="center"/>
        <w:rPr>
          <w:b/>
          <w:smallCaps/>
          <w:color w:val="000000"/>
          <w:sz w:val="20"/>
          <w:szCs w:val="20"/>
          <w:lang w:val="pt-BR"/>
        </w:rPr>
      </w:pPr>
      <w:r w:rsidRPr="006750CE">
        <w:rPr>
          <w:b/>
          <w:smallCaps/>
          <w:color w:val="000000"/>
          <w:sz w:val="20"/>
          <w:szCs w:val="20"/>
          <w:lang w:val="pt-BR"/>
        </w:rPr>
        <w:t>Resumo</w:t>
      </w:r>
    </w:p>
    <w:p w14:paraId="32A22B7A" w14:textId="4A4D630F" w:rsidR="009E37BF" w:rsidRPr="002665ED" w:rsidRDefault="002665ED" w:rsidP="006750CE">
      <w:pPr>
        <w:jc w:val="both"/>
        <w:rPr>
          <w:sz w:val="20"/>
          <w:szCs w:val="20"/>
          <w:lang w:val="pt-BR"/>
        </w:rPr>
      </w:pPr>
      <w:r w:rsidRPr="002665ED">
        <w:rPr>
          <w:sz w:val="20"/>
          <w:szCs w:val="20"/>
          <w:lang w:val="pt-BR"/>
        </w:rPr>
        <w:t>A crise emergente da pandemia de COVID-19 trouxe muitos desafios relacionados à saúde mental. Como resposta para lidar com essa situação repentina, a população em geral pode apresentar sintomas psicológicos, incluindo o uso de substâncias psicoativas. Este estudo tem como objetivo apresentar a prevalência e os fatores associados ao início do uso de álcool e/ou outras substâncias psicoativas durante a pandemia. Trata-se de um estudo transversal observacional realizado entre abril e setembro de 2021 com 2.469 participantes (alunos, professores e funcionários) de quatro universidades federais do Centro-Oeste brasileiro. Foi realizada regressão logística para estimar as razões de chances. No geral, cerca de um quarto dos participantes começaram a usar substâncias durante a pandemia de COVID-19. Os medicamentos foram as substâncias iniciadas mais relatadas por alunos e professores/funcionários, seguidas do álcool. Entre os estudantes, o início do uso de álcool foi associado a morar com amigos/colegas de quarto, pertencer ao grupo de risco para adoecimento grave por COVID-19 e ser vítima de violência doméstica durante medidas de distanciamento social. Diferentes fatores individuais e sociais foram associados ao início do uso de substâncias em meio à pandemia, e ser estudante e ser mais jovem foi relacionado ao início de substâncias ilícitas.</w:t>
      </w:r>
    </w:p>
    <w:p w14:paraId="126AA7B0" w14:textId="7A861FC1" w:rsidR="009E37BF" w:rsidRPr="006750CE" w:rsidRDefault="009E37BF" w:rsidP="009E37BF">
      <w:pPr>
        <w:jc w:val="both"/>
        <w:rPr>
          <w:b/>
          <w:sz w:val="20"/>
          <w:szCs w:val="20"/>
          <w:lang w:val="pt-BR"/>
        </w:rPr>
      </w:pPr>
      <w:r w:rsidRPr="006750CE">
        <w:rPr>
          <w:b/>
          <w:sz w:val="20"/>
          <w:szCs w:val="20"/>
          <w:lang w:val="pt-BR"/>
        </w:rPr>
        <w:t>Palavras-chave</w:t>
      </w:r>
    </w:p>
    <w:p w14:paraId="3B35E00C" w14:textId="7ABB93CC" w:rsidR="00483D6B" w:rsidRPr="009E37BF" w:rsidRDefault="002665ED" w:rsidP="00B6522A">
      <w:pPr>
        <w:rPr>
          <w:b/>
          <w:lang w:val="pt-BR"/>
        </w:rPr>
      </w:pPr>
      <w:r w:rsidRPr="002665ED">
        <w:rPr>
          <w:sz w:val="20"/>
          <w:szCs w:val="20"/>
          <w:lang w:val="pt-BR"/>
        </w:rPr>
        <w:t>COVID-19, droga (uso), universidades, saúde mental.</w:t>
      </w:r>
    </w:p>
    <w:p w14:paraId="3F538DA7" w14:textId="31532192" w:rsidR="00153DC5" w:rsidRPr="006750CE" w:rsidRDefault="0059034C" w:rsidP="007A7CDC">
      <w:pPr>
        <w:pStyle w:val="Ttuloprincipiodeartculo"/>
      </w:pPr>
      <w:r w:rsidRPr="002665ED">
        <w:br w:type="page"/>
      </w:r>
    </w:p>
    <w:p w14:paraId="3DF884F1" w14:textId="137C95F9" w:rsidR="002665ED" w:rsidRPr="002665ED" w:rsidRDefault="002665ED" w:rsidP="007A7CDC">
      <w:pPr>
        <w:pStyle w:val="Ttuloprincipiodeartculo"/>
      </w:pPr>
      <w:r w:rsidRPr="002665ED">
        <w:lastRenderedPageBreak/>
        <w:t xml:space="preserve">Prevalência e fatores associados ao início do uso de substâncias durante a pandemia de </w:t>
      </w:r>
      <w:r>
        <w:t>COVID</w:t>
      </w:r>
      <w:r w:rsidRPr="002665ED">
        <w:t>-19</w:t>
      </w:r>
    </w:p>
    <w:p w14:paraId="4FA726CB" w14:textId="0CA97B8C" w:rsidR="006A1BA2" w:rsidRPr="002665ED" w:rsidRDefault="00153DC5" w:rsidP="00CE7D65">
      <w:pPr>
        <w:pStyle w:val="Ttulosinternos"/>
        <w:rPr>
          <w:bCs/>
        </w:rPr>
      </w:pPr>
      <w:r w:rsidRPr="002665ED">
        <w:t>Introduction</w:t>
      </w:r>
    </w:p>
    <w:p w14:paraId="2AF7E0C6" w14:textId="77777777" w:rsidR="002665ED" w:rsidRPr="002665ED" w:rsidRDefault="002665ED" w:rsidP="002665ED">
      <w:pPr>
        <w:pStyle w:val="SubtituloInterno"/>
        <w:rPr>
          <w:b w:val="0"/>
          <w:i w:val="0"/>
        </w:rPr>
      </w:pPr>
      <w:r w:rsidRPr="002665ED">
        <w:rPr>
          <w:b w:val="0"/>
          <w:i w:val="0"/>
        </w:rPr>
        <w:t>A new coronavirus (SARS-CoV-2) emerged, causing the 2019 coronavirus disease (COVID-19) and represented a threat to global health (Rodriguez-Morales et al., 2020), with more than 500 million people as confirmed cases and over 6 million deaths by August 2022 (WHO, 2022). The worsening of the global health due to COVID19 pandemic, is also associated with serious global economic impacts, with important economic repercussions and losses (</w:t>
      </w:r>
      <w:proofErr w:type="spellStart"/>
      <w:r w:rsidRPr="002665ED">
        <w:rPr>
          <w:b w:val="0"/>
          <w:i w:val="0"/>
        </w:rPr>
        <w:t>Ayittey</w:t>
      </w:r>
      <w:proofErr w:type="spellEnd"/>
      <w:r w:rsidRPr="002665ED">
        <w:rPr>
          <w:b w:val="0"/>
          <w:i w:val="0"/>
        </w:rPr>
        <w:t xml:space="preserve"> et al., 2020), which can negatively impact mental health, especially in groups most at risk and vulnerable conditions (</w:t>
      </w:r>
      <w:proofErr w:type="spellStart"/>
      <w:r w:rsidRPr="002665ED">
        <w:rPr>
          <w:b w:val="0"/>
          <w:i w:val="0"/>
        </w:rPr>
        <w:t>Kathirvela</w:t>
      </w:r>
      <w:proofErr w:type="spellEnd"/>
      <w:r w:rsidRPr="002665ED">
        <w:rPr>
          <w:b w:val="0"/>
          <w:i w:val="0"/>
        </w:rPr>
        <w:t>, 2020).</w:t>
      </w:r>
    </w:p>
    <w:p w14:paraId="0276CA33" w14:textId="77777777" w:rsidR="002665ED" w:rsidRPr="002665ED" w:rsidRDefault="002665ED" w:rsidP="002665ED">
      <w:pPr>
        <w:pStyle w:val="SubtituloInterno"/>
        <w:rPr>
          <w:b w:val="0"/>
          <w:i w:val="0"/>
        </w:rPr>
      </w:pPr>
      <w:r w:rsidRPr="002665ED">
        <w:rPr>
          <w:b w:val="0"/>
          <w:i w:val="0"/>
        </w:rPr>
        <w:t>The crisis emerging from the COVID-19 pandemic raised many challenges related to mental health (</w:t>
      </w:r>
      <w:proofErr w:type="spellStart"/>
      <w:r w:rsidRPr="002665ED">
        <w:rPr>
          <w:b w:val="0"/>
          <w:i w:val="0"/>
        </w:rPr>
        <w:t>Chodkiewicz</w:t>
      </w:r>
      <w:proofErr w:type="spellEnd"/>
      <w:r w:rsidRPr="002665ED">
        <w:rPr>
          <w:b w:val="0"/>
          <w:i w:val="0"/>
        </w:rPr>
        <w:t xml:space="preserve"> et al., 2020). As a response to cope with this sudden situation, the general population may experience psychological symptoms such as panic, phobia, anxiety, sleep disorders (Banerjee &amp; Rai, 2020), and psychoactive substances (PAS) use or misuse (María-Ríos &amp; Morrow, 2020). On the other hand, measures to contain the spread of the pandemic, such as physical and social isolation, has changed </w:t>
      </w:r>
      <w:proofErr w:type="spellStart"/>
      <w:r w:rsidRPr="002665ED">
        <w:rPr>
          <w:b w:val="0"/>
          <w:i w:val="0"/>
        </w:rPr>
        <w:t>behavioural</w:t>
      </w:r>
      <w:proofErr w:type="spellEnd"/>
      <w:r w:rsidRPr="002665ED">
        <w:rPr>
          <w:b w:val="0"/>
          <w:i w:val="0"/>
        </w:rPr>
        <w:t xml:space="preserve"> patterns and routines, with yet unknown profound consequences for mental health in short and long term (Galea, Merchant &amp; Lurie, 2020). Thus, physical isolation is being considered a trigger to uncover issues experienced by people related to mental health, such as emotional disturbances, irritability, insomnia, and depression. In the post-quarantine period, the impact can be considered broader, which includes, among other manifestations, alcohol misuse and behavioral changes conditions (</w:t>
      </w:r>
      <w:proofErr w:type="spellStart"/>
      <w:r w:rsidRPr="002665ED">
        <w:rPr>
          <w:b w:val="0"/>
          <w:i w:val="0"/>
        </w:rPr>
        <w:t>Kathirvela</w:t>
      </w:r>
      <w:proofErr w:type="spellEnd"/>
      <w:r w:rsidRPr="002665ED">
        <w:rPr>
          <w:b w:val="0"/>
          <w:i w:val="0"/>
        </w:rPr>
        <w:t>, 2020). Studies pointed out that many people started using alcohol and other drugs to alleviate emotional suffering, since these PAS are well-known for inhibiting the nervous system (</w:t>
      </w:r>
      <w:proofErr w:type="spellStart"/>
      <w:r w:rsidRPr="002665ED">
        <w:rPr>
          <w:b w:val="0"/>
          <w:i w:val="0"/>
        </w:rPr>
        <w:t>Abrahao</w:t>
      </w:r>
      <w:proofErr w:type="spellEnd"/>
      <w:r w:rsidRPr="002665ED">
        <w:rPr>
          <w:b w:val="0"/>
          <w:i w:val="0"/>
        </w:rPr>
        <w:t xml:space="preserve">, Salinas &amp; Lovinger, 2017; </w:t>
      </w:r>
      <w:proofErr w:type="spellStart"/>
      <w:r w:rsidRPr="002665ED">
        <w:rPr>
          <w:b w:val="0"/>
          <w:i w:val="0"/>
        </w:rPr>
        <w:t>Chodkiewicz</w:t>
      </w:r>
      <w:proofErr w:type="spellEnd"/>
      <w:r w:rsidRPr="002665ED">
        <w:rPr>
          <w:b w:val="0"/>
          <w:i w:val="0"/>
        </w:rPr>
        <w:t xml:space="preserve"> et al., 2020).</w:t>
      </w:r>
    </w:p>
    <w:p w14:paraId="2237B7D5" w14:textId="77777777" w:rsidR="002665ED" w:rsidRPr="002665ED" w:rsidRDefault="002665ED" w:rsidP="002665ED">
      <w:pPr>
        <w:pStyle w:val="SubtituloInterno"/>
        <w:rPr>
          <w:b w:val="0"/>
          <w:i w:val="0"/>
        </w:rPr>
      </w:pPr>
      <w:r w:rsidRPr="002665ED">
        <w:rPr>
          <w:b w:val="0"/>
          <w:i w:val="0"/>
        </w:rPr>
        <w:t>Several studies in different countries have pointed out an increase in PAS use during the pandemic. A study carried out in Poland showed that alcohol was the most used PAS and 14% of participants reported having increased alcohol consumption during the pandemic (</w:t>
      </w:r>
      <w:proofErr w:type="spellStart"/>
      <w:r w:rsidRPr="002665ED">
        <w:rPr>
          <w:b w:val="0"/>
          <w:i w:val="0"/>
        </w:rPr>
        <w:t>Chodkiewicz</w:t>
      </w:r>
      <w:proofErr w:type="spellEnd"/>
      <w:r w:rsidRPr="002665ED">
        <w:rPr>
          <w:b w:val="0"/>
          <w:i w:val="0"/>
        </w:rPr>
        <w:t xml:space="preserve"> et al., 2020). A study among United States of America population aged 21 years and older showed increase of per day drinking, binge drinking and exceeding drinking limits10 and data from 70 countries highlighted that 71.7% of participants reported increase in alcohol use amid the COVID-19 scenario (</w:t>
      </w:r>
      <w:proofErr w:type="spellStart"/>
      <w:r w:rsidRPr="002665ED">
        <w:rPr>
          <w:b w:val="0"/>
          <w:i w:val="0"/>
        </w:rPr>
        <w:t>Farhoudian</w:t>
      </w:r>
      <w:proofErr w:type="spellEnd"/>
      <w:r w:rsidRPr="002665ED">
        <w:rPr>
          <w:b w:val="0"/>
          <w:i w:val="0"/>
        </w:rPr>
        <w:t xml:space="preserve"> et al., 2021).</w:t>
      </w:r>
    </w:p>
    <w:p w14:paraId="4E942DCA" w14:textId="77777777" w:rsidR="002665ED" w:rsidRPr="002665ED" w:rsidRDefault="002665ED" w:rsidP="002665ED">
      <w:pPr>
        <w:pStyle w:val="SubtituloInterno"/>
        <w:rPr>
          <w:b w:val="0"/>
          <w:i w:val="0"/>
        </w:rPr>
      </w:pPr>
      <w:r w:rsidRPr="002665ED">
        <w:rPr>
          <w:b w:val="0"/>
          <w:i w:val="0"/>
        </w:rPr>
        <w:lastRenderedPageBreak/>
        <w:t>Regarding other drugs, people from several countries had reported increased use of cannabis (63.0%), prescribed opioids (70.9%), and sedatives or hypnotics (84.6%) (</w:t>
      </w:r>
      <w:proofErr w:type="spellStart"/>
      <w:r w:rsidRPr="002665ED">
        <w:rPr>
          <w:b w:val="0"/>
          <w:i w:val="0"/>
        </w:rPr>
        <w:t>Farhoudian</w:t>
      </w:r>
      <w:proofErr w:type="spellEnd"/>
      <w:r w:rsidRPr="002665ED">
        <w:rPr>
          <w:b w:val="0"/>
          <w:i w:val="0"/>
        </w:rPr>
        <w:t xml:space="preserve"> et al., 2021). Taylor et al. (2021) highlighted that in May 2020, among United States of America (n = 1,496) and Canadian adults (n = 1,579), the number of people who used recreational drugs or alcohol before the COVID-19 pandemic increased significantly during the pandemic, probably as a way of coping with physical and social isolation. The same study drew attention to the fact that, in relation to age, younger adults, when compared to older ones, had increased to higher levels the consumption of alcohol and drugs. These authors yet disclosed that symptoms of traumatic stress related to COVID-19 and the tendency to disregard physical and social distancing were both related to alcohol and drug using Taylor et al. (2021).</w:t>
      </w:r>
    </w:p>
    <w:p w14:paraId="48B96131" w14:textId="255728D7" w:rsidR="00575541" w:rsidRPr="00575541" w:rsidRDefault="002665ED" w:rsidP="002665ED">
      <w:pPr>
        <w:pStyle w:val="SubtituloInterno"/>
      </w:pPr>
      <w:r w:rsidRPr="002665ED">
        <w:rPr>
          <w:b w:val="0"/>
          <w:i w:val="0"/>
        </w:rPr>
        <w:t>Considering that substance use and misuse is a major public health issue, particularly during the COVID-19 pandemic, the purpose of this study is to present the rates of and factors associated with alcohol and other psychoactive substance (AOPAS) use initiation during the COVID-19 pandemic. We conducted a study within quarantined university communities since the pandemic began.</w:t>
      </w:r>
    </w:p>
    <w:p w14:paraId="2254AC27" w14:textId="06CA9A42" w:rsidR="006F7E7E" w:rsidRPr="00E25900" w:rsidRDefault="001516ED" w:rsidP="001516ED">
      <w:pPr>
        <w:pStyle w:val="Ttulosinternos"/>
      </w:pPr>
      <w:r w:rsidRPr="00E25900">
        <w:t>Method</w:t>
      </w:r>
    </w:p>
    <w:p w14:paraId="2F19162A" w14:textId="0E79D4C3" w:rsidR="006F7E7E" w:rsidRPr="00E25900" w:rsidRDefault="002665ED" w:rsidP="007E3B8D">
      <w:pPr>
        <w:pStyle w:val="SubtituloInterno"/>
        <w:rPr>
          <w:rFonts w:eastAsia="Calibri"/>
        </w:rPr>
      </w:pPr>
      <w:r w:rsidRPr="002665ED">
        <w:rPr>
          <w:rFonts w:eastAsia="Calibri"/>
        </w:rPr>
        <w:t>Study Design, Study Population and Participant’s Recruitment</w:t>
      </w:r>
    </w:p>
    <w:p w14:paraId="0FA29A56" w14:textId="250A6C56" w:rsidR="006F7E7E" w:rsidRPr="009E37BF" w:rsidRDefault="002665ED" w:rsidP="002665ED">
      <w:pPr>
        <w:pStyle w:val="Prrafocomn"/>
      </w:pPr>
      <w:r w:rsidRPr="002665ED">
        <w:rPr>
          <w:lang w:eastAsia="en-US"/>
        </w:rPr>
        <w:t xml:space="preserve">We implemented an observational cross-sectional study during the months of April and September 2021. Students, university staff and professors from four federal universities in Mid-West Brazil were eligible for participation. Participants who voluntarily agreed to participate answered the study questionnaire. Given the social and physical distancing measures, all participants were recruited online. Given the lockdown scenario and online recruitment, we did not implement probabilistic sampling technics calculating sample size, but we limited a data collection period. </w:t>
      </w:r>
      <w:r w:rsidR="00507B29" w:rsidRPr="009E37BF">
        <w:t>Design</w:t>
      </w:r>
    </w:p>
    <w:p w14:paraId="526EC9AE" w14:textId="2515E6A0" w:rsidR="00507B29" w:rsidRPr="00507B29" w:rsidRDefault="002665ED" w:rsidP="00507B29">
      <w:pPr>
        <w:pStyle w:val="SubtituloInterno"/>
      </w:pPr>
      <w:r w:rsidRPr="002665ED">
        <w:t>Data Collection and Tool</w:t>
      </w:r>
    </w:p>
    <w:p w14:paraId="69EA5B2E" w14:textId="77777777" w:rsidR="002665ED" w:rsidRDefault="002665ED" w:rsidP="002665ED">
      <w:pPr>
        <w:pStyle w:val="SubtituloInterno"/>
        <w:ind w:firstLine="708"/>
        <w:rPr>
          <w:b w:val="0"/>
          <w:i w:val="0"/>
          <w:lang w:eastAsia="en-US"/>
        </w:rPr>
      </w:pPr>
      <w:r w:rsidRPr="002665ED">
        <w:rPr>
          <w:b w:val="0"/>
          <w:i w:val="0"/>
          <w:lang w:eastAsia="en-US"/>
        </w:rPr>
        <w:t xml:space="preserve">A self-applied questionnaire was generated at Google form. The questionnaire had multiple-choice questions, divided according to participant’s sociodemographic characterization, academic or work life, along with queries related to psychoactive substance use during the pandemic. The questionnaire’s link was sent by e-mail to the university communities and was </w:t>
      </w:r>
      <w:r w:rsidRPr="002665ED">
        <w:rPr>
          <w:b w:val="0"/>
          <w:i w:val="0"/>
          <w:lang w:eastAsia="en-US"/>
        </w:rPr>
        <w:lastRenderedPageBreak/>
        <w:t>made available at the homepage, social media, and newsletters of the universities. Participants answered to the following question: “Have you STARTED using any of these substances now, during the pandemic?”. Respondents could answer ‘No’ or indicate alcohol and or one or more groups of other nominated psychoactive substances.</w:t>
      </w:r>
    </w:p>
    <w:p w14:paraId="7170A166" w14:textId="77777777" w:rsidR="002665ED" w:rsidRDefault="002665ED" w:rsidP="002665ED">
      <w:pPr>
        <w:pStyle w:val="SubtituloInterno"/>
        <w:rPr>
          <w:b w:val="0"/>
          <w:i w:val="0"/>
          <w:lang w:eastAsia="en-US"/>
        </w:rPr>
      </w:pPr>
    </w:p>
    <w:p w14:paraId="5AA70501" w14:textId="77777777" w:rsidR="002665ED" w:rsidRDefault="002665ED" w:rsidP="002665ED">
      <w:pPr>
        <w:pStyle w:val="Prrafocomn"/>
        <w:ind w:firstLine="0"/>
        <w:rPr>
          <w:b/>
          <w:i/>
        </w:rPr>
      </w:pPr>
      <w:r w:rsidRPr="002665ED">
        <w:rPr>
          <w:b/>
          <w:i/>
        </w:rPr>
        <w:t>Study Outcomes</w:t>
      </w:r>
    </w:p>
    <w:p w14:paraId="2B2EC783" w14:textId="77777777" w:rsidR="002665ED" w:rsidRDefault="002665ED" w:rsidP="002665ED">
      <w:pPr>
        <w:pStyle w:val="SubtituloInterno"/>
        <w:ind w:firstLine="708"/>
        <w:rPr>
          <w:b w:val="0"/>
          <w:i w:val="0"/>
        </w:rPr>
      </w:pPr>
      <w:r w:rsidRPr="002665ED">
        <w:rPr>
          <w:b w:val="0"/>
          <w:i w:val="0"/>
        </w:rPr>
        <w:t xml:space="preserve">The main outcome is starting to use substances during the CoVID-19 pandemic. The outcomes were grouped in Alcohol (any alcoholic beverage) – Outcome 1; Tobacco (cigarettes, hookah, cigars, etc.) – Outcome 2; Medical psychotropic drugs (both prescribed and/or non-prescribed) – Outcome 3, and illicit substances (cannabis, cocaine, crack, synthetic drugs, such as amphetamines, LSD, ketamine, anabolic, etc.) – Outcome 4. Each outcome </w:t>
      </w:r>
      <w:proofErr w:type="gramStart"/>
      <w:r w:rsidRPr="002665ED">
        <w:rPr>
          <w:b w:val="0"/>
          <w:i w:val="0"/>
        </w:rPr>
        <w:t>were</w:t>
      </w:r>
      <w:proofErr w:type="gramEnd"/>
      <w:r w:rsidRPr="002665ED">
        <w:rPr>
          <w:b w:val="0"/>
          <w:i w:val="0"/>
        </w:rPr>
        <w:t xml:space="preserve"> measured and analyzed separately. Participants answered ‘yes’ or ‘no’ when asked about starting to use any of these substances.</w:t>
      </w:r>
    </w:p>
    <w:p w14:paraId="41BC955A" w14:textId="77777777" w:rsidR="002665ED" w:rsidRDefault="002665ED" w:rsidP="002665ED">
      <w:pPr>
        <w:pStyle w:val="SubtituloInterno"/>
        <w:rPr>
          <w:b w:val="0"/>
          <w:i w:val="0"/>
        </w:rPr>
      </w:pPr>
    </w:p>
    <w:p w14:paraId="0F4ED851" w14:textId="5F1EF57D" w:rsidR="007C3C14" w:rsidRPr="002665ED" w:rsidRDefault="007C3C14" w:rsidP="002665ED">
      <w:pPr>
        <w:pStyle w:val="SubtituloInterno"/>
      </w:pPr>
      <w:r w:rsidRPr="002665ED">
        <w:t>Data analysis</w:t>
      </w:r>
    </w:p>
    <w:p w14:paraId="15C20B2F" w14:textId="77777777" w:rsidR="002665ED" w:rsidRPr="002665ED" w:rsidRDefault="002665ED" w:rsidP="004C1FD8">
      <w:pPr>
        <w:pStyle w:val="SubtituloInterno"/>
        <w:rPr>
          <w:b w:val="0"/>
          <w:i w:val="0"/>
        </w:rPr>
      </w:pPr>
      <w:r w:rsidRPr="002665ED">
        <w:rPr>
          <w:b w:val="0"/>
          <w:i w:val="0"/>
        </w:rPr>
        <w:t xml:space="preserve">Few professors and staff reported starting to use tobacco (Outcome 2) and illicit substances (Outcome 4) (see Table 2), so regression models for </w:t>
      </w:r>
      <w:proofErr w:type="gramStart"/>
      <w:r w:rsidRPr="002665ED">
        <w:rPr>
          <w:b w:val="0"/>
          <w:i w:val="0"/>
        </w:rPr>
        <w:t>this two outcomes</w:t>
      </w:r>
      <w:proofErr w:type="gramEnd"/>
      <w:r w:rsidRPr="002665ED">
        <w:rPr>
          <w:b w:val="0"/>
          <w:i w:val="0"/>
        </w:rPr>
        <w:t xml:space="preserve"> and for this participants was not built. In a data fishing analysis to identify factors associated with starting to use substances during the CoVID-19 pandemic, we performed bivariate analysis using Pearson's Chi-squared test with significance level set at 0.05. Since there was a large set of covariables, a stepwise regression was applied to find the best subset of covariables to be included in the multivariable regression models, so final models were the most parsimonious. We performed logistic regression to estimate adjusted odds ratios (</w:t>
      </w:r>
      <w:proofErr w:type="spellStart"/>
      <w:r w:rsidRPr="002665ED">
        <w:rPr>
          <w:b w:val="0"/>
          <w:i w:val="0"/>
        </w:rPr>
        <w:t>OR_adj</w:t>
      </w:r>
      <w:proofErr w:type="spellEnd"/>
      <w:r w:rsidRPr="002665ED">
        <w:rPr>
          <w:b w:val="0"/>
          <w:i w:val="0"/>
        </w:rPr>
        <w:t>.) with respective 95% confidence intervals (95% C.I). Regression models were built separately for each outcome for university students (Model 1) and for both university professors and staff (Model 2).</w:t>
      </w:r>
    </w:p>
    <w:p w14:paraId="6C3DB8EB" w14:textId="77777777" w:rsidR="002665ED" w:rsidRPr="002665ED" w:rsidRDefault="002665ED" w:rsidP="004C1FD8">
      <w:pPr>
        <w:pStyle w:val="SubtituloInterno"/>
        <w:rPr>
          <w:b w:val="0"/>
          <w:i w:val="0"/>
        </w:rPr>
      </w:pPr>
    </w:p>
    <w:p w14:paraId="681BC02D" w14:textId="5033BF46" w:rsidR="004C1FD8" w:rsidRPr="00E25900" w:rsidRDefault="004C1FD8" w:rsidP="004C1FD8">
      <w:pPr>
        <w:pStyle w:val="SubtituloInterno"/>
      </w:pPr>
      <w:r>
        <w:t>E</w:t>
      </w:r>
      <w:r w:rsidRPr="00E25900">
        <w:t>thical considerations</w:t>
      </w:r>
    </w:p>
    <w:p w14:paraId="367171E1" w14:textId="77777777" w:rsidR="002665ED" w:rsidRDefault="002665ED" w:rsidP="00CE7D65">
      <w:pPr>
        <w:pStyle w:val="Ttulosinternos"/>
        <w:rPr>
          <w:b w:val="0"/>
          <w:lang w:eastAsia="es-ES_tradnl"/>
        </w:rPr>
      </w:pPr>
      <w:r w:rsidRPr="002665ED">
        <w:rPr>
          <w:b w:val="0"/>
          <w:lang w:eastAsia="es-ES_tradnl"/>
        </w:rPr>
        <w:t>The National Research Ethics Commission (</w:t>
      </w:r>
      <w:proofErr w:type="spellStart"/>
      <w:r w:rsidRPr="002665ED">
        <w:rPr>
          <w:b w:val="0"/>
          <w:lang w:eastAsia="es-ES_tradnl"/>
        </w:rPr>
        <w:t>Comissão</w:t>
      </w:r>
      <w:proofErr w:type="spellEnd"/>
      <w:r w:rsidRPr="002665ED">
        <w:rPr>
          <w:b w:val="0"/>
          <w:lang w:eastAsia="es-ES_tradnl"/>
        </w:rPr>
        <w:t xml:space="preserve"> Nacional de </w:t>
      </w:r>
      <w:proofErr w:type="spellStart"/>
      <w:r w:rsidRPr="002665ED">
        <w:rPr>
          <w:b w:val="0"/>
          <w:lang w:eastAsia="es-ES_tradnl"/>
        </w:rPr>
        <w:t>Ética</w:t>
      </w:r>
      <w:proofErr w:type="spellEnd"/>
      <w:r w:rsidRPr="002665ED">
        <w:rPr>
          <w:b w:val="0"/>
          <w:lang w:eastAsia="es-ES_tradnl"/>
        </w:rPr>
        <w:t xml:space="preserve"> </w:t>
      </w:r>
      <w:proofErr w:type="spellStart"/>
      <w:r w:rsidRPr="002665ED">
        <w:rPr>
          <w:b w:val="0"/>
          <w:lang w:eastAsia="es-ES_tradnl"/>
        </w:rPr>
        <w:t>em</w:t>
      </w:r>
      <w:proofErr w:type="spellEnd"/>
      <w:r w:rsidRPr="002665ED">
        <w:rPr>
          <w:b w:val="0"/>
          <w:lang w:eastAsia="es-ES_tradnl"/>
        </w:rPr>
        <w:t xml:space="preserve"> Pesquisa - CONEP) approved the study protocol and the respective informed consent form (ICF). Participation was </w:t>
      </w:r>
      <w:r w:rsidRPr="002665ED">
        <w:rPr>
          <w:b w:val="0"/>
          <w:lang w:eastAsia="es-ES_tradnl"/>
        </w:rPr>
        <w:lastRenderedPageBreak/>
        <w:t>conditioned to registering the internet based ICF. We strongly recommended downloading the ICF.</w:t>
      </w:r>
    </w:p>
    <w:p w14:paraId="61754C2A" w14:textId="2446427D" w:rsidR="006F7E7E" w:rsidRDefault="005B5614" w:rsidP="00CE7D65">
      <w:pPr>
        <w:pStyle w:val="Ttulosinternos"/>
      </w:pPr>
      <w:r w:rsidRPr="00E25900">
        <w:t>Results</w:t>
      </w:r>
    </w:p>
    <w:p w14:paraId="5ED22E9F" w14:textId="77777777" w:rsidR="002665ED" w:rsidRDefault="002665ED" w:rsidP="002665ED">
      <w:pPr>
        <w:pStyle w:val="Prrafocomn"/>
      </w:pPr>
      <w:r>
        <w:t>Overall, 2,568 accessed the online form and 2,469 (participation rate = 96.14%) agreed to participate, filled, and submitted the answers. After excluding repeated participation, questionnaires with ICF not registered, and participants less than 18 years old, our final sample consisted of 2,298 (89,49%) participants, of which 71.11% were females, 65.23% were aged 18 to 29 years old (median = 24.0 years, mode = 21.0 years). The majority were students (79.59%), while 14.75% were professors and 5.66% were staff, and 49.61% self-identified as white. Table 1 presents other characteristics of the whole sample.</w:t>
      </w:r>
    </w:p>
    <w:p w14:paraId="3E5B1E99" w14:textId="77777777" w:rsidR="002665ED" w:rsidRPr="002665ED" w:rsidRDefault="002665ED" w:rsidP="002665ED">
      <w:pPr>
        <w:rPr>
          <w:color w:val="000000"/>
          <w:sz w:val="20"/>
          <w:szCs w:val="20"/>
          <w:lang w:val="en-US" w:eastAsia="pt-BR"/>
        </w:rPr>
      </w:pPr>
      <w:bookmarkStart w:id="0" w:name="_Hlk111916667"/>
      <w:r w:rsidRPr="002665ED">
        <w:rPr>
          <w:color w:val="000000"/>
          <w:sz w:val="20"/>
          <w:szCs w:val="20"/>
          <w:lang w:val="en-US" w:eastAsia="pt-BR"/>
        </w:rPr>
        <w:t>Table 1.</w:t>
      </w:r>
    </w:p>
    <w:p w14:paraId="48B1B2D1" w14:textId="77777777" w:rsidR="002665ED" w:rsidRPr="002665ED" w:rsidRDefault="002665ED" w:rsidP="002665ED">
      <w:pPr>
        <w:rPr>
          <w:sz w:val="20"/>
          <w:szCs w:val="20"/>
          <w:lang w:val="en-US" w:eastAsia="pt-BR"/>
        </w:rPr>
      </w:pPr>
      <w:r w:rsidRPr="002665ED">
        <w:rPr>
          <w:color w:val="000000"/>
          <w:sz w:val="20"/>
          <w:szCs w:val="20"/>
          <w:lang w:val="en-US" w:eastAsia="pt-BR"/>
        </w:rPr>
        <w:t>Characteristics of university students, staff, and professors sampled to the study during CoVID-19 crisis in four university communities in Mid-West Brazil, 2021.</w:t>
      </w:r>
    </w:p>
    <w:tbl>
      <w:tblPr>
        <w:tblW w:w="5000" w:type="pct"/>
        <w:jc w:val="center"/>
        <w:tblBorders>
          <w:top w:val="single" w:sz="4" w:space="0" w:color="000000"/>
          <w:bottom w:val="single" w:sz="4" w:space="0" w:color="auto"/>
        </w:tblBorders>
        <w:tblLook w:val="04A0" w:firstRow="1" w:lastRow="0" w:firstColumn="1" w:lastColumn="0" w:noHBand="0" w:noVBand="1"/>
      </w:tblPr>
      <w:tblGrid>
        <w:gridCol w:w="4317"/>
        <w:gridCol w:w="2280"/>
        <w:gridCol w:w="2763"/>
      </w:tblGrid>
      <w:tr w:rsidR="002665ED" w:rsidRPr="002665ED" w14:paraId="58EE7C02" w14:textId="77777777" w:rsidTr="00DD104E">
        <w:trPr>
          <w:jc w:val="center"/>
        </w:trPr>
        <w:tc>
          <w:tcPr>
            <w:tcW w:w="2306" w:type="pct"/>
            <w:tcBorders>
              <w:bottom w:val="single" w:sz="4" w:space="0" w:color="auto"/>
            </w:tcBorders>
          </w:tcPr>
          <w:p w14:paraId="6425D098" w14:textId="77777777" w:rsidR="002665ED" w:rsidRPr="002665ED" w:rsidRDefault="002665ED" w:rsidP="00DD104E">
            <w:pPr>
              <w:jc w:val="center"/>
              <w:rPr>
                <w:color w:val="000000"/>
                <w:sz w:val="20"/>
                <w:szCs w:val="20"/>
                <w:lang w:val="en-US" w:eastAsia="pt-BR"/>
              </w:rPr>
            </w:pPr>
          </w:p>
          <w:p w14:paraId="19C03ACD" w14:textId="77777777" w:rsidR="002665ED" w:rsidRPr="002665ED" w:rsidRDefault="002665ED" w:rsidP="00DD104E">
            <w:pPr>
              <w:rPr>
                <w:sz w:val="20"/>
                <w:szCs w:val="20"/>
                <w:lang w:val="en-US" w:eastAsia="pt-BR"/>
              </w:rPr>
            </w:pPr>
            <w:r w:rsidRPr="002665ED">
              <w:rPr>
                <w:color w:val="000000"/>
                <w:sz w:val="20"/>
                <w:szCs w:val="20"/>
                <w:lang w:val="en-US" w:eastAsia="pt-BR"/>
              </w:rPr>
              <w:t>Factor</w:t>
            </w:r>
          </w:p>
        </w:tc>
        <w:tc>
          <w:tcPr>
            <w:tcW w:w="1218" w:type="pct"/>
            <w:tcBorders>
              <w:bottom w:val="single" w:sz="4" w:space="0" w:color="auto"/>
            </w:tcBorders>
            <w:hideMark/>
          </w:tcPr>
          <w:p w14:paraId="7E9C8D4E" w14:textId="77777777" w:rsidR="002665ED" w:rsidRPr="002665ED" w:rsidRDefault="002665ED" w:rsidP="00DD104E">
            <w:pPr>
              <w:jc w:val="center"/>
              <w:rPr>
                <w:color w:val="000000"/>
                <w:sz w:val="20"/>
                <w:szCs w:val="20"/>
                <w:lang w:val="en-US" w:eastAsia="pt-BR"/>
              </w:rPr>
            </w:pPr>
            <w:r w:rsidRPr="002665ED">
              <w:rPr>
                <w:color w:val="000000"/>
                <w:sz w:val="20"/>
                <w:szCs w:val="20"/>
                <w:lang w:val="en-US" w:eastAsia="pt-BR"/>
              </w:rPr>
              <w:t>Students</w:t>
            </w:r>
          </w:p>
          <w:p w14:paraId="56E5EA70" w14:textId="77777777" w:rsidR="002665ED" w:rsidRPr="002665ED" w:rsidRDefault="002665ED" w:rsidP="00DD104E">
            <w:pPr>
              <w:rPr>
                <w:sz w:val="20"/>
                <w:szCs w:val="20"/>
                <w:lang w:val="en-US" w:eastAsia="pt-BR"/>
              </w:rPr>
            </w:pPr>
            <w:r w:rsidRPr="002665ED">
              <w:rPr>
                <w:color w:val="000000"/>
                <w:sz w:val="20"/>
                <w:szCs w:val="20"/>
                <w:lang w:val="en-US" w:eastAsia="pt-BR"/>
              </w:rPr>
              <w:t>n (%)</w:t>
            </w:r>
          </w:p>
          <w:p w14:paraId="4D5FA354" w14:textId="77777777" w:rsidR="002665ED" w:rsidRPr="002665ED" w:rsidRDefault="002665ED" w:rsidP="00DD104E">
            <w:pPr>
              <w:jc w:val="center"/>
              <w:rPr>
                <w:color w:val="000000"/>
                <w:sz w:val="20"/>
                <w:szCs w:val="20"/>
                <w:lang w:val="en-US" w:eastAsia="pt-BR"/>
              </w:rPr>
            </w:pPr>
            <w:r w:rsidRPr="002665ED">
              <w:rPr>
                <w:color w:val="000000"/>
                <w:sz w:val="20"/>
                <w:szCs w:val="20"/>
                <w:lang w:val="en-US" w:eastAsia="pt-BR"/>
              </w:rPr>
              <w:t>Total = 1,829</w:t>
            </w:r>
          </w:p>
        </w:tc>
        <w:tc>
          <w:tcPr>
            <w:tcW w:w="1476" w:type="pct"/>
            <w:tcBorders>
              <w:bottom w:val="single" w:sz="4" w:space="0" w:color="auto"/>
            </w:tcBorders>
          </w:tcPr>
          <w:p w14:paraId="6909A2C8" w14:textId="77777777" w:rsidR="002665ED" w:rsidRPr="002665ED" w:rsidRDefault="002665ED" w:rsidP="00DD104E">
            <w:pPr>
              <w:jc w:val="center"/>
              <w:rPr>
                <w:sz w:val="20"/>
                <w:szCs w:val="20"/>
                <w:lang w:val="en-US" w:eastAsia="pt-BR"/>
              </w:rPr>
            </w:pPr>
            <w:r w:rsidRPr="002665ED">
              <w:rPr>
                <w:sz w:val="20"/>
                <w:szCs w:val="20"/>
                <w:lang w:val="en-US" w:eastAsia="pt-BR"/>
              </w:rPr>
              <w:t>Professors/Staff</w:t>
            </w:r>
          </w:p>
          <w:p w14:paraId="31B6C79F" w14:textId="77777777" w:rsidR="002665ED" w:rsidRPr="002665ED" w:rsidRDefault="002665ED" w:rsidP="00DD104E">
            <w:pPr>
              <w:jc w:val="center"/>
              <w:rPr>
                <w:sz w:val="20"/>
                <w:szCs w:val="20"/>
                <w:lang w:val="en-US" w:eastAsia="pt-BR"/>
              </w:rPr>
            </w:pPr>
            <w:r w:rsidRPr="002665ED">
              <w:rPr>
                <w:color w:val="000000"/>
                <w:sz w:val="20"/>
                <w:szCs w:val="20"/>
                <w:lang w:val="en-US" w:eastAsia="pt-BR"/>
              </w:rPr>
              <w:t>n (%)</w:t>
            </w:r>
          </w:p>
          <w:p w14:paraId="4C14E6FE" w14:textId="77777777" w:rsidR="002665ED" w:rsidRPr="002665ED" w:rsidRDefault="002665ED" w:rsidP="00DD104E">
            <w:pPr>
              <w:jc w:val="center"/>
              <w:rPr>
                <w:sz w:val="20"/>
                <w:szCs w:val="20"/>
                <w:lang w:val="en-US" w:eastAsia="pt-BR"/>
              </w:rPr>
            </w:pPr>
            <w:r w:rsidRPr="002665ED">
              <w:rPr>
                <w:color w:val="000000"/>
                <w:sz w:val="20"/>
                <w:szCs w:val="20"/>
                <w:lang w:val="en-US" w:eastAsia="pt-BR"/>
              </w:rPr>
              <w:t>Total = 469</w:t>
            </w:r>
          </w:p>
        </w:tc>
      </w:tr>
      <w:tr w:rsidR="002665ED" w:rsidRPr="002665ED" w14:paraId="5023C890" w14:textId="77777777" w:rsidTr="00DD104E">
        <w:trPr>
          <w:jc w:val="center"/>
        </w:trPr>
        <w:tc>
          <w:tcPr>
            <w:tcW w:w="2306" w:type="pct"/>
            <w:tcBorders>
              <w:top w:val="single" w:sz="4" w:space="0" w:color="auto"/>
            </w:tcBorders>
            <w:hideMark/>
          </w:tcPr>
          <w:p w14:paraId="50183B7B" w14:textId="77777777" w:rsidR="002665ED" w:rsidRPr="002665ED" w:rsidRDefault="002665ED" w:rsidP="00DD104E">
            <w:pPr>
              <w:rPr>
                <w:sz w:val="20"/>
                <w:szCs w:val="20"/>
                <w:lang w:val="en-US" w:eastAsia="pt-BR"/>
              </w:rPr>
            </w:pPr>
            <w:r w:rsidRPr="002665ED">
              <w:rPr>
                <w:color w:val="000000"/>
                <w:sz w:val="20"/>
                <w:szCs w:val="20"/>
                <w:lang w:val="en-US" w:eastAsia="pt-BR"/>
              </w:rPr>
              <w:t>Gender </w:t>
            </w:r>
          </w:p>
        </w:tc>
        <w:tc>
          <w:tcPr>
            <w:tcW w:w="1218" w:type="pct"/>
            <w:tcBorders>
              <w:top w:val="single" w:sz="4" w:space="0" w:color="auto"/>
            </w:tcBorders>
            <w:hideMark/>
          </w:tcPr>
          <w:p w14:paraId="4CAEC6F5" w14:textId="77777777" w:rsidR="002665ED" w:rsidRPr="002665ED" w:rsidRDefault="002665ED" w:rsidP="00DD104E">
            <w:pPr>
              <w:rPr>
                <w:sz w:val="20"/>
                <w:szCs w:val="20"/>
                <w:lang w:val="en-US" w:eastAsia="pt-BR"/>
              </w:rPr>
            </w:pPr>
          </w:p>
        </w:tc>
        <w:tc>
          <w:tcPr>
            <w:tcW w:w="1476" w:type="pct"/>
            <w:tcBorders>
              <w:top w:val="single" w:sz="4" w:space="0" w:color="auto"/>
            </w:tcBorders>
          </w:tcPr>
          <w:p w14:paraId="681386B5" w14:textId="77777777" w:rsidR="002665ED" w:rsidRPr="002665ED" w:rsidRDefault="002665ED" w:rsidP="00DD104E">
            <w:pPr>
              <w:rPr>
                <w:sz w:val="20"/>
                <w:szCs w:val="20"/>
                <w:lang w:eastAsia="pt-BR"/>
              </w:rPr>
            </w:pPr>
          </w:p>
        </w:tc>
      </w:tr>
      <w:tr w:rsidR="002665ED" w:rsidRPr="002665ED" w14:paraId="49507426" w14:textId="77777777" w:rsidTr="00DD104E">
        <w:trPr>
          <w:jc w:val="center"/>
        </w:trPr>
        <w:tc>
          <w:tcPr>
            <w:tcW w:w="2306" w:type="pct"/>
            <w:hideMark/>
          </w:tcPr>
          <w:p w14:paraId="07D20AFE" w14:textId="77777777" w:rsidR="002665ED" w:rsidRPr="002665ED" w:rsidRDefault="002665ED" w:rsidP="00DD104E">
            <w:pPr>
              <w:rPr>
                <w:sz w:val="20"/>
                <w:szCs w:val="20"/>
                <w:lang w:val="en-US" w:eastAsia="pt-BR"/>
              </w:rPr>
            </w:pPr>
            <w:r w:rsidRPr="002665ED">
              <w:rPr>
                <w:color w:val="000000"/>
                <w:sz w:val="20"/>
                <w:szCs w:val="20"/>
                <w:lang w:val="en-US" w:eastAsia="pt-BR"/>
              </w:rPr>
              <w:t>Female</w:t>
            </w:r>
          </w:p>
        </w:tc>
        <w:tc>
          <w:tcPr>
            <w:tcW w:w="1218" w:type="pct"/>
            <w:hideMark/>
          </w:tcPr>
          <w:p w14:paraId="1FFC5B1D" w14:textId="77777777" w:rsidR="002665ED" w:rsidRPr="002665ED" w:rsidRDefault="002665ED" w:rsidP="00DD104E">
            <w:pPr>
              <w:jc w:val="center"/>
              <w:rPr>
                <w:sz w:val="20"/>
                <w:szCs w:val="20"/>
                <w:lang w:val="en-US" w:eastAsia="pt-BR"/>
              </w:rPr>
            </w:pPr>
            <w:r w:rsidRPr="002665ED">
              <w:rPr>
                <w:color w:val="000000"/>
                <w:sz w:val="20"/>
                <w:szCs w:val="20"/>
                <w:lang w:val="en-US" w:eastAsia="pt-BR"/>
              </w:rPr>
              <w:t>1,327 (72.55)</w:t>
            </w:r>
          </w:p>
        </w:tc>
        <w:tc>
          <w:tcPr>
            <w:tcW w:w="1476" w:type="pct"/>
          </w:tcPr>
          <w:p w14:paraId="2F401ACA" w14:textId="77777777" w:rsidR="002665ED" w:rsidRPr="002665ED" w:rsidRDefault="002665ED" w:rsidP="00DD104E">
            <w:pPr>
              <w:jc w:val="center"/>
              <w:rPr>
                <w:sz w:val="20"/>
                <w:szCs w:val="20"/>
                <w:lang w:val="en-US" w:eastAsia="pt-BR"/>
              </w:rPr>
            </w:pPr>
            <w:r w:rsidRPr="002665ED">
              <w:rPr>
                <w:sz w:val="20"/>
                <w:szCs w:val="20"/>
                <w:lang w:val="en-US" w:eastAsia="pt-BR"/>
              </w:rPr>
              <w:t>307 (65.46)</w:t>
            </w:r>
          </w:p>
        </w:tc>
      </w:tr>
      <w:tr w:rsidR="002665ED" w:rsidRPr="002665ED" w14:paraId="7562620F" w14:textId="77777777" w:rsidTr="00DD104E">
        <w:trPr>
          <w:jc w:val="center"/>
        </w:trPr>
        <w:tc>
          <w:tcPr>
            <w:tcW w:w="2306" w:type="pct"/>
            <w:hideMark/>
          </w:tcPr>
          <w:p w14:paraId="2E84BB8F" w14:textId="77777777" w:rsidR="002665ED" w:rsidRPr="002665ED" w:rsidRDefault="002665ED" w:rsidP="00DD104E">
            <w:pPr>
              <w:rPr>
                <w:sz w:val="20"/>
                <w:szCs w:val="20"/>
                <w:lang w:val="en-US" w:eastAsia="pt-BR"/>
              </w:rPr>
            </w:pPr>
            <w:r w:rsidRPr="002665ED">
              <w:rPr>
                <w:color w:val="000000"/>
                <w:sz w:val="20"/>
                <w:szCs w:val="20"/>
                <w:lang w:val="en-US" w:eastAsia="pt-BR"/>
              </w:rPr>
              <w:t>Male </w:t>
            </w:r>
          </w:p>
        </w:tc>
        <w:tc>
          <w:tcPr>
            <w:tcW w:w="1218" w:type="pct"/>
            <w:hideMark/>
          </w:tcPr>
          <w:p w14:paraId="351C2A0D" w14:textId="77777777" w:rsidR="002665ED" w:rsidRPr="002665ED" w:rsidRDefault="002665ED" w:rsidP="00DD104E">
            <w:pPr>
              <w:jc w:val="center"/>
              <w:rPr>
                <w:sz w:val="20"/>
                <w:szCs w:val="20"/>
                <w:lang w:val="en-US" w:eastAsia="pt-BR"/>
              </w:rPr>
            </w:pPr>
            <w:r w:rsidRPr="002665ED">
              <w:rPr>
                <w:color w:val="000000"/>
                <w:sz w:val="20"/>
                <w:szCs w:val="20"/>
                <w:lang w:val="en-US" w:eastAsia="pt-BR"/>
              </w:rPr>
              <w:t>485 (26.52)</w:t>
            </w:r>
          </w:p>
        </w:tc>
        <w:tc>
          <w:tcPr>
            <w:tcW w:w="1476" w:type="pct"/>
          </w:tcPr>
          <w:p w14:paraId="14860B0B" w14:textId="77777777" w:rsidR="002665ED" w:rsidRPr="002665ED" w:rsidRDefault="002665ED" w:rsidP="00DD104E">
            <w:pPr>
              <w:jc w:val="center"/>
              <w:rPr>
                <w:sz w:val="20"/>
                <w:szCs w:val="20"/>
                <w:lang w:val="en-US" w:eastAsia="pt-BR"/>
              </w:rPr>
            </w:pPr>
            <w:r w:rsidRPr="002665ED">
              <w:rPr>
                <w:sz w:val="20"/>
                <w:szCs w:val="20"/>
                <w:lang w:val="en-US" w:eastAsia="pt-BR"/>
              </w:rPr>
              <w:t>162 (34.54)</w:t>
            </w:r>
          </w:p>
        </w:tc>
      </w:tr>
      <w:tr w:rsidR="002665ED" w:rsidRPr="002665ED" w14:paraId="57CFBB7F" w14:textId="77777777" w:rsidTr="00DD104E">
        <w:trPr>
          <w:jc w:val="center"/>
        </w:trPr>
        <w:tc>
          <w:tcPr>
            <w:tcW w:w="2306" w:type="pct"/>
            <w:hideMark/>
          </w:tcPr>
          <w:p w14:paraId="5A58DB13" w14:textId="77777777" w:rsidR="002665ED" w:rsidRPr="002665ED" w:rsidRDefault="002665ED" w:rsidP="00DD104E">
            <w:pPr>
              <w:rPr>
                <w:sz w:val="20"/>
                <w:szCs w:val="20"/>
                <w:lang w:val="en-US" w:eastAsia="pt-BR"/>
              </w:rPr>
            </w:pPr>
            <w:r w:rsidRPr="002665ED">
              <w:rPr>
                <w:color w:val="000000"/>
                <w:sz w:val="20"/>
                <w:szCs w:val="20"/>
                <w:lang w:val="en-US" w:eastAsia="pt-BR"/>
              </w:rPr>
              <w:t>Other</w:t>
            </w:r>
          </w:p>
        </w:tc>
        <w:tc>
          <w:tcPr>
            <w:tcW w:w="1218" w:type="pct"/>
            <w:hideMark/>
          </w:tcPr>
          <w:p w14:paraId="1DD94B09" w14:textId="77777777" w:rsidR="002665ED" w:rsidRPr="002665ED" w:rsidRDefault="002665ED" w:rsidP="00DD104E">
            <w:pPr>
              <w:jc w:val="center"/>
              <w:rPr>
                <w:sz w:val="20"/>
                <w:szCs w:val="20"/>
                <w:lang w:val="en-US" w:eastAsia="pt-BR"/>
              </w:rPr>
            </w:pPr>
            <w:r w:rsidRPr="002665ED">
              <w:rPr>
                <w:color w:val="000000"/>
                <w:sz w:val="20"/>
                <w:szCs w:val="20"/>
                <w:lang w:val="en-US" w:eastAsia="pt-BR"/>
              </w:rPr>
              <w:t>17 (0.93)</w:t>
            </w:r>
          </w:p>
        </w:tc>
        <w:tc>
          <w:tcPr>
            <w:tcW w:w="1476" w:type="pct"/>
          </w:tcPr>
          <w:p w14:paraId="342057A9" w14:textId="77777777" w:rsidR="002665ED" w:rsidRPr="002665ED" w:rsidRDefault="002665ED" w:rsidP="00DD104E">
            <w:pPr>
              <w:jc w:val="center"/>
              <w:rPr>
                <w:sz w:val="20"/>
                <w:szCs w:val="20"/>
                <w:lang w:val="en-US" w:eastAsia="pt-BR"/>
              </w:rPr>
            </w:pPr>
          </w:p>
        </w:tc>
      </w:tr>
      <w:tr w:rsidR="002665ED" w:rsidRPr="002665ED" w14:paraId="4937E6F4" w14:textId="77777777" w:rsidTr="00DD104E">
        <w:trPr>
          <w:jc w:val="center"/>
        </w:trPr>
        <w:tc>
          <w:tcPr>
            <w:tcW w:w="2306" w:type="pct"/>
            <w:hideMark/>
          </w:tcPr>
          <w:p w14:paraId="5758CD74" w14:textId="77777777" w:rsidR="002665ED" w:rsidRPr="002665ED" w:rsidRDefault="002665ED" w:rsidP="00DD104E">
            <w:pPr>
              <w:rPr>
                <w:sz w:val="20"/>
                <w:szCs w:val="20"/>
                <w:lang w:val="en-US" w:eastAsia="pt-BR"/>
              </w:rPr>
            </w:pPr>
            <w:r w:rsidRPr="002665ED">
              <w:rPr>
                <w:color w:val="000000"/>
                <w:sz w:val="20"/>
                <w:szCs w:val="20"/>
                <w:lang w:val="en-US" w:eastAsia="pt-BR"/>
              </w:rPr>
              <w:t>Age group</w:t>
            </w:r>
          </w:p>
        </w:tc>
        <w:tc>
          <w:tcPr>
            <w:tcW w:w="1218" w:type="pct"/>
            <w:hideMark/>
          </w:tcPr>
          <w:p w14:paraId="04CEBE93" w14:textId="77777777" w:rsidR="002665ED" w:rsidRPr="002665ED" w:rsidRDefault="002665ED" w:rsidP="00DD104E">
            <w:pPr>
              <w:jc w:val="center"/>
              <w:rPr>
                <w:sz w:val="20"/>
                <w:szCs w:val="20"/>
                <w:lang w:val="en-US" w:eastAsia="pt-BR"/>
              </w:rPr>
            </w:pPr>
          </w:p>
        </w:tc>
        <w:tc>
          <w:tcPr>
            <w:tcW w:w="1476" w:type="pct"/>
          </w:tcPr>
          <w:p w14:paraId="0A71C24E" w14:textId="77777777" w:rsidR="002665ED" w:rsidRPr="002665ED" w:rsidRDefault="002665ED" w:rsidP="00DD104E">
            <w:pPr>
              <w:jc w:val="center"/>
              <w:rPr>
                <w:sz w:val="20"/>
                <w:szCs w:val="20"/>
                <w:lang w:eastAsia="pt-BR"/>
              </w:rPr>
            </w:pPr>
          </w:p>
        </w:tc>
      </w:tr>
      <w:tr w:rsidR="002665ED" w:rsidRPr="002665ED" w14:paraId="2BD5C408" w14:textId="77777777" w:rsidTr="00DD104E">
        <w:trPr>
          <w:jc w:val="center"/>
        </w:trPr>
        <w:tc>
          <w:tcPr>
            <w:tcW w:w="2306" w:type="pct"/>
            <w:hideMark/>
          </w:tcPr>
          <w:p w14:paraId="00A3F676" w14:textId="77777777" w:rsidR="002665ED" w:rsidRPr="002665ED" w:rsidRDefault="002665ED" w:rsidP="00DD104E">
            <w:pPr>
              <w:rPr>
                <w:sz w:val="20"/>
                <w:szCs w:val="20"/>
                <w:lang w:val="en-US" w:eastAsia="pt-BR"/>
              </w:rPr>
            </w:pPr>
            <w:r w:rsidRPr="002665ED">
              <w:rPr>
                <w:color w:val="000000"/>
                <w:sz w:val="20"/>
                <w:szCs w:val="20"/>
                <w:lang w:val="en-US" w:eastAsia="pt-BR"/>
              </w:rPr>
              <w:t>18 - 20 years</w:t>
            </w:r>
          </w:p>
        </w:tc>
        <w:tc>
          <w:tcPr>
            <w:tcW w:w="1218" w:type="pct"/>
            <w:hideMark/>
          </w:tcPr>
          <w:p w14:paraId="2D32BBD9" w14:textId="77777777" w:rsidR="002665ED" w:rsidRPr="002665ED" w:rsidRDefault="002665ED" w:rsidP="00DD104E">
            <w:pPr>
              <w:jc w:val="center"/>
              <w:rPr>
                <w:sz w:val="20"/>
                <w:szCs w:val="20"/>
                <w:lang w:val="en-US" w:eastAsia="pt-BR"/>
              </w:rPr>
            </w:pPr>
            <w:r w:rsidRPr="002665ED">
              <w:rPr>
                <w:color w:val="000000"/>
                <w:sz w:val="20"/>
                <w:szCs w:val="20"/>
                <w:lang w:val="en-US" w:eastAsia="pt-BR"/>
              </w:rPr>
              <w:t>413 (22.58)</w:t>
            </w:r>
          </w:p>
        </w:tc>
        <w:tc>
          <w:tcPr>
            <w:tcW w:w="1476" w:type="pct"/>
          </w:tcPr>
          <w:p w14:paraId="0E5D4968" w14:textId="77777777" w:rsidR="002665ED" w:rsidRPr="002665ED" w:rsidRDefault="002665ED" w:rsidP="00DD104E">
            <w:pPr>
              <w:jc w:val="center"/>
              <w:rPr>
                <w:sz w:val="20"/>
                <w:szCs w:val="20"/>
                <w:lang w:val="en-US" w:eastAsia="pt-BR"/>
              </w:rPr>
            </w:pPr>
          </w:p>
        </w:tc>
      </w:tr>
      <w:tr w:rsidR="002665ED" w:rsidRPr="002665ED" w14:paraId="005CDACD" w14:textId="77777777" w:rsidTr="00DD104E">
        <w:trPr>
          <w:jc w:val="center"/>
        </w:trPr>
        <w:tc>
          <w:tcPr>
            <w:tcW w:w="2306" w:type="pct"/>
            <w:hideMark/>
          </w:tcPr>
          <w:p w14:paraId="42CE2D4D" w14:textId="77777777" w:rsidR="002665ED" w:rsidRPr="002665ED" w:rsidRDefault="002665ED" w:rsidP="00DD104E">
            <w:pPr>
              <w:rPr>
                <w:sz w:val="20"/>
                <w:szCs w:val="20"/>
                <w:lang w:val="en-US" w:eastAsia="pt-BR"/>
              </w:rPr>
            </w:pPr>
            <w:r w:rsidRPr="002665ED">
              <w:rPr>
                <w:color w:val="000000"/>
                <w:sz w:val="20"/>
                <w:szCs w:val="20"/>
                <w:lang w:val="en-US" w:eastAsia="pt-BR"/>
              </w:rPr>
              <w:t>21 - 29 years</w:t>
            </w:r>
          </w:p>
        </w:tc>
        <w:tc>
          <w:tcPr>
            <w:tcW w:w="1218" w:type="pct"/>
            <w:hideMark/>
          </w:tcPr>
          <w:p w14:paraId="7AACC29E" w14:textId="77777777" w:rsidR="002665ED" w:rsidRPr="002665ED" w:rsidRDefault="002665ED" w:rsidP="00DD104E">
            <w:pPr>
              <w:jc w:val="center"/>
              <w:rPr>
                <w:sz w:val="20"/>
                <w:szCs w:val="20"/>
                <w:lang w:val="en-US" w:eastAsia="pt-BR"/>
              </w:rPr>
            </w:pPr>
            <w:r w:rsidRPr="002665ED">
              <w:rPr>
                <w:color w:val="000000"/>
                <w:sz w:val="20"/>
                <w:szCs w:val="20"/>
                <w:lang w:val="en-US" w:eastAsia="pt-BR"/>
              </w:rPr>
              <w:t>1,066 (58.28)</w:t>
            </w:r>
          </w:p>
        </w:tc>
        <w:tc>
          <w:tcPr>
            <w:tcW w:w="1476" w:type="pct"/>
          </w:tcPr>
          <w:p w14:paraId="50B30F40" w14:textId="77777777" w:rsidR="002665ED" w:rsidRPr="002665ED" w:rsidRDefault="002665ED" w:rsidP="00DD104E">
            <w:pPr>
              <w:jc w:val="center"/>
              <w:rPr>
                <w:sz w:val="20"/>
                <w:szCs w:val="20"/>
                <w:lang w:val="en-US" w:eastAsia="pt-BR"/>
              </w:rPr>
            </w:pPr>
            <w:r w:rsidRPr="002665ED">
              <w:rPr>
                <w:sz w:val="20"/>
                <w:szCs w:val="20"/>
                <w:lang w:val="en-US" w:eastAsia="pt-BR"/>
              </w:rPr>
              <w:t>20 (4.26)</w:t>
            </w:r>
          </w:p>
        </w:tc>
      </w:tr>
      <w:tr w:rsidR="002665ED" w:rsidRPr="002665ED" w14:paraId="4E8ED1F2" w14:textId="77777777" w:rsidTr="00DD104E">
        <w:trPr>
          <w:jc w:val="center"/>
        </w:trPr>
        <w:tc>
          <w:tcPr>
            <w:tcW w:w="2306" w:type="pct"/>
            <w:hideMark/>
          </w:tcPr>
          <w:p w14:paraId="0542A811" w14:textId="77777777" w:rsidR="002665ED" w:rsidRPr="002665ED" w:rsidRDefault="002665ED" w:rsidP="00DD104E">
            <w:pPr>
              <w:rPr>
                <w:sz w:val="20"/>
                <w:szCs w:val="20"/>
                <w:lang w:val="en-US" w:eastAsia="pt-BR"/>
              </w:rPr>
            </w:pPr>
            <w:r w:rsidRPr="002665ED">
              <w:rPr>
                <w:color w:val="000000"/>
                <w:sz w:val="20"/>
                <w:szCs w:val="20"/>
                <w:lang w:val="en-US" w:eastAsia="pt-BR"/>
              </w:rPr>
              <w:t>30 + years</w:t>
            </w:r>
          </w:p>
        </w:tc>
        <w:tc>
          <w:tcPr>
            <w:tcW w:w="1218" w:type="pct"/>
            <w:hideMark/>
          </w:tcPr>
          <w:p w14:paraId="6936537D" w14:textId="77777777" w:rsidR="002665ED" w:rsidRPr="002665ED" w:rsidRDefault="002665ED" w:rsidP="00DD104E">
            <w:pPr>
              <w:jc w:val="center"/>
              <w:rPr>
                <w:sz w:val="20"/>
                <w:szCs w:val="20"/>
                <w:lang w:val="en-US" w:eastAsia="pt-BR"/>
              </w:rPr>
            </w:pPr>
            <w:r w:rsidRPr="002665ED">
              <w:rPr>
                <w:color w:val="000000"/>
                <w:sz w:val="20"/>
                <w:szCs w:val="20"/>
                <w:lang w:val="en-US" w:eastAsia="pt-BR"/>
              </w:rPr>
              <w:t>350 (19.14)</w:t>
            </w:r>
          </w:p>
        </w:tc>
        <w:tc>
          <w:tcPr>
            <w:tcW w:w="1476" w:type="pct"/>
          </w:tcPr>
          <w:p w14:paraId="642DDD47" w14:textId="77777777" w:rsidR="002665ED" w:rsidRPr="002665ED" w:rsidRDefault="002665ED" w:rsidP="00DD104E">
            <w:pPr>
              <w:jc w:val="center"/>
              <w:rPr>
                <w:sz w:val="20"/>
                <w:szCs w:val="20"/>
                <w:lang w:val="en-US" w:eastAsia="pt-BR"/>
              </w:rPr>
            </w:pPr>
            <w:r w:rsidRPr="002665ED">
              <w:rPr>
                <w:sz w:val="20"/>
                <w:szCs w:val="20"/>
                <w:lang w:val="en-US" w:eastAsia="pt-BR"/>
              </w:rPr>
              <w:t>449 (95.74)</w:t>
            </w:r>
          </w:p>
        </w:tc>
      </w:tr>
      <w:tr w:rsidR="002665ED" w:rsidRPr="002665ED" w14:paraId="72EEAFAC" w14:textId="77777777" w:rsidTr="00DD104E">
        <w:trPr>
          <w:jc w:val="center"/>
        </w:trPr>
        <w:tc>
          <w:tcPr>
            <w:tcW w:w="2306" w:type="pct"/>
            <w:hideMark/>
          </w:tcPr>
          <w:p w14:paraId="581912FE" w14:textId="77777777" w:rsidR="002665ED" w:rsidRPr="002665ED" w:rsidRDefault="002665ED" w:rsidP="00DD104E">
            <w:pPr>
              <w:rPr>
                <w:sz w:val="20"/>
                <w:szCs w:val="20"/>
                <w:lang w:val="en-US" w:eastAsia="pt-BR"/>
              </w:rPr>
            </w:pPr>
            <w:r w:rsidRPr="002665ED">
              <w:rPr>
                <w:color w:val="000000"/>
                <w:sz w:val="20"/>
                <w:szCs w:val="20"/>
                <w:lang w:val="en-US" w:eastAsia="pt-BR"/>
              </w:rPr>
              <w:t>Race/skin color</w:t>
            </w:r>
          </w:p>
        </w:tc>
        <w:tc>
          <w:tcPr>
            <w:tcW w:w="1218" w:type="pct"/>
            <w:hideMark/>
          </w:tcPr>
          <w:p w14:paraId="54FA918F" w14:textId="77777777" w:rsidR="002665ED" w:rsidRPr="002665ED" w:rsidRDefault="002665ED" w:rsidP="00DD104E">
            <w:pPr>
              <w:jc w:val="center"/>
              <w:rPr>
                <w:sz w:val="20"/>
                <w:szCs w:val="20"/>
                <w:lang w:val="en-US" w:eastAsia="pt-BR"/>
              </w:rPr>
            </w:pPr>
          </w:p>
        </w:tc>
        <w:tc>
          <w:tcPr>
            <w:tcW w:w="1476" w:type="pct"/>
          </w:tcPr>
          <w:p w14:paraId="2BAEFB62" w14:textId="77777777" w:rsidR="002665ED" w:rsidRPr="002665ED" w:rsidRDefault="002665ED" w:rsidP="00DD104E">
            <w:pPr>
              <w:jc w:val="center"/>
              <w:rPr>
                <w:sz w:val="20"/>
                <w:szCs w:val="20"/>
                <w:lang w:eastAsia="pt-BR"/>
              </w:rPr>
            </w:pPr>
          </w:p>
        </w:tc>
      </w:tr>
      <w:tr w:rsidR="002665ED" w:rsidRPr="002665ED" w14:paraId="46D255AB" w14:textId="77777777" w:rsidTr="00DD104E">
        <w:trPr>
          <w:jc w:val="center"/>
        </w:trPr>
        <w:tc>
          <w:tcPr>
            <w:tcW w:w="2306" w:type="pct"/>
            <w:hideMark/>
          </w:tcPr>
          <w:p w14:paraId="49D647DA" w14:textId="77777777" w:rsidR="002665ED" w:rsidRPr="002665ED" w:rsidRDefault="002665ED" w:rsidP="00DD104E">
            <w:pPr>
              <w:rPr>
                <w:sz w:val="20"/>
                <w:szCs w:val="20"/>
                <w:lang w:val="en-US" w:eastAsia="pt-BR"/>
              </w:rPr>
            </w:pPr>
            <w:r w:rsidRPr="002665ED">
              <w:rPr>
                <w:color w:val="000000"/>
                <w:sz w:val="20"/>
                <w:szCs w:val="20"/>
                <w:lang w:val="en-US" w:eastAsia="pt-BR"/>
              </w:rPr>
              <w:t xml:space="preserve">Black/Pardo </w:t>
            </w:r>
          </w:p>
        </w:tc>
        <w:tc>
          <w:tcPr>
            <w:tcW w:w="1218" w:type="pct"/>
            <w:hideMark/>
          </w:tcPr>
          <w:p w14:paraId="3C8F6577" w14:textId="77777777" w:rsidR="002665ED" w:rsidRPr="002665ED" w:rsidRDefault="002665ED" w:rsidP="00DD104E">
            <w:pPr>
              <w:jc w:val="center"/>
              <w:rPr>
                <w:sz w:val="20"/>
                <w:szCs w:val="20"/>
                <w:lang w:val="en-US" w:eastAsia="pt-BR"/>
              </w:rPr>
            </w:pPr>
            <w:r w:rsidRPr="002665ED">
              <w:rPr>
                <w:color w:val="000000"/>
                <w:sz w:val="20"/>
                <w:szCs w:val="20"/>
                <w:lang w:val="en-US" w:eastAsia="pt-BR"/>
              </w:rPr>
              <w:t>937 (51.23)</w:t>
            </w:r>
          </w:p>
        </w:tc>
        <w:tc>
          <w:tcPr>
            <w:tcW w:w="1476" w:type="pct"/>
          </w:tcPr>
          <w:p w14:paraId="643455F4" w14:textId="77777777" w:rsidR="002665ED" w:rsidRPr="002665ED" w:rsidRDefault="002665ED" w:rsidP="00DD104E">
            <w:pPr>
              <w:jc w:val="center"/>
              <w:rPr>
                <w:sz w:val="20"/>
                <w:szCs w:val="20"/>
                <w:lang w:val="en-US" w:eastAsia="pt-BR"/>
              </w:rPr>
            </w:pPr>
            <w:r w:rsidRPr="002665ED">
              <w:rPr>
                <w:sz w:val="20"/>
                <w:szCs w:val="20"/>
                <w:lang w:val="en-US" w:eastAsia="pt-BR"/>
              </w:rPr>
              <w:t>168 (35.82)</w:t>
            </w:r>
          </w:p>
        </w:tc>
      </w:tr>
      <w:tr w:rsidR="002665ED" w:rsidRPr="002665ED" w14:paraId="48B4D54D" w14:textId="77777777" w:rsidTr="00DD104E">
        <w:trPr>
          <w:jc w:val="center"/>
        </w:trPr>
        <w:tc>
          <w:tcPr>
            <w:tcW w:w="2306" w:type="pct"/>
            <w:hideMark/>
          </w:tcPr>
          <w:p w14:paraId="0E2D6DC5" w14:textId="77777777" w:rsidR="002665ED" w:rsidRPr="002665ED" w:rsidRDefault="002665ED" w:rsidP="00DD104E">
            <w:pPr>
              <w:rPr>
                <w:sz w:val="20"/>
                <w:szCs w:val="20"/>
                <w:lang w:val="en-US" w:eastAsia="pt-BR"/>
              </w:rPr>
            </w:pPr>
            <w:r w:rsidRPr="002665ED">
              <w:rPr>
                <w:color w:val="000000"/>
                <w:sz w:val="20"/>
                <w:szCs w:val="20"/>
                <w:lang w:val="en-US" w:eastAsia="pt-BR"/>
              </w:rPr>
              <w:t>White</w:t>
            </w:r>
          </w:p>
        </w:tc>
        <w:tc>
          <w:tcPr>
            <w:tcW w:w="1218" w:type="pct"/>
            <w:hideMark/>
          </w:tcPr>
          <w:p w14:paraId="7FD8E093" w14:textId="77777777" w:rsidR="002665ED" w:rsidRPr="002665ED" w:rsidRDefault="002665ED" w:rsidP="00DD104E">
            <w:pPr>
              <w:jc w:val="center"/>
              <w:rPr>
                <w:sz w:val="20"/>
                <w:szCs w:val="20"/>
                <w:lang w:val="en-US" w:eastAsia="pt-BR"/>
              </w:rPr>
            </w:pPr>
            <w:r w:rsidRPr="002665ED">
              <w:rPr>
                <w:color w:val="000000"/>
                <w:sz w:val="20"/>
                <w:szCs w:val="20"/>
                <w:lang w:val="en-US" w:eastAsia="pt-BR"/>
              </w:rPr>
              <w:t>856 (46.80)</w:t>
            </w:r>
          </w:p>
        </w:tc>
        <w:tc>
          <w:tcPr>
            <w:tcW w:w="1476" w:type="pct"/>
          </w:tcPr>
          <w:p w14:paraId="3E2C6894" w14:textId="77777777" w:rsidR="002665ED" w:rsidRPr="002665ED" w:rsidRDefault="002665ED" w:rsidP="00DD104E">
            <w:pPr>
              <w:jc w:val="center"/>
              <w:rPr>
                <w:sz w:val="20"/>
                <w:szCs w:val="20"/>
                <w:lang w:val="en-US" w:eastAsia="pt-BR"/>
              </w:rPr>
            </w:pPr>
            <w:r w:rsidRPr="002665ED">
              <w:rPr>
                <w:sz w:val="20"/>
                <w:szCs w:val="20"/>
                <w:lang w:val="en-US" w:eastAsia="pt-BR"/>
              </w:rPr>
              <w:t>284 (60.55)</w:t>
            </w:r>
          </w:p>
        </w:tc>
      </w:tr>
      <w:tr w:rsidR="002665ED" w:rsidRPr="002665ED" w14:paraId="7C191948" w14:textId="77777777" w:rsidTr="00DD104E">
        <w:trPr>
          <w:jc w:val="center"/>
        </w:trPr>
        <w:tc>
          <w:tcPr>
            <w:tcW w:w="2306" w:type="pct"/>
            <w:hideMark/>
          </w:tcPr>
          <w:p w14:paraId="5C67B526" w14:textId="77777777" w:rsidR="002665ED" w:rsidRPr="002665ED" w:rsidRDefault="002665ED" w:rsidP="00DD104E">
            <w:pPr>
              <w:rPr>
                <w:sz w:val="20"/>
                <w:szCs w:val="20"/>
                <w:lang w:val="en-US" w:eastAsia="pt-BR"/>
              </w:rPr>
            </w:pPr>
            <w:r w:rsidRPr="002665ED">
              <w:rPr>
                <w:color w:val="000000"/>
                <w:sz w:val="20"/>
                <w:szCs w:val="20"/>
                <w:lang w:val="en-US" w:eastAsia="pt-BR"/>
              </w:rPr>
              <w:t>Indigenous/Yellow</w:t>
            </w:r>
          </w:p>
        </w:tc>
        <w:tc>
          <w:tcPr>
            <w:tcW w:w="1218" w:type="pct"/>
            <w:hideMark/>
          </w:tcPr>
          <w:p w14:paraId="119D6C44" w14:textId="77777777" w:rsidR="002665ED" w:rsidRPr="002665ED" w:rsidRDefault="002665ED" w:rsidP="00DD104E">
            <w:pPr>
              <w:jc w:val="center"/>
              <w:rPr>
                <w:sz w:val="20"/>
                <w:szCs w:val="20"/>
                <w:lang w:val="en-US" w:eastAsia="pt-BR"/>
              </w:rPr>
            </w:pPr>
            <w:r w:rsidRPr="002665ED">
              <w:rPr>
                <w:color w:val="000000"/>
                <w:sz w:val="20"/>
                <w:szCs w:val="20"/>
                <w:lang w:val="en-US" w:eastAsia="pt-BR"/>
              </w:rPr>
              <w:t>36 (1.97)</w:t>
            </w:r>
          </w:p>
        </w:tc>
        <w:tc>
          <w:tcPr>
            <w:tcW w:w="1476" w:type="pct"/>
          </w:tcPr>
          <w:p w14:paraId="5F4F3109" w14:textId="77777777" w:rsidR="002665ED" w:rsidRPr="002665ED" w:rsidRDefault="002665ED" w:rsidP="00DD104E">
            <w:pPr>
              <w:jc w:val="center"/>
              <w:rPr>
                <w:sz w:val="20"/>
                <w:szCs w:val="20"/>
                <w:lang w:val="en-US" w:eastAsia="pt-BR"/>
              </w:rPr>
            </w:pPr>
            <w:r w:rsidRPr="002665ED">
              <w:rPr>
                <w:sz w:val="20"/>
                <w:szCs w:val="20"/>
                <w:lang w:val="en-US" w:eastAsia="pt-BR"/>
              </w:rPr>
              <w:t>17 (3.63)</w:t>
            </w:r>
          </w:p>
        </w:tc>
      </w:tr>
      <w:tr w:rsidR="002665ED" w:rsidRPr="002665ED" w14:paraId="40F02952" w14:textId="77777777" w:rsidTr="00DD104E">
        <w:trPr>
          <w:jc w:val="center"/>
        </w:trPr>
        <w:tc>
          <w:tcPr>
            <w:tcW w:w="2306" w:type="pct"/>
            <w:hideMark/>
          </w:tcPr>
          <w:p w14:paraId="69EBD863" w14:textId="77777777" w:rsidR="002665ED" w:rsidRPr="002665ED" w:rsidRDefault="002665ED" w:rsidP="00DD104E">
            <w:pPr>
              <w:rPr>
                <w:sz w:val="20"/>
                <w:szCs w:val="20"/>
                <w:lang w:val="en-US" w:eastAsia="pt-BR"/>
              </w:rPr>
            </w:pPr>
            <w:r w:rsidRPr="002665ED">
              <w:rPr>
                <w:color w:val="000000"/>
                <w:sz w:val="20"/>
                <w:szCs w:val="20"/>
                <w:lang w:val="en-US" w:eastAsia="pt-BR"/>
              </w:rPr>
              <w:t>Educational level</w:t>
            </w:r>
          </w:p>
        </w:tc>
        <w:tc>
          <w:tcPr>
            <w:tcW w:w="1218" w:type="pct"/>
            <w:hideMark/>
          </w:tcPr>
          <w:p w14:paraId="17D94A46" w14:textId="77777777" w:rsidR="002665ED" w:rsidRPr="002665ED" w:rsidRDefault="002665ED" w:rsidP="00DD104E">
            <w:pPr>
              <w:jc w:val="center"/>
              <w:rPr>
                <w:sz w:val="20"/>
                <w:szCs w:val="20"/>
                <w:lang w:val="en-US" w:eastAsia="pt-BR"/>
              </w:rPr>
            </w:pPr>
          </w:p>
        </w:tc>
        <w:tc>
          <w:tcPr>
            <w:tcW w:w="1476" w:type="pct"/>
          </w:tcPr>
          <w:p w14:paraId="06032006" w14:textId="77777777" w:rsidR="002665ED" w:rsidRPr="002665ED" w:rsidRDefault="002665ED" w:rsidP="00DD104E">
            <w:pPr>
              <w:jc w:val="center"/>
              <w:rPr>
                <w:sz w:val="20"/>
                <w:szCs w:val="20"/>
                <w:lang w:eastAsia="pt-BR"/>
              </w:rPr>
            </w:pPr>
          </w:p>
        </w:tc>
      </w:tr>
      <w:tr w:rsidR="002665ED" w:rsidRPr="002665ED" w14:paraId="6FAE9269" w14:textId="77777777" w:rsidTr="00DD104E">
        <w:trPr>
          <w:jc w:val="center"/>
        </w:trPr>
        <w:tc>
          <w:tcPr>
            <w:tcW w:w="2306" w:type="pct"/>
            <w:hideMark/>
          </w:tcPr>
          <w:p w14:paraId="586E0FE5" w14:textId="77777777" w:rsidR="002665ED" w:rsidRPr="002665ED" w:rsidRDefault="002665ED" w:rsidP="00DD104E">
            <w:pPr>
              <w:rPr>
                <w:sz w:val="20"/>
                <w:szCs w:val="20"/>
                <w:lang w:val="en-US" w:eastAsia="pt-BR"/>
              </w:rPr>
            </w:pPr>
            <w:r w:rsidRPr="002665ED">
              <w:rPr>
                <w:color w:val="000000"/>
                <w:sz w:val="20"/>
                <w:szCs w:val="20"/>
                <w:lang w:val="en-US" w:eastAsia="pt-BR"/>
              </w:rPr>
              <w:t>Master/PhD</w:t>
            </w:r>
          </w:p>
        </w:tc>
        <w:tc>
          <w:tcPr>
            <w:tcW w:w="1218" w:type="pct"/>
            <w:hideMark/>
          </w:tcPr>
          <w:p w14:paraId="1164AD9E" w14:textId="77777777" w:rsidR="002665ED" w:rsidRPr="002665ED" w:rsidRDefault="002665ED" w:rsidP="00DD104E">
            <w:pPr>
              <w:jc w:val="center"/>
              <w:rPr>
                <w:sz w:val="20"/>
                <w:szCs w:val="20"/>
                <w:lang w:val="en-US" w:eastAsia="pt-BR"/>
              </w:rPr>
            </w:pPr>
            <w:r w:rsidRPr="002665ED">
              <w:rPr>
                <w:color w:val="000000"/>
                <w:sz w:val="20"/>
                <w:szCs w:val="20"/>
                <w:lang w:val="en-US" w:eastAsia="pt-BR"/>
              </w:rPr>
              <w:t>110 (6.01)</w:t>
            </w:r>
          </w:p>
        </w:tc>
        <w:tc>
          <w:tcPr>
            <w:tcW w:w="1476" w:type="pct"/>
          </w:tcPr>
          <w:p w14:paraId="5E654FAD" w14:textId="77777777" w:rsidR="002665ED" w:rsidRPr="002665ED" w:rsidRDefault="002665ED" w:rsidP="00DD104E">
            <w:pPr>
              <w:jc w:val="center"/>
              <w:rPr>
                <w:sz w:val="20"/>
                <w:szCs w:val="20"/>
                <w:lang w:val="en-US" w:eastAsia="pt-BR"/>
              </w:rPr>
            </w:pPr>
            <w:r w:rsidRPr="002665ED">
              <w:rPr>
                <w:sz w:val="20"/>
                <w:szCs w:val="20"/>
                <w:lang w:val="en-US" w:eastAsia="pt-BR"/>
              </w:rPr>
              <w:t>382 (81.45)</w:t>
            </w:r>
          </w:p>
        </w:tc>
      </w:tr>
      <w:tr w:rsidR="002665ED" w:rsidRPr="002665ED" w14:paraId="1A111728" w14:textId="77777777" w:rsidTr="00DD104E">
        <w:trPr>
          <w:jc w:val="center"/>
        </w:trPr>
        <w:tc>
          <w:tcPr>
            <w:tcW w:w="2306" w:type="pct"/>
            <w:hideMark/>
          </w:tcPr>
          <w:p w14:paraId="1733BBEF" w14:textId="77777777" w:rsidR="002665ED" w:rsidRPr="002665ED" w:rsidRDefault="002665ED" w:rsidP="00DD104E">
            <w:pPr>
              <w:rPr>
                <w:sz w:val="20"/>
                <w:szCs w:val="20"/>
                <w:lang w:val="en-US" w:eastAsia="pt-BR"/>
              </w:rPr>
            </w:pPr>
            <w:r w:rsidRPr="002665ED">
              <w:rPr>
                <w:color w:val="000000"/>
                <w:sz w:val="20"/>
                <w:szCs w:val="20"/>
                <w:lang w:val="en-US" w:eastAsia="pt-BR"/>
              </w:rPr>
              <w:t>University degree</w:t>
            </w:r>
          </w:p>
        </w:tc>
        <w:tc>
          <w:tcPr>
            <w:tcW w:w="1218" w:type="pct"/>
            <w:hideMark/>
          </w:tcPr>
          <w:p w14:paraId="36BD87FB" w14:textId="77777777" w:rsidR="002665ED" w:rsidRPr="002665ED" w:rsidRDefault="002665ED" w:rsidP="00DD104E">
            <w:pPr>
              <w:jc w:val="center"/>
              <w:rPr>
                <w:sz w:val="20"/>
                <w:szCs w:val="20"/>
                <w:lang w:val="en-US" w:eastAsia="pt-BR"/>
              </w:rPr>
            </w:pPr>
            <w:r w:rsidRPr="002665ED">
              <w:rPr>
                <w:color w:val="000000"/>
                <w:sz w:val="20"/>
                <w:szCs w:val="20"/>
                <w:lang w:val="en-US" w:eastAsia="pt-BR"/>
              </w:rPr>
              <w:t>567 (31.00)</w:t>
            </w:r>
          </w:p>
        </w:tc>
        <w:tc>
          <w:tcPr>
            <w:tcW w:w="1476" w:type="pct"/>
          </w:tcPr>
          <w:p w14:paraId="20167EF4" w14:textId="77777777" w:rsidR="002665ED" w:rsidRPr="002665ED" w:rsidRDefault="002665ED" w:rsidP="00DD104E">
            <w:pPr>
              <w:jc w:val="center"/>
              <w:rPr>
                <w:sz w:val="20"/>
                <w:szCs w:val="20"/>
                <w:lang w:val="en-US" w:eastAsia="pt-BR"/>
              </w:rPr>
            </w:pPr>
            <w:r w:rsidRPr="002665ED">
              <w:rPr>
                <w:sz w:val="20"/>
                <w:szCs w:val="20"/>
                <w:lang w:val="en-US" w:eastAsia="pt-BR"/>
              </w:rPr>
              <w:t>76 (16.20)</w:t>
            </w:r>
          </w:p>
        </w:tc>
      </w:tr>
      <w:tr w:rsidR="002665ED" w:rsidRPr="002665ED" w14:paraId="6762058B" w14:textId="77777777" w:rsidTr="00DD104E">
        <w:trPr>
          <w:jc w:val="center"/>
        </w:trPr>
        <w:tc>
          <w:tcPr>
            <w:tcW w:w="2306" w:type="pct"/>
            <w:hideMark/>
          </w:tcPr>
          <w:p w14:paraId="1CB21C12" w14:textId="77777777" w:rsidR="002665ED" w:rsidRPr="002665ED" w:rsidRDefault="002665ED" w:rsidP="00DD104E">
            <w:pPr>
              <w:rPr>
                <w:sz w:val="20"/>
                <w:szCs w:val="20"/>
                <w:lang w:val="en-US" w:eastAsia="pt-BR"/>
              </w:rPr>
            </w:pPr>
            <w:r w:rsidRPr="002665ED">
              <w:rPr>
                <w:color w:val="000000"/>
                <w:sz w:val="20"/>
                <w:szCs w:val="20"/>
                <w:lang w:val="en-US" w:eastAsia="pt-BR"/>
              </w:rPr>
              <w:t>Primary/Secondary</w:t>
            </w:r>
          </w:p>
        </w:tc>
        <w:tc>
          <w:tcPr>
            <w:tcW w:w="1218" w:type="pct"/>
            <w:hideMark/>
          </w:tcPr>
          <w:p w14:paraId="77EB9D67" w14:textId="77777777" w:rsidR="002665ED" w:rsidRPr="002665ED" w:rsidRDefault="002665ED" w:rsidP="00DD104E">
            <w:pPr>
              <w:jc w:val="center"/>
              <w:rPr>
                <w:sz w:val="20"/>
                <w:szCs w:val="20"/>
                <w:lang w:val="en-US" w:eastAsia="pt-BR"/>
              </w:rPr>
            </w:pPr>
            <w:r w:rsidRPr="002665ED">
              <w:rPr>
                <w:color w:val="000000"/>
                <w:sz w:val="20"/>
                <w:szCs w:val="20"/>
                <w:lang w:val="en-US" w:eastAsia="pt-BR"/>
              </w:rPr>
              <w:t>1,152 (62.99)</w:t>
            </w:r>
          </w:p>
        </w:tc>
        <w:tc>
          <w:tcPr>
            <w:tcW w:w="1476" w:type="pct"/>
          </w:tcPr>
          <w:p w14:paraId="25026178" w14:textId="77777777" w:rsidR="002665ED" w:rsidRPr="002665ED" w:rsidRDefault="002665ED" w:rsidP="00DD104E">
            <w:pPr>
              <w:jc w:val="center"/>
              <w:rPr>
                <w:sz w:val="20"/>
                <w:szCs w:val="20"/>
                <w:lang w:val="en-US" w:eastAsia="pt-BR"/>
              </w:rPr>
            </w:pPr>
            <w:r w:rsidRPr="002665ED">
              <w:rPr>
                <w:sz w:val="20"/>
                <w:szCs w:val="20"/>
                <w:lang w:val="en-US" w:eastAsia="pt-BR"/>
              </w:rPr>
              <w:t>11 (2.35)</w:t>
            </w:r>
          </w:p>
        </w:tc>
      </w:tr>
      <w:tr w:rsidR="002665ED" w:rsidRPr="002665ED" w14:paraId="27B56CE5" w14:textId="77777777" w:rsidTr="00DD104E">
        <w:trPr>
          <w:jc w:val="center"/>
        </w:trPr>
        <w:tc>
          <w:tcPr>
            <w:tcW w:w="3524" w:type="pct"/>
            <w:gridSpan w:val="2"/>
            <w:hideMark/>
          </w:tcPr>
          <w:p w14:paraId="367B943E" w14:textId="77777777" w:rsidR="002665ED" w:rsidRPr="002665ED" w:rsidRDefault="002665ED" w:rsidP="00DD104E">
            <w:pPr>
              <w:rPr>
                <w:sz w:val="20"/>
                <w:szCs w:val="20"/>
                <w:lang w:val="en-US" w:eastAsia="pt-BR"/>
              </w:rPr>
            </w:pPr>
            <w:r w:rsidRPr="002665ED">
              <w:rPr>
                <w:color w:val="000000"/>
                <w:sz w:val="20"/>
                <w:szCs w:val="20"/>
                <w:lang w:val="en-US" w:eastAsia="pt-BR"/>
              </w:rPr>
              <w:t>Any religion</w:t>
            </w:r>
          </w:p>
        </w:tc>
        <w:tc>
          <w:tcPr>
            <w:tcW w:w="1476" w:type="pct"/>
          </w:tcPr>
          <w:p w14:paraId="3DF2D3D5" w14:textId="77777777" w:rsidR="002665ED" w:rsidRPr="002665ED" w:rsidRDefault="002665ED" w:rsidP="00DD104E">
            <w:pPr>
              <w:jc w:val="center"/>
              <w:rPr>
                <w:sz w:val="20"/>
                <w:szCs w:val="20"/>
                <w:lang w:val="en-US" w:eastAsia="pt-BR"/>
              </w:rPr>
            </w:pPr>
          </w:p>
        </w:tc>
      </w:tr>
      <w:tr w:rsidR="002665ED" w:rsidRPr="002665ED" w14:paraId="28A9827B" w14:textId="77777777" w:rsidTr="00DD104E">
        <w:trPr>
          <w:jc w:val="center"/>
        </w:trPr>
        <w:tc>
          <w:tcPr>
            <w:tcW w:w="2306" w:type="pct"/>
            <w:hideMark/>
          </w:tcPr>
          <w:p w14:paraId="761F50D9" w14:textId="77777777" w:rsidR="002665ED" w:rsidRPr="002665ED" w:rsidRDefault="002665ED" w:rsidP="00DD104E">
            <w:pPr>
              <w:rPr>
                <w:sz w:val="20"/>
                <w:szCs w:val="20"/>
                <w:lang w:val="en-US" w:eastAsia="pt-BR"/>
              </w:rPr>
            </w:pPr>
            <w:r w:rsidRPr="002665ED">
              <w:rPr>
                <w:color w:val="000000"/>
                <w:sz w:val="20"/>
                <w:szCs w:val="20"/>
                <w:lang w:val="en-US" w:eastAsia="pt-BR"/>
              </w:rPr>
              <w:t>Yes</w:t>
            </w:r>
          </w:p>
        </w:tc>
        <w:tc>
          <w:tcPr>
            <w:tcW w:w="1218" w:type="pct"/>
            <w:hideMark/>
          </w:tcPr>
          <w:p w14:paraId="2A6D95DC" w14:textId="77777777" w:rsidR="002665ED" w:rsidRPr="002665ED" w:rsidRDefault="002665ED" w:rsidP="00DD104E">
            <w:pPr>
              <w:jc w:val="center"/>
              <w:rPr>
                <w:sz w:val="20"/>
                <w:szCs w:val="20"/>
                <w:lang w:val="en-US" w:eastAsia="pt-BR"/>
              </w:rPr>
            </w:pPr>
            <w:r w:rsidRPr="002665ED">
              <w:rPr>
                <w:sz w:val="20"/>
                <w:szCs w:val="20"/>
                <w:lang w:val="en-US" w:eastAsia="pt-BR"/>
              </w:rPr>
              <w:t>968 (52.93)</w:t>
            </w:r>
          </w:p>
        </w:tc>
        <w:tc>
          <w:tcPr>
            <w:tcW w:w="1476" w:type="pct"/>
          </w:tcPr>
          <w:p w14:paraId="491AEAAB" w14:textId="77777777" w:rsidR="002665ED" w:rsidRPr="002665ED" w:rsidRDefault="002665ED" w:rsidP="00DD104E">
            <w:pPr>
              <w:jc w:val="center"/>
              <w:rPr>
                <w:sz w:val="20"/>
                <w:szCs w:val="20"/>
                <w:lang w:val="en-US" w:eastAsia="pt-BR"/>
              </w:rPr>
            </w:pPr>
            <w:r w:rsidRPr="002665ED">
              <w:rPr>
                <w:sz w:val="20"/>
                <w:szCs w:val="20"/>
                <w:lang w:val="en-US" w:eastAsia="pt-BR"/>
              </w:rPr>
              <w:t>273 (58.21)</w:t>
            </w:r>
          </w:p>
        </w:tc>
      </w:tr>
      <w:tr w:rsidR="002665ED" w:rsidRPr="002665ED" w14:paraId="4DFBADA3" w14:textId="77777777" w:rsidTr="00DD104E">
        <w:trPr>
          <w:jc w:val="center"/>
        </w:trPr>
        <w:tc>
          <w:tcPr>
            <w:tcW w:w="2306" w:type="pct"/>
            <w:hideMark/>
          </w:tcPr>
          <w:p w14:paraId="09FF72CB" w14:textId="77777777" w:rsidR="002665ED" w:rsidRPr="002665ED" w:rsidRDefault="002665ED" w:rsidP="00DD104E">
            <w:pPr>
              <w:rPr>
                <w:sz w:val="20"/>
                <w:szCs w:val="20"/>
                <w:lang w:val="en-US" w:eastAsia="pt-BR"/>
              </w:rPr>
            </w:pPr>
            <w:r w:rsidRPr="002665ED">
              <w:rPr>
                <w:color w:val="000000"/>
                <w:sz w:val="20"/>
                <w:szCs w:val="20"/>
                <w:lang w:val="en-US" w:eastAsia="pt-BR"/>
              </w:rPr>
              <w:t>Marital state</w:t>
            </w:r>
          </w:p>
        </w:tc>
        <w:tc>
          <w:tcPr>
            <w:tcW w:w="1218" w:type="pct"/>
            <w:hideMark/>
          </w:tcPr>
          <w:p w14:paraId="27E37B83" w14:textId="77777777" w:rsidR="002665ED" w:rsidRPr="002665ED" w:rsidRDefault="002665ED" w:rsidP="00DD104E">
            <w:pPr>
              <w:rPr>
                <w:sz w:val="20"/>
                <w:szCs w:val="20"/>
                <w:lang w:val="en-US" w:eastAsia="pt-BR"/>
              </w:rPr>
            </w:pPr>
          </w:p>
        </w:tc>
        <w:tc>
          <w:tcPr>
            <w:tcW w:w="1476" w:type="pct"/>
          </w:tcPr>
          <w:p w14:paraId="5D06190B" w14:textId="77777777" w:rsidR="002665ED" w:rsidRPr="002665ED" w:rsidRDefault="002665ED" w:rsidP="00DD104E">
            <w:pPr>
              <w:rPr>
                <w:sz w:val="20"/>
                <w:szCs w:val="20"/>
                <w:lang w:eastAsia="pt-BR"/>
              </w:rPr>
            </w:pPr>
          </w:p>
        </w:tc>
      </w:tr>
      <w:tr w:rsidR="002665ED" w:rsidRPr="002665ED" w14:paraId="2B51628C" w14:textId="77777777" w:rsidTr="00DD104E">
        <w:trPr>
          <w:jc w:val="center"/>
        </w:trPr>
        <w:tc>
          <w:tcPr>
            <w:tcW w:w="2306" w:type="pct"/>
            <w:hideMark/>
          </w:tcPr>
          <w:p w14:paraId="4B411C9B" w14:textId="77777777" w:rsidR="002665ED" w:rsidRPr="002665ED" w:rsidRDefault="002665ED" w:rsidP="00DD104E">
            <w:pPr>
              <w:rPr>
                <w:sz w:val="20"/>
                <w:szCs w:val="20"/>
                <w:lang w:val="en-US" w:eastAsia="pt-BR"/>
              </w:rPr>
            </w:pPr>
            <w:r w:rsidRPr="002665ED">
              <w:rPr>
                <w:color w:val="000000"/>
                <w:sz w:val="20"/>
                <w:szCs w:val="20"/>
                <w:lang w:val="en-US" w:eastAsia="pt-BR"/>
              </w:rPr>
              <w:t>Married/With partner</w:t>
            </w:r>
          </w:p>
        </w:tc>
        <w:tc>
          <w:tcPr>
            <w:tcW w:w="1218" w:type="pct"/>
            <w:hideMark/>
          </w:tcPr>
          <w:p w14:paraId="1BF350B6" w14:textId="77777777" w:rsidR="002665ED" w:rsidRPr="002665ED" w:rsidRDefault="002665ED" w:rsidP="00DD104E">
            <w:pPr>
              <w:jc w:val="center"/>
              <w:rPr>
                <w:sz w:val="20"/>
                <w:szCs w:val="20"/>
                <w:lang w:val="en-US" w:eastAsia="pt-BR"/>
              </w:rPr>
            </w:pPr>
            <w:r w:rsidRPr="002665ED">
              <w:rPr>
                <w:color w:val="000000"/>
                <w:sz w:val="20"/>
                <w:szCs w:val="20"/>
                <w:lang w:val="en-US" w:eastAsia="pt-BR"/>
              </w:rPr>
              <w:t>415 (22.69)</w:t>
            </w:r>
          </w:p>
        </w:tc>
        <w:tc>
          <w:tcPr>
            <w:tcW w:w="1476" w:type="pct"/>
          </w:tcPr>
          <w:p w14:paraId="606C06E5" w14:textId="77777777" w:rsidR="002665ED" w:rsidRPr="002665ED" w:rsidRDefault="002665ED" w:rsidP="00DD104E">
            <w:pPr>
              <w:jc w:val="center"/>
              <w:rPr>
                <w:sz w:val="20"/>
                <w:szCs w:val="20"/>
                <w:lang w:val="en-US" w:eastAsia="pt-BR"/>
              </w:rPr>
            </w:pPr>
            <w:r w:rsidRPr="002665ED">
              <w:rPr>
                <w:sz w:val="20"/>
                <w:szCs w:val="20"/>
                <w:lang w:val="en-US" w:eastAsia="pt-BR"/>
              </w:rPr>
              <w:t>321 (31.56)</w:t>
            </w:r>
          </w:p>
        </w:tc>
      </w:tr>
      <w:tr w:rsidR="002665ED" w:rsidRPr="002665ED" w14:paraId="675B0E17" w14:textId="77777777" w:rsidTr="00DD104E">
        <w:trPr>
          <w:jc w:val="center"/>
        </w:trPr>
        <w:tc>
          <w:tcPr>
            <w:tcW w:w="2306" w:type="pct"/>
            <w:hideMark/>
          </w:tcPr>
          <w:p w14:paraId="6C3E6927" w14:textId="77777777" w:rsidR="002665ED" w:rsidRPr="002665ED" w:rsidRDefault="002665ED" w:rsidP="00DD104E">
            <w:pPr>
              <w:rPr>
                <w:sz w:val="20"/>
                <w:szCs w:val="20"/>
                <w:lang w:val="en-US" w:eastAsia="pt-BR"/>
              </w:rPr>
            </w:pPr>
            <w:r w:rsidRPr="002665ED">
              <w:rPr>
                <w:color w:val="000000"/>
                <w:sz w:val="20"/>
                <w:szCs w:val="20"/>
                <w:lang w:val="en-US" w:eastAsia="pt-BR"/>
              </w:rPr>
              <w:t>Single</w:t>
            </w:r>
          </w:p>
        </w:tc>
        <w:tc>
          <w:tcPr>
            <w:tcW w:w="1218" w:type="pct"/>
            <w:hideMark/>
          </w:tcPr>
          <w:p w14:paraId="3154E445" w14:textId="77777777" w:rsidR="002665ED" w:rsidRPr="002665ED" w:rsidRDefault="002665ED" w:rsidP="00DD104E">
            <w:pPr>
              <w:jc w:val="center"/>
              <w:rPr>
                <w:sz w:val="20"/>
                <w:szCs w:val="20"/>
                <w:lang w:val="en-US" w:eastAsia="pt-BR"/>
              </w:rPr>
            </w:pPr>
            <w:r w:rsidRPr="002665ED">
              <w:rPr>
                <w:color w:val="000000"/>
                <w:sz w:val="20"/>
                <w:szCs w:val="20"/>
                <w:lang w:val="en-US" w:eastAsia="pt-BR"/>
              </w:rPr>
              <w:t>1,414 (77.31)</w:t>
            </w:r>
          </w:p>
        </w:tc>
        <w:tc>
          <w:tcPr>
            <w:tcW w:w="1476" w:type="pct"/>
          </w:tcPr>
          <w:p w14:paraId="20C60283" w14:textId="77777777" w:rsidR="002665ED" w:rsidRPr="002665ED" w:rsidRDefault="002665ED" w:rsidP="00DD104E">
            <w:pPr>
              <w:jc w:val="center"/>
              <w:rPr>
                <w:sz w:val="20"/>
                <w:szCs w:val="20"/>
                <w:lang w:val="en-US" w:eastAsia="pt-BR"/>
              </w:rPr>
            </w:pPr>
            <w:r w:rsidRPr="002665ED">
              <w:rPr>
                <w:sz w:val="20"/>
                <w:szCs w:val="20"/>
                <w:lang w:val="en-US" w:eastAsia="pt-BR"/>
              </w:rPr>
              <w:t>148 (68.44)</w:t>
            </w:r>
          </w:p>
        </w:tc>
      </w:tr>
      <w:tr w:rsidR="002665ED" w:rsidRPr="006750CE" w14:paraId="2F8E8DA5" w14:textId="77777777" w:rsidTr="00DD104E">
        <w:trPr>
          <w:jc w:val="center"/>
        </w:trPr>
        <w:tc>
          <w:tcPr>
            <w:tcW w:w="5000" w:type="pct"/>
            <w:gridSpan w:val="3"/>
            <w:hideMark/>
          </w:tcPr>
          <w:p w14:paraId="2B387288" w14:textId="77777777" w:rsidR="002665ED" w:rsidRPr="002665ED" w:rsidRDefault="002665ED" w:rsidP="00DD104E">
            <w:pPr>
              <w:rPr>
                <w:sz w:val="20"/>
                <w:szCs w:val="20"/>
                <w:lang w:val="en-US" w:eastAsia="pt-BR"/>
              </w:rPr>
            </w:pPr>
            <w:r w:rsidRPr="002665ED">
              <w:rPr>
                <w:color w:val="000000"/>
                <w:sz w:val="20"/>
                <w:szCs w:val="20"/>
                <w:lang w:val="en-US" w:eastAsia="pt-BR"/>
              </w:rPr>
              <w:t>Risk group for CoVID-19 severe illness</w:t>
            </w:r>
          </w:p>
        </w:tc>
      </w:tr>
      <w:tr w:rsidR="002665ED" w:rsidRPr="002665ED" w14:paraId="5FBC8EE5" w14:textId="77777777" w:rsidTr="00DD104E">
        <w:trPr>
          <w:jc w:val="center"/>
        </w:trPr>
        <w:tc>
          <w:tcPr>
            <w:tcW w:w="2306" w:type="pct"/>
            <w:hideMark/>
          </w:tcPr>
          <w:p w14:paraId="0ADCBC4D" w14:textId="77777777" w:rsidR="002665ED" w:rsidRPr="002665ED" w:rsidRDefault="002665ED" w:rsidP="00DD104E">
            <w:pPr>
              <w:rPr>
                <w:sz w:val="20"/>
                <w:szCs w:val="20"/>
                <w:lang w:val="en-US" w:eastAsia="pt-BR"/>
              </w:rPr>
            </w:pPr>
            <w:r w:rsidRPr="002665ED">
              <w:rPr>
                <w:color w:val="000000"/>
                <w:sz w:val="20"/>
                <w:szCs w:val="20"/>
                <w:lang w:val="en-US" w:eastAsia="pt-BR"/>
              </w:rPr>
              <w:t>Yes </w:t>
            </w:r>
          </w:p>
        </w:tc>
        <w:tc>
          <w:tcPr>
            <w:tcW w:w="1218" w:type="pct"/>
            <w:hideMark/>
          </w:tcPr>
          <w:p w14:paraId="513082C7" w14:textId="77777777" w:rsidR="002665ED" w:rsidRPr="002665ED" w:rsidRDefault="002665ED" w:rsidP="00DD104E">
            <w:pPr>
              <w:jc w:val="center"/>
              <w:rPr>
                <w:sz w:val="20"/>
                <w:szCs w:val="20"/>
                <w:lang w:val="en-US" w:eastAsia="pt-BR"/>
              </w:rPr>
            </w:pPr>
            <w:r w:rsidRPr="002665ED">
              <w:rPr>
                <w:color w:val="000000"/>
                <w:sz w:val="20"/>
                <w:szCs w:val="20"/>
                <w:lang w:val="en-US" w:eastAsia="pt-BR"/>
              </w:rPr>
              <w:t>345 (18.86)</w:t>
            </w:r>
          </w:p>
        </w:tc>
        <w:tc>
          <w:tcPr>
            <w:tcW w:w="1476" w:type="pct"/>
          </w:tcPr>
          <w:p w14:paraId="4D15FDF5" w14:textId="77777777" w:rsidR="002665ED" w:rsidRPr="002665ED" w:rsidRDefault="002665ED" w:rsidP="00DD104E">
            <w:pPr>
              <w:jc w:val="center"/>
              <w:rPr>
                <w:sz w:val="20"/>
                <w:szCs w:val="20"/>
                <w:lang w:val="en-US" w:eastAsia="pt-BR"/>
              </w:rPr>
            </w:pPr>
            <w:r w:rsidRPr="002665ED">
              <w:rPr>
                <w:sz w:val="20"/>
                <w:szCs w:val="20"/>
                <w:lang w:val="en-US" w:eastAsia="pt-BR"/>
              </w:rPr>
              <w:t>131 (27.93)</w:t>
            </w:r>
          </w:p>
        </w:tc>
      </w:tr>
      <w:tr w:rsidR="002665ED" w:rsidRPr="002665ED" w14:paraId="4BC616BB" w14:textId="77777777" w:rsidTr="00DD104E">
        <w:trPr>
          <w:jc w:val="center"/>
        </w:trPr>
        <w:tc>
          <w:tcPr>
            <w:tcW w:w="2306" w:type="pct"/>
            <w:hideMark/>
          </w:tcPr>
          <w:p w14:paraId="5FC2E0CC" w14:textId="77777777" w:rsidR="002665ED" w:rsidRPr="002665ED" w:rsidRDefault="002665ED" w:rsidP="00DD104E">
            <w:pPr>
              <w:rPr>
                <w:sz w:val="20"/>
                <w:szCs w:val="20"/>
                <w:lang w:val="en-US" w:eastAsia="pt-BR"/>
              </w:rPr>
            </w:pPr>
            <w:r w:rsidRPr="002665ED">
              <w:rPr>
                <w:color w:val="000000"/>
                <w:sz w:val="20"/>
                <w:szCs w:val="20"/>
                <w:lang w:val="en-US" w:eastAsia="pt-BR"/>
              </w:rPr>
              <w:t>Cohabits</w:t>
            </w:r>
          </w:p>
        </w:tc>
        <w:tc>
          <w:tcPr>
            <w:tcW w:w="1218" w:type="pct"/>
            <w:hideMark/>
          </w:tcPr>
          <w:p w14:paraId="5236EABE" w14:textId="77777777" w:rsidR="002665ED" w:rsidRPr="002665ED" w:rsidRDefault="002665ED" w:rsidP="00DD104E">
            <w:pPr>
              <w:rPr>
                <w:sz w:val="20"/>
                <w:szCs w:val="20"/>
                <w:lang w:val="en-US" w:eastAsia="pt-BR"/>
              </w:rPr>
            </w:pPr>
          </w:p>
        </w:tc>
        <w:tc>
          <w:tcPr>
            <w:tcW w:w="1476" w:type="pct"/>
          </w:tcPr>
          <w:p w14:paraId="1FD865CC" w14:textId="77777777" w:rsidR="002665ED" w:rsidRPr="002665ED" w:rsidRDefault="002665ED" w:rsidP="00DD104E">
            <w:pPr>
              <w:rPr>
                <w:sz w:val="20"/>
                <w:szCs w:val="20"/>
                <w:lang w:eastAsia="pt-BR"/>
              </w:rPr>
            </w:pPr>
          </w:p>
        </w:tc>
      </w:tr>
      <w:tr w:rsidR="002665ED" w:rsidRPr="002665ED" w14:paraId="6C71E275" w14:textId="77777777" w:rsidTr="00DD104E">
        <w:trPr>
          <w:jc w:val="center"/>
        </w:trPr>
        <w:tc>
          <w:tcPr>
            <w:tcW w:w="2306" w:type="pct"/>
            <w:hideMark/>
          </w:tcPr>
          <w:p w14:paraId="0962D2B0" w14:textId="77777777" w:rsidR="002665ED" w:rsidRPr="002665ED" w:rsidRDefault="002665ED" w:rsidP="00DD104E">
            <w:pPr>
              <w:rPr>
                <w:sz w:val="20"/>
                <w:szCs w:val="20"/>
                <w:lang w:val="en-US" w:eastAsia="pt-BR"/>
              </w:rPr>
            </w:pPr>
            <w:r w:rsidRPr="002665ED">
              <w:rPr>
                <w:color w:val="000000"/>
                <w:sz w:val="20"/>
                <w:szCs w:val="20"/>
                <w:lang w:val="en-US" w:eastAsia="pt-BR"/>
              </w:rPr>
              <w:t>Family/Partner</w:t>
            </w:r>
          </w:p>
        </w:tc>
        <w:tc>
          <w:tcPr>
            <w:tcW w:w="1218" w:type="pct"/>
            <w:hideMark/>
          </w:tcPr>
          <w:p w14:paraId="2F3959BE" w14:textId="77777777" w:rsidR="002665ED" w:rsidRPr="002665ED" w:rsidRDefault="002665ED" w:rsidP="00DD104E">
            <w:pPr>
              <w:jc w:val="center"/>
              <w:rPr>
                <w:sz w:val="20"/>
                <w:szCs w:val="20"/>
                <w:lang w:val="en-US" w:eastAsia="pt-BR"/>
              </w:rPr>
            </w:pPr>
            <w:r w:rsidRPr="002665ED">
              <w:rPr>
                <w:color w:val="000000"/>
                <w:sz w:val="20"/>
                <w:szCs w:val="20"/>
                <w:lang w:val="en-US" w:eastAsia="pt-BR"/>
              </w:rPr>
              <w:t>1,398 (76.44)</w:t>
            </w:r>
          </w:p>
        </w:tc>
        <w:tc>
          <w:tcPr>
            <w:tcW w:w="1476" w:type="pct"/>
          </w:tcPr>
          <w:p w14:paraId="4634A384" w14:textId="77777777" w:rsidR="002665ED" w:rsidRPr="002665ED" w:rsidRDefault="002665ED" w:rsidP="00DD104E">
            <w:pPr>
              <w:jc w:val="center"/>
              <w:rPr>
                <w:sz w:val="20"/>
                <w:szCs w:val="20"/>
                <w:lang w:val="en-US" w:eastAsia="pt-BR"/>
              </w:rPr>
            </w:pPr>
            <w:r w:rsidRPr="002665ED">
              <w:rPr>
                <w:sz w:val="20"/>
                <w:szCs w:val="20"/>
                <w:lang w:val="en-US" w:eastAsia="pt-BR"/>
              </w:rPr>
              <w:t>378 (80.60)</w:t>
            </w:r>
          </w:p>
        </w:tc>
      </w:tr>
      <w:tr w:rsidR="002665ED" w:rsidRPr="002665ED" w14:paraId="43B2E9EB" w14:textId="77777777" w:rsidTr="00DD104E">
        <w:trPr>
          <w:jc w:val="center"/>
        </w:trPr>
        <w:tc>
          <w:tcPr>
            <w:tcW w:w="2306" w:type="pct"/>
            <w:hideMark/>
          </w:tcPr>
          <w:p w14:paraId="680984BC" w14:textId="77777777" w:rsidR="002665ED" w:rsidRPr="002665ED" w:rsidRDefault="002665ED" w:rsidP="00DD104E">
            <w:pPr>
              <w:rPr>
                <w:sz w:val="20"/>
                <w:szCs w:val="20"/>
                <w:lang w:val="en-US" w:eastAsia="pt-BR"/>
              </w:rPr>
            </w:pPr>
            <w:r w:rsidRPr="002665ED">
              <w:rPr>
                <w:color w:val="000000"/>
                <w:sz w:val="20"/>
                <w:szCs w:val="20"/>
                <w:lang w:val="en-US" w:eastAsia="pt-BR"/>
              </w:rPr>
              <w:t>Friends/Roommates</w:t>
            </w:r>
          </w:p>
        </w:tc>
        <w:tc>
          <w:tcPr>
            <w:tcW w:w="1218" w:type="pct"/>
            <w:hideMark/>
          </w:tcPr>
          <w:p w14:paraId="5035FF3B" w14:textId="77777777" w:rsidR="002665ED" w:rsidRPr="002665ED" w:rsidRDefault="002665ED" w:rsidP="00DD104E">
            <w:pPr>
              <w:jc w:val="center"/>
              <w:rPr>
                <w:sz w:val="20"/>
                <w:szCs w:val="20"/>
                <w:lang w:val="en-US" w:eastAsia="pt-BR"/>
              </w:rPr>
            </w:pPr>
            <w:r w:rsidRPr="002665ED">
              <w:rPr>
                <w:color w:val="000000"/>
                <w:sz w:val="20"/>
                <w:szCs w:val="20"/>
                <w:lang w:val="en-US" w:eastAsia="pt-BR"/>
              </w:rPr>
              <w:t>164 (8.97)</w:t>
            </w:r>
          </w:p>
        </w:tc>
        <w:tc>
          <w:tcPr>
            <w:tcW w:w="1476" w:type="pct"/>
          </w:tcPr>
          <w:p w14:paraId="428D5998" w14:textId="77777777" w:rsidR="002665ED" w:rsidRPr="002665ED" w:rsidRDefault="002665ED" w:rsidP="00DD104E">
            <w:pPr>
              <w:jc w:val="center"/>
              <w:rPr>
                <w:sz w:val="20"/>
                <w:szCs w:val="20"/>
                <w:lang w:val="en-US" w:eastAsia="pt-BR"/>
              </w:rPr>
            </w:pPr>
            <w:r w:rsidRPr="002665ED">
              <w:rPr>
                <w:sz w:val="20"/>
                <w:szCs w:val="20"/>
                <w:lang w:val="en-US" w:eastAsia="pt-BR"/>
              </w:rPr>
              <w:t>1 (0.21)</w:t>
            </w:r>
          </w:p>
        </w:tc>
      </w:tr>
      <w:tr w:rsidR="002665ED" w:rsidRPr="002665ED" w14:paraId="6606F02A" w14:textId="77777777" w:rsidTr="00DD104E">
        <w:trPr>
          <w:jc w:val="center"/>
        </w:trPr>
        <w:tc>
          <w:tcPr>
            <w:tcW w:w="2306" w:type="pct"/>
            <w:hideMark/>
          </w:tcPr>
          <w:p w14:paraId="41C4C412" w14:textId="77777777" w:rsidR="002665ED" w:rsidRPr="002665ED" w:rsidRDefault="002665ED" w:rsidP="00DD104E">
            <w:pPr>
              <w:rPr>
                <w:sz w:val="20"/>
                <w:szCs w:val="20"/>
                <w:lang w:val="en-US" w:eastAsia="pt-BR"/>
              </w:rPr>
            </w:pPr>
            <w:r w:rsidRPr="002665ED">
              <w:rPr>
                <w:color w:val="000000"/>
                <w:sz w:val="20"/>
                <w:szCs w:val="20"/>
                <w:lang w:val="en-US" w:eastAsia="pt-BR"/>
              </w:rPr>
              <w:t>Lives alone</w:t>
            </w:r>
          </w:p>
        </w:tc>
        <w:tc>
          <w:tcPr>
            <w:tcW w:w="1218" w:type="pct"/>
            <w:hideMark/>
          </w:tcPr>
          <w:p w14:paraId="34A2CF5D" w14:textId="77777777" w:rsidR="002665ED" w:rsidRPr="002665ED" w:rsidRDefault="002665ED" w:rsidP="00DD104E">
            <w:pPr>
              <w:jc w:val="center"/>
              <w:rPr>
                <w:sz w:val="20"/>
                <w:szCs w:val="20"/>
                <w:lang w:val="en-US" w:eastAsia="pt-BR"/>
              </w:rPr>
            </w:pPr>
            <w:r w:rsidRPr="002665ED">
              <w:rPr>
                <w:color w:val="000000"/>
                <w:sz w:val="20"/>
                <w:szCs w:val="20"/>
                <w:lang w:val="en-US" w:eastAsia="pt-BR"/>
              </w:rPr>
              <w:t>267 (14.60)</w:t>
            </w:r>
          </w:p>
        </w:tc>
        <w:tc>
          <w:tcPr>
            <w:tcW w:w="1476" w:type="pct"/>
          </w:tcPr>
          <w:p w14:paraId="64FA010B" w14:textId="77777777" w:rsidR="002665ED" w:rsidRPr="002665ED" w:rsidRDefault="002665ED" w:rsidP="00DD104E">
            <w:pPr>
              <w:jc w:val="center"/>
              <w:rPr>
                <w:sz w:val="20"/>
                <w:szCs w:val="20"/>
                <w:lang w:val="en-US" w:eastAsia="pt-BR"/>
              </w:rPr>
            </w:pPr>
            <w:r w:rsidRPr="002665ED">
              <w:rPr>
                <w:sz w:val="20"/>
                <w:szCs w:val="20"/>
                <w:lang w:val="en-US" w:eastAsia="pt-BR"/>
              </w:rPr>
              <w:t>90 (19.19)</w:t>
            </w:r>
          </w:p>
        </w:tc>
      </w:tr>
      <w:tr w:rsidR="002665ED" w:rsidRPr="006750CE" w14:paraId="16E2A6B1" w14:textId="77777777" w:rsidTr="00DD104E">
        <w:trPr>
          <w:jc w:val="center"/>
        </w:trPr>
        <w:tc>
          <w:tcPr>
            <w:tcW w:w="5000" w:type="pct"/>
            <w:gridSpan w:val="3"/>
            <w:hideMark/>
          </w:tcPr>
          <w:p w14:paraId="33386E0D" w14:textId="77777777" w:rsidR="002665ED" w:rsidRPr="002665ED" w:rsidRDefault="002665ED" w:rsidP="00DD104E">
            <w:pPr>
              <w:rPr>
                <w:sz w:val="20"/>
                <w:szCs w:val="20"/>
                <w:lang w:val="en-US" w:eastAsia="pt-BR"/>
              </w:rPr>
            </w:pPr>
            <w:r w:rsidRPr="002665ED">
              <w:rPr>
                <w:color w:val="000000"/>
                <w:sz w:val="20"/>
                <w:szCs w:val="20"/>
                <w:lang w:val="en-US" w:eastAsia="pt-BR"/>
              </w:rPr>
              <w:t xml:space="preserve">Requested a leave of absence or </w:t>
            </w:r>
            <w:r w:rsidRPr="002665ED">
              <w:rPr>
                <w:color w:val="000000"/>
                <w:sz w:val="20"/>
                <w:szCs w:val="20"/>
                <w:shd w:val="clear" w:color="auto" w:fill="FFFFFF"/>
                <w:lang w:val="en-US" w:eastAsia="pt-BR"/>
              </w:rPr>
              <w:t>took leave from work because of the pandemic?</w:t>
            </w:r>
          </w:p>
        </w:tc>
      </w:tr>
      <w:tr w:rsidR="002665ED" w:rsidRPr="002665ED" w14:paraId="040420FF" w14:textId="77777777" w:rsidTr="00DD104E">
        <w:trPr>
          <w:jc w:val="center"/>
        </w:trPr>
        <w:tc>
          <w:tcPr>
            <w:tcW w:w="2306" w:type="pct"/>
            <w:hideMark/>
          </w:tcPr>
          <w:p w14:paraId="10219019" w14:textId="77777777" w:rsidR="002665ED" w:rsidRPr="002665ED" w:rsidRDefault="002665ED" w:rsidP="00DD104E">
            <w:pPr>
              <w:rPr>
                <w:sz w:val="20"/>
                <w:szCs w:val="20"/>
                <w:lang w:val="en-US" w:eastAsia="pt-BR"/>
              </w:rPr>
            </w:pPr>
            <w:r w:rsidRPr="002665ED">
              <w:rPr>
                <w:color w:val="000000"/>
                <w:sz w:val="20"/>
                <w:szCs w:val="20"/>
                <w:lang w:val="en-US" w:eastAsia="pt-BR"/>
              </w:rPr>
              <w:t>Yes </w:t>
            </w:r>
          </w:p>
        </w:tc>
        <w:tc>
          <w:tcPr>
            <w:tcW w:w="1218" w:type="pct"/>
            <w:hideMark/>
          </w:tcPr>
          <w:p w14:paraId="72A1C09B" w14:textId="77777777" w:rsidR="002665ED" w:rsidRPr="002665ED" w:rsidRDefault="002665ED" w:rsidP="00DD104E">
            <w:pPr>
              <w:jc w:val="center"/>
              <w:rPr>
                <w:sz w:val="20"/>
                <w:szCs w:val="20"/>
                <w:lang w:val="en-US" w:eastAsia="pt-BR"/>
              </w:rPr>
            </w:pPr>
            <w:r w:rsidRPr="002665ED">
              <w:rPr>
                <w:color w:val="000000"/>
                <w:sz w:val="20"/>
                <w:szCs w:val="20"/>
                <w:lang w:val="en-US" w:eastAsia="pt-BR"/>
              </w:rPr>
              <w:t>272 (14.87)</w:t>
            </w:r>
          </w:p>
        </w:tc>
        <w:tc>
          <w:tcPr>
            <w:tcW w:w="1476" w:type="pct"/>
          </w:tcPr>
          <w:p w14:paraId="4266FCFC" w14:textId="77777777" w:rsidR="002665ED" w:rsidRPr="002665ED" w:rsidRDefault="002665ED" w:rsidP="00DD104E">
            <w:pPr>
              <w:jc w:val="center"/>
              <w:rPr>
                <w:sz w:val="20"/>
                <w:szCs w:val="20"/>
                <w:lang w:val="en-US" w:eastAsia="pt-BR"/>
              </w:rPr>
            </w:pPr>
            <w:r w:rsidRPr="002665ED">
              <w:rPr>
                <w:sz w:val="20"/>
                <w:szCs w:val="20"/>
                <w:lang w:val="en-US" w:eastAsia="pt-BR"/>
              </w:rPr>
              <w:t>20 (4.26)</w:t>
            </w:r>
          </w:p>
        </w:tc>
      </w:tr>
    </w:tbl>
    <w:p w14:paraId="2D729B1F" w14:textId="77777777" w:rsidR="002665ED" w:rsidRPr="002665ED" w:rsidRDefault="002665ED" w:rsidP="002665ED">
      <w:pPr>
        <w:rPr>
          <w:sz w:val="20"/>
          <w:szCs w:val="20"/>
          <w:lang w:val="en-US" w:eastAsia="pt-BR"/>
        </w:rPr>
      </w:pPr>
      <w:r w:rsidRPr="002665ED">
        <w:rPr>
          <w:rFonts w:eastAsia="Calibri"/>
          <w:sz w:val="20"/>
          <w:szCs w:val="20"/>
          <w:lang w:val="en-US"/>
        </w:rPr>
        <w:t>Source: Author</w:t>
      </w:r>
      <w:r>
        <w:rPr>
          <w:rFonts w:eastAsia="Calibri"/>
          <w:sz w:val="20"/>
          <w:szCs w:val="20"/>
          <w:lang w:val="en-US"/>
        </w:rPr>
        <w:t>s</w:t>
      </w:r>
      <w:r w:rsidRPr="002665ED">
        <w:rPr>
          <w:rFonts w:eastAsia="Calibri"/>
          <w:sz w:val="20"/>
          <w:szCs w:val="20"/>
          <w:lang w:val="en-US"/>
        </w:rPr>
        <w:t>.</w:t>
      </w:r>
    </w:p>
    <w:bookmarkEnd w:id="0"/>
    <w:p w14:paraId="5B9F2B6A" w14:textId="77777777" w:rsidR="002665ED" w:rsidRDefault="002665ED" w:rsidP="002665ED">
      <w:pPr>
        <w:pStyle w:val="Prrafocomn"/>
      </w:pPr>
      <w:r>
        <w:lastRenderedPageBreak/>
        <w:t xml:space="preserve">Overall, around one quarter (26.82%) of participants endorsed started using substances during the COVID-19 pandemic. Table 2 presents proportions of participants reporting started to use substances during the CoVID-19 pandemic according to substance type for students and professors and staff. Medical drugs (prescribed or non-prescribed) </w:t>
      </w:r>
      <w:proofErr w:type="gramStart"/>
      <w:r>
        <w:t>was</w:t>
      </w:r>
      <w:proofErr w:type="gramEnd"/>
      <w:r>
        <w:t xml:space="preserve"> the substance group most frequently reported by both students and professors/staff followed by alcohol, while illicit substances were the least reported in both groups.</w:t>
      </w:r>
    </w:p>
    <w:p w14:paraId="7ADCF193" w14:textId="77777777" w:rsidR="002665ED" w:rsidRDefault="002665ED" w:rsidP="002665ED">
      <w:pPr>
        <w:pStyle w:val="Prrafocomn"/>
      </w:pPr>
    </w:p>
    <w:p w14:paraId="7A41F96C" w14:textId="77777777" w:rsidR="002665ED" w:rsidRPr="002665ED" w:rsidRDefault="002665ED" w:rsidP="002665ED">
      <w:pPr>
        <w:rPr>
          <w:color w:val="000000"/>
          <w:sz w:val="20"/>
          <w:szCs w:val="20"/>
          <w:shd w:val="clear" w:color="auto" w:fill="FFFFFF"/>
          <w:lang w:val="en-US" w:eastAsia="pt-BR"/>
        </w:rPr>
      </w:pPr>
      <w:bookmarkStart w:id="1" w:name="_Hlk111916583"/>
      <w:r w:rsidRPr="002665ED">
        <w:rPr>
          <w:color w:val="000000"/>
          <w:sz w:val="20"/>
          <w:szCs w:val="20"/>
          <w:shd w:val="clear" w:color="auto" w:fill="FFFFFF"/>
          <w:lang w:val="en-US" w:eastAsia="pt-BR"/>
        </w:rPr>
        <w:t>Table 2.</w:t>
      </w:r>
    </w:p>
    <w:p w14:paraId="500AA02A" w14:textId="77777777" w:rsidR="002665ED" w:rsidRPr="002665ED" w:rsidRDefault="002665ED" w:rsidP="002665ED">
      <w:pPr>
        <w:rPr>
          <w:color w:val="000000"/>
          <w:sz w:val="20"/>
          <w:szCs w:val="20"/>
          <w:shd w:val="clear" w:color="auto" w:fill="FFFFFF"/>
          <w:lang w:val="en-US" w:eastAsia="pt-BR"/>
        </w:rPr>
      </w:pPr>
      <w:r w:rsidRPr="002665ED">
        <w:rPr>
          <w:color w:val="000000"/>
          <w:sz w:val="20"/>
          <w:szCs w:val="20"/>
          <w:shd w:val="clear" w:color="auto" w:fill="FFFFFF"/>
          <w:lang w:val="en-US" w:eastAsia="pt-BR"/>
        </w:rPr>
        <w:t xml:space="preserve">Proportions of participants reporting substance use initiation during the CoVID-19 pandemic, </w:t>
      </w:r>
      <w:r w:rsidRPr="002665ED">
        <w:rPr>
          <w:sz w:val="20"/>
          <w:szCs w:val="20"/>
          <w:lang w:val="en-US" w:eastAsia="pt-BR"/>
        </w:rPr>
        <w:t>April - September 2021</w:t>
      </w:r>
      <w:r w:rsidRPr="002665ED">
        <w:rPr>
          <w:color w:val="000000"/>
          <w:sz w:val="20"/>
          <w:szCs w:val="20"/>
          <w:shd w:val="clear" w:color="auto" w:fill="FFFFFF"/>
          <w:lang w:val="en-US" w:eastAsia="pt-BR"/>
        </w:rPr>
        <w:t>.</w:t>
      </w:r>
    </w:p>
    <w:tbl>
      <w:tblPr>
        <w:tblStyle w:val="Tabelacomgrade"/>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3480"/>
        <w:gridCol w:w="3310"/>
      </w:tblGrid>
      <w:tr w:rsidR="002665ED" w:rsidRPr="002665ED" w14:paraId="1FB8EA03" w14:textId="77777777" w:rsidTr="00DD104E">
        <w:tc>
          <w:tcPr>
            <w:tcW w:w="5000" w:type="pct"/>
            <w:gridSpan w:val="3"/>
            <w:tcBorders>
              <w:top w:val="single" w:sz="4" w:space="0" w:color="auto"/>
            </w:tcBorders>
          </w:tcPr>
          <w:p w14:paraId="42AF55E2" w14:textId="77777777" w:rsidR="002665ED" w:rsidRPr="002665ED" w:rsidRDefault="002665ED" w:rsidP="00DD104E">
            <w:pPr>
              <w:jc w:val="center"/>
              <w:rPr>
                <w:sz w:val="20"/>
                <w:szCs w:val="20"/>
                <w:lang w:val="en-US"/>
              </w:rPr>
            </w:pPr>
            <w:r w:rsidRPr="002665ED">
              <w:rPr>
                <w:sz w:val="20"/>
                <w:szCs w:val="20"/>
                <w:lang w:val="en-US"/>
              </w:rPr>
              <w:t>Started to use substances during the pandemic</w:t>
            </w:r>
          </w:p>
          <w:p w14:paraId="5B7E84C9" w14:textId="77777777" w:rsidR="002665ED" w:rsidRPr="002665ED" w:rsidRDefault="002665ED" w:rsidP="00DD104E">
            <w:pPr>
              <w:jc w:val="center"/>
              <w:rPr>
                <w:sz w:val="20"/>
                <w:szCs w:val="20"/>
                <w:lang w:val="en-US"/>
              </w:rPr>
            </w:pPr>
            <w:r w:rsidRPr="002665ED">
              <w:rPr>
                <w:sz w:val="20"/>
                <w:szCs w:val="20"/>
                <w:lang w:val="en-US"/>
              </w:rPr>
              <w:t>n% (95% C.I)</w:t>
            </w:r>
          </w:p>
        </w:tc>
      </w:tr>
      <w:tr w:rsidR="002665ED" w:rsidRPr="002665ED" w14:paraId="1B3A3A4A" w14:textId="77777777" w:rsidTr="00DD104E">
        <w:tc>
          <w:tcPr>
            <w:tcW w:w="1373" w:type="pct"/>
            <w:tcBorders>
              <w:top w:val="single" w:sz="4" w:space="0" w:color="auto"/>
              <w:bottom w:val="single" w:sz="4" w:space="0" w:color="auto"/>
            </w:tcBorders>
          </w:tcPr>
          <w:p w14:paraId="13F64A83" w14:textId="77777777" w:rsidR="002665ED" w:rsidRPr="002665ED" w:rsidRDefault="002665ED" w:rsidP="00DD104E">
            <w:pPr>
              <w:rPr>
                <w:sz w:val="20"/>
                <w:szCs w:val="20"/>
                <w:lang w:val="en-US"/>
              </w:rPr>
            </w:pPr>
            <w:r w:rsidRPr="002665ED">
              <w:rPr>
                <w:sz w:val="20"/>
                <w:szCs w:val="20"/>
                <w:lang w:val="en-US"/>
              </w:rPr>
              <w:t>Substance</w:t>
            </w:r>
          </w:p>
        </w:tc>
        <w:tc>
          <w:tcPr>
            <w:tcW w:w="1859" w:type="pct"/>
            <w:tcBorders>
              <w:top w:val="single" w:sz="4" w:space="0" w:color="auto"/>
              <w:bottom w:val="single" w:sz="4" w:space="0" w:color="auto"/>
            </w:tcBorders>
          </w:tcPr>
          <w:p w14:paraId="6A9539C3" w14:textId="77777777" w:rsidR="002665ED" w:rsidRPr="002665ED" w:rsidRDefault="002665ED" w:rsidP="00DD104E">
            <w:pPr>
              <w:jc w:val="center"/>
              <w:rPr>
                <w:sz w:val="20"/>
                <w:szCs w:val="20"/>
                <w:lang w:val="en-US"/>
              </w:rPr>
            </w:pPr>
            <w:r w:rsidRPr="002665ED">
              <w:rPr>
                <w:sz w:val="20"/>
                <w:szCs w:val="20"/>
                <w:lang w:val="en-US"/>
              </w:rPr>
              <w:t>Students</w:t>
            </w:r>
          </w:p>
        </w:tc>
        <w:tc>
          <w:tcPr>
            <w:tcW w:w="1768" w:type="pct"/>
            <w:tcBorders>
              <w:top w:val="single" w:sz="4" w:space="0" w:color="auto"/>
              <w:bottom w:val="single" w:sz="4" w:space="0" w:color="auto"/>
            </w:tcBorders>
          </w:tcPr>
          <w:p w14:paraId="79D5D430" w14:textId="77777777" w:rsidR="002665ED" w:rsidRPr="002665ED" w:rsidRDefault="002665ED" w:rsidP="00DD104E">
            <w:pPr>
              <w:jc w:val="center"/>
              <w:rPr>
                <w:sz w:val="20"/>
                <w:szCs w:val="20"/>
                <w:lang w:val="en-US"/>
              </w:rPr>
            </w:pPr>
            <w:r w:rsidRPr="002665ED">
              <w:rPr>
                <w:sz w:val="20"/>
                <w:szCs w:val="20"/>
                <w:lang w:val="en-US"/>
              </w:rPr>
              <w:t>Professors and Staff</w:t>
            </w:r>
          </w:p>
        </w:tc>
      </w:tr>
      <w:tr w:rsidR="002665ED" w:rsidRPr="002665ED" w14:paraId="45BE117C" w14:textId="77777777" w:rsidTr="00DD104E">
        <w:tc>
          <w:tcPr>
            <w:tcW w:w="1373" w:type="pct"/>
            <w:tcBorders>
              <w:top w:val="single" w:sz="4" w:space="0" w:color="auto"/>
            </w:tcBorders>
          </w:tcPr>
          <w:p w14:paraId="23DADE4F" w14:textId="77777777" w:rsidR="002665ED" w:rsidRPr="002665ED" w:rsidRDefault="002665ED" w:rsidP="00DD104E">
            <w:pPr>
              <w:rPr>
                <w:sz w:val="20"/>
                <w:szCs w:val="20"/>
                <w:lang w:val="en-US"/>
              </w:rPr>
            </w:pPr>
            <w:r w:rsidRPr="002665ED">
              <w:rPr>
                <w:sz w:val="20"/>
                <w:szCs w:val="20"/>
                <w:lang w:val="en-US"/>
              </w:rPr>
              <w:t>Alcohol</w:t>
            </w:r>
          </w:p>
        </w:tc>
        <w:tc>
          <w:tcPr>
            <w:tcW w:w="1859" w:type="pct"/>
            <w:tcBorders>
              <w:top w:val="single" w:sz="4" w:space="0" w:color="auto"/>
            </w:tcBorders>
          </w:tcPr>
          <w:p w14:paraId="1E8F43BC" w14:textId="77777777" w:rsidR="002665ED" w:rsidRPr="002665ED" w:rsidRDefault="002665ED" w:rsidP="00DD104E">
            <w:pPr>
              <w:jc w:val="center"/>
              <w:rPr>
                <w:sz w:val="20"/>
                <w:szCs w:val="20"/>
                <w:lang w:val="en-US"/>
              </w:rPr>
            </w:pPr>
            <w:r w:rsidRPr="002665ED">
              <w:rPr>
                <w:sz w:val="20"/>
                <w:szCs w:val="20"/>
                <w:lang w:val="en-US"/>
              </w:rPr>
              <w:t>243</w:t>
            </w:r>
          </w:p>
          <w:p w14:paraId="79263E43" w14:textId="77777777" w:rsidR="002665ED" w:rsidRPr="002665ED" w:rsidRDefault="002665ED" w:rsidP="00DD104E">
            <w:pPr>
              <w:jc w:val="center"/>
              <w:rPr>
                <w:sz w:val="20"/>
                <w:szCs w:val="20"/>
                <w:lang w:val="en-US"/>
              </w:rPr>
            </w:pPr>
            <w:r w:rsidRPr="002665ED">
              <w:rPr>
                <w:sz w:val="20"/>
                <w:szCs w:val="20"/>
                <w:lang w:val="en-US"/>
              </w:rPr>
              <w:t>13.29 (11.78-14.95)</w:t>
            </w:r>
          </w:p>
        </w:tc>
        <w:tc>
          <w:tcPr>
            <w:tcW w:w="1768" w:type="pct"/>
            <w:tcBorders>
              <w:top w:val="single" w:sz="4" w:space="0" w:color="auto"/>
            </w:tcBorders>
          </w:tcPr>
          <w:p w14:paraId="4B2F8EAB" w14:textId="77777777" w:rsidR="002665ED" w:rsidRPr="002665ED" w:rsidRDefault="002665ED" w:rsidP="00DD104E">
            <w:pPr>
              <w:jc w:val="center"/>
              <w:rPr>
                <w:sz w:val="20"/>
                <w:szCs w:val="20"/>
                <w:lang w:val="en-US"/>
              </w:rPr>
            </w:pPr>
            <w:r w:rsidRPr="002665ED">
              <w:rPr>
                <w:sz w:val="20"/>
                <w:szCs w:val="20"/>
                <w:lang w:val="en-US"/>
              </w:rPr>
              <w:t>31</w:t>
            </w:r>
          </w:p>
          <w:p w14:paraId="7A81198C" w14:textId="77777777" w:rsidR="002665ED" w:rsidRPr="002665ED" w:rsidRDefault="002665ED" w:rsidP="00DD104E">
            <w:pPr>
              <w:jc w:val="center"/>
              <w:rPr>
                <w:sz w:val="20"/>
                <w:szCs w:val="20"/>
                <w:lang w:val="en-US"/>
              </w:rPr>
            </w:pPr>
            <w:r w:rsidRPr="002665ED">
              <w:rPr>
                <w:sz w:val="20"/>
                <w:szCs w:val="20"/>
                <w:lang w:val="en-US"/>
              </w:rPr>
              <w:t>6.61 (4.61-9.35)</w:t>
            </w:r>
          </w:p>
        </w:tc>
      </w:tr>
      <w:tr w:rsidR="002665ED" w:rsidRPr="002665ED" w14:paraId="3416628F" w14:textId="77777777" w:rsidTr="00DD104E">
        <w:tc>
          <w:tcPr>
            <w:tcW w:w="1373" w:type="pct"/>
          </w:tcPr>
          <w:p w14:paraId="27B1A52E" w14:textId="77777777" w:rsidR="002665ED" w:rsidRPr="002665ED" w:rsidRDefault="002665ED" w:rsidP="00DD104E">
            <w:pPr>
              <w:rPr>
                <w:sz w:val="20"/>
                <w:szCs w:val="20"/>
                <w:lang w:val="en-US"/>
              </w:rPr>
            </w:pPr>
            <w:r w:rsidRPr="002665ED">
              <w:rPr>
                <w:sz w:val="20"/>
                <w:szCs w:val="20"/>
                <w:lang w:val="en-US"/>
              </w:rPr>
              <w:t>Tobacco</w:t>
            </w:r>
          </w:p>
        </w:tc>
        <w:tc>
          <w:tcPr>
            <w:tcW w:w="1859" w:type="pct"/>
          </w:tcPr>
          <w:p w14:paraId="651A9519" w14:textId="77777777" w:rsidR="002665ED" w:rsidRPr="002665ED" w:rsidRDefault="002665ED" w:rsidP="00DD104E">
            <w:pPr>
              <w:jc w:val="center"/>
              <w:rPr>
                <w:sz w:val="20"/>
                <w:szCs w:val="20"/>
                <w:lang w:val="en-US"/>
              </w:rPr>
            </w:pPr>
            <w:r w:rsidRPr="002665ED">
              <w:rPr>
                <w:sz w:val="20"/>
                <w:szCs w:val="20"/>
                <w:lang w:val="en-US"/>
              </w:rPr>
              <w:t>129</w:t>
            </w:r>
          </w:p>
          <w:p w14:paraId="47D6D38C" w14:textId="77777777" w:rsidR="002665ED" w:rsidRPr="002665ED" w:rsidRDefault="002665ED" w:rsidP="00DD104E">
            <w:pPr>
              <w:jc w:val="center"/>
              <w:rPr>
                <w:sz w:val="20"/>
                <w:szCs w:val="20"/>
                <w:lang w:val="en-US"/>
              </w:rPr>
            </w:pPr>
            <w:r w:rsidRPr="002665ED">
              <w:rPr>
                <w:sz w:val="20"/>
                <w:szCs w:val="20"/>
                <w:lang w:val="en-US"/>
              </w:rPr>
              <w:t>7.05 (5.94-8.35)</w:t>
            </w:r>
          </w:p>
        </w:tc>
        <w:tc>
          <w:tcPr>
            <w:tcW w:w="1768" w:type="pct"/>
          </w:tcPr>
          <w:p w14:paraId="177E782E" w14:textId="77777777" w:rsidR="002665ED" w:rsidRPr="002665ED" w:rsidRDefault="002665ED" w:rsidP="00DD104E">
            <w:pPr>
              <w:jc w:val="center"/>
              <w:rPr>
                <w:sz w:val="20"/>
                <w:szCs w:val="20"/>
                <w:lang w:val="en-US"/>
              </w:rPr>
            </w:pPr>
            <w:r w:rsidRPr="002665ED">
              <w:rPr>
                <w:sz w:val="20"/>
                <w:szCs w:val="20"/>
                <w:lang w:val="en-US"/>
              </w:rPr>
              <w:t>8</w:t>
            </w:r>
          </w:p>
          <w:p w14:paraId="69D539C6" w14:textId="77777777" w:rsidR="002665ED" w:rsidRPr="002665ED" w:rsidRDefault="002665ED" w:rsidP="00DD104E">
            <w:pPr>
              <w:jc w:val="center"/>
              <w:rPr>
                <w:sz w:val="20"/>
                <w:szCs w:val="20"/>
                <w:lang w:val="en-US"/>
              </w:rPr>
            </w:pPr>
            <w:r w:rsidRPr="002665ED">
              <w:rPr>
                <w:sz w:val="20"/>
                <w:szCs w:val="20"/>
                <w:lang w:val="en-US"/>
              </w:rPr>
              <w:t>1.71 (0.79-3.47)</w:t>
            </w:r>
          </w:p>
        </w:tc>
      </w:tr>
      <w:tr w:rsidR="002665ED" w:rsidRPr="002665ED" w14:paraId="22226781" w14:textId="77777777" w:rsidTr="00DD104E">
        <w:tc>
          <w:tcPr>
            <w:tcW w:w="1373" w:type="pct"/>
          </w:tcPr>
          <w:p w14:paraId="59CFC491" w14:textId="77777777" w:rsidR="002665ED" w:rsidRPr="002665ED" w:rsidRDefault="002665ED" w:rsidP="00DD104E">
            <w:pPr>
              <w:rPr>
                <w:sz w:val="20"/>
                <w:szCs w:val="20"/>
                <w:lang w:val="en-US"/>
              </w:rPr>
            </w:pPr>
            <w:r w:rsidRPr="002665ED">
              <w:rPr>
                <w:sz w:val="20"/>
                <w:szCs w:val="20"/>
                <w:lang w:val="en-US"/>
              </w:rPr>
              <w:t>Medical drugs</w:t>
            </w:r>
          </w:p>
        </w:tc>
        <w:tc>
          <w:tcPr>
            <w:tcW w:w="1859" w:type="pct"/>
          </w:tcPr>
          <w:p w14:paraId="12B4C67F" w14:textId="77777777" w:rsidR="002665ED" w:rsidRPr="002665ED" w:rsidRDefault="002665ED" w:rsidP="00DD104E">
            <w:pPr>
              <w:jc w:val="center"/>
              <w:rPr>
                <w:sz w:val="20"/>
                <w:szCs w:val="20"/>
                <w:lang w:val="en-US"/>
              </w:rPr>
            </w:pPr>
            <w:r w:rsidRPr="002665ED">
              <w:rPr>
                <w:sz w:val="20"/>
                <w:szCs w:val="20"/>
                <w:lang w:val="en-US"/>
              </w:rPr>
              <w:t>313</w:t>
            </w:r>
          </w:p>
          <w:p w14:paraId="3C2FA51E" w14:textId="77777777" w:rsidR="002665ED" w:rsidRPr="002665ED" w:rsidRDefault="002665ED" w:rsidP="00DD104E">
            <w:pPr>
              <w:jc w:val="center"/>
              <w:rPr>
                <w:sz w:val="20"/>
                <w:szCs w:val="20"/>
                <w:lang w:val="en-US"/>
              </w:rPr>
            </w:pPr>
            <w:r w:rsidRPr="002665ED">
              <w:rPr>
                <w:sz w:val="20"/>
                <w:szCs w:val="20"/>
                <w:lang w:val="en-US"/>
              </w:rPr>
              <w:t>17.11 (15.43-18.94)</w:t>
            </w:r>
          </w:p>
        </w:tc>
        <w:tc>
          <w:tcPr>
            <w:tcW w:w="1768" w:type="pct"/>
          </w:tcPr>
          <w:p w14:paraId="0ADE4578" w14:textId="77777777" w:rsidR="002665ED" w:rsidRPr="002665ED" w:rsidRDefault="002665ED" w:rsidP="00DD104E">
            <w:pPr>
              <w:jc w:val="center"/>
              <w:rPr>
                <w:sz w:val="20"/>
                <w:szCs w:val="20"/>
                <w:lang w:val="en-US"/>
              </w:rPr>
            </w:pPr>
            <w:r w:rsidRPr="002665ED">
              <w:rPr>
                <w:sz w:val="20"/>
                <w:szCs w:val="20"/>
                <w:lang w:val="en-US"/>
              </w:rPr>
              <w:t>77</w:t>
            </w:r>
          </w:p>
          <w:p w14:paraId="0C1BD0B5" w14:textId="77777777" w:rsidR="002665ED" w:rsidRPr="002665ED" w:rsidRDefault="002665ED" w:rsidP="00DD104E">
            <w:pPr>
              <w:jc w:val="center"/>
              <w:rPr>
                <w:sz w:val="20"/>
                <w:szCs w:val="20"/>
                <w:lang w:val="en-US"/>
              </w:rPr>
            </w:pPr>
            <w:r w:rsidRPr="002665ED">
              <w:rPr>
                <w:sz w:val="20"/>
                <w:szCs w:val="20"/>
                <w:lang w:val="en-US"/>
              </w:rPr>
              <w:t>16.42 (13.24-20.16)</w:t>
            </w:r>
          </w:p>
        </w:tc>
      </w:tr>
      <w:tr w:rsidR="002665ED" w:rsidRPr="002665ED" w14:paraId="6B1471CF" w14:textId="77777777" w:rsidTr="00DD104E">
        <w:tc>
          <w:tcPr>
            <w:tcW w:w="1373" w:type="pct"/>
          </w:tcPr>
          <w:p w14:paraId="1CE978BC" w14:textId="77777777" w:rsidR="002665ED" w:rsidRPr="002665ED" w:rsidRDefault="002665ED" w:rsidP="00DD104E">
            <w:pPr>
              <w:rPr>
                <w:sz w:val="20"/>
                <w:szCs w:val="20"/>
                <w:lang w:val="en-US"/>
              </w:rPr>
            </w:pPr>
            <w:r w:rsidRPr="002665ED">
              <w:rPr>
                <w:sz w:val="20"/>
                <w:szCs w:val="20"/>
                <w:lang w:val="en-US"/>
              </w:rPr>
              <w:t>Illicit substances</w:t>
            </w:r>
          </w:p>
        </w:tc>
        <w:tc>
          <w:tcPr>
            <w:tcW w:w="1859" w:type="pct"/>
          </w:tcPr>
          <w:p w14:paraId="43C998F7" w14:textId="77777777" w:rsidR="002665ED" w:rsidRPr="002665ED" w:rsidRDefault="002665ED" w:rsidP="00DD104E">
            <w:pPr>
              <w:jc w:val="center"/>
              <w:rPr>
                <w:sz w:val="20"/>
                <w:szCs w:val="20"/>
                <w:lang w:val="en-US"/>
              </w:rPr>
            </w:pPr>
            <w:r w:rsidRPr="002665ED">
              <w:rPr>
                <w:sz w:val="20"/>
                <w:szCs w:val="20"/>
                <w:lang w:val="en-US"/>
              </w:rPr>
              <w:t>71</w:t>
            </w:r>
          </w:p>
          <w:p w14:paraId="27FE1F50" w14:textId="77777777" w:rsidR="002665ED" w:rsidRPr="002665ED" w:rsidRDefault="002665ED" w:rsidP="00DD104E">
            <w:pPr>
              <w:jc w:val="center"/>
              <w:rPr>
                <w:sz w:val="20"/>
                <w:szCs w:val="20"/>
                <w:lang w:val="en-US"/>
              </w:rPr>
            </w:pPr>
            <w:r w:rsidRPr="002665ED">
              <w:rPr>
                <w:sz w:val="20"/>
                <w:szCs w:val="20"/>
                <w:lang w:val="en-US"/>
              </w:rPr>
              <w:t>3.88 (3.06-4.90)</w:t>
            </w:r>
          </w:p>
        </w:tc>
        <w:tc>
          <w:tcPr>
            <w:tcW w:w="1768" w:type="pct"/>
          </w:tcPr>
          <w:p w14:paraId="5B0402E6" w14:textId="77777777" w:rsidR="002665ED" w:rsidRPr="002665ED" w:rsidRDefault="002665ED" w:rsidP="00DD104E">
            <w:pPr>
              <w:jc w:val="center"/>
              <w:rPr>
                <w:sz w:val="20"/>
                <w:szCs w:val="20"/>
                <w:lang w:val="en-US"/>
              </w:rPr>
            </w:pPr>
            <w:r w:rsidRPr="002665ED">
              <w:rPr>
                <w:sz w:val="20"/>
                <w:szCs w:val="20"/>
                <w:lang w:val="en-US"/>
              </w:rPr>
              <w:t>2</w:t>
            </w:r>
          </w:p>
          <w:p w14:paraId="43F00C4B" w14:textId="77777777" w:rsidR="002665ED" w:rsidRPr="002665ED" w:rsidRDefault="002665ED" w:rsidP="00DD104E">
            <w:pPr>
              <w:jc w:val="center"/>
              <w:rPr>
                <w:sz w:val="20"/>
                <w:szCs w:val="20"/>
                <w:lang w:val="en-US"/>
              </w:rPr>
            </w:pPr>
            <w:r w:rsidRPr="002665ED">
              <w:rPr>
                <w:sz w:val="20"/>
                <w:szCs w:val="20"/>
                <w:lang w:val="en-US"/>
              </w:rPr>
              <w:t>0.43 (0.074-1.70)</w:t>
            </w:r>
          </w:p>
        </w:tc>
      </w:tr>
    </w:tbl>
    <w:p w14:paraId="0A5F06DE" w14:textId="77777777" w:rsidR="002665ED" w:rsidRDefault="002665ED" w:rsidP="002665ED">
      <w:pPr>
        <w:tabs>
          <w:tab w:val="center" w:pos="4252"/>
        </w:tabs>
        <w:rPr>
          <w:rFonts w:eastAsia="Calibri"/>
          <w:sz w:val="20"/>
          <w:szCs w:val="20"/>
          <w:lang w:val="en-US"/>
        </w:rPr>
      </w:pPr>
      <w:r w:rsidRPr="002665ED">
        <w:rPr>
          <w:rFonts w:eastAsia="Calibri"/>
          <w:sz w:val="20"/>
          <w:szCs w:val="20"/>
          <w:lang w:val="en-US"/>
        </w:rPr>
        <w:t>Source: Author.</w:t>
      </w:r>
    </w:p>
    <w:p w14:paraId="0F7E9947" w14:textId="77777777" w:rsidR="002665ED" w:rsidRPr="002665ED" w:rsidRDefault="002665ED" w:rsidP="002665ED">
      <w:pPr>
        <w:tabs>
          <w:tab w:val="center" w:pos="4252"/>
        </w:tabs>
        <w:rPr>
          <w:sz w:val="20"/>
          <w:szCs w:val="20"/>
          <w:lang w:val="en-US"/>
        </w:rPr>
      </w:pPr>
    </w:p>
    <w:bookmarkEnd w:id="1"/>
    <w:p w14:paraId="44322893" w14:textId="77777777" w:rsidR="002665ED" w:rsidRDefault="002665ED" w:rsidP="002665ED">
      <w:pPr>
        <w:pStyle w:val="Prrafocomn"/>
      </w:pPr>
      <w:r>
        <w:t>In Table 3, we present factors statistically associated with starting to use substances during the pandemic from a multivariate analysis. Among students, staring to use alcohol was associated with living with friends/roommates (95% C.I: 1.03-2.32), belonging to risk group for CoVID-19 severe illness (95% C.I: 1.21- 2.33) and being victim of domestic violence during social isolation measures (95% C.I: 1.58-3.03). While among both students and professors/staff, facing financial/material hardship during social distancing and previous diagnostic of mental disorders were associated with higher odds of starting to use alcohol.</w:t>
      </w:r>
    </w:p>
    <w:p w14:paraId="534B7980" w14:textId="77777777" w:rsidR="002665ED" w:rsidRDefault="002665ED" w:rsidP="002665ED">
      <w:pPr>
        <w:pStyle w:val="Prrafocomn"/>
      </w:pPr>
      <w:r>
        <w:t>Out of illicit drugs, self-rating emotional state as worsened was positively related to starting to use all substances under study, alcohol (95% C.I: 2.05-7.37), tobacco (95% C.I: 1.67-9.38) and medical drugs (95% C.I: 2.14-6.77) among students. For professors/staff, worsened emotional state was only associated with starting to use medical drugs (95% C.I: 2.49-35.03).</w:t>
      </w:r>
    </w:p>
    <w:p w14:paraId="11810522" w14:textId="77777777" w:rsidR="002665ED" w:rsidRDefault="002665ED" w:rsidP="002665ED">
      <w:pPr>
        <w:pStyle w:val="Prrafocomn"/>
      </w:pPr>
      <w:r>
        <w:t xml:space="preserve">Students and professors/staff who requested a leave of absence or took leave from work, respectively, because of the pandemic, self-rated their emotional state as worsened during social distancing were more likely to start using prescribed and/or non-prescribed medical drugs during the CoVID-19 pandemic. The same was observed among students and professors/staff who were </w:t>
      </w:r>
      <w:r>
        <w:lastRenderedPageBreak/>
        <w:t>victims of domestic violence (95% C.I: 1.24-2.43 and 95% C.I: 1.59-9.04, respectively) during social distancing and who were previously diagnosed with mental illness (95% C.I: 7.32-13.05 and 95% C.I: 1.83-6.39, respectively).</w:t>
      </w:r>
    </w:p>
    <w:p w14:paraId="34014535" w14:textId="1DAEB6D4" w:rsidR="00575541" w:rsidRDefault="002665ED" w:rsidP="002665ED">
      <w:pPr>
        <w:pStyle w:val="Prrafocomn"/>
      </w:pPr>
      <w:r>
        <w:t xml:space="preserve">Students who </w:t>
      </w:r>
      <w:proofErr w:type="gramStart"/>
      <w:r>
        <w:t>professes</w:t>
      </w:r>
      <w:proofErr w:type="gramEnd"/>
      <w:r>
        <w:t xml:space="preserve"> any religion were less likely to report starting to use illicit substances (95% C.I: 0.17-0.53). Being aged 18-20 years (95% C.I: 1.13-7.16), cohabiting with friends/roommates (95% C.I: 1.28-4.48) rather than cohabiting with family/partner and facing financial/material hardship during social distancing (95% C.I: 1.73-4.82) were positively associated with starting to use illicit substances during the pandemic.</w:t>
      </w:r>
    </w:p>
    <w:p w14:paraId="47853855" w14:textId="5CCEDF5B" w:rsidR="00575541" w:rsidRDefault="00575541" w:rsidP="00575541">
      <w:pPr>
        <w:pStyle w:val="Prrafocomn"/>
      </w:pPr>
    </w:p>
    <w:p w14:paraId="075B9508" w14:textId="5F7107C1" w:rsidR="00575541" w:rsidRDefault="00575541" w:rsidP="00575541">
      <w:pPr>
        <w:pStyle w:val="Prrafocomn"/>
      </w:pPr>
    </w:p>
    <w:p w14:paraId="30115182" w14:textId="77777777" w:rsidR="002665ED" w:rsidRPr="002665ED" w:rsidRDefault="002665ED" w:rsidP="002665ED">
      <w:pPr>
        <w:rPr>
          <w:sz w:val="20"/>
          <w:szCs w:val="20"/>
          <w:lang w:val="en-US"/>
        </w:rPr>
      </w:pPr>
      <w:bookmarkStart w:id="2" w:name="_Hlk111916723"/>
      <w:r w:rsidRPr="002665ED">
        <w:rPr>
          <w:sz w:val="20"/>
          <w:szCs w:val="20"/>
          <w:lang w:val="en-US"/>
        </w:rPr>
        <w:t>Table 3.</w:t>
      </w:r>
    </w:p>
    <w:p w14:paraId="2370A8E4" w14:textId="77777777" w:rsidR="002665ED" w:rsidRPr="002665ED" w:rsidRDefault="002665ED" w:rsidP="002665ED">
      <w:pPr>
        <w:rPr>
          <w:color w:val="000000"/>
          <w:sz w:val="20"/>
          <w:szCs w:val="20"/>
          <w:shd w:val="clear" w:color="auto" w:fill="FFFFFF"/>
          <w:lang w:val="en-US" w:eastAsia="pt-BR"/>
        </w:rPr>
      </w:pPr>
      <w:r w:rsidRPr="002665ED">
        <w:rPr>
          <w:sz w:val="20"/>
          <w:szCs w:val="20"/>
          <w:lang w:val="en-US"/>
        </w:rPr>
        <w:t xml:space="preserve">Factors associated with </w:t>
      </w:r>
      <w:r w:rsidRPr="002665ED">
        <w:rPr>
          <w:color w:val="000000"/>
          <w:sz w:val="20"/>
          <w:szCs w:val="20"/>
          <w:shd w:val="clear" w:color="auto" w:fill="FFFFFF"/>
          <w:lang w:val="en-US" w:eastAsia="pt-BR"/>
        </w:rPr>
        <w:t>reporting started to use substances during the CoVID-19 pandemic, for university’s students (Model 1) and university’s professors and staff (Model 2) by substance group.</w:t>
      </w:r>
    </w:p>
    <w:tbl>
      <w:tblPr>
        <w:tblStyle w:val="Tabelacomgrade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1317"/>
        <w:gridCol w:w="1299"/>
        <w:gridCol w:w="1203"/>
        <w:gridCol w:w="1152"/>
        <w:gridCol w:w="1179"/>
        <w:gridCol w:w="1206"/>
      </w:tblGrid>
      <w:tr w:rsidR="002665ED" w:rsidRPr="006750CE" w14:paraId="131C9803" w14:textId="77777777" w:rsidTr="002665ED">
        <w:tc>
          <w:tcPr>
            <w:tcW w:w="0" w:type="auto"/>
            <w:tcBorders>
              <w:bottom w:val="single" w:sz="4" w:space="0" w:color="auto"/>
            </w:tcBorders>
            <w:shd w:val="clear" w:color="auto" w:fill="auto"/>
          </w:tcPr>
          <w:p w14:paraId="340C034D" w14:textId="77777777" w:rsidR="002665ED" w:rsidRPr="002665ED" w:rsidRDefault="002665ED" w:rsidP="00DD104E">
            <w:pPr>
              <w:rPr>
                <w:sz w:val="20"/>
                <w:szCs w:val="20"/>
                <w:lang w:val="en-US"/>
              </w:rPr>
            </w:pPr>
          </w:p>
        </w:tc>
        <w:tc>
          <w:tcPr>
            <w:tcW w:w="0" w:type="auto"/>
            <w:gridSpan w:val="4"/>
            <w:tcBorders>
              <w:bottom w:val="single" w:sz="4" w:space="0" w:color="auto"/>
            </w:tcBorders>
            <w:shd w:val="clear" w:color="auto" w:fill="auto"/>
          </w:tcPr>
          <w:p w14:paraId="4BE77DF5" w14:textId="77777777" w:rsidR="002665ED" w:rsidRPr="002665ED" w:rsidRDefault="002665ED" w:rsidP="00DD104E">
            <w:pPr>
              <w:jc w:val="center"/>
              <w:rPr>
                <w:sz w:val="20"/>
                <w:szCs w:val="20"/>
                <w:lang w:val="en-US"/>
              </w:rPr>
            </w:pPr>
            <w:r w:rsidRPr="002665ED">
              <w:rPr>
                <w:sz w:val="20"/>
                <w:szCs w:val="20"/>
                <w:lang w:val="en-US"/>
              </w:rPr>
              <w:t>Model 1</w:t>
            </w:r>
          </w:p>
          <w:p w14:paraId="0AD809CE" w14:textId="77777777" w:rsidR="002665ED" w:rsidRPr="002665ED" w:rsidRDefault="002665ED" w:rsidP="00DD104E">
            <w:pPr>
              <w:jc w:val="center"/>
              <w:rPr>
                <w:sz w:val="20"/>
                <w:szCs w:val="20"/>
                <w:lang w:val="en-US"/>
              </w:rPr>
            </w:pPr>
            <w:proofErr w:type="spellStart"/>
            <w:r w:rsidRPr="002665ED">
              <w:rPr>
                <w:sz w:val="20"/>
                <w:szCs w:val="20"/>
                <w:lang w:val="en-US"/>
              </w:rPr>
              <w:t>OR_adj</w:t>
            </w:r>
            <w:proofErr w:type="spellEnd"/>
            <w:r w:rsidRPr="002665ED">
              <w:rPr>
                <w:sz w:val="20"/>
                <w:szCs w:val="20"/>
                <w:lang w:val="en-US"/>
              </w:rPr>
              <w:t>. (95% C.I)</w:t>
            </w:r>
          </w:p>
        </w:tc>
        <w:tc>
          <w:tcPr>
            <w:tcW w:w="0" w:type="auto"/>
            <w:gridSpan w:val="2"/>
            <w:tcBorders>
              <w:bottom w:val="single" w:sz="4" w:space="0" w:color="auto"/>
            </w:tcBorders>
            <w:shd w:val="clear" w:color="auto" w:fill="auto"/>
          </w:tcPr>
          <w:p w14:paraId="1CFCE999" w14:textId="77777777" w:rsidR="002665ED" w:rsidRPr="002665ED" w:rsidRDefault="002665ED" w:rsidP="00DD104E">
            <w:pPr>
              <w:jc w:val="center"/>
              <w:rPr>
                <w:sz w:val="20"/>
                <w:szCs w:val="20"/>
                <w:lang w:val="en-US"/>
              </w:rPr>
            </w:pPr>
            <w:r w:rsidRPr="002665ED">
              <w:rPr>
                <w:sz w:val="20"/>
                <w:szCs w:val="20"/>
                <w:lang w:val="en-US"/>
              </w:rPr>
              <w:t>Model 2</w:t>
            </w:r>
          </w:p>
          <w:p w14:paraId="2D9A4A2E" w14:textId="77777777" w:rsidR="002665ED" w:rsidRPr="002665ED" w:rsidRDefault="002665ED" w:rsidP="00DD104E">
            <w:pPr>
              <w:jc w:val="center"/>
              <w:rPr>
                <w:sz w:val="20"/>
                <w:szCs w:val="20"/>
                <w:lang w:val="en-US"/>
              </w:rPr>
            </w:pPr>
            <w:proofErr w:type="spellStart"/>
            <w:r w:rsidRPr="002665ED">
              <w:rPr>
                <w:sz w:val="20"/>
                <w:szCs w:val="20"/>
                <w:lang w:val="en-US"/>
              </w:rPr>
              <w:t>OR_adj</w:t>
            </w:r>
            <w:proofErr w:type="spellEnd"/>
            <w:r w:rsidRPr="002665ED">
              <w:rPr>
                <w:sz w:val="20"/>
                <w:szCs w:val="20"/>
                <w:lang w:val="en-US"/>
              </w:rPr>
              <w:t>. (95% C.I)</w:t>
            </w:r>
          </w:p>
        </w:tc>
      </w:tr>
      <w:tr w:rsidR="002665ED" w:rsidRPr="002665ED" w14:paraId="67D10BA2" w14:textId="77777777" w:rsidTr="002665ED">
        <w:tc>
          <w:tcPr>
            <w:tcW w:w="0" w:type="auto"/>
            <w:tcBorders>
              <w:top w:val="single" w:sz="4" w:space="0" w:color="auto"/>
              <w:bottom w:val="single" w:sz="4" w:space="0" w:color="auto"/>
            </w:tcBorders>
            <w:shd w:val="clear" w:color="auto" w:fill="auto"/>
          </w:tcPr>
          <w:p w14:paraId="4B0061A3" w14:textId="77777777" w:rsidR="002665ED" w:rsidRPr="002665ED" w:rsidRDefault="002665ED" w:rsidP="00DD104E">
            <w:pPr>
              <w:rPr>
                <w:sz w:val="20"/>
                <w:szCs w:val="20"/>
                <w:lang w:val="en-US"/>
              </w:rPr>
            </w:pPr>
          </w:p>
          <w:p w14:paraId="68AE8D0B" w14:textId="77777777" w:rsidR="002665ED" w:rsidRPr="002665ED" w:rsidRDefault="002665ED" w:rsidP="00DD104E">
            <w:pPr>
              <w:rPr>
                <w:sz w:val="20"/>
                <w:szCs w:val="20"/>
                <w:lang w:val="en-US"/>
              </w:rPr>
            </w:pPr>
            <w:r w:rsidRPr="002665ED">
              <w:rPr>
                <w:sz w:val="20"/>
                <w:szCs w:val="20"/>
                <w:lang w:val="en-US"/>
              </w:rPr>
              <w:t>Factor</w:t>
            </w:r>
          </w:p>
        </w:tc>
        <w:tc>
          <w:tcPr>
            <w:tcW w:w="0" w:type="auto"/>
            <w:tcBorders>
              <w:top w:val="single" w:sz="4" w:space="0" w:color="auto"/>
              <w:bottom w:val="single" w:sz="4" w:space="0" w:color="auto"/>
            </w:tcBorders>
            <w:shd w:val="clear" w:color="auto" w:fill="auto"/>
          </w:tcPr>
          <w:p w14:paraId="0B65CF3E" w14:textId="77777777" w:rsidR="002665ED" w:rsidRPr="002665ED" w:rsidRDefault="002665ED" w:rsidP="00DD104E">
            <w:pPr>
              <w:rPr>
                <w:sz w:val="20"/>
                <w:szCs w:val="20"/>
                <w:lang w:val="en-US"/>
              </w:rPr>
            </w:pPr>
            <w:r w:rsidRPr="002665ED">
              <w:rPr>
                <w:sz w:val="20"/>
                <w:szCs w:val="20"/>
                <w:lang w:val="en-US"/>
              </w:rPr>
              <w:t>Alcohol</w:t>
            </w:r>
          </w:p>
          <w:p w14:paraId="5BCC34BF" w14:textId="77777777" w:rsidR="002665ED" w:rsidRPr="002665ED" w:rsidRDefault="002665ED" w:rsidP="00DD104E">
            <w:pPr>
              <w:rPr>
                <w:sz w:val="20"/>
                <w:szCs w:val="20"/>
                <w:vertAlign w:val="superscript"/>
                <w:lang w:val="en-US"/>
              </w:rPr>
            </w:pPr>
            <w:r w:rsidRPr="002665ED">
              <w:rPr>
                <w:sz w:val="20"/>
                <w:szCs w:val="20"/>
                <w:lang w:val="en-US" w:eastAsia="pt-BR"/>
              </w:rPr>
              <w:t>(</w:t>
            </w:r>
            <w:r w:rsidRPr="002665ED">
              <w:rPr>
                <w:sz w:val="20"/>
                <w:szCs w:val="20"/>
                <w:shd w:val="clear" w:color="auto" w:fill="FFFFFF"/>
                <w:lang w:val="en-US" w:eastAsia="pt-BR"/>
              </w:rPr>
              <w:t xml:space="preserve">Outcome </w:t>
            </w:r>
            <w:proofErr w:type="gramStart"/>
            <w:r w:rsidRPr="002665ED">
              <w:rPr>
                <w:sz w:val="20"/>
                <w:szCs w:val="20"/>
                <w:shd w:val="clear" w:color="auto" w:fill="FFFFFF"/>
                <w:lang w:val="en-US" w:eastAsia="pt-BR"/>
              </w:rPr>
              <w:t>1</w:t>
            </w:r>
            <w:r w:rsidRPr="002665ED">
              <w:rPr>
                <w:sz w:val="20"/>
                <w:szCs w:val="20"/>
                <w:lang w:val="en-US" w:eastAsia="pt-BR"/>
              </w:rPr>
              <w:t>)</w:t>
            </w:r>
            <w:r w:rsidRPr="002665ED">
              <w:rPr>
                <w:sz w:val="20"/>
                <w:szCs w:val="20"/>
                <w:vertAlign w:val="superscript"/>
                <w:lang w:val="en-US" w:eastAsia="pt-BR"/>
              </w:rPr>
              <w:t>a</w:t>
            </w:r>
            <w:proofErr w:type="gramEnd"/>
          </w:p>
        </w:tc>
        <w:tc>
          <w:tcPr>
            <w:tcW w:w="0" w:type="auto"/>
            <w:tcBorders>
              <w:top w:val="single" w:sz="4" w:space="0" w:color="auto"/>
              <w:bottom w:val="single" w:sz="4" w:space="0" w:color="auto"/>
            </w:tcBorders>
            <w:shd w:val="clear" w:color="auto" w:fill="auto"/>
          </w:tcPr>
          <w:p w14:paraId="44105835" w14:textId="77777777" w:rsidR="002665ED" w:rsidRPr="002665ED" w:rsidRDefault="002665ED" w:rsidP="00DD104E">
            <w:pPr>
              <w:rPr>
                <w:sz w:val="20"/>
                <w:szCs w:val="20"/>
                <w:lang w:val="en-US"/>
              </w:rPr>
            </w:pPr>
            <w:r w:rsidRPr="002665ED">
              <w:rPr>
                <w:sz w:val="20"/>
                <w:szCs w:val="20"/>
                <w:lang w:val="en-US"/>
              </w:rPr>
              <w:t>Tobacco</w:t>
            </w:r>
          </w:p>
          <w:p w14:paraId="4214B468" w14:textId="77777777" w:rsidR="002665ED" w:rsidRPr="002665ED" w:rsidRDefault="002665ED" w:rsidP="00DD104E">
            <w:pPr>
              <w:rPr>
                <w:sz w:val="20"/>
                <w:szCs w:val="20"/>
                <w:lang w:val="en-US"/>
              </w:rPr>
            </w:pPr>
            <w:r w:rsidRPr="002665ED">
              <w:rPr>
                <w:sz w:val="20"/>
                <w:szCs w:val="20"/>
                <w:lang w:val="en-US" w:eastAsia="pt-BR"/>
              </w:rPr>
              <w:t>(</w:t>
            </w:r>
            <w:r w:rsidRPr="002665ED">
              <w:rPr>
                <w:sz w:val="20"/>
                <w:szCs w:val="20"/>
                <w:shd w:val="clear" w:color="auto" w:fill="FFFFFF"/>
                <w:lang w:val="en-US" w:eastAsia="pt-BR"/>
              </w:rPr>
              <w:t xml:space="preserve">Outcome </w:t>
            </w:r>
            <w:proofErr w:type="gramStart"/>
            <w:r w:rsidRPr="002665ED">
              <w:rPr>
                <w:sz w:val="20"/>
                <w:szCs w:val="20"/>
                <w:shd w:val="clear" w:color="auto" w:fill="FFFFFF"/>
                <w:lang w:val="en-US" w:eastAsia="pt-BR"/>
              </w:rPr>
              <w:t>2</w:t>
            </w:r>
            <w:r w:rsidRPr="002665ED">
              <w:rPr>
                <w:sz w:val="20"/>
                <w:szCs w:val="20"/>
                <w:lang w:val="en-US" w:eastAsia="pt-BR"/>
              </w:rPr>
              <w:t>)</w:t>
            </w:r>
            <w:r w:rsidRPr="002665ED">
              <w:rPr>
                <w:sz w:val="20"/>
                <w:szCs w:val="20"/>
                <w:vertAlign w:val="superscript"/>
                <w:lang w:val="en-US" w:eastAsia="pt-BR"/>
              </w:rPr>
              <w:t>a</w:t>
            </w:r>
            <w:proofErr w:type="gramEnd"/>
          </w:p>
          <w:p w14:paraId="2F59DABD" w14:textId="77777777" w:rsidR="002665ED" w:rsidRPr="002665ED" w:rsidRDefault="002665ED" w:rsidP="00DD104E">
            <w:pPr>
              <w:rPr>
                <w:sz w:val="20"/>
                <w:szCs w:val="20"/>
                <w:lang w:val="en-US"/>
              </w:rPr>
            </w:pPr>
          </w:p>
        </w:tc>
        <w:tc>
          <w:tcPr>
            <w:tcW w:w="0" w:type="auto"/>
            <w:tcBorders>
              <w:top w:val="single" w:sz="4" w:space="0" w:color="auto"/>
              <w:bottom w:val="single" w:sz="4" w:space="0" w:color="auto"/>
            </w:tcBorders>
            <w:shd w:val="clear" w:color="auto" w:fill="auto"/>
          </w:tcPr>
          <w:p w14:paraId="25296026" w14:textId="77777777" w:rsidR="002665ED" w:rsidRPr="002665ED" w:rsidRDefault="002665ED" w:rsidP="00DD104E">
            <w:pPr>
              <w:rPr>
                <w:sz w:val="20"/>
                <w:szCs w:val="20"/>
                <w:lang w:val="en-US"/>
              </w:rPr>
            </w:pPr>
            <w:r w:rsidRPr="002665ED">
              <w:rPr>
                <w:sz w:val="20"/>
                <w:szCs w:val="20"/>
                <w:lang w:val="en-US"/>
              </w:rPr>
              <w:t>Medical drugs</w:t>
            </w:r>
          </w:p>
          <w:p w14:paraId="3F5A6354" w14:textId="77777777" w:rsidR="002665ED" w:rsidRPr="002665ED" w:rsidRDefault="002665ED" w:rsidP="00DD104E">
            <w:pPr>
              <w:rPr>
                <w:sz w:val="20"/>
                <w:szCs w:val="20"/>
                <w:lang w:val="en-US"/>
              </w:rPr>
            </w:pPr>
            <w:r w:rsidRPr="002665ED">
              <w:rPr>
                <w:sz w:val="20"/>
                <w:szCs w:val="20"/>
                <w:lang w:val="en-US" w:eastAsia="pt-BR"/>
              </w:rPr>
              <w:t>(</w:t>
            </w:r>
            <w:r w:rsidRPr="002665ED">
              <w:rPr>
                <w:sz w:val="20"/>
                <w:szCs w:val="20"/>
                <w:shd w:val="clear" w:color="auto" w:fill="FFFFFF"/>
                <w:lang w:val="en-US" w:eastAsia="pt-BR"/>
              </w:rPr>
              <w:t xml:space="preserve">Outcome </w:t>
            </w:r>
            <w:proofErr w:type="gramStart"/>
            <w:r w:rsidRPr="002665ED">
              <w:rPr>
                <w:sz w:val="20"/>
                <w:szCs w:val="20"/>
                <w:shd w:val="clear" w:color="auto" w:fill="FFFFFF"/>
                <w:lang w:val="en-US" w:eastAsia="pt-BR"/>
              </w:rPr>
              <w:t>3</w:t>
            </w:r>
            <w:r w:rsidRPr="002665ED">
              <w:rPr>
                <w:sz w:val="20"/>
                <w:szCs w:val="20"/>
                <w:lang w:val="en-US" w:eastAsia="pt-BR"/>
              </w:rPr>
              <w:t>)</w:t>
            </w:r>
            <w:r w:rsidRPr="002665ED">
              <w:rPr>
                <w:sz w:val="20"/>
                <w:szCs w:val="20"/>
                <w:vertAlign w:val="superscript"/>
                <w:lang w:val="en-US" w:eastAsia="pt-BR"/>
              </w:rPr>
              <w:t>a</w:t>
            </w:r>
            <w:proofErr w:type="gramEnd"/>
          </w:p>
        </w:tc>
        <w:tc>
          <w:tcPr>
            <w:tcW w:w="0" w:type="auto"/>
            <w:tcBorders>
              <w:top w:val="single" w:sz="4" w:space="0" w:color="auto"/>
              <w:bottom w:val="single" w:sz="4" w:space="0" w:color="auto"/>
            </w:tcBorders>
            <w:shd w:val="clear" w:color="auto" w:fill="auto"/>
          </w:tcPr>
          <w:p w14:paraId="09A158F9" w14:textId="77777777" w:rsidR="002665ED" w:rsidRPr="002665ED" w:rsidRDefault="002665ED" w:rsidP="00DD104E">
            <w:pPr>
              <w:rPr>
                <w:sz w:val="20"/>
                <w:szCs w:val="20"/>
                <w:lang w:val="en-US"/>
              </w:rPr>
            </w:pPr>
            <w:r w:rsidRPr="002665ED">
              <w:rPr>
                <w:sz w:val="20"/>
                <w:szCs w:val="20"/>
                <w:lang w:val="en-US"/>
              </w:rPr>
              <w:t>Illicit drugs</w:t>
            </w:r>
          </w:p>
          <w:p w14:paraId="0DDEF890" w14:textId="77777777" w:rsidR="002665ED" w:rsidRPr="002665ED" w:rsidRDefault="002665ED" w:rsidP="00DD104E">
            <w:pPr>
              <w:rPr>
                <w:sz w:val="20"/>
                <w:szCs w:val="20"/>
                <w:lang w:val="en-US"/>
              </w:rPr>
            </w:pPr>
            <w:r w:rsidRPr="002665ED">
              <w:rPr>
                <w:sz w:val="20"/>
                <w:szCs w:val="20"/>
                <w:lang w:val="en-US"/>
              </w:rPr>
              <w:t>(</w:t>
            </w:r>
            <w:r w:rsidRPr="002665ED">
              <w:rPr>
                <w:sz w:val="20"/>
                <w:szCs w:val="20"/>
                <w:shd w:val="clear" w:color="auto" w:fill="FFFFFF"/>
                <w:lang w:val="en-US" w:eastAsia="pt-BR"/>
              </w:rPr>
              <w:t>Outcome 4</w:t>
            </w:r>
            <w:r w:rsidRPr="002665ED">
              <w:rPr>
                <w:sz w:val="20"/>
                <w:szCs w:val="20"/>
                <w:lang w:val="en-US"/>
              </w:rPr>
              <w:t>)</w:t>
            </w:r>
          </w:p>
          <w:p w14:paraId="3DF27751" w14:textId="77777777" w:rsidR="002665ED" w:rsidRPr="002665ED" w:rsidRDefault="002665ED" w:rsidP="00DD104E">
            <w:pPr>
              <w:rPr>
                <w:sz w:val="20"/>
                <w:szCs w:val="20"/>
                <w:lang w:val="en-US"/>
              </w:rPr>
            </w:pPr>
          </w:p>
        </w:tc>
        <w:tc>
          <w:tcPr>
            <w:tcW w:w="0" w:type="auto"/>
            <w:tcBorders>
              <w:top w:val="single" w:sz="4" w:space="0" w:color="auto"/>
              <w:bottom w:val="single" w:sz="4" w:space="0" w:color="auto"/>
            </w:tcBorders>
            <w:shd w:val="clear" w:color="auto" w:fill="auto"/>
          </w:tcPr>
          <w:p w14:paraId="19D83173" w14:textId="77777777" w:rsidR="002665ED" w:rsidRPr="002665ED" w:rsidRDefault="002665ED" w:rsidP="00DD104E">
            <w:pPr>
              <w:rPr>
                <w:sz w:val="20"/>
                <w:szCs w:val="20"/>
                <w:lang w:val="en-US"/>
              </w:rPr>
            </w:pPr>
            <w:r w:rsidRPr="002665ED">
              <w:rPr>
                <w:sz w:val="20"/>
                <w:szCs w:val="20"/>
                <w:lang w:val="en-US"/>
              </w:rPr>
              <w:t>Alcohol</w:t>
            </w:r>
          </w:p>
          <w:p w14:paraId="15EDC626" w14:textId="77777777" w:rsidR="002665ED" w:rsidRPr="002665ED" w:rsidRDefault="002665ED" w:rsidP="00DD104E">
            <w:pPr>
              <w:rPr>
                <w:sz w:val="20"/>
                <w:szCs w:val="20"/>
                <w:lang w:val="en-US"/>
              </w:rPr>
            </w:pPr>
            <w:r w:rsidRPr="002665ED">
              <w:rPr>
                <w:sz w:val="20"/>
                <w:szCs w:val="20"/>
                <w:lang w:val="en-US" w:eastAsia="pt-BR"/>
              </w:rPr>
              <w:t>(</w:t>
            </w:r>
            <w:r w:rsidRPr="002665ED">
              <w:rPr>
                <w:sz w:val="20"/>
                <w:szCs w:val="20"/>
                <w:shd w:val="clear" w:color="auto" w:fill="FFFFFF"/>
                <w:lang w:val="en-US" w:eastAsia="pt-BR"/>
              </w:rPr>
              <w:t xml:space="preserve">Outcome </w:t>
            </w:r>
            <w:proofErr w:type="gramStart"/>
            <w:r w:rsidRPr="002665ED">
              <w:rPr>
                <w:sz w:val="20"/>
                <w:szCs w:val="20"/>
                <w:shd w:val="clear" w:color="auto" w:fill="FFFFFF"/>
                <w:lang w:val="en-US" w:eastAsia="pt-BR"/>
              </w:rPr>
              <w:t>1</w:t>
            </w:r>
            <w:r w:rsidRPr="002665ED">
              <w:rPr>
                <w:sz w:val="20"/>
                <w:szCs w:val="20"/>
                <w:lang w:val="en-US" w:eastAsia="pt-BR"/>
              </w:rPr>
              <w:t>)</w:t>
            </w:r>
            <w:r w:rsidRPr="002665ED">
              <w:rPr>
                <w:sz w:val="20"/>
                <w:szCs w:val="20"/>
                <w:vertAlign w:val="superscript"/>
                <w:lang w:val="en-US" w:eastAsia="pt-BR"/>
              </w:rPr>
              <w:t>a</w:t>
            </w:r>
            <w:proofErr w:type="gramEnd"/>
          </w:p>
        </w:tc>
        <w:tc>
          <w:tcPr>
            <w:tcW w:w="0" w:type="auto"/>
            <w:tcBorders>
              <w:top w:val="single" w:sz="4" w:space="0" w:color="auto"/>
              <w:bottom w:val="single" w:sz="4" w:space="0" w:color="auto"/>
            </w:tcBorders>
            <w:shd w:val="clear" w:color="auto" w:fill="auto"/>
          </w:tcPr>
          <w:p w14:paraId="5DD74A36" w14:textId="77777777" w:rsidR="002665ED" w:rsidRPr="002665ED" w:rsidRDefault="002665ED" w:rsidP="00DD104E">
            <w:pPr>
              <w:rPr>
                <w:sz w:val="20"/>
                <w:szCs w:val="20"/>
                <w:lang w:val="en-US"/>
              </w:rPr>
            </w:pPr>
            <w:r w:rsidRPr="002665ED">
              <w:rPr>
                <w:sz w:val="20"/>
                <w:szCs w:val="20"/>
                <w:lang w:val="en-US"/>
              </w:rPr>
              <w:t>Medical drugs</w:t>
            </w:r>
          </w:p>
          <w:p w14:paraId="2746F27A" w14:textId="77777777" w:rsidR="002665ED" w:rsidRPr="002665ED" w:rsidRDefault="002665ED" w:rsidP="00DD104E">
            <w:pPr>
              <w:rPr>
                <w:sz w:val="20"/>
                <w:szCs w:val="20"/>
                <w:lang w:val="en-US"/>
              </w:rPr>
            </w:pPr>
            <w:r w:rsidRPr="002665ED">
              <w:rPr>
                <w:sz w:val="20"/>
                <w:szCs w:val="20"/>
                <w:lang w:val="en-US" w:eastAsia="pt-BR"/>
              </w:rPr>
              <w:t>(</w:t>
            </w:r>
            <w:r w:rsidRPr="002665ED">
              <w:rPr>
                <w:sz w:val="20"/>
                <w:szCs w:val="20"/>
                <w:shd w:val="clear" w:color="auto" w:fill="FFFFFF"/>
                <w:lang w:val="en-US" w:eastAsia="pt-BR"/>
              </w:rPr>
              <w:t xml:space="preserve">Outcome </w:t>
            </w:r>
            <w:proofErr w:type="gramStart"/>
            <w:r w:rsidRPr="002665ED">
              <w:rPr>
                <w:sz w:val="20"/>
                <w:szCs w:val="20"/>
                <w:shd w:val="clear" w:color="auto" w:fill="FFFFFF"/>
                <w:lang w:val="en-US" w:eastAsia="pt-BR"/>
              </w:rPr>
              <w:t>3</w:t>
            </w:r>
            <w:r w:rsidRPr="002665ED">
              <w:rPr>
                <w:sz w:val="20"/>
                <w:szCs w:val="20"/>
                <w:lang w:val="en-US" w:eastAsia="pt-BR"/>
              </w:rPr>
              <w:t>)</w:t>
            </w:r>
            <w:r w:rsidRPr="002665ED">
              <w:rPr>
                <w:sz w:val="20"/>
                <w:szCs w:val="20"/>
                <w:vertAlign w:val="superscript"/>
                <w:lang w:val="en-US" w:eastAsia="pt-BR"/>
              </w:rPr>
              <w:t>a</w:t>
            </w:r>
            <w:proofErr w:type="gramEnd"/>
          </w:p>
        </w:tc>
      </w:tr>
      <w:tr w:rsidR="002665ED" w:rsidRPr="002665ED" w14:paraId="48DA472B" w14:textId="77777777" w:rsidTr="002665ED">
        <w:tc>
          <w:tcPr>
            <w:tcW w:w="0" w:type="auto"/>
            <w:gridSpan w:val="3"/>
            <w:tcBorders>
              <w:top w:val="single" w:sz="4" w:space="0" w:color="auto"/>
            </w:tcBorders>
            <w:shd w:val="clear" w:color="auto" w:fill="auto"/>
          </w:tcPr>
          <w:p w14:paraId="59B83378" w14:textId="77777777" w:rsidR="002665ED" w:rsidRPr="002665ED" w:rsidRDefault="002665ED" w:rsidP="00DD104E">
            <w:pPr>
              <w:rPr>
                <w:sz w:val="20"/>
                <w:szCs w:val="20"/>
                <w:lang w:val="en-US"/>
              </w:rPr>
            </w:pPr>
            <w:r w:rsidRPr="002665ED">
              <w:rPr>
                <w:sz w:val="20"/>
                <w:szCs w:val="20"/>
                <w:lang w:val="en-US"/>
              </w:rPr>
              <w:t>Age group</w:t>
            </w:r>
          </w:p>
        </w:tc>
        <w:tc>
          <w:tcPr>
            <w:tcW w:w="0" w:type="auto"/>
            <w:tcBorders>
              <w:top w:val="single" w:sz="4" w:space="0" w:color="auto"/>
            </w:tcBorders>
            <w:shd w:val="clear" w:color="auto" w:fill="auto"/>
          </w:tcPr>
          <w:p w14:paraId="0A9B78D6" w14:textId="77777777" w:rsidR="002665ED" w:rsidRPr="002665ED" w:rsidRDefault="002665ED" w:rsidP="00DD104E">
            <w:pPr>
              <w:rPr>
                <w:sz w:val="20"/>
                <w:szCs w:val="20"/>
                <w:lang w:val="en-US"/>
              </w:rPr>
            </w:pPr>
          </w:p>
        </w:tc>
        <w:tc>
          <w:tcPr>
            <w:tcW w:w="0" w:type="auto"/>
            <w:tcBorders>
              <w:top w:val="single" w:sz="4" w:space="0" w:color="auto"/>
            </w:tcBorders>
            <w:shd w:val="clear" w:color="auto" w:fill="auto"/>
          </w:tcPr>
          <w:p w14:paraId="09774EFC" w14:textId="77777777" w:rsidR="002665ED" w:rsidRPr="002665ED" w:rsidRDefault="002665ED" w:rsidP="00DD104E">
            <w:pPr>
              <w:rPr>
                <w:sz w:val="20"/>
                <w:szCs w:val="20"/>
                <w:lang w:val="en-US"/>
              </w:rPr>
            </w:pPr>
          </w:p>
        </w:tc>
        <w:tc>
          <w:tcPr>
            <w:tcW w:w="0" w:type="auto"/>
            <w:tcBorders>
              <w:top w:val="single" w:sz="4" w:space="0" w:color="auto"/>
            </w:tcBorders>
            <w:shd w:val="clear" w:color="auto" w:fill="auto"/>
          </w:tcPr>
          <w:p w14:paraId="411DD796" w14:textId="77777777" w:rsidR="002665ED" w:rsidRPr="002665ED" w:rsidRDefault="002665ED" w:rsidP="00DD104E">
            <w:pPr>
              <w:jc w:val="center"/>
              <w:rPr>
                <w:sz w:val="20"/>
                <w:szCs w:val="20"/>
                <w:lang w:val="en-US"/>
              </w:rPr>
            </w:pPr>
          </w:p>
        </w:tc>
        <w:tc>
          <w:tcPr>
            <w:tcW w:w="0" w:type="auto"/>
            <w:tcBorders>
              <w:top w:val="single" w:sz="4" w:space="0" w:color="auto"/>
            </w:tcBorders>
            <w:shd w:val="clear" w:color="auto" w:fill="auto"/>
          </w:tcPr>
          <w:p w14:paraId="30E47E9E" w14:textId="77777777" w:rsidR="002665ED" w:rsidRPr="002665ED" w:rsidRDefault="002665ED" w:rsidP="00DD104E">
            <w:pPr>
              <w:jc w:val="center"/>
              <w:rPr>
                <w:sz w:val="20"/>
                <w:szCs w:val="20"/>
                <w:lang w:val="en-US"/>
              </w:rPr>
            </w:pPr>
          </w:p>
        </w:tc>
      </w:tr>
      <w:tr w:rsidR="002665ED" w:rsidRPr="002665ED" w14:paraId="78511A3C" w14:textId="77777777" w:rsidTr="002665ED">
        <w:tc>
          <w:tcPr>
            <w:tcW w:w="0" w:type="auto"/>
            <w:shd w:val="clear" w:color="auto" w:fill="auto"/>
          </w:tcPr>
          <w:p w14:paraId="78E9194E" w14:textId="77777777" w:rsidR="002665ED" w:rsidRPr="002665ED" w:rsidRDefault="002665ED" w:rsidP="00DD104E">
            <w:pPr>
              <w:rPr>
                <w:sz w:val="20"/>
                <w:szCs w:val="20"/>
                <w:lang w:val="en-US" w:eastAsia="pt-BR"/>
              </w:rPr>
            </w:pPr>
            <w:r w:rsidRPr="002665ED">
              <w:rPr>
                <w:sz w:val="20"/>
                <w:szCs w:val="20"/>
                <w:lang w:val="en-US" w:eastAsia="pt-BR"/>
              </w:rPr>
              <w:t>18 – 20 years</w:t>
            </w:r>
          </w:p>
        </w:tc>
        <w:tc>
          <w:tcPr>
            <w:tcW w:w="0" w:type="auto"/>
            <w:shd w:val="clear" w:color="auto" w:fill="auto"/>
          </w:tcPr>
          <w:p w14:paraId="217CB9A0" w14:textId="77777777" w:rsidR="002665ED" w:rsidRPr="002665ED" w:rsidRDefault="002665ED" w:rsidP="00DD104E">
            <w:pPr>
              <w:jc w:val="center"/>
              <w:rPr>
                <w:sz w:val="20"/>
                <w:szCs w:val="20"/>
                <w:lang w:val="en-US"/>
              </w:rPr>
            </w:pPr>
          </w:p>
        </w:tc>
        <w:tc>
          <w:tcPr>
            <w:tcW w:w="0" w:type="auto"/>
            <w:shd w:val="clear" w:color="auto" w:fill="auto"/>
          </w:tcPr>
          <w:p w14:paraId="48EA055E" w14:textId="77777777" w:rsidR="002665ED" w:rsidRPr="002665ED" w:rsidRDefault="002665ED" w:rsidP="00DD104E">
            <w:pPr>
              <w:jc w:val="center"/>
              <w:rPr>
                <w:sz w:val="20"/>
                <w:szCs w:val="20"/>
                <w:lang w:val="en-US"/>
              </w:rPr>
            </w:pPr>
          </w:p>
        </w:tc>
        <w:tc>
          <w:tcPr>
            <w:tcW w:w="0" w:type="auto"/>
            <w:shd w:val="clear" w:color="auto" w:fill="auto"/>
          </w:tcPr>
          <w:p w14:paraId="54DCC39C" w14:textId="77777777" w:rsidR="002665ED" w:rsidRPr="002665ED" w:rsidRDefault="002665ED" w:rsidP="00DD104E">
            <w:pPr>
              <w:jc w:val="center"/>
              <w:rPr>
                <w:sz w:val="20"/>
                <w:szCs w:val="20"/>
                <w:lang w:val="en-US"/>
              </w:rPr>
            </w:pPr>
          </w:p>
        </w:tc>
        <w:tc>
          <w:tcPr>
            <w:tcW w:w="0" w:type="auto"/>
            <w:shd w:val="clear" w:color="auto" w:fill="auto"/>
          </w:tcPr>
          <w:p w14:paraId="3449170E" w14:textId="77777777" w:rsidR="002665ED" w:rsidRPr="002665ED" w:rsidRDefault="002665ED" w:rsidP="00DD104E">
            <w:pPr>
              <w:jc w:val="center"/>
              <w:rPr>
                <w:sz w:val="20"/>
                <w:szCs w:val="20"/>
                <w:lang w:val="en-US"/>
              </w:rPr>
            </w:pPr>
            <w:r w:rsidRPr="002665ED">
              <w:rPr>
                <w:sz w:val="20"/>
                <w:szCs w:val="20"/>
                <w:lang w:val="en-US"/>
              </w:rPr>
              <w:t>2.74 (1.13-7.16)</w:t>
            </w:r>
          </w:p>
        </w:tc>
        <w:tc>
          <w:tcPr>
            <w:tcW w:w="0" w:type="auto"/>
            <w:shd w:val="clear" w:color="auto" w:fill="auto"/>
          </w:tcPr>
          <w:p w14:paraId="730656B0" w14:textId="77777777" w:rsidR="002665ED" w:rsidRPr="002665ED" w:rsidRDefault="002665ED" w:rsidP="00DD104E">
            <w:pPr>
              <w:jc w:val="center"/>
              <w:rPr>
                <w:sz w:val="20"/>
                <w:szCs w:val="20"/>
                <w:lang w:val="en-US"/>
              </w:rPr>
            </w:pPr>
          </w:p>
        </w:tc>
        <w:tc>
          <w:tcPr>
            <w:tcW w:w="0" w:type="auto"/>
            <w:shd w:val="clear" w:color="auto" w:fill="auto"/>
          </w:tcPr>
          <w:p w14:paraId="55389FA3" w14:textId="77777777" w:rsidR="002665ED" w:rsidRPr="002665ED" w:rsidRDefault="002665ED" w:rsidP="00DD104E">
            <w:pPr>
              <w:jc w:val="center"/>
              <w:rPr>
                <w:sz w:val="20"/>
                <w:szCs w:val="20"/>
                <w:lang w:val="en-US"/>
              </w:rPr>
            </w:pPr>
          </w:p>
        </w:tc>
      </w:tr>
      <w:tr w:rsidR="002665ED" w:rsidRPr="002665ED" w14:paraId="3F9B72E7" w14:textId="77777777" w:rsidTr="002665ED">
        <w:tc>
          <w:tcPr>
            <w:tcW w:w="0" w:type="auto"/>
            <w:shd w:val="clear" w:color="auto" w:fill="auto"/>
          </w:tcPr>
          <w:p w14:paraId="5A6870D2" w14:textId="77777777" w:rsidR="002665ED" w:rsidRPr="002665ED" w:rsidRDefault="002665ED" w:rsidP="00DD104E">
            <w:pPr>
              <w:rPr>
                <w:color w:val="000000"/>
                <w:sz w:val="20"/>
                <w:szCs w:val="20"/>
                <w:lang w:val="en-US" w:eastAsia="pt-BR"/>
              </w:rPr>
            </w:pPr>
            <w:r w:rsidRPr="002665ED">
              <w:rPr>
                <w:color w:val="000000"/>
                <w:sz w:val="20"/>
                <w:szCs w:val="20"/>
                <w:lang w:val="en-US" w:eastAsia="pt-BR"/>
              </w:rPr>
              <w:t>21 – 29 years</w:t>
            </w:r>
          </w:p>
        </w:tc>
        <w:tc>
          <w:tcPr>
            <w:tcW w:w="0" w:type="auto"/>
            <w:shd w:val="clear" w:color="auto" w:fill="auto"/>
          </w:tcPr>
          <w:p w14:paraId="73BD2065" w14:textId="77777777" w:rsidR="002665ED" w:rsidRPr="002665ED" w:rsidRDefault="002665ED" w:rsidP="00DD104E">
            <w:pPr>
              <w:jc w:val="center"/>
              <w:rPr>
                <w:sz w:val="20"/>
                <w:szCs w:val="20"/>
                <w:lang w:val="en-US"/>
              </w:rPr>
            </w:pPr>
          </w:p>
        </w:tc>
        <w:tc>
          <w:tcPr>
            <w:tcW w:w="0" w:type="auto"/>
            <w:shd w:val="clear" w:color="auto" w:fill="auto"/>
          </w:tcPr>
          <w:p w14:paraId="3990C96A" w14:textId="77777777" w:rsidR="002665ED" w:rsidRPr="002665ED" w:rsidRDefault="002665ED" w:rsidP="00DD104E">
            <w:pPr>
              <w:jc w:val="center"/>
              <w:rPr>
                <w:sz w:val="20"/>
                <w:szCs w:val="20"/>
                <w:lang w:val="en-US"/>
              </w:rPr>
            </w:pPr>
          </w:p>
        </w:tc>
        <w:tc>
          <w:tcPr>
            <w:tcW w:w="0" w:type="auto"/>
            <w:shd w:val="clear" w:color="auto" w:fill="auto"/>
          </w:tcPr>
          <w:p w14:paraId="028BB1C4" w14:textId="77777777" w:rsidR="002665ED" w:rsidRPr="002665ED" w:rsidRDefault="002665ED" w:rsidP="00DD104E">
            <w:pPr>
              <w:jc w:val="center"/>
              <w:rPr>
                <w:sz w:val="20"/>
                <w:szCs w:val="20"/>
                <w:lang w:val="en-US"/>
              </w:rPr>
            </w:pPr>
          </w:p>
        </w:tc>
        <w:tc>
          <w:tcPr>
            <w:tcW w:w="0" w:type="auto"/>
            <w:shd w:val="clear" w:color="auto" w:fill="auto"/>
          </w:tcPr>
          <w:p w14:paraId="442F5FE7" w14:textId="77777777" w:rsidR="002665ED" w:rsidRPr="002665ED" w:rsidRDefault="002665ED" w:rsidP="00DD104E">
            <w:pPr>
              <w:jc w:val="center"/>
              <w:rPr>
                <w:sz w:val="20"/>
                <w:szCs w:val="20"/>
                <w:lang w:val="en-US"/>
              </w:rPr>
            </w:pPr>
            <w:r w:rsidRPr="002665ED">
              <w:rPr>
                <w:sz w:val="20"/>
                <w:szCs w:val="20"/>
                <w:lang w:val="en-US"/>
              </w:rPr>
              <w:t>1.66 (0.77-3.96)</w:t>
            </w:r>
          </w:p>
        </w:tc>
        <w:tc>
          <w:tcPr>
            <w:tcW w:w="0" w:type="auto"/>
            <w:shd w:val="clear" w:color="auto" w:fill="auto"/>
          </w:tcPr>
          <w:p w14:paraId="687F077F" w14:textId="77777777" w:rsidR="002665ED" w:rsidRPr="002665ED" w:rsidRDefault="002665ED" w:rsidP="00DD104E">
            <w:pPr>
              <w:jc w:val="center"/>
              <w:rPr>
                <w:sz w:val="20"/>
                <w:szCs w:val="20"/>
                <w:lang w:val="en-US"/>
              </w:rPr>
            </w:pPr>
          </w:p>
        </w:tc>
        <w:tc>
          <w:tcPr>
            <w:tcW w:w="0" w:type="auto"/>
            <w:shd w:val="clear" w:color="auto" w:fill="auto"/>
          </w:tcPr>
          <w:p w14:paraId="6C4F772A" w14:textId="77777777" w:rsidR="002665ED" w:rsidRPr="002665ED" w:rsidRDefault="002665ED" w:rsidP="00DD104E">
            <w:pPr>
              <w:jc w:val="center"/>
              <w:rPr>
                <w:sz w:val="20"/>
                <w:szCs w:val="20"/>
                <w:lang w:val="en-US"/>
              </w:rPr>
            </w:pPr>
          </w:p>
        </w:tc>
      </w:tr>
      <w:tr w:rsidR="002665ED" w:rsidRPr="002665ED" w14:paraId="5F035F23" w14:textId="77777777" w:rsidTr="002665ED">
        <w:tc>
          <w:tcPr>
            <w:tcW w:w="0" w:type="auto"/>
            <w:shd w:val="clear" w:color="auto" w:fill="auto"/>
          </w:tcPr>
          <w:p w14:paraId="4993F071" w14:textId="77777777" w:rsidR="002665ED" w:rsidRPr="002665ED" w:rsidRDefault="002665ED" w:rsidP="00DD104E">
            <w:pPr>
              <w:rPr>
                <w:color w:val="000000"/>
                <w:sz w:val="20"/>
                <w:szCs w:val="20"/>
                <w:lang w:val="en-US" w:eastAsia="pt-BR"/>
              </w:rPr>
            </w:pPr>
            <w:r w:rsidRPr="002665ED">
              <w:rPr>
                <w:color w:val="000000"/>
                <w:sz w:val="20"/>
                <w:szCs w:val="20"/>
                <w:lang w:val="en-US" w:eastAsia="pt-BR"/>
              </w:rPr>
              <w:t>30 + years</w:t>
            </w:r>
          </w:p>
        </w:tc>
        <w:tc>
          <w:tcPr>
            <w:tcW w:w="0" w:type="auto"/>
            <w:shd w:val="clear" w:color="auto" w:fill="auto"/>
          </w:tcPr>
          <w:p w14:paraId="4B7C07CD" w14:textId="77777777" w:rsidR="002665ED" w:rsidRPr="002665ED" w:rsidRDefault="002665ED" w:rsidP="00DD104E">
            <w:pPr>
              <w:jc w:val="center"/>
              <w:rPr>
                <w:sz w:val="20"/>
                <w:szCs w:val="20"/>
                <w:lang w:val="en-US"/>
              </w:rPr>
            </w:pPr>
          </w:p>
        </w:tc>
        <w:tc>
          <w:tcPr>
            <w:tcW w:w="0" w:type="auto"/>
            <w:shd w:val="clear" w:color="auto" w:fill="auto"/>
          </w:tcPr>
          <w:p w14:paraId="70441AC3" w14:textId="77777777" w:rsidR="002665ED" w:rsidRPr="002665ED" w:rsidRDefault="002665ED" w:rsidP="00DD104E">
            <w:pPr>
              <w:jc w:val="center"/>
              <w:rPr>
                <w:sz w:val="20"/>
                <w:szCs w:val="20"/>
                <w:lang w:val="en-US"/>
              </w:rPr>
            </w:pPr>
          </w:p>
        </w:tc>
        <w:tc>
          <w:tcPr>
            <w:tcW w:w="0" w:type="auto"/>
            <w:shd w:val="clear" w:color="auto" w:fill="auto"/>
          </w:tcPr>
          <w:p w14:paraId="7FC39C21" w14:textId="77777777" w:rsidR="002665ED" w:rsidRPr="002665ED" w:rsidRDefault="002665ED" w:rsidP="00DD104E">
            <w:pPr>
              <w:jc w:val="center"/>
              <w:rPr>
                <w:sz w:val="20"/>
                <w:szCs w:val="20"/>
                <w:lang w:val="en-US"/>
              </w:rPr>
            </w:pPr>
          </w:p>
        </w:tc>
        <w:tc>
          <w:tcPr>
            <w:tcW w:w="0" w:type="auto"/>
            <w:shd w:val="clear" w:color="auto" w:fill="auto"/>
          </w:tcPr>
          <w:p w14:paraId="0E499068" w14:textId="77777777" w:rsidR="002665ED" w:rsidRPr="002665ED" w:rsidRDefault="002665ED" w:rsidP="00DD104E">
            <w:pPr>
              <w:jc w:val="center"/>
              <w:rPr>
                <w:sz w:val="20"/>
                <w:szCs w:val="20"/>
                <w:lang w:val="en-US"/>
              </w:rPr>
            </w:pPr>
            <w:r w:rsidRPr="002665ED">
              <w:rPr>
                <w:sz w:val="20"/>
                <w:szCs w:val="20"/>
                <w:lang w:val="en-US"/>
              </w:rPr>
              <w:t>-</w:t>
            </w:r>
          </w:p>
        </w:tc>
        <w:tc>
          <w:tcPr>
            <w:tcW w:w="0" w:type="auto"/>
            <w:shd w:val="clear" w:color="auto" w:fill="auto"/>
          </w:tcPr>
          <w:p w14:paraId="3735A758" w14:textId="77777777" w:rsidR="002665ED" w:rsidRPr="002665ED" w:rsidRDefault="002665ED" w:rsidP="00DD104E">
            <w:pPr>
              <w:jc w:val="center"/>
              <w:rPr>
                <w:sz w:val="20"/>
                <w:szCs w:val="20"/>
                <w:lang w:val="en-US"/>
              </w:rPr>
            </w:pPr>
          </w:p>
        </w:tc>
        <w:tc>
          <w:tcPr>
            <w:tcW w:w="0" w:type="auto"/>
            <w:shd w:val="clear" w:color="auto" w:fill="auto"/>
          </w:tcPr>
          <w:p w14:paraId="2061B256" w14:textId="77777777" w:rsidR="002665ED" w:rsidRPr="002665ED" w:rsidRDefault="002665ED" w:rsidP="00DD104E">
            <w:pPr>
              <w:jc w:val="center"/>
              <w:rPr>
                <w:sz w:val="20"/>
                <w:szCs w:val="20"/>
                <w:lang w:val="en-US"/>
              </w:rPr>
            </w:pPr>
          </w:p>
        </w:tc>
      </w:tr>
      <w:tr w:rsidR="002665ED" w:rsidRPr="002665ED" w14:paraId="5C4A7A43" w14:textId="77777777" w:rsidTr="002665ED">
        <w:tc>
          <w:tcPr>
            <w:tcW w:w="0" w:type="auto"/>
            <w:shd w:val="clear" w:color="auto" w:fill="auto"/>
          </w:tcPr>
          <w:p w14:paraId="1F65B003" w14:textId="77777777" w:rsidR="002665ED" w:rsidRPr="002665ED" w:rsidRDefault="002665ED" w:rsidP="00DD104E">
            <w:pPr>
              <w:rPr>
                <w:color w:val="000000"/>
                <w:sz w:val="20"/>
                <w:szCs w:val="20"/>
                <w:lang w:val="en-US" w:eastAsia="pt-BR"/>
              </w:rPr>
            </w:pPr>
            <w:r w:rsidRPr="002665ED">
              <w:rPr>
                <w:color w:val="000000"/>
                <w:sz w:val="20"/>
                <w:szCs w:val="20"/>
                <w:lang w:val="en-US" w:eastAsia="pt-BR"/>
              </w:rPr>
              <w:t>Marital status</w:t>
            </w:r>
          </w:p>
        </w:tc>
        <w:tc>
          <w:tcPr>
            <w:tcW w:w="0" w:type="auto"/>
            <w:shd w:val="clear" w:color="auto" w:fill="auto"/>
          </w:tcPr>
          <w:p w14:paraId="1B1E24F4" w14:textId="77777777" w:rsidR="002665ED" w:rsidRPr="002665ED" w:rsidRDefault="002665ED" w:rsidP="00DD104E">
            <w:pPr>
              <w:jc w:val="center"/>
              <w:rPr>
                <w:sz w:val="20"/>
                <w:szCs w:val="20"/>
                <w:lang w:val="en-US"/>
              </w:rPr>
            </w:pPr>
          </w:p>
        </w:tc>
        <w:tc>
          <w:tcPr>
            <w:tcW w:w="0" w:type="auto"/>
            <w:shd w:val="clear" w:color="auto" w:fill="auto"/>
          </w:tcPr>
          <w:p w14:paraId="6E7C7184" w14:textId="77777777" w:rsidR="002665ED" w:rsidRPr="002665ED" w:rsidRDefault="002665ED" w:rsidP="00DD104E">
            <w:pPr>
              <w:jc w:val="center"/>
              <w:rPr>
                <w:sz w:val="20"/>
                <w:szCs w:val="20"/>
                <w:lang w:val="en-US"/>
              </w:rPr>
            </w:pPr>
          </w:p>
        </w:tc>
        <w:tc>
          <w:tcPr>
            <w:tcW w:w="0" w:type="auto"/>
            <w:shd w:val="clear" w:color="auto" w:fill="auto"/>
          </w:tcPr>
          <w:p w14:paraId="371BBCBB" w14:textId="77777777" w:rsidR="002665ED" w:rsidRPr="002665ED" w:rsidRDefault="002665ED" w:rsidP="00DD104E">
            <w:pPr>
              <w:jc w:val="center"/>
              <w:rPr>
                <w:sz w:val="20"/>
                <w:szCs w:val="20"/>
                <w:lang w:val="en-US"/>
              </w:rPr>
            </w:pPr>
          </w:p>
        </w:tc>
        <w:tc>
          <w:tcPr>
            <w:tcW w:w="0" w:type="auto"/>
            <w:shd w:val="clear" w:color="auto" w:fill="auto"/>
          </w:tcPr>
          <w:p w14:paraId="3E241B70" w14:textId="77777777" w:rsidR="002665ED" w:rsidRPr="002665ED" w:rsidRDefault="002665ED" w:rsidP="00DD104E">
            <w:pPr>
              <w:jc w:val="center"/>
              <w:rPr>
                <w:sz w:val="20"/>
                <w:szCs w:val="20"/>
                <w:lang w:val="en-US"/>
              </w:rPr>
            </w:pPr>
          </w:p>
        </w:tc>
        <w:tc>
          <w:tcPr>
            <w:tcW w:w="0" w:type="auto"/>
            <w:shd w:val="clear" w:color="auto" w:fill="auto"/>
          </w:tcPr>
          <w:p w14:paraId="0A3D78CC" w14:textId="77777777" w:rsidR="002665ED" w:rsidRPr="002665ED" w:rsidRDefault="002665ED" w:rsidP="00DD104E">
            <w:pPr>
              <w:jc w:val="center"/>
              <w:rPr>
                <w:sz w:val="20"/>
                <w:szCs w:val="20"/>
                <w:lang w:val="en-US"/>
              </w:rPr>
            </w:pPr>
          </w:p>
        </w:tc>
        <w:tc>
          <w:tcPr>
            <w:tcW w:w="0" w:type="auto"/>
            <w:shd w:val="clear" w:color="auto" w:fill="auto"/>
          </w:tcPr>
          <w:p w14:paraId="734FED2B" w14:textId="77777777" w:rsidR="002665ED" w:rsidRPr="002665ED" w:rsidRDefault="002665ED" w:rsidP="00DD104E">
            <w:pPr>
              <w:jc w:val="center"/>
              <w:rPr>
                <w:sz w:val="20"/>
                <w:szCs w:val="20"/>
                <w:lang w:val="en-US"/>
              </w:rPr>
            </w:pPr>
          </w:p>
        </w:tc>
      </w:tr>
      <w:tr w:rsidR="002665ED" w:rsidRPr="002665ED" w14:paraId="3C5613A6" w14:textId="77777777" w:rsidTr="002665ED">
        <w:tc>
          <w:tcPr>
            <w:tcW w:w="0" w:type="auto"/>
            <w:shd w:val="clear" w:color="auto" w:fill="auto"/>
          </w:tcPr>
          <w:p w14:paraId="30414F0E" w14:textId="77777777" w:rsidR="002665ED" w:rsidRPr="002665ED" w:rsidRDefault="002665ED" w:rsidP="00DD104E">
            <w:pPr>
              <w:rPr>
                <w:color w:val="000000"/>
                <w:sz w:val="20"/>
                <w:szCs w:val="20"/>
                <w:lang w:val="en-US" w:eastAsia="pt-BR"/>
              </w:rPr>
            </w:pPr>
            <w:r w:rsidRPr="002665ED">
              <w:rPr>
                <w:color w:val="000000"/>
                <w:sz w:val="20"/>
                <w:szCs w:val="20"/>
                <w:lang w:val="en-US" w:eastAsia="pt-BR"/>
              </w:rPr>
              <w:t>Married/Partner</w:t>
            </w:r>
          </w:p>
        </w:tc>
        <w:tc>
          <w:tcPr>
            <w:tcW w:w="0" w:type="auto"/>
            <w:shd w:val="clear" w:color="auto" w:fill="auto"/>
          </w:tcPr>
          <w:p w14:paraId="5482A972" w14:textId="77777777" w:rsidR="002665ED" w:rsidRPr="002665ED" w:rsidRDefault="002665ED" w:rsidP="00DD104E">
            <w:pPr>
              <w:jc w:val="center"/>
              <w:rPr>
                <w:sz w:val="20"/>
                <w:szCs w:val="20"/>
                <w:lang w:val="en-US"/>
              </w:rPr>
            </w:pPr>
          </w:p>
        </w:tc>
        <w:tc>
          <w:tcPr>
            <w:tcW w:w="0" w:type="auto"/>
            <w:shd w:val="clear" w:color="auto" w:fill="auto"/>
          </w:tcPr>
          <w:p w14:paraId="33AB60B1" w14:textId="77777777" w:rsidR="002665ED" w:rsidRPr="002665ED" w:rsidRDefault="002665ED" w:rsidP="00DD104E">
            <w:pPr>
              <w:jc w:val="center"/>
              <w:rPr>
                <w:sz w:val="20"/>
                <w:szCs w:val="20"/>
                <w:lang w:val="en-US"/>
              </w:rPr>
            </w:pPr>
          </w:p>
        </w:tc>
        <w:tc>
          <w:tcPr>
            <w:tcW w:w="0" w:type="auto"/>
            <w:shd w:val="clear" w:color="auto" w:fill="auto"/>
          </w:tcPr>
          <w:p w14:paraId="50A93DD1" w14:textId="77777777" w:rsidR="002665ED" w:rsidRPr="002665ED" w:rsidRDefault="002665ED" w:rsidP="00DD104E">
            <w:pPr>
              <w:jc w:val="center"/>
              <w:rPr>
                <w:sz w:val="20"/>
                <w:szCs w:val="20"/>
                <w:lang w:val="en-US"/>
              </w:rPr>
            </w:pPr>
          </w:p>
        </w:tc>
        <w:tc>
          <w:tcPr>
            <w:tcW w:w="0" w:type="auto"/>
            <w:shd w:val="clear" w:color="auto" w:fill="auto"/>
          </w:tcPr>
          <w:p w14:paraId="07B55AC3" w14:textId="77777777" w:rsidR="002665ED" w:rsidRPr="002665ED" w:rsidRDefault="002665ED" w:rsidP="00DD104E">
            <w:pPr>
              <w:jc w:val="center"/>
              <w:rPr>
                <w:sz w:val="20"/>
                <w:szCs w:val="20"/>
                <w:lang w:val="en-US"/>
              </w:rPr>
            </w:pPr>
          </w:p>
        </w:tc>
        <w:tc>
          <w:tcPr>
            <w:tcW w:w="0" w:type="auto"/>
            <w:shd w:val="clear" w:color="auto" w:fill="auto"/>
          </w:tcPr>
          <w:p w14:paraId="5367AA87" w14:textId="77777777" w:rsidR="002665ED" w:rsidRPr="002665ED" w:rsidRDefault="002665ED" w:rsidP="00DD104E">
            <w:pPr>
              <w:jc w:val="center"/>
              <w:rPr>
                <w:sz w:val="20"/>
                <w:szCs w:val="20"/>
                <w:lang w:val="en-US"/>
              </w:rPr>
            </w:pPr>
          </w:p>
        </w:tc>
        <w:tc>
          <w:tcPr>
            <w:tcW w:w="0" w:type="auto"/>
            <w:shd w:val="clear" w:color="auto" w:fill="auto"/>
          </w:tcPr>
          <w:p w14:paraId="4B05E604" w14:textId="77777777" w:rsidR="002665ED" w:rsidRPr="002665ED" w:rsidRDefault="002665ED" w:rsidP="00DD104E">
            <w:pPr>
              <w:jc w:val="center"/>
              <w:rPr>
                <w:sz w:val="20"/>
                <w:szCs w:val="20"/>
                <w:lang w:val="en-US"/>
              </w:rPr>
            </w:pPr>
            <w:r w:rsidRPr="002665ED">
              <w:rPr>
                <w:sz w:val="20"/>
                <w:szCs w:val="20"/>
                <w:lang w:val="en-US"/>
              </w:rPr>
              <w:t>-</w:t>
            </w:r>
          </w:p>
        </w:tc>
      </w:tr>
      <w:tr w:rsidR="002665ED" w:rsidRPr="002665ED" w14:paraId="4A33C90F" w14:textId="77777777" w:rsidTr="002665ED">
        <w:tc>
          <w:tcPr>
            <w:tcW w:w="0" w:type="auto"/>
            <w:shd w:val="clear" w:color="auto" w:fill="auto"/>
          </w:tcPr>
          <w:p w14:paraId="4D3CAC3C" w14:textId="77777777" w:rsidR="002665ED" w:rsidRPr="002665ED" w:rsidRDefault="002665ED" w:rsidP="00DD104E">
            <w:pPr>
              <w:rPr>
                <w:color w:val="000000"/>
                <w:sz w:val="20"/>
                <w:szCs w:val="20"/>
                <w:lang w:val="en-US" w:eastAsia="pt-BR"/>
              </w:rPr>
            </w:pPr>
            <w:r w:rsidRPr="002665ED">
              <w:rPr>
                <w:color w:val="000000"/>
                <w:sz w:val="20"/>
                <w:szCs w:val="20"/>
                <w:lang w:val="en-US" w:eastAsia="pt-BR"/>
              </w:rPr>
              <w:t>Single</w:t>
            </w:r>
          </w:p>
        </w:tc>
        <w:tc>
          <w:tcPr>
            <w:tcW w:w="0" w:type="auto"/>
            <w:shd w:val="clear" w:color="auto" w:fill="auto"/>
          </w:tcPr>
          <w:p w14:paraId="2BA846F9" w14:textId="77777777" w:rsidR="002665ED" w:rsidRPr="002665ED" w:rsidRDefault="002665ED" w:rsidP="00DD104E">
            <w:pPr>
              <w:jc w:val="center"/>
              <w:rPr>
                <w:sz w:val="20"/>
                <w:szCs w:val="20"/>
                <w:lang w:val="en-US"/>
              </w:rPr>
            </w:pPr>
          </w:p>
        </w:tc>
        <w:tc>
          <w:tcPr>
            <w:tcW w:w="0" w:type="auto"/>
            <w:shd w:val="clear" w:color="auto" w:fill="auto"/>
          </w:tcPr>
          <w:p w14:paraId="71B79BBD" w14:textId="77777777" w:rsidR="002665ED" w:rsidRPr="002665ED" w:rsidRDefault="002665ED" w:rsidP="00DD104E">
            <w:pPr>
              <w:jc w:val="center"/>
              <w:rPr>
                <w:sz w:val="20"/>
                <w:szCs w:val="20"/>
                <w:lang w:val="en-US"/>
              </w:rPr>
            </w:pPr>
          </w:p>
        </w:tc>
        <w:tc>
          <w:tcPr>
            <w:tcW w:w="0" w:type="auto"/>
            <w:shd w:val="clear" w:color="auto" w:fill="auto"/>
          </w:tcPr>
          <w:p w14:paraId="2BDEA755" w14:textId="77777777" w:rsidR="002665ED" w:rsidRPr="002665ED" w:rsidRDefault="002665ED" w:rsidP="00DD104E">
            <w:pPr>
              <w:jc w:val="center"/>
              <w:rPr>
                <w:sz w:val="20"/>
                <w:szCs w:val="20"/>
                <w:lang w:val="en-US"/>
              </w:rPr>
            </w:pPr>
          </w:p>
        </w:tc>
        <w:tc>
          <w:tcPr>
            <w:tcW w:w="0" w:type="auto"/>
            <w:shd w:val="clear" w:color="auto" w:fill="auto"/>
          </w:tcPr>
          <w:p w14:paraId="17C64385" w14:textId="77777777" w:rsidR="002665ED" w:rsidRPr="002665ED" w:rsidRDefault="002665ED" w:rsidP="00DD104E">
            <w:pPr>
              <w:jc w:val="center"/>
              <w:rPr>
                <w:sz w:val="20"/>
                <w:szCs w:val="20"/>
                <w:lang w:val="en-US"/>
              </w:rPr>
            </w:pPr>
          </w:p>
        </w:tc>
        <w:tc>
          <w:tcPr>
            <w:tcW w:w="0" w:type="auto"/>
            <w:shd w:val="clear" w:color="auto" w:fill="auto"/>
          </w:tcPr>
          <w:p w14:paraId="2C18FE6A" w14:textId="77777777" w:rsidR="002665ED" w:rsidRPr="002665ED" w:rsidRDefault="002665ED" w:rsidP="00DD104E">
            <w:pPr>
              <w:jc w:val="center"/>
              <w:rPr>
                <w:sz w:val="20"/>
                <w:szCs w:val="20"/>
                <w:lang w:val="en-US"/>
              </w:rPr>
            </w:pPr>
          </w:p>
        </w:tc>
        <w:tc>
          <w:tcPr>
            <w:tcW w:w="0" w:type="auto"/>
            <w:shd w:val="clear" w:color="auto" w:fill="auto"/>
          </w:tcPr>
          <w:p w14:paraId="55E4EBB8" w14:textId="77777777" w:rsidR="002665ED" w:rsidRPr="002665ED" w:rsidRDefault="002665ED" w:rsidP="00DD104E">
            <w:pPr>
              <w:jc w:val="center"/>
              <w:rPr>
                <w:sz w:val="20"/>
                <w:szCs w:val="20"/>
                <w:lang w:val="en-US"/>
              </w:rPr>
            </w:pPr>
            <w:r w:rsidRPr="002665ED">
              <w:rPr>
                <w:sz w:val="20"/>
                <w:szCs w:val="20"/>
                <w:lang w:val="en-US"/>
              </w:rPr>
              <w:t>3.90 (2.06-7.54)</w:t>
            </w:r>
          </w:p>
        </w:tc>
      </w:tr>
      <w:tr w:rsidR="002665ED" w:rsidRPr="002665ED" w14:paraId="789D1AA1" w14:textId="77777777" w:rsidTr="002665ED">
        <w:tc>
          <w:tcPr>
            <w:tcW w:w="0" w:type="auto"/>
            <w:shd w:val="clear" w:color="auto" w:fill="auto"/>
          </w:tcPr>
          <w:p w14:paraId="3FB52EC6" w14:textId="77777777" w:rsidR="002665ED" w:rsidRPr="002665ED" w:rsidRDefault="002665ED" w:rsidP="00DD104E">
            <w:pPr>
              <w:rPr>
                <w:color w:val="000000"/>
                <w:sz w:val="20"/>
                <w:szCs w:val="20"/>
                <w:lang w:val="en-US" w:eastAsia="pt-BR"/>
              </w:rPr>
            </w:pPr>
            <w:r w:rsidRPr="002665ED">
              <w:rPr>
                <w:color w:val="000000"/>
                <w:sz w:val="20"/>
                <w:szCs w:val="20"/>
                <w:lang w:val="en-US" w:eastAsia="pt-BR"/>
              </w:rPr>
              <w:t>Any religion</w:t>
            </w:r>
          </w:p>
        </w:tc>
        <w:tc>
          <w:tcPr>
            <w:tcW w:w="0" w:type="auto"/>
            <w:shd w:val="clear" w:color="auto" w:fill="auto"/>
          </w:tcPr>
          <w:p w14:paraId="24D0321B" w14:textId="77777777" w:rsidR="002665ED" w:rsidRPr="002665ED" w:rsidRDefault="002665ED" w:rsidP="00DD104E">
            <w:pPr>
              <w:jc w:val="center"/>
              <w:rPr>
                <w:sz w:val="20"/>
                <w:szCs w:val="20"/>
                <w:lang w:val="en-US"/>
              </w:rPr>
            </w:pPr>
          </w:p>
        </w:tc>
        <w:tc>
          <w:tcPr>
            <w:tcW w:w="0" w:type="auto"/>
            <w:shd w:val="clear" w:color="auto" w:fill="auto"/>
          </w:tcPr>
          <w:p w14:paraId="621EF6EB" w14:textId="77777777" w:rsidR="002665ED" w:rsidRPr="002665ED" w:rsidRDefault="002665ED" w:rsidP="00DD104E">
            <w:pPr>
              <w:jc w:val="center"/>
              <w:rPr>
                <w:sz w:val="20"/>
                <w:szCs w:val="20"/>
                <w:lang w:val="en-US"/>
              </w:rPr>
            </w:pPr>
          </w:p>
        </w:tc>
        <w:tc>
          <w:tcPr>
            <w:tcW w:w="0" w:type="auto"/>
            <w:shd w:val="clear" w:color="auto" w:fill="auto"/>
          </w:tcPr>
          <w:p w14:paraId="58F38FA7" w14:textId="77777777" w:rsidR="002665ED" w:rsidRPr="002665ED" w:rsidRDefault="002665ED" w:rsidP="00DD104E">
            <w:pPr>
              <w:jc w:val="center"/>
              <w:rPr>
                <w:sz w:val="20"/>
                <w:szCs w:val="20"/>
                <w:lang w:val="en-US"/>
              </w:rPr>
            </w:pPr>
          </w:p>
        </w:tc>
        <w:tc>
          <w:tcPr>
            <w:tcW w:w="0" w:type="auto"/>
            <w:shd w:val="clear" w:color="auto" w:fill="auto"/>
          </w:tcPr>
          <w:p w14:paraId="12DAE44B" w14:textId="77777777" w:rsidR="002665ED" w:rsidRPr="002665ED" w:rsidRDefault="002665ED" w:rsidP="00DD104E">
            <w:pPr>
              <w:jc w:val="center"/>
              <w:rPr>
                <w:sz w:val="20"/>
                <w:szCs w:val="20"/>
                <w:lang w:val="en-US"/>
              </w:rPr>
            </w:pPr>
          </w:p>
        </w:tc>
        <w:tc>
          <w:tcPr>
            <w:tcW w:w="0" w:type="auto"/>
            <w:shd w:val="clear" w:color="auto" w:fill="auto"/>
          </w:tcPr>
          <w:p w14:paraId="7274D6ED" w14:textId="77777777" w:rsidR="002665ED" w:rsidRPr="002665ED" w:rsidRDefault="002665ED" w:rsidP="00DD104E">
            <w:pPr>
              <w:jc w:val="center"/>
              <w:rPr>
                <w:sz w:val="20"/>
                <w:szCs w:val="20"/>
                <w:lang w:val="en-US"/>
              </w:rPr>
            </w:pPr>
          </w:p>
        </w:tc>
        <w:tc>
          <w:tcPr>
            <w:tcW w:w="0" w:type="auto"/>
            <w:shd w:val="clear" w:color="auto" w:fill="auto"/>
          </w:tcPr>
          <w:p w14:paraId="07663F75" w14:textId="77777777" w:rsidR="002665ED" w:rsidRPr="002665ED" w:rsidRDefault="002665ED" w:rsidP="00DD104E">
            <w:pPr>
              <w:jc w:val="center"/>
              <w:rPr>
                <w:sz w:val="20"/>
                <w:szCs w:val="20"/>
                <w:lang w:val="en-US"/>
              </w:rPr>
            </w:pPr>
          </w:p>
        </w:tc>
      </w:tr>
      <w:tr w:rsidR="002665ED" w:rsidRPr="002665ED" w14:paraId="03824836" w14:textId="77777777" w:rsidTr="002665ED">
        <w:tc>
          <w:tcPr>
            <w:tcW w:w="0" w:type="auto"/>
            <w:shd w:val="clear" w:color="auto" w:fill="auto"/>
          </w:tcPr>
          <w:p w14:paraId="3E139C5B" w14:textId="77777777" w:rsidR="002665ED" w:rsidRPr="002665ED" w:rsidRDefault="002665ED" w:rsidP="00DD104E">
            <w:pPr>
              <w:rPr>
                <w:color w:val="000000"/>
                <w:sz w:val="20"/>
                <w:szCs w:val="20"/>
                <w:lang w:val="en-US" w:eastAsia="pt-BR"/>
              </w:rPr>
            </w:pPr>
            <w:r w:rsidRPr="002665ED">
              <w:rPr>
                <w:color w:val="000000"/>
                <w:sz w:val="20"/>
                <w:szCs w:val="20"/>
                <w:lang w:val="en-US" w:eastAsia="pt-BR"/>
              </w:rPr>
              <w:t>No</w:t>
            </w:r>
          </w:p>
        </w:tc>
        <w:tc>
          <w:tcPr>
            <w:tcW w:w="0" w:type="auto"/>
            <w:shd w:val="clear" w:color="auto" w:fill="auto"/>
          </w:tcPr>
          <w:p w14:paraId="1162314B" w14:textId="77777777" w:rsidR="002665ED" w:rsidRPr="002665ED" w:rsidRDefault="002665ED" w:rsidP="00DD104E">
            <w:pPr>
              <w:jc w:val="center"/>
              <w:rPr>
                <w:sz w:val="20"/>
                <w:szCs w:val="20"/>
                <w:lang w:val="en-US"/>
              </w:rPr>
            </w:pPr>
          </w:p>
        </w:tc>
        <w:tc>
          <w:tcPr>
            <w:tcW w:w="0" w:type="auto"/>
            <w:shd w:val="clear" w:color="auto" w:fill="auto"/>
          </w:tcPr>
          <w:p w14:paraId="7F09C2BD" w14:textId="77777777" w:rsidR="002665ED" w:rsidRPr="002665ED" w:rsidRDefault="002665ED" w:rsidP="00DD104E">
            <w:pPr>
              <w:jc w:val="center"/>
              <w:rPr>
                <w:sz w:val="20"/>
                <w:szCs w:val="20"/>
                <w:lang w:val="en-US"/>
              </w:rPr>
            </w:pPr>
          </w:p>
        </w:tc>
        <w:tc>
          <w:tcPr>
            <w:tcW w:w="0" w:type="auto"/>
            <w:shd w:val="clear" w:color="auto" w:fill="auto"/>
          </w:tcPr>
          <w:p w14:paraId="3480CB37" w14:textId="77777777" w:rsidR="002665ED" w:rsidRPr="002665ED" w:rsidRDefault="002665ED" w:rsidP="00DD104E">
            <w:pPr>
              <w:jc w:val="center"/>
              <w:rPr>
                <w:sz w:val="20"/>
                <w:szCs w:val="20"/>
                <w:lang w:val="en-US"/>
              </w:rPr>
            </w:pPr>
          </w:p>
        </w:tc>
        <w:tc>
          <w:tcPr>
            <w:tcW w:w="0" w:type="auto"/>
            <w:shd w:val="clear" w:color="auto" w:fill="auto"/>
          </w:tcPr>
          <w:p w14:paraId="4C00CEE0" w14:textId="77777777" w:rsidR="002665ED" w:rsidRPr="002665ED" w:rsidRDefault="002665ED" w:rsidP="00DD104E">
            <w:pPr>
              <w:jc w:val="center"/>
              <w:rPr>
                <w:sz w:val="20"/>
                <w:szCs w:val="20"/>
                <w:lang w:val="en-US"/>
              </w:rPr>
            </w:pPr>
            <w:r w:rsidRPr="002665ED">
              <w:rPr>
                <w:sz w:val="20"/>
                <w:szCs w:val="20"/>
                <w:lang w:val="en-US"/>
              </w:rPr>
              <w:t>-</w:t>
            </w:r>
          </w:p>
        </w:tc>
        <w:tc>
          <w:tcPr>
            <w:tcW w:w="0" w:type="auto"/>
            <w:shd w:val="clear" w:color="auto" w:fill="auto"/>
          </w:tcPr>
          <w:p w14:paraId="560D55AB" w14:textId="77777777" w:rsidR="002665ED" w:rsidRPr="002665ED" w:rsidRDefault="002665ED" w:rsidP="00DD104E">
            <w:pPr>
              <w:jc w:val="center"/>
              <w:rPr>
                <w:sz w:val="20"/>
                <w:szCs w:val="20"/>
                <w:lang w:val="en-US"/>
              </w:rPr>
            </w:pPr>
          </w:p>
        </w:tc>
        <w:tc>
          <w:tcPr>
            <w:tcW w:w="0" w:type="auto"/>
            <w:shd w:val="clear" w:color="auto" w:fill="auto"/>
          </w:tcPr>
          <w:p w14:paraId="589C6958" w14:textId="77777777" w:rsidR="002665ED" w:rsidRPr="002665ED" w:rsidRDefault="002665ED" w:rsidP="00DD104E">
            <w:pPr>
              <w:jc w:val="center"/>
              <w:rPr>
                <w:sz w:val="20"/>
                <w:szCs w:val="20"/>
                <w:lang w:val="en-US"/>
              </w:rPr>
            </w:pPr>
          </w:p>
        </w:tc>
      </w:tr>
      <w:tr w:rsidR="002665ED" w:rsidRPr="002665ED" w14:paraId="14642A13" w14:textId="77777777" w:rsidTr="002665ED">
        <w:tc>
          <w:tcPr>
            <w:tcW w:w="0" w:type="auto"/>
            <w:shd w:val="clear" w:color="auto" w:fill="auto"/>
          </w:tcPr>
          <w:p w14:paraId="38190108" w14:textId="77777777" w:rsidR="002665ED" w:rsidRPr="002665ED" w:rsidRDefault="002665ED" w:rsidP="00DD104E">
            <w:pPr>
              <w:rPr>
                <w:color w:val="000000"/>
                <w:sz w:val="20"/>
                <w:szCs w:val="20"/>
                <w:lang w:val="en-US" w:eastAsia="pt-BR"/>
              </w:rPr>
            </w:pPr>
            <w:r w:rsidRPr="002665ED">
              <w:rPr>
                <w:color w:val="000000"/>
                <w:sz w:val="20"/>
                <w:szCs w:val="20"/>
                <w:lang w:val="en-US" w:eastAsia="pt-BR"/>
              </w:rPr>
              <w:t>Yes</w:t>
            </w:r>
          </w:p>
        </w:tc>
        <w:tc>
          <w:tcPr>
            <w:tcW w:w="0" w:type="auto"/>
            <w:shd w:val="clear" w:color="auto" w:fill="auto"/>
          </w:tcPr>
          <w:p w14:paraId="32495956" w14:textId="77777777" w:rsidR="002665ED" w:rsidRPr="002665ED" w:rsidRDefault="002665ED" w:rsidP="00DD104E">
            <w:pPr>
              <w:jc w:val="center"/>
              <w:rPr>
                <w:sz w:val="20"/>
                <w:szCs w:val="20"/>
                <w:lang w:val="en-US"/>
              </w:rPr>
            </w:pPr>
          </w:p>
        </w:tc>
        <w:tc>
          <w:tcPr>
            <w:tcW w:w="0" w:type="auto"/>
            <w:shd w:val="clear" w:color="auto" w:fill="auto"/>
          </w:tcPr>
          <w:p w14:paraId="42F51262" w14:textId="77777777" w:rsidR="002665ED" w:rsidRPr="002665ED" w:rsidRDefault="002665ED" w:rsidP="00DD104E">
            <w:pPr>
              <w:jc w:val="center"/>
              <w:rPr>
                <w:sz w:val="20"/>
                <w:szCs w:val="20"/>
                <w:lang w:val="en-US"/>
              </w:rPr>
            </w:pPr>
          </w:p>
        </w:tc>
        <w:tc>
          <w:tcPr>
            <w:tcW w:w="0" w:type="auto"/>
            <w:shd w:val="clear" w:color="auto" w:fill="auto"/>
          </w:tcPr>
          <w:p w14:paraId="4ECF00C8" w14:textId="77777777" w:rsidR="002665ED" w:rsidRPr="002665ED" w:rsidRDefault="002665ED" w:rsidP="00DD104E">
            <w:pPr>
              <w:jc w:val="center"/>
              <w:rPr>
                <w:sz w:val="20"/>
                <w:szCs w:val="20"/>
                <w:lang w:val="en-US"/>
              </w:rPr>
            </w:pPr>
          </w:p>
        </w:tc>
        <w:tc>
          <w:tcPr>
            <w:tcW w:w="0" w:type="auto"/>
            <w:shd w:val="clear" w:color="auto" w:fill="auto"/>
          </w:tcPr>
          <w:p w14:paraId="765DE7EC" w14:textId="77777777" w:rsidR="002665ED" w:rsidRPr="002665ED" w:rsidRDefault="002665ED" w:rsidP="00DD104E">
            <w:pPr>
              <w:jc w:val="center"/>
              <w:rPr>
                <w:sz w:val="20"/>
                <w:szCs w:val="20"/>
                <w:lang w:val="en-US"/>
              </w:rPr>
            </w:pPr>
            <w:r w:rsidRPr="002665ED">
              <w:rPr>
                <w:sz w:val="20"/>
                <w:szCs w:val="20"/>
                <w:lang w:val="en-US"/>
              </w:rPr>
              <w:t>0.31 (0.17-0.53)</w:t>
            </w:r>
          </w:p>
        </w:tc>
        <w:tc>
          <w:tcPr>
            <w:tcW w:w="0" w:type="auto"/>
            <w:shd w:val="clear" w:color="auto" w:fill="auto"/>
          </w:tcPr>
          <w:p w14:paraId="0B973ED3" w14:textId="77777777" w:rsidR="002665ED" w:rsidRPr="002665ED" w:rsidRDefault="002665ED" w:rsidP="00DD104E">
            <w:pPr>
              <w:jc w:val="center"/>
              <w:rPr>
                <w:sz w:val="20"/>
                <w:szCs w:val="20"/>
                <w:lang w:val="en-US"/>
              </w:rPr>
            </w:pPr>
          </w:p>
        </w:tc>
        <w:tc>
          <w:tcPr>
            <w:tcW w:w="0" w:type="auto"/>
            <w:shd w:val="clear" w:color="auto" w:fill="auto"/>
          </w:tcPr>
          <w:p w14:paraId="4451E252" w14:textId="77777777" w:rsidR="002665ED" w:rsidRPr="002665ED" w:rsidRDefault="002665ED" w:rsidP="00DD104E">
            <w:pPr>
              <w:jc w:val="center"/>
              <w:rPr>
                <w:sz w:val="20"/>
                <w:szCs w:val="20"/>
                <w:lang w:val="en-US"/>
              </w:rPr>
            </w:pPr>
          </w:p>
        </w:tc>
      </w:tr>
      <w:tr w:rsidR="002665ED" w:rsidRPr="006750CE" w14:paraId="702CF4BA" w14:textId="77777777" w:rsidTr="002665ED">
        <w:tc>
          <w:tcPr>
            <w:tcW w:w="0" w:type="auto"/>
            <w:gridSpan w:val="3"/>
            <w:shd w:val="clear" w:color="auto" w:fill="auto"/>
          </w:tcPr>
          <w:p w14:paraId="61AEDCEA" w14:textId="77777777" w:rsidR="002665ED" w:rsidRPr="002665ED" w:rsidRDefault="002665ED" w:rsidP="00DD104E">
            <w:pPr>
              <w:rPr>
                <w:sz w:val="20"/>
                <w:szCs w:val="20"/>
                <w:lang w:val="en-US"/>
              </w:rPr>
            </w:pPr>
            <w:r w:rsidRPr="002665ED">
              <w:rPr>
                <w:color w:val="000000"/>
                <w:sz w:val="20"/>
                <w:szCs w:val="20"/>
                <w:lang w:val="en-US" w:eastAsia="pt-BR"/>
              </w:rPr>
              <w:t xml:space="preserve">Requested a leave of absence or </w:t>
            </w:r>
            <w:r w:rsidRPr="002665ED">
              <w:rPr>
                <w:color w:val="000000"/>
                <w:sz w:val="20"/>
                <w:szCs w:val="20"/>
                <w:shd w:val="clear" w:color="auto" w:fill="FFFFFF"/>
                <w:lang w:val="en-US" w:eastAsia="pt-BR"/>
              </w:rPr>
              <w:t>took leave from work because of the pandemic?</w:t>
            </w:r>
          </w:p>
        </w:tc>
        <w:tc>
          <w:tcPr>
            <w:tcW w:w="0" w:type="auto"/>
            <w:shd w:val="clear" w:color="auto" w:fill="auto"/>
          </w:tcPr>
          <w:p w14:paraId="0C5DD7D3" w14:textId="77777777" w:rsidR="002665ED" w:rsidRPr="002665ED" w:rsidRDefault="002665ED" w:rsidP="00DD104E">
            <w:pPr>
              <w:jc w:val="center"/>
              <w:rPr>
                <w:sz w:val="20"/>
                <w:szCs w:val="20"/>
                <w:lang w:val="en-US"/>
              </w:rPr>
            </w:pPr>
          </w:p>
        </w:tc>
        <w:tc>
          <w:tcPr>
            <w:tcW w:w="0" w:type="auto"/>
            <w:shd w:val="clear" w:color="auto" w:fill="auto"/>
          </w:tcPr>
          <w:p w14:paraId="072D72D4" w14:textId="77777777" w:rsidR="002665ED" w:rsidRPr="002665ED" w:rsidRDefault="002665ED" w:rsidP="00DD104E">
            <w:pPr>
              <w:jc w:val="center"/>
              <w:rPr>
                <w:sz w:val="20"/>
                <w:szCs w:val="20"/>
                <w:lang w:val="en-US"/>
              </w:rPr>
            </w:pPr>
          </w:p>
        </w:tc>
        <w:tc>
          <w:tcPr>
            <w:tcW w:w="0" w:type="auto"/>
            <w:shd w:val="clear" w:color="auto" w:fill="auto"/>
          </w:tcPr>
          <w:p w14:paraId="759AD2D4" w14:textId="77777777" w:rsidR="002665ED" w:rsidRPr="002665ED" w:rsidRDefault="002665ED" w:rsidP="00DD104E">
            <w:pPr>
              <w:jc w:val="center"/>
              <w:rPr>
                <w:sz w:val="20"/>
                <w:szCs w:val="20"/>
                <w:lang w:val="en-US"/>
              </w:rPr>
            </w:pPr>
          </w:p>
        </w:tc>
        <w:tc>
          <w:tcPr>
            <w:tcW w:w="0" w:type="auto"/>
            <w:shd w:val="clear" w:color="auto" w:fill="auto"/>
          </w:tcPr>
          <w:p w14:paraId="4F970879" w14:textId="77777777" w:rsidR="002665ED" w:rsidRPr="002665ED" w:rsidRDefault="002665ED" w:rsidP="00DD104E">
            <w:pPr>
              <w:jc w:val="center"/>
              <w:rPr>
                <w:sz w:val="20"/>
                <w:szCs w:val="20"/>
                <w:lang w:val="en-US"/>
              </w:rPr>
            </w:pPr>
          </w:p>
        </w:tc>
      </w:tr>
      <w:tr w:rsidR="002665ED" w:rsidRPr="002665ED" w14:paraId="42690608" w14:textId="77777777" w:rsidTr="002665ED">
        <w:tc>
          <w:tcPr>
            <w:tcW w:w="0" w:type="auto"/>
            <w:shd w:val="clear" w:color="auto" w:fill="auto"/>
          </w:tcPr>
          <w:p w14:paraId="07B57D8F" w14:textId="77777777" w:rsidR="002665ED" w:rsidRPr="002665ED" w:rsidRDefault="002665ED" w:rsidP="00DD104E">
            <w:pPr>
              <w:rPr>
                <w:sz w:val="20"/>
                <w:szCs w:val="20"/>
                <w:lang w:val="en-US" w:eastAsia="pt-BR"/>
              </w:rPr>
            </w:pPr>
            <w:r w:rsidRPr="002665ED">
              <w:rPr>
                <w:color w:val="000000"/>
                <w:sz w:val="20"/>
                <w:szCs w:val="20"/>
                <w:lang w:val="en-US" w:eastAsia="pt-BR"/>
              </w:rPr>
              <w:t>No </w:t>
            </w:r>
          </w:p>
        </w:tc>
        <w:tc>
          <w:tcPr>
            <w:tcW w:w="0" w:type="auto"/>
            <w:shd w:val="clear" w:color="auto" w:fill="auto"/>
          </w:tcPr>
          <w:p w14:paraId="589E7F56" w14:textId="77777777" w:rsidR="002665ED" w:rsidRPr="002665ED" w:rsidRDefault="002665ED" w:rsidP="00DD104E">
            <w:pPr>
              <w:jc w:val="center"/>
              <w:rPr>
                <w:sz w:val="20"/>
                <w:szCs w:val="20"/>
                <w:lang w:val="en-US"/>
              </w:rPr>
            </w:pPr>
            <w:r w:rsidRPr="002665ED">
              <w:rPr>
                <w:sz w:val="20"/>
                <w:szCs w:val="20"/>
                <w:lang w:val="en-US"/>
              </w:rPr>
              <w:t>-</w:t>
            </w:r>
          </w:p>
        </w:tc>
        <w:tc>
          <w:tcPr>
            <w:tcW w:w="0" w:type="auto"/>
            <w:shd w:val="clear" w:color="auto" w:fill="auto"/>
          </w:tcPr>
          <w:p w14:paraId="5387DC69" w14:textId="77777777" w:rsidR="002665ED" w:rsidRPr="002665ED" w:rsidRDefault="002665ED" w:rsidP="00DD104E">
            <w:pPr>
              <w:jc w:val="center"/>
              <w:rPr>
                <w:sz w:val="20"/>
                <w:szCs w:val="20"/>
                <w:lang w:val="en-US"/>
              </w:rPr>
            </w:pPr>
            <w:r w:rsidRPr="002665ED">
              <w:rPr>
                <w:sz w:val="20"/>
                <w:szCs w:val="20"/>
                <w:lang w:val="en-US"/>
              </w:rPr>
              <w:t>-</w:t>
            </w:r>
          </w:p>
        </w:tc>
        <w:tc>
          <w:tcPr>
            <w:tcW w:w="0" w:type="auto"/>
            <w:shd w:val="clear" w:color="auto" w:fill="auto"/>
          </w:tcPr>
          <w:p w14:paraId="1E1F7DA4" w14:textId="77777777" w:rsidR="002665ED" w:rsidRPr="002665ED" w:rsidRDefault="002665ED" w:rsidP="00DD104E">
            <w:pPr>
              <w:jc w:val="center"/>
              <w:rPr>
                <w:sz w:val="20"/>
                <w:szCs w:val="20"/>
                <w:lang w:val="en-US"/>
              </w:rPr>
            </w:pPr>
            <w:r w:rsidRPr="002665ED">
              <w:rPr>
                <w:sz w:val="20"/>
                <w:szCs w:val="20"/>
                <w:lang w:val="en-US"/>
              </w:rPr>
              <w:t>-</w:t>
            </w:r>
          </w:p>
        </w:tc>
        <w:tc>
          <w:tcPr>
            <w:tcW w:w="0" w:type="auto"/>
            <w:shd w:val="clear" w:color="auto" w:fill="auto"/>
          </w:tcPr>
          <w:p w14:paraId="3923B9B8" w14:textId="77777777" w:rsidR="002665ED" w:rsidRPr="002665ED" w:rsidRDefault="002665ED" w:rsidP="00DD104E">
            <w:pPr>
              <w:jc w:val="center"/>
              <w:rPr>
                <w:sz w:val="20"/>
                <w:szCs w:val="20"/>
                <w:lang w:val="en-US"/>
              </w:rPr>
            </w:pPr>
            <w:r w:rsidRPr="002665ED">
              <w:rPr>
                <w:sz w:val="20"/>
                <w:szCs w:val="20"/>
                <w:lang w:val="en-US"/>
              </w:rPr>
              <w:t>-</w:t>
            </w:r>
          </w:p>
        </w:tc>
        <w:tc>
          <w:tcPr>
            <w:tcW w:w="0" w:type="auto"/>
            <w:shd w:val="clear" w:color="auto" w:fill="auto"/>
          </w:tcPr>
          <w:p w14:paraId="2A98AA14" w14:textId="77777777" w:rsidR="002665ED" w:rsidRPr="002665ED" w:rsidRDefault="002665ED" w:rsidP="00DD104E">
            <w:pPr>
              <w:jc w:val="center"/>
              <w:rPr>
                <w:sz w:val="20"/>
                <w:szCs w:val="20"/>
                <w:lang w:val="en-US"/>
              </w:rPr>
            </w:pPr>
          </w:p>
        </w:tc>
        <w:tc>
          <w:tcPr>
            <w:tcW w:w="0" w:type="auto"/>
            <w:shd w:val="clear" w:color="auto" w:fill="auto"/>
          </w:tcPr>
          <w:p w14:paraId="3DC179C3" w14:textId="77777777" w:rsidR="002665ED" w:rsidRPr="002665ED" w:rsidRDefault="002665ED" w:rsidP="00DD104E">
            <w:pPr>
              <w:jc w:val="center"/>
              <w:rPr>
                <w:sz w:val="20"/>
                <w:szCs w:val="20"/>
                <w:lang w:val="en-US"/>
              </w:rPr>
            </w:pPr>
            <w:r w:rsidRPr="002665ED">
              <w:rPr>
                <w:sz w:val="20"/>
                <w:szCs w:val="20"/>
                <w:lang w:val="en-US"/>
              </w:rPr>
              <w:t>-</w:t>
            </w:r>
          </w:p>
        </w:tc>
      </w:tr>
      <w:tr w:rsidR="002665ED" w:rsidRPr="002665ED" w14:paraId="7615A94C" w14:textId="77777777" w:rsidTr="002665ED">
        <w:tc>
          <w:tcPr>
            <w:tcW w:w="0" w:type="auto"/>
            <w:shd w:val="clear" w:color="auto" w:fill="auto"/>
          </w:tcPr>
          <w:p w14:paraId="521932BA" w14:textId="77777777" w:rsidR="002665ED" w:rsidRPr="002665ED" w:rsidRDefault="002665ED" w:rsidP="00DD104E">
            <w:pPr>
              <w:rPr>
                <w:sz w:val="20"/>
                <w:szCs w:val="20"/>
                <w:lang w:val="en-US" w:eastAsia="pt-BR"/>
              </w:rPr>
            </w:pPr>
            <w:r w:rsidRPr="002665ED">
              <w:rPr>
                <w:color w:val="000000"/>
                <w:sz w:val="20"/>
                <w:szCs w:val="20"/>
                <w:lang w:val="en-US" w:eastAsia="pt-BR"/>
              </w:rPr>
              <w:t>Yes</w:t>
            </w:r>
          </w:p>
        </w:tc>
        <w:tc>
          <w:tcPr>
            <w:tcW w:w="0" w:type="auto"/>
            <w:shd w:val="clear" w:color="auto" w:fill="auto"/>
          </w:tcPr>
          <w:p w14:paraId="2BBBF0E6" w14:textId="77777777" w:rsidR="002665ED" w:rsidRPr="002665ED" w:rsidRDefault="002665ED" w:rsidP="00DD104E">
            <w:pPr>
              <w:rPr>
                <w:sz w:val="20"/>
                <w:szCs w:val="20"/>
                <w:lang w:val="en-US"/>
              </w:rPr>
            </w:pPr>
            <w:r w:rsidRPr="002665ED">
              <w:rPr>
                <w:sz w:val="20"/>
                <w:szCs w:val="20"/>
                <w:lang w:val="en-US"/>
              </w:rPr>
              <w:t>1.69 (1.19-2.37)</w:t>
            </w:r>
          </w:p>
        </w:tc>
        <w:tc>
          <w:tcPr>
            <w:tcW w:w="0" w:type="auto"/>
            <w:shd w:val="clear" w:color="auto" w:fill="auto"/>
          </w:tcPr>
          <w:p w14:paraId="64156D89" w14:textId="77777777" w:rsidR="002665ED" w:rsidRPr="002665ED" w:rsidRDefault="002665ED" w:rsidP="00DD104E">
            <w:pPr>
              <w:rPr>
                <w:sz w:val="20"/>
                <w:szCs w:val="20"/>
                <w:lang w:val="en-US"/>
              </w:rPr>
            </w:pPr>
            <w:r w:rsidRPr="002665ED">
              <w:rPr>
                <w:sz w:val="20"/>
                <w:szCs w:val="20"/>
                <w:lang w:val="en-US"/>
              </w:rPr>
              <w:t>2.06 (1.33-3.13)</w:t>
            </w:r>
          </w:p>
        </w:tc>
        <w:tc>
          <w:tcPr>
            <w:tcW w:w="0" w:type="auto"/>
            <w:shd w:val="clear" w:color="auto" w:fill="auto"/>
          </w:tcPr>
          <w:p w14:paraId="251813A3" w14:textId="77777777" w:rsidR="002665ED" w:rsidRPr="002665ED" w:rsidRDefault="002665ED" w:rsidP="00DD104E">
            <w:pPr>
              <w:rPr>
                <w:sz w:val="20"/>
                <w:szCs w:val="20"/>
                <w:lang w:val="en-US"/>
              </w:rPr>
            </w:pPr>
            <w:r w:rsidRPr="002665ED">
              <w:rPr>
                <w:sz w:val="20"/>
                <w:szCs w:val="20"/>
                <w:lang w:val="en-US"/>
              </w:rPr>
              <w:t>2.05 (1.44-2.91)</w:t>
            </w:r>
          </w:p>
        </w:tc>
        <w:tc>
          <w:tcPr>
            <w:tcW w:w="0" w:type="auto"/>
            <w:shd w:val="clear" w:color="auto" w:fill="auto"/>
          </w:tcPr>
          <w:p w14:paraId="27B61927" w14:textId="77777777" w:rsidR="002665ED" w:rsidRPr="002665ED" w:rsidRDefault="002665ED" w:rsidP="00DD104E">
            <w:pPr>
              <w:rPr>
                <w:sz w:val="20"/>
                <w:szCs w:val="20"/>
                <w:lang w:val="en-US"/>
              </w:rPr>
            </w:pPr>
            <w:r w:rsidRPr="002665ED">
              <w:rPr>
                <w:sz w:val="20"/>
                <w:szCs w:val="20"/>
                <w:lang w:val="en-US"/>
              </w:rPr>
              <w:t>2.30 (1.31-3.92)</w:t>
            </w:r>
          </w:p>
        </w:tc>
        <w:tc>
          <w:tcPr>
            <w:tcW w:w="0" w:type="auto"/>
            <w:shd w:val="clear" w:color="auto" w:fill="auto"/>
          </w:tcPr>
          <w:p w14:paraId="0FEFA4D8" w14:textId="77777777" w:rsidR="002665ED" w:rsidRPr="002665ED" w:rsidRDefault="002665ED" w:rsidP="00DD104E">
            <w:pPr>
              <w:jc w:val="center"/>
              <w:rPr>
                <w:sz w:val="20"/>
                <w:szCs w:val="20"/>
                <w:lang w:val="en-US"/>
              </w:rPr>
            </w:pPr>
          </w:p>
        </w:tc>
        <w:tc>
          <w:tcPr>
            <w:tcW w:w="0" w:type="auto"/>
            <w:shd w:val="clear" w:color="auto" w:fill="auto"/>
          </w:tcPr>
          <w:p w14:paraId="7793A45E" w14:textId="77777777" w:rsidR="002665ED" w:rsidRPr="002665ED" w:rsidRDefault="002665ED" w:rsidP="00DD104E">
            <w:pPr>
              <w:jc w:val="center"/>
              <w:rPr>
                <w:sz w:val="20"/>
                <w:szCs w:val="20"/>
                <w:lang w:val="en-US"/>
              </w:rPr>
            </w:pPr>
            <w:r w:rsidRPr="002665ED">
              <w:rPr>
                <w:sz w:val="20"/>
                <w:szCs w:val="20"/>
                <w:lang w:val="en-US"/>
              </w:rPr>
              <w:t>12.48 (3.51-52.39)</w:t>
            </w:r>
          </w:p>
        </w:tc>
      </w:tr>
      <w:tr w:rsidR="002665ED" w:rsidRPr="002665ED" w14:paraId="0D0D0324" w14:textId="77777777" w:rsidTr="002665ED">
        <w:tc>
          <w:tcPr>
            <w:tcW w:w="0" w:type="auto"/>
            <w:shd w:val="clear" w:color="auto" w:fill="auto"/>
          </w:tcPr>
          <w:p w14:paraId="380CD241" w14:textId="77777777" w:rsidR="002665ED" w:rsidRPr="002665ED" w:rsidRDefault="002665ED" w:rsidP="00DD104E">
            <w:pPr>
              <w:rPr>
                <w:sz w:val="20"/>
                <w:szCs w:val="20"/>
                <w:lang w:val="en-US" w:eastAsia="pt-BR"/>
              </w:rPr>
            </w:pPr>
            <w:r w:rsidRPr="002665ED">
              <w:rPr>
                <w:color w:val="000000"/>
                <w:sz w:val="20"/>
                <w:szCs w:val="20"/>
                <w:lang w:val="en-US" w:eastAsia="pt-BR"/>
              </w:rPr>
              <w:t>Cohabits with:</w:t>
            </w:r>
          </w:p>
        </w:tc>
        <w:tc>
          <w:tcPr>
            <w:tcW w:w="0" w:type="auto"/>
            <w:shd w:val="clear" w:color="auto" w:fill="auto"/>
          </w:tcPr>
          <w:p w14:paraId="5EEAD503" w14:textId="77777777" w:rsidR="002665ED" w:rsidRPr="002665ED" w:rsidRDefault="002665ED" w:rsidP="00DD104E">
            <w:pPr>
              <w:rPr>
                <w:sz w:val="20"/>
                <w:szCs w:val="20"/>
                <w:lang w:val="en-US"/>
              </w:rPr>
            </w:pPr>
          </w:p>
        </w:tc>
        <w:tc>
          <w:tcPr>
            <w:tcW w:w="0" w:type="auto"/>
            <w:shd w:val="clear" w:color="auto" w:fill="auto"/>
          </w:tcPr>
          <w:p w14:paraId="71FAC647" w14:textId="77777777" w:rsidR="002665ED" w:rsidRPr="002665ED" w:rsidRDefault="002665ED" w:rsidP="00DD104E">
            <w:pPr>
              <w:rPr>
                <w:sz w:val="20"/>
                <w:szCs w:val="20"/>
                <w:lang w:val="en-US"/>
              </w:rPr>
            </w:pPr>
          </w:p>
        </w:tc>
        <w:tc>
          <w:tcPr>
            <w:tcW w:w="0" w:type="auto"/>
            <w:shd w:val="clear" w:color="auto" w:fill="auto"/>
          </w:tcPr>
          <w:p w14:paraId="3C958B1A" w14:textId="77777777" w:rsidR="002665ED" w:rsidRPr="002665ED" w:rsidRDefault="002665ED" w:rsidP="00DD104E">
            <w:pPr>
              <w:rPr>
                <w:sz w:val="20"/>
                <w:szCs w:val="20"/>
                <w:lang w:val="en-US"/>
              </w:rPr>
            </w:pPr>
          </w:p>
        </w:tc>
        <w:tc>
          <w:tcPr>
            <w:tcW w:w="0" w:type="auto"/>
            <w:shd w:val="clear" w:color="auto" w:fill="auto"/>
          </w:tcPr>
          <w:p w14:paraId="50064148" w14:textId="77777777" w:rsidR="002665ED" w:rsidRPr="002665ED" w:rsidRDefault="002665ED" w:rsidP="00DD104E">
            <w:pPr>
              <w:rPr>
                <w:sz w:val="20"/>
                <w:szCs w:val="20"/>
                <w:lang w:val="en-US"/>
              </w:rPr>
            </w:pPr>
          </w:p>
        </w:tc>
        <w:tc>
          <w:tcPr>
            <w:tcW w:w="0" w:type="auto"/>
            <w:shd w:val="clear" w:color="auto" w:fill="auto"/>
          </w:tcPr>
          <w:p w14:paraId="1B034305" w14:textId="77777777" w:rsidR="002665ED" w:rsidRPr="002665ED" w:rsidRDefault="002665ED" w:rsidP="00DD104E">
            <w:pPr>
              <w:jc w:val="center"/>
              <w:rPr>
                <w:sz w:val="20"/>
                <w:szCs w:val="20"/>
                <w:lang w:val="en-US"/>
              </w:rPr>
            </w:pPr>
          </w:p>
        </w:tc>
        <w:tc>
          <w:tcPr>
            <w:tcW w:w="0" w:type="auto"/>
            <w:shd w:val="clear" w:color="auto" w:fill="auto"/>
          </w:tcPr>
          <w:p w14:paraId="672EE4D1" w14:textId="77777777" w:rsidR="002665ED" w:rsidRPr="002665ED" w:rsidRDefault="002665ED" w:rsidP="00DD104E">
            <w:pPr>
              <w:jc w:val="center"/>
              <w:rPr>
                <w:sz w:val="20"/>
                <w:szCs w:val="20"/>
                <w:lang w:val="en-US"/>
              </w:rPr>
            </w:pPr>
          </w:p>
        </w:tc>
      </w:tr>
      <w:tr w:rsidR="002665ED" w:rsidRPr="002665ED" w14:paraId="0A7D6399" w14:textId="77777777" w:rsidTr="002665ED">
        <w:tc>
          <w:tcPr>
            <w:tcW w:w="0" w:type="auto"/>
            <w:shd w:val="clear" w:color="auto" w:fill="auto"/>
          </w:tcPr>
          <w:p w14:paraId="473E2E0E" w14:textId="77777777" w:rsidR="002665ED" w:rsidRPr="002665ED" w:rsidRDefault="002665ED" w:rsidP="00DD104E">
            <w:pPr>
              <w:rPr>
                <w:sz w:val="20"/>
                <w:szCs w:val="20"/>
                <w:lang w:val="en-US" w:eastAsia="pt-BR"/>
              </w:rPr>
            </w:pPr>
            <w:r w:rsidRPr="002665ED">
              <w:rPr>
                <w:color w:val="000000"/>
                <w:sz w:val="20"/>
                <w:szCs w:val="20"/>
                <w:lang w:val="en-US" w:eastAsia="pt-BR"/>
              </w:rPr>
              <w:t>Family/Partner</w:t>
            </w:r>
          </w:p>
        </w:tc>
        <w:tc>
          <w:tcPr>
            <w:tcW w:w="0" w:type="auto"/>
            <w:shd w:val="clear" w:color="auto" w:fill="auto"/>
          </w:tcPr>
          <w:p w14:paraId="3779AED8" w14:textId="77777777" w:rsidR="002665ED" w:rsidRPr="002665ED" w:rsidRDefault="002665ED" w:rsidP="00DD104E">
            <w:pPr>
              <w:jc w:val="center"/>
              <w:rPr>
                <w:sz w:val="20"/>
                <w:szCs w:val="20"/>
                <w:lang w:val="en-US"/>
              </w:rPr>
            </w:pPr>
            <w:r w:rsidRPr="002665ED">
              <w:rPr>
                <w:sz w:val="20"/>
                <w:szCs w:val="20"/>
                <w:lang w:val="en-US"/>
              </w:rPr>
              <w:t>-</w:t>
            </w:r>
          </w:p>
        </w:tc>
        <w:tc>
          <w:tcPr>
            <w:tcW w:w="0" w:type="auto"/>
            <w:shd w:val="clear" w:color="auto" w:fill="auto"/>
          </w:tcPr>
          <w:p w14:paraId="5235738D" w14:textId="77777777" w:rsidR="002665ED" w:rsidRPr="002665ED" w:rsidRDefault="002665ED" w:rsidP="00DD104E">
            <w:pPr>
              <w:jc w:val="center"/>
              <w:rPr>
                <w:sz w:val="20"/>
                <w:szCs w:val="20"/>
                <w:lang w:val="en-US"/>
              </w:rPr>
            </w:pPr>
            <w:r w:rsidRPr="002665ED">
              <w:rPr>
                <w:sz w:val="20"/>
                <w:szCs w:val="20"/>
                <w:lang w:val="en-US"/>
              </w:rPr>
              <w:t>-</w:t>
            </w:r>
          </w:p>
        </w:tc>
        <w:tc>
          <w:tcPr>
            <w:tcW w:w="0" w:type="auto"/>
            <w:shd w:val="clear" w:color="auto" w:fill="auto"/>
          </w:tcPr>
          <w:p w14:paraId="679ED551" w14:textId="77777777" w:rsidR="002665ED" w:rsidRPr="002665ED" w:rsidRDefault="002665ED" w:rsidP="00DD104E">
            <w:pPr>
              <w:jc w:val="center"/>
              <w:rPr>
                <w:sz w:val="20"/>
                <w:szCs w:val="20"/>
                <w:lang w:val="en-US"/>
              </w:rPr>
            </w:pPr>
          </w:p>
        </w:tc>
        <w:tc>
          <w:tcPr>
            <w:tcW w:w="0" w:type="auto"/>
            <w:shd w:val="clear" w:color="auto" w:fill="auto"/>
          </w:tcPr>
          <w:p w14:paraId="536A703F" w14:textId="77777777" w:rsidR="002665ED" w:rsidRPr="002665ED" w:rsidRDefault="002665ED" w:rsidP="00DD104E">
            <w:pPr>
              <w:jc w:val="center"/>
              <w:rPr>
                <w:sz w:val="20"/>
                <w:szCs w:val="20"/>
                <w:lang w:val="en-US"/>
              </w:rPr>
            </w:pPr>
            <w:r w:rsidRPr="002665ED">
              <w:rPr>
                <w:sz w:val="20"/>
                <w:szCs w:val="20"/>
                <w:lang w:val="en-US"/>
              </w:rPr>
              <w:t>-</w:t>
            </w:r>
          </w:p>
        </w:tc>
        <w:tc>
          <w:tcPr>
            <w:tcW w:w="0" w:type="auto"/>
            <w:shd w:val="clear" w:color="auto" w:fill="auto"/>
          </w:tcPr>
          <w:p w14:paraId="35610956" w14:textId="77777777" w:rsidR="002665ED" w:rsidRPr="002665ED" w:rsidRDefault="002665ED" w:rsidP="00DD104E">
            <w:pPr>
              <w:jc w:val="center"/>
              <w:rPr>
                <w:sz w:val="20"/>
                <w:szCs w:val="20"/>
                <w:lang w:val="en-US"/>
              </w:rPr>
            </w:pPr>
          </w:p>
        </w:tc>
        <w:tc>
          <w:tcPr>
            <w:tcW w:w="0" w:type="auto"/>
            <w:shd w:val="clear" w:color="auto" w:fill="auto"/>
          </w:tcPr>
          <w:p w14:paraId="66B00A06" w14:textId="77777777" w:rsidR="002665ED" w:rsidRPr="002665ED" w:rsidRDefault="002665ED" w:rsidP="00DD104E">
            <w:pPr>
              <w:jc w:val="center"/>
              <w:rPr>
                <w:sz w:val="20"/>
                <w:szCs w:val="20"/>
                <w:lang w:val="en-US"/>
              </w:rPr>
            </w:pPr>
          </w:p>
        </w:tc>
      </w:tr>
      <w:tr w:rsidR="002665ED" w:rsidRPr="002665ED" w14:paraId="7FFB3B10" w14:textId="77777777" w:rsidTr="002665ED">
        <w:tc>
          <w:tcPr>
            <w:tcW w:w="0" w:type="auto"/>
            <w:shd w:val="clear" w:color="auto" w:fill="auto"/>
          </w:tcPr>
          <w:p w14:paraId="076288C7" w14:textId="77777777" w:rsidR="002665ED" w:rsidRPr="002665ED" w:rsidRDefault="002665ED" w:rsidP="00DD104E">
            <w:pPr>
              <w:rPr>
                <w:sz w:val="20"/>
                <w:szCs w:val="20"/>
                <w:lang w:val="en-US" w:eastAsia="pt-BR"/>
              </w:rPr>
            </w:pPr>
            <w:r w:rsidRPr="002665ED">
              <w:rPr>
                <w:color w:val="000000"/>
                <w:sz w:val="20"/>
                <w:szCs w:val="20"/>
                <w:lang w:val="en-US" w:eastAsia="pt-BR"/>
              </w:rPr>
              <w:t>Friends/Roommates</w:t>
            </w:r>
          </w:p>
        </w:tc>
        <w:tc>
          <w:tcPr>
            <w:tcW w:w="0" w:type="auto"/>
            <w:shd w:val="clear" w:color="auto" w:fill="auto"/>
          </w:tcPr>
          <w:p w14:paraId="6A25E380" w14:textId="77777777" w:rsidR="002665ED" w:rsidRPr="002665ED" w:rsidRDefault="002665ED" w:rsidP="00DD104E">
            <w:pPr>
              <w:rPr>
                <w:sz w:val="20"/>
                <w:szCs w:val="20"/>
                <w:lang w:val="en-US"/>
              </w:rPr>
            </w:pPr>
            <w:r w:rsidRPr="002665ED">
              <w:rPr>
                <w:sz w:val="20"/>
                <w:szCs w:val="20"/>
                <w:lang w:val="en-US"/>
              </w:rPr>
              <w:t>1.50 (1.03-2.32)</w:t>
            </w:r>
          </w:p>
        </w:tc>
        <w:tc>
          <w:tcPr>
            <w:tcW w:w="0" w:type="auto"/>
            <w:shd w:val="clear" w:color="auto" w:fill="auto"/>
          </w:tcPr>
          <w:p w14:paraId="4A95A1F5" w14:textId="77777777" w:rsidR="002665ED" w:rsidRPr="002665ED" w:rsidRDefault="002665ED" w:rsidP="00DD104E">
            <w:pPr>
              <w:rPr>
                <w:sz w:val="20"/>
                <w:szCs w:val="20"/>
                <w:lang w:val="en-US"/>
              </w:rPr>
            </w:pPr>
            <w:r w:rsidRPr="002665ED">
              <w:rPr>
                <w:sz w:val="20"/>
                <w:szCs w:val="20"/>
                <w:lang w:val="en-US"/>
              </w:rPr>
              <w:t>2.39 (1.41-4.96)</w:t>
            </w:r>
          </w:p>
        </w:tc>
        <w:tc>
          <w:tcPr>
            <w:tcW w:w="0" w:type="auto"/>
            <w:shd w:val="clear" w:color="auto" w:fill="auto"/>
          </w:tcPr>
          <w:p w14:paraId="69730287" w14:textId="77777777" w:rsidR="002665ED" w:rsidRPr="002665ED" w:rsidRDefault="002665ED" w:rsidP="00DD104E">
            <w:pPr>
              <w:rPr>
                <w:sz w:val="20"/>
                <w:szCs w:val="20"/>
                <w:lang w:val="en-US"/>
              </w:rPr>
            </w:pPr>
          </w:p>
        </w:tc>
        <w:tc>
          <w:tcPr>
            <w:tcW w:w="0" w:type="auto"/>
            <w:shd w:val="clear" w:color="auto" w:fill="auto"/>
          </w:tcPr>
          <w:p w14:paraId="7C34DCAA" w14:textId="77777777" w:rsidR="002665ED" w:rsidRPr="002665ED" w:rsidRDefault="002665ED" w:rsidP="00DD104E">
            <w:pPr>
              <w:rPr>
                <w:sz w:val="20"/>
                <w:szCs w:val="20"/>
                <w:lang w:val="en-US"/>
              </w:rPr>
            </w:pPr>
            <w:r w:rsidRPr="002665ED">
              <w:rPr>
                <w:sz w:val="20"/>
                <w:szCs w:val="20"/>
                <w:lang w:val="en-US"/>
              </w:rPr>
              <w:t>2.44 (1.28-4.48)</w:t>
            </w:r>
          </w:p>
        </w:tc>
        <w:tc>
          <w:tcPr>
            <w:tcW w:w="0" w:type="auto"/>
            <w:shd w:val="clear" w:color="auto" w:fill="auto"/>
          </w:tcPr>
          <w:p w14:paraId="13026DFB" w14:textId="77777777" w:rsidR="002665ED" w:rsidRPr="002665ED" w:rsidRDefault="002665ED" w:rsidP="00DD104E">
            <w:pPr>
              <w:jc w:val="center"/>
              <w:rPr>
                <w:sz w:val="20"/>
                <w:szCs w:val="20"/>
                <w:lang w:val="en-US"/>
              </w:rPr>
            </w:pPr>
          </w:p>
        </w:tc>
        <w:tc>
          <w:tcPr>
            <w:tcW w:w="0" w:type="auto"/>
            <w:shd w:val="clear" w:color="auto" w:fill="auto"/>
          </w:tcPr>
          <w:p w14:paraId="5F41F259" w14:textId="77777777" w:rsidR="002665ED" w:rsidRPr="002665ED" w:rsidRDefault="002665ED" w:rsidP="00DD104E">
            <w:pPr>
              <w:jc w:val="center"/>
              <w:rPr>
                <w:sz w:val="20"/>
                <w:szCs w:val="20"/>
                <w:lang w:val="en-US"/>
              </w:rPr>
            </w:pPr>
          </w:p>
        </w:tc>
      </w:tr>
      <w:tr w:rsidR="002665ED" w:rsidRPr="002665ED" w14:paraId="5546FF6D" w14:textId="77777777" w:rsidTr="002665ED">
        <w:tc>
          <w:tcPr>
            <w:tcW w:w="0" w:type="auto"/>
            <w:shd w:val="clear" w:color="auto" w:fill="auto"/>
          </w:tcPr>
          <w:p w14:paraId="6415C2E1" w14:textId="77777777" w:rsidR="002665ED" w:rsidRPr="002665ED" w:rsidRDefault="002665ED" w:rsidP="00DD104E">
            <w:pPr>
              <w:rPr>
                <w:sz w:val="20"/>
                <w:szCs w:val="20"/>
                <w:lang w:val="en-US" w:eastAsia="pt-BR"/>
              </w:rPr>
            </w:pPr>
            <w:r w:rsidRPr="002665ED">
              <w:rPr>
                <w:color w:val="000000"/>
                <w:sz w:val="20"/>
                <w:szCs w:val="20"/>
                <w:lang w:val="en-US" w:eastAsia="pt-BR"/>
              </w:rPr>
              <w:t>Lives alone</w:t>
            </w:r>
          </w:p>
        </w:tc>
        <w:tc>
          <w:tcPr>
            <w:tcW w:w="0" w:type="auto"/>
            <w:shd w:val="clear" w:color="auto" w:fill="auto"/>
          </w:tcPr>
          <w:p w14:paraId="31E22B7F" w14:textId="77777777" w:rsidR="002665ED" w:rsidRPr="002665ED" w:rsidRDefault="002665ED" w:rsidP="00DD104E">
            <w:pPr>
              <w:rPr>
                <w:sz w:val="20"/>
                <w:szCs w:val="20"/>
                <w:lang w:val="en-US"/>
              </w:rPr>
            </w:pPr>
            <w:r w:rsidRPr="002665ED">
              <w:rPr>
                <w:sz w:val="20"/>
                <w:szCs w:val="20"/>
                <w:lang w:val="en-US"/>
              </w:rPr>
              <w:t>0.97 (0.63-1.46)</w:t>
            </w:r>
          </w:p>
        </w:tc>
        <w:tc>
          <w:tcPr>
            <w:tcW w:w="0" w:type="auto"/>
            <w:shd w:val="clear" w:color="auto" w:fill="auto"/>
          </w:tcPr>
          <w:p w14:paraId="4CAB8758" w14:textId="77777777" w:rsidR="002665ED" w:rsidRPr="002665ED" w:rsidRDefault="002665ED" w:rsidP="00DD104E">
            <w:pPr>
              <w:rPr>
                <w:sz w:val="20"/>
                <w:szCs w:val="20"/>
                <w:lang w:val="en-US"/>
              </w:rPr>
            </w:pPr>
            <w:r w:rsidRPr="002665ED">
              <w:rPr>
                <w:sz w:val="20"/>
                <w:szCs w:val="20"/>
                <w:lang w:val="en-US"/>
              </w:rPr>
              <w:t>1.35 (0.76-2.28)</w:t>
            </w:r>
          </w:p>
        </w:tc>
        <w:tc>
          <w:tcPr>
            <w:tcW w:w="0" w:type="auto"/>
            <w:shd w:val="clear" w:color="auto" w:fill="auto"/>
          </w:tcPr>
          <w:p w14:paraId="6B741D7F" w14:textId="77777777" w:rsidR="002665ED" w:rsidRPr="002665ED" w:rsidRDefault="002665ED" w:rsidP="00DD104E">
            <w:pPr>
              <w:rPr>
                <w:sz w:val="20"/>
                <w:szCs w:val="20"/>
                <w:lang w:val="en-US"/>
              </w:rPr>
            </w:pPr>
          </w:p>
        </w:tc>
        <w:tc>
          <w:tcPr>
            <w:tcW w:w="0" w:type="auto"/>
            <w:shd w:val="clear" w:color="auto" w:fill="auto"/>
          </w:tcPr>
          <w:p w14:paraId="609C8BDE" w14:textId="77777777" w:rsidR="002665ED" w:rsidRPr="002665ED" w:rsidRDefault="002665ED" w:rsidP="00DD104E">
            <w:pPr>
              <w:rPr>
                <w:sz w:val="20"/>
                <w:szCs w:val="20"/>
                <w:lang w:val="en-US"/>
              </w:rPr>
            </w:pPr>
            <w:r w:rsidRPr="002665ED">
              <w:rPr>
                <w:sz w:val="20"/>
                <w:szCs w:val="20"/>
                <w:lang w:val="en-US"/>
              </w:rPr>
              <w:t>0.85 (0.36-1.78)</w:t>
            </w:r>
          </w:p>
        </w:tc>
        <w:tc>
          <w:tcPr>
            <w:tcW w:w="0" w:type="auto"/>
            <w:shd w:val="clear" w:color="auto" w:fill="auto"/>
          </w:tcPr>
          <w:p w14:paraId="70AEB1DE" w14:textId="77777777" w:rsidR="002665ED" w:rsidRPr="002665ED" w:rsidRDefault="002665ED" w:rsidP="00DD104E">
            <w:pPr>
              <w:jc w:val="center"/>
              <w:rPr>
                <w:sz w:val="20"/>
                <w:szCs w:val="20"/>
                <w:lang w:val="en-US"/>
              </w:rPr>
            </w:pPr>
          </w:p>
        </w:tc>
        <w:tc>
          <w:tcPr>
            <w:tcW w:w="0" w:type="auto"/>
            <w:shd w:val="clear" w:color="auto" w:fill="auto"/>
          </w:tcPr>
          <w:p w14:paraId="78EA72E7" w14:textId="77777777" w:rsidR="002665ED" w:rsidRPr="002665ED" w:rsidRDefault="002665ED" w:rsidP="00DD104E">
            <w:pPr>
              <w:jc w:val="center"/>
              <w:rPr>
                <w:sz w:val="20"/>
                <w:szCs w:val="20"/>
                <w:lang w:val="en-US"/>
              </w:rPr>
            </w:pPr>
          </w:p>
        </w:tc>
      </w:tr>
      <w:tr w:rsidR="002665ED" w:rsidRPr="006750CE" w14:paraId="13BC9E28" w14:textId="77777777" w:rsidTr="002665ED">
        <w:tc>
          <w:tcPr>
            <w:tcW w:w="0" w:type="auto"/>
            <w:gridSpan w:val="3"/>
            <w:shd w:val="clear" w:color="auto" w:fill="auto"/>
          </w:tcPr>
          <w:p w14:paraId="1FC1EE03" w14:textId="77777777" w:rsidR="002665ED" w:rsidRPr="002665ED" w:rsidRDefault="002665ED" w:rsidP="00DD104E">
            <w:pPr>
              <w:rPr>
                <w:sz w:val="20"/>
                <w:szCs w:val="20"/>
                <w:lang w:val="en-US"/>
              </w:rPr>
            </w:pPr>
            <w:r w:rsidRPr="002665ED">
              <w:rPr>
                <w:color w:val="000000"/>
                <w:sz w:val="20"/>
                <w:szCs w:val="20"/>
                <w:lang w:val="en-US" w:eastAsia="pt-BR"/>
              </w:rPr>
              <w:t>Time per day spent alone during social distancing measures</w:t>
            </w:r>
          </w:p>
        </w:tc>
        <w:tc>
          <w:tcPr>
            <w:tcW w:w="0" w:type="auto"/>
            <w:shd w:val="clear" w:color="auto" w:fill="auto"/>
          </w:tcPr>
          <w:p w14:paraId="6DD4B4C4" w14:textId="77777777" w:rsidR="002665ED" w:rsidRPr="002665ED" w:rsidRDefault="002665ED" w:rsidP="00DD104E">
            <w:pPr>
              <w:rPr>
                <w:sz w:val="20"/>
                <w:szCs w:val="20"/>
                <w:lang w:val="en-US"/>
              </w:rPr>
            </w:pPr>
          </w:p>
        </w:tc>
        <w:tc>
          <w:tcPr>
            <w:tcW w:w="0" w:type="auto"/>
            <w:shd w:val="clear" w:color="auto" w:fill="auto"/>
          </w:tcPr>
          <w:p w14:paraId="1427AE94" w14:textId="77777777" w:rsidR="002665ED" w:rsidRPr="002665ED" w:rsidRDefault="002665ED" w:rsidP="00DD104E">
            <w:pPr>
              <w:rPr>
                <w:sz w:val="20"/>
                <w:szCs w:val="20"/>
                <w:lang w:val="en-US"/>
              </w:rPr>
            </w:pPr>
          </w:p>
        </w:tc>
        <w:tc>
          <w:tcPr>
            <w:tcW w:w="0" w:type="auto"/>
            <w:shd w:val="clear" w:color="auto" w:fill="auto"/>
          </w:tcPr>
          <w:p w14:paraId="5161227B" w14:textId="77777777" w:rsidR="002665ED" w:rsidRPr="002665ED" w:rsidRDefault="002665ED" w:rsidP="00DD104E">
            <w:pPr>
              <w:jc w:val="center"/>
              <w:rPr>
                <w:sz w:val="20"/>
                <w:szCs w:val="20"/>
                <w:lang w:val="en-US"/>
              </w:rPr>
            </w:pPr>
          </w:p>
        </w:tc>
        <w:tc>
          <w:tcPr>
            <w:tcW w:w="0" w:type="auto"/>
            <w:shd w:val="clear" w:color="auto" w:fill="auto"/>
          </w:tcPr>
          <w:p w14:paraId="1674A3CD" w14:textId="77777777" w:rsidR="002665ED" w:rsidRPr="002665ED" w:rsidRDefault="002665ED" w:rsidP="00DD104E">
            <w:pPr>
              <w:jc w:val="center"/>
              <w:rPr>
                <w:sz w:val="20"/>
                <w:szCs w:val="20"/>
                <w:lang w:val="en-US"/>
              </w:rPr>
            </w:pPr>
          </w:p>
        </w:tc>
      </w:tr>
      <w:tr w:rsidR="002665ED" w:rsidRPr="002665ED" w14:paraId="00B82465" w14:textId="77777777" w:rsidTr="002665ED">
        <w:tc>
          <w:tcPr>
            <w:tcW w:w="0" w:type="auto"/>
            <w:shd w:val="clear" w:color="auto" w:fill="auto"/>
          </w:tcPr>
          <w:p w14:paraId="460C1E3A" w14:textId="77777777" w:rsidR="002665ED" w:rsidRPr="002665ED" w:rsidRDefault="002665ED" w:rsidP="00DD104E">
            <w:pPr>
              <w:rPr>
                <w:sz w:val="20"/>
                <w:szCs w:val="20"/>
                <w:lang w:val="en-US" w:eastAsia="pt-BR"/>
              </w:rPr>
            </w:pPr>
            <w:r w:rsidRPr="002665ED">
              <w:rPr>
                <w:color w:val="000000"/>
                <w:sz w:val="20"/>
                <w:szCs w:val="20"/>
                <w:lang w:val="en-US" w:eastAsia="pt-BR"/>
              </w:rPr>
              <w:t>0 hour</w:t>
            </w:r>
          </w:p>
        </w:tc>
        <w:tc>
          <w:tcPr>
            <w:tcW w:w="0" w:type="auto"/>
            <w:shd w:val="clear" w:color="auto" w:fill="auto"/>
          </w:tcPr>
          <w:p w14:paraId="59F06BAA" w14:textId="77777777" w:rsidR="002665ED" w:rsidRPr="002665ED" w:rsidRDefault="002665ED" w:rsidP="00DD104E">
            <w:pPr>
              <w:jc w:val="center"/>
              <w:rPr>
                <w:sz w:val="20"/>
                <w:szCs w:val="20"/>
                <w:lang w:val="en-US"/>
              </w:rPr>
            </w:pPr>
          </w:p>
        </w:tc>
        <w:tc>
          <w:tcPr>
            <w:tcW w:w="0" w:type="auto"/>
            <w:shd w:val="clear" w:color="auto" w:fill="auto"/>
          </w:tcPr>
          <w:p w14:paraId="775F355E" w14:textId="77777777" w:rsidR="002665ED" w:rsidRPr="002665ED" w:rsidRDefault="002665ED" w:rsidP="00DD104E">
            <w:pPr>
              <w:jc w:val="center"/>
              <w:rPr>
                <w:sz w:val="20"/>
                <w:szCs w:val="20"/>
                <w:lang w:val="en-US"/>
              </w:rPr>
            </w:pPr>
            <w:r w:rsidRPr="002665ED">
              <w:rPr>
                <w:sz w:val="20"/>
                <w:szCs w:val="20"/>
                <w:lang w:val="en-US"/>
              </w:rPr>
              <w:t>-</w:t>
            </w:r>
          </w:p>
        </w:tc>
        <w:tc>
          <w:tcPr>
            <w:tcW w:w="0" w:type="auto"/>
            <w:shd w:val="clear" w:color="auto" w:fill="auto"/>
          </w:tcPr>
          <w:p w14:paraId="1A8F4479" w14:textId="77777777" w:rsidR="002665ED" w:rsidRPr="002665ED" w:rsidRDefault="002665ED" w:rsidP="00DD104E">
            <w:pPr>
              <w:jc w:val="center"/>
              <w:rPr>
                <w:sz w:val="20"/>
                <w:szCs w:val="20"/>
                <w:lang w:val="en-US"/>
              </w:rPr>
            </w:pPr>
          </w:p>
        </w:tc>
        <w:tc>
          <w:tcPr>
            <w:tcW w:w="0" w:type="auto"/>
            <w:shd w:val="clear" w:color="auto" w:fill="auto"/>
          </w:tcPr>
          <w:p w14:paraId="05428A09" w14:textId="77777777" w:rsidR="002665ED" w:rsidRPr="002665ED" w:rsidRDefault="002665ED" w:rsidP="00DD104E">
            <w:pPr>
              <w:jc w:val="center"/>
              <w:rPr>
                <w:sz w:val="20"/>
                <w:szCs w:val="20"/>
                <w:lang w:val="en-US"/>
              </w:rPr>
            </w:pPr>
          </w:p>
        </w:tc>
        <w:tc>
          <w:tcPr>
            <w:tcW w:w="0" w:type="auto"/>
            <w:shd w:val="clear" w:color="auto" w:fill="auto"/>
          </w:tcPr>
          <w:p w14:paraId="64B637F6" w14:textId="77777777" w:rsidR="002665ED" w:rsidRPr="002665ED" w:rsidRDefault="002665ED" w:rsidP="00DD104E">
            <w:pPr>
              <w:jc w:val="center"/>
              <w:rPr>
                <w:sz w:val="20"/>
                <w:szCs w:val="20"/>
                <w:lang w:val="en-US"/>
              </w:rPr>
            </w:pPr>
          </w:p>
        </w:tc>
        <w:tc>
          <w:tcPr>
            <w:tcW w:w="0" w:type="auto"/>
            <w:shd w:val="clear" w:color="auto" w:fill="auto"/>
          </w:tcPr>
          <w:p w14:paraId="3D8DB727" w14:textId="77777777" w:rsidR="002665ED" w:rsidRPr="002665ED" w:rsidRDefault="002665ED" w:rsidP="00DD104E">
            <w:pPr>
              <w:jc w:val="center"/>
              <w:rPr>
                <w:sz w:val="20"/>
                <w:szCs w:val="20"/>
                <w:lang w:val="en-US"/>
              </w:rPr>
            </w:pPr>
          </w:p>
        </w:tc>
      </w:tr>
      <w:tr w:rsidR="002665ED" w:rsidRPr="002665ED" w14:paraId="305E3967" w14:textId="77777777" w:rsidTr="002665ED">
        <w:tc>
          <w:tcPr>
            <w:tcW w:w="0" w:type="auto"/>
            <w:shd w:val="clear" w:color="auto" w:fill="auto"/>
          </w:tcPr>
          <w:p w14:paraId="3358E646" w14:textId="77777777" w:rsidR="002665ED" w:rsidRPr="002665ED" w:rsidRDefault="002665ED" w:rsidP="00DD104E">
            <w:pPr>
              <w:rPr>
                <w:sz w:val="20"/>
                <w:szCs w:val="20"/>
                <w:lang w:val="en-US" w:eastAsia="pt-BR"/>
              </w:rPr>
            </w:pPr>
            <w:r w:rsidRPr="002665ED">
              <w:rPr>
                <w:color w:val="000000"/>
                <w:sz w:val="20"/>
                <w:szCs w:val="20"/>
                <w:lang w:val="en-US" w:eastAsia="pt-BR"/>
              </w:rPr>
              <w:lastRenderedPageBreak/>
              <w:t>1 to 12 hours</w:t>
            </w:r>
          </w:p>
        </w:tc>
        <w:tc>
          <w:tcPr>
            <w:tcW w:w="0" w:type="auto"/>
            <w:shd w:val="clear" w:color="auto" w:fill="auto"/>
          </w:tcPr>
          <w:p w14:paraId="7486CC04" w14:textId="77777777" w:rsidR="002665ED" w:rsidRPr="002665ED" w:rsidRDefault="002665ED" w:rsidP="00DD104E">
            <w:pPr>
              <w:rPr>
                <w:sz w:val="20"/>
                <w:szCs w:val="20"/>
                <w:lang w:val="en-US"/>
              </w:rPr>
            </w:pPr>
          </w:p>
        </w:tc>
        <w:tc>
          <w:tcPr>
            <w:tcW w:w="0" w:type="auto"/>
            <w:shd w:val="clear" w:color="auto" w:fill="auto"/>
          </w:tcPr>
          <w:p w14:paraId="724DB0D2" w14:textId="77777777" w:rsidR="002665ED" w:rsidRPr="002665ED" w:rsidRDefault="002665ED" w:rsidP="00DD104E">
            <w:pPr>
              <w:rPr>
                <w:sz w:val="20"/>
                <w:szCs w:val="20"/>
                <w:lang w:val="en-US"/>
              </w:rPr>
            </w:pPr>
            <w:r w:rsidRPr="002665ED">
              <w:rPr>
                <w:sz w:val="20"/>
                <w:szCs w:val="20"/>
                <w:lang w:val="en-US"/>
              </w:rPr>
              <w:t>1.91 (0.87-5.05)</w:t>
            </w:r>
          </w:p>
        </w:tc>
        <w:tc>
          <w:tcPr>
            <w:tcW w:w="0" w:type="auto"/>
            <w:shd w:val="clear" w:color="auto" w:fill="auto"/>
          </w:tcPr>
          <w:p w14:paraId="29855829" w14:textId="77777777" w:rsidR="002665ED" w:rsidRPr="002665ED" w:rsidRDefault="002665ED" w:rsidP="00DD104E">
            <w:pPr>
              <w:rPr>
                <w:sz w:val="20"/>
                <w:szCs w:val="20"/>
                <w:lang w:val="en-US"/>
              </w:rPr>
            </w:pPr>
          </w:p>
        </w:tc>
        <w:tc>
          <w:tcPr>
            <w:tcW w:w="0" w:type="auto"/>
            <w:shd w:val="clear" w:color="auto" w:fill="auto"/>
          </w:tcPr>
          <w:p w14:paraId="7B93D7B6" w14:textId="77777777" w:rsidR="002665ED" w:rsidRPr="002665ED" w:rsidRDefault="002665ED" w:rsidP="00DD104E">
            <w:pPr>
              <w:rPr>
                <w:sz w:val="20"/>
                <w:szCs w:val="20"/>
                <w:lang w:val="en-US"/>
              </w:rPr>
            </w:pPr>
          </w:p>
        </w:tc>
        <w:tc>
          <w:tcPr>
            <w:tcW w:w="0" w:type="auto"/>
            <w:shd w:val="clear" w:color="auto" w:fill="auto"/>
          </w:tcPr>
          <w:p w14:paraId="71C75182" w14:textId="77777777" w:rsidR="002665ED" w:rsidRPr="002665ED" w:rsidRDefault="002665ED" w:rsidP="00DD104E">
            <w:pPr>
              <w:jc w:val="center"/>
              <w:rPr>
                <w:sz w:val="20"/>
                <w:szCs w:val="20"/>
                <w:lang w:val="en-US"/>
              </w:rPr>
            </w:pPr>
          </w:p>
        </w:tc>
        <w:tc>
          <w:tcPr>
            <w:tcW w:w="0" w:type="auto"/>
            <w:shd w:val="clear" w:color="auto" w:fill="auto"/>
          </w:tcPr>
          <w:p w14:paraId="068ED3C1" w14:textId="77777777" w:rsidR="002665ED" w:rsidRPr="002665ED" w:rsidRDefault="002665ED" w:rsidP="00DD104E">
            <w:pPr>
              <w:jc w:val="center"/>
              <w:rPr>
                <w:sz w:val="20"/>
                <w:szCs w:val="20"/>
                <w:lang w:val="en-US"/>
              </w:rPr>
            </w:pPr>
          </w:p>
        </w:tc>
      </w:tr>
      <w:tr w:rsidR="002665ED" w:rsidRPr="002665ED" w14:paraId="7BD7A4E9" w14:textId="77777777" w:rsidTr="002665ED">
        <w:tc>
          <w:tcPr>
            <w:tcW w:w="0" w:type="auto"/>
            <w:shd w:val="clear" w:color="auto" w:fill="auto"/>
          </w:tcPr>
          <w:p w14:paraId="29CCF74A" w14:textId="77777777" w:rsidR="002665ED" w:rsidRPr="002665ED" w:rsidRDefault="002665ED" w:rsidP="00DD104E">
            <w:pPr>
              <w:rPr>
                <w:sz w:val="20"/>
                <w:szCs w:val="20"/>
                <w:lang w:val="en-US" w:eastAsia="pt-BR"/>
              </w:rPr>
            </w:pPr>
            <w:r w:rsidRPr="002665ED">
              <w:rPr>
                <w:color w:val="000000"/>
                <w:sz w:val="20"/>
                <w:szCs w:val="20"/>
                <w:lang w:val="en-US" w:eastAsia="pt-BR"/>
              </w:rPr>
              <w:t>13 to 24 hours</w:t>
            </w:r>
          </w:p>
        </w:tc>
        <w:tc>
          <w:tcPr>
            <w:tcW w:w="0" w:type="auto"/>
            <w:shd w:val="clear" w:color="auto" w:fill="auto"/>
          </w:tcPr>
          <w:p w14:paraId="3737A7AD" w14:textId="77777777" w:rsidR="002665ED" w:rsidRPr="002665ED" w:rsidRDefault="002665ED" w:rsidP="00DD104E">
            <w:pPr>
              <w:rPr>
                <w:sz w:val="20"/>
                <w:szCs w:val="20"/>
                <w:lang w:val="en-US"/>
              </w:rPr>
            </w:pPr>
          </w:p>
        </w:tc>
        <w:tc>
          <w:tcPr>
            <w:tcW w:w="0" w:type="auto"/>
            <w:shd w:val="clear" w:color="auto" w:fill="auto"/>
          </w:tcPr>
          <w:p w14:paraId="6D2870DC" w14:textId="77777777" w:rsidR="002665ED" w:rsidRPr="002665ED" w:rsidRDefault="002665ED" w:rsidP="00DD104E">
            <w:pPr>
              <w:rPr>
                <w:sz w:val="20"/>
                <w:szCs w:val="20"/>
                <w:lang w:val="en-US"/>
              </w:rPr>
            </w:pPr>
            <w:r w:rsidRPr="002665ED">
              <w:rPr>
                <w:sz w:val="20"/>
                <w:szCs w:val="20"/>
                <w:lang w:val="en-US"/>
              </w:rPr>
              <w:t>2.32 (0.97-6.47)</w:t>
            </w:r>
          </w:p>
        </w:tc>
        <w:tc>
          <w:tcPr>
            <w:tcW w:w="0" w:type="auto"/>
            <w:shd w:val="clear" w:color="auto" w:fill="auto"/>
          </w:tcPr>
          <w:p w14:paraId="437EA008" w14:textId="77777777" w:rsidR="002665ED" w:rsidRPr="002665ED" w:rsidRDefault="002665ED" w:rsidP="00DD104E">
            <w:pPr>
              <w:rPr>
                <w:sz w:val="20"/>
                <w:szCs w:val="20"/>
                <w:lang w:val="en-US"/>
              </w:rPr>
            </w:pPr>
          </w:p>
        </w:tc>
        <w:tc>
          <w:tcPr>
            <w:tcW w:w="0" w:type="auto"/>
            <w:shd w:val="clear" w:color="auto" w:fill="auto"/>
          </w:tcPr>
          <w:p w14:paraId="6BCE3356" w14:textId="77777777" w:rsidR="002665ED" w:rsidRPr="002665ED" w:rsidRDefault="002665ED" w:rsidP="00DD104E">
            <w:pPr>
              <w:rPr>
                <w:sz w:val="20"/>
                <w:szCs w:val="20"/>
                <w:lang w:val="en-US"/>
              </w:rPr>
            </w:pPr>
          </w:p>
        </w:tc>
        <w:tc>
          <w:tcPr>
            <w:tcW w:w="0" w:type="auto"/>
            <w:shd w:val="clear" w:color="auto" w:fill="auto"/>
          </w:tcPr>
          <w:p w14:paraId="609461AD" w14:textId="77777777" w:rsidR="002665ED" w:rsidRPr="002665ED" w:rsidRDefault="002665ED" w:rsidP="00DD104E">
            <w:pPr>
              <w:jc w:val="center"/>
              <w:rPr>
                <w:sz w:val="20"/>
                <w:szCs w:val="20"/>
                <w:lang w:val="en-US"/>
              </w:rPr>
            </w:pPr>
          </w:p>
        </w:tc>
        <w:tc>
          <w:tcPr>
            <w:tcW w:w="0" w:type="auto"/>
            <w:shd w:val="clear" w:color="auto" w:fill="auto"/>
          </w:tcPr>
          <w:p w14:paraId="3774185E" w14:textId="77777777" w:rsidR="002665ED" w:rsidRPr="002665ED" w:rsidRDefault="002665ED" w:rsidP="00DD104E">
            <w:pPr>
              <w:jc w:val="center"/>
              <w:rPr>
                <w:sz w:val="20"/>
                <w:szCs w:val="20"/>
                <w:lang w:val="en-US"/>
              </w:rPr>
            </w:pPr>
          </w:p>
        </w:tc>
      </w:tr>
      <w:tr w:rsidR="002665ED" w:rsidRPr="006750CE" w14:paraId="6491D4FB" w14:textId="77777777" w:rsidTr="002665ED">
        <w:tc>
          <w:tcPr>
            <w:tcW w:w="0" w:type="auto"/>
            <w:gridSpan w:val="3"/>
            <w:shd w:val="clear" w:color="auto" w:fill="auto"/>
          </w:tcPr>
          <w:p w14:paraId="1ADE8BE3" w14:textId="77777777" w:rsidR="002665ED" w:rsidRPr="002665ED" w:rsidRDefault="002665ED" w:rsidP="00DD104E">
            <w:pPr>
              <w:rPr>
                <w:sz w:val="20"/>
                <w:szCs w:val="20"/>
                <w:lang w:val="en-US"/>
              </w:rPr>
            </w:pPr>
            <w:r w:rsidRPr="002665ED">
              <w:rPr>
                <w:color w:val="000000"/>
                <w:sz w:val="20"/>
                <w:szCs w:val="20"/>
                <w:lang w:val="en-US" w:eastAsia="pt-BR"/>
              </w:rPr>
              <w:t>Self-rated emotional state during social/physical isolation/distancing</w:t>
            </w:r>
          </w:p>
        </w:tc>
        <w:tc>
          <w:tcPr>
            <w:tcW w:w="0" w:type="auto"/>
            <w:shd w:val="clear" w:color="auto" w:fill="auto"/>
          </w:tcPr>
          <w:p w14:paraId="66A94613" w14:textId="77777777" w:rsidR="002665ED" w:rsidRPr="002665ED" w:rsidRDefault="002665ED" w:rsidP="00DD104E">
            <w:pPr>
              <w:rPr>
                <w:sz w:val="20"/>
                <w:szCs w:val="20"/>
                <w:lang w:val="en-US"/>
              </w:rPr>
            </w:pPr>
          </w:p>
          <w:p w14:paraId="06F2331A" w14:textId="77777777" w:rsidR="002665ED" w:rsidRPr="002665ED" w:rsidRDefault="002665ED" w:rsidP="00DD104E">
            <w:pPr>
              <w:rPr>
                <w:sz w:val="20"/>
                <w:szCs w:val="20"/>
                <w:lang w:val="en-US"/>
              </w:rPr>
            </w:pPr>
          </w:p>
        </w:tc>
        <w:tc>
          <w:tcPr>
            <w:tcW w:w="0" w:type="auto"/>
            <w:shd w:val="clear" w:color="auto" w:fill="auto"/>
          </w:tcPr>
          <w:p w14:paraId="149F2B03" w14:textId="77777777" w:rsidR="002665ED" w:rsidRPr="002665ED" w:rsidRDefault="002665ED" w:rsidP="00DD104E">
            <w:pPr>
              <w:rPr>
                <w:sz w:val="20"/>
                <w:szCs w:val="20"/>
                <w:lang w:val="en-US"/>
              </w:rPr>
            </w:pPr>
          </w:p>
          <w:p w14:paraId="3941DF44" w14:textId="77777777" w:rsidR="002665ED" w:rsidRPr="002665ED" w:rsidRDefault="002665ED" w:rsidP="00DD104E">
            <w:pPr>
              <w:rPr>
                <w:sz w:val="20"/>
                <w:szCs w:val="20"/>
                <w:lang w:val="en-US"/>
              </w:rPr>
            </w:pPr>
          </w:p>
        </w:tc>
        <w:tc>
          <w:tcPr>
            <w:tcW w:w="0" w:type="auto"/>
            <w:shd w:val="clear" w:color="auto" w:fill="auto"/>
          </w:tcPr>
          <w:p w14:paraId="2F1F10FD" w14:textId="77777777" w:rsidR="002665ED" w:rsidRPr="002665ED" w:rsidRDefault="002665ED" w:rsidP="00DD104E">
            <w:pPr>
              <w:jc w:val="center"/>
              <w:rPr>
                <w:sz w:val="20"/>
                <w:szCs w:val="20"/>
                <w:lang w:val="en-US"/>
              </w:rPr>
            </w:pPr>
          </w:p>
        </w:tc>
        <w:tc>
          <w:tcPr>
            <w:tcW w:w="0" w:type="auto"/>
            <w:shd w:val="clear" w:color="auto" w:fill="auto"/>
          </w:tcPr>
          <w:p w14:paraId="55DB9938" w14:textId="77777777" w:rsidR="002665ED" w:rsidRPr="002665ED" w:rsidRDefault="002665ED" w:rsidP="00DD104E">
            <w:pPr>
              <w:jc w:val="center"/>
              <w:rPr>
                <w:sz w:val="20"/>
                <w:szCs w:val="20"/>
                <w:lang w:val="en-US"/>
              </w:rPr>
            </w:pPr>
          </w:p>
        </w:tc>
      </w:tr>
      <w:tr w:rsidR="002665ED" w:rsidRPr="002665ED" w14:paraId="79899BE9" w14:textId="77777777" w:rsidTr="002665ED">
        <w:tc>
          <w:tcPr>
            <w:tcW w:w="0" w:type="auto"/>
            <w:shd w:val="clear" w:color="auto" w:fill="auto"/>
          </w:tcPr>
          <w:p w14:paraId="49A480A4" w14:textId="77777777" w:rsidR="002665ED" w:rsidRPr="002665ED" w:rsidRDefault="002665ED" w:rsidP="00DD104E">
            <w:pPr>
              <w:rPr>
                <w:sz w:val="20"/>
                <w:szCs w:val="20"/>
                <w:lang w:val="en-US" w:eastAsia="pt-BR"/>
              </w:rPr>
            </w:pPr>
            <w:r w:rsidRPr="002665ED">
              <w:rPr>
                <w:color w:val="000000"/>
                <w:sz w:val="20"/>
                <w:szCs w:val="20"/>
                <w:lang w:val="en-US" w:eastAsia="pt-BR"/>
              </w:rPr>
              <w:t>No changes</w:t>
            </w:r>
          </w:p>
        </w:tc>
        <w:tc>
          <w:tcPr>
            <w:tcW w:w="0" w:type="auto"/>
            <w:shd w:val="clear" w:color="auto" w:fill="auto"/>
          </w:tcPr>
          <w:p w14:paraId="46E7FD27" w14:textId="77777777" w:rsidR="002665ED" w:rsidRPr="002665ED" w:rsidRDefault="002665ED" w:rsidP="00DD104E">
            <w:pPr>
              <w:jc w:val="center"/>
              <w:rPr>
                <w:sz w:val="20"/>
                <w:szCs w:val="20"/>
                <w:lang w:val="en-US"/>
              </w:rPr>
            </w:pPr>
            <w:r w:rsidRPr="002665ED">
              <w:rPr>
                <w:sz w:val="20"/>
                <w:szCs w:val="20"/>
                <w:lang w:val="en-US"/>
              </w:rPr>
              <w:t>-</w:t>
            </w:r>
          </w:p>
        </w:tc>
        <w:tc>
          <w:tcPr>
            <w:tcW w:w="0" w:type="auto"/>
            <w:shd w:val="clear" w:color="auto" w:fill="auto"/>
          </w:tcPr>
          <w:p w14:paraId="4CE79862" w14:textId="77777777" w:rsidR="002665ED" w:rsidRPr="002665ED" w:rsidRDefault="002665ED" w:rsidP="00DD104E">
            <w:pPr>
              <w:jc w:val="center"/>
              <w:rPr>
                <w:sz w:val="20"/>
                <w:szCs w:val="20"/>
                <w:lang w:val="en-US"/>
              </w:rPr>
            </w:pPr>
            <w:r w:rsidRPr="002665ED">
              <w:rPr>
                <w:sz w:val="20"/>
                <w:szCs w:val="20"/>
                <w:lang w:val="en-US"/>
              </w:rPr>
              <w:t>-</w:t>
            </w:r>
          </w:p>
        </w:tc>
        <w:tc>
          <w:tcPr>
            <w:tcW w:w="0" w:type="auto"/>
            <w:shd w:val="clear" w:color="auto" w:fill="auto"/>
          </w:tcPr>
          <w:p w14:paraId="6BCDD1EC" w14:textId="77777777" w:rsidR="002665ED" w:rsidRPr="002665ED" w:rsidRDefault="002665ED" w:rsidP="00DD104E">
            <w:pPr>
              <w:jc w:val="center"/>
              <w:rPr>
                <w:sz w:val="20"/>
                <w:szCs w:val="20"/>
                <w:lang w:val="en-US"/>
              </w:rPr>
            </w:pPr>
          </w:p>
        </w:tc>
        <w:tc>
          <w:tcPr>
            <w:tcW w:w="0" w:type="auto"/>
            <w:shd w:val="clear" w:color="auto" w:fill="auto"/>
          </w:tcPr>
          <w:p w14:paraId="51FB4145" w14:textId="77777777" w:rsidR="002665ED" w:rsidRPr="002665ED" w:rsidRDefault="002665ED" w:rsidP="00DD104E">
            <w:pPr>
              <w:jc w:val="center"/>
              <w:rPr>
                <w:sz w:val="20"/>
                <w:szCs w:val="20"/>
                <w:lang w:val="en-US"/>
              </w:rPr>
            </w:pPr>
          </w:p>
        </w:tc>
        <w:tc>
          <w:tcPr>
            <w:tcW w:w="0" w:type="auto"/>
            <w:shd w:val="clear" w:color="auto" w:fill="auto"/>
          </w:tcPr>
          <w:p w14:paraId="2F03DBB2" w14:textId="77777777" w:rsidR="002665ED" w:rsidRPr="002665ED" w:rsidRDefault="002665ED" w:rsidP="00DD104E">
            <w:pPr>
              <w:jc w:val="center"/>
              <w:rPr>
                <w:sz w:val="20"/>
                <w:szCs w:val="20"/>
                <w:lang w:val="en-US"/>
              </w:rPr>
            </w:pPr>
          </w:p>
        </w:tc>
        <w:tc>
          <w:tcPr>
            <w:tcW w:w="0" w:type="auto"/>
            <w:shd w:val="clear" w:color="auto" w:fill="auto"/>
          </w:tcPr>
          <w:p w14:paraId="420FF728" w14:textId="77777777" w:rsidR="002665ED" w:rsidRPr="002665ED" w:rsidRDefault="002665ED" w:rsidP="00DD104E">
            <w:pPr>
              <w:jc w:val="center"/>
              <w:rPr>
                <w:sz w:val="20"/>
                <w:szCs w:val="20"/>
                <w:lang w:val="en-US"/>
              </w:rPr>
            </w:pPr>
            <w:r w:rsidRPr="002665ED">
              <w:rPr>
                <w:sz w:val="20"/>
                <w:szCs w:val="20"/>
                <w:lang w:val="en-US"/>
              </w:rPr>
              <w:t>-</w:t>
            </w:r>
          </w:p>
        </w:tc>
      </w:tr>
      <w:tr w:rsidR="002665ED" w:rsidRPr="002665ED" w14:paraId="0850CFFF" w14:textId="77777777" w:rsidTr="002665ED">
        <w:tc>
          <w:tcPr>
            <w:tcW w:w="0" w:type="auto"/>
            <w:shd w:val="clear" w:color="auto" w:fill="auto"/>
          </w:tcPr>
          <w:p w14:paraId="2F2F2671" w14:textId="77777777" w:rsidR="002665ED" w:rsidRPr="002665ED" w:rsidRDefault="002665ED" w:rsidP="00DD104E">
            <w:pPr>
              <w:rPr>
                <w:sz w:val="20"/>
                <w:szCs w:val="20"/>
                <w:lang w:val="en-US" w:eastAsia="pt-BR"/>
              </w:rPr>
            </w:pPr>
            <w:r w:rsidRPr="002665ED">
              <w:rPr>
                <w:color w:val="000000"/>
                <w:sz w:val="20"/>
                <w:szCs w:val="20"/>
                <w:lang w:val="en-US" w:eastAsia="pt-BR"/>
              </w:rPr>
              <w:t>Got better  </w:t>
            </w:r>
          </w:p>
        </w:tc>
        <w:tc>
          <w:tcPr>
            <w:tcW w:w="0" w:type="auto"/>
            <w:shd w:val="clear" w:color="auto" w:fill="auto"/>
          </w:tcPr>
          <w:p w14:paraId="3EE28D00" w14:textId="77777777" w:rsidR="002665ED" w:rsidRPr="002665ED" w:rsidRDefault="002665ED" w:rsidP="00DD104E">
            <w:pPr>
              <w:rPr>
                <w:sz w:val="20"/>
                <w:szCs w:val="20"/>
                <w:lang w:val="en-US"/>
              </w:rPr>
            </w:pPr>
            <w:r w:rsidRPr="002665ED">
              <w:rPr>
                <w:sz w:val="20"/>
                <w:szCs w:val="20"/>
                <w:lang w:val="en-US"/>
              </w:rPr>
              <w:t>1.52 (0.54-4.02)</w:t>
            </w:r>
          </w:p>
        </w:tc>
        <w:tc>
          <w:tcPr>
            <w:tcW w:w="0" w:type="auto"/>
            <w:shd w:val="clear" w:color="auto" w:fill="auto"/>
          </w:tcPr>
          <w:p w14:paraId="14480B93" w14:textId="77777777" w:rsidR="002665ED" w:rsidRPr="002665ED" w:rsidRDefault="002665ED" w:rsidP="00DD104E">
            <w:pPr>
              <w:rPr>
                <w:sz w:val="20"/>
                <w:szCs w:val="20"/>
                <w:lang w:val="en-US"/>
              </w:rPr>
            </w:pPr>
            <w:r w:rsidRPr="002665ED">
              <w:rPr>
                <w:sz w:val="20"/>
                <w:szCs w:val="20"/>
                <w:lang w:val="en-US"/>
              </w:rPr>
              <w:t>0.76 (0.11-3.47)</w:t>
            </w:r>
          </w:p>
        </w:tc>
        <w:tc>
          <w:tcPr>
            <w:tcW w:w="0" w:type="auto"/>
            <w:shd w:val="clear" w:color="auto" w:fill="auto"/>
          </w:tcPr>
          <w:p w14:paraId="2AF0C053" w14:textId="77777777" w:rsidR="002665ED" w:rsidRPr="002665ED" w:rsidRDefault="002665ED" w:rsidP="00DD104E">
            <w:pPr>
              <w:rPr>
                <w:sz w:val="20"/>
                <w:szCs w:val="20"/>
                <w:lang w:val="en-US"/>
              </w:rPr>
            </w:pPr>
            <w:r w:rsidRPr="002665ED">
              <w:rPr>
                <w:sz w:val="20"/>
                <w:szCs w:val="20"/>
                <w:lang w:val="en-US"/>
              </w:rPr>
              <w:t>3.12(1.43-6.90)</w:t>
            </w:r>
          </w:p>
        </w:tc>
        <w:tc>
          <w:tcPr>
            <w:tcW w:w="0" w:type="auto"/>
            <w:shd w:val="clear" w:color="auto" w:fill="auto"/>
          </w:tcPr>
          <w:p w14:paraId="710EF349" w14:textId="77777777" w:rsidR="002665ED" w:rsidRPr="002665ED" w:rsidRDefault="002665ED" w:rsidP="00DD104E">
            <w:pPr>
              <w:rPr>
                <w:sz w:val="20"/>
                <w:szCs w:val="20"/>
                <w:lang w:val="en-US"/>
              </w:rPr>
            </w:pPr>
          </w:p>
        </w:tc>
        <w:tc>
          <w:tcPr>
            <w:tcW w:w="0" w:type="auto"/>
            <w:shd w:val="clear" w:color="auto" w:fill="auto"/>
          </w:tcPr>
          <w:p w14:paraId="65982E21" w14:textId="77777777" w:rsidR="002665ED" w:rsidRPr="002665ED" w:rsidRDefault="002665ED" w:rsidP="00DD104E">
            <w:pPr>
              <w:jc w:val="center"/>
              <w:rPr>
                <w:sz w:val="20"/>
                <w:szCs w:val="20"/>
                <w:lang w:val="en-US"/>
              </w:rPr>
            </w:pPr>
          </w:p>
        </w:tc>
        <w:tc>
          <w:tcPr>
            <w:tcW w:w="0" w:type="auto"/>
            <w:shd w:val="clear" w:color="auto" w:fill="auto"/>
          </w:tcPr>
          <w:p w14:paraId="1A2E9683" w14:textId="77777777" w:rsidR="002665ED" w:rsidRPr="002665ED" w:rsidRDefault="002665ED" w:rsidP="00DD104E">
            <w:pPr>
              <w:jc w:val="center"/>
              <w:rPr>
                <w:sz w:val="20"/>
                <w:szCs w:val="20"/>
                <w:lang w:val="en-US"/>
              </w:rPr>
            </w:pPr>
            <w:r w:rsidRPr="002665ED">
              <w:rPr>
                <w:sz w:val="20"/>
                <w:szCs w:val="20"/>
                <w:lang w:val="en-US"/>
              </w:rPr>
              <w:t>3.12 (0.41-22.84)</w:t>
            </w:r>
          </w:p>
        </w:tc>
      </w:tr>
      <w:tr w:rsidR="002665ED" w:rsidRPr="002665ED" w14:paraId="63FE0C67" w14:textId="77777777" w:rsidTr="002665ED">
        <w:tc>
          <w:tcPr>
            <w:tcW w:w="0" w:type="auto"/>
            <w:shd w:val="clear" w:color="auto" w:fill="auto"/>
          </w:tcPr>
          <w:p w14:paraId="1F482A27" w14:textId="77777777" w:rsidR="002665ED" w:rsidRPr="002665ED" w:rsidRDefault="002665ED" w:rsidP="00DD104E">
            <w:pPr>
              <w:rPr>
                <w:sz w:val="20"/>
                <w:szCs w:val="20"/>
                <w:lang w:val="en-US" w:eastAsia="pt-BR"/>
              </w:rPr>
            </w:pPr>
            <w:r w:rsidRPr="002665ED">
              <w:rPr>
                <w:color w:val="000000"/>
                <w:sz w:val="20"/>
                <w:szCs w:val="20"/>
                <w:lang w:val="en-US" w:eastAsia="pt-BR"/>
              </w:rPr>
              <w:t>Got worse</w:t>
            </w:r>
          </w:p>
        </w:tc>
        <w:tc>
          <w:tcPr>
            <w:tcW w:w="0" w:type="auto"/>
            <w:shd w:val="clear" w:color="auto" w:fill="auto"/>
          </w:tcPr>
          <w:p w14:paraId="2E85DCB5" w14:textId="77777777" w:rsidR="002665ED" w:rsidRPr="002665ED" w:rsidRDefault="002665ED" w:rsidP="00DD104E">
            <w:pPr>
              <w:rPr>
                <w:sz w:val="20"/>
                <w:szCs w:val="20"/>
                <w:lang w:val="en-US"/>
              </w:rPr>
            </w:pPr>
            <w:r w:rsidRPr="002665ED">
              <w:rPr>
                <w:sz w:val="20"/>
                <w:szCs w:val="20"/>
                <w:lang w:val="en-US"/>
              </w:rPr>
              <w:t>3.70 (2.05-7.37)</w:t>
            </w:r>
          </w:p>
        </w:tc>
        <w:tc>
          <w:tcPr>
            <w:tcW w:w="0" w:type="auto"/>
            <w:shd w:val="clear" w:color="auto" w:fill="auto"/>
          </w:tcPr>
          <w:p w14:paraId="6070CA9E" w14:textId="77777777" w:rsidR="002665ED" w:rsidRPr="002665ED" w:rsidRDefault="002665ED" w:rsidP="00DD104E">
            <w:pPr>
              <w:rPr>
                <w:sz w:val="20"/>
                <w:szCs w:val="20"/>
                <w:lang w:val="en-US"/>
              </w:rPr>
            </w:pPr>
            <w:r w:rsidRPr="002665ED">
              <w:rPr>
                <w:sz w:val="20"/>
                <w:szCs w:val="20"/>
                <w:lang w:val="en-US"/>
              </w:rPr>
              <w:t>3.59 (1.67-9.38)</w:t>
            </w:r>
          </w:p>
        </w:tc>
        <w:tc>
          <w:tcPr>
            <w:tcW w:w="0" w:type="auto"/>
            <w:shd w:val="clear" w:color="auto" w:fill="auto"/>
          </w:tcPr>
          <w:p w14:paraId="6219F872" w14:textId="77777777" w:rsidR="002665ED" w:rsidRPr="002665ED" w:rsidRDefault="002665ED" w:rsidP="00DD104E">
            <w:pPr>
              <w:rPr>
                <w:sz w:val="20"/>
                <w:szCs w:val="20"/>
                <w:lang w:val="en-US"/>
              </w:rPr>
            </w:pPr>
            <w:r w:rsidRPr="002665ED">
              <w:rPr>
                <w:sz w:val="20"/>
                <w:szCs w:val="20"/>
                <w:lang w:val="en-US"/>
              </w:rPr>
              <w:t>3.68 (2.14-6.77)</w:t>
            </w:r>
          </w:p>
        </w:tc>
        <w:tc>
          <w:tcPr>
            <w:tcW w:w="0" w:type="auto"/>
            <w:shd w:val="clear" w:color="auto" w:fill="auto"/>
          </w:tcPr>
          <w:p w14:paraId="195D2095" w14:textId="77777777" w:rsidR="002665ED" w:rsidRPr="002665ED" w:rsidRDefault="002665ED" w:rsidP="00DD104E">
            <w:pPr>
              <w:rPr>
                <w:sz w:val="20"/>
                <w:szCs w:val="20"/>
                <w:lang w:val="en-US"/>
              </w:rPr>
            </w:pPr>
          </w:p>
        </w:tc>
        <w:tc>
          <w:tcPr>
            <w:tcW w:w="0" w:type="auto"/>
            <w:shd w:val="clear" w:color="auto" w:fill="auto"/>
          </w:tcPr>
          <w:p w14:paraId="24B7AE93" w14:textId="77777777" w:rsidR="002665ED" w:rsidRPr="002665ED" w:rsidRDefault="002665ED" w:rsidP="00DD104E">
            <w:pPr>
              <w:jc w:val="center"/>
              <w:rPr>
                <w:sz w:val="20"/>
                <w:szCs w:val="20"/>
                <w:lang w:val="en-US"/>
              </w:rPr>
            </w:pPr>
          </w:p>
        </w:tc>
        <w:tc>
          <w:tcPr>
            <w:tcW w:w="0" w:type="auto"/>
            <w:shd w:val="clear" w:color="auto" w:fill="auto"/>
          </w:tcPr>
          <w:p w14:paraId="35B10AF4" w14:textId="77777777" w:rsidR="002665ED" w:rsidRPr="002665ED" w:rsidRDefault="002665ED" w:rsidP="00DD104E">
            <w:pPr>
              <w:jc w:val="center"/>
              <w:rPr>
                <w:sz w:val="20"/>
                <w:szCs w:val="20"/>
                <w:lang w:val="en-US"/>
              </w:rPr>
            </w:pPr>
            <w:r w:rsidRPr="002665ED">
              <w:rPr>
                <w:sz w:val="20"/>
                <w:szCs w:val="20"/>
                <w:lang w:val="en-US"/>
              </w:rPr>
              <w:t>7.75 (2.49-35.03)</w:t>
            </w:r>
          </w:p>
        </w:tc>
      </w:tr>
      <w:tr w:rsidR="002665ED" w:rsidRPr="006750CE" w14:paraId="5E98701A" w14:textId="77777777" w:rsidTr="002665ED">
        <w:tc>
          <w:tcPr>
            <w:tcW w:w="0" w:type="auto"/>
            <w:gridSpan w:val="3"/>
            <w:shd w:val="clear" w:color="auto" w:fill="auto"/>
          </w:tcPr>
          <w:p w14:paraId="242EBC7D" w14:textId="77777777" w:rsidR="002665ED" w:rsidRPr="002665ED" w:rsidRDefault="002665ED" w:rsidP="00DD104E">
            <w:pPr>
              <w:rPr>
                <w:sz w:val="20"/>
                <w:szCs w:val="20"/>
                <w:lang w:val="en-US"/>
              </w:rPr>
            </w:pPr>
            <w:r w:rsidRPr="002665ED">
              <w:rPr>
                <w:color w:val="000000"/>
                <w:sz w:val="20"/>
                <w:szCs w:val="20"/>
                <w:lang w:val="en-US" w:eastAsia="pt-BR"/>
              </w:rPr>
              <w:t>Academic or work performance during the pandemic/social distancing</w:t>
            </w:r>
          </w:p>
        </w:tc>
        <w:tc>
          <w:tcPr>
            <w:tcW w:w="0" w:type="auto"/>
            <w:shd w:val="clear" w:color="auto" w:fill="auto"/>
          </w:tcPr>
          <w:p w14:paraId="3001BE8F" w14:textId="77777777" w:rsidR="002665ED" w:rsidRPr="002665ED" w:rsidRDefault="002665ED" w:rsidP="00DD104E">
            <w:pPr>
              <w:rPr>
                <w:sz w:val="20"/>
                <w:szCs w:val="20"/>
                <w:lang w:val="en-US"/>
              </w:rPr>
            </w:pPr>
          </w:p>
        </w:tc>
        <w:tc>
          <w:tcPr>
            <w:tcW w:w="0" w:type="auto"/>
            <w:shd w:val="clear" w:color="auto" w:fill="auto"/>
          </w:tcPr>
          <w:p w14:paraId="4DF841CD" w14:textId="77777777" w:rsidR="002665ED" w:rsidRPr="002665ED" w:rsidRDefault="002665ED" w:rsidP="00DD104E">
            <w:pPr>
              <w:rPr>
                <w:sz w:val="20"/>
                <w:szCs w:val="20"/>
                <w:lang w:val="en-US"/>
              </w:rPr>
            </w:pPr>
          </w:p>
        </w:tc>
        <w:tc>
          <w:tcPr>
            <w:tcW w:w="0" w:type="auto"/>
            <w:shd w:val="clear" w:color="auto" w:fill="auto"/>
          </w:tcPr>
          <w:p w14:paraId="480124BF" w14:textId="77777777" w:rsidR="002665ED" w:rsidRPr="002665ED" w:rsidRDefault="002665ED" w:rsidP="00DD104E">
            <w:pPr>
              <w:jc w:val="center"/>
              <w:rPr>
                <w:sz w:val="20"/>
                <w:szCs w:val="20"/>
                <w:lang w:val="en-US"/>
              </w:rPr>
            </w:pPr>
          </w:p>
        </w:tc>
        <w:tc>
          <w:tcPr>
            <w:tcW w:w="0" w:type="auto"/>
            <w:shd w:val="clear" w:color="auto" w:fill="auto"/>
          </w:tcPr>
          <w:p w14:paraId="6EEB93F7" w14:textId="77777777" w:rsidR="002665ED" w:rsidRPr="002665ED" w:rsidRDefault="002665ED" w:rsidP="00DD104E">
            <w:pPr>
              <w:jc w:val="center"/>
              <w:rPr>
                <w:sz w:val="20"/>
                <w:szCs w:val="20"/>
                <w:lang w:val="en-US"/>
              </w:rPr>
            </w:pPr>
          </w:p>
        </w:tc>
      </w:tr>
      <w:tr w:rsidR="002665ED" w:rsidRPr="002665ED" w14:paraId="35409CDC" w14:textId="77777777" w:rsidTr="002665ED">
        <w:tc>
          <w:tcPr>
            <w:tcW w:w="0" w:type="auto"/>
            <w:shd w:val="clear" w:color="auto" w:fill="auto"/>
          </w:tcPr>
          <w:p w14:paraId="19117B93" w14:textId="77777777" w:rsidR="002665ED" w:rsidRPr="002665ED" w:rsidRDefault="002665ED" w:rsidP="00DD104E">
            <w:pPr>
              <w:rPr>
                <w:sz w:val="20"/>
                <w:szCs w:val="20"/>
                <w:lang w:val="en-US" w:eastAsia="pt-BR"/>
              </w:rPr>
            </w:pPr>
            <w:r w:rsidRPr="002665ED">
              <w:rPr>
                <w:color w:val="000000"/>
                <w:sz w:val="20"/>
                <w:szCs w:val="20"/>
                <w:lang w:val="en-US" w:eastAsia="pt-BR"/>
              </w:rPr>
              <w:t>No changes</w:t>
            </w:r>
          </w:p>
        </w:tc>
        <w:tc>
          <w:tcPr>
            <w:tcW w:w="0" w:type="auto"/>
            <w:shd w:val="clear" w:color="auto" w:fill="auto"/>
          </w:tcPr>
          <w:p w14:paraId="4EBE7FFB" w14:textId="77777777" w:rsidR="002665ED" w:rsidRPr="002665ED" w:rsidRDefault="002665ED" w:rsidP="00DD104E">
            <w:pPr>
              <w:rPr>
                <w:sz w:val="20"/>
                <w:szCs w:val="20"/>
                <w:lang w:val="en-US"/>
              </w:rPr>
            </w:pPr>
          </w:p>
        </w:tc>
        <w:tc>
          <w:tcPr>
            <w:tcW w:w="0" w:type="auto"/>
            <w:shd w:val="clear" w:color="auto" w:fill="auto"/>
          </w:tcPr>
          <w:p w14:paraId="7D40A841" w14:textId="77777777" w:rsidR="002665ED" w:rsidRPr="002665ED" w:rsidRDefault="002665ED" w:rsidP="00DD104E">
            <w:pPr>
              <w:rPr>
                <w:sz w:val="20"/>
                <w:szCs w:val="20"/>
                <w:lang w:val="en-US"/>
              </w:rPr>
            </w:pPr>
          </w:p>
        </w:tc>
        <w:tc>
          <w:tcPr>
            <w:tcW w:w="0" w:type="auto"/>
            <w:shd w:val="clear" w:color="auto" w:fill="auto"/>
          </w:tcPr>
          <w:p w14:paraId="3483D148" w14:textId="77777777" w:rsidR="002665ED" w:rsidRPr="002665ED" w:rsidRDefault="002665ED" w:rsidP="00DD104E">
            <w:pPr>
              <w:rPr>
                <w:sz w:val="20"/>
                <w:szCs w:val="20"/>
                <w:lang w:val="en-US"/>
              </w:rPr>
            </w:pPr>
          </w:p>
        </w:tc>
        <w:tc>
          <w:tcPr>
            <w:tcW w:w="0" w:type="auto"/>
            <w:shd w:val="clear" w:color="auto" w:fill="auto"/>
          </w:tcPr>
          <w:p w14:paraId="400080D0" w14:textId="77777777" w:rsidR="002665ED" w:rsidRPr="002665ED" w:rsidRDefault="002665ED" w:rsidP="00DD104E">
            <w:pPr>
              <w:rPr>
                <w:sz w:val="20"/>
                <w:szCs w:val="20"/>
                <w:lang w:val="en-US"/>
              </w:rPr>
            </w:pPr>
          </w:p>
        </w:tc>
        <w:tc>
          <w:tcPr>
            <w:tcW w:w="0" w:type="auto"/>
            <w:shd w:val="clear" w:color="auto" w:fill="auto"/>
          </w:tcPr>
          <w:p w14:paraId="6E5A743E" w14:textId="77777777" w:rsidR="002665ED" w:rsidRPr="002665ED" w:rsidRDefault="002665ED" w:rsidP="00DD104E">
            <w:pPr>
              <w:jc w:val="center"/>
              <w:rPr>
                <w:sz w:val="20"/>
                <w:szCs w:val="20"/>
                <w:lang w:val="en-US"/>
              </w:rPr>
            </w:pPr>
          </w:p>
        </w:tc>
        <w:tc>
          <w:tcPr>
            <w:tcW w:w="0" w:type="auto"/>
            <w:shd w:val="clear" w:color="auto" w:fill="auto"/>
          </w:tcPr>
          <w:p w14:paraId="1F2A4FB5" w14:textId="77777777" w:rsidR="002665ED" w:rsidRPr="002665ED" w:rsidRDefault="002665ED" w:rsidP="00DD104E">
            <w:pPr>
              <w:jc w:val="center"/>
              <w:rPr>
                <w:sz w:val="20"/>
                <w:szCs w:val="20"/>
                <w:lang w:val="en-US"/>
              </w:rPr>
            </w:pPr>
            <w:r w:rsidRPr="002665ED">
              <w:rPr>
                <w:sz w:val="20"/>
                <w:szCs w:val="20"/>
                <w:lang w:val="en-US"/>
              </w:rPr>
              <w:t>-</w:t>
            </w:r>
          </w:p>
        </w:tc>
      </w:tr>
      <w:tr w:rsidR="002665ED" w:rsidRPr="002665ED" w14:paraId="69FB0E79" w14:textId="77777777" w:rsidTr="002665ED">
        <w:tc>
          <w:tcPr>
            <w:tcW w:w="0" w:type="auto"/>
            <w:shd w:val="clear" w:color="auto" w:fill="auto"/>
          </w:tcPr>
          <w:p w14:paraId="0ACE700D" w14:textId="77777777" w:rsidR="002665ED" w:rsidRPr="002665ED" w:rsidRDefault="002665ED" w:rsidP="00DD104E">
            <w:pPr>
              <w:rPr>
                <w:sz w:val="20"/>
                <w:szCs w:val="20"/>
                <w:lang w:val="en-US" w:eastAsia="pt-BR"/>
              </w:rPr>
            </w:pPr>
            <w:r w:rsidRPr="002665ED">
              <w:rPr>
                <w:color w:val="000000"/>
                <w:sz w:val="20"/>
                <w:szCs w:val="20"/>
                <w:lang w:val="en-US" w:eastAsia="pt-BR"/>
              </w:rPr>
              <w:t>Got better  </w:t>
            </w:r>
          </w:p>
        </w:tc>
        <w:tc>
          <w:tcPr>
            <w:tcW w:w="0" w:type="auto"/>
            <w:shd w:val="clear" w:color="auto" w:fill="auto"/>
          </w:tcPr>
          <w:p w14:paraId="2CAD6B2E" w14:textId="77777777" w:rsidR="002665ED" w:rsidRPr="002665ED" w:rsidRDefault="002665ED" w:rsidP="00DD104E">
            <w:pPr>
              <w:rPr>
                <w:sz w:val="20"/>
                <w:szCs w:val="20"/>
                <w:lang w:val="en-US"/>
              </w:rPr>
            </w:pPr>
          </w:p>
        </w:tc>
        <w:tc>
          <w:tcPr>
            <w:tcW w:w="0" w:type="auto"/>
            <w:shd w:val="clear" w:color="auto" w:fill="auto"/>
          </w:tcPr>
          <w:p w14:paraId="13F58FFE" w14:textId="77777777" w:rsidR="002665ED" w:rsidRPr="002665ED" w:rsidRDefault="002665ED" w:rsidP="00DD104E">
            <w:pPr>
              <w:rPr>
                <w:sz w:val="20"/>
                <w:szCs w:val="20"/>
                <w:lang w:val="en-US"/>
              </w:rPr>
            </w:pPr>
          </w:p>
        </w:tc>
        <w:tc>
          <w:tcPr>
            <w:tcW w:w="0" w:type="auto"/>
            <w:shd w:val="clear" w:color="auto" w:fill="auto"/>
          </w:tcPr>
          <w:p w14:paraId="4EA1B34D" w14:textId="77777777" w:rsidR="002665ED" w:rsidRPr="002665ED" w:rsidRDefault="002665ED" w:rsidP="00DD104E">
            <w:pPr>
              <w:rPr>
                <w:sz w:val="20"/>
                <w:szCs w:val="20"/>
                <w:lang w:val="en-US"/>
              </w:rPr>
            </w:pPr>
          </w:p>
        </w:tc>
        <w:tc>
          <w:tcPr>
            <w:tcW w:w="0" w:type="auto"/>
            <w:shd w:val="clear" w:color="auto" w:fill="auto"/>
          </w:tcPr>
          <w:p w14:paraId="2C687B5F" w14:textId="77777777" w:rsidR="002665ED" w:rsidRPr="002665ED" w:rsidRDefault="002665ED" w:rsidP="00DD104E">
            <w:pPr>
              <w:rPr>
                <w:sz w:val="20"/>
                <w:szCs w:val="20"/>
                <w:lang w:val="en-US"/>
              </w:rPr>
            </w:pPr>
          </w:p>
        </w:tc>
        <w:tc>
          <w:tcPr>
            <w:tcW w:w="0" w:type="auto"/>
            <w:shd w:val="clear" w:color="auto" w:fill="auto"/>
          </w:tcPr>
          <w:p w14:paraId="3F51C2A7" w14:textId="77777777" w:rsidR="002665ED" w:rsidRPr="002665ED" w:rsidRDefault="002665ED" w:rsidP="00DD104E">
            <w:pPr>
              <w:jc w:val="center"/>
              <w:rPr>
                <w:sz w:val="20"/>
                <w:szCs w:val="20"/>
                <w:lang w:val="en-US"/>
              </w:rPr>
            </w:pPr>
          </w:p>
        </w:tc>
        <w:tc>
          <w:tcPr>
            <w:tcW w:w="0" w:type="auto"/>
            <w:shd w:val="clear" w:color="auto" w:fill="auto"/>
          </w:tcPr>
          <w:p w14:paraId="3EA56406" w14:textId="77777777" w:rsidR="002665ED" w:rsidRPr="002665ED" w:rsidRDefault="002665ED" w:rsidP="00DD104E">
            <w:pPr>
              <w:jc w:val="center"/>
              <w:rPr>
                <w:sz w:val="20"/>
                <w:szCs w:val="20"/>
                <w:lang w:val="en-US"/>
              </w:rPr>
            </w:pPr>
            <w:r w:rsidRPr="002665ED">
              <w:rPr>
                <w:sz w:val="20"/>
                <w:szCs w:val="20"/>
                <w:lang w:val="en-US"/>
              </w:rPr>
              <w:t>0.89 (0.18-3.35)</w:t>
            </w:r>
          </w:p>
        </w:tc>
      </w:tr>
      <w:tr w:rsidR="002665ED" w:rsidRPr="002665ED" w14:paraId="73B92687" w14:textId="77777777" w:rsidTr="002665ED">
        <w:tc>
          <w:tcPr>
            <w:tcW w:w="0" w:type="auto"/>
            <w:shd w:val="clear" w:color="auto" w:fill="auto"/>
          </w:tcPr>
          <w:p w14:paraId="5F671F0F" w14:textId="77777777" w:rsidR="002665ED" w:rsidRPr="002665ED" w:rsidRDefault="002665ED" w:rsidP="00DD104E">
            <w:pPr>
              <w:rPr>
                <w:sz w:val="20"/>
                <w:szCs w:val="20"/>
                <w:lang w:val="en-US" w:eastAsia="pt-BR"/>
              </w:rPr>
            </w:pPr>
            <w:r w:rsidRPr="002665ED">
              <w:rPr>
                <w:color w:val="000000"/>
                <w:sz w:val="20"/>
                <w:szCs w:val="20"/>
                <w:lang w:val="en-US" w:eastAsia="pt-BR"/>
              </w:rPr>
              <w:t>Got worse</w:t>
            </w:r>
          </w:p>
        </w:tc>
        <w:tc>
          <w:tcPr>
            <w:tcW w:w="0" w:type="auto"/>
            <w:shd w:val="clear" w:color="auto" w:fill="auto"/>
          </w:tcPr>
          <w:p w14:paraId="121F59E5" w14:textId="77777777" w:rsidR="002665ED" w:rsidRPr="002665ED" w:rsidRDefault="002665ED" w:rsidP="00DD104E">
            <w:pPr>
              <w:rPr>
                <w:sz w:val="20"/>
                <w:szCs w:val="20"/>
                <w:lang w:val="en-US"/>
              </w:rPr>
            </w:pPr>
          </w:p>
        </w:tc>
        <w:tc>
          <w:tcPr>
            <w:tcW w:w="0" w:type="auto"/>
            <w:shd w:val="clear" w:color="auto" w:fill="auto"/>
          </w:tcPr>
          <w:p w14:paraId="57C858B1" w14:textId="77777777" w:rsidR="002665ED" w:rsidRPr="002665ED" w:rsidRDefault="002665ED" w:rsidP="00DD104E">
            <w:pPr>
              <w:rPr>
                <w:sz w:val="20"/>
                <w:szCs w:val="20"/>
                <w:lang w:val="en-US"/>
              </w:rPr>
            </w:pPr>
          </w:p>
        </w:tc>
        <w:tc>
          <w:tcPr>
            <w:tcW w:w="0" w:type="auto"/>
            <w:shd w:val="clear" w:color="auto" w:fill="auto"/>
          </w:tcPr>
          <w:p w14:paraId="3BFF687A" w14:textId="77777777" w:rsidR="002665ED" w:rsidRPr="002665ED" w:rsidRDefault="002665ED" w:rsidP="00DD104E">
            <w:pPr>
              <w:rPr>
                <w:sz w:val="20"/>
                <w:szCs w:val="20"/>
                <w:lang w:val="en-US"/>
              </w:rPr>
            </w:pPr>
          </w:p>
        </w:tc>
        <w:tc>
          <w:tcPr>
            <w:tcW w:w="0" w:type="auto"/>
            <w:shd w:val="clear" w:color="auto" w:fill="auto"/>
          </w:tcPr>
          <w:p w14:paraId="5057D28E" w14:textId="77777777" w:rsidR="002665ED" w:rsidRPr="002665ED" w:rsidRDefault="002665ED" w:rsidP="00DD104E">
            <w:pPr>
              <w:rPr>
                <w:sz w:val="20"/>
                <w:szCs w:val="20"/>
                <w:lang w:val="en-US"/>
              </w:rPr>
            </w:pPr>
          </w:p>
        </w:tc>
        <w:tc>
          <w:tcPr>
            <w:tcW w:w="0" w:type="auto"/>
            <w:shd w:val="clear" w:color="auto" w:fill="auto"/>
          </w:tcPr>
          <w:p w14:paraId="5435814E" w14:textId="77777777" w:rsidR="002665ED" w:rsidRPr="002665ED" w:rsidRDefault="002665ED" w:rsidP="00DD104E">
            <w:pPr>
              <w:jc w:val="center"/>
              <w:rPr>
                <w:sz w:val="20"/>
                <w:szCs w:val="20"/>
                <w:lang w:val="en-US"/>
              </w:rPr>
            </w:pPr>
          </w:p>
        </w:tc>
        <w:tc>
          <w:tcPr>
            <w:tcW w:w="0" w:type="auto"/>
            <w:shd w:val="clear" w:color="auto" w:fill="auto"/>
          </w:tcPr>
          <w:p w14:paraId="23AE6082" w14:textId="77777777" w:rsidR="002665ED" w:rsidRPr="002665ED" w:rsidRDefault="002665ED" w:rsidP="00DD104E">
            <w:pPr>
              <w:jc w:val="center"/>
              <w:rPr>
                <w:sz w:val="20"/>
                <w:szCs w:val="20"/>
                <w:lang w:val="en-US"/>
              </w:rPr>
            </w:pPr>
            <w:r w:rsidRPr="002665ED">
              <w:rPr>
                <w:sz w:val="20"/>
                <w:szCs w:val="20"/>
                <w:lang w:val="en-US"/>
              </w:rPr>
              <w:t>2.31 (1.10-5.11)</w:t>
            </w:r>
          </w:p>
        </w:tc>
      </w:tr>
      <w:tr w:rsidR="002665ED" w:rsidRPr="006750CE" w14:paraId="4C2268F1" w14:textId="77777777" w:rsidTr="002665ED">
        <w:tc>
          <w:tcPr>
            <w:tcW w:w="0" w:type="auto"/>
            <w:gridSpan w:val="3"/>
            <w:shd w:val="clear" w:color="auto" w:fill="auto"/>
          </w:tcPr>
          <w:p w14:paraId="2107F7F0" w14:textId="77777777" w:rsidR="002665ED" w:rsidRPr="002665ED" w:rsidRDefault="002665ED" w:rsidP="00DD104E">
            <w:pPr>
              <w:rPr>
                <w:sz w:val="20"/>
                <w:szCs w:val="20"/>
                <w:lang w:val="en-US"/>
              </w:rPr>
            </w:pPr>
            <w:r w:rsidRPr="002665ED">
              <w:rPr>
                <w:color w:val="000000"/>
                <w:sz w:val="20"/>
                <w:szCs w:val="20"/>
                <w:lang w:val="en-US" w:eastAsia="pt-BR"/>
              </w:rPr>
              <w:t>Risk group for CoVID-19 severe illness</w:t>
            </w:r>
          </w:p>
        </w:tc>
        <w:tc>
          <w:tcPr>
            <w:tcW w:w="0" w:type="auto"/>
            <w:shd w:val="clear" w:color="auto" w:fill="auto"/>
          </w:tcPr>
          <w:p w14:paraId="49BF856F" w14:textId="77777777" w:rsidR="002665ED" w:rsidRPr="002665ED" w:rsidRDefault="002665ED" w:rsidP="00DD104E">
            <w:pPr>
              <w:rPr>
                <w:sz w:val="20"/>
                <w:szCs w:val="20"/>
                <w:lang w:val="en-US"/>
              </w:rPr>
            </w:pPr>
          </w:p>
        </w:tc>
        <w:tc>
          <w:tcPr>
            <w:tcW w:w="0" w:type="auto"/>
            <w:shd w:val="clear" w:color="auto" w:fill="auto"/>
          </w:tcPr>
          <w:p w14:paraId="536EC598" w14:textId="77777777" w:rsidR="002665ED" w:rsidRPr="002665ED" w:rsidRDefault="002665ED" w:rsidP="00DD104E">
            <w:pPr>
              <w:rPr>
                <w:sz w:val="20"/>
                <w:szCs w:val="20"/>
                <w:lang w:val="en-US"/>
              </w:rPr>
            </w:pPr>
          </w:p>
        </w:tc>
        <w:tc>
          <w:tcPr>
            <w:tcW w:w="0" w:type="auto"/>
            <w:shd w:val="clear" w:color="auto" w:fill="auto"/>
          </w:tcPr>
          <w:p w14:paraId="5B9F42FD" w14:textId="77777777" w:rsidR="002665ED" w:rsidRPr="002665ED" w:rsidRDefault="002665ED" w:rsidP="00DD104E">
            <w:pPr>
              <w:jc w:val="center"/>
              <w:rPr>
                <w:sz w:val="20"/>
                <w:szCs w:val="20"/>
                <w:lang w:val="en-US"/>
              </w:rPr>
            </w:pPr>
          </w:p>
        </w:tc>
        <w:tc>
          <w:tcPr>
            <w:tcW w:w="0" w:type="auto"/>
            <w:shd w:val="clear" w:color="auto" w:fill="auto"/>
          </w:tcPr>
          <w:p w14:paraId="07D9DDE6" w14:textId="77777777" w:rsidR="002665ED" w:rsidRPr="002665ED" w:rsidRDefault="002665ED" w:rsidP="00DD104E">
            <w:pPr>
              <w:jc w:val="center"/>
              <w:rPr>
                <w:sz w:val="20"/>
                <w:szCs w:val="20"/>
                <w:lang w:val="en-US"/>
              </w:rPr>
            </w:pPr>
          </w:p>
        </w:tc>
      </w:tr>
      <w:tr w:rsidR="002665ED" w:rsidRPr="002665ED" w14:paraId="1AAFA361" w14:textId="77777777" w:rsidTr="002665ED">
        <w:tc>
          <w:tcPr>
            <w:tcW w:w="0" w:type="auto"/>
            <w:shd w:val="clear" w:color="auto" w:fill="auto"/>
          </w:tcPr>
          <w:p w14:paraId="5F20BBB7" w14:textId="77777777" w:rsidR="002665ED" w:rsidRPr="002665ED" w:rsidRDefault="002665ED" w:rsidP="00DD104E">
            <w:pPr>
              <w:rPr>
                <w:color w:val="000000"/>
                <w:sz w:val="20"/>
                <w:szCs w:val="20"/>
                <w:lang w:val="en-US" w:eastAsia="pt-BR"/>
              </w:rPr>
            </w:pPr>
            <w:r w:rsidRPr="002665ED">
              <w:rPr>
                <w:color w:val="000000"/>
                <w:sz w:val="20"/>
                <w:szCs w:val="20"/>
                <w:lang w:val="en-US" w:eastAsia="pt-BR"/>
              </w:rPr>
              <w:t>No</w:t>
            </w:r>
          </w:p>
        </w:tc>
        <w:tc>
          <w:tcPr>
            <w:tcW w:w="0" w:type="auto"/>
            <w:shd w:val="clear" w:color="auto" w:fill="auto"/>
          </w:tcPr>
          <w:p w14:paraId="05CE5757" w14:textId="77777777" w:rsidR="002665ED" w:rsidRPr="002665ED" w:rsidRDefault="002665ED" w:rsidP="00DD104E">
            <w:pPr>
              <w:jc w:val="center"/>
              <w:rPr>
                <w:sz w:val="20"/>
                <w:szCs w:val="20"/>
                <w:lang w:val="en-US"/>
              </w:rPr>
            </w:pPr>
            <w:r w:rsidRPr="002665ED">
              <w:rPr>
                <w:sz w:val="20"/>
                <w:szCs w:val="20"/>
                <w:lang w:val="en-US"/>
              </w:rPr>
              <w:t>-</w:t>
            </w:r>
          </w:p>
        </w:tc>
        <w:tc>
          <w:tcPr>
            <w:tcW w:w="0" w:type="auto"/>
            <w:shd w:val="clear" w:color="auto" w:fill="auto"/>
          </w:tcPr>
          <w:p w14:paraId="57F961BF" w14:textId="77777777" w:rsidR="002665ED" w:rsidRPr="002665ED" w:rsidRDefault="002665ED" w:rsidP="00DD104E">
            <w:pPr>
              <w:jc w:val="center"/>
              <w:rPr>
                <w:sz w:val="20"/>
                <w:szCs w:val="20"/>
                <w:lang w:val="en-US"/>
              </w:rPr>
            </w:pPr>
            <w:r w:rsidRPr="002665ED">
              <w:rPr>
                <w:sz w:val="20"/>
                <w:szCs w:val="20"/>
                <w:lang w:val="en-US"/>
              </w:rPr>
              <w:t>-</w:t>
            </w:r>
          </w:p>
        </w:tc>
        <w:tc>
          <w:tcPr>
            <w:tcW w:w="0" w:type="auto"/>
            <w:shd w:val="clear" w:color="auto" w:fill="auto"/>
          </w:tcPr>
          <w:p w14:paraId="1527BE9F" w14:textId="77777777" w:rsidR="002665ED" w:rsidRPr="002665ED" w:rsidRDefault="002665ED" w:rsidP="00DD104E">
            <w:pPr>
              <w:jc w:val="center"/>
              <w:rPr>
                <w:sz w:val="20"/>
                <w:szCs w:val="20"/>
                <w:lang w:val="en-US"/>
              </w:rPr>
            </w:pPr>
            <w:r w:rsidRPr="002665ED">
              <w:rPr>
                <w:sz w:val="20"/>
                <w:szCs w:val="20"/>
                <w:lang w:val="en-US"/>
              </w:rPr>
              <w:t>-</w:t>
            </w:r>
          </w:p>
        </w:tc>
        <w:tc>
          <w:tcPr>
            <w:tcW w:w="0" w:type="auto"/>
            <w:shd w:val="clear" w:color="auto" w:fill="auto"/>
          </w:tcPr>
          <w:p w14:paraId="30C89242" w14:textId="77777777" w:rsidR="002665ED" w:rsidRPr="002665ED" w:rsidRDefault="002665ED" w:rsidP="00DD104E">
            <w:pPr>
              <w:jc w:val="center"/>
              <w:rPr>
                <w:sz w:val="20"/>
                <w:szCs w:val="20"/>
                <w:lang w:val="en-US"/>
              </w:rPr>
            </w:pPr>
          </w:p>
        </w:tc>
        <w:tc>
          <w:tcPr>
            <w:tcW w:w="0" w:type="auto"/>
            <w:shd w:val="clear" w:color="auto" w:fill="auto"/>
          </w:tcPr>
          <w:p w14:paraId="199FC62B" w14:textId="77777777" w:rsidR="002665ED" w:rsidRPr="002665ED" w:rsidRDefault="002665ED" w:rsidP="00DD104E">
            <w:pPr>
              <w:jc w:val="center"/>
              <w:rPr>
                <w:sz w:val="20"/>
                <w:szCs w:val="20"/>
                <w:lang w:val="en-US"/>
              </w:rPr>
            </w:pPr>
          </w:p>
        </w:tc>
        <w:tc>
          <w:tcPr>
            <w:tcW w:w="0" w:type="auto"/>
            <w:shd w:val="clear" w:color="auto" w:fill="auto"/>
          </w:tcPr>
          <w:p w14:paraId="21823172" w14:textId="77777777" w:rsidR="002665ED" w:rsidRPr="002665ED" w:rsidRDefault="002665ED" w:rsidP="00DD104E">
            <w:pPr>
              <w:jc w:val="center"/>
              <w:rPr>
                <w:sz w:val="20"/>
                <w:szCs w:val="20"/>
                <w:lang w:val="en-US"/>
              </w:rPr>
            </w:pPr>
          </w:p>
        </w:tc>
      </w:tr>
      <w:tr w:rsidR="002665ED" w:rsidRPr="002665ED" w14:paraId="3685FC6D" w14:textId="77777777" w:rsidTr="002665ED">
        <w:tc>
          <w:tcPr>
            <w:tcW w:w="0" w:type="auto"/>
            <w:shd w:val="clear" w:color="auto" w:fill="auto"/>
          </w:tcPr>
          <w:p w14:paraId="5F1B8638" w14:textId="77777777" w:rsidR="002665ED" w:rsidRPr="002665ED" w:rsidRDefault="002665ED" w:rsidP="00DD104E">
            <w:pPr>
              <w:rPr>
                <w:color w:val="000000"/>
                <w:sz w:val="20"/>
                <w:szCs w:val="20"/>
                <w:lang w:val="en-US" w:eastAsia="pt-BR"/>
              </w:rPr>
            </w:pPr>
            <w:r w:rsidRPr="002665ED">
              <w:rPr>
                <w:color w:val="000000"/>
                <w:sz w:val="20"/>
                <w:szCs w:val="20"/>
                <w:lang w:val="en-US" w:eastAsia="pt-BR"/>
              </w:rPr>
              <w:t>Yes</w:t>
            </w:r>
          </w:p>
        </w:tc>
        <w:tc>
          <w:tcPr>
            <w:tcW w:w="0" w:type="auto"/>
            <w:shd w:val="clear" w:color="auto" w:fill="auto"/>
          </w:tcPr>
          <w:p w14:paraId="3DF90536" w14:textId="77777777" w:rsidR="002665ED" w:rsidRPr="002665ED" w:rsidRDefault="002665ED" w:rsidP="00DD104E">
            <w:pPr>
              <w:rPr>
                <w:sz w:val="20"/>
                <w:szCs w:val="20"/>
                <w:lang w:val="en-US"/>
              </w:rPr>
            </w:pPr>
            <w:r w:rsidRPr="002665ED">
              <w:rPr>
                <w:sz w:val="20"/>
                <w:szCs w:val="20"/>
                <w:lang w:val="en-US"/>
              </w:rPr>
              <w:t>1.69 (1.21- 2.33)</w:t>
            </w:r>
          </w:p>
        </w:tc>
        <w:tc>
          <w:tcPr>
            <w:tcW w:w="0" w:type="auto"/>
            <w:shd w:val="clear" w:color="auto" w:fill="auto"/>
          </w:tcPr>
          <w:p w14:paraId="1549AD8E" w14:textId="77777777" w:rsidR="002665ED" w:rsidRPr="002665ED" w:rsidRDefault="002665ED" w:rsidP="00DD104E">
            <w:pPr>
              <w:rPr>
                <w:sz w:val="20"/>
                <w:szCs w:val="20"/>
                <w:lang w:val="en-US"/>
              </w:rPr>
            </w:pPr>
            <w:r w:rsidRPr="002665ED">
              <w:rPr>
                <w:sz w:val="20"/>
                <w:szCs w:val="20"/>
                <w:lang w:val="en-US"/>
              </w:rPr>
              <w:t>1.22 (0.78-1.88)</w:t>
            </w:r>
          </w:p>
        </w:tc>
        <w:tc>
          <w:tcPr>
            <w:tcW w:w="0" w:type="auto"/>
            <w:shd w:val="clear" w:color="auto" w:fill="auto"/>
          </w:tcPr>
          <w:p w14:paraId="4693D842" w14:textId="77777777" w:rsidR="002665ED" w:rsidRPr="002665ED" w:rsidRDefault="002665ED" w:rsidP="00DD104E">
            <w:pPr>
              <w:rPr>
                <w:sz w:val="20"/>
                <w:szCs w:val="20"/>
                <w:lang w:val="en-US"/>
              </w:rPr>
            </w:pPr>
            <w:r w:rsidRPr="002665ED">
              <w:rPr>
                <w:sz w:val="20"/>
                <w:szCs w:val="20"/>
                <w:lang w:val="en-US"/>
              </w:rPr>
              <w:t>1.62 (1.16-2.26)</w:t>
            </w:r>
          </w:p>
        </w:tc>
        <w:tc>
          <w:tcPr>
            <w:tcW w:w="0" w:type="auto"/>
            <w:shd w:val="clear" w:color="auto" w:fill="auto"/>
          </w:tcPr>
          <w:p w14:paraId="30DC343E" w14:textId="77777777" w:rsidR="002665ED" w:rsidRPr="002665ED" w:rsidRDefault="002665ED" w:rsidP="00DD104E">
            <w:pPr>
              <w:rPr>
                <w:sz w:val="20"/>
                <w:szCs w:val="20"/>
                <w:lang w:val="en-US"/>
              </w:rPr>
            </w:pPr>
          </w:p>
        </w:tc>
        <w:tc>
          <w:tcPr>
            <w:tcW w:w="0" w:type="auto"/>
            <w:shd w:val="clear" w:color="auto" w:fill="auto"/>
          </w:tcPr>
          <w:p w14:paraId="0ACD0751" w14:textId="77777777" w:rsidR="002665ED" w:rsidRPr="002665ED" w:rsidRDefault="002665ED" w:rsidP="00DD104E">
            <w:pPr>
              <w:jc w:val="center"/>
              <w:rPr>
                <w:sz w:val="20"/>
                <w:szCs w:val="20"/>
                <w:lang w:val="en-US"/>
              </w:rPr>
            </w:pPr>
          </w:p>
        </w:tc>
        <w:tc>
          <w:tcPr>
            <w:tcW w:w="0" w:type="auto"/>
            <w:shd w:val="clear" w:color="auto" w:fill="auto"/>
          </w:tcPr>
          <w:p w14:paraId="769E6B44" w14:textId="77777777" w:rsidR="002665ED" w:rsidRPr="002665ED" w:rsidRDefault="002665ED" w:rsidP="00DD104E">
            <w:pPr>
              <w:jc w:val="center"/>
              <w:rPr>
                <w:sz w:val="20"/>
                <w:szCs w:val="20"/>
                <w:lang w:val="en-US"/>
              </w:rPr>
            </w:pPr>
          </w:p>
        </w:tc>
      </w:tr>
      <w:tr w:rsidR="002665ED" w:rsidRPr="006750CE" w14:paraId="56B230A6" w14:textId="77777777" w:rsidTr="002665ED">
        <w:tc>
          <w:tcPr>
            <w:tcW w:w="0" w:type="auto"/>
            <w:gridSpan w:val="3"/>
            <w:shd w:val="clear" w:color="auto" w:fill="auto"/>
          </w:tcPr>
          <w:p w14:paraId="4D31AAA7" w14:textId="77777777" w:rsidR="002665ED" w:rsidRPr="002665ED" w:rsidRDefault="002665ED" w:rsidP="00DD104E">
            <w:pPr>
              <w:rPr>
                <w:sz w:val="20"/>
                <w:szCs w:val="20"/>
                <w:lang w:val="en-US"/>
              </w:rPr>
            </w:pPr>
            <w:r w:rsidRPr="002665ED">
              <w:rPr>
                <w:color w:val="000000"/>
                <w:sz w:val="20"/>
                <w:szCs w:val="20"/>
                <w:shd w:val="clear" w:color="auto" w:fill="FFFFFF"/>
                <w:lang w:val="en-US" w:eastAsia="pt-BR"/>
              </w:rPr>
              <w:t>Financial/material hardship during the pandemic</w:t>
            </w:r>
          </w:p>
        </w:tc>
        <w:tc>
          <w:tcPr>
            <w:tcW w:w="0" w:type="auto"/>
            <w:shd w:val="clear" w:color="auto" w:fill="auto"/>
          </w:tcPr>
          <w:p w14:paraId="056CA655" w14:textId="77777777" w:rsidR="002665ED" w:rsidRPr="002665ED" w:rsidRDefault="002665ED" w:rsidP="00DD104E">
            <w:pPr>
              <w:rPr>
                <w:sz w:val="20"/>
                <w:szCs w:val="20"/>
                <w:lang w:val="en-US"/>
              </w:rPr>
            </w:pPr>
          </w:p>
        </w:tc>
        <w:tc>
          <w:tcPr>
            <w:tcW w:w="0" w:type="auto"/>
            <w:shd w:val="clear" w:color="auto" w:fill="auto"/>
          </w:tcPr>
          <w:p w14:paraId="3435C04E" w14:textId="77777777" w:rsidR="002665ED" w:rsidRPr="002665ED" w:rsidRDefault="002665ED" w:rsidP="00DD104E">
            <w:pPr>
              <w:rPr>
                <w:sz w:val="20"/>
                <w:szCs w:val="20"/>
                <w:lang w:val="en-US"/>
              </w:rPr>
            </w:pPr>
          </w:p>
        </w:tc>
        <w:tc>
          <w:tcPr>
            <w:tcW w:w="0" w:type="auto"/>
            <w:shd w:val="clear" w:color="auto" w:fill="auto"/>
          </w:tcPr>
          <w:p w14:paraId="0D1F375F" w14:textId="77777777" w:rsidR="002665ED" w:rsidRPr="002665ED" w:rsidRDefault="002665ED" w:rsidP="00DD104E">
            <w:pPr>
              <w:jc w:val="center"/>
              <w:rPr>
                <w:sz w:val="20"/>
                <w:szCs w:val="20"/>
                <w:lang w:val="en-US"/>
              </w:rPr>
            </w:pPr>
          </w:p>
        </w:tc>
        <w:tc>
          <w:tcPr>
            <w:tcW w:w="0" w:type="auto"/>
            <w:shd w:val="clear" w:color="auto" w:fill="auto"/>
          </w:tcPr>
          <w:p w14:paraId="019BF27C" w14:textId="77777777" w:rsidR="002665ED" w:rsidRPr="002665ED" w:rsidRDefault="002665ED" w:rsidP="00DD104E">
            <w:pPr>
              <w:jc w:val="center"/>
              <w:rPr>
                <w:sz w:val="20"/>
                <w:szCs w:val="20"/>
                <w:lang w:val="en-US"/>
              </w:rPr>
            </w:pPr>
          </w:p>
        </w:tc>
      </w:tr>
      <w:tr w:rsidR="002665ED" w:rsidRPr="002665ED" w14:paraId="3E5416CE" w14:textId="77777777" w:rsidTr="002665ED">
        <w:tc>
          <w:tcPr>
            <w:tcW w:w="0" w:type="auto"/>
            <w:shd w:val="clear" w:color="auto" w:fill="auto"/>
          </w:tcPr>
          <w:p w14:paraId="0D013397" w14:textId="77777777" w:rsidR="002665ED" w:rsidRPr="002665ED" w:rsidRDefault="002665ED" w:rsidP="00DD104E">
            <w:pPr>
              <w:rPr>
                <w:sz w:val="20"/>
                <w:szCs w:val="20"/>
                <w:lang w:val="en-US" w:eastAsia="pt-BR"/>
              </w:rPr>
            </w:pPr>
            <w:r w:rsidRPr="002665ED">
              <w:rPr>
                <w:color w:val="000000"/>
                <w:sz w:val="20"/>
                <w:szCs w:val="20"/>
                <w:lang w:val="en-US" w:eastAsia="pt-BR"/>
              </w:rPr>
              <w:t>No</w:t>
            </w:r>
          </w:p>
        </w:tc>
        <w:tc>
          <w:tcPr>
            <w:tcW w:w="0" w:type="auto"/>
            <w:shd w:val="clear" w:color="auto" w:fill="auto"/>
          </w:tcPr>
          <w:p w14:paraId="0224DA49" w14:textId="77777777" w:rsidR="002665ED" w:rsidRPr="002665ED" w:rsidRDefault="002665ED" w:rsidP="00DD104E">
            <w:pPr>
              <w:jc w:val="center"/>
              <w:rPr>
                <w:sz w:val="20"/>
                <w:szCs w:val="20"/>
                <w:lang w:val="en-US"/>
              </w:rPr>
            </w:pPr>
            <w:r w:rsidRPr="002665ED">
              <w:rPr>
                <w:sz w:val="20"/>
                <w:szCs w:val="20"/>
                <w:lang w:val="en-US"/>
              </w:rPr>
              <w:t>-</w:t>
            </w:r>
          </w:p>
        </w:tc>
        <w:tc>
          <w:tcPr>
            <w:tcW w:w="0" w:type="auto"/>
            <w:shd w:val="clear" w:color="auto" w:fill="auto"/>
          </w:tcPr>
          <w:p w14:paraId="5AD6DF5C" w14:textId="77777777" w:rsidR="002665ED" w:rsidRPr="002665ED" w:rsidRDefault="002665ED" w:rsidP="00DD104E">
            <w:pPr>
              <w:jc w:val="center"/>
              <w:rPr>
                <w:sz w:val="20"/>
                <w:szCs w:val="20"/>
                <w:lang w:val="en-US"/>
              </w:rPr>
            </w:pPr>
            <w:r w:rsidRPr="002665ED">
              <w:rPr>
                <w:sz w:val="20"/>
                <w:szCs w:val="20"/>
                <w:lang w:val="en-US"/>
              </w:rPr>
              <w:t>-</w:t>
            </w:r>
          </w:p>
        </w:tc>
        <w:tc>
          <w:tcPr>
            <w:tcW w:w="0" w:type="auto"/>
            <w:shd w:val="clear" w:color="auto" w:fill="auto"/>
          </w:tcPr>
          <w:p w14:paraId="0043B926" w14:textId="77777777" w:rsidR="002665ED" w:rsidRPr="002665ED" w:rsidRDefault="002665ED" w:rsidP="00DD104E">
            <w:pPr>
              <w:jc w:val="center"/>
              <w:rPr>
                <w:sz w:val="20"/>
                <w:szCs w:val="20"/>
                <w:lang w:val="en-US"/>
              </w:rPr>
            </w:pPr>
          </w:p>
        </w:tc>
        <w:tc>
          <w:tcPr>
            <w:tcW w:w="0" w:type="auto"/>
            <w:shd w:val="clear" w:color="auto" w:fill="auto"/>
          </w:tcPr>
          <w:p w14:paraId="4122A06D" w14:textId="77777777" w:rsidR="002665ED" w:rsidRPr="002665ED" w:rsidRDefault="002665ED" w:rsidP="00DD104E">
            <w:pPr>
              <w:jc w:val="center"/>
              <w:rPr>
                <w:sz w:val="20"/>
                <w:szCs w:val="20"/>
                <w:lang w:val="en-US"/>
              </w:rPr>
            </w:pPr>
            <w:r w:rsidRPr="002665ED">
              <w:rPr>
                <w:sz w:val="20"/>
                <w:szCs w:val="20"/>
                <w:lang w:val="en-US"/>
              </w:rPr>
              <w:t>-</w:t>
            </w:r>
          </w:p>
        </w:tc>
        <w:tc>
          <w:tcPr>
            <w:tcW w:w="0" w:type="auto"/>
            <w:shd w:val="clear" w:color="auto" w:fill="auto"/>
          </w:tcPr>
          <w:p w14:paraId="68714339" w14:textId="77777777" w:rsidR="002665ED" w:rsidRPr="002665ED" w:rsidRDefault="002665ED" w:rsidP="00DD104E">
            <w:pPr>
              <w:jc w:val="center"/>
              <w:rPr>
                <w:sz w:val="20"/>
                <w:szCs w:val="20"/>
                <w:lang w:val="en-US"/>
              </w:rPr>
            </w:pPr>
            <w:r w:rsidRPr="002665ED">
              <w:rPr>
                <w:sz w:val="20"/>
                <w:szCs w:val="20"/>
                <w:lang w:val="en-US"/>
              </w:rPr>
              <w:t>-</w:t>
            </w:r>
          </w:p>
        </w:tc>
        <w:tc>
          <w:tcPr>
            <w:tcW w:w="0" w:type="auto"/>
            <w:shd w:val="clear" w:color="auto" w:fill="auto"/>
          </w:tcPr>
          <w:p w14:paraId="5C2CD0D3" w14:textId="77777777" w:rsidR="002665ED" w:rsidRPr="002665ED" w:rsidRDefault="002665ED" w:rsidP="00DD104E">
            <w:pPr>
              <w:jc w:val="center"/>
              <w:rPr>
                <w:sz w:val="20"/>
                <w:szCs w:val="20"/>
                <w:lang w:val="en-US"/>
              </w:rPr>
            </w:pPr>
          </w:p>
        </w:tc>
      </w:tr>
      <w:tr w:rsidR="002665ED" w:rsidRPr="002665ED" w14:paraId="6B2BDF0D" w14:textId="77777777" w:rsidTr="002665ED">
        <w:tc>
          <w:tcPr>
            <w:tcW w:w="0" w:type="auto"/>
            <w:shd w:val="clear" w:color="auto" w:fill="auto"/>
          </w:tcPr>
          <w:p w14:paraId="3AFBA2BF" w14:textId="77777777" w:rsidR="002665ED" w:rsidRPr="002665ED" w:rsidRDefault="002665ED" w:rsidP="00DD104E">
            <w:pPr>
              <w:rPr>
                <w:sz w:val="20"/>
                <w:szCs w:val="20"/>
                <w:lang w:val="en-US" w:eastAsia="pt-BR"/>
              </w:rPr>
            </w:pPr>
            <w:r w:rsidRPr="002665ED">
              <w:rPr>
                <w:color w:val="000000"/>
                <w:sz w:val="20"/>
                <w:szCs w:val="20"/>
                <w:lang w:val="en-US" w:eastAsia="pt-BR"/>
              </w:rPr>
              <w:t>Yes </w:t>
            </w:r>
          </w:p>
        </w:tc>
        <w:tc>
          <w:tcPr>
            <w:tcW w:w="0" w:type="auto"/>
            <w:shd w:val="clear" w:color="auto" w:fill="auto"/>
          </w:tcPr>
          <w:p w14:paraId="629F3EEB" w14:textId="77777777" w:rsidR="002665ED" w:rsidRPr="002665ED" w:rsidRDefault="002665ED" w:rsidP="00DD104E">
            <w:pPr>
              <w:rPr>
                <w:sz w:val="20"/>
                <w:szCs w:val="20"/>
                <w:lang w:val="en-US"/>
              </w:rPr>
            </w:pPr>
            <w:r w:rsidRPr="002665ED">
              <w:rPr>
                <w:sz w:val="20"/>
                <w:szCs w:val="20"/>
                <w:lang w:val="en-US"/>
              </w:rPr>
              <w:t>1.56 (1.17-2.09)</w:t>
            </w:r>
          </w:p>
        </w:tc>
        <w:tc>
          <w:tcPr>
            <w:tcW w:w="0" w:type="auto"/>
            <w:shd w:val="clear" w:color="auto" w:fill="auto"/>
          </w:tcPr>
          <w:p w14:paraId="123DACCB" w14:textId="77777777" w:rsidR="002665ED" w:rsidRPr="002665ED" w:rsidRDefault="002665ED" w:rsidP="00DD104E">
            <w:pPr>
              <w:rPr>
                <w:sz w:val="20"/>
                <w:szCs w:val="20"/>
                <w:lang w:val="en-US"/>
              </w:rPr>
            </w:pPr>
            <w:r w:rsidRPr="002665ED">
              <w:rPr>
                <w:sz w:val="20"/>
                <w:szCs w:val="20"/>
                <w:lang w:val="en-US"/>
              </w:rPr>
              <w:t>2.14 (1.46-3.16)</w:t>
            </w:r>
          </w:p>
        </w:tc>
        <w:tc>
          <w:tcPr>
            <w:tcW w:w="0" w:type="auto"/>
            <w:shd w:val="clear" w:color="auto" w:fill="auto"/>
          </w:tcPr>
          <w:p w14:paraId="631A9F0B" w14:textId="77777777" w:rsidR="002665ED" w:rsidRPr="002665ED" w:rsidRDefault="002665ED" w:rsidP="00DD104E">
            <w:pPr>
              <w:rPr>
                <w:sz w:val="20"/>
                <w:szCs w:val="20"/>
                <w:lang w:val="en-US"/>
              </w:rPr>
            </w:pPr>
          </w:p>
        </w:tc>
        <w:tc>
          <w:tcPr>
            <w:tcW w:w="0" w:type="auto"/>
            <w:shd w:val="clear" w:color="auto" w:fill="auto"/>
          </w:tcPr>
          <w:p w14:paraId="0F5444C9" w14:textId="77777777" w:rsidR="002665ED" w:rsidRPr="002665ED" w:rsidRDefault="002665ED" w:rsidP="00DD104E">
            <w:pPr>
              <w:rPr>
                <w:sz w:val="20"/>
                <w:szCs w:val="20"/>
                <w:lang w:val="en-US"/>
              </w:rPr>
            </w:pPr>
            <w:r w:rsidRPr="002665ED">
              <w:rPr>
                <w:sz w:val="20"/>
                <w:szCs w:val="20"/>
                <w:lang w:val="en-US"/>
              </w:rPr>
              <w:t>2.87 (1.73-4.82)</w:t>
            </w:r>
          </w:p>
        </w:tc>
        <w:tc>
          <w:tcPr>
            <w:tcW w:w="0" w:type="auto"/>
            <w:shd w:val="clear" w:color="auto" w:fill="auto"/>
          </w:tcPr>
          <w:p w14:paraId="2EDF9A0E" w14:textId="77777777" w:rsidR="002665ED" w:rsidRPr="002665ED" w:rsidRDefault="002665ED" w:rsidP="00DD104E">
            <w:pPr>
              <w:rPr>
                <w:sz w:val="20"/>
                <w:szCs w:val="20"/>
                <w:lang w:val="en-US"/>
              </w:rPr>
            </w:pPr>
            <w:r w:rsidRPr="002665ED">
              <w:rPr>
                <w:sz w:val="20"/>
                <w:szCs w:val="20"/>
                <w:lang w:val="en-US"/>
              </w:rPr>
              <w:t>6.75 (2.42-17.85)</w:t>
            </w:r>
          </w:p>
        </w:tc>
        <w:tc>
          <w:tcPr>
            <w:tcW w:w="0" w:type="auto"/>
            <w:shd w:val="clear" w:color="auto" w:fill="auto"/>
          </w:tcPr>
          <w:p w14:paraId="5325C60E" w14:textId="77777777" w:rsidR="002665ED" w:rsidRPr="002665ED" w:rsidRDefault="002665ED" w:rsidP="00DD104E">
            <w:pPr>
              <w:jc w:val="center"/>
              <w:rPr>
                <w:sz w:val="20"/>
                <w:szCs w:val="20"/>
                <w:lang w:val="en-US"/>
              </w:rPr>
            </w:pPr>
          </w:p>
        </w:tc>
      </w:tr>
      <w:tr w:rsidR="002665ED" w:rsidRPr="006750CE" w14:paraId="0297A2E7" w14:textId="77777777" w:rsidTr="002665ED">
        <w:tc>
          <w:tcPr>
            <w:tcW w:w="0" w:type="auto"/>
            <w:gridSpan w:val="3"/>
            <w:shd w:val="clear" w:color="auto" w:fill="auto"/>
          </w:tcPr>
          <w:p w14:paraId="0D18D902" w14:textId="77777777" w:rsidR="002665ED" w:rsidRPr="002665ED" w:rsidRDefault="002665ED" w:rsidP="00DD104E">
            <w:pPr>
              <w:rPr>
                <w:sz w:val="20"/>
                <w:szCs w:val="20"/>
                <w:lang w:val="en-US"/>
              </w:rPr>
            </w:pPr>
            <w:r w:rsidRPr="002665ED">
              <w:rPr>
                <w:color w:val="000000"/>
                <w:sz w:val="20"/>
                <w:szCs w:val="20"/>
                <w:lang w:val="en-US" w:eastAsia="pt-BR"/>
              </w:rPr>
              <w:t>Victim of domestic violence during social isolation measures</w:t>
            </w:r>
          </w:p>
        </w:tc>
        <w:tc>
          <w:tcPr>
            <w:tcW w:w="0" w:type="auto"/>
            <w:shd w:val="clear" w:color="auto" w:fill="auto"/>
          </w:tcPr>
          <w:p w14:paraId="0D49C8C5" w14:textId="77777777" w:rsidR="002665ED" w:rsidRPr="002665ED" w:rsidRDefault="002665ED" w:rsidP="00DD104E">
            <w:pPr>
              <w:rPr>
                <w:sz w:val="20"/>
                <w:szCs w:val="20"/>
                <w:lang w:val="en-US"/>
              </w:rPr>
            </w:pPr>
          </w:p>
        </w:tc>
        <w:tc>
          <w:tcPr>
            <w:tcW w:w="0" w:type="auto"/>
            <w:shd w:val="clear" w:color="auto" w:fill="auto"/>
          </w:tcPr>
          <w:p w14:paraId="62A7D307" w14:textId="77777777" w:rsidR="002665ED" w:rsidRPr="002665ED" w:rsidRDefault="002665ED" w:rsidP="00DD104E">
            <w:pPr>
              <w:rPr>
                <w:sz w:val="20"/>
                <w:szCs w:val="20"/>
                <w:lang w:val="en-US"/>
              </w:rPr>
            </w:pPr>
          </w:p>
        </w:tc>
        <w:tc>
          <w:tcPr>
            <w:tcW w:w="0" w:type="auto"/>
            <w:shd w:val="clear" w:color="auto" w:fill="auto"/>
          </w:tcPr>
          <w:p w14:paraId="5B57ACDA" w14:textId="77777777" w:rsidR="002665ED" w:rsidRPr="002665ED" w:rsidRDefault="002665ED" w:rsidP="00DD104E">
            <w:pPr>
              <w:jc w:val="center"/>
              <w:rPr>
                <w:sz w:val="20"/>
                <w:szCs w:val="20"/>
                <w:lang w:val="en-US"/>
              </w:rPr>
            </w:pPr>
          </w:p>
        </w:tc>
        <w:tc>
          <w:tcPr>
            <w:tcW w:w="0" w:type="auto"/>
            <w:shd w:val="clear" w:color="auto" w:fill="auto"/>
          </w:tcPr>
          <w:p w14:paraId="4D8F03F5" w14:textId="77777777" w:rsidR="002665ED" w:rsidRPr="002665ED" w:rsidRDefault="002665ED" w:rsidP="00DD104E">
            <w:pPr>
              <w:jc w:val="center"/>
              <w:rPr>
                <w:sz w:val="20"/>
                <w:szCs w:val="20"/>
                <w:lang w:val="en-US"/>
              </w:rPr>
            </w:pPr>
          </w:p>
        </w:tc>
      </w:tr>
      <w:tr w:rsidR="002665ED" w:rsidRPr="002665ED" w14:paraId="11D090E4" w14:textId="77777777" w:rsidTr="002665ED">
        <w:tc>
          <w:tcPr>
            <w:tcW w:w="0" w:type="auto"/>
            <w:shd w:val="clear" w:color="auto" w:fill="auto"/>
          </w:tcPr>
          <w:p w14:paraId="0E5123AE" w14:textId="77777777" w:rsidR="002665ED" w:rsidRPr="002665ED" w:rsidRDefault="002665ED" w:rsidP="00DD104E">
            <w:pPr>
              <w:rPr>
                <w:sz w:val="20"/>
                <w:szCs w:val="20"/>
                <w:lang w:val="en-US" w:eastAsia="pt-BR"/>
              </w:rPr>
            </w:pPr>
            <w:r w:rsidRPr="002665ED">
              <w:rPr>
                <w:color w:val="000000"/>
                <w:sz w:val="20"/>
                <w:szCs w:val="20"/>
                <w:lang w:val="en-US" w:eastAsia="pt-BR"/>
              </w:rPr>
              <w:t>No</w:t>
            </w:r>
          </w:p>
        </w:tc>
        <w:tc>
          <w:tcPr>
            <w:tcW w:w="0" w:type="auto"/>
            <w:shd w:val="clear" w:color="auto" w:fill="auto"/>
          </w:tcPr>
          <w:p w14:paraId="59D280AF" w14:textId="77777777" w:rsidR="002665ED" w:rsidRPr="002665ED" w:rsidRDefault="002665ED" w:rsidP="00DD104E">
            <w:pPr>
              <w:jc w:val="center"/>
              <w:rPr>
                <w:sz w:val="20"/>
                <w:szCs w:val="20"/>
                <w:lang w:val="en-US"/>
              </w:rPr>
            </w:pPr>
            <w:r w:rsidRPr="002665ED">
              <w:rPr>
                <w:sz w:val="20"/>
                <w:szCs w:val="20"/>
                <w:lang w:val="en-US"/>
              </w:rPr>
              <w:t>-</w:t>
            </w:r>
          </w:p>
        </w:tc>
        <w:tc>
          <w:tcPr>
            <w:tcW w:w="0" w:type="auto"/>
            <w:shd w:val="clear" w:color="auto" w:fill="auto"/>
          </w:tcPr>
          <w:p w14:paraId="7B9FAC70" w14:textId="77777777" w:rsidR="002665ED" w:rsidRPr="002665ED" w:rsidRDefault="002665ED" w:rsidP="00DD104E">
            <w:pPr>
              <w:jc w:val="center"/>
              <w:rPr>
                <w:sz w:val="20"/>
                <w:szCs w:val="20"/>
                <w:lang w:val="en-US"/>
              </w:rPr>
            </w:pPr>
            <w:r w:rsidRPr="002665ED">
              <w:rPr>
                <w:sz w:val="20"/>
                <w:szCs w:val="20"/>
                <w:lang w:val="en-US"/>
              </w:rPr>
              <w:t>-</w:t>
            </w:r>
          </w:p>
        </w:tc>
        <w:tc>
          <w:tcPr>
            <w:tcW w:w="0" w:type="auto"/>
            <w:shd w:val="clear" w:color="auto" w:fill="auto"/>
          </w:tcPr>
          <w:p w14:paraId="37A72FFC" w14:textId="77777777" w:rsidR="002665ED" w:rsidRPr="002665ED" w:rsidRDefault="002665ED" w:rsidP="00DD104E">
            <w:pPr>
              <w:jc w:val="center"/>
              <w:rPr>
                <w:sz w:val="20"/>
                <w:szCs w:val="20"/>
                <w:lang w:val="en-US"/>
              </w:rPr>
            </w:pPr>
            <w:r w:rsidRPr="002665ED">
              <w:rPr>
                <w:sz w:val="20"/>
                <w:szCs w:val="20"/>
                <w:lang w:val="en-US"/>
              </w:rPr>
              <w:t>-</w:t>
            </w:r>
          </w:p>
        </w:tc>
        <w:tc>
          <w:tcPr>
            <w:tcW w:w="0" w:type="auto"/>
            <w:shd w:val="clear" w:color="auto" w:fill="auto"/>
          </w:tcPr>
          <w:p w14:paraId="23E8B495" w14:textId="77777777" w:rsidR="002665ED" w:rsidRPr="002665ED" w:rsidRDefault="002665ED" w:rsidP="00DD104E">
            <w:pPr>
              <w:jc w:val="center"/>
              <w:rPr>
                <w:sz w:val="20"/>
                <w:szCs w:val="20"/>
                <w:lang w:val="en-US"/>
              </w:rPr>
            </w:pPr>
          </w:p>
        </w:tc>
        <w:tc>
          <w:tcPr>
            <w:tcW w:w="0" w:type="auto"/>
            <w:shd w:val="clear" w:color="auto" w:fill="auto"/>
          </w:tcPr>
          <w:p w14:paraId="31649065" w14:textId="77777777" w:rsidR="002665ED" w:rsidRPr="002665ED" w:rsidRDefault="002665ED" w:rsidP="00DD104E">
            <w:pPr>
              <w:jc w:val="center"/>
              <w:rPr>
                <w:sz w:val="20"/>
                <w:szCs w:val="20"/>
                <w:lang w:val="en-US"/>
              </w:rPr>
            </w:pPr>
          </w:p>
        </w:tc>
        <w:tc>
          <w:tcPr>
            <w:tcW w:w="0" w:type="auto"/>
            <w:shd w:val="clear" w:color="auto" w:fill="auto"/>
          </w:tcPr>
          <w:p w14:paraId="7A044B7A" w14:textId="77777777" w:rsidR="002665ED" w:rsidRPr="002665ED" w:rsidRDefault="002665ED" w:rsidP="00DD104E">
            <w:pPr>
              <w:jc w:val="center"/>
              <w:rPr>
                <w:sz w:val="20"/>
                <w:szCs w:val="20"/>
                <w:lang w:val="en-US"/>
              </w:rPr>
            </w:pPr>
            <w:r w:rsidRPr="002665ED">
              <w:rPr>
                <w:sz w:val="20"/>
                <w:szCs w:val="20"/>
                <w:lang w:val="en-US"/>
              </w:rPr>
              <w:t>-</w:t>
            </w:r>
          </w:p>
        </w:tc>
      </w:tr>
      <w:tr w:rsidR="002665ED" w:rsidRPr="002665ED" w14:paraId="5181042B" w14:textId="77777777" w:rsidTr="002665ED">
        <w:tc>
          <w:tcPr>
            <w:tcW w:w="0" w:type="auto"/>
            <w:shd w:val="clear" w:color="auto" w:fill="auto"/>
          </w:tcPr>
          <w:p w14:paraId="09534131" w14:textId="77777777" w:rsidR="002665ED" w:rsidRPr="002665ED" w:rsidRDefault="002665ED" w:rsidP="00DD104E">
            <w:pPr>
              <w:rPr>
                <w:sz w:val="20"/>
                <w:szCs w:val="20"/>
                <w:lang w:val="en-US" w:eastAsia="pt-BR"/>
              </w:rPr>
            </w:pPr>
            <w:r w:rsidRPr="002665ED">
              <w:rPr>
                <w:color w:val="000000"/>
                <w:sz w:val="20"/>
                <w:szCs w:val="20"/>
                <w:lang w:val="en-US" w:eastAsia="pt-BR"/>
              </w:rPr>
              <w:t>Yes</w:t>
            </w:r>
          </w:p>
        </w:tc>
        <w:tc>
          <w:tcPr>
            <w:tcW w:w="0" w:type="auto"/>
            <w:shd w:val="clear" w:color="auto" w:fill="auto"/>
          </w:tcPr>
          <w:p w14:paraId="59F8976B" w14:textId="77777777" w:rsidR="002665ED" w:rsidRPr="002665ED" w:rsidRDefault="002665ED" w:rsidP="00DD104E">
            <w:pPr>
              <w:rPr>
                <w:sz w:val="20"/>
                <w:szCs w:val="20"/>
                <w:lang w:val="en-US"/>
              </w:rPr>
            </w:pPr>
            <w:r w:rsidRPr="002665ED">
              <w:rPr>
                <w:sz w:val="20"/>
                <w:szCs w:val="20"/>
                <w:lang w:val="en-US"/>
              </w:rPr>
              <w:t>2.20 (1.58-3.03)</w:t>
            </w:r>
          </w:p>
        </w:tc>
        <w:tc>
          <w:tcPr>
            <w:tcW w:w="0" w:type="auto"/>
            <w:shd w:val="clear" w:color="auto" w:fill="auto"/>
          </w:tcPr>
          <w:p w14:paraId="30D5BA90" w14:textId="77777777" w:rsidR="002665ED" w:rsidRPr="002665ED" w:rsidRDefault="002665ED" w:rsidP="00DD104E">
            <w:pPr>
              <w:rPr>
                <w:sz w:val="20"/>
                <w:szCs w:val="20"/>
                <w:lang w:val="en-US"/>
              </w:rPr>
            </w:pPr>
            <w:r w:rsidRPr="002665ED">
              <w:rPr>
                <w:sz w:val="20"/>
                <w:szCs w:val="20"/>
                <w:lang w:val="en-US"/>
              </w:rPr>
              <w:t>1.78 (1.15-2.73)</w:t>
            </w:r>
          </w:p>
        </w:tc>
        <w:tc>
          <w:tcPr>
            <w:tcW w:w="0" w:type="auto"/>
            <w:shd w:val="clear" w:color="auto" w:fill="auto"/>
          </w:tcPr>
          <w:p w14:paraId="12630639" w14:textId="77777777" w:rsidR="002665ED" w:rsidRPr="002665ED" w:rsidRDefault="002665ED" w:rsidP="00DD104E">
            <w:pPr>
              <w:rPr>
                <w:sz w:val="20"/>
                <w:szCs w:val="20"/>
                <w:lang w:val="en-US"/>
              </w:rPr>
            </w:pPr>
            <w:r w:rsidRPr="002665ED">
              <w:rPr>
                <w:sz w:val="20"/>
                <w:szCs w:val="20"/>
                <w:lang w:val="en-US"/>
              </w:rPr>
              <w:t>1.74 (1.24-2.43)</w:t>
            </w:r>
          </w:p>
        </w:tc>
        <w:tc>
          <w:tcPr>
            <w:tcW w:w="0" w:type="auto"/>
            <w:shd w:val="clear" w:color="auto" w:fill="auto"/>
          </w:tcPr>
          <w:p w14:paraId="7BF27F5C" w14:textId="77777777" w:rsidR="002665ED" w:rsidRPr="002665ED" w:rsidRDefault="002665ED" w:rsidP="00DD104E">
            <w:pPr>
              <w:rPr>
                <w:sz w:val="20"/>
                <w:szCs w:val="20"/>
                <w:lang w:val="en-US"/>
              </w:rPr>
            </w:pPr>
          </w:p>
        </w:tc>
        <w:tc>
          <w:tcPr>
            <w:tcW w:w="0" w:type="auto"/>
            <w:shd w:val="clear" w:color="auto" w:fill="auto"/>
          </w:tcPr>
          <w:p w14:paraId="210CF7A4" w14:textId="77777777" w:rsidR="002665ED" w:rsidRPr="002665ED" w:rsidRDefault="002665ED" w:rsidP="00DD104E">
            <w:pPr>
              <w:jc w:val="center"/>
              <w:rPr>
                <w:sz w:val="20"/>
                <w:szCs w:val="20"/>
                <w:lang w:val="en-US"/>
              </w:rPr>
            </w:pPr>
          </w:p>
        </w:tc>
        <w:tc>
          <w:tcPr>
            <w:tcW w:w="0" w:type="auto"/>
            <w:shd w:val="clear" w:color="auto" w:fill="auto"/>
          </w:tcPr>
          <w:p w14:paraId="098514F0" w14:textId="77777777" w:rsidR="002665ED" w:rsidRPr="002665ED" w:rsidRDefault="002665ED" w:rsidP="00DD104E">
            <w:pPr>
              <w:jc w:val="center"/>
              <w:rPr>
                <w:sz w:val="20"/>
                <w:szCs w:val="20"/>
                <w:lang w:val="en-US"/>
              </w:rPr>
            </w:pPr>
            <w:r w:rsidRPr="002665ED">
              <w:rPr>
                <w:sz w:val="20"/>
                <w:szCs w:val="20"/>
                <w:lang w:val="en-US"/>
              </w:rPr>
              <w:t>3.79 (1.59-9.04)</w:t>
            </w:r>
          </w:p>
        </w:tc>
      </w:tr>
      <w:tr w:rsidR="002665ED" w:rsidRPr="006750CE" w14:paraId="55E9E32D" w14:textId="77777777" w:rsidTr="002665ED">
        <w:tc>
          <w:tcPr>
            <w:tcW w:w="0" w:type="auto"/>
            <w:gridSpan w:val="3"/>
            <w:shd w:val="clear" w:color="auto" w:fill="auto"/>
          </w:tcPr>
          <w:p w14:paraId="5D89BC50" w14:textId="77777777" w:rsidR="002665ED" w:rsidRPr="002665ED" w:rsidRDefault="002665ED" w:rsidP="00DD104E">
            <w:pPr>
              <w:rPr>
                <w:sz w:val="20"/>
                <w:szCs w:val="20"/>
                <w:lang w:val="en-US"/>
              </w:rPr>
            </w:pPr>
            <w:r w:rsidRPr="002665ED">
              <w:rPr>
                <w:color w:val="000000"/>
                <w:sz w:val="20"/>
                <w:szCs w:val="20"/>
                <w:lang w:val="en-US" w:eastAsia="pt-BR"/>
              </w:rPr>
              <w:t>Previous diagnostic of mental disorders before the CoVID-19 pandemic</w:t>
            </w:r>
          </w:p>
        </w:tc>
        <w:tc>
          <w:tcPr>
            <w:tcW w:w="0" w:type="auto"/>
            <w:shd w:val="clear" w:color="auto" w:fill="auto"/>
          </w:tcPr>
          <w:p w14:paraId="080A28F9" w14:textId="77777777" w:rsidR="002665ED" w:rsidRPr="002665ED" w:rsidRDefault="002665ED" w:rsidP="00DD104E">
            <w:pPr>
              <w:rPr>
                <w:sz w:val="20"/>
                <w:szCs w:val="20"/>
                <w:lang w:val="en-US"/>
              </w:rPr>
            </w:pPr>
          </w:p>
        </w:tc>
        <w:tc>
          <w:tcPr>
            <w:tcW w:w="0" w:type="auto"/>
            <w:shd w:val="clear" w:color="auto" w:fill="auto"/>
          </w:tcPr>
          <w:p w14:paraId="08D29F1E" w14:textId="77777777" w:rsidR="002665ED" w:rsidRPr="002665ED" w:rsidRDefault="002665ED" w:rsidP="00DD104E">
            <w:pPr>
              <w:rPr>
                <w:sz w:val="20"/>
                <w:szCs w:val="20"/>
                <w:lang w:val="en-US"/>
              </w:rPr>
            </w:pPr>
          </w:p>
        </w:tc>
        <w:tc>
          <w:tcPr>
            <w:tcW w:w="0" w:type="auto"/>
            <w:shd w:val="clear" w:color="auto" w:fill="auto"/>
          </w:tcPr>
          <w:p w14:paraId="132F0064" w14:textId="77777777" w:rsidR="002665ED" w:rsidRPr="002665ED" w:rsidRDefault="002665ED" w:rsidP="00DD104E">
            <w:pPr>
              <w:jc w:val="center"/>
              <w:rPr>
                <w:sz w:val="20"/>
                <w:szCs w:val="20"/>
                <w:lang w:val="en-US"/>
              </w:rPr>
            </w:pPr>
          </w:p>
        </w:tc>
        <w:tc>
          <w:tcPr>
            <w:tcW w:w="0" w:type="auto"/>
            <w:shd w:val="clear" w:color="auto" w:fill="auto"/>
          </w:tcPr>
          <w:p w14:paraId="0D2EC28A" w14:textId="77777777" w:rsidR="002665ED" w:rsidRPr="002665ED" w:rsidRDefault="002665ED" w:rsidP="00DD104E">
            <w:pPr>
              <w:jc w:val="center"/>
              <w:rPr>
                <w:sz w:val="20"/>
                <w:szCs w:val="20"/>
                <w:lang w:val="en-US"/>
              </w:rPr>
            </w:pPr>
          </w:p>
        </w:tc>
      </w:tr>
      <w:tr w:rsidR="002665ED" w:rsidRPr="002665ED" w14:paraId="214C2B1E" w14:textId="77777777" w:rsidTr="002665ED">
        <w:tc>
          <w:tcPr>
            <w:tcW w:w="0" w:type="auto"/>
            <w:shd w:val="clear" w:color="auto" w:fill="auto"/>
          </w:tcPr>
          <w:p w14:paraId="08BD1449" w14:textId="77777777" w:rsidR="002665ED" w:rsidRPr="002665ED" w:rsidRDefault="002665ED" w:rsidP="00DD104E">
            <w:pPr>
              <w:rPr>
                <w:sz w:val="20"/>
                <w:szCs w:val="20"/>
                <w:lang w:val="en-US" w:eastAsia="pt-BR"/>
              </w:rPr>
            </w:pPr>
            <w:r w:rsidRPr="002665ED">
              <w:rPr>
                <w:color w:val="000000"/>
                <w:sz w:val="20"/>
                <w:szCs w:val="20"/>
                <w:lang w:val="en-US" w:eastAsia="pt-BR"/>
              </w:rPr>
              <w:t>No</w:t>
            </w:r>
          </w:p>
        </w:tc>
        <w:tc>
          <w:tcPr>
            <w:tcW w:w="0" w:type="auto"/>
            <w:shd w:val="clear" w:color="auto" w:fill="auto"/>
          </w:tcPr>
          <w:p w14:paraId="58BFED50" w14:textId="77777777" w:rsidR="002665ED" w:rsidRPr="002665ED" w:rsidRDefault="002665ED" w:rsidP="00DD104E">
            <w:pPr>
              <w:jc w:val="center"/>
              <w:rPr>
                <w:sz w:val="20"/>
                <w:szCs w:val="20"/>
                <w:lang w:val="en-US"/>
              </w:rPr>
            </w:pPr>
            <w:r w:rsidRPr="002665ED">
              <w:rPr>
                <w:sz w:val="20"/>
                <w:szCs w:val="20"/>
                <w:lang w:val="en-US"/>
              </w:rPr>
              <w:t>-</w:t>
            </w:r>
          </w:p>
        </w:tc>
        <w:tc>
          <w:tcPr>
            <w:tcW w:w="0" w:type="auto"/>
            <w:shd w:val="clear" w:color="auto" w:fill="auto"/>
          </w:tcPr>
          <w:p w14:paraId="56000A20" w14:textId="77777777" w:rsidR="002665ED" w:rsidRPr="002665ED" w:rsidRDefault="002665ED" w:rsidP="00DD104E">
            <w:pPr>
              <w:jc w:val="center"/>
              <w:rPr>
                <w:sz w:val="20"/>
                <w:szCs w:val="20"/>
                <w:lang w:val="en-US"/>
              </w:rPr>
            </w:pPr>
          </w:p>
        </w:tc>
        <w:tc>
          <w:tcPr>
            <w:tcW w:w="0" w:type="auto"/>
            <w:shd w:val="clear" w:color="auto" w:fill="auto"/>
          </w:tcPr>
          <w:p w14:paraId="5A915553" w14:textId="77777777" w:rsidR="002665ED" w:rsidRPr="002665ED" w:rsidRDefault="002665ED" w:rsidP="00DD104E">
            <w:pPr>
              <w:jc w:val="center"/>
              <w:rPr>
                <w:sz w:val="20"/>
                <w:szCs w:val="20"/>
                <w:lang w:val="en-US"/>
              </w:rPr>
            </w:pPr>
            <w:r w:rsidRPr="002665ED">
              <w:rPr>
                <w:sz w:val="20"/>
                <w:szCs w:val="20"/>
                <w:lang w:val="en-US"/>
              </w:rPr>
              <w:t>-</w:t>
            </w:r>
          </w:p>
        </w:tc>
        <w:tc>
          <w:tcPr>
            <w:tcW w:w="0" w:type="auto"/>
            <w:shd w:val="clear" w:color="auto" w:fill="auto"/>
          </w:tcPr>
          <w:p w14:paraId="148339FB" w14:textId="77777777" w:rsidR="002665ED" w:rsidRPr="002665ED" w:rsidRDefault="002665ED" w:rsidP="00DD104E">
            <w:pPr>
              <w:jc w:val="center"/>
              <w:rPr>
                <w:sz w:val="20"/>
                <w:szCs w:val="20"/>
                <w:lang w:val="en-US"/>
              </w:rPr>
            </w:pPr>
            <w:r w:rsidRPr="002665ED">
              <w:rPr>
                <w:sz w:val="20"/>
                <w:szCs w:val="20"/>
                <w:lang w:val="en-US"/>
              </w:rPr>
              <w:t>-</w:t>
            </w:r>
          </w:p>
        </w:tc>
        <w:tc>
          <w:tcPr>
            <w:tcW w:w="0" w:type="auto"/>
            <w:shd w:val="clear" w:color="auto" w:fill="auto"/>
          </w:tcPr>
          <w:p w14:paraId="09540A15" w14:textId="77777777" w:rsidR="002665ED" w:rsidRPr="002665ED" w:rsidRDefault="002665ED" w:rsidP="00DD104E">
            <w:pPr>
              <w:jc w:val="center"/>
              <w:rPr>
                <w:sz w:val="20"/>
                <w:szCs w:val="20"/>
                <w:lang w:val="en-US"/>
              </w:rPr>
            </w:pPr>
            <w:r w:rsidRPr="002665ED">
              <w:rPr>
                <w:sz w:val="20"/>
                <w:szCs w:val="20"/>
                <w:lang w:val="en-US"/>
              </w:rPr>
              <w:t>-</w:t>
            </w:r>
          </w:p>
        </w:tc>
        <w:tc>
          <w:tcPr>
            <w:tcW w:w="0" w:type="auto"/>
            <w:shd w:val="clear" w:color="auto" w:fill="auto"/>
          </w:tcPr>
          <w:p w14:paraId="78138E6F" w14:textId="77777777" w:rsidR="002665ED" w:rsidRPr="002665ED" w:rsidRDefault="002665ED" w:rsidP="00DD104E">
            <w:pPr>
              <w:jc w:val="center"/>
              <w:rPr>
                <w:sz w:val="20"/>
                <w:szCs w:val="20"/>
                <w:lang w:val="en-US"/>
              </w:rPr>
            </w:pPr>
            <w:r w:rsidRPr="002665ED">
              <w:rPr>
                <w:sz w:val="20"/>
                <w:szCs w:val="20"/>
                <w:lang w:val="en-US"/>
              </w:rPr>
              <w:t>-</w:t>
            </w:r>
          </w:p>
        </w:tc>
      </w:tr>
      <w:tr w:rsidR="002665ED" w:rsidRPr="002665ED" w14:paraId="1888D1CD" w14:textId="77777777" w:rsidTr="002665ED">
        <w:tc>
          <w:tcPr>
            <w:tcW w:w="0" w:type="auto"/>
            <w:shd w:val="clear" w:color="auto" w:fill="auto"/>
          </w:tcPr>
          <w:p w14:paraId="021EDBDE" w14:textId="77777777" w:rsidR="002665ED" w:rsidRPr="002665ED" w:rsidRDefault="002665ED" w:rsidP="00DD104E">
            <w:pPr>
              <w:rPr>
                <w:sz w:val="20"/>
                <w:szCs w:val="20"/>
                <w:lang w:val="en-US" w:eastAsia="pt-BR"/>
              </w:rPr>
            </w:pPr>
            <w:r w:rsidRPr="002665ED">
              <w:rPr>
                <w:color w:val="000000"/>
                <w:sz w:val="20"/>
                <w:szCs w:val="20"/>
                <w:lang w:val="en-US" w:eastAsia="pt-BR"/>
              </w:rPr>
              <w:t>Yes</w:t>
            </w:r>
          </w:p>
        </w:tc>
        <w:tc>
          <w:tcPr>
            <w:tcW w:w="0" w:type="auto"/>
            <w:shd w:val="clear" w:color="auto" w:fill="auto"/>
          </w:tcPr>
          <w:p w14:paraId="74E58F70" w14:textId="77777777" w:rsidR="002665ED" w:rsidRPr="002665ED" w:rsidRDefault="002665ED" w:rsidP="00DD104E">
            <w:pPr>
              <w:rPr>
                <w:sz w:val="20"/>
                <w:szCs w:val="20"/>
                <w:lang w:val="en-US"/>
              </w:rPr>
            </w:pPr>
            <w:r w:rsidRPr="002665ED">
              <w:rPr>
                <w:sz w:val="20"/>
                <w:szCs w:val="20"/>
                <w:lang w:val="en-US"/>
              </w:rPr>
              <w:t>1.49 (1.11-1.99)</w:t>
            </w:r>
          </w:p>
        </w:tc>
        <w:tc>
          <w:tcPr>
            <w:tcW w:w="0" w:type="auto"/>
            <w:shd w:val="clear" w:color="auto" w:fill="auto"/>
          </w:tcPr>
          <w:p w14:paraId="25BCB9F2" w14:textId="77777777" w:rsidR="002665ED" w:rsidRPr="002665ED" w:rsidRDefault="002665ED" w:rsidP="00DD104E">
            <w:pPr>
              <w:rPr>
                <w:sz w:val="20"/>
                <w:szCs w:val="20"/>
                <w:lang w:val="en-US"/>
              </w:rPr>
            </w:pPr>
          </w:p>
        </w:tc>
        <w:tc>
          <w:tcPr>
            <w:tcW w:w="0" w:type="auto"/>
            <w:shd w:val="clear" w:color="auto" w:fill="auto"/>
          </w:tcPr>
          <w:p w14:paraId="543645DD" w14:textId="77777777" w:rsidR="002665ED" w:rsidRPr="002665ED" w:rsidRDefault="002665ED" w:rsidP="00DD104E">
            <w:pPr>
              <w:rPr>
                <w:sz w:val="20"/>
                <w:szCs w:val="20"/>
                <w:lang w:val="en-US"/>
              </w:rPr>
            </w:pPr>
            <w:r w:rsidRPr="002665ED">
              <w:rPr>
                <w:sz w:val="20"/>
                <w:szCs w:val="20"/>
                <w:lang w:val="en-US"/>
              </w:rPr>
              <w:t>9.73 (7.32-13.05)</w:t>
            </w:r>
          </w:p>
        </w:tc>
        <w:tc>
          <w:tcPr>
            <w:tcW w:w="0" w:type="auto"/>
            <w:shd w:val="clear" w:color="auto" w:fill="auto"/>
          </w:tcPr>
          <w:p w14:paraId="41231E08" w14:textId="77777777" w:rsidR="002665ED" w:rsidRPr="002665ED" w:rsidRDefault="002665ED" w:rsidP="00DD104E">
            <w:pPr>
              <w:jc w:val="center"/>
              <w:rPr>
                <w:sz w:val="20"/>
                <w:szCs w:val="20"/>
                <w:lang w:val="en-US"/>
              </w:rPr>
            </w:pPr>
            <w:r w:rsidRPr="002665ED">
              <w:rPr>
                <w:sz w:val="20"/>
                <w:szCs w:val="20"/>
                <w:lang w:val="en-US"/>
              </w:rPr>
              <w:t>1.70 (1.02-2.81)</w:t>
            </w:r>
          </w:p>
        </w:tc>
        <w:tc>
          <w:tcPr>
            <w:tcW w:w="0" w:type="auto"/>
            <w:shd w:val="clear" w:color="auto" w:fill="auto"/>
          </w:tcPr>
          <w:p w14:paraId="7B43DE36" w14:textId="77777777" w:rsidR="002665ED" w:rsidRPr="002665ED" w:rsidRDefault="002665ED" w:rsidP="00DD104E">
            <w:pPr>
              <w:jc w:val="center"/>
              <w:rPr>
                <w:sz w:val="20"/>
                <w:szCs w:val="20"/>
                <w:lang w:val="en-US"/>
              </w:rPr>
            </w:pPr>
            <w:r w:rsidRPr="002665ED">
              <w:rPr>
                <w:sz w:val="20"/>
                <w:szCs w:val="20"/>
                <w:lang w:val="en-US"/>
              </w:rPr>
              <w:t>2.26 (1.04-4.90)</w:t>
            </w:r>
          </w:p>
        </w:tc>
        <w:tc>
          <w:tcPr>
            <w:tcW w:w="0" w:type="auto"/>
            <w:shd w:val="clear" w:color="auto" w:fill="auto"/>
          </w:tcPr>
          <w:p w14:paraId="75B0BE7E" w14:textId="77777777" w:rsidR="002665ED" w:rsidRPr="002665ED" w:rsidRDefault="002665ED" w:rsidP="00DD104E">
            <w:pPr>
              <w:jc w:val="center"/>
              <w:rPr>
                <w:sz w:val="20"/>
                <w:szCs w:val="20"/>
                <w:lang w:val="en-US"/>
              </w:rPr>
            </w:pPr>
            <w:r w:rsidRPr="002665ED">
              <w:rPr>
                <w:sz w:val="20"/>
                <w:szCs w:val="20"/>
                <w:lang w:val="en-US"/>
              </w:rPr>
              <w:t>3.40 (1.83-6.39)</w:t>
            </w:r>
          </w:p>
        </w:tc>
      </w:tr>
    </w:tbl>
    <w:p w14:paraId="53E559D9" w14:textId="77777777" w:rsidR="002665ED" w:rsidRPr="002665ED" w:rsidRDefault="002665ED" w:rsidP="002665ED">
      <w:pPr>
        <w:rPr>
          <w:sz w:val="20"/>
          <w:szCs w:val="20"/>
          <w:lang w:val="en-US"/>
        </w:rPr>
      </w:pPr>
      <w:r w:rsidRPr="002665ED">
        <w:rPr>
          <w:sz w:val="20"/>
          <w:szCs w:val="20"/>
          <w:lang w:val="en-US"/>
        </w:rPr>
        <w:t>Model 1: Students.</w:t>
      </w:r>
    </w:p>
    <w:p w14:paraId="20B4B266" w14:textId="77777777" w:rsidR="002665ED" w:rsidRPr="002665ED" w:rsidRDefault="002665ED" w:rsidP="002665ED">
      <w:pPr>
        <w:rPr>
          <w:sz w:val="20"/>
          <w:szCs w:val="20"/>
          <w:lang w:val="en-US"/>
        </w:rPr>
      </w:pPr>
      <w:r w:rsidRPr="002665ED">
        <w:rPr>
          <w:sz w:val="20"/>
          <w:szCs w:val="20"/>
          <w:lang w:val="en-US"/>
        </w:rPr>
        <w:t>Model 2: Professors and Staff.</w:t>
      </w:r>
    </w:p>
    <w:p w14:paraId="4F2CC15B" w14:textId="77777777" w:rsidR="002665ED" w:rsidRPr="002665ED" w:rsidRDefault="002665ED" w:rsidP="002665ED">
      <w:pPr>
        <w:rPr>
          <w:sz w:val="20"/>
          <w:szCs w:val="20"/>
          <w:lang w:val="en-US"/>
        </w:rPr>
      </w:pPr>
      <w:proofErr w:type="gramStart"/>
      <w:r w:rsidRPr="002665ED">
        <w:rPr>
          <w:sz w:val="20"/>
          <w:szCs w:val="20"/>
          <w:vertAlign w:val="superscript"/>
          <w:lang w:val="en-US" w:eastAsia="pt-BR"/>
        </w:rPr>
        <w:t>a</w:t>
      </w:r>
      <w:proofErr w:type="gramEnd"/>
      <w:r w:rsidRPr="002665ED">
        <w:rPr>
          <w:sz w:val="20"/>
          <w:szCs w:val="20"/>
          <w:lang w:val="en-US"/>
        </w:rPr>
        <w:t xml:space="preserve"> Estimates are adjusted for gender, age, and educational levels, where indicated.</w:t>
      </w:r>
    </w:p>
    <w:p w14:paraId="030292C9" w14:textId="77777777" w:rsidR="002665ED" w:rsidRPr="002665ED" w:rsidRDefault="002665ED" w:rsidP="002665ED">
      <w:pPr>
        <w:rPr>
          <w:sz w:val="20"/>
          <w:szCs w:val="20"/>
          <w:lang w:val="en-US"/>
        </w:rPr>
      </w:pPr>
      <w:r w:rsidRPr="002665ED">
        <w:rPr>
          <w:sz w:val="20"/>
          <w:szCs w:val="20"/>
          <w:lang w:val="en-US"/>
        </w:rPr>
        <w:t>Goodness of fit:</w:t>
      </w:r>
    </w:p>
    <w:p w14:paraId="14C5CA84" w14:textId="77777777" w:rsidR="002665ED" w:rsidRPr="002665ED" w:rsidRDefault="002665ED" w:rsidP="002665ED">
      <w:pPr>
        <w:rPr>
          <w:sz w:val="20"/>
          <w:szCs w:val="20"/>
          <w:lang w:val="en-US"/>
        </w:rPr>
      </w:pPr>
      <w:r w:rsidRPr="002665ED">
        <w:rPr>
          <w:sz w:val="20"/>
          <w:szCs w:val="20"/>
          <w:lang w:val="en-US"/>
        </w:rPr>
        <w:t xml:space="preserve">Model 1: For Alcohol: </w:t>
      </w:r>
      <w:r w:rsidRPr="002665ED">
        <w:rPr>
          <w:i/>
          <w:sz w:val="20"/>
          <w:szCs w:val="20"/>
          <w:lang w:val="en-US"/>
        </w:rPr>
        <w:t>X</w:t>
      </w:r>
      <w:r w:rsidRPr="002665ED">
        <w:rPr>
          <w:i/>
          <w:sz w:val="20"/>
          <w:szCs w:val="20"/>
          <w:vertAlign w:val="superscript"/>
          <w:lang w:val="en-US"/>
        </w:rPr>
        <w:t>2</w:t>
      </w:r>
      <w:r w:rsidRPr="002665ED">
        <w:rPr>
          <w:sz w:val="20"/>
          <w:szCs w:val="20"/>
          <w:lang w:val="en-US"/>
        </w:rPr>
        <w:t xml:space="preserve"> &lt; 0.0001; For Tobacco: </w:t>
      </w:r>
      <w:r w:rsidRPr="002665ED">
        <w:rPr>
          <w:i/>
          <w:sz w:val="20"/>
          <w:szCs w:val="20"/>
          <w:lang w:val="en-US"/>
        </w:rPr>
        <w:t>X</w:t>
      </w:r>
      <w:r w:rsidRPr="002665ED">
        <w:rPr>
          <w:i/>
          <w:sz w:val="20"/>
          <w:szCs w:val="20"/>
          <w:vertAlign w:val="superscript"/>
          <w:lang w:val="en-US"/>
        </w:rPr>
        <w:t>2</w:t>
      </w:r>
      <w:r w:rsidRPr="002665ED">
        <w:rPr>
          <w:sz w:val="20"/>
          <w:szCs w:val="20"/>
          <w:lang w:val="en-US"/>
        </w:rPr>
        <w:t xml:space="preserve"> &lt; 0.0001; For Medical drugs: </w:t>
      </w:r>
      <w:r w:rsidRPr="002665ED">
        <w:rPr>
          <w:i/>
          <w:sz w:val="20"/>
          <w:szCs w:val="20"/>
          <w:lang w:val="en-US"/>
        </w:rPr>
        <w:t>X</w:t>
      </w:r>
      <w:r w:rsidRPr="002665ED">
        <w:rPr>
          <w:i/>
          <w:sz w:val="20"/>
          <w:szCs w:val="20"/>
          <w:vertAlign w:val="superscript"/>
          <w:lang w:val="en-US"/>
        </w:rPr>
        <w:t>2</w:t>
      </w:r>
      <w:r w:rsidRPr="002665ED">
        <w:rPr>
          <w:sz w:val="20"/>
          <w:szCs w:val="20"/>
          <w:lang w:val="en-US"/>
        </w:rPr>
        <w:t xml:space="preserve"> &lt; 0.0001; For Illicit drugs: </w:t>
      </w:r>
      <w:r w:rsidRPr="002665ED">
        <w:rPr>
          <w:i/>
          <w:sz w:val="20"/>
          <w:szCs w:val="20"/>
          <w:lang w:val="en-US"/>
        </w:rPr>
        <w:t>X</w:t>
      </w:r>
      <w:r w:rsidRPr="002665ED">
        <w:rPr>
          <w:i/>
          <w:sz w:val="20"/>
          <w:szCs w:val="20"/>
          <w:vertAlign w:val="superscript"/>
          <w:lang w:val="en-US"/>
        </w:rPr>
        <w:t>2</w:t>
      </w:r>
      <w:r w:rsidRPr="002665ED">
        <w:rPr>
          <w:sz w:val="20"/>
          <w:szCs w:val="20"/>
          <w:lang w:val="en-US"/>
        </w:rPr>
        <w:t xml:space="preserve"> &lt; 0.0001</w:t>
      </w:r>
    </w:p>
    <w:p w14:paraId="02F6E4DA" w14:textId="77777777" w:rsidR="002665ED" w:rsidRPr="002665ED" w:rsidRDefault="002665ED" w:rsidP="002665ED">
      <w:pPr>
        <w:rPr>
          <w:sz w:val="20"/>
          <w:szCs w:val="20"/>
          <w:lang w:val="en-US"/>
        </w:rPr>
      </w:pPr>
      <w:r w:rsidRPr="002665ED">
        <w:rPr>
          <w:sz w:val="20"/>
          <w:szCs w:val="20"/>
          <w:lang w:val="en-US"/>
        </w:rPr>
        <w:t xml:space="preserve">Model 2: For alcohol: </w:t>
      </w:r>
      <w:r w:rsidRPr="002665ED">
        <w:rPr>
          <w:i/>
          <w:sz w:val="20"/>
          <w:szCs w:val="20"/>
          <w:lang w:val="en-US"/>
        </w:rPr>
        <w:t>X</w:t>
      </w:r>
      <w:r w:rsidRPr="002665ED">
        <w:rPr>
          <w:i/>
          <w:sz w:val="20"/>
          <w:szCs w:val="20"/>
          <w:vertAlign w:val="superscript"/>
          <w:lang w:val="en-US"/>
        </w:rPr>
        <w:t>2</w:t>
      </w:r>
      <w:r w:rsidRPr="002665ED">
        <w:rPr>
          <w:sz w:val="20"/>
          <w:szCs w:val="20"/>
          <w:lang w:val="en-US"/>
        </w:rPr>
        <w:t xml:space="preserve"> = 0.002; For Medical drugs: </w:t>
      </w:r>
      <w:r w:rsidRPr="002665ED">
        <w:rPr>
          <w:i/>
          <w:sz w:val="20"/>
          <w:szCs w:val="20"/>
          <w:lang w:val="en-US"/>
        </w:rPr>
        <w:t>X</w:t>
      </w:r>
      <w:r w:rsidRPr="002665ED">
        <w:rPr>
          <w:i/>
          <w:sz w:val="20"/>
          <w:szCs w:val="20"/>
          <w:vertAlign w:val="superscript"/>
          <w:lang w:val="en-US"/>
        </w:rPr>
        <w:t>2</w:t>
      </w:r>
      <w:r w:rsidRPr="002665ED">
        <w:rPr>
          <w:sz w:val="20"/>
          <w:szCs w:val="20"/>
          <w:lang w:val="en-US"/>
        </w:rPr>
        <w:t xml:space="preserve"> &lt; 0.0001</w:t>
      </w:r>
    </w:p>
    <w:p w14:paraId="54B640D5" w14:textId="03003C8D" w:rsidR="002665ED" w:rsidRPr="002665ED" w:rsidRDefault="002665ED" w:rsidP="002665ED">
      <w:pPr>
        <w:rPr>
          <w:sz w:val="20"/>
          <w:szCs w:val="20"/>
          <w:lang w:val="en-US"/>
        </w:rPr>
      </w:pPr>
      <w:r w:rsidRPr="002665ED">
        <w:rPr>
          <w:sz w:val="20"/>
          <w:szCs w:val="20"/>
          <w:lang w:val="en-US"/>
        </w:rPr>
        <w:t>Source: Author</w:t>
      </w:r>
      <w:r>
        <w:rPr>
          <w:sz w:val="20"/>
          <w:szCs w:val="20"/>
          <w:lang w:val="en-US"/>
        </w:rPr>
        <w:t>s</w:t>
      </w:r>
      <w:r w:rsidRPr="002665ED">
        <w:rPr>
          <w:sz w:val="20"/>
          <w:szCs w:val="20"/>
          <w:lang w:val="en-US"/>
        </w:rPr>
        <w:t>.</w:t>
      </w:r>
      <w:bookmarkEnd w:id="2"/>
    </w:p>
    <w:p w14:paraId="5E58AC09" w14:textId="77777777" w:rsidR="002665ED" w:rsidRPr="002665ED" w:rsidRDefault="002665ED" w:rsidP="002665ED">
      <w:pPr>
        <w:rPr>
          <w:color w:val="000000"/>
          <w:sz w:val="20"/>
          <w:szCs w:val="20"/>
          <w:shd w:val="clear" w:color="auto" w:fill="FFFFFF"/>
          <w:lang w:val="en-US" w:eastAsia="pt-BR"/>
        </w:rPr>
      </w:pPr>
    </w:p>
    <w:p w14:paraId="220C813D" w14:textId="0773D7D8" w:rsidR="00CE7D65" w:rsidRPr="00E25900" w:rsidRDefault="00CE7D65" w:rsidP="00CE7D65">
      <w:pPr>
        <w:pStyle w:val="Ttulosinternos"/>
      </w:pPr>
      <w:r w:rsidRPr="00E25900">
        <w:t>Discussion</w:t>
      </w:r>
    </w:p>
    <w:p w14:paraId="58961E8A" w14:textId="77777777" w:rsidR="002665ED" w:rsidRDefault="002665ED" w:rsidP="002665ED">
      <w:pPr>
        <w:pStyle w:val="Prrafocomn"/>
      </w:pPr>
      <w:r>
        <w:t xml:space="preserve">This study was conducted within university communities that had experienced physical and social distancing measures since the pandemic began. The aim was to estimate the rates of alcohol and other psychoactive substance use initiation during the COVID-19 pandemic and to identify their associated factors. Medical drugs, followed by alcohol, were the most reported substances by </w:t>
      </w:r>
      <w:r>
        <w:lastRenderedPageBreak/>
        <w:t>both students and professors/staff. Studies carried out with university students showed increased consumption of benzodiazepine, hypnotic and serotonergic anxiolytics during the pandemic, often used to minimize symptoms exacerbated by the harmful effects of social distancing, such as changes in eating and sleeping patterns, anxiety and mood disorders (Fontes, Jacinto &amp; Rocha, 2022; Milani et al., 2021).</w:t>
      </w:r>
    </w:p>
    <w:p w14:paraId="121E6908" w14:textId="77777777" w:rsidR="002665ED" w:rsidRDefault="002665ED" w:rsidP="002665ED">
      <w:pPr>
        <w:pStyle w:val="Prrafocomn"/>
      </w:pPr>
      <w:r>
        <w:t xml:space="preserve">Drug use initiation among professors/staff during the COVID-19 pandemic was associated with requesting a live of absence or taking leave from work because of the pandemic as well with worsened emotional state and domestic violence during ‘Stay at home” mandates. It is important to point out that the search for and use of medication often aims to reduce physical and/or psychological symptoms (Fontes et al., 2022). Since mostly women made up the sample and considering the increase in domestic violence rates during the pandemic, especially during social isolation, it is possible that medicines have been used to manage symptoms of diverse types of suffering (Campos, </w:t>
      </w:r>
      <w:proofErr w:type="spellStart"/>
      <w:proofErr w:type="gramStart"/>
      <w:r>
        <w:t>Tchalekian</w:t>
      </w:r>
      <w:proofErr w:type="spellEnd"/>
      <w:r>
        <w:t xml:space="preserve">  &amp;</w:t>
      </w:r>
      <w:proofErr w:type="gramEnd"/>
      <w:r>
        <w:t xml:space="preserve"> Paiva, 2020; Queiroz et al., 2021; Silva et al., 2020) among females.</w:t>
      </w:r>
    </w:p>
    <w:p w14:paraId="33B003AA" w14:textId="77777777" w:rsidR="002665ED" w:rsidRDefault="002665ED" w:rsidP="002665ED">
      <w:pPr>
        <w:pStyle w:val="Prrafocomn"/>
      </w:pPr>
      <w:r>
        <w:t>In the present study, illicit substance use beginners were more likely students and younger. Studies prior to the pandemic (Babicki, Piotrowski &amp; Mastalerz-</w:t>
      </w:r>
      <w:proofErr w:type="spellStart"/>
      <w:r>
        <w:t>Migas</w:t>
      </w:r>
      <w:proofErr w:type="spellEnd"/>
      <w:r>
        <w:t xml:space="preserve">, 2022) and during the pandemic (Carvalho, </w:t>
      </w:r>
      <w:proofErr w:type="spellStart"/>
      <w:r>
        <w:t>Hülsdünker</w:t>
      </w:r>
      <w:proofErr w:type="spellEnd"/>
      <w:r>
        <w:t xml:space="preserve"> &amp; Carson, 2020; </w:t>
      </w:r>
      <w:proofErr w:type="spellStart"/>
      <w:r>
        <w:t>Jodczyk</w:t>
      </w:r>
      <w:proofErr w:type="spellEnd"/>
      <w:r>
        <w:t xml:space="preserve"> et al., 2022; Lechner et al., 2020; Liyanage et al. 2022; Torres et al., 2021) reported increased intake of alcohol and other drugs among university population, suggesting that these substances are used to relieve the objective and subjective overload of academic life.</w:t>
      </w:r>
    </w:p>
    <w:p w14:paraId="02896D99" w14:textId="77777777" w:rsidR="002665ED" w:rsidRDefault="002665ED" w:rsidP="002665ED">
      <w:pPr>
        <w:pStyle w:val="Prrafocomn"/>
      </w:pPr>
      <w:r>
        <w:t>A survey with more than 1.400 individuals from the USA and Canada, most of them with Master’s degree, indicated that 33.0% consumed psychoactive substances to cope with the pandemic (MacMillan et al., 2021). It is known that education lessen the risk of developing problems related to alcohol consumption, since people with higher educational levels can use more strategies that are protective and adopt healthy lifestyles (Christoffersen et al., 2021).</w:t>
      </w:r>
    </w:p>
    <w:p w14:paraId="6D3E3C14" w14:textId="77777777" w:rsidR="002665ED" w:rsidRDefault="002665ED" w:rsidP="002665ED">
      <w:pPr>
        <w:pStyle w:val="Prrafocomn"/>
      </w:pPr>
      <w:r>
        <w:t>Among students, cohabiting with friends/roommates was associated with substance use initiation during the pandemic for all substances under study, except medication. Studies pointed out the role of social interactions, especially among peers, in the construction of addictive scenarios for alcohol, tobacco and other drugs (</w:t>
      </w:r>
      <w:proofErr w:type="spellStart"/>
      <w:r>
        <w:t>Demenech</w:t>
      </w:r>
      <w:proofErr w:type="spellEnd"/>
      <w:r>
        <w:t xml:space="preserve"> et al., 2019; Candido et al., 2018). On the other hand, especially for students, living with parents/family might inhibit the purchase and </w:t>
      </w:r>
      <w:r>
        <w:lastRenderedPageBreak/>
        <w:t>consumption of psychoactive substances (Candido et al., 2018; Queiroz et al., 2021; Simplicio et al., 2021).</w:t>
      </w:r>
    </w:p>
    <w:p w14:paraId="0793BFA3" w14:textId="77777777" w:rsidR="002665ED" w:rsidRDefault="002665ED" w:rsidP="002665ED">
      <w:pPr>
        <w:pStyle w:val="Prrafocomn"/>
      </w:pPr>
      <w:r>
        <w:t>Students who were religious were less likely to report illicit drug use initiation during the pandemic, suggesting the role of religion on mental and psychological related behaviors. Studies have highlighted that religiosity is protective for mental health, since it provides existential comfort, contribute to increase self-efficacy of faithful, and also strengthens social and community networks that could contribute to sustain health and material means of survival during the pandemic (</w:t>
      </w:r>
      <w:proofErr w:type="spellStart"/>
      <w:r>
        <w:t>Pirutinsky</w:t>
      </w:r>
      <w:proofErr w:type="spellEnd"/>
      <w:r>
        <w:t>, Cherniak &amp; Rosmarin, 2020; Zacher &amp; Rudolph, 2020).</w:t>
      </w:r>
    </w:p>
    <w:p w14:paraId="4A2B77B4" w14:textId="77777777" w:rsidR="002665ED" w:rsidRDefault="002665ED" w:rsidP="002665ED">
      <w:pPr>
        <w:pStyle w:val="Prrafocomn"/>
      </w:pPr>
      <w:r>
        <w:t>The profile of participants, mostly students and self-declared as black and mixed race, can reinforce studies that points out that, due to social and racial inequalities, there is higher incidence and prevalence of psychological symptoms in these subpopulations, thus constituting a more vulnerable groups to mental illness and substance use (Chae et al., 2021; Jones et al., 2022). Noteworthy, social distancing mandates produced economic effects, such as job loss or fear of job loss, increasing insecurity related to guarantee of survival, housing, water, power, and food (</w:t>
      </w:r>
      <w:proofErr w:type="spellStart"/>
      <w:r>
        <w:t>Ayittey</w:t>
      </w:r>
      <w:proofErr w:type="spellEnd"/>
      <w:r>
        <w:t xml:space="preserve"> et al., 2020; Neves et al., 2021). This scenario might </w:t>
      </w:r>
      <w:proofErr w:type="gramStart"/>
      <w:r>
        <w:t>worsening</w:t>
      </w:r>
      <w:proofErr w:type="gramEnd"/>
      <w:r>
        <w:t xml:space="preserve"> psychological symptoms, placing these subpopulations of students and black/mixed race at high-risk situation for psychological suffering and consequently substance use initiation (Berkowitz &amp; Basu, 2021; Neves et al., 2021; </w:t>
      </w:r>
      <w:proofErr w:type="spellStart"/>
      <w:r>
        <w:t>Posel</w:t>
      </w:r>
      <w:proofErr w:type="spellEnd"/>
      <w:r>
        <w:t xml:space="preserve">, </w:t>
      </w:r>
      <w:proofErr w:type="spellStart"/>
      <w:r>
        <w:t>Oyenubi</w:t>
      </w:r>
      <w:proofErr w:type="spellEnd"/>
      <w:r>
        <w:t xml:space="preserve"> &amp; </w:t>
      </w:r>
      <w:proofErr w:type="spellStart"/>
      <w:r>
        <w:t>Kollamparambil</w:t>
      </w:r>
      <w:proofErr w:type="spellEnd"/>
      <w:r>
        <w:t>, 2021; Torres et al., 2021).</w:t>
      </w:r>
    </w:p>
    <w:p w14:paraId="009C03AB" w14:textId="77777777" w:rsidR="002665ED" w:rsidRDefault="002665ED" w:rsidP="002665ED">
      <w:pPr>
        <w:pStyle w:val="Prrafocomn"/>
      </w:pPr>
      <w:r>
        <w:t>The pandemic brought an economic crisis that was experienced by people all over the World. People who lost their jobs or had financial difficulties during the pandemic were more likely to report increased psychoactive substance intake or substance use initiation (Ready &amp; Collings, 2021). This is in line with our findings, reinforcing that financial hardship during the pandemic was associated with drug use initiation. The economic impact of the pandemic involves several dimensions such as changes in the person's lifestyles due to the new financial conditions, stress generated by social isolation and job loss (Charles et al., 2021) leading to use of psychoactive substances as a way to alleviate psychological distress (</w:t>
      </w:r>
      <w:proofErr w:type="spellStart"/>
      <w:r>
        <w:t>Chodkiewicz</w:t>
      </w:r>
      <w:proofErr w:type="spellEnd"/>
      <w:r>
        <w:t xml:space="preserve">, </w:t>
      </w:r>
      <w:proofErr w:type="spellStart"/>
      <w:r>
        <w:t>Talarowska</w:t>
      </w:r>
      <w:proofErr w:type="spellEnd"/>
      <w:r>
        <w:t xml:space="preserve"> &amp; </w:t>
      </w:r>
      <w:proofErr w:type="spellStart"/>
      <w:r>
        <w:t>Miniszewska</w:t>
      </w:r>
      <w:proofErr w:type="spellEnd"/>
      <w:r>
        <w:t>, 2020).</w:t>
      </w:r>
    </w:p>
    <w:p w14:paraId="7C457156" w14:textId="77777777" w:rsidR="002665ED" w:rsidRDefault="002665ED" w:rsidP="002665ED">
      <w:pPr>
        <w:pStyle w:val="Prrafocomn"/>
      </w:pPr>
      <w:r>
        <w:t xml:space="preserve">There was a boost in cases of domestic violence around the world during the COVID-19 pandemic, as social distancing measures forced greater interaction between couples, and conflicts have intensified, often associated with increased consumption of psychoactive drugs (Sacco, Caputo &amp; Ricci, 2020). Nevertheless, the relation between domestic violence and use of </w:t>
      </w:r>
      <w:r>
        <w:lastRenderedPageBreak/>
        <w:t xml:space="preserve">psychoactive drugs is complex. Thus, interpretation of our </w:t>
      </w:r>
      <w:proofErr w:type="gramStart"/>
      <w:r>
        <w:t>data  can</w:t>
      </w:r>
      <w:proofErr w:type="gramEnd"/>
      <w:r>
        <w:t xml:space="preserve"> go further and point out that people exposed to domestic violence not only had highest risk of starting to use psychoactive drugs during the pandemic, but the use of psychoactive drugs can increase the risk of engaging in domestic violence (Sacco et al., 2020). Even we are not able to claim directionality in this study design, psychoactive drug use initiation can be a way to cope with experience of violence in the family’s environment and this phenomenon was historically observed at times when society get through economic crises and recession41, similar to what has been experienced during the COVID-19 pandemic.</w:t>
      </w:r>
    </w:p>
    <w:p w14:paraId="0F19F59E" w14:textId="77777777" w:rsidR="002665ED" w:rsidRDefault="002665ED" w:rsidP="002665ED">
      <w:pPr>
        <w:pStyle w:val="Prrafocomn"/>
      </w:pPr>
      <w:r>
        <w:t xml:space="preserve">Other researchers pointed out that the changes and challenges imposed by the pandemic and from the social distancing mandates were added to other factors, especially the mental health status prior to the pandemic, so that the moment of health emergency further aggravated psychological suffering of university communities, especially for those who already manifested psychological symptoms (Becker et al., 2021; </w:t>
      </w:r>
      <w:proofErr w:type="spellStart"/>
      <w:r>
        <w:t>Brunoni</w:t>
      </w:r>
      <w:proofErr w:type="spellEnd"/>
      <w:r>
        <w:t xml:space="preserve"> et al., 2021; Gomes et al., 2021; Teodoro et al., 2021). Furthermore, diagnostic of mental disorder before the pandemic and poor self-reported emotional status were both associated with substance use initiation during the pandemic in this study. This relationship suggest that people sought psychoactive substances to alleviate emotional suffering, especially the suffering exacerbated by the pandemic (</w:t>
      </w:r>
      <w:proofErr w:type="spellStart"/>
      <w:r>
        <w:t>Chodkiewicz</w:t>
      </w:r>
      <w:proofErr w:type="spellEnd"/>
      <w:r>
        <w:t xml:space="preserve"> et al., 2020; </w:t>
      </w:r>
      <w:proofErr w:type="spellStart"/>
      <w:r>
        <w:t>Abrahao</w:t>
      </w:r>
      <w:proofErr w:type="spellEnd"/>
      <w:r>
        <w:t>, Salinas &amp; Lovinger, 2017), as was pointed out that social isolation had strong influence on the worsening of emotional suffering, symptoms of depression and suicidal ideation (</w:t>
      </w:r>
      <w:proofErr w:type="spellStart"/>
      <w:r>
        <w:t>Khols</w:t>
      </w:r>
      <w:proofErr w:type="spellEnd"/>
      <w:r>
        <w:t xml:space="preserve">, </w:t>
      </w:r>
      <w:proofErr w:type="spellStart"/>
      <w:r>
        <w:t>Baldofski</w:t>
      </w:r>
      <w:proofErr w:type="spellEnd"/>
      <w:r>
        <w:t xml:space="preserve"> &amp; Moller, 2021).</w:t>
      </w:r>
    </w:p>
    <w:p w14:paraId="6925036A" w14:textId="77777777" w:rsidR="002665ED" w:rsidRDefault="002665ED" w:rsidP="002665ED">
      <w:pPr>
        <w:pStyle w:val="Prrafocomn"/>
      </w:pPr>
      <w:r>
        <w:t xml:space="preserve">The study design does not allow claiming for directionality and causation, and since the study was carried out with university communities from a specific region of Brazil and was based in an internet convenience sample, the findings should be viewed with caution. As well, self-reported and ad-hoc measures used in this study are prone to social desirability bias. For example, people who started using substances during the pandemic may have hidden this fact and it may have underestimated the associations. Nonetheless, our findings are similar to that reported in the literature and we reached a large and diverse sample of participants from all four universities, with proportional representativeness of all strata of the university communities, </w:t>
      </w:r>
      <w:proofErr w:type="spellStart"/>
      <w:r>
        <w:t>i.e</w:t>
      </w:r>
      <w:proofErr w:type="spellEnd"/>
      <w:r>
        <w:t>, students, staff and professors.</w:t>
      </w:r>
    </w:p>
    <w:p w14:paraId="13FA8237" w14:textId="4C00EF5F" w:rsidR="007E3B8D" w:rsidRDefault="007E3B8D" w:rsidP="005813E0">
      <w:pPr>
        <w:pStyle w:val="Prrafocomn"/>
      </w:pPr>
      <w:r w:rsidRPr="00E25900">
        <w:br w:type="page"/>
      </w:r>
    </w:p>
    <w:p w14:paraId="5A38B968" w14:textId="310F457A" w:rsidR="002665ED" w:rsidRPr="00E25900" w:rsidRDefault="002665ED" w:rsidP="002665ED">
      <w:pPr>
        <w:pStyle w:val="Ttulosinternos"/>
      </w:pPr>
      <w:r>
        <w:lastRenderedPageBreak/>
        <w:t>Conclusion</w:t>
      </w:r>
    </w:p>
    <w:p w14:paraId="165BA8EB" w14:textId="77777777" w:rsidR="002665ED" w:rsidRDefault="002665ED" w:rsidP="002665ED">
      <w:pPr>
        <w:pStyle w:val="Ttulosinternos"/>
        <w:spacing w:line="360" w:lineRule="auto"/>
        <w:ind w:firstLine="720"/>
        <w:jc w:val="both"/>
        <w:rPr>
          <w:b w:val="0"/>
          <w:lang w:eastAsia="es-ES_tradnl"/>
        </w:rPr>
      </w:pPr>
      <w:r w:rsidRPr="002665ED">
        <w:rPr>
          <w:b w:val="0"/>
          <w:lang w:eastAsia="es-ES_tradnl"/>
        </w:rPr>
        <w:t xml:space="preserve">The present study suggests an impact of the quarantine in starting to use substances. Different individual and social factors were associated with substance use initiation amidst the pandemic, for example, living with friends/roommates, belonging to risk group for CoVID-19 severe illness, being victim of domestic violence during social isolation measures, and facing financial/material hardship during social distancing and previous diagnostic of mental disorders. </w:t>
      </w:r>
      <w:proofErr w:type="gramStart"/>
      <w:r w:rsidRPr="002665ED">
        <w:rPr>
          <w:b w:val="0"/>
          <w:lang w:eastAsia="es-ES_tradnl"/>
        </w:rPr>
        <w:t>This findings</w:t>
      </w:r>
      <w:proofErr w:type="gramEnd"/>
      <w:r w:rsidRPr="002665ED">
        <w:rPr>
          <w:b w:val="0"/>
          <w:lang w:eastAsia="es-ES_tradnl"/>
        </w:rPr>
        <w:t xml:space="preserve"> turns on a light on the psychological impacts of the pandemic and the need of preventive measures and interventions avoiding substance use initiation and protective action specially for young people and those most vulnerable. There </w:t>
      </w:r>
      <w:proofErr w:type="gramStart"/>
      <w:r w:rsidRPr="002665ED">
        <w:rPr>
          <w:b w:val="0"/>
          <w:lang w:eastAsia="es-ES_tradnl"/>
        </w:rPr>
        <w:t>remains</w:t>
      </w:r>
      <w:proofErr w:type="gramEnd"/>
      <w:r w:rsidRPr="002665ED">
        <w:rPr>
          <w:b w:val="0"/>
          <w:lang w:eastAsia="es-ES_tradnl"/>
        </w:rPr>
        <w:t xml:space="preserve"> issues for further study to better understand the relationship between social isolation measures due to public health emergency and substance intake initiation. </w:t>
      </w:r>
    </w:p>
    <w:p w14:paraId="6CD8B4A8" w14:textId="14E0FD21" w:rsidR="006F7E7E" w:rsidRPr="00C175A1" w:rsidRDefault="00CE7D65" w:rsidP="002665ED">
      <w:pPr>
        <w:pStyle w:val="Ttulosinternos"/>
        <w:spacing w:line="360" w:lineRule="auto"/>
        <w:rPr>
          <w:lang w:val="pt-BR"/>
        </w:rPr>
      </w:pPr>
      <w:proofErr w:type="spellStart"/>
      <w:r w:rsidRPr="00C175A1">
        <w:rPr>
          <w:lang w:val="pt-BR"/>
        </w:rPr>
        <w:t>References</w:t>
      </w:r>
      <w:proofErr w:type="spellEnd"/>
    </w:p>
    <w:p w14:paraId="6CD4CC45" w14:textId="77777777" w:rsidR="00C175A1" w:rsidRDefault="00C175A1" w:rsidP="00C175A1">
      <w:pPr>
        <w:pStyle w:val="bibliografia"/>
        <w:spacing w:before="0" w:after="0"/>
        <w:ind w:left="709" w:hanging="709"/>
        <w:jc w:val="left"/>
      </w:pPr>
      <w:r w:rsidRPr="00A62B33">
        <w:t xml:space="preserve">Almeida, T. L de. (2009). </w:t>
      </w:r>
      <w:r w:rsidRPr="00A62B33">
        <w:rPr>
          <w:bCs w:val="0"/>
          <w:i/>
        </w:rPr>
        <w:t>Uma beleza que vem da tristeza de se saber mulher</w:t>
      </w:r>
      <w:r w:rsidRPr="00A62B33">
        <w:rPr>
          <w:i/>
        </w:rPr>
        <w:t xml:space="preserve">: </w:t>
      </w:r>
      <w:r w:rsidRPr="006304F5">
        <w:rPr>
          <w:iCs/>
        </w:rPr>
        <w:t xml:space="preserve">representações sociais do corpo feminino. </w:t>
      </w:r>
      <w:r w:rsidRPr="00A62B33">
        <w:t xml:space="preserve">Dissertação de mestrado. Brasília, DF. </w:t>
      </w:r>
      <w:hyperlink r:id="rId8" w:history="1">
        <w:r w:rsidRPr="00A62B33">
          <w:rPr>
            <w:rStyle w:val="Hyperlink"/>
          </w:rPr>
          <w:t>https://repositorio.unb.br/handle/10482/4697</w:t>
        </w:r>
      </w:hyperlink>
      <w:r w:rsidRPr="00A62B33">
        <w:t xml:space="preserve"> </w:t>
      </w:r>
    </w:p>
    <w:p w14:paraId="3AAD5B4B" w14:textId="77777777" w:rsidR="00C175A1" w:rsidRPr="00F23580" w:rsidRDefault="00C175A1" w:rsidP="00C175A1">
      <w:pPr>
        <w:pStyle w:val="bibliografia"/>
        <w:spacing w:before="0" w:after="0"/>
        <w:ind w:left="709" w:hanging="709"/>
        <w:jc w:val="left"/>
        <w:rPr>
          <w:lang w:val="en-US"/>
        </w:rPr>
      </w:pPr>
      <w:proofErr w:type="spellStart"/>
      <w:r w:rsidRPr="00A62B33">
        <w:rPr>
          <w:lang w:val="en-US"/>
        </w:rPr>
        <w:t>Abrahao</w:t>
      </w:r>
      <w:proofErr w:type="spellEnd"/>
      <w:r w:rsidRPr="00A62B33">
        <w:rPr>
          <w:lang w:val="en-US"/>
        </w:rPr>
        <w:t xml:space="preserve">, K. P., Salinas, A. G., &amp; Lovinger, D. M. (2017). Alcohol and the Brain: Neuronal Molecular Targets, Synapses, and Circuits. </w:t>
      </w:r>
      <w:r w:rsidRPr="00A62B33">
        <w:rPr>
          <w:i/>
          <w:iCs/>
          <w:lang w:val="en-US"/>
        </w:rPr>
        <w:t>Neuron</w:t>
      </w:r>
      <w:r w:rsidRPr="00A62B33">
        <w:rPr>
          <w:lang w:val="en-US"/>
        </w:rPr>
        <w:t xml:space="preserve">, </w:t>
      </w:r>
      <w:r w:rsidRPr="00A62B33">
        <w:rPr>
          <w:i/>
          <w:iCs/>
          <w:lang w:val="en-US"/>
        </w:rPr>
        <w:t>96</w:t>
      </w:r>
      <w:r w:rsidRPr="00A62B33">
        <w:rPr>
          <w:lang w:val="en-US"/>
        </w:rPr>
        <w:t xml:space="preserve">(6), 1223–1238. </w:t>
      </w:r>
      <w:hyperlink r:id="rId9" w:history="1">
        <w:r w:rsidRPr="00A62B33">
          <w:rPr>
            <w:rStyle w:val="Hyperlink"/>
            <w:lang w:val="en-US"/>
          </w:rPr>
          <w:t>https://doi.org/10.1016/j.neuron.2017.10.032</w:t>
        </w:r>
      </w:hyperlink>
      <w:r w:rsidRPr="00A62B33">
        <w:rPr>
          <w:lang w:val="en-US"/>
        </w:rPr>
        <w:t xml:space="preserve"> </w:t>
      </w:r>
    </w:p>
    <w:p w14:paraId="27941933" w14:textId="77777777" w:rsidR="00C175A1" w:rsidRPr="00A62B33" w:rsidRDefault="00C175A1" w:rsidP="00C175A1">
      <w:pPr>
        <w:ind w:left="709" w:hanging="709"/>
        <w:rPr>
          <w:lang w:val="en-US"/>
        </w:rPr>
      </w:pPr>
      <w:proofErr w:type="spellStart"/>
      <w:r w:rsidRPr="00A62B33">
        <w:rPr>
          <w:lang w:val="en-US"/>
        </w:rPr>
        <w:t>Ayittey</w:t>
      </w:r>
      <w:proofErr w:type="spellEnd"/>
      <w:r w:rsidRPr="00A62B33">
        <w:rPr>
          <w:lang w:val="en-US"/>
        </w:rPr>
        <w:t xml:space="preserve">, F., </w:t>
      </w:r>
      <w:proofErr w:type="spellStart"/>
      <w:r w:rsidRPr="00A62B33">
        <w:rPr>
          <w:lang w:val="en-US"/>
        </w:rPr>
        <w:t>Ayittey</w:t>
      </w:r>
      <w:proofErr w:type="spellEnd"/>
      <w:r w:rsidRPr="00A62B33">
        <w:rPr>
          <w:lang w:val="en-US"/>
        </w:rPr>
        <w:t xml:space="preserve"> M. K., </w:t>
      </w:r>
      <w:proofErr w:type="spellStart"/>
      <w:r w:rsidRPr="00A62B33">
        <w:rPr>
          <w:lang w:val="en-US"/>
        </w:rPr>
        <w:t>Chiwero</w:t>
      </w:r>
      <w:proofErr w:type="spellEnd"/>
      <w:r w:rsidRPr="00A62B33">
        <w:rPr>
          <w:lang w:val="en-US"/>
        </w:rPr>
        <w:t xml:space="preserve">, N. B., </w:t>
      </w:r>
      <w:proofErr w:type="spellStart"/>
      <w:proofErr w:type="gramStart"/>
      <w:r w:rsidRPr="00A62B33">
        <w:rPr>
          <w:lang w:val="en-US"/>
        </w:rPr>
        <w:t>Kamasah</w:t>
      </w:r>
      <w:proofErr w:type="spellEnd"/>
      <w:r w:rsidRPr="00A62B33">
        <w:rPr>
          <w:lang w:val="en-US"/>
        </w:rPr>
        <w:t>,  J.</w:t>
      </w:r>
      <w:proofErr w:type="gramEnd"/>
      <w:r w:rsidRPr="00A62B33">
        <w:rPr>
          <w:lang w:val="en-US"/>
        </w:rPr>
        <w:t xml:space="preserve"> S., &amp; </w:t>
      </w:r>
      <w:proofErr w:type="spellStart"/>
      <w:r w:rsidRPr="00A62B33">
        <w:rPr>
          <w:lang w:val="en-US"/>
        </w:rPr>
        <w:t>Dzuvor</w:t>
      </w:r>
      <w:proofErr w:type="spellEnd"/>
      <w:r w:rsidRPr="00A62B33">
        <w:rPr>
          <w:lang w:val="en-US"/>
        </w:rPr>
        <w:t xml:space="preserve">, C. (2020). Economic impacts of Wuhan 2019-nCoV on China and the world. (2020). </w:t>
      </w:r>
      <w:r w:rsidRPr="00A62B33">
        <w:rPr>
          <w:i/>
          <w:iCs/>
          <w:lang w:val="en-US"/>
        </w:rPr>
        <w:t>Journal of medical virology, 92</w:t>
      </w:r>
      <w:r w:rsidRPr="00A62B33">
        <w:rPr>
          <w:lang w:val="en-US"/>
        </w:rPr>
        <w:t xml:space="preserve">(5), 473–475. </w:t>
      </w:r>
      <w:hyperlink r:id="rId10" w:history="1">
        <w:r w:rsidRPr="00A62B33">
          <w:rPr>
            <w:rStyle w:val="Hyperlink"/>
            <w:lang w:val="en-US"/>
          </w:rPr>
          <w:t>https://doi.org/10.1002/jmv.25706</w:t>
        </w:r>
      </w:hyperlink>
      <w:r w:rsidRPr="00A62B33">
        <w:rPr>
          <w:lang w:val="en-US"/>
        </w:rPr>
        <w:t xml:space="preserve"> </w:t>
      </w:r>
    </w:p>
    <w:p w14:paraId="779781E8" w14:textId="77777777" w:rsidR="00C175A1" w:rsidRPr="00A62B33" w:rsidRDefault="00C175A1" w:rsidP="00C175A1">
      <w:pPr>
        <w:ind w:left="709" w:hanging="709"/>
        <w:rPr>
          <w:lang w:val="en-US"/>
        </w:rPr>
      </w:pPr>
      <w:r w:rsidRPr="00A62B33">
        <w:rPr>
          <w:lang w:val="en-US"/>
        </w:rPr>
        <w:t>Babicki M., Piotrowski, P., &amp; Mastalerz-</w:t>
      </w:r>
      <w:proofErr w:type="spellStart"/>
      <w:r w:rsidRPr="00A62B33">
        <w:rPr>
          <w:lang w:val="en-US"/>
        </w:rPr>
        <w:t>Migas</w:t>
      </w:r>
      <w:proofErr w:type="spellEnd"/>
      <w:r w:rsidRPr="00A62B33">
        <w:rPr>
          <w:lang w:val="en-US"/>
        </w:rPr>
        <w:t xml:space="preserve">, A. (2022). Assessment of Insomnia Symptoms, Quality of Life, Daytime Sleepiness, and Psychoactive Substance Use among Polish Students: A Cross-Sectional Online Survey for Years 2016–2021 before and during COVID-19 Pandemic. </w:t>
      </w:r>
      <w:r w:rsidRPr="00A62B33">
        <w:rPr>
          <w:i/>
          <w:iCs/>
          <w:lang w:val="en-US"/>
        </w:rPr>
        <w:t>Journal of Clinical Medicine, 11</w:t>
      </w:r>
      <w:r w:rsidRPr="00A62B33">
        <w:rPr>
          <w:lang w:val="en-US"/>
        </w:rPr>
        <w:t xml:space="preserve">(8), 2106. </w:t>
      </w:r>
      <w:hyperlink r:id="rId11" w:history="1">
        <w:r w:rsidRPr="00A62B33">
          <w:rPr>
            <w:rStyle w:val="Hyperlink"/>
            <w:lang w:val="en-US"/>
          </w:rPr>
          <w:t>https://doi.org/10.3390/jcm11082106</w:t>
        </w:r>
      </w:hyperlink>
      <w:r w:rsidRPr="00A62B33">
        <w:rPr>
          <w:lang w:val="en-US"/>
        </w:rPr>
        <w:t xml:space="preserve"> </w:t>
      </w:r>
    </w:p>
    <w:p w14:paraId="0A5F8CF5" w14:textId="77777777" w:rsidR="00C175A1" w:rsidRPr="00A62B33" w:rsidRDefault="00C175A1" w:rsidP="00C175A1">
      <w:pPr>
        <w:ind w:left="709" w:hanging="709"/>
        <w:rPr>
          <w:lang w:val="en-US"/>
        </w:rPr>
      </w:pPr>
      <w:r w:rsidRPr="00A62B33">
        <w:rPr>
          <w:lang w:val="en-US"/>
        </w:rPr>
        <w:t xml:space="preserve">Banerjee, D., &amp; Rai, M. (2020). Social isolation in COVID-19: The impact of loneliness. </w:t>
      </w:r>
      <w:r w:rsidRPr="00A62B33">
        <w:rPr>
          <w:i/>
          <w:iCs/>
          <w:lang w:val="en-US"/>
        </w:rPr>
        <w:t>International Journal of Social Psychiatry, 66</w:t>
      </w:r>
      <w:r w:rsidRPr="00A62B33">
        <w:rPr>
          <w:lang w:val="en-US"/>
        </w:rPr>
        <w:t xml:space="preserve">(6), 525–527. </w:t>
      </w:r>
      <w:hyperlink r:id="rId12" w:history="1">
        <w:r w:rsidRPr="00A62B33">
          <w:rPr>
            <w:rStyle w:val="Hyperlink"/>
            <w:lang w:val="en-US"/>
          </w:rPr>
          <w:t>https://doi.org/10.1177/0020764020922269</w:t>
        </w:r>
      </w:hyperlink>
      <w:r w:rsidRPr="00A62B33">
        <w:rPr>
          <w:lang w:val="en-US"/>
        </w:rPr>
        <w:t xml:space="preserve"> </w:t>
      </w:r>
    </w:p>
    <w:p w14:paraId="0EAF473B" w14:textId="77777777" w:rsidR="00C175A1" w:rsidRPr="00A62B33" w:rsidRDefault="00C175A1" w:rsidP="00C175A1">
      <w:pPr>
        <w:ind w:left="709" w:hanging="709"/>
        <w:rPr>
          <w:lang w:val="en-US"/>
        </w:rPr>
      </w:pPr>
      <w:r w:rsidRPr="00A62B33">
        <w:rPr>
          <w:lang w:val="en-US"/>
        </w:rPr>
        <w:t xml:space="preserve">Barbosa, C., Cowell, A. J., &amp; Dowd, W. N. (2021). Alcohol Consumption in Response to the COVID-19 Pandemic in the United States. </w:t>
      </w:r>
      <w:r w:rsidRPr="00A62B33">
        <w:rPr>
          <w:i/>
          <w:iCs/>
          <w:lang w:val="en-US"/>
        </w:rPr>
        <w:t>Journal of Addiction Medicine, 15</w:t>
      </w:r>
      <w:r w:rsidRPr="00A62B33">
        <w:rPr>
          <w:lang w:val="en-US"/>
        </w:rPr>
        <w:t xml:space="preserve">(4), 341–344. </w:t>
      </w:r>
      <w:hyperlink r:id="rId13" w:history="1">
        <w:r w:rsidRPr="00A62B33">
          <w:rPr>
            <w:rStyle w:val="Hyperlink"/>
            <w:lang w:val="en-US"/>
          </w:rPr>
          <w:t>https://doi.org.br/10.1097/ADM.0000000000000767</w:t>
        </w:r>
      </w:hyperlink>
      <w:r w:rsidRPr="00A62B33">
        <w:rPr>
          <w:lang w:val="en-US"/>
        </w:rPr>
        <w:t xml:space="preserve"> </w:t>
      </w:r>
    </w:p>
    <w:p w14:paraId="754C6D0F" w14:textId="77777777" w:rsidR="00C175A1" w:rsidRPr="00A62B33" w:rsidRDefault="00C175A1" w:rsidP="00C175A1">
      <w:pPr>
        <w:ind w:left="709" w:hanging="709"/>
        <w:rPr>
          <w:lang w:val="en-US"/>
        </w:rPr>
      </w:pPr>
      <w:r w:rsidRPr="00A62B33">
        <w:rPr>
          <w:lang w:val="en-US"/>
        </w:rPr>
        <w:t xml:space="preserve">Becker, A. S., </w:t>
      </w:r>
      <w:proofErr w:type="spellStart"/>
      <w:r w:rsidRPr="00A62B33">
        <w:rPr>
          <w:lang w:val="en-US"/>
        </w:rPr>
        <w:t>Buesnello</w:t>
      </w:r>
      <w:proofErr w:type="spellEnd"/>
      <w:r w:rsidRPr="00A62B33">
        <w:rPr>
          <w:lang w:val="en-US"/>
        </w:rPr>
        <w:t xml:space="preserve">, C. V., </w:t>
      </w:r>
      <w:proofErr w:type="spellStart"/>
      <w:r w:rsidRPr="00A62B33">
        <w:rPr>
          <w:lang w:val="en-US"/>
        </w:rPr>
        <w:t>Banolas</w:t>
      </w:r>
      <w:proofErr w:type="spellEnd"/>
      <w:r w:rsidRPr="00A62B33">
        <w:rPr>
          <w:lang w:val="en-US"/>
        </w:rPr>
        <w:t xml:space="preserve">, E. L., Avila, G. O., Ely, M. G., Gobbo, M. O., Zeni, M. R., Koff, N. D., &amp; </w:t>
      </w:r>
      <w:proofErr w:type="spellStart"/>
      <w:r w:rsidRPr="00A62B33">
        <w:rPr>
          <w:lang w:val="en-US"/>
        </w:rPr>
        <w:t>Spanemberg</w:t>
      </w:r>
      <w:proofErr w:type="spellEnd"/>
      <w:r w:rsidRPr="00A62B33">
        <w:rPr>
          <w:lang w:val="en-US"/>
        </w:rPr>
        <w:t xml:space="preserve">, L. (2021). The impact on the mental health of university students undergoing remote digital education during social isolation.  </w:t>
      </w:r>
      <w:proofErr w:type="spellStart"/>
      <w:r w:rsidRPr="00C175A1">
        <w:rPr>
          <w:lang w:val="pt-BR"/>
        </w:rPr>
        <w:t>due</w:t>
      </w:r>
      <w:proofErr w:type="spellEnd"/>
      <w:r w:rsidRPr="00C175A1">
        <w:rPr>
          <w:lang w:val="pt-BR"/>
        </w:rPr>
        <w:t xml:space="preserve"> </w:t>
      </w:r>
      <w:proofErr w:type="spellStart"/>
      <w:r w:rsidRPr="00C175A1">
        <w:rPr>
          <w:lang w:val="pt-BR"/>
        </w:rPr>
        <w:t>to</w:t>
      </w:r>
      <w:proofErr w:type="spellEnd"/>
      <w:r w:rsidRPr="00C175A1">
        <w:rPr>
          <w:lang w:val="pt-BR"/>
        </w:rPr>
        <w:t xml:space="preserve"> </w:t>
      </w:r>
      <w:proofErr w:type="spellStart"/>
      <w:r w:rsidRPr="00C175A1">
        <w:rPr>
          <w:lang w:val="pt-BR"/>
        </w:rPr>
        <w:t>the</w:t>
      </w:r>
      <w:proofErr w:type="spellEnd"/>
      <w:r w:rsidRPr="00C175A1">
        <w:rPr>
          <w:lang w:val="pt-BR"/>
        </w:rPr>
        <w:t xml:space="preserve"> COVID-19 </w:t>
      </w:r>
      <w:proofErr w:type="spellStart"/>
      <w:r w:rsidRPr="00C175A1">
        <w:rPr>
          <w:lang w:val="pt-BR"/>
        </w:rPr>
        <w:t>pandemic</w:t>
      </w:r>
      <w:proofErr w:type="spellEnd"/>
      <w:r w:rsidRPr="00C175A1">
        <w:rPr>
          <w:lang w:val="pt-BR"/>
        </w:rPr>
        <w:t xml:space="preserve">: a </w:t>
      </w:r>
      <w:proofErr w:type="spellStart"/>
      <w:r w:rsidRPr="00C175A1">
        <w:rPr>
          <w:lang w:val="pt-BR"/>
        </w:rPr>
        <w:t>systematic</w:t>
      </w:r>
      <w:proofErr w:type="spellEnd"/>
      <w:r w:rsidRPr="00C175A1">
        <w:rPr>
          <w:lang w:val="pt-BR"/>
        </w:rPr>
        <w:t xml:space="preserve"> review. </w:t>
      </w:r>
      <w:r w:rsidRPr="00C175A1">
        <w:rPr>
          <w:i/>
          <w:iCs/>
          <w:lang w:val="pt-BR"/>
        </w:rPr>
        <w:t>Revista da Associação Médica do Rio Grande do Sul, 65</w:t>
      </w:r>
      <w:r w:rsidRPr="00C175A1">
        <w:rPr>
          <w:lang w:val="pt-BR"/>
        </w:rPr>
        <w:t xml:space="preserve">(spe1), 2-11. </w:t>
      </w:r>
      <w:hyperlink r:id="rId14" w:history="1">
        <w:r w:rsidRPr="00A62B33">
          <w:rPr>
            <w:rStyle w:val="Hyperlink"/>
            <w:lang w:val="en-US"/>
          </w:rPr>
          <w:t>https://doi.org/10.1590/0103-11042022E114</w:t>
        </w:r>
      </w:hyperlink>
      <w:r w:rsidRPr="00A62B33">
        <w:rPr>
          <w:lang w:val="en-US"/>
        </w:rPr>
        <w:t xml:space="preserve"> </w:t>
      </w:r>
    </w:p>
    <w:p w14:paraId="1000D55C" w14:textId="77777777" w:rsidR="00C175A1" w:rsidRPr="00A62B33" w:rsidRDefault="00C175A1" w:rsidP="00C175A1">
      <w:pPr>
        <w:ind w:left="709" w:hanging="709"/>
        <w:rPr>
          <w:lang w:val="es-419"/>
        </w:rPr>
      </w:pPr>
      <w:r w:rsidRPr="00A62B33">
        <w:rPr>
          <w:lang w:val="en-US"/>
        </w:rPr>
        <w:lastRenderedPageBreak/>
        <w:t xml:space="preserve">Berkowitz, S. A, &amp; Basu, S. (2021). Unemployment Insurance, Health-Related Social Needs, Health Care Access, and Mental Health During the COVID-19 Pandemic. </w:t>
      </w:r>
      <w:r w:rsidRPr="00A62B33">
        <w:rPr>
          <w:i/>
          <w:iCs/>
          <w:lang w:val="es-419"/>
        </w:rPr>
        <w:t>JAMA International Medicine, 181</w:t>
      </w:r>
      <w:r w:rsidRPr="00A62B33">
        <w:rPr>
          <w:lang w:val="es-419"/>
        </w:rPr>
        <w:t xml:space="preserve">(5), 699-702. </w:t>
      </w:r>
      <w:hyperlink r:id="rId15" w:history="1">
        <w:r w:rsidRPr="00A62B33">
          <w:rPr>
            <w:rStyle w:val="Hyperlink"/>
            <w:lang w:val="es-419"/>
          </w:rPr>
          <w:t>https://doi.org/10.1001/jamainternmed.2020.7048</w:t>
        </w:r>
      </w:hyperlink>
      <w:r w:rsidRPr="00A62B33">
        <w:rPr>
          <w:lang w:val="es-419"/>
        </w:rPr>
        <w:t xml:space="preserve"> </w:t>
      </w:r>
    </w:p>
    <w:p w14:paraId="0B05D61C" w14:textId="77777777" w:rsidR="00C175A1" w:rsidRPr="00A62B33" w:rsidRDefault="00C175A1" w:rsidP="00C175A1">
      <w:pPr>
        <w:ind w:left="709" w:hanging="709"/>
        <w:rPr>
          <w:lang w:val="en-US"/>
        </w:rPr>
      </w:pPr>
      <w:proofErr w:type="spellStart"/>
      <w:r w:rsidRPr="00A62B33">
        <w:rPr>
          <w:lang w:val="es-419"/>
        </w:rPr>
        <w:t>Brunoni</w:t>
      </w:r>
      <w:proofErr w:type="spellEnd"/>
      <w:r w:rsidRPr="00A62B33">
        <w:rPr>
          <w:lang w:val="es-419"/>
        </w:rPr>
        <w:t xml:space="preserve">, A., </w:t>
      </w:r>
      <w:proofErr w:type="spellStart"/>
      <w:r w:rsidRPr="00A62B33">
        <w:rPr>
          <w:lang w:val="es-419"/>
        </w:rPr>
        <w:t>Suen</w:t>
      </w:r>
      <w:proofErr w:type="spellEnd"/>
      <w:r w:rsidRPr="00A62B33">
        <w:rPr>
          <w:lang w:val="es-419"/>
        </w:rPr>
        <w:t xml:space="preserve">, P., </w:t>
      </w:r>
      <w:proofErr w:type="spellStart"/>
      <w:r w:rsidRPr="00A62B33">
        <w:rPr>
          <w:lang w:val="es-419"/>
        </w:rPr>
        <w:t>Bacchi</w:t>
      </w:r>
      <w:proofErr w:type="spellEnd"/>
      <w:r w:rsidRPr="00A62B33">
        <w:rPr>
          <w:lang w:val="es-419"/>
        </w:rPr>
        <w:t xml:space="preserve">, P., et al. </w:t>
      </w:r>
      <w:r w:rsidRPr="00A62B33">
        <w:rPr>
          <w:lang w:val="en-US"/>
        </w:rPr>
        <w:t>(2021). Prevalence and risk factors of psychiatric symptoms and diagnoses before and during the COVID-19 pandemic: Findings from the ELSA-</w:t>
      </w:r>
      <w:proofErr w:type="spellStart"/>
      <w:r w:rsidRPr="00A62B33">
        <w:rPr>
          <w:lang w:val="en-US"/>
        </w:rPr>
        <w:t>Brasil</w:t>
      </w:r>
      <w:proofErr w:type="spellEnd"/>
      <w:r w:rsidRPr="00A62B33">
        <w:rPr>
          <w:lang w:val="en-US"/>
        </w:rPr>
        <w:t xml:space="preserve"> COVID-19 mental health cohort</w:t>
      </w:r>
      <w:r w:rsidRPr="00A62B33">
        <w:rPr>
          <w:i/>
          <w:iCs/>
          <w:lang w:val="en-US"/>
        </w:rPr>
        <w:t xml:space="preserve">. </w:t>
      </w:r>
      <w:proofErr w:type="spellStart"/>
      <w:r w:rsidRPr="00A62B33">
        <w:rPr>
          <w:i/>
          <w:iCs/>
          <w:lang w:val="en-US"/>
        </w:rPr>
        <w:t>Psycholical</w:t>
      </w:r>
      <w:proofErr w:type="spellEnd"/>
      <w:r w:rsidRPr="00A62B33">
        <w:rPr>
          <w:i/>
          <w:iCs/>
          <w:lang w:val="en-US"/>
        </w:rPr>
        <w:t xml:space="preserve"> Medicine,</w:t>
      </w:r>
      <w:r w:rsidRPr="00A62B33">
        <w:rPr>
          <w:lang w:val="en-US"/>
        </w:rPr>
        <w:t xml:space="preserve"> </w:t>
      </w:r>
      <w:r w:rsidRPr="00A62B33">
        <w:rPr>
          <w:i/>
          <w:iCs/>
          <w:lang w:val="en-US"/>
        </w:rPr>
        <w:t>21</w:t>
      </w:r>
      <w:r w:rsidRPr="00A62B33">
        <w:rPr>
          <w:lang w:val="en-US"/>
        </w:rPr>
        <w:t xml:space="preserve">, 1-12. </w:t>
      </w:r>
      <w:hyperlink r:id="rId16" w:history="1">
        <w:r w:rsidRPr="00A62B33">
          <w:rPr>
            <w:rStyle w:val="Hyperlink"/>
            <w:lang w:val="en-US"/>
          </w:rPr>
          <w:t>https://doi.org/10.1017/S0033291721001719</w:t>
        </w:r>
      </w:hyperlink>
      <w:r w:rsidRPr="00A62B33">
        <w:rPr>
          <w:lang w:val="en-US"/>
        </w:rPr>
        <w:t xml:space="preserve">   </w:t>
      </w:r>
    </w:p>
    <w:p w14:paraId="79F39FAC" w14:textId="77777777" w:rsidR="00C175A1" w:rsidRPr="00A62B33" w:rsidRDefault="00C175A1" w:rsidP="00C175A1">
      <w:pPr>
        <w:ind w:left="709" w:hanging="709"/>
        <w:rPr>
          <w:lang w:val="en-US"/>
        </w:rPr>
      </w:pPr>
      <w:proofErr w:type="spellStart"/>
      <w:r w:rsidRPr="00A62B33">
        <w:rPr>
          <w:lang w:val="en-US"/>
        </w:rPr>
        <w:t>Bucerius</w:t>
      </w:r>
      <w:proofErr w:type="spellEnd"/>
      <w:r w:rsidRPr="00A62B33">
        <w:rPr>
          <w:lang w:val="en-US"/>
        </w:rPr>
        <w:t xml:space="preserve">, S. M., Roberts, B.W. R., &amp; Jones, D. J. (2021). The effect of the COVID-19 pandemic on domestic violence and child abuse. </w:t>
      </w:r>
      <w:r w:rsidRPr="00A62B33">
        <w:rPr>
          <w:i/>
          <w:iCs/>
          <w:lang w:val="en-US"/>
        </w:rPr>
        <w:t>Journal of Community Safety &amp; Wellbeing, 6</w:t>
      </w:r>
      <w:r w:rsidRPr="00A62B33">
        <w:rPr>
          <w:lang w:val="en-US"/>
        </w:rPr>
        <w:t xml:space="preserve">(2), 75–79. </w:t>
      </w:r>
      <w:hyperlink r:id="rId17" w:history="1">
        <w:r w:rsidRPr="00A62B33">
          <w:rPr>
            <w:rStyle w:val="Hyperlink"/>
            <w:lang w:val="en-US"/>
          </w:rPr>
          <w:t>https://doi.org/10.35502/jcswb.204</w:t>
        </w:r>
      </w:hyperlink>
      <w:r w:rsidRPr="00A62B33">
        <w:rPr>
          <w:lang w:val="en-US"/>
        </w:rPr>
        <w:t xml:space="preserve"> </w:t>
      </w:r>
    </w:p>
    <w:p w14:paraId="12418FD5" w14:textId="77777777" w:rsidR="00C175A1" w:rsidRPr="00A62B33" w:rsidRDefault="00C175A1" w:rsidP="00C175A1">
      <w:pPr>
        <w:ind w:left="709" w:hanging="709"/>
        <w:rPr>
          <w:lang w:val="en-US"/>
        </w:rPr>
      </w:pPr>
      <w:r w:rsidRPr="00A62B33">
        <w:rPr>
          <w:lang w:val="en-US"/>
        </w:rPr>
        <w:t xml:space="preserve">Campos, B., </w:t>
      </w:r>
      <w:proofErr w:type="spellStart"/>
      <w:r w:rsidRPr="00A62B33">
        <w:rPr>
          <w:lang w:val="en-US"/>
        </w:rPr>
        <w:t>Tchalekian</w:t>
      </w:r>
      <w:proofErr w:type="spellEnd"/>
      <w:r w:rsidRPr="00A62B33">
        <w:rPr>
          <w:lang w:val="en-US"/>
        </w:rPr>
        <w:t xml:space="preserve"> B, &amp; Paiva V. (2020). </w:t>
      </w:r>
      <w:r w:rsidRPr="00C175A1">
        <w:rPr>
          <w:lang w:val="pt-BR"/>
        </w:rPr>
        <w:t xml:space="preserve">Violência contra a mulher: vulnerabilidade programática em tempos de Sars-cov-2/ COVID-19 em São Paulo. </w:t>
      </w:r>
      <w:proofErr w:type="spellStart"/>
      <w:r w:rsidRPr="00A62B33">
        <w:rPr>
          <w:i/>
          <w:iCs/>
          <w:lang w:val="en-US"/>
        </w:rPr>
        <w:t>Psicologia</w:t>
      </w:r>
      <w:proofErr w:type="spellEnd"/>
      <w:r w:rsidRPr="00A62B33">
        <w:rPr>
          <w:i/>
          <w:iCs/>
          <w:lang w:val="en-US"/>
        </w:rPr>
        <w:t xml:space="preserve"> &amp; </w:t>
      </w:r>
      <w:proofErr w:type="spellStart"/>
      <w:r w:rsidRPr="00A62B33">
        <w:rPr>
          <w:i/>
          <w:iCs/>
          <w:lang w:val="en-US"/>
        </w:rPr>
        <w:t>Sociedade</w:t>
      </w:r>
      <w:proofErr w:type="spellEnd"/>
      <w:r w:rsidRPr="00A62B33">
        <w:rPr>
          <w:i/>
          <w:iCs/>
          <w:lang w:val="en-US"/>
        </w:rPr>
        <w:t>, 32</w:t>
      </w:r>
      <w:r w:rsidRPr="00A62B33">
        <w:rPr>
          <w:lang w:val="en-US"/>
        </w:rPr>
        <w:t xml:space="preserve">, e020015. </w:t>
      </w:r>
      <w:hyperlink r:id="rId18" w:history="1">
        <w:r w:rsidRPr="00A62B33">
          <w:rPr>
            <w:rStyle w:val="Hyperlink"/>
            <w:lang w:val="en-US"/>
          </w:rPr>
          <w:t>https://doi.org/10.1590/1807-0310/2020v32240336</w:t>
        </w:r>
      </w:hyperlink>
      <w:r w:rsidRPr="00A62B33">
        <w:rPr>
          <w:lang w:val="en-US"/>
        </w:rPr>
        <w:t xml:space="preserve"> </w:t>
      </w:r>
    </w:p>
    <w:p w14:paraId="7837AC14" w14:textId="77777777" w:rsidR="00C175A1" w:rsidRPr="00C175A1" w:rsidRDefault="00C175A1" w:rsidP="00C175A1">
      <w:pPr>
        <w:ind w:left="709" w:hanging="709"/>
        <w:rPr>
          <w:lang w:val="pt-BR"/>
        </w:rPr>
      </w:pPr>
      <w:r w:rsidRPr="00A62B33">
        <w:rPr>
          <w:lang w:val="en-US"/>
        </w:rPr>
        <w:t xml:space="preserve">Candido, F. J., Souza, R., Stumpf, M. A. et al. (2018). The use of drugs and medical students: a literature review. </w:t>
      </w:r>
      <w:r w:rsidRPr="00C175A1">
        <w:rPr>
          <w:i/>
          <w:iCs/>
          <w:lang w:val="pt-BR"/>
        </w:rPr>
        <w:t>Revista da Associação Médica Brasileira, 64</w:t>
      </w:r>
      <w:r w:rsidRPr="00C175A1">
        <w:rPr>
          <w:lang w:val="pt-BR"/>
        </w:rPr>
        <w:t xml:space="preserve">(5), 462-468. </w:t>
      </w:r>
      <w:hyperlink r:id="rId19" w:history="1">
        <w:r w:rsidRPr="00C175A1">
          <w:rPr>
            <w:rStyle w:val="Hyperlink"/>
            <w:lang w:val="pt-BR"/>
          </w:rPr>
          <w:t>https://doi.org/10.1590/1806-9282.64.05.462</w:t>
        </w:r>
      </w:hyperlink>
      <w:r w:rsidRPr="00C175A1">
        <w:rPr>
          <w:lang w:val="pt-BR"/>
        </w:rPr>
        <w:t xml:space="preserve"> </w:t>
      </w:r>
    </w:p>
    <w:p w14:paraId="0AD162F8" w14:textId="77777777" w:rsidR="00C175A1" w:rsidRPr="00A62B33" w:rsidRDefault="00C175A1" w:rsidP="00C175A1">
      <w:pPr>
        <w:ind w:left="709" w:hanging="709"/>
        <w:rPr>
          <w:lang w:val="en-US"/>
        </w:rPr>
      </w:pPr>
      <w:r w:rsidRPr="00F23580">
        <w:rPr>
          <w:lang w:val="pt-BR"/>
        </w:rPr>
        <w:t xml:space="preserve">Carvalho, P., </w:t>
      </w:r>
      <w:proofErr w:type="spellStart"/>
      <w:r w:rsidRPr="00F23580">
        <w:rPr>
          <w:lang w:val="pt-BR"/>
        </w:rPr>
        <w:t>Hülsdünker</w:t>
      </w:r>
      <w:proofErr w:type="spellEnd"/>
      <w:r w:rsidRPr="00F23580">
        <w:rPr>
          <w:lang w:val="pt-BR"/>
        </w:rPr>
        <w:t xml:space="preserve">, T., &amp; Carson, F. (2022). </w:t>
      </w:r>
      <w:r w:rsidRPr="00A62B33">
        <w:rPr>
          <w:lang w:val="en-US"/>
        </w:rPr>
        <w:t xml:space="preserve">The impact of the COVID-19 lockdown on </w:t>
      </w:r>
      <w:proofErr w:type="spellStart"/>
      <w:r w:rsidRPr="00A62B33">
        <w:rPr>
          <w:lang w:val="en-US"/>
        </w:rPr>
        <w:t>european</w:t>
      </w:r>
      <w:proofErr w:type="spellEnd"/>
      <w:r w:rsidRPr="00A62B33">
        <w:rPr>
          <w:lang w:val="en-US"/>
        </w:rPr>
        <w:t xml:space="preserve"> students' negative emotional symptoms: a systematic review and meta-analysis. </w:t>
      </w:r>
      <w:r w:rsidRPr="00A62B33">
        <w:rPr>
          <w:i/>
          <w:iCs/>
          <w:lang w:val="en-US"/>
        </w:rPr>
        <w:t>Behavioral Sciences (Basel), 12</w:t>
      </w:r>
      <w:r w:rsidRPr="00A62B33">
        <w:rPr>
          <w:lang w:val="en-US"/>
        </w:rPr>
        <w:t xml:space="preserve">(1), 3. </w:t>
      </w:r>
      <w:hyperlink r:id="rId20" w:history="1">
        <w:r w:rsidRPr="00A62B33">
          <w:rPr>
            <w:rStyle w:val="Hyperlink"/>
            <w:lang w:val="en-US"/>
          </w:rPr>
          <w:t>https://doi.org/10.3390/bs12010003</w:t>
        </w:r>
      </w:hyperlink>
      <w:r w:rsidRPr="00A62B33">
        <w:rPr>
          <w:lang w:val="en-US"/>
        </w:rPr>
        <w:t xml:space="preserve"> </w:t>
      </w:r>
    </w:p>
    <w:p w14:paraId="1DCE868F" w14:textId="77777777" w:rsidR="00C175A1" w:rsidRPr="00A62B33" w:rsidRDefault="00C175A1" w:rsidP="00C175A1">
      <w:pPr>
        <w:ind w:left="709" w:hanging="709"/>
        <w:rPr>
          <w:lang w:val="en-US"/>
        </w:rPr>
      </w:pPr>
      <w:r w:rsidRPr="00A62B33">
        <w:rPr>
          <w:lang w:val="en-US"/>
        </w:rPr>
        <w:t xml:space="preserve">Chae, D. H., Yip, T., Martz, C. D., Connor, D., Chung, K., Richeson, J., Hajat, A., Curtis, D., Rogers, L., &amp; LaVeist, T. (2021). Vicarious Racism and Vigilance During the COVID-19 Pandemic: Mental Health Implications Among Asian and Black Americans. </w:t>
      </w:r>
      <w:r w:rsidRPr="00A62B33">
        <w:rPr>
          <w:i/>
          <w:iCs/>
          <w:lang w:val="en-US"/>
        </w:rPr>
        <w:t>Public Health Reports, 136</w:t>
      </w:r>
      <w:r w:rsidRPr="00A62B33">
        <w:rPr>
          <w:lang w:val="en-US"/>
        </w:rPr>
        <w:t xml:space="preserve">(4), 508-517. </w:t>
      </w:r>
      <w:hyperlink r:id="rId21" w:history="1">
        <w:r w:rsidRPr="00A62B33">
          <w:rPr>
            <w:rStyle w:val="Hyperlink"/>
            <w:lang w:val="en-US"/>
          </w:rPr>
          <w:t>https://doi.org/10.1177/00333549211018675</w:t>
        </w:r>
      </w:hyperlink>
      <w:r w:rsidRPr="00A62B33">
        <w:rPr>
          <w:lang w:val="en-US"/>
        </w:rPr>
        <w:t xml:space="preserve"> </w:t>
      </w:r>
    </w:p>
    <w:p w14:paraId="170CD3D9" w14:textId="77777777" w:rsidR="00C175A1" w:rsidRPr="00A62B33" w:rsidRDefault="00C175A1" w:rsidP="00C175A1">
      <w:pPr>
        <w:ind w:left="709" w:hanging="709"/>
        <w:rPr>
          <w:lang w:val="en-US"/>
        </w:rPr>
      </w:pPr>
      <w:r w:rsidRPr="00A62B33">
        <w:rPr>
          <w:lang w:val="en-US"/>
        </w:rPr>
        <w:t xml:space="preserve">Charles, N. E., Strong, S., Burns, L. C., </w:t>
      </w:r>
      <w:proofErr w:type="spellStart"/>
      <w:r w:rsidRPr="00A62B33">
        <w:rPr>
          <w:lang w:val="en-US"/>
        </w:rPr>
        <w:t>Bullerjahn</w:t>
      </w:r>
      <w:proofErr w:type="spellEnd"/>
      <w:r w:rsidRPr="00A62B33">
        <w:rPr>
          <w:lang w:val="en-US"/>
        </w:rPr>
        <w:t xml:space="preserve">, M., &amp; Serafine, K. (2021). Increased mood disorder symptoms, perceived stress, and alcohol use among college students during the COVID-19 pandemic. </w:t>
      </w:r>
      <w:r w:rsidRPr="00A62B33">
        <w:rPr>
          <w:i/>
          <w:iCs/>
          <w:lang w:val="en-US"/>
        </w:rPr>
        <w:t>Psychiatry research</w:t>
      </w:r>
      <w:r w:rsidRPr="00A62B33">
        <w:rPr>
          <w:lang w:val="en-US"/>
        </w:rPr>
        <w:t xml:space="preserve">, 296, 113706. </w:t>
      </w:r>
      <w:hyperlink r:id="rId22" w:history="1">
        <w:r w:rsidRPr="00A62B33">
          <w:rPr>
            <w:rStyle w:val="Hyperlink"/>
            <w:lang w:val="en-US"/>
          </w:rPr>
          <w:t>https://doi.org/10.1016/j.psychres.2021.113706</w:t>
        </w:r>
      </w:hyperlink>
      <w:r w:rsidRPr="00A62B33">
        <w:rPr>
          <w:lang w:val="en-US"/>
        </w:rPr>
        <w:t xml:space="preserve"> </w:t>
      </w:r>
    </w:p>
    <w:p w14:paraId="6227F2A3" w14:textId="77777777" w:rsidR="00C175A1" w:rsidRPr="00A62B33" w:rsidRDefault="00C175A1" w:rsidP="00C175A1">
      <w:pPr>
        <w:ind w:left="709" w:hanging="709"/>
        <w:rPr>
          <w:lang w:val="en-US"/>
        </w:rPr>
      </w:pPr>
      <w:proofErr w:type="spellStart"/>
      <w:r w:rsidRPr="00A62B33">
        <w:rPr>
          <w:lang w:val="en-US"/>
        </w:rPr>
        <w:t>Chodkiewicz</w:t>
      </w:r>
      <w:proofErr w:type="spellEnd"/>
      <w:r w:rsidRPr="00A62B33">
        <w:rPr>
          <w:lang w:val="en-US"/>
        </w:rPr>
        <w:t xml:space="preserve">, J., </w:t>
      </w:r>
      <w:proofErr w:type="spellStart"/>
      <w:r w:rsidRPr="00A62B33">
        <w:rPr>
          <w:lang w:val="en-US"/>
        </w:rPr>
        <w:t>Talarowska</w:t>
      </w:r>
      <w:proofErr w:type="spellEnd"/>
      <w:r w:rsidRPr="00A62B33">
        <w:rPr>
          <w:lang w:val="en-US"/>
        </w:rPr>
        <w:t xml:space="preserve">, M., </w:t>
      </w:r>
      <w:proofErr w:type="spellStart"/>
      <w:r w:rsidRPr="00A62B33">
        <w:rPr>
          <w:lang w:val="en-US"/>
        </w:rPr>
        <w:t>Miniszewska</w:t>
      </w:r>
      <w:proofErr w:type="spellEnd"/>
      <w:r w:rsidRPr="00A62B33">
        <w:rPr>
          <w:lang w:val="en-US"/>
        </w:rPr>
        <w:t xml:space="preserve">, J., Nawrocka, N., &amp; Bilinski, P. (2020). Alcohol consumption reported during the COVID-19 pandemic: The initial stage. </w:t>
      </w:r>
      <w:r w:rsidRPr="00A62B33">
        <w:rPr>
          <w:i/>
          <w:iCs/>
          <w:lang w:val="en-US"/>
        </w:rPr>
        <w:t>International Journal of Environmental Research and Public Health, 17</w:t>
      </w:r>
      <w:r w:rsidRPr="00A62B33">
        <w:rPr>
          <w:lang w:val="en-US"/>
        </w:rPr>
        <w:t xml:space="preserve">(13), 4677. </w:t>
      </w:r>
      <w:hyperlink r:id="rId23" w:history="1">
        <w:r w:rsidRPr="00A62B33">
          <w:rPr>
            <w:rStyle w:val="Hyperlink"/>
            <w:lang w:val="en-US"/>
          </w:rPr>
          <w:t>https://doi.org/10.3390/ijerph1713467</w:t>
        </w:r>
      </w:hyperlink>
      <w:r w:rsidRPr="00A62B33">
        <w:rPr>
          <w:lang w:val="en-US"/>
        </w:rPr>
        <w:t xml:space="preserve"> 7  </w:t>
      </w:r>
    </w:p>
    <w:p w14:paraId="31944A02" w14:textId="77777777" w:rsidR="00C175A1" w:rsidRPr="00C175A1" w:rsidRDefault="00C175A1" w:rsidP="00C175A1">
      <w:pPr>
        <w:ind w:left="709" w:hanging="709"/>
        <w:rPr>
          <w:lang w:val="pt-BR"/>
        </w:rPr>
      </w:pPr>
      <w:r w:rsidRPr="00A62B33">
        <w:rPr>
          <w:lang w:val="en-US"/>
        </w:rPr>
        <w:t>Christoffersen, L. A. N., Mortensen, E. L., Becker, U., Osler, M., Sorensen, H. J., &amp; Flensborg-Madsen, T. (2021). Age at onset and age at treatment of alcohol use disorders: Associations with educational level and intelligence.</w:t>
      </w:r>
      <w:r w:rsidRPr="00A62B33">
        <w:rPr>
          <w:i/>
          <w:iCs/>
          <w:lang w:val="en-US"/>
        </w:rPr>
        <w:t xml:space="preserve"> </w:t>
      </w:r>
      <w:proofErr w:type="spellStart"/>
      <w:r w:rsidRPr="00C175A1">
        <w:rPr>
          <w:i/>
          <w:iCs/>
          <w:lang w:val="pt-BR"/>
        </w:rPr>
        <w:t>Alcohol</w:t>
      </w:r>
      <w:proofErr w:type="spellEnd"/>
      <w:r w:rsidRPr="00C175A1">
        <w:rPr>
          <w:i/>
          <w:iCs/>
          <w:lang w:val="pt-BR"/>
        </w:rPr>
        <w:t>, 95,</w:t>
      </w:r>
      <w:r w:rsidRPr="00C175A1">
        <w:rPr>
          <w:lang w:val="pt-BR"/>
        </w:rPr>
        <w:t xml:space="preserve"> 7-14. </w:t>
      </w:r>
      <w:hyperlink r:id="rId24" w:history="1">
        <w:r w:rsidRPr="00C175A1">
          <w:rPr>
            <w:rStyle w:val="Hyperlink"/>
            <w:lang w:val="pt-BR"/>
          </w:rPr>
          <w:t>https://doi.org/10.1016/j.alcohol.2021.04.005</w:t>
        </w:r>
      </w:hyperlink>
      <w:r w:rsidRPr="00C175A1">
        <w:rPr>
          <w:lang w:val="pt-BR"/>
        </w:rPr>
        <w:t xml:space="preserve"> </w:t>
      </w:r>
    </w:p>
    <w:p w14:paraId="20E7ECB2" w14:textId="77777777" w:rsidR="00C175A1" w:rsidRPr="00C175A1" w:rsidRDefault="00C175A1" w:rsidP="00C175A1">
      <w:pPr>
        <w:ind w:left="709" w:hanging="709"/>
        <w:rPr>
          <w:lang w:val="pt-BR"/>
        </w:rPr>
      </w:pPr>
      <w:proofErr w:type="spellStart"/>
      <w:r w:rsidRPr="00C175A1">
        <w:rPr>
          <w:lang w:val="pt-BR"/>
        </w:rPr>
        <w:t>Demenech</w:t>
      </w:r>
      <w:proofErr w:type="spellEnd"/>
      <w:r w:rsidRPr="00C175A1">
        <w:rPr>
          <w:lang w:val="pt-BR"/>
        </w:rPr>
        <w:t xml:space="preserve">, L. M., </w:t>
      </w:r>
      <w:proofErr w:type="spellStart"/>
      <w:r w:rsidRPr="00C175A1">
        <w:rPr>
          <w:lang w:val="pt-BR"/>
        </w:rPr>
        <w:t>Dumith</w:t>
      </w:r>
      <w:proofErr w:type="spellEnd"/>
      <w:r w:rsidRPr="00C175A1">
        <w:rPr>
          <w:lang w:val="pt-BR"/>
        </w:rPr>
        <w:t xml:space="preserve">, S. C., Paludo, S. S., &amp; Neiva-Silva, L. (2019). </w:t>
      </w:r>
      <w:r w:rsidRPr="00A62B33">
        <w:rPr>
          <w:lang w:val="en-US"/>
        </w:rPr>
        <w:t xml:space="preserve">Academic migration and marijuana use among undergraduate students: evidences from a sample in southern Brazil. </w:t>
      </w:r>
      <w:r w:rsidRPr="00C175A1">
        <w:rPr>
          <w:i/>
          <w:iCs/>
          <w:lang w:val="pt-BR"/>
        </w:rPr>
        <w:t>Ciência &amp; Saúde Coletiva, 24</w:t>
      </w:r>
      <w:r w:rsidRPr="00C175A1">
        <w:rPr>
          <w:lang w:val="pt-BR"/>
        </w:rPr>
        <w:t xml:space="preserve">(8), 3107-3116. </w:t>
      </w:r>
      <w:hyperlink r:id="rId25" w:history="1">
        <w:r w:rsidRPr="00C175A1">
          <w:rPr>
            <w:rStyle w:val="Hyperlink"/>
            <w:lang w:val="pt-BR"/>
          </w:rPr>
          <w:t>https://doi.org/10.1590/1413-81232018248.27292017</w:t>
        </w:r>
      </w:hyperlink>
      <w:r w:rsidRPr="00C175A1">
        <w:rPr>
          <w:lang w:val="pt-BR"/>
        </w:rPr>
        <w:t xml:space="preserve"> </w:t>
      </w:r>
    </w:p>
    <w:p w14:paraId="7C702474" w14:textId="77777777" w:rsidR="00C175A1" w:rsidRPr="00A62B33" w:rsidRDefault="00C175A1" w:rsidP="00C175A1">
      <w:pPr>
        <w:ind w:left="709" w:hanging="709"/>
        <w:rPr>
          <w:lang w:val="en-US"/>
        </w:rPr>
      </w:pPr>
      <w:proofErr w:type="spellStart"/>
      <w:r w:rsidRPr="00C175A1">
        <w:rPr>
          <w:lang w:val="pt-BR"/>
        </w:rPr>
        <w:t>Farhoudian</w:t>
      </w:r>
      <w:proofErr w:type="spellEnd"/>
      <w:r w:rsidRPr="00C175A1">
        <w:rPr>
          <w:lang w:val="pt-BR"/>
        </w:rPr>
        <w:t xml:space="preserve">, A., </w:t>
      </w:r>
      <w:proofErr w:type="spellStart"/>
      <w:r w:rsidRPr="00C175A1">
        <w:rPr>
          <w:lang w:val="pt-BR"/>
        </w:rPr>
        <w:t>Radfar</w:t>
      </w:r>
      <w:proofErr w:type="spellEnd"/>
      <w:r w:rsidRPr="00C175A1">
        <w:rPr>
          <w:lang w:val="pt-BR"/>
        </w:rPr>
        <w:t xml:space="preserve">, S. R., </w:t>
      </w:r>
      <w:proofErr w:type="spellStart"/>
      <w:r w:rsidRPr="00C175A1">
        <w:rPr>
          <w:lang w:val="pt-BR"/>
        </w:rPr>
        <w:t>Ardabili</w:t>
      </w:r>
      <w:proofErr w:type="spellEnd"/>
      <w:r w:rsidRPr="00C175A1">
        <w:rPr>
          <w:lang w:val="pt-BR"/>
        </w:rPr>
        <w:t xml:space="preserve">, H. M. et al. </w:t>
      </w:r>
      <w:r w:rsidRPr="00F23580">
        <w:rPr>
          <w:lang w:val="en-US"/>
        </w:rPr>
        <w:t xml:space="preserve">(2021). </w:t>
      </w:r>
      <w:r w:rsidRPr="00A62B33">
        <w:rPr>
          <w:lang w:val="en-US"/>
        </w:rPr>
        <w:t xml:space="preserve">A global survey on changes in the supply, price, and use of illicit drugs and alcohol, and related complications during the 2020 COVID-19 pandemic. </w:t>
      </w:r>
      <w:r w:rsidRPr="00A62B33">
        <w:rPr>
          <w:i/>
          <w:iCs/>
          <w:lang w:val="en-US"/>
        </w:rPr>
        <w:t>Frontiers in Psychiatry, 12</w:t>
      </w:r>
      <w:r w:rsidRPr="00A62B33">
        <w:rPr>
          <w:lang w:val="en-US"/>
        </w:rPr>
        <w:t xml:space="preserve">, 646206. </w:t>
      </w:r>
      <w:hyperlink r:id="rId26" w:history="1">
        <w:r w:rsidRPr="00A62B33">
          <w:rPr>
            <w:rStyle w:val="Hyperlink"/>
            <w:lang w:val="en-US"/>
          </w:rPr>
          <w:t>https://doi.org/10.3389/fpsyt.2021.646206</w:t>
        </w:r>
      </w:hyperlink>
      <w:r w:rsidRPr="00A62B33">
        <w:rPr>
          <w:lang w:val="en-US"/>
        </w:rPr>
        <w:t xml:space="preserve"> </w:t>
      </w:r>
    </w:p>
    <w:p w14:paraId="75337464" w14:textId="77777777" w:rsidR="00C175A1" w:rsidRPr="00A62B33" w:rsidRDefault="00C175A1" w:rsidP="00C175A1">
      <w:pPr>
        <w:ind w:left="709" w:hanging="709"/>
        <w:rPr>
          <w:lang w:val="es-419"/>
        </w:rPr>
      </w:pPr>
      <w:r w:rsidRPr="00A62B33">
        <w:rPr>
          <w:lang w:val="en-US"/>
        </w:rPr>
        <w:lastRenderedPageBreak/>
        <w:t xml:space="preserve">Fontes, B. A., Jacinto, P. B. S., &amp; Rocha, R. V. S. (2022). Consumption of benzodiazepine anxiolytics during the COVID-19 pandemic: a remote study with university students. </w:t>
      </w:r>
      <w:proofErr w:type="spellStart"/>
      <w:r w:rsidRPr="00A62B33">
        <w:rPr>
          <w:i/>
          <w:iCs/>
          <w:lang w:val="es-419"/>
        </w:rPr>
        <w:t>Sapienza</w:t>
      </w:r>
      <w:proofErr w:type="spellEnd"/>
      <w:r w:rsidRPr="00A62B33">
        <w:rPr>
          <w:i/>
          <w:iCs/>
          <w:lang w:val="es-419"/>
        </w:rPr>
        <w:t>, 3</w:t>
      </w:r>
      <w:r w:rsidRPr="00A62B33">
        <w:rPr>
          <w:lang w:val="es-419"/>
        </w:rPr>
        <w:t xml:space="preserve">(1), 34–44. </w:t>
      </w:r>
      <w:hyperlink r:id="rId27" w:history="1">
        <w:r w:rsidRPr="00A62B33">
          <w:rPr>
            <w:rStyle w:val="Hyperlink"/>
            <w:lang w:val="es-419"/>
          </w:rPr>
          <w:t>https://doi.org/10.51798/sijis.v3i1.203</w:t>
        </w:r>
      </w:hyperlink>
      <w:r w:rsidRPr="00A62B33">
        <w:rPr>
          <w:lang w:val="es-419"/>
        </w:rPr>
        <w:t xml:space="preserve"> </w:t>
      </w:r>
    </w:p>
    <w:p w14:paraId="52052314" w14:textId="77777777" w:rsidR="00C175A1" w:rsidRPr="00C175A1" w:rsidRDefault="00C175A1" w:rsidP="00C175A1">
      <w:pPr>
        <w:ind w:left="709" w:hanging="709"/>
        <w:rPr>
          <w:lang w:val="pt-BR"/>
        </w:rPr>
      </w:pPr>
      <w:r w:rsidRPr="00A62B33">
        <w:rPr>
          <w:lang w:val="es-419"/>
        </w:rPr>
        <w:t xml:space="preserve">Galea, S., Merchant, R. M., &amp; Lurie, N. (2020). </w:t>
      </w:r>
      <w:r w:rsidRPr="00A62B33">
        <w:rPr>
          <w:lang w:val="en-US"/>
        </w:rPr>
        <w:t xml:space="preserve">The Mental Health Consequences of COVID-19 and Physical Distancing: The Need for Prevention and Early Intervention. </w:t>
      </w:r>
      <w:r w:rsidRPr="00C175A1">
        <w:rPr>
          <w:i/>
          <w:iCs/>
          <w:lang w:val="pt-BR"/>
        </w:rPr>
        <w:t xml:space="preserve">JAMA </w:t>
      </w:r>
      <w:proofErr w:type="spellStart"/>
      <w:r w:rsidRPr="00C175A1">
        <w:rPr>
          <w:i/>
          <w:iCs/>
          <w:lang w:val="pt-BR"/>
        </w:rPr>
        <w:t>International</w:t>
      </w:r>
      <w:proofErr w:type="spellEnd"/>
      <w:r w:rsidRPr="00C175A1">
        <w:rPr>
          <w:i/>
          <w:iCs/>
          <w:lang w:val="pt-BR"/>
        </w:rPr>
        <w:t xml:space="preserve"> Medicine, 180</w:t>
      </w:r>
      <w:r w:rsidRPr="00C175A1">
        <w:rPr>
          <w:lang w:val="pt-BR"/>
        </w:rPr>
        <w:t xml:space="preserve">(6), 817–818. </w:t>
      </w:r>
      <w:hyperlink r:id="rId28" w:history="1">
        <w:r w:rsidRPr="00C175A1">
          <w:rPr>
            <w:rStyle w:val="Hyperlink"/>
            <w:lang w:val="pt-BR"/>
          </w:rPr>
          <w:t>https://doi.org/10.1001/jamainternmed.2020.1562</w:t>
        </w:r>
      </w:hyperlink>
      <w:r w:rsidRPr="00C175A1">
        <w:rPr>
          <w:lang w:val="pt-BR"/>
        </w:rPr>
        <w:t xml:space="preserve"> </w:t>
      </w:r>
    </w:p>
    <w:p w14:paraId="2A1F8EC2" w14:textId="77777777" w:rsidR="00C175A1" w:rsidRPr="00A62B33" w:rsidRDefault="00C175A1" w:rsidP="00C175A1">
      <w:pPr>
        <w:ind w:left="709" w:hanging="709"/>
      </w:pPr>
      <w:r w:rsidRPr="00C175A1">
        <w:rPr>
          <w:lang w:val="pt-BR"/>
        </w:rPr>
        <w:t xml:space="preserve">Gomes, N. P., Carvalho, M. R. S., Silva, A. F., Moita, C. E. M., Santos, J. R., Couto, T. M., Carvalho, R. C., Almeida, L. C. (2021).  </w:t>
      </w:r>
      <w:r w:rsidRPr="00A62B33">
        <w:rPr>
          <w:lang w:val="en-US"/>
        </w:rPr>
        <w:t xml:space="preserve">Mental health of university professors in times of COVID-19. </w:t>
      </w:r>
      <w:r w:rsidRPr="00A62B33">
        <w:rPr>
          <w:i/>
          <w:iCs/>
          <w:lang w:val="en-US"/>
        </w:rPr>
        <w:t xml:space="preserve">Saude &amp; </w:t>
      </w:r>
      <w:proofErr w:type="spellStart"/>
      <w:r w:rsidRPr="00A62B33">
        <w:rPr>
          <w:i/>
          <w:iCs/>
          <w:lang w:val="en-US"/>
        </w:rPr>
        <w:t>Sociedade</w:t>
      </w:r>
      <w:proofErr w:type="spellEnd"/>
      <w:r w:rsidRPr="00A62B33">
        <w:rPr>
          <w:i/>
          <w:iCs/>
          <w:lang w:val="en-US"/>
        </w:rPr>
        <w:t>, 30</w:t>
      </w:r>
      <w:r w:rsidRPr="00A62B33">
        <w:rPr>
          <w:lang w:val="en-US"/>
        </w:rPr>
        <w:t xml:space="preserve">(2), e200605. </w:t>
      </w:r>
      <w:hyperlink r:id="rId29" w:history="1">
        <w:r w:rsidRPr="00A62B33">
          <w:rPr>
            <w:rStyle w:val="Hyperlink"/>
          </w:rPr>
          <w:t>https://doi.org/10.1590/s0104-12902021200605</w:t>
        </w:r>
      </w:hyperlink>
      <w:r w:rsidRPr="00A62B33">
        <w:t xml:space="preserve"> </w:t>
      </w:r>
    </w:p>
    <w:p w14:paraId="17B46FD0" w14:textId="77777777" w:rsidR="00C175A1" w:rsidRPr="00A62B33" w:rsidRDefault="00C175A1" w:rsidP="00C175A1">
      <w:pPr>
        <w:ind w:left="709" w:hanging="709"/>
        <w:rPr>
          <w:lang w:val="en-US"/>
        </w:rPr>
      </w:pPr>
      <w:proofErr w:type="spellStart"/>
      <w:r w:rsidRPr="00A62B33">
        <w:t>Jodczyk</w:t>
      </w:r>
      <w:proofErr w:type="spellEnd"/>
      <w:r w:rsidRPr="00A62B33">
        <w:t xml:space="preserve">, A. M., </w:t>
      </w:r>
      <w:proofErr w:type="spellStart"/>
      <w:r w:rsidRPr="00A62B33">
        <w:t>Kasiak</w:t>
      </w:r>
      <w:proofErr w:type="spellEnd"/>
      <w:r w:rsidRPr="00A62B33">
        <w:t xml:space="preserve">, P. S., </w:t>
      </w:r>
      <w:proofErr w:type="spellStart"/>
      <w:r w:rsidRPr="00A62B33">
        <w:t>Adamczyk</w:t>
      </w:r>
      <w:proofErr w:type="spellEnd"/>
      <w:r w:rsidRPr="00A62B33">
        <w:t xml:space="preserve">, N., </w:t>
      </w:r>
      <w:proofErr w:type="spellStart"/>
      <w:r w:rsidRPr="00A62B33">
        <w:t>Gębarowska</w:t>
      </w:r>
      <w:proofErr w:type="spellEnd"/>
      <w:r w:rsidRPr="00A62B33">
        <w:t xml:space="preserve">, J., </w:t>
      </w:r>
      <w:proofErr w:type="spellStart"/>
      <w:r w:rsidRPr="00A62B33">
        <w:t>Sikora</w:t>
      </w:r>
      <w:proofErr w:type="spellEnd"/>
      <w:r w:rsidRPr="00A62B33">
        <w:t xml:space="preserve">, Z., </w:t>
      </w:r>
      <w:proofErr w:type="spellStart"/>
      <w:r w:rsidRPr="00A62B33">
        <w:t>Gruba</w:t>
      </w:r>
      <w:proofErr w:type="spellEnd"/>
      <w:r w:rsidRPr="00A62B33">
        <w:t xml:space="preserve">, G., </w:t>
      </w:r>
      <w:proofErr w:type="spellStart"/>
      <w:r w:rsidRPr="00A62B33">
        <w:t>Mamcarz</w:t>
      </w:r>
      <w:proofErr w:type="spellEnd"/>
      <w:r w:rsidRPr="00A62B33">
        <w:t xml:space="preserve">, A., </w:t>
      </w:r>
      <w:proofErr w:type="spellStart"/>
      <w:r w:rsidRPr="00A62B33">
        <w:t>Śliż</w:t>
      </w:r>
      <w:proofErr w:type="spellEnd"/>
      <w:r w:rsidRPr="00A62B33">
        <w:t xml:space="preserve">, D. (2022). </w:t>
      </w:r>
      <w:proofErr w:type="spellStart"/>
      <w:r w:rsidRPr="00A62B33">
        <w:rPr>
          <w:lang w:val="en-US"/>
        </w:rPr>
        <w:t>PaLS</w:t>
      </w:r>
      <w:proofErr w:type="spellEnd"/>
      <w:r w:rsidRPr="00A62B33">
        <w:rPr>
          <w:lang w:val="en-US"/>
        </w:rPr>
        <w:t xml:space="preserve"> Study: Tobacco, Alcohol and Drugs Usage among Polish University Students in the Context of Stress Caused by the COVID-19 pandemic. </w:t>
      </w:r>
      <w:r w:rsidRPr="00A62B33">
        <w:rPr>
          <w:i/>
          <w:iCs/>
          <w:lang w:val="en-US"/>
        </w:rPr>
        <w:t>International Journal of Environmental Research and Public Health, 19</w:t>
      </w:r>
      <w:r w:rsidRPr="00A62B33">
        <w:rPr>
          <w:lang w:val="en-US"/>
        </w:rPr>
        <w:t xml:space="preserve">(3), 1261. </w:t>
      </w:r>
      <w:hyperlink r:id="rId30" w:history="1">
        <w:r w:rsidRPr="00A62B33">
          <w:rPr>
            <w:rStyle w:val="Hyperlink"/>
            <w:lang w:val="en-US"/>
          </w:rPr>
          <w:t>https://doi.org/10.3390/ijerph19031261</w:t>
        </w:r>
      </w:hyperlink>
      <w:r w:rsidRPr="00A62B33">
        <w:rPr>
          <w:lang w:val="en-US"/>
        </w:rPr>
        <w:t xml:space="preserve"> </w:t>
      </w:r>
    </w:p>
    <w:p w14:paraId="00322F0C" w14:textId="77777777" w:rsidR="00C175A1" w:rsidRPr="00A62B33" w:rsidRDefault="00C175A1" w:rsidP="00C175A1">
      <w:pPr>
        <w:ind w:left="709" w:hanging="709"/>
        <w:rPr>
          <w:lang w:val="en-US"/>
        </w:rPr>
      </w:pPr>
      <w:r w:rsidRPr="00A62B33">
        <w:rPr>
          <w:lang w:val="es-419"/>
        </w:rPr>
        <w:t xml:space="preserve">Jones, S. E., </w:t>
      </w:r>
      <w:proofErr w:type="spellStart"/>
      <w:r w:rsidRPr="00A62B33">
        <w:rPr>
          <w:lang w:val="es-419"/>
        </w:rPr>
        <w:t>Ethier</w:t>
      </w:r>
      <w:proofErr w:type="spellEnd"/>
      <w:r w:rsidRPr="00A62B33">
        <w:rPr>
          <w:lang w:val="es-419"/>
        </w:rPr>
        <w:t xml:space="preserve">, K. A., Hertz, M., et al. </w:t>
      </w:r>
      <w:r w:rsidRPr="00A62B33">
        <w:rPr>
          <w:lang w:val="en-US"/>
        </w:rPr>
        <w:t xml:space="preserve">(2022). Mental Health, Suicidality, and Connectedness Among High School Students During the COVID-19 Pandemic - Adolescent Behaviors and Experiences Survey, United States, January-June 2021. </w:t>
      </w:r>
      <w:r w:rsidRPr="00A62B33">
        <w:rPr>
          <w:i/>
          <w:iCs/>
          <w:lang w:val="en-US"/>
        </w:rPr>
        <w:t>Morbidity and Mortality Weekly Report (MMWR), 71</w:t>
      </w:r>
      <w:r w:rsidRPr="00A62B33">
        <w:rPr>
          <w:lang w:val="en-US"/>
        </w:rPr>
        <w:t xml:space="preserve">(3), 16-21. </w:t>
      </w:r>
    </w:p>
    <w:p w14:paraId="2043807B" w14:textId="77777777" w:rsidR="00C175A1" w:rsidRPr="00A62B33" w:rsidRDefault="00C175A1" w:rsidP="00C175A1">
      <w:pPr>
        <w:ind w:left="709" w:hanging="709"/>
        <w:rPr>
          <w:lang w:val="en-US"/>
        </w:rPr>
      </w:pPr>
      <w:proofErr w:type="spellStart"/>
      <w:r w:rsidRPr="00A62B33">
        <w:rPr>
          <w:lang w:val="en-US"/>
        </w:rPr>
        <w:t>Kathirvela</w:t>
      </w:r>
      <w:proofErr w:type="spellEnd"/>
      <w:r w:rsidRPr="00A62B33">
        <w:rPr>
          <w:lang w:val="en-US"/>
        </w:rPr>
        <w:t xml:space="preserve">, N. (2020). Post COVID-19 pandemic mental health challenges. </w:t>
      </w:r>
      <w:r w:rsidRPr="00A62B33">
        <w:rPr>
          <w:i/>
          <w:iCs/>
          <w:lang w:val="en-US"/>
        </w:rPr>
        <w:t>Asian Journal of Psychiatry,</w:t>
      </w:r>
      <w:r w:rsidRPr="00A62B33">
        <w:rPr>
          <w:lang w:val="en-US"/>
        </w:rPr>
        <w:t xml:space="preserve"> </w:t>
      </w:r>
      <w:r w:rsidRPr="00A62B33">
        <w:rPr>
          <w:i/>
          <w:iCs/>
          <w:lang w:val="en-US"/>
        </w:rPr>
        <w:t>53</w:t>
      </w:r>
      <w:r w:rsidRPr="00A62B33">
        <w:rPr>
          <w:lang w:val="en-US"/>
        </w:rPr>
        <w:t xml:space="preserve">:102430. </w:t>
      </w:r>
      <w:hyperlink r:id="rId31" w:history="1">
        <w:r w:rsidRPr="00A62B33">
          <w:rPr>
            <w:rStyle w:val="Hyperlink"/>
            <w:lang w:val="en-US"/>
          </w:rPr>
          <w:t>https://doi.org/10.1016/j.ajp.2020.102430</w:t>
        </w:r>
      </w:hyperlink>
      <w:r w:rsidRPr="00A62B33">
        <w:rPr>
          <w:lang w:val="en-US"/>
        </w:rPr>
        <w:t xml:space="preserve"> </w:t>
      </w:r>
    </w:p>
    <w:p w14:paraId="58A4AD19" w14:textId="77777777" w:rsidR="00C175A1" w:rsidRPr="00A62B33" w:rsidRDefault="00C175A1" w:rsidP="00C175A1">
      <w:pPr>
        <w:ind w:left="709" w:hanging="709"/>
        <w:rPr>
          <w:lang w:val="en-US"/>
        </w:rPr>
      </w:pPr>
      <w:r w:rsidRPr="00A62B33">
        <w:rPr>
          <w:lang w:val="en-US"/>
        </w:rPr>
        <w:t xml:space="preserve">Kohls, E., </w:t>
      </w:r>
      <w:proofErr w:type="spellStart"/>
      <w:r w:rsidRPr="00A62B33">
        <w:rPr>
          <w:lang w:val="en-US"/>
        </w:rPr>
        <w:t>Baldofski</w:t>
      </w:r>
      <w:proofErr w:type="spellEnd"/>
      <w:r w:rsidRPr="00A62B33">
        <w:rPr>
          <w:lang w:val="en-US"/>
        </w:rPr>
        <w:t xml:space="preserve">, S., &amp; Moeller, R. (2021). Mental Health, Social and Emotional Well-Being, and Perceived Burdens of University Students During COVID-19 Pandemic Lockdown in Germany. </w:t>
      </w:r>
      <w:r w:rsidRPr="00A62B33">
        <w:rPr>
          <w:i/>
          <w:iCs/>
          <w:lang w:val="en-US"/>
        </w:rPr>
        <w:t>Frontiers of Psychiatry, 12,</w:t>
      </w:r>
      <w:r w:rsidRPr="00A62B33">
        <w:rPr>
          <w:lang w:val="en-US"/>
        </w:rPr>
        <w:t xml:space="preserve"> 643957. </w:t>
      </w:r>
      <w:hyperlink r:id="rId32" w:history="1">
        <w:r w:rsidRPr="00A62B33">
          <w:rPr>
            <w:rStyle w:val="Hyperlink"/>
            <w:lang w:val="en-US"/>
          </w:rPr>
          <w:t>https://doi.org/10.3389/fpsyt.2021.643957</w:t>
        </w:r>
      </w:hyperlink>
      <w:r w:rsidRPr="00A62B33">
        <w:rPr>
          <w:lang w:val="en-US"/>
        </w:rPr>
        <w:t xml:space="preserve"> </w:t>
      </w:r>
    </w:p>
    <w:p w14:paraId="40918C12" w14:textId="77777777" w:rsidR="00C175A1" w:rsidRPr="00A62B33" w:rsidRDefault="00C175A1" w:rsidP="00C175A1">
      <w:pPr>
        <w:ind w:left="709" w:hanging="709"/>
        <w:rPr>
          <w:lang w:val="en-US"/>
        </w:rPr>
      </w:pPr>
      <w:r w:rsidRPr="00A62B33">
        <w:rPr>
          <w:lang w:val="en-US"/>
        </w:rPr>
        <w:t xml:space="preserve">Lechner, W. V., Laurene, K. R., Patel, S., Anderson, M., Grega, C., &amp; Kenne, D. R. (2020). Changes in alcohol use as a function of psychological distress and social support following COVID-19 related University closings. </w:t>
      </w:r>
      <w:r w:rsidRPr="00A62B33">
        <w:rPr>
          <w:i/>
          <w:iCs/>
          <w:lang w:val="en-US"/>
        </w:rPr>
        <w:t>Addictive Behaviors, 110,</w:t>
      </w:r>
      <w:r w:rsidRPr="00A62B33">
        <w:rPr>
          <w:lang w:val="en-US"/>
        </w:rPr>
        <w:t xml:space="preserve"> 106527. </w:t>
      </w:r>
      <w:hyperlink r:id="rId33" w:history="1">
        <w:r w:rsidRPr="00A62B33">
          <w:rPr>
            <w:rStyle w:val="Hyperlink"/>
            <w:lang w:val="en-US"/>
          </w:rPr>
          <w:t>https://doi.org/10.1016/j.addbeh.2020.106527</w:t>
        </w:r>
      </w:hyperlink>
      <w:r w:rsidRPr="00A62B33">
        <w:rPr>
          <w:lang w:val="en-US"/>
        </w:rPr>
        <w:t xml:space="preserve"> </w:t>
      </w:r>
    </w:p>
    <w:p w14:paraId="2AB76F46" w14:textId="77777777" w:rsidR="00C175A1" w:rsidRPr="00A62B33" w:rsidRDefault="00C175A1" w:rsidP="00C175A1">
      <w:pPr>
        <w:ind w:left="709" w:hanging="709"/>
        <w:rPr>
          <w:lang w:val="en-US"/>
        </w:rPr>
      </w:pPr>
      <w:r w:rsidRPr="00A62B33">
        <w:rPr>
          <w:lang w:val="en-US"/>
        </w:rPr>
        <w:t xml:space="preserve">Liyanage, S, Saqib, K., Khan, A. F., </w:t>
      </w:r>
      <w:proofErr w:type="spellStart"/>
      <w:r w:rsidRPr="00A62B33">
        <w:rPr>
          <w:lang w:val="en-US"/>
        </w:rPr>
        <w:t>Thobani</w:t>
      </w:r>
      <w:proofErr w:type="spellEnd"/>
      <w:r w:rsidRPr="00A62B33">
        <w:rPr>
          <w:lang w:val="en-US"/>
        </w:rPr>
        <w:t xml:space="preserve">, T. R., Tang, W. C., </w:t>
      </w:r>
      <w:proofErr w:type="spellStart"/>
      <w:r w:rsidRPr="00A62B33">
        <w:rPr>
          <w:lang w:val="en-US"/>
        </w:rPr>
        <w:t>Chiarot</w:t>
      </w:r>
      <w:proofErr w:type="spellEnd"/>
      <w:r w:rsidRPr="00A62B33">
        <w:rPr>
          <w:lang w:val="en-US"/>
        </w:rPr>
        <w:t xml:space="preserve">, C. B., </w:t>
      </w:r>
      <w:proofErr w:type="spellStart"/>
      <w:r w:rsidRPr="00A62B33">
        <w:rPr>
          <w:lang w:val="en-US"/>
        </w:rPr>
        <w:t>AlShurman</w:t>
      </w:r>
      <w:proofErr w:type="spellEnd"/>
      <w:r w:rsidRPr="00A62B33">
        <w:rPr>
          <w:lang w:val="en-US"/>
        </w:rPr>
        <w:t xml:space="preserve">, B. A., &amp; Butt, Z. A. (2022). Prevalence of Anxiety in University Students during the COVID-19 pandemic: a systematic review. </w:t>
      </w:r>
      <w:r w:rsidRPr="00A62B33">
        <w:rPr>
          <w:i/>
          <w:iCs/>
          <w:lang w:val="en-US"/>
        </w:rPr>
        <w:t>International Journal of Environmental Research and Public Health, 19</w:t>
      </w:r>
      <w:r w:rsidRPr="00A62B33">
        <w:rPr>
          <w:lang w:val="en-US"/>
        </w:rPr>
        <w:t xml:space="preserve">(1), 62. </w:t>
      </w:r>
      <w:hyperlink r:id="rId34" w:history="1">
        <w:r w:rsidRPr="00A62B33">
          <w:rPr>
            <w:rStyle w:val="Hyperlink"/>
            <w:lang w:val="en-US"/>
          </w:rPr>
          <w:t>https://doi.org/10.3390/ijerph19010062</w:t>
        </w:r>
      </w:hyperlink>
      <w:r w:rsidRPr="00A62B33">
        <w:rPr>
          <w:lang w:val="en-US"/>
        </w:rPr>
        <w:t xml:space="preserve"> </w:t>
      </w:r>
    </w:p>
    <w:p w14:paraId="5A349703" w14:textId="77777777" w:rsidR="00C175A1" w:rsidRPr="00A62B33" w:rsidRDefault="00C175A1" w:rsidP="00C175A1">
      <w:pPr>
        <w:ind w:left="709" w:hanging="709"/>
        <w:rPr>
          <w:lang w:val="en-US"/>
        </w:rPr>
      </w:pPr>
      <w:r w:rsidRPr="00A62B33">
        <w:rPr>
          <w:lang w:val="en-US"/>
        </w:rPr>
        <w:t xml:space="preserve">MacMillan, T., Corrigan, M. J., Coffey, K., </w:t>
      </w:r>
      <w:proofErr w:type="spellStart"/>
      <w:r w:rsidRPr="00A62B33">
        <w:rPr>
          <w:lang w:val="en-US"/>
        </w:rPr>
        <w:t>Tronnier</w:t>
      </w:r>
      <w:proofErr w:type="spellEnd"/>
      <w:r w:rsidRPr="00A62B33">
        <w:rPr>
          <w:lang w:val="en-US"/>
        </w:rPr>
        <w:t xml:space="preserve">, C. D., Wang, D., &amp; Krase, K. (2021). Exploring Factors Associated with Alcohol and/or Substance Use During the COVID-19 Pandemic. </w:t>
      </w:r>
      <w:r w:rsidRPr="00A62B33">
        <w:rPr>
          <w:i/>
          <w:iCs/>
          <w:lang w:val="en-US"/>
        </w:rPr>
        <w:t>International</w:t>
      </w:r>
      <w:r w:rsidRPr="00A62B33">
        <w:rPr>
          <w:i/>
          <w:iCs/>
          <w:lang w:val="en-US"/>
        </w:rPr>
        <w:tab/>
        <w:t>Journal of Mental Health and Addiction, 20</w:t>
      </w:r>
      <w:r w:rsidRPr="00A62B33">
        <w:rPr>
          <w:lang w:val="en-US"/>
        </w:rPr>
        <w:t xml:space="preserve">(3), 1814–1823. </w:t>
      </w:r>
      <w:hyperlink r:id="rId35" w:history="1">
        <w:r w:rsidRPr="00A62B33">
          <w:rPr>
            <w:rStyle w:val="Hyperlink"/>
            <w:lang w:val="en-US"/>
          </w:rPr>
          <w:t>https://doi.org/10.1007/s11469-020-00482-y</w:t>
        </w:r>
      </w:hyperlink>
      <w:r w:rsidRPr="00A62B33">
        <w:rPr>
          <w:lang w:val="en-US"/>
        </w:rPr>
        <w:t xml:space="preserve"> </w:t>
      </w:r>
    </w:p>
    <w:p w14:paraId="2E922BFA" w14:textId="77777777" w:rsidR="00C175A1" w:rsidRPr="00A62B33" w:rsidRDefault="00C175A1" w:rsidP="00C175A1">
      <w:pPr>
        <w:ind w:left="709" w:hanging="709"/>
        <w:rPr>
          <w:lang w:val="en-US"/>
        </w:rPr>
      </w:pPr>
      <w:r w:rsidRPr="00A62B33">
        <w:rPr>
          <w:lang w:val="es-419"/>
        </w:rPr>
        <w:t xml:space="preserve">María-Ríos, C. E., &amp; </w:t>
      </w:r>
      <w:proofErr w:type="spellStart"/>
      <w:r w:rsidRPr="00A62B33">
        <w:rPr>
          <w:lang w:val="es-419"/>
        </w:rPr>
        <w:t>Morrow</w:t>
      </w:r>
      <w:proofErr w:type="spellEnd"/>
      <w:r w:rsidRPr="00A62B33">
        <w:rPr>
          <w:lang w:val="es-419"/>
        </w:rPr>
        <w:t xml:space="preserve">, J. D. (2020). </w:t>
      </w:r>
      <w:r w:rsidRPr="00A62B33">
        <w:rPr>
          <w:lang w:val="en-US"/>
        </w:rPr>
        <w:t xml:space="preserve">Mechanisms of shared vulnerability to post-traumatic stress disorder and substance use disorders. </w:t>
      </w:r>
      <w:r w:rsidRPr="00A62B33">
        <w:rPr>
          <w:i/>
          <w:iCs/>
          <w:lang w:val="en-US"/>
        </w:rPr>
        <w:t>Frontiers in Behavioral Neuroscience, 14</w:t>
      </w:r>
      <w:r>
        <w:rPr>
          <w:i/>
          <w:iCs/>
          <w:lang w:val="en-US"/>
        </w:rPr>
        <w:t xml:space="preserve">, </w:t>
      </w:r>
      <w:r w:rsidRPr="00A62B33">
        <w:rPr>
          <w:lang w:val="en-US"/>
        </w:rPr>
        <w:t xml:space="preserve">6. </w:t>
      </w:r>
      <w:hyperlink r:id="rId36" w:history="1">
        <w:r w:rsidRPr="0040491F">
          <w:rPr>
            <w:rStyle w:val="Hyperlink"/>
            <w:lang w:val="en-US"/>
          </w:rPr>
          <w:t>https://doi.org/10.3389/fnbeh.2020.00006</w:t>
        </w:r>
      </w:hyperlink>
      <w:r>
        <w:rPr>
          <w:lang w:val="en-US"/>
        </w:rPr>
        <w:t xml:space="preserve"> </w:t>
      </w:r>
    </w:p>
    <w:p w14:paraId="38ADE026" w14:textId="77777777" w:rsidR="00C175A1" w:rsidRPr="00C175A1" w:rsidRDefault="00C175A1" w:rsidP="00C175A1">
      <w:pPr>
        <w:ind w:left="709" w:hanging="709"/>
        <w:rPr>
          <w:lang w:val="pt-BR"/>
        </w:rPr>
      </w:pPr>
      <w:r w:rsidRPr="00A62B33">
        <w:rPr>
          <w:lang w:val="en-US"/>
        </w:rPr>
        <w:t xml:space="preserve">Milani SA, Raji MA, Chen L et al. (2021). Trends in the use of benzodiazepines, z-hypnotics, and serotonergic drugs among US women and men before and during the COVID-19 pandemic. </w:t>
      </w:r>
      <w:r w:rsidRPr="00C175A1">
        <w:rPr>
          <w:i/>
          <w:iCs/>
          <w:lang w:val="pt-BR"/>
        </w:rPr>
        <w:t xml:space="preserve">JAMA </w:t>
      </w:r>
      <w:proofErr w:type="spellStart"/>
      <w:r w:rsidRPr="00C175A1">
        <w:rPr>
          <w:i/>
          <w:iCs/>
          <w:lang w:val="pt-BR"/>
        </w:rPr>
        <w:t>Netw</w:t>
      </w:r>
      <w:proofErr w:type="spellEnd"/>
      <w:r w:rsidRPr="00C175A1">
        <w:rPr>
          <w:i/>
          <w:iCs/>
          <w:lang w:val="pt-BR"/>
        </w:rPr>
        <w:t xml:space="preserve"> Open, 4</w:t>
      </w:r>
      <w:r w:rsidRPr="00C175A1">
        <w:rPr>
          <w:lang w:val="pt-BR"/>
        </w:rPr>
        <w:t xml:space="preserve">(10), e2131012. </w:t>
      </w:r>
      <w:hyperlink r:id="rId37" w:history="1">
        <w:r w:rsidRPr="00C175A1">
          <w:rPr>
            <w:rStyle w:val="Hyperlink"/>
            <w:lang w:val="pt-BR"/>
          </w:rPr>
          <w:t>https://doi.org/10.1001/jamanetworkopen.2021.31012</w:t>
        </w:r>
      </w:hyperlink>
      <w:r w:rsidRPr="00C175A1">
        <w:rPr>
          <w:lang w:val="pt-BR"/>
        </w:rPr>
        <w:t xml:space="preserve"> </w:t>
      </w:r>
    </w:p>
    <w:p w14:paraId="017CF2D7" w14:textId="77777777" w:rsidR="00C175A1" w:rsidRPr="00C175A1" w:rsidRDefault="00C175A1" w:rsidP="00C175A1">
      <w:pPr>
        <w:ind w:left="709" w:hanging="709"/>
        <w:rPr>
          <w:lang w:val="pt-BR"/>
        </w:rPr>
      </w:pPr>
      <w:r w:rsidRPr="00C175A1">
        <w:rPr>
          <w:lang w:val="pt-BR"/>
        </w:rPr>
        <w:lastRenderedPageBreak/>
        <w:t xml:space="preserve">Neves, J. A., Machado, M. L., Oliveira, L. D., Moreno, Y. M., Medeiros, M. A., &amp; Vasconcelos, F. A. (2021). </w:t>
      </w:r>
      <w:r w:rsidRPr="00A62B33">
        <w:rPr>
          <w:lang w:val="en-US"/>
        </w:rPr>
        <w:t xml:space="preserve">Unemployment, poverty, and hunger in Brazil in COVID-19 pandemic times. </w:t>
      </w:r>
      <w:r w:rsidRPr="00C175A1">
        <w:rPr>
          <w:i/>
          <w:iCs/>
          <w:lang w:val="pt-BR"/>
        </w:rPr>
        <w:t>Revista de Nutrição, 34,</w:t>
      </w:r>
      <w:r w:rsidRPr="00C175A1">
        <w:rPr>
          <w:lang w:val="pt-BR"/>
        </w:rPr>
        <w:t xml:space="preserve"> e200170. </w:t>
      </w:r>
      <w:hyperlink r:id="rId38" w:history="1">
        <w:r w:rsidRPr="00C175A1">
          <w:rPr>
            <w:rStyle w:val="Hyperlink"/>
            <w:lang w:val="pt-BR"/>
          </w:rPr>
          <w:t>https://doi.org/10.1590/1678-9865202134e200170</w:t>
        </w:r>
      </w:hyperlink>
      <w:r w:rsidRPr="00C175A1">
        <w:rPr>
          <w:lang w:val="pt-BR"/>
        </w:rPr>
        <w:t xml:space="preserve"> </w:t>
      </w:r>
    </w:p>
    <w:p w14:paraId="317CDE33" w14:textId="77777777" w:rsidR="00C175A1" w:rsidRPr="00A62B33" w:rsidRDefault="00C175A1" w:rsidP="00C175A1">
      <w:pPr>
        <w:ind w:left="709" w:hanging="709"/>
        <w:rPr>
          <w:lang w:val="en-US"/>
        </w:rPr>
      </w:pPr>
      <w:proofErr w:type="spellStart"/>
      <w:r w:rsidRPr="00F23580">
        <w:rPr>
          <w:lang w:val="pt-BR"/>
        </w:rPr>
        <w:t>Pirutinsky</w:t>
      </w:r>
      <w:proofErr w:type="spellEnd"/>
      <w:r w:rsidRPr="00F23580">
        <w:rPr>
          <w:lang w:val="pt-BR"/>
        </w:rPr>
        <w:t xml:space="preserve">, S., </w:t>
      </w:r>
      <w:proofErr w:type="spellStart"/>
      <w:r w:rsidRPr="00F23580">
        <w:rPr>
          <w:lang w:val="pt-BR"/>
        </w:rPr>
        <w:t>Cherniak</w:t>
      </w:r>
      <w:proofErr w:type="spellEnd"/>
      <w:r w:rsidRPr="00F23580">
        <w:rPr>
          <w:lang w:val="pt-BR"/>
        </w:rPr>
        <w:t xml:space="preserve">, A., &amp; </w:t>
      </w:r>
      <w:proofErr w:type="spellStart"/>
      <w:r w:rsidRPr="00F23580">
        <w:rPr>
          <w:lang w:val="pt-BR"/>
        </w:rPr>
        <w:t>Rosmarin</w:t>
      </w:r>
      <w:proofErr w:type="spellEnd"/>
      <w:r w:rsidRPr="00F23580">
        <w:rPr>
          <w:lang w:val="pt-BR"/>
        </w:rPr>
        <w:t xml:space="preserve"> D. (2020). </w:t>
      </w:r>
      <w:r w:rsidRPr="00A62B33">
        <w:rPr>
          <w:lang w:val="en-US"/>
        </w:rPr>
        <w:t xml:space="preserve">COVID-19, mental health, and religious coping among </w:t>
      </w:r>
      <w:proofErr w:type="spellStart"/>
      <w:r w:rsidRPr="00A62B33">
        <w:rPr>
          <w:lang w:val="en-US"/>
        </w:rPr>
        <w:t>american</w:t>
      </w:r>
      <w:proofErr w:type="spellEnd"/>
      <w:r w:rsidRPr="00A62B33">
        <w:rPr>
          <w:lang w:val="en-US"/>
        </w:rPr>
        <w:t xml:space="preserve"> orthodox jews.  </w:t>
      </w:r>
      <w:r w:rsidRPr="00A62B33">
        <w:rPr>
          <w:i/>
          <w:iCs/>
          <w:lang w:val="en-US"/>
        </w:rPr>
        <w:t>Journal of religion and health, 59</w:t>
      </w:r>
      <w:r w:rsidRPr="00A62B33">
        <w:rPr>
          <w:lang w:val="en-US"/>
        </w:rPr>
        <w:t xml:space="preserve">(1), 2288–2301. </w:t>
      </w:r>
      <w:hyperlink r:id="rId39" w:history="1">
        <w:r w:rsidRPr="00A62B33">
          <w:rPr>
            <w:rStyle w:val="Hyperlink"/>
            <w:lang w:val="en-US"/>
          </w:rPr>
          <w:t>https://doi.org/10.1007/s10943-020-01070-z</w:t>
        </w:r>
      </w:hyperlink>
      <w:r w:rsidRPr="00A62B33">
        <w:rPr>
          <w:lang w:val="en-US"/>
        </w:rPr>
        <w:t xml:space="preserve"> </w:t>
      </w:r>
    </w:p>
    <w:p w14:paraId="1E6517EF" w14:textId="77777777" w:rsidR="00C175A1" w:rsidRPr="00C175A1" w:rsidRDefault="00C175A1" w:rsidP="00C175A1">
      <w:pPr>
        <w:ind w:left="709" w:hanging="709"/>
        <w:rPr>
          <w:lang w:val="pt-BR"/>
        </w:rPr>
      </w:pPr>
      <w:proofErr w:type="spellStart"/>
      <w:r w:rsidRPr="00A62B33">
        <w:rPr>
          <w:lang w:val="en-US"/>
        </w:rPr>
        <w:t>Posel</w:t>
      </w:r>
      <w:proofErr w:type="spellEnd"/>
      <w:r w:rsidRPr="00A62B33">
        <w:rPr>
          <w:lang w:val="en-US"/>
        </w:rPr>
        <w:t xml:space="preserve">, D., </w:t>
      </w:r>
      <w:proofErr w:type="spellStart"/>
      <w:r w:rsidRPr="00A62B33">
        <w:rPr>
          <w:lang w:val="en-US"/>
        </w:rPr>
        <w:t>Oyenubi</w:t>
      </w:r>
      <w:proofErr w:type="spellEnd"/>
      <w:r w:rsidRPr="00A62B33">
        <w:rPr>
          <w:lang w:val="en-US"/>
        </w:rPr>
        <w:t xml:space="preserve">, A., &amp; </w:t>
      </w:r>
      <w:proofErr w:type="spellStart"/>
      <w:r w:rsidRPr="00A62B33">
        <w:rPr>
          <w:lang w:val="en-US"/>
        </w:rPr>
        <w:t>Kollamparambil</w:t>
      </w:r>
      <w:proofErr w:type="spellEnd"/>
      <w:r w:rsidRPr="00A62B33">
        <w:rPr>
          <w:lang w:val="en-US"/>
        </w:rPr>
        <w:t xml:space="preserve">, U. (2021). Job loss and mental health during the COVID-19 lockdown: Evidence from South Africa. </w:t>
      </w:r>
      <w:r w:rsidRPr="00C175A1">
        <w:rPr>
          <w:i/>
          <w:iCs/>
          <w:lang w:val="pt-BR"/>
        </w:rPr>
        <w:t>PLoS ONE, 16</w:t>
      </w:r>
      <w:r w:rsidRPr="00C175A1">
        <w:rPr>
          <w:lang w:val="pt-BR"/>
        </w:rPr>
        <w:t xml:space="preserve">(3), e0249352. </w:t>
      </w:r>
      <w:hyperlink r:id="rId40" w:history="1">
        <w:r w:rsidRPr="00C175A1">
          <w:rPr>
            <w:rStyle w:val="Hyperlink"/>
            <w:lang w:val="pt-BR"/>
          </w:rPr>
          <w:t>https://doi.org/10.1371/journal.pone.0249352</w:t>
        </w:r>
      </w:hyperlink>
      <w:r w:rsidRPr="00C175A1">
        <w:rPr>
          <w:lang w:val="pt-BR"/>
        </w:rPr>
        <w:t xml:space="preserve"> </w:t>
      </w:r>
    </w:p>
    <w:p w14:paraId="2753DCCB" w14:textId="77777777" w:rsidR="00C175A1" w:rsidRPr="00C175A1" w:rsidRDefault="00C175A1" w:rsidP="00C175A1">
      <w:pPr>
        <w:ind w:left="709" w:hanging="709"/>
        <w:rPr>
          <w:lang w:val="pt-BR"/>
        </w:rPr>
      </w:pPr>
      <w:r w:rsidRPr="00C175A1">
        <w:rPr>
          <w:lang w:val="pt-BR"/>
        </w:rPr>
        <w:t xml:space="preserve">Queiroz, B. F., Campos, H. M. N., Gomes, D. R., &amp; Matos, M. P. (2021). </w:t>
      </w:r>
      <w:r w:rsidRPr="00A62B33">
        <w:rPr>
          <w:lang w:val="en-US"/>
        </w:rPr>
        <w:t xml:space="preserve">Prevalence and factors associated with tobacco use among Brazilian college students: a systematic review and meta-analysis. </w:t>
      </w:r>
      <w:r w:rsidRPr="00C175A1">
        <w:rPr>
          <w:i/>
          <w:iCs/>
          <w:lang w:val="pt-BR"/>
        </w:rPr>
        <w:t>Revista Baiana de Saúde Pública, 45</w:t>
      </w:r>
      <w:r w:rsidRPr="00C175A1">
        <w:rPr>
          <w:lang w:val="pt-BR"/>
        </w:rPr>
        <w:t xml:space="preserve">(1), 198-216. </w:t>
      </w:r>
      <w:hyperlink r:id="rId41" w:history="1">
        <w:r w:rsidRPr="00C175A1">
          <w:rPr>
            <w:rStyle w:val="Hyperlink"/>
            <w:lang w:val="pt-BR"/>
          </w:rPr>
          <w:t>https://doi.org/10.22278/2318-2660.2021.v45.n1.a3452</w:t>
        </w:r>
      </w:hyperlink>
      <w:r w:rsidRPr="00C175A1">
        <w:rPr>
          <w:lang w:val="pt-BR"/>
        </w:rPr>
        <w:t xml:space="preserve"> </w:t>
      </w:r>
    </w:p>
    <w:p w14:paraId="574A12FA" w14:textId="77777777" w:rsidR="00C175A1" w:rsidRPr="00A62B33" w:rsidRDefault="00C175A1" w:rsidP="00C175A1">
      <w:pPr>
        <w:ind w:left="709" w:hanging="709"/>
        <w:rPr>
          <w:lang w:val="en-US"/>
        </w:rPr>
      </w:pPr>
      <w:r w:rsidRPr="00A62B33">
        <w:rPr>
          <w:lang w:val="en-US"/>
        </w:rPr>
        <w:t xml:space="preserve">Ready, E., &amp; Collings, P. (2021). “All the problems in the community are multifaceted and related to each other”: Inuit concerns in an era of climate change. </w:t>
      </w:r>
      <w:r w:rsidRPr="00A62B33">
        <w:rPr>
          <w:i/>
          <w:iCs/>
          <w:lang w:val="en-US"/>
        </w:rPr>
        <w:t>American Journal of Human Biology, 33</w:t>
      </w:r>
      <w:r w:rsidRPr="00A62B33">
        <w:rPr>
          <w:lang w:val="en-US"/>
        </w:rPr>
        <w:t xml:space="preserve">(4), e23516. </w:t>
      </w:r>
      <w:hyperlink r:id="rId42" w:history="1">
        <w:r w:rsidRPr="00A62B33">
          <w:rPr>
            <w:rStyle w:val="Hyperlink"/>
            <w:lang w:val="en-US"/>
          </w:rPr>
          <w:t>https://doi.org/10.1002/ajhb.23516</w:t>
        </w:r>
      </w:hyperlink>
      <w:r w:rsidRPr="00A62B33">
        <w:rPr>
          <w:lang w:val="en-US"/>
        </w:rPr>
        <w:t xml:space="preserve"> </w:t>
      </w:r>
    </w:p>
    <w:p w14:paraId="4FC6DDFE" w14:textId="77777777" w:rsidR="00C175A1" w:rsidRPr="00A62B33" w:rsidRDefault="00C175A1" w:rsidP="00C175A1">
      <w:pPr>
        <w:ind w:left="709" w:hanging="709"/>
        <w:rPr>
          <w:lang w:val="es-419"/>
        </w:rPr>
      </w:pPr>
      <w:proofErr w:type="spellStart"/>
      <w:r w:rsidRPr="00A62B33">
        <w:rPr>
          <w:lang w:val="es-419"/>
        </w:rPr>
        <w:t>Rodriguez</w:t>
      </w:r>
      <w:proofErr w:type="spellEnd"/>
      <w:r w:rsidRPr="00A62B33">
        <w:rPr>
          <w:lang w:val="es-419"/>
        </w:rPr>
        <w:t xml:space="preserve">-Morales, A. J., Bonilla-Aldana, D. K., </w:t>
      </w:r>
      <w:proofErr w:type="spellStart"/>
      <w:r w:rsidRPr="00A62B33">
        <w:rPr>
          <w:lang w:val="es-419"/>
        </w:rPr>
        <w:t>Balbin</w:t>
      </w:r>
      <w:proofErr w:type="spellEnd"/>
      <w:r w:rsidRPr="00A62B33">
        <w:rPr>
          <w:lang w:val="es-419"/>
        </w:rPr>
        <w:t xml:space="preserve">-Ramon, G. J., </w:t>
      </w:r>
      <w:proofErr w:type="spellStart"/>
      <w:r w:rsidRPr="00A62B33">
        <w:rPr>
          <w:lang w:val="es-419"/>
        </w:rPr>
        <w:t>Rabaan</w:t>
      </w:r>
      <w:proofErr w:type="spellEnd"/>
      <w:r w:rsidRPr="00A62B33">
        <w:rPr>
          <w:lang w:val="es-419"/>
        </w:rPr>
        <w:t xml:space="preserve">, A. A., Sah, R., </w:t>
      </w:r>
      <w:proofErr w:type="spellStart"/>
      <w:r w:rsidRPr="00A62B33">
        <w:rPr>
          <w:lang w:val="es-419"/>
        </w:rPr>
        <w:t>Mondolfi</w:t>
      </w:r>
      <w:proofErr w:type="spellEnd"/>
      <w:r w:rsidRPr="00A62B33">
        <w:rPr>
          <w:lang w:val="es-419"/>
        </w:rPr>
        <w:t xml:space="preserve">, A. P., </w:t>
      </w:r>
      <w:proofErr w:type="spellStart"/>
      <w:r w:rsidRPr="00A62B33">
        <w:rPr>
          <w:lang w:val="es-419"/>
        </w:rPr>
        <w:t>Pagliano</w:t>
      </w:r>
      <w:proofErr w:type="spellEnd"/>
      <w:r w:rsidRPr="00A62B33">
        <w:rPr>
          <w:lang w:val="es-419"/>
        </w:rPr>
        <w:t xml:space="preserve">, P., &amp; Esposito, S. (2020). </w:t>
      </w:r>
      <w:r w:rsidRPr="00A62B33">
        <w:rPr>
          <w:lang w:val="en-US"/>
        </w:rPr>
        <w:t xml:space="preserve">History is repeating itself: Probable zoonotic spillover as the cause of the 2019 novel Coronavirus Epidemic. </w:t>
      </w:r>
      <w:r w:rsidRPr="00A62B33">
        <w:rPr>
          <w:i/>
          <w:iCs/>
          <w:lang w:val="es-419"/>
        </w:rPr>
        <w:t xml:space="preserve">Le </w:t>
      </w:r>
      <w:proofErr w:type="spellStart"/>
      <w:r w:rsidRPr="00A62B33">
        <w:rPr>
          <w:i/>
          <w:iCs/>
          <w:lang w:val="es-419"/>
        </w:rPr>
        <w:t>Infezioni</w:t>
      </w:r>
      <w:proofErr w:type="spellEnd"/>
      <w:r w:rsidRPr="00A62B33">
        <w:rPr>
          <w:i/>
          <w:iCs/>
          <w:lang w:val="es-419"/>
        </w:rPr>
        <w:t xml:space="preserve"> in Medicina, 28</w:t>
      </w:r>
      <w:r w:rsidRPr="00A62B33">
        <w:rPr>
          <w:lang w:val="es-419"/>
        </w:rPr>
        <w:t xml:space="preserve">(1):3-5. </w:t>
      </w:r>
      <w:hyperlink r:id="rId43" w:history="1">
        <w:r w:rsidRPr="0040491F">
          <w:rPr>
            <w:rStyle w:val="Hyperlink"/>
            <w:lang w:val="es-419"/>
          </w:rPr>
          <w:t>https://pubmed.ncbi.nlm.nih.gov/32009128/</w:t>
        </w:r>
      </w:hyperlink>
      <w:r>
        <w:rPr>
          <w:lang w:val="es-419"/>
        </w:rPr>
        <w:t xml:space="preserve"> </w:t>
      </w:r>
    </w:p>
    <w:p w14:paraId="1B3F4147" w14:textId="77777777" w:rsidR="00C175A1" w:rsidRPr="00C175A1" w:rsidRDefault="00C175A1" w:rsidP="00C175A1">
      <w:pPr>
        <w:ind w:left="709" w:hanging="709"/>
        <w:rPr>
          <w:lang w:val="pt-BR"/>
        </w:rPr>
      </w:pPr>
      <w:r w:rsidRPr="00A62B33">
        <w:rPr>
          <w:lang w:val="es-419"/>
        </w:rPr>
        <w:t xml:space="preserve">Sacco, M. A., Caputo, F., &amp; Ricci, P. (2020). </w:t>
      </w:r>
      <w:r w:rsidRPr="00A62B33">
        <w:rPr>
          <w:lang w:val="en-US"/>
        </w:rPr>
        <w:t xml:space="preserve">The impact of the COVID-19 pandemic on domestic violence: The dark side of home isolation during quarantine. </w:t>
      </w:r>
      <w:proofErr w:type="spellStart"/>
      <w:r w:rsidRPr="00C175A1">
        <w:rPr>
          <w:i/>
          <w:iCs/>
          <w:lang w:val="pt-BR"/>
        </w:rPr>
        <w:t>Medico-Legal</w:t>
      </w:r>
      <w:proofErr w:type="spellEnd"/>
      <w:r w:rsidRPr="00C175A1">
        <w:rPr>
          <w:i/>
          <w:iCs/>
          <w:lang w:val="pt-BR"/>
        </w:rPr>
        <w:t xml:space="preserve"> </w:t>
      </w:r>
      <w:proofErr w:type="spellStart"/>
      <w:r w:rsidRPr="00C175A1">
        <w:rPr>
          <w:i/>
          <w:iCs/>
          <w:lang w:val="pt-BR"/>
        </w:rPr>
        <w:t>Journal</w:t>
      </w:r>
      <w:proofErr w:type="spellEnd"/>
      <w:r w:rsidRPr="00C175A1">
        <w:rPr>
          <w:i/>
          <w:iCs/>
          <w:lang w:val="pt-BR"/>
        </w:rPr>
        <w:t>, 88</w:t>
      </w:r>
      <w:r w:rsidRPr="00C175A1">
        <w:rPr>
          <w:lang w:val="pt-BR"/>
        </w:rPr>
        <w:t xml:space="preserve">(2), 71-73. </w:t>
      </w:r>
      <w:hyperlink r:id="rId44" w:history="1">
        <w:r w:rsidRPr="00C175A1">
          <w:rPr>
            <w:rStyle w:val="Hyperlink"/>
            <w:lang w:val="pt-BR"/>
          </w:rPr>
          <w:t>https://doi.org/10.1177/0025817220930553</w:t>
        </w:r>
      </w:hyperlink>
      <w:r w:rsidRPr="00C175A1">
        <w:rPr>
          <w:lang w:val="pt-BR"/>
        </w:rPr>
        <w:t xml:space="preserve"> </w:t>
      </w:r>
    </w:p>
    <w:p w14:paraId="64B7F8C3" w14:textId="77777777" w:rsidR="00C175A1" w:rsidRPr="00C175A1" w:rsidRDefault="00C175A1" w:rsidP="00C175A1">
      <w:pPr>
        <w:ind w:left="709" w:hanging="709"/>
        <w:rPr>
          <w:lang w:val="pt-BR"/>
        </w:rPr>
      </w:pPr>
      <w:r w:rsidRPr="00C175A1">
        <w:rPr>
          <w:lang w:val="pt-BR"/>
        </w:rPr>
        <w:t xml:space="preserve">Silva, A. F., Estrela, F. M., Soares, C. F. S. et al. </w:t>
      </w:r>
      <w:r w:rsidRPr="00A62B33">
        <w:rPr>
          <w:lang w:val="en-US"/>
        </w:rPr>
        <w:t>(2020). Marital violence precipitating/intensifying elements during the COVID-19 pandemic.</w:t>
      </w:r>
      <w:r w:rsidRPr="0009569D">
        <w:rPr>
          <w:i/>
          <w:iCs/>
          <w:lang w:val="en-US"/>
        </w:rPr>
        <w:t xml:space="preserve"> </w:t>
      </w:r>
      <w:r w:rsidRPr="00C175A1">
        <w:rPr>
          <w:i/>
          <w:iCs/>
          <w:lang w:val="pt-BR"/>
        </w:rPr>
        <w:t>Ciência &amp; Saúde Coletiva, 25</w:t>
      </w:r>
      <w:r w:rsidRPr="00C175A1">
        <w:rPr>
          <w:lang w:val="pt-BR"/>
        </w:rPr>
        <w:t xml:space="preserve">(9):3475-3480. </w:t>
      </w:r>
      <w:hyperlink r:id="rId45" w:history="1">
        <w:r w:rsidRPr="00C175A1">
          <w:rPr>
            <w:rStyle w:val="Hyperlink"/>
            <w:lang w:val="pt-BR"/>
          </w:rPr>
          <w:t>https://doi.org/10.1590/1413-81232020259.16132020</w:t>
        </w:r>
      </w:hyperlink>
      <w:r w:rsidRPr="00C175A1">
        <w:rPr>
          <w:lang w:val="pt-BR"/>
        </w:rPr>
        <w:t xml:space="preserve">  </w:t>
      </w:r>
    </w:p>
    <w:p w14:paraId="00CF44FC" w14:textId="77777777" w:rsidR="00C175A1" w:rsidRPr="006750CE" w:rsidRDefault="00C175A1" w:rsidP="00C175A1">
      <w:pPr>
        <w:ind w:left="709" w:hanging="709"/>
        <w:rPr>
          <w:lang w:val="pt-BR"/>
        </w:rPr>
      </w:pPr>
      <w:r w:rsidRPr="00C175A1">
        <w:rPr>
          <w:lang w:val="pt-BR"/>
        </w:rPr>
        <w:t xml:space="preserve">Simplício, M. P. T., Silva, L. B., </w:t>
      </w:r>
      <w:proofErr w:type="spellStart"/>
      <w:r w:rsidRPr="00C175A1">
        <w:rPr>
          <w:lang w:val="pt-BR"/>
        </w:rPr>
        <w:t>Juvanho</w:t>
      </w:r>
      <w:proofErr w:type="spellEnd"/>
      <w:r w:rsidRPr="00C175A1">
        <w:rPr>
          <w:lang w:val="pt-BR"/>
        </w:rPr>
        <w:t xml:space="preserve">, L., Priore, S. E., &amp; Franceschini, S. C. (2021). </w:t>
      </w:r>
      <w:r w:rsidRPr="00A62B33">
        <w:rPr>
          <w:lang w:val="en-US"/>
        </w:rPr>
        <w:t xml:space="preserve">Factors associated with alcohol, tobacco and illicit drug use among Brazilian undergraduate students. </w:t>
      </w:r>
      <w:r w:rsidRPr="006750CE">
        <w:rPr>
          <w:i/>
          <w:iCs/>
          <w:lang w:val="pt-BR"/>
        </w:rPr>
        <w:t>Revista Brasileira de Enfermagem, 74</w:t>
      </w:r>
      <w:r w:rsidRPr="006750CE">
        <w:rPr>
          <w:lang w:val="pt-BR"/>
        </w:rPr>
        <w:t xml:space="preserve">(3), e20201244. </w:t>
      </w:r>
      <w:hyperlink r:id="rId46" w:history="1">
        <w:r w:rsidRPr="006750CE">
          <w:rPr>
            <w:rStyle w:val="Hyperlink"/>
            <w:lang w:val="pt-BR"/>
          </w:rPr>
          <w:t>https://doi.org/10.1590/0034-7167-2020-1244</w:t>
        </w:r>
      </w:hyperlink>
      <w:r w:rsidRPr="006750CE">
        <w:rPr>
          <w:lang w:val="pt-BR"/>
        </w:rPr>
        <w:t xml:space="preserve"> </w:t>
      </w:r>
    </w:p>
    <w:p w14:paraId="2A96197E" w14:textId="77777777" w:rsidR="00C175A1" w:rsidRPr="00A62B33" w:rsidRDefault="00C175A1" w:rsidP="00C175A1">
      <w:pPr>
        <w:ind w:left="709" w:hanging="709"/>
        <w:rPr>
          <w:lang w:val="en-US"/>
        </w:rPr>
      </w:pPr>
      <w:r w:rsidRPr="006750CE">
        <w:rPr>
          <w:lang w:val="pt-BR"/>
        </w:rPr>
        <w:t xml:space="preserve">Taylor, S., </w:t>
      </w:r>
      <w:proofErr w:type="spellStart"/>
      <w:r w:rsidRPr="006750CE">
        <w:rPr>
          <w:lang w:val="pt-BR"/>
        </w:rPr>
        <w:t>Paluszek</w:t>
      </w:r>
      <w:proofErr w:type="spellEnd"/>
      <w:r w:rsidRPr="006750CE">
        <w:rPr>
          <w:lang w:val="pt-BR"/>
        </w:rPr>
        <w:t xml:space="preserve">, M. M., </w:t>
      </w:r>
      <w:proofErr w:type="spellStart"/>
      <w:r w:rsidRPr="006750CE">
        <w:rPr>
          <w:lang w:val="pt-BR"/>
        </w:rPr>
        <w:t>Rachor</w:t>
      </w:r>
      <w:proofErr w:type="spellEnd"/>
      <w:r w:rsidRPr="006750CE">
        <w:rPr>
          <w:lang w:val="pt-BR"/>
        </w:rPr>
        <w:t xml:space="preserve">, G. S., McKay, D., &amp; </w:t>
      </w:r>
      <w:proofErr w:type="spellStart"/>
      <w:r w:rsidRPr="006750CE">
        <w:rPr>
          <w:lang w:val="pt-BR"/>
        </w:rPr>
        <w:t>Asmundson</w:t>
      </w:r>
      <w:proofErr w:type="spellEnd"/>
      <w:r w:rsidRPr="006750CE">
        <w:rPr>
          <w:lang w:val="pt-BR"/>
        </w:rPr>
        <w:t xml:space="preserve">, D. (2021). </w:t>
      </w:r>
      <w:r w:rsidRPr="00A62B33">
        <w:rPr>
          <w:lang w:val="en-US"/>
        </w:rPr>
        <w:t xml:space="preserve">Substance use and abuse, COVID-19-related distress, and disregard for social distancing: a network analysis. </w:t>
      </w:r>
      <w:r w:rsidRPr="00A62B33">
        <w:rPr>
          <w:i/>
          <w:iCs/>
          <w:lang w:val="en-US"/>
        </w:rPr>
        <w:t>Addictive Behaviors, 114</w:t>
      </w:r>
      <w:r w:rsidRPr="00A62B33">
        <w:rPr>
          <w:lang w:val="en-US"/>
        </w:rPr>
        <w:t xml:space="preserve">, 106754. </w:t>
      </w:r>
      <w:hyperlink r:id="rId47" w:history="1">
        <w:r w:rsidRPr="00A62B33">
          <w:rPr>
            <w:rStyle w:val="Hyperlink"/>
            <w:lang w:val="en-US"/>
          </w:rPr>
          <w:t>https://doi.org/10.1016/j.addbeh.2020.106754</w:t>
        </w:r>
      </w:hyperlink>
      <w:r w:rsidRPr="00A62B33">
        <w:rPr>
          <w:lang w:val="en-US"/>
        </w:rPr>
        <w:t xml:space="preserve"> </w:t>
      </w:r>
    </w:p>
    <w:p w14:paraId="5B5CB51D" w14:textId="77777777" w:rsidR="00C175A1" w:rsidRPr="00C175A1" w:rsidRDefault="00C175A1" w:rsidP="00C175A1">
      <w:pPr>
        <w:ind w:left="709" w:hanging="709"/>
        <w:rPr>
          <w:lang w:val="pt-BR"/>
        </w:rPr>
      </w:pPr>
      <w:r w:rsidRPr="00A62B33">
        <w:rPr>
          <w:lang w:val="en-US"/>
        </w:rPr>
        <w:t>Teodoro, M. L. M., Alvares-Teodoro, J., Peixoto, C. B. et al. (2021). Mental health in college students during COVID-19 pandemic.</w:t>
      </w:r>
      <w:r w:rsidRPr="00A62B33">
        <w:rPr>
          <w:i/>
          <w:iCs/>
          <w:lang w:val="en-US"/>
        </w:rPr>
        <w:t xml:space="preserve"> </w:t>
      </w:r>
      <w:r w:rsidRPr="00C175A1">
        <w:rPr>
          <w:i/>
          <w:iCs/>
          <w:lang w:val="pt-BR"/>
        </w:rPr>
        <w:t>REFACS, 9</w:t>
      </w:r>
      <w:r w:rsidRPr="00C175A1">
        <w:rPr>
          <w:lang w:val="pt-BR"/>
        </w:rPr>
        <w:t xml:space="preserve">(2), 372-82. </w:t>
      </w:r>
      <w:hyperlink r:id="rId48" w:history="1">
        <w:r w:rsidRPr="00C175A1">
          <w:rPr>
            <w:rStyle w:val="Hyperlink"/>
            <w:lang w:val="pt-BR"/>
          </w:rPr>
          <w:t>https://doi.org/10.18554/refacs.v9i2.5409</w:t>
        </w:r>
      </w:hyperlink>
      <w:r w:rsidRPr="00C175A1">
        <w:rPr>
          <w:lang w:val="pt-BR"/>
        </w:rPr>
        <w:t xml:space="preserve"> </w:t>
      </w:r>
    </w:p>
    <w:p w14:paraId="0E9D03AD" w14:textId="77777777" w:rsidR="00C175A1" w:rsidRPr="00A62B33" w:rsidRDefault="00C175A1" w:rsidP="00C175A1">
      <w:pPr>
        <w:ind w:left="709" w:hanging="709"/>
        <w:rPr>
          <w:lang w:val="en-US"/>
        </w:rPr>
      </w:pPr>
      <w:r w:rsidRPr="00C175A1">
        <w:rPr>
          <w:lang w:val="pt-BR"/>
        </w:rPr>
        <w:t xml:space="preserve">Torres, A. G., Nolasco, L. E. L., Oliveira, M. G. et al. (2021). COVID-19 e Saúde Mental de Universitários: Revisão Integrativa Internacional. </w:t>
      </w:r>
      <w:proofErr w:type="spellStart"/>
      <w:r w:rsidRPr="00F23580">
        <w:rPr>
          <w:i/>
          <w:iCs/>
          <w:lang w:val="en-US"/>
        </w:rPr>
        <w:t>Revista</w:t>
      </w:r>
      <w:proofErr w:type="spellEnd"/>
      <w:r w:rsidRPr="00F23580">
        <w:rPr>
          <w:i/>
          <w:iCs/>
          <w:lang w:val="en-US"/>
        </w:rPr>
        <w:t xml:space="preserve"> </w:t>
      </w:r>
      <w:proofErr w:type="spellStart"/>
      <w:r w:rsidRPr="00F23580">
        <w:rPr>
          <w:i/>
          <w:iCs/>
          <w:lang w:val="en-US"/>
        </w:rPr>
        <w:t>Psicologia</w:t>
      </w:r>
      <w:proofErr w:type="spellEnd"/>
      <w:r w:rsidRPr="00F23580">
        <w:rPr>
          <w:i/>
          <w:iCs/>
          <w:lang w:val="en-US"/>
        </w:rPr>
        <w:t xml:space="preserve"> &amp; </w:t>
      </w:r>
      <w:proofErr w:type="spellStart"/>
      <w:r w:rsidRPr="00F23580">
        <w:rPr>
          <w:i/>
          <w:iCs/>
          <w:lang w:val="en-US"/>
        </w:rPr>
        <w:t>Saúde</w:t>
      </w:r>
      <w:proofErr w:type="spellEnd"/>
      <w:r w:rsidRPr="00F23580">
        <w:rPr>
          <w:i/>
          <w:iCs/>
          <w:lang w:val="en-US"/>
        </w:rPr>
        <w:t>, 13</w:t>
      </w:r>
      <w:r w:rsidRPr="00F23580">
        <w:rPr>
          <w:lang w:val="en-US"/>
        </w:rPr>
        <w:t xml:space="preserve">(4), 183–197. </w:t>
      </w:r>
      <w:hyperlink r:id="rId49" w:history="1">
        <w:r w:rsidRPr="00A62B33">
          <w:rPr>
            <w:rStyle w:val="Hyperlink"/>
            <w:lang w:val="en-US"/>
          </w:rPr>
          <w:t>https://doi.org/10.20435/pssa.v13i4.1567</w:t>
        </w:r>
      </w:hyperlink>
      <w:r w:rsidRPr="00A62B33">
        <w:rPr>
          <w:lang w:val="en-US"/>
        </w:rPr>
        <w:t xml:space="preserve"> </w:t>
      </w:r>
    </w:p>
    <w:p w14:paraId="38A2AF75" w14:textId="77777777" w:rsidR="00C175A1" w:rsidRPr="00A62B33" w:rsidRDefault="00C175A1" w:rsidP="00C175A1">
      <w:pPr>
        <w:ind w:left="709" w:hanging="709"/>
        <w:rPr>
          <w:lang w:val="en-US"/>
        </w:rPr>
      </w:pPr>
      <w:r w:rsidRPr="00A62B33">
        <w:rPr>
          <w:lang w:val="en-US"/>
        </w:rPr>
        <w:t xml:space="preserve">World Health Organization - WHO. (2022). COVID-19 Response Fund. </w:t>
      </w:r>
      <w:proofErr w:type="spellStart"/>
      <w:r w:rsidRPr="00A62B33">
        <w:rPr>
          <w:lang w:val="en-US"/>
        </w:rPr>
        <w:t>Acessed</w:t>
      </w:r>
      <w:proofErr w:type="spellEnd"/>
      <w:r w:rsidRPr="00A62B33">
        <w:rPr>
          <w:lang w:val="en-US"/>
        </w:rPr>
        <w:t xml:space="preserve"> July 7, 2022. </w:t>
      </w:r>
      <w:hyperlink r:id="rId50" w:history="1">
        <w:r w:rsidRPr="00A62B33">
          <w:rPr>
            <w:rStyle w:val="Hyperlink"/>
            <w:lang w:val="en-US"/>
          </w:rPr>
          <w:t>https://COVID19.who.int/t/</w:t>
        </w:r>
      </w:hyperlink>
      <w:r w:rsidRPr="00A62B33">
        <w:rPr>
          <w:lang w:val="en-US"/>
        </w:rPr>
        <w:t xml:space="preserve">   </w:t>
      </w:r>
    </w:p>
    <w:p w14:paraId="2E2DA350" w14:textId="466EA288" w:rsidR="002B644E" w:rsidRPr="002B644E" w:rsidRDefault="00C175A1" w:rsidP="00C175A1">
      <w:pPr>
        <w:ind w:left="709" w:hanging="709"/>
      </w:pPr>
      <w:r w:rsidRPr="00A62B33">
        <w:rPr>
          <w:lang w:val="en-US"/>
        </w:rPr>
        <w:t xml:space="preserve">Zacher, H., &amp; Rudolph, C. (2020). Individual differences and changes in subjective wellbeing during the early stages of the COVID-19 pandemic. </w:t>
      </w:r>
      <w:r w:rsidRPr="00A62B33">
        <w:rPr>
          <w:i/>
          <w:iCs/>
          <w:lang w:val="en-US"/>
        </w:rPr>
        <w:t>American Psychology</w:t>
      </w:r>
      <w:r w:rsidRPr="00A62B33">
        <w:rPr>
          <w:lang w:val="en-US"/>
        </w:rPr>
        <w:t>,</w:t>
      </w:r>
      <w:r w:rsidRPr="0009569D">
        <w:rPr>
          <w:i/>
          <w:iCs/>
          <w:lang w:val="en-US"/>
        </w:rPr>
        <w:t xml:space="preserve"> 76</w:t>
      </w:r>
      <w:r w:rsidRPr="00A62B33">
        <w:rPr>
          <w:lang w:val="en-US"/>
        </w:rPr>
        <w:t xml:space="preserve">(1), 50-62. </w:t>
      </w:r>
      <w:hyperlink r:id="rId51" w:history="1">
        <w:r w:rsidRPr="00A62B33">
          <w:rPr>
            <w:rStyle w:val="Hyperlink"/>
            <w:bCs/>
            <w:lang w:val="en-US"/>
          </w:rPr>
          <w:t>https://doi.org/10.1037/amp0000702</w:t>
        </w:r>
      </w:hyperlink>
      <w:r w:rsidRPr="00A62B33">
        <w:rPr>
          <w:bCs/>
          <w:lang w:val="en-US"/>
        </w:rPr>
        <w:t xml:space="preserve"> </w:t>
      </w:r>
    </w:p>
    <w:sectPr w:rsidR="002B644E" w:rsidRPr="002B644E" w:rsidSect="0059034C">
      <w:headerReference w:type="even" r:id="rId52"/>
      <w:headerReference w:type="default" r:id="rId53"/>
      <w:footerReference w:type="even" r:id="rId54"/>
      <w:footerReference w:type="defaul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F2402" w14:textId="77777777" w:rsidR="005352A5" w:rsidRDefault="005352A5" w:rsidP="00C413D4">
      <w:r>
        <w:separator/>
      </w:r>
    </w:p>
  </w:endnote>
  <w:endnote w:type="continuationSeparator" w:id="0">
    <w:p w14:paraId="4818FFA8" w14:textId="77777777" w:rsidR="005352A5" w:rsidRDefault="005352A5"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A1208" w14:textId="77777777" w:rsidR="005352A5" w:rsidRDefault="005352A5" w:rsidP="00C413D4">
      <w:r>
        <w:separator/>
      </w:r>
    </w:p>
  </w:footnote>
  <w:footnote w:type="continuationSeparator" w:id="0">
    <w:p w14:paraId="6EF36E7B" w14:textId="77777777" w:rsidR="005352A5" w:rsidRDefault="005352A5"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23941C5B" w:rsidR="007C3C14" w:rsidRPr="00B02133" w:rsidRDefault="00B02133" w:rsidP="0059034C">
    <w:pPr>
      <w:pStyle w:val="Cabealho"/>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3BBF008" w:rsidR="007C3C14" w:rsidRDefault="00977250" w:rsidP="00977250">
    <w:pPr>
      <w:pStyle w:val="Cabealh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654338901">
    <w:abstractNumId w:val="4"/>
  </w:num>
  <w:num w:numId="2" w16cid:durableId="1848399999">
    <w:abstractNumId w:val="5"/>
  </w:num>
  <w:num w:numId="3" w16cid:durableId="928194841">
    <w:abstractNumId w:val="6"/>
  </w:num>
  <w:num w:numId="4" w16cid:durableId="1046182799">
    <w:abstractNumId w:val="7"/>
  </w:num>
  <w:num w:numId="5" w16cid:durableId="808983431">
    <w:abstractNumId w:val="9"/>
  </w:num>
  <w:num w:numId="6" w16cid:durableId="387609450">
    <w:abstractNumId w:val="0"/>
  </w:num>
  <w:num w:numId="7" w16cid:durableId="232132446">
    <w:abstractNumId w:val="1"/>
  </w:num>
  <w:num w:numId="8" w16cid:durableId="1818837499">
    <w:abstractNumId w:val="2"/>
  </w:num>
  <w:num w:numId="9" w16cid:durableId="675305559">
    <w:abstractNumId w:val="3"/>
  </w:num>
  <w:num w:numId="10" w16cid:durableId="821969269">
    <w:abstractNumId w:val="8"/>
  </w:num>
  <w:num w:numId="11" w16cid:durableId="1721899245">
    <w:abstractNumId w:val="10"/>
  </w:num>
  <w:num w:numId="12" w16cid:durableId="2061836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65CA"/>
    <w:rsid w:val="00076F0A"/>
    <w:rsid w:val="001253E7"/>
    <w:rsid w:val="00127870"/>
    <w:rsid w:val="001516ED"/>
    <w:rsid w:val="00153DC5"/>
    <w:rsid w:val="0015691C"/>
    <w:rsid w:val="001F7509"/>
    <w:rsid w:val="00234E5C"/>
    <w:rsid w:val="00246D04"/>
    <w:rsid w:val="002624E0"/>
    <w:rsid w:val="002665ED"/>
    <w:rsid w:val="00271502"/>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909A7"/>
    <w:rsid w:val="003C4AA4"/>
    <w:rsid w:val="003E4B06"/>
    <w:rsid w:val="0042142D"/>
    <w:rsid w:val="00430C97"/>
    <w:rsid w:val="00447E89"/>
    <w:rsid w:val="00475FC0"/>
    <w:rsid w:val="00483D6B"/>
    <w:rsid w:val="0048651A"/>
    <w:rsid w:val="00491E9A"/>
    <w:rsid w:val="004C0823"/>
    <w:rsid w:val="004C1FD8"/>
    <w:rsid w:val="004C2A6E"/>
    <w:rsid w:val="004D5719"/>
    <w:rsid w:val="004F2BB0"/>
    <w:rsid w:val="00507B29"/>
    <w:rsid w:val="005352A5"/>
    <w:rsid w:val="00542090"/>
    <w:rsid w:val="00575541"/>
    <w:rsid w:val="00576894"/>
    <w:rsid w:val="005813E0"/>
    <w:rsid w:val="0059034C"/>
    <w:rsid w:val="00594317"/>
    <w:rsid w:val="005B5614"/>
    <w:rsid w:val="0061199D"/>
    <w:rsid w:val="006750CE"/>
    <w:rsid w:val="006937D3"/>
    <w:rsid w:val="006A1BA2"/>
    <w:rsid w:val="006B0812"/>
    <w:rsid w:val="006B088F"/>
    <w:rsid w:val="006C21BC"/>
    <w:rsid w:val="006F6924"/>
    <w:rsid w:val="006F7E7E"/>
    <w:rsid w:val="00700F77"/>
    <w:rsid w:val="00704ECD"/>
    <w:rsid w:val="00724F5C"/>
    <w:rsid w:val="0074214E"/>
    <w:rsid w:val="00742E4A"/>
    <w:rsid w:val="00770AE4"/>
    <w:rsid w:val="0078702D"/>
    <w:rsid w:val="00795D57"/>
    <w:rsid w:val="007A7C7C"/>
    <w:rsid w:val="007A7CDC"/>
    <w:rsid w:val="007C3C14"/>
    <w:rsid w:val="007E34D6"/>
    <w:rsid w:val="007E3B8D"/>
    <w:rsid w:val="008114AC"/>
    <w:rsid w:val="008151AB"/>
    <w:rsid w:val="00816268"/>
    <w:rsid w:val="00824D3A"/>
    <w:rsid w:val="00863414"/>
    <w:rsid w:val="00872EFD"/>
    <w:rsid w:val="00880120"/>
    <w:rsid w:val="008B0F10"/>
    <w:rsid w:val="008C409A"/>
    <w:rsid w:val="008C775E"/>
    <w:rsid w:val="008D509E"/>
    <w:rsid w:val="009032D5"/>
    <w:rsid w:val="00903DEB"/>
    <w:rsid w:val="00977250"/>
    <w:rsid w:val="009850BE"/>
    <w:rsid w:val="00993241"/>
    <w:rsid w:val="009A583F"/>
    <w:rsid w:val="009B3EF3"/>
    <w:rsid w:val="009D2551"/>
    <w:rsid w:val="009E37BF"/>
    <w:rsid w:val="00A30790"/>
    <w:rsid w:val="00A457D0"/>
    <w:rsid w:val="00A516C7"/>
    <w:rsid w:val="00A62218"/>
    <w:rsid w:val="00A741BB"/>
    <w:rsid w:val="00A871FB"/>
    <w:rsid w:val="00A93146"/>
    <w:rsid w:val="00A96141"/>
    <w:rsid w:val="00AD3238"/>
    <w:rsid w:val="00AE48D4"/>
    <w:rsid w:val="00B02133"/>
    <w:rsid w:val="00B06283"/>
    <w:rsid w:val="00B35B61"/>
    <w:rsid w:val="00B511FB"/>
    <w:rsid w:val="00B60E75"/>
    <w:rsid w:val="00B6522A"/>
    <w:rsid w:val="00B74D71"/>
    <w:rsid w:val="00B83A6E"/>
    <w:rsid w:val="00B845A1"/>
    <w:rsid w:val="00B9678D"/>
    <w:rsid w:val="00BC2AFB"/>
    <w:rsid w:val="00BD26F5"/>
    <w:rsid w:val="00BF59E7"/>
    <w:rsid w:val="00C175A1"/>
    <w:rsid w:val="00C413D4"/>
    <w:rsid w:val="00C43335"/>
    <w:rsid w:val="00C64ECF"/>
    <w:rsid w:val="00C84812"/>
    <w:rsid w:val="00CA3BFF"/>
    <w:rsid w:val="00CA3C92"/>
    <w:rsid w:val="00CB631E"/>
    <w:rsid w:val="00CE7D65"/>
    <w:rsid w:val="00CF4E1F"/>
    <w:rsid w:val="00CF5D21"/>
    <w:rsid w:val="00D609BB"/>
    <w:rsid w:val="00D94A3F"/>
    <w:rsid w:val="00DB4A71"/>
    <w:rsid w:val="00DB6400"/>
    <w:rsid w:val="00DE1119"/>
    <w:rsid w:val="00E25900"/>
    <w:rsid w:val="00E26883"/>
    <w:rsid w:val="00E3671F"/>
    <w:rsid w:val="00E416F6"/>
    <w:rsid w:val="00E449A9"/>
    <w:rsid w:val="00E55124"/>
    <w:rsid w:val="00E97D42"/>
    <w:rsid w:val="00EA6646"/>
    <w:rsid w:val="00EB213C"/>
    <w:rsid w:val="00ED2663"/>
    <w:rsid w:val="00F21272"/>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table" w:customStyle="1" w:styleId="Tabelacomgrade1">
    <w:name w:val="Tabela com grade1"/>
    <w:basedOn w:val="Tabelanormal"/>
    <w:next w:val="Tabelacomgrade"/>
    <w:uiPriority w:val="39"/>
    <w:rsid w:val="002665ED"/>
    <w:rPr>
      <w:rFonts w:eastAsia="Calibri"/>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fia">
    <w:name w:val="bibliografia"/>
    <w:basedOn w:val="Normal"/>
    <w:link w:val="bibliografiaChar"/>
    <w:rsid w:val="00C175A1"/>
    <w:pPr>
      <w:spacing w:before="360" w:after="360"/>
      <w:jc w:val="both"/>
    </w:pPr>
    <w:rPr>
      <w:rFonts w:eastAsiaTheme="minorHAnsi"/>
      <w:bCs/>
      <w:lang w:val="pt-BR" w:eastAsia="en-US"/>
    </w:rPr>
  </w:style>
  <w:style w:type="character" w:customStyle="1" w:styleId="bibliografiaChar">
    <w:name w:val="bibliografia Char"/>
    <w:basedOn w:val="Fontepargpadro"/>
    <w:link w:val="bibliografia"/>
    <w:rsid w:val="00C175A1"/>
    <w:rPr>
      <w:rFonts w:ascii="Times New Roman" w:hAnsi="Times New Roman" w:cs="Times New Roman"/>
      <w:bCs/>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br/10.1097/ADM.0000000000000767" TargetMode="External"/><Relationship Id="rId18" Type="http://schemas.openxmlformats.org/officeDocument/2006/relationships/hyperlink" Target="https://doi.org/10.1590/1807-0310/2020v32240336" TargetMode="External"/><Relationship Id="rId26" Type="http://schemas.openxmlformats.org/officeDocument/2006/relationships/hyperlink" Target="https://doi.org/10.3389/fpsyt.2021.646206" TargetMode="External"/><Relationship Id="rId39" Type="http://schemas.openxmlformats.org/officeDocument/2006/relationships/hyperlink" Target="https://doi.org/10.1007/s10943-020-01070-z" TargetMode="External"/><Relationship Id="rId21" Type="http://schemas.openxmlformats.org/officeDocument/2006/relationships/hyperlink" Target="https://doi.org/10.1177/00333549211018675" TargetMode="External"/><Relationship Id="rId34" Type="http://schemas.openxmlformats.org/officeDocument/2006/relationships/hyperlink" Target="https://doi.org/10.3390/ijerph19010062" TargetMode="External"/><Relationship Id="rId42" Type="http://schemas.openxmlformats.org/officeDocument/2006/relationships/hyperlink" Target="https://doi.org/10.1002/ajhb.23516" TargetMode="External"/><Relationship Id="rId47" Type="http://schemas.openxmlformats.org/officeDocument/2006/relationships/hyperlink" Target="https://doi.org/10.1016/j.addbeh.2020.106754" TargetMode="External"/><Relationship Id="rId50" Type="http://schemas.openxmlformats.org/officeDocument/2006/relationships/hyperlink" Target="https://COVID19.who.int/t/"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7/S0033291721001719" TargetMode="External"/><Relationship Id="rId29" Type="http://schemas.openxmlformats.org/officeDocument/2006/relationships/hyperlink" Target="https://doi.org/10.1590/s0104-12902021200605" TargetMode="External"/><Relationship Id="rId11" Type="http://schemas.openxmlformats.org/officeDocument/2006/relationships/hyperlink" Target="https://doi.org/10.3390/jcm11082106" TargetMode="External"/><Relationship Id="rId24" Type="http://schemas.openxmlformats.org/officeDocument/2006/relationships/hyperlink" Target="https://doi.org/10.1016/j.alcohol.2021.04.005" TargetMode="External"/><Relationship Id="rId32" Type="http://schemas.openxmlformats.org/officeDocument/2006/relationships/hyperlink" Target="https://doi.org/10.3389/fpsyt.2021.643957" TargetMode="External"/><Relationship Id="rId37" Type="http://schemas.openxmlformats.org/officeDocument/2006/relationships/hyperlink" Target="https://doi.org/10.1001/jamanetworkopen.2021.31012" TargetMode="External"/><Relationship Id="rId40" Type="http://schemas.openxmlformats.org/officeDocument/2006/relationships/hyperlink" Target="https://doi.org/10.1371/journal.pone.0249352" TargetMode="External"/><Relationship Id="rId45" Type="http://schemas.openxmlformats.org/officeDocument/2006/relationships/hyperlink" Target="https://doi.org/10.1590/1413-81232020259.16132020" TargetMode="External"/><Relationship Id="rId53" Type="http://schemas.openxmlformats.org/officeDocument/2006/relationships/header" Target="header2.xml"/><Relationship Id="rId5" Type="http://schemas.openxmlformats.org/officeDocument/2006/relationships/webSettings" Target="webSettings.xml"/><Relationship Id="rId19" Type="http://schemas.openxmlformats.org/officeDocument/2006/relationships/hyperlink" Target="https://doi.org/10.1590/1806-9282.64.05.462" TargetMode="External"/><Relationship Id="rId4" Type="http://schemas.openxmlformats.org/officeDocument/2006/relationships/settings" Target="settings.xml"/><Relationship Id="rId9" Type="http://schemas.openxmlformats.org/officeDocument/2006/relationships/hyperlink" Target="https://doi.org/10.1016/j.neuron.2017.10.032" TargetMode="External"/><Relationship Id="rId14" Type="http://schemas.openxmlformats.org/officeDocument/2006/relationships/hyperlink" Target="https://doi.org/10.1590/0103-11042022E114" TargetMode="External"/><Relationship Id="rId22" Type="http://schemas.openxmlformats.org/officeDocument/2006/relationships/hyperlink" Target="https://doi.org/10.1016/j.psychres.2021.113706" TargetMode="External"/><Relationship Id="rId27" Type="http://schemas.openxmlformats.org/officeDocument/2006/relationships/hyperlink" Target="https://doi.org/10.51798/sijis.v3i1.203" TargetMode="External"/><Relationship Id="rId30" Type="http://schemas.openxmlformats.org/officeDocument/2006/relationships/hyperlink" Target="https://doi.org/10.3390/ijerph19031261" TargetMode="External"/><Relationship Id="rId35" Type="http://schemas.openxmlformats.org/officeDocument/2006/relationships/hyperlink" Target="https://doi.org/10.1007/s11469-020-00482-y" TargetMode="External"/><Relationship Id="rId43" Type="http://schemas.openxmlformats.org/officeDocument/2006/relationships/hyperlink" Target="https://pubmed.ncbi.nlm.nih.gov/32009128/" TargetMode="External"/><Relationship Id="rId48" Type="http://schemas.openxmlformats.org/officeDocument/2006/relationships/hyperlink" Target="https://doi.org/10.18554/refacs.v9i2.5409" TargetMode="External"/><Relationship Id="rId56" Type="http://schemas.openxmlformats.org/officeDocument/2006/relationships/fontTable" Target="fontTable.xml"/><Relationship Id="rId8" Type="http://schemas.openxmlformats.org/officeDocument/2006/relationships/hyperlink" Target="https://repositorio.unb.br/handle/10482/4697" TargetMode="External"/><Relationship Id="rId51" Type="http://schemas.openxmlformats.org/officeDocument/2006/relationships/hyperlink" Target="https://doi.org/10.1037/amp0000702" TargetMode="External"/><Relationship Id="rId3" Type="http://schemas.openxmlformats.org/officeDocument/2006/relationships/styles" Target="styles.xml"/><Relationship Id="rId12" Type="http://schemas.openxmlformats.org/officeDocument/2006/relationships/hyperlink" Target="https://doi.org/10.1177/0020764020922269" TargetMode="External"/><Relationship Id="rId17" Type="http://schemas.openxmlformats.org/officeDocument/2006/relationships/hyperlink" Target="https://doi.org/10.35502/jcswb.204" TargetMode="External"/><Relationship Id="rId25" Type="http://schemas.openxmlformats.org/officeDocument/2006/relationships/hyperlink" Target="https://doi.org/10.1590/1413-81232018248.27292017" TargetMode="External"/><Relationship Id="rId33" Type="http://schemas.openxmlformats.org/officeDocument/2006/relationships/hyperlink" Target="https://doi.org/10.1016/j.addbeh.2020.106527" TargetMode="External"/><Relationship Id="rId38" Type="http://schemas.openxmlformats.org/officeDocument/2006/relationships/hyperlink" Target="https://doi.org/10.1590/1678-9865202134e200170" TargetMode="External"/><Relationship Id="rId46" Type="http://schemas.openxmlformats.org/officeDocument/2006/relationships/hyperlink" Target="https://doi.org/10.1590/0034-7167-2020-1244" TargetMode="External"/><Relationship Id="rId20" Type="http://schemas.openxmlformats.org/officeDocument/2006/relationships/hyperlink" Target="https://doi.org/10.3390/bs12010003" TargetMode="External"/><Relationship Id="rId41" Type="http://schemas.openxmlformats.org/officeDocument/2006/relationships/hyperlink" Target="https://doi.org/10.22278/2318-2660.2021.v45.n1.a3452"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1/jamainternmed.2020.7048" TargetMode="External"/><Relationship Id="rId23" Type="http://schemas.openxmlformats.org/officeDocument/2006/relationships/hyperlink" Target="https://doi.org/10.3390/ijerph1713467" TargetMode="External"/><Relationship Id="rId28" Type="http://schemas.openxmlformats.org/officeDocument/2006/relationships/hyperlink" Target="https://doi.org/10.1001/jamainternmed.2020.1562" TargetMode="External"/><Relationship Id="rId36" Type="http://schemas.openxmlformats.org/officeDocument/2006/relationships/hyperlink" Target="https://doi.org/10.3389/fnbeh.2020.00006" TargetMode="External"/><Relationship Id="rId49" Type="http://schemas.openxmlformats.org/officeDocument/2006/relationships/hyperlink" Target="https://doi.org/10.20435/pssa.v13i4.1567" TargetMode="External"/><Relationship Id="rId57" Type="http://schemas.openxmlformats.org/officeDocument/2006/relationships/theme" Target="theme/theme1.xml"/><Relationship Id="rId10" Type="http://schemas.openxmlformats.org/officeDocument/2006/relationships/hyperlink" Target="https://doi.org/10.1002/jmv.25706" TargetMode="External"/><Relationship Id="rId31" Type="http://schemas.openxmlformats.org/officeDocument/2006/relationships/hyperlink" Target="https://doi.org/10.1016/j.ajp.2020.102430" TargetMode="External"/><Relationship Id="rId44" Type="http://schemas.openxmlformats.org/officeDocument/2006/relationships/hyperlink" Target="https://doi.org/10.1177/0025817220930553" TargetMode="External"/><Relationship Id="rId52"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6361</Words>
  <Characters>34355</Characters>
  <Application>Microsoft Office Word</Application>
  <DocSecurity>0</DocSecurity>
  <Lines>286</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Alberto Mesaque</cp:lastModifiedBy>
  <cp:revision>3</cp:revision>
  <cp:lastPrinted>2020-04-16T16:22:00Z</cp:lastPrinted>
  <dcterms:created xsi:type="dcterms:W3CDTF">2023-09-12T01:38:00Z</dcterms:created>
  <dcterms:modified xsi:type="dcterms:W3CDTF">2023-09-12T01:39:00Z</dcterms:modified>
</cp:coreProperties>
</file>