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8923C" w14:textId="77777777" w:rsidR="003D021A" w:rsidRPr="003D021A" w:rsidRDefault="003D021A" w:rsidP="00715F42">
      <w:pPr>
        <w:pStyle w:val="NormalWeb"/>
        <w:spacing w:before="0" w:beforeAutospacing="0" w:after="0" w:afterAutospacing="0" w:line="360" w:lineRule="auto"/>
        <w:jc w:val="center"/>
      </w:pPr>
      <w:r w:rsidRPr="003D021A">
        <w:rPr>
          <w:b/>
          <w:bCs/>
          <w:color w:val="000000"/>
        </w:rPr>
        <w:t>Development and validation of an instrument to evaluate secondary students’ interest in science</w:t>
      </w:r>
    </w:p>
    <w:p w14:paraId="49EEFF28" w14:textId="77777777" w:rsidR="003D021A" w:rsidRDefault="003D021A" w:rsidP="00715F42">
      <w:pPr>
        <w:spacing w:line="360" w:lineRule="auto"/>
      </w:pPr>
    </w:p>
    <w:p w14:paraId="793D17B8" w14:textId="77777777" w:rsidR="00CF6F99" w:rsidRPr="000F5108" w:rsidRDefault="00CF6F99" w:rsidP="00715F42">
      <w:pPr>
        <w:spacing w:line="360" w:lineRule="auto"/>
        <w:jc w:val="both"/>
      </w:pPr>
      <w:r w:rsidRPr="000F5108">
        <w:t>Abstract</w:t>
      </w:r>
    </w:p>
    <w:p w14:paraId="11EED4ED" w14:textId="1F404254" w:rsidR="00AD5713" w:rsidRPr="00CF6F99" w:rsidRDefault="00DF6095" w:rsidP="00715F42">
      <w:pPr>
        <w:spacing w:line="360" w:lineRule="auto"/>
        <w:jc w:val="both"/>
        <w:rPr>
          <w:sz w:val="28"/>
          <w:szCs w:val="28"/>
        </w:rPr>
      </w:pPr>
      <w:r>
        <w:t>In this study, we present the development and initial validation of an instrument to measure secondary school students’ interest in science in the Latin American context where evidence on this topic is scarce. The validation process included 74 Mexican stu</w:t>
      </w:r>
      <w:r>
        <w:t>dents from a rural public school. The process involved interviews with experts, feedback, and corrections. The final version of the instrument consists of two parts. The first has seven items based on an ordinal scale and the second has seven items based o</w:t>
      </w:r>
      <w:r>
        <w:t xml:space="preserve">n a Likert scale. To </w:t>
      </w:r>
      <w:proofErr w:type="spellStart"/>
      <w:r>
        <w:t>analyze</w:t>
      </w:r>
      <w:proofErr w:type="spellEnd"/>
      <w:r>
        <w:t xml:space="preserve"> the factorial validity of the instrument, we performed an Exploratory Factor Analysis. Data analysis indicated that the instrument exhibited satisfactory validity and reliability with the Mexican population used. The results sh</w:t>
      </w:r>
      <w:r>
        <w:t>owed a structure with two factors and Cronbach’s alpha values indicated a good internal consistency of the items. To verify if there was a difference in the scores of boys and girls in the instrument, the non-parametric Mann-Whitney test was applied. Surpr</w:t>
      </w:r>
      <w:r>
        <w:t>isingly, the analyses did not reveal any significant differences in gender responses. The richness of this instrument lies in the fact that it is built for the Mexican context and can be extrapolated to other Latin American realities.</w:t>
      </w:r>
    </w:p>
    <w:p w14:paraId="6DE9CD77" w14:textId="7A180267" w:rsidR="00AD5713" w:rsidRDefault="00DF6095" w:rsidP="00CF6F99">
      <w:pPr>
        <w:spacing w:line="480" w:lineRule="auto"/>
        <w:jc w:val="both"/>
      </w:pPr>
      <w:r>
        <w:t xml:space="preserve">Keywords: </w:t>
      </w:r>
      <w:r w:rsidR="00075551">
        <w:t>s</w:t>
      </w:r>
      <w:r>
        <w:t xml:space="preserve">cientific </w:t>
      </w:r>
      <w:r>
        <w:t xml:space="preserve">vocation; </w:t>
      </w:r>
      <w:r w:rsidR="00075551">
        <w:t>m</w:t>
      </w:r>
      <w:r>
        <w:t xml:space="preserve">otivation; STEM; Latin America; </w:t>
      </w:r>
      <w:r w:rsidR="00075551">
        <w:t>g</w:t>
      </w:r>
      <w:r>
        <w:t xml:space="preserve">ender.  </w:t>
      </w:r>
    </w:p>
    <w:p w14:paraId="437FA872" w14:textId="4CB97E4E" w:rsidR="00233B16" w:rsidRPr="009E068C" w:rsidRDefault="00233B16" w:rsidP="00CF6F99">
      <w:pPr>
        <w:spacing w:line="480" w:lineRule="auto"/>
        <w:jc w:val="both"/>
        <w:rPr>
          <w:lang w:val="es-ES"/>
        </w:rPr>
      </w:pPr>
      <w:r w:rsidRPr="009E068C">
        <w:rPr>
          <w:lang w:val="es-ES"/>
        </w:rPr>
        <w:t>Resumen</w:t>
      </w:r>
    </w:p>
    <w:p w14:paraId="0A053744" w14:textId="24DD8F78" w:rsidR="00233B16" w:rsidRDefault="00233B16" w:rsidP="00233B16">
      <w:pPr>
        <w:spacing w:line="360" w:lineRule="auto"/>
        <w:jc w:val="both"/>
        <w:rPr>
          <w:bCs/>
          <w:lang w:val="es-ES"/>
        </w:rPr>
      </w:pPr>
      <w:r w:rsidRPr="00233B16">
        <w:rPr>
          <w:bCs/>
          <w:lang w:val="es-ES"/>
        </w:rPr>
        <w:t xml:space="preserve">En este estudio se presenta el desarrollo y validación inicial de un instrumento para medir el interés </w:t>
      </w:r>
      <w:r>
        <w:rPr>
          <w:bCs/>
          <w:lang w:val="es-ES"/>
        </w:rPr>
        <w:t xml:space="preserve">hacia la ciencia </w:t>
      </w:r>
      <w:r w:rsidRPr="00233B16">
        <w:rPr>
          <w:bCs/>
          <w:lang w:val="es-ES"/>
        </w:rPr>
        <w:t xml:space="preserve">de los estudiantes de secundaria. El proceso de validación incluyó a 74 estudiantes mexicanos de una escuela pública rural. </w:t>
      </w:r>
      <w:r w:rsidR="008506FE">
        <w:rPr>
          <w:bCs/>
          <w:lang w:val="es-ES"/>
        </w:rPr>
        <w:t>E</w:t>
      </w:r>
      <w:r w:rsidRPr="00233B16">
        <w:rPr>
          <w:bCs/>
          <w:lang w:val="es-ES"/>
        </w:rPr>
        <w:t>l instrumento consta de dos partes</w:t>
      </w:r>
      <w:r w:rsidR="008506FE">
        <w:rPr>
          <w:bCs/>
          <w:lang w:val="es-ES"/>
        </w:rPr>
        <w:t>; la</w:t>
      </w:r>
      <w:r w:rsidRPr="00233B16">
        <w:rPr>
          <w:bCs/>
          <w:lang w:val="es-ES"/>
        </w:rPr>
        <w:t xml:space="preserve"> primer</w:t>
      </w:r>
      <w:r w:rsidR="008506FE">
        <w:rPr>
          <w:bCs/>
          <w:lang w:val="es-ES"/>
        </w:rPr>
        <w:t>a</w:t>
      </w:r>
      <w:r w:rsidRPr="00233B16">
        <w:rPr>
          <w:bCs/>
          <w:lang w:val="es-ES"/>
        </w:rPr>
        <w:t xml:space="preserve"> tiene siete ítems basados en una escala ordinal y </w:t>
      </w:r>
      <w:r w:rsidR="008506FE">
        <w:rPr>
          <w:bCs/>
          <w:lang w:val="es-ES"/>
        </w:rPr>
        <w:t>la</w:t>
      </w:r>
      <w:r w:rsidRPr="00233B16">
        <w:rPr>
          <w:bCs/>
          <w:lang w:val="es-ES"/>
        </w:rPr>
        <w:t xml:space="preserve"> segund</w:t>
      </w:r>
      <w:r w:rsidR="008506FE">
        <w:rPr>
          <w:bCs/>
          <w:lang w:val="es-ES"/>
        </w:rPr>
        <w:t>a</w:t>
      </w:r>
      <w:r w:rsidRPr="00233B16">
        <w:rPr>
          <w:bCs/>
          <w:lang w:val="es-ES"/>
        </w:rPr>
        <w:t xml:space="preserve"> tiene siete ítems basados en una escala Likert. Para analizar la validez factorial del instrumento se realizó un Análisis Factorial Exploratorio. El análisis de los datos indicó que el instrumento </w:t>
      </w:r>
      <w:r>
        <w:rPr>
          <w:bCs/>
          <w:lang w:val="es-ES"/>
        </w:rPr>
        <w:t>cuenta con</w:t>
      </w:r>
      <w:r w:rsidRPr="00233B16">
        <w:rPr>
          <w:bCs/>
          <w:lang w:val="es-ES"/>
        </w:rPr>
        <w:t xml:space="preserve"> validez y confiabilidad satisfactorias con la población mexicana utilizada. Los resultados mostraron una estructura con dos factores y los valores alfa de Cronbach indicaron una buena consistencia interna de los ítems. Para verificar si hubo diferencia en las puntuaciones de niños y niñas en el instrumento se aplicó la prueba no paramétrica de Mann-Whitney. </w:t>
      </w:r>
      <w:r>
        <w:rPr>
          <w:bCs/>
          <w:lang w:val="es-ES"/>
        </w:rPr>
        <w:t xml:space="preserve">Los </w:t>
      </w:r>
      <w:r w:rsidRPr="00233B16">
        <w:rPr>
          <w:bCs/>
          <w:lang w:val="es-ES"/>
        </w:rPr>
        <w:t xml:space="preserve">análisis no revelaron diferencias significativas </w:t>
      </w:r>
      <w:r>
        <w:rPr>
          <w:bCs/>
          <w:lang w:val="es-ES"/>
        </w:rPr>
        <w:t>entre sexos</w:t>
      </w:r>
      <w:r w:rsidRPr="00233B16">
        <w:rPr>
          <w:bCs/>
          <w:lang w:val="es-ES"/>
        </w:rPr>
        <w:t>. La riqueza de este instrumento radica en que está construido para el contexto mexicano y es extrapolable a otras realidades latinoamericanas.</w:t>
      </w:r>
    </w:p>
    <w:p w14:paraId="311DCC53" w14:textId="47CFAABC" w:rsidR="00785589" w:rsidRPr="00785589" w:rsidRDefault="00785589" w:rsidP="00785589">
      <w:pPr>
        <w:spacing w:line="480" w:lineRule="auto"/>
        <w:jc w:val="both"/>
        <w:rPr>
          <w:lang w:val="es-ES"/>
        </w:rPr>
      </w:pPr>
      <w:r w:rsidRPr="00785589">
        <w:rPr>
          <w:lang w:val="es-ES"/>
        </w:rPr>
        <w:t xml:space="preserve">Palabras clave: vocación científica; </w:t>
      </w:r>
      <w:r>
        <w:rPr>
          <w:lang w:val="es-ES"/>
        </w:rPr>
        <w:t>motivación</w:t>
      </w:r>
      <w:r w:rsidRPr="00785589">
        <w:rPr>
          <w:lang w:val="es-ES"/>
        </w:rPr>
        <w:t>; STEM;</w:t>
      </w:r>
      <w:r>
        <w:rPr>
          <w:lang w:val="es-ES"/>
        </w:rPr>
        <w:t xml:space="preserve"> América Latina</w:t>
      </w:r>
      <w:r w:rsidRPr="00785589">
        <w:rPr>
          <w:lang w:val="es-ES"/>
        </w:rPr>
        <w:t xml:space="preserve">; </w:t>
      </w:r>
      <w:r>
        <w:rPr>
          <w:lang w:val="es-ES"/>
        </w:rPr>
        <w:t>género</w:t>
      </w:r>
      <w:r w:rsidRPr="00785589">
        <w:rPr>
          <w:lang w:val="es-ES"/>
        </w:rPr>
        <w:t xml:space="preserve">.  </w:t>
      </w:r>
    </w:p>
    <w:p w14:paraId="3D7C418C" w14:textId="77777777" w:rsidR="00AD5713" w:rsidRPr="00785589" w:rsidRDefault="00DF6095" w:rsidP="00715F42">
      <w:pPr>
        <w:widowControl w:val="0"/>
        <w:spacing w:before="240" w:line="360" w:lineRule="auto"/>
        <w:rPr>
          <w:lang w:val="es-ES"/>
        </w:rPr>
      </w:pPr>
      <w:proofErr w:type="spellStart"/>
      <w:r w:rsidRPr="00785589">
        <w:rPr>
          <w:lang w:val="es-ES"/>
        </w:rPr>
        <w:lastRenderedPageBreak/>
        <w:t>Introduct</w:t>
      </w:r>
      <w:r w:rsidRPr="00785589">
        <w:rPr>
          <w:lang w:val="es-ES"/>
        </w:rPr>
        <w:t>ion</w:t>
      </w:r>
      <w:proofErr w:type="spellEnd"/>
    </w:p>
    <w:p w14:paraId="4C616A6A" w14:textId="0F3016B4" w:rsidR="0009376A" w:rsidRDefault="00DF6095" w:rsidP="00785589">
      <w:pPr>
        <w:widowControl w:val="0"/>
        <w:spacing w:before="240" w:after="240" w:line="360" w:lineRule="auto"/>
        <w:ind w:firstLine="720"/>
      </w:pPr>
      <w:r>
        <w:t>For the United Nations Educational, Scientific and Cultural Organization (UNESCO, 2019), education is a human right whose access and quality must be guaranteed for all. In particular, science</w:t>
      </w:r>
      <w:r>
        <w:t xml:space="preserve"> education is considered essential for the critical development of the subjects. Thanks to it, they build a sense of responsibility that gives them the ability to assume l</w:t>
      </w:r>
      <w:r w:rsidR="00AC7217">
        <w:t>eadership within their society</w:t>
      </w:r>
      <w:r>
        <w:t>.</w:t>
      </w:r>
      <w:r>
        <w:rPr>
          <w:rFonts w:ascii="Roboto" w:eastAsia="Roboto" w:hAnsi="Roboto" w:cs="Roboto"/>
          <w:color w:val="3C4043"/>
          <w:sz w:val="21"/>
          <w:szCs w:val="21"/>
          <w:highlight w:val="white"/>
        </w:rPr>
        <w:t xml:space="preserve"> </w:t>
      </w:r>
      <w:r w:rsidR="00BF01B0" w:rsidRPr="00BF01B0">
        <w:t>The promotion of interest in science within scientific education not only seeks to train generations dedicated to a scientific profession, but also to train citizens capable of making effective decisions to face current and future socio-environmental challenges</w:t>
      </w:r>
      <w:r w:rsidR="00BF01B0">
        <w:t xml:space="preserve"> </w:t>
      </w:r>
      <w:r>
        <w:t>(</w:t>
      </w:r>
      <w:proofErr w:type="spellStart"/>
      <w:r>
        <w:t>Causado</w:t>
      </w:r>
      <w:proofErr w:type="spellEnd"/>
      <w:r>
        <w:t xml:space="preserve"> et al., 2015; López &amp; Obando, 2018). </w:t>
      </w:r>
    </w:p>
    <w:p w14:paraId="4EBD6DFA" w14:textId="11A53957" w:rsidR="008C75B3" w:rsidRDefault="00DF6095" w:rsidP="008506FE">
      <w:pPr>
        <w:widowControl w:val="0"/>
        <w:spacing w:before="240" w:line="360" w:lineRule="auto"/>
        <w:ind w:firstLine="720"/>
      </w:pPr>
      <w:r>
        <w:t xml:space="preserve">According to UNESCO (2009), to the extent that this knowledge is associated with everyday life, it will be more interesting for the learner. The variable "interest" has been defined as the relatively </w:t>
      </w:r>
      <w:r>
        <w:t xml:space="preserve">long-lasting inclination or predisposition of a subject towards a specific domain. A personal experience of enjoyment, fluid and linked to positive feelings due to prior knowledge about a subject. A person with an interest in a particular subject tends to </w:t>
      </w:r>
      <w:r>
        <w:t>be more committed to activities related to that interest (UNESCO, 2009). It has been classified according to three perspectives: personal disposition, interest in contextual characteristics and interest as a psychological state.</w:t>
      </w:r>
    </w:p>
    <w:p w14:paraId="3BA4504B" w14:textId="4EDB7BD9" w:rsidR="008C75B3" w:rsidRDefault="009358C9" w:rsidP="00785589">
      <w:pPr>
        <w:widowControl w:val="0"/>
        <w:spacing w:before="240" w:line="360" w:lineRule="auto"/>
        <w:ind w:firstLine="720"/>
      </w:pPr>
      <w:r>
        <w:t xml:space="preserve">Fostering interest in science has a greater impact in the early stages of development. </w:t>
      </w:r>
      <w:r w:rsidR="00A90A32">
        <w:t>Specifically,</w:t>
      </w:r>
      <w:r>
        <w:t xml:space="preserve"> Gerhard, Meyer, and Lee (2021) suggested that the impact of experiences tends to be more significant since sensitive periods are characterized by an increase in neuronal plasticity (</w:t>
      </w:r>
      <w:proofErr w:type="spellStart"/>
      <w:r>
        <w:t>Kievit</w:t>
      </w:r>
      <w:proofErr w:type="spellEnd"/>
      <w:r>
        <w:t>, 2020). Within this stage, the brain is especially sensitive to external stimuli (</w:t>
      </w:r>
      <w:proofErr w:type="spellStart"/>
      <w:r>
        <w:t>Leisman</w:t>
      </w:r>
      <w:proofErr w:type="spellEnd"/>
      <w:r>
        <w:t xml:space="preserve"> et al., 2015). The type of stimulation received during sensitive periods influences future skill development (</w:t>
      </w:r>
      <w:proofErr w:type="spellStart"/>
      <w:r>
        <w:t>Sachser</w:t>
      </w:r>
      <w:proofErr w:type="spellEnd"/>
      <w:r>
        <w:t xml:space="preserve"> et al., 2020; Vidal et al., 2013). These periods respond to environmental circumstances such as stimulation, socialization and learning new skills (</w:t>
      </w:r>
      <w:proofErr w:type="spellStart"/>
      <w:r>
        <w:t>Kievit</w:t>
      </w:r>
      <w:proofErr w:type="spellEnd"/>
      <w:r>
        <w:t xml:space="preserve">, 2020; </w:t>
      </w:r>
      <w:proofErr w:type="spellStart"/>
      <w:r>
        <w:t>Sachser</w:t>
      </w:r>
      <w:proofErr w:type="spellEnd"/>
      <w:r>
        <w:t xml:space="preserve"> et al., 2020). </w:t>
      </w:r>
    </w:p>
    <w:p w14:paraId="6357FC9D" w14:textId="559CD134" w:rsidR="008C75B3" w:rsidRDefault="009E068C" w:rsidP="00785589">
      <w:pPr>
        <w:widowControl w:val="0"/>
        <w:spacing w:before="240" w:line="360" w:lineRule="auto"/>
        <w:ind w:firstLine="720"/>
      </w:pPr>
      <w:r>
        <w:t xml:space="preserve">Some studies highlight that young people have a lack of interest in science-related professions (Vázquez &amp; </w:t>
      </w:r>
      <w:proofErr w:type="spellStart"/>
      <w:r>
        <w:t>Manassero</w:t>
      </w:r>
      <w:proofErr w:type="spellEnd"/>
      <w:r>
        <w:t>, 2009), which is due to various factors such as unattractive classes and the belief that it is a field with a high degree of difficulty (</w:t>
      </w:r>
      <w:proofErr w:type="spellStart"/>
      <w:r>
        <w:t>Betancur</w:t>
      </w:r>
      <w:proofErr w:type="spellEnd"/>
      <w:r>
        <w:t xml:space="preserve"> et al., 2022; </w:t>
      </w:r>
      <w:proofErr w:type="spellStart"/>
      <w:r>
        <w:t>Gairal-Casadó</w:t>
      </w:r>
      <w:proofErr w:type="spellEnd"/>
      <w:r>
        <w:t xml:space="preserve"> et al., 2019). Based on the general perception of science, students choose the type of profession that they consider </w:t>
      </w:r>
      <w:r w:rsidR="00AC7217">
        <w:t>to reflect</w:t>
      </w:r>
      <w:r>
        <w:t xml:space="preserve"> both their way of being and their motivations. </w:t>
      </w:r>
    </w:p>
    <w:p w14:paraId="61A7B184" w14:textId="3E6B93D1" w:rsidR="008C75B3" w:rsidRDefault="00DF6095" w:rsidP="00785589">
      <w:pPr>
        <w:widowControl w:val="0"/>
        <w:spacing w:before="240" w:line="360" w:lineRule="auto"/>
        <w:ind w:firstLine="720"/>
      </w:pPr>
      <w:r>
        <w:lastRenderedPageBreak/>
        <w:t>It is in the transition from elementary to secondary school education when the decrease in interest in science is more evident (</w:t>
      </w:r>
      <w:r>
        <w:t xml:space="preserve">UNESCO, 2010) </w:t>
      </w:r>
      <w:r w:rsidR="00B51DB3">
        <w:t>inasmuch as</w:t>
      </w:r>
      <w:r>
        <w:t xml:space="preserve"> teachers implement different methodologies and learning approaches to teach science, which causes the level of complexity of the contents to be perceived as higher (</w:t>
      </w:r>
      <w:proofErr w:type="spellStart"/>
      <w:r>
        <w:t>Gairal-Casadó</w:t>
      </w:r>
      <w:proofErr w:type="spellEnd"/>
      <w:r>
        <w:t xml:space="preserve"> et al., 2019). Another factor </w:t>
      </w:r>
      <w:r>
        <w:t>associated wi</w:t>
      </w:r>
      <w:r>
        <w:t xml:space="preserve">th the low interest of young people </w:t>
      </w:r>
      <w:r w:rsidR="00AC7217">
        <w:t>in</w:t>
      </w:r>
      <w:r>
        <w:t xml:space="preserve"> science is the prevalence of stereotypes about scientists (boring and without social skills). To reduce such stereotypes and foster interest in science, bringing high school youth in contact with scientists has b</w:t>
      </w:r>
      <w:r>
        <w:t>een shown to increase their interest in these professions. Maintaining a dialogue or interaction with researchers contributes to reducing the stereotype, especially among adolescents when the scientists are women (Ruiz-</w:t>
      </w:r>
      <w:proofErr w:type="spellStart"/>
      <w:r>
        <w:t>Mallén</w:t>
      </w:r>
      <w:proofErr w:type="spellEnd"/>
      <w:r>
        <w:t xml:space="preserve"> et al., 2018).</w:t>
      </w:r>
    </w:p>
    <w:p w14:paraId="5C6EFF2E" w14:textId="41D87828" w:rsidR="008C75B3" w:rsidRDefault="00DF6095" w:rsidP="00785589">
      <w:pPr>
        <w:widowControl w:val="0"/>
        <w:spacing w:before="240" w:line="360" w:lineRule="auto"/>
        <w:ind w:firstLine="720"/>
      </w:pPr>
      <w:r>
        <w:t xml:space="preserve">In addition to the above, the decrease in students' motivation towards science occurs due to the lack of application of scientific content, which contributes to science being perceived as a difficult discipline, affecting the choice of profession (Vázquez </w:t>
      </w:r>
      <w:r w:rsidR="00AC7217">
        <w:t xml:space="preserve">&amp; </w:t>
      </w:r>
      <w:proofErr w:type="spellStart"/>
      <w:r w:rsidR="00AC7217">
        <w:t>Manassero</w:t>
      </w:r>
      <w:proofErr w:type="spellEnd"/>
      <w:r w:rsidR="00AC7217">
        <w:t>, 2009</w:t>
      </w:r>
      <w:r>
        <w:t>). In addition, throughout their schooling years, students tend to form positive or negative attitudes and emotions based on their successes or failures in scientific subjects (</w:t>
      </w:r>
      <w:proofErr w:type="spellStart"/>
      <w:r>
        <w:t>Portocarrero</w:t>
      </w:r>
      <w:proofErr w:type="spellEnd"/>
      <w:r>
        <w:t xml:space="preserve"> &amp; </w:t>
      </w:r>
      <w:proofErr w:type="spellStart"/>
      <w:r>
        <w:t>Nati</w:t>
      </w:r>
      <w:r>
        <w:t>vidad</w:t>
      </w:r>
      <w:proofErr w:type="spellEnd"/>
      <w:r>
        <w:t>, 2017).</w:t>
      </w:r>
    </w:p>
    <w:p w14:paraId="7C7F555D" w14:textId="4C1DE557" w:rsidR="008C75B3" w:rsidRDefault="00DF6095" w:rsidP="00785589">
      <w:pPr>
        <w:widowControl w:val="0"/>
        <w:spacing w:before="240" w:line="360" w:lineRule="auto"/>
        <w:ind w:firstLine="720"/>
      </w:pPr>
      <w:r>
        <w:t xml:space="preserve">In a study carried out by </w:t>
      </w:r>
      <w:proofErr w:type="spellStart"/>
      <w:r>
        <w:t>Sáinz</w:t>
      </w:r>
      <w:proofErr w:type="spellEnd"/>
      <w:r>
        <w:t xml:space="preserve"> et al. (2016) to </w:t>
      </w:r>
      <w:proofErr w:type="spellStart"/>
      <w:r>
        <w:t>analyze</w:t>
      </w:r>
      <w:proofErr w:type="spellEnd"/>
      <w:r>
        <w:t xml:space="preserve"> the gender representations of secondary students of information and communications technology (ICT) professionals, it is reported that women perceive engineering and other occupations r</w:t>
      </w:r>
      <w:r>
        <w:t xml:space="preserve">elated to technology as jobs dominated by men. Regarding the perception of ICT professionals as nerds and antisocial, it may lead some young people to negatively evaluate these fields. </w:t>
      </w:r>
    </w:p>
    <w:p w14:paraId="4619CF79" w14:textId="3B4BF1BC" w:rsidR="008C75B3" w:rsidRDefault="00DF6095" w:rsidP="009E068C">
      <w:pPr>
        <w:widowControl w:val="0"/>
        <w:spacing w:before="240" w:line="360" w:lineRule="auto"/>
        <w:ind w:firstLine="720"/>
      </w:pPr>
      <w:r>
        <w:t>Under the above context, it is necessary to know the variables that in</w:t>
      </w:r>
      <w:r>
        <w:t>fluence the interest in science in young people and their inclination to develop it as a profession through different contexts. And it is necessary to understand these variables considering the socio-cultural context of the young people. Most of the studie</w:t>
      </w:r>
      <w:r>
        <w:t xml:space="preserve">s cited above have been conducted in European countries or the United States, but few have been </w:t>
      </w:r>
      <w:r w:rsidR="00785589">
        <w:t>developed</w:t>
      </w:r>
      <w:r>
        <w:t xml:space="preserve"> in Latin American contexts that have their own socio-cultural particularities influencing the way students interact and understand science.</w:t>
      </w:r>
    </w:p>
    <w:p w14:paraId="3C0C0317" w14:textId="4BE9EACF" w:rsidR="008C75B3" w:rsidRDefault="00DF6095" w:rsidP="00785589">
      <w:pPr>
        <w:widowControl w:val="0"/>
        <w:spacing w:before="240" w:line="360" w:lineRule="auto"/>
        <w:ind w:firstLine="720"/>
      </w:pPr>
      <w:r>
        <w:t xml:space="preserve">There are </w:t>
      </w:r>
      <w:r>
        <w:t>instruments created to assess interest in science, however, due to cultural differences and changes in societies geographically and over time, and the specific needs of the context, it is necessary to create instruments that respond to</w:t>
      </w:r>
      <w:r>
        <w:rPr>
          <w:b/>
        </w:rPr>
        <w:t xml:space="preserve"> </w:t>
      </w:r>
      <w:r>
        <w:t>local demands. There</w:t>
      </w:r>
      <w:r>
        <w:t xml:space="preserve">fore, it is </w:t>
      </w:r>
      <w:r>
        <w:lastRenderedPageBreak/>
        <w:t xml:space="preserve">necessary to develop effective methods and tools to measure the motivation for science and scientific topics in children and young people. In this context, this paper aims to </w:t>
      </w:r>
      <w:proofErr w:type="spellStart"/>
      <w:r w:rsidR="00AC7217">
        <w:t>analyze</w:t>
      </w:r>
      <w:proofErr w:type="spellEnd"/>
      <w:r>
        <w:t xml:space="preserve"> the psychometric properties of a new self-report instrument f</w:t>
      </w:r>
      <w:r>
        <w:t xml:space="preserve">or measuring students’ interest in science in the Latin American context, </w:t>
      </w:r>
      <w:r>
        <w:t xml:space="preserve">in particular through a case study in Mexico through </w:t>
      </w:r>
      <w:r>
        <w:t>exploratory factor analysis.</w:t>
      </w:r>
    </w:p>
    <w:p w14:paraId="66D7E470" w14:textId="77777777" w:rsidR="008C75B3" w:rsidRDefault="00DF6095" w:rsidP="004E1A2F">
      <w:pPr>
        <w:widowControl w:val="0"/>
        <w:spacing w:before="240" w:line="360" w:lineRule="auto"/>
      </w:pPr>
      <w:r>
        <w:rPr>
          <w:b/>
        </w:rPr>
        <w:t>Education and science in the Mexican state of Tlaxcala</w:t>
      </w:r>
    </w:p>
    <w:p w14:paraId="5F1C96B2" w14:textId="77777777" w:rsidR="008C75B3" w:rsidRDefault="00DF6095" w:rsidP="00785589">
      <w:pPr>
        <w:widowControl w:val="0"/>
        <w:spacing w:before="240" w:line="360" w:lineRule="auto"/>
        <w:ind w:firstLine="720"/>
      </w:pPr>
      <w:r>
        <w:t>Given the current study is situated wi</w:t>
      </w:r>
      <w:r>
        <w:t>thin the context of Mexican society, in this section, the characteristics of the study population are described in order to know the social context in which children and young people in the state of Tlaxcala develop and understand which are the variables t</w:t>
      </w:r>
      <w:r>
        <w:t>hat may be associated with their academic interests.</w:t>
      </w:r>
    </w:p>
    <w:p w14:paraId="2F35E749" w14:textId="0C208E90" w:rsidR="008C75B3" w:rsidRDefault="00DF6095" w:rsidP="00785589">
      <w:pPr>
        <w:widowControl w:val="0"/>
        <w:spacing w:before="240" w:line="360" w:lineRule="auto"/>
        <w:ind w:firstLine="720"/>
      </w:pPr>
      <w:r>
        <w:t>Tlaxcala is one of the states of the Mexican Republic located east of the country's capital. It is divided into 60 municipalities and has a population of 1,272,847 (614,565 men and 658,282 women). 80% of</w:t>
      </w:r>
      <w:r>
        <w:t xml:space="preserve"> the population is urban and 20% rural. 2.5% of the total population speaks an indigenous language (</w:t>
      </w:r>
      <w:proofErr w:type="spellStart"/>
      <w:r>
        <w:t>Nahuatl</w:t>
      </w:r>
      <w:proofErr w:type="spellEnd"/>
      <w:r>
        <w:t xml:space="preserve">), (83.7%), </w:t>
      </w:r>
      <w:proofErr w:type="spellStart"/>
      <w:r>
        <w:t>Totonaca</w:t>
      </w:r>
      <w:proofErr w:type="spellEnd"/>
      <w:r>
        <w:t xml:space="preserve"> (6%), Otomi (2.1%), Zapotec (0.8%) and Mazatec </w:t>
      </w:r>
      <w:r w:rsidR="00A90A32">
        <w:t>(0.7</w:t>
      </w:r>
      <w:r>
        <w:t>%)</w:t>
      </w:r>
      <w:r w:rsidR="009E068C">
        <w:t xml:space="preserve"> (INEGI, 2017)</w:t>
      </w:r>
      <w:r>
        <w:t>.</w:t>
      </w:r>
    </w:p>
    <w:p w14:paraId="5140E407" w14:textId="26644105" w:rsidR="008C75B3" w:rsidRDefault="00AC7217" w:rsidP="00785589">
      <w:pPr>
        <w:widowControl w:val="0"/>
        <w:spacing w:before="240" w:line="360" w:lineRule="auto"/>
        <w:ind w:firstLine="720"/>
      </w:pPr>
      <w:r>
        <w:t>Specifically,</w:t>
      </w:r>
      <w:r w:rsidR="00DF6095">
        <w:t xml:space="preserve"> in the context of the state of Tlaxcala, it is necessary to promote interest in science in children and young people given the lag </w:t>
      </w:r>
      <w:r w:rsidR="00DF6095">
        <w:t>in the field of science (</w:t>
      </w:r>
      <w:proofErr w:type="spellStart"/>
      <w:r w:rsidR="00DF6095">
        <w:t>Carro</w:t>
      </w:r>
      <w:proofErr w:type="spellEnd"/>
      <w:r w:rsidR="00DF6095">
        <w:t xml:space="preserve"> et al., 2014; INEGI, 2017). Although the most recent data from the National Institute of </w:t>
      </w:r>
      <w:r>
        <w:t>Statistics</w:t>
      </w:r>
      <w:r w:rsidR="00DF6095">
        <w:t xml:space="preserve"> and Geography (INEGI, 2020) reveals that the illiteracy rate in Tlaxcala fell from 7.8% in 2000 to 3.3% in 2020, dropouts stil</w:t>
      </w:r>
      <w:r w:rsidR="00DF6095">
        <w:t>l prevail due to inadequate vocational guidance (leading to incorrect professional choice) or due to school failure (Espinosa, 2021). To guarantee the literacy of society brings benefits to the development of a country and its educational policy. Scientifi</w:t>
      </w:r>
      <w:r w:rsidR="00DF6095">
        <w:t xml:space="preserve">c education is linked not only to the progress of a nation but also it contributes to the development of scientific, </w:t>
      </w:r>
      <w:r w:rsidR="00A90A32">
        <w:t>critical,</w:t>
      </w:r>
      <w:r w:rsidR="00DF6095">
        <w:t xml:space="preserve"> and creative thinking that can be applied in other spaces to solve different problems (OECD, 2018).</w:t>
      </w:r>
      <w:r w:rsidR="00DF6095">
        <w:rPr>
          <w:b/>
        </w:rPr>
        <w:t xml:space="preserve"> </w:t>
      </w:r>
    </w:p>
    <w:p w14:paraId="521FF0C0" w14:textId="77777777" w:rsidR="008C75B3" w:rsidRDefault="00DF6095" w:rsidP="00785589">
      <w:pPr>
        <w:widowControl w:val="0"/>
        <w:spacing w:before="240" w:line="360" w:lineRule="auto"/>
        <w:ind w:firstLine="720"/>
      </w:pPr>
      <w:r>
        <w:t>Given the above context, sci</w:t>
      </w:r>
      <w:r>
        <w:t>entific education must be supported and guaranteed to all sectors of the population, attending to those who are most vulnerable or who are at disadvantage.  To invest in education based on science contributes from individual decision-making, in daily life,</w:t>
      </w:r>
      <w:r>
        <w:t xml:space="preserve"> to the progress of a nation because many current problems would be solved through the </w:t>
      </w:r>
      <w:r w:rsidR="00A90A32">
        <w:t>contribution of</w:t>
      </w:r>
      <w:r>
        <w:t xml:space="preserve"> scientific thinking (</w:t>
      </w:r>
      <w:proofErr w:type="spellStart"/>
      <w:r>
        <w:t>McConney</w:t>
      </w:r>
      <w:proofErr w:type="spellEnd"/>
      <w:r>
        <w:t xml:space="preserve"> et al., 2011).</w:t>
      </w:r>
      <w:r>
        <w:rPr>
          <w:b/>
        </w:rPr>
        <w:t xml:space="preserve"> </w:t>
      </w:r>
    </w:p>
    <w:p w14:paraId="206F392E" w14:textId="77777777" w:rsidR="008C75B3" w:rsidRDefault="00DF6095" w:rsidP="00785589">
      <w:pPr>
        <w:widowControl w:val="0"/>
        <w:spacing w:before="240" w:line="360" w:lineRule="auto"/>
        <w:ind w:firstLine="720"/>
      </w:pPr>
      <w:r>
        <w:lastRenderedPageBreak/>
        <w:t>There is currently many studies indicating that adolescents interested in science are those who have had sc</w:t>
      </w:r>
      <w:r>
        <w:t>ience-related experiences, such as personal contact with scientific disciplines and access to sufficient information to make conscious decisions. However, this possibility is reduced for those individuals who have little access to science-related activitie</w:t>
      </w:r>
      <w:r>
        <w:t>s or for those who belong to a vulnerable group (</w:t>
      </w:r>
      <w:proofErr w:type="spellStart"/>
      <w:r>
        <w:t>Gairal</w:t>
      </w:r>
      <w:proofErr w:type="spellEnd"/>
      <w:r>
        <w:t xml:space="preserve"> et al., 2019). In the state of Tlaxcala (where this study was done) it is necessary to integrate scientific culture in children's daily lives and young people because as students move from one level o</w:t>
      </w:r>
      <w:r>
        <w:t>f education to another, school dropout is more marked.</w:t>
      </w:r>
    </w:p>
    <w:p w14:paraId="223CB89D" w14:textId="1B261E90" w:rsidR="00AD5713" w:rsidRPr="008C75B3" w:rsidRDefault="00DF6095" w:rsidP="004E1A2F">
      <w:pPr>
        <w:widowControl w:val="0"/>
        <w:spacing w:before="240" w:line="360" w:lineRule="auto"/>
      </w:pPr>
      <w:r>
        <w:rPr>
          <w:b/>
        </w:rPr>
        <w:t>Instruments for evaluating students' interest in science</w:t>
      </w:r>
    </w:p>
    <w:p w14:paraId="10EB0545" w14:textId="77777777" w:rsidR="008C75B3" w:rsidRDefault="00DF6095" w:rsidP="00785589">
      <w:pPr>
        <w:widowControl w:val="0"/>
        <w:spacing w:before="240" w:line="360" w:lineRule="auto"/>
        <w:ind w:firstLine="720"/>
      </w:pPr>
      <w:r>
        <w:t>Given the importance of scientific education for the development of a society, it is a priority to generate measurement instruments that serve a</w:t>
      </w:r>
      <w:r>
        <w:t>s a guide to know if the methodologies that are being applied to promote scientific vocations are effective. A review of the literature was carried out to identify instruments that were designed to measure interest in science among high school students. Ev</w:t>
      </w:r>
      <w:r>
        <w:t xml:space="preserve">en though in recent years there has been a growing emphasis on scientific literacy, a shortage of instruments to measure interest in science in the Mexican and the Latin American context has been reported. Most of the instrument’s focus on measuring other </w:t>
      </w:r>
      <w:r>
        <w:t>variables such as attitudes towards science or evaluating interest as a dimension of another variable. In addition, using an instrument developed in a different cultural system is not appropriate</w:t>
      </w:r>
      <w:r w:rsidR="008C75B3">
        <w:t xml:space="preserve">. </w:t>
      </w:r>
    </w:p>
    <w:p w14:paraId="3ABE00F7" w14:textId="77777777" w:rsidR="008C75B3" w:rsidRDefault="00DF6095" w:rsidP="00785589">
      <w:pPr>
        <w:widowControl w:val="0"/>
        <w:spacing w:before="240" w:line="360" w:lineRule="auto"/>
        <w:ind w:firstLine="720"/>
        <w:rPr>
          <w:rFonts w:ascii="Roboto" w:eastAsia="Roboto" w:hAnsi="Roboto" w:cs="Roboto"/>
          <w:color w:val="444746"/>
          <w:sz w:val="21"/>
          <w:szCs w:val="21"/>
        </w:rPr>
      </w:pPr>
      <w:r>
        <w:t>Given the low number of instruments contextualized in the Latin American reality focused on measuring interest in science in high school and the need to consider the specific characteristics of the context, we looked for those that measure related variable</w:t>
      </w:r>
      <w:r>
        <w:t xml:space="preserve">s, both in </w:t>
      </w:r>
      <w:r w:rsidR="00A90A32">
        <w:t>Spanish</w:t>
      </w:r>
      <w:r>
        <w:t xml:space="preserve"> and </w:t>
      </w:r>
      <w:r w:rsidR="00A90A32">
        <w:t>English</w:t>
      </w:r>
      <w:r>
        <w:t xml:space="preserve">, such as attitudes and scientific vocations. </w:t>
      </w:r>
    </w:p>
    <w:p w14:paraId="023841C2" w14:textId="77777777" w:rsidR="008C75B3" w:rsidRDefault="00DF6095" w:rsidP="00785589">
      <w:pPr>
        <w:widowControl w:val="0"/>
        <w:spacing w:before="240" w:line="360" w:lineRule="auto"/>
        <w:ind w:firstLine="720"/>
      </w:pPr>
      <w:r>
        <w:t>All the instruments have in common a dimension dedicated to evaluating the attitude towards the science that is taught in school or towards science subjects. Four of these instrum</w:t>
      </w:r>
      <w:r>
        <w:t>ents are focused on measuring the attitude towards science. Three evaluate the importance, usefulness or image of science, the self-efficacy of the participant towards science and practical work, and the vocation or professional choice. Only one of them me</w:t>
      </w:r>
      <w:r>
        <w:t>asures interest in science (see table 1).</w:t>
      </w:r>
    </w:p>
    <w:p w14:paraId="4EBD8E26" w14:textId="51EFD5C2" w:rsidR="00AD5713" w:rsidRPr="008C75B3" w:rsidRDefault="00DF6095" w:rsidP="004E1A2F">
      <w:pPr>
        <w:widowControl w:val="0"/>
        <w:spacing w:before="240" w:line="360" w:lineRule="auto"/>
        <w:rPr>
          <w:rFonts w:ascii="Roboto" w:eastAsia="Roboto" w:hAnsi="Roboto" w:cs="Roboto"/>
          <w:color w:val="444746"/>
          <w:sz w:val="21"/>
          <w:szCs w:val="21"/>
        </w:rPr>
      </w:pPr>
      <w:r>
        <w:t>Table 1. Instruments used to measure attitudes and scientific vocations.</w:t>
      </w:r>
    </w:p>
    <w:tbl>
      <w:tblPr>
        <w:tblStyle w:val="a3"/>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3150"/>
        <w:gridCol w:w="2550"/>
      </w:tblGrid>
      <w:tr w:rsidR="00AD5713" w:rsidRPr="00AC7217" w14:paraId="1A3B4372" w14:textId="77777777" w:rsidTr="00A90A32">
        <w:trPr>
          <w:trHeight w:val="440"/>
        </w:trPr>
        <w:tc>
          <w:tcPr>
            <w:tcW w:w="2760" w:type="dxa"/>
            <w:tcBorders>
              <w:left w:val="nil"/>
              <w:bottom w:val="single" w:sz="4" w:space="0" w:color="auto"/>
              <w:right w:val="nil"/>
            </w:tcBorders>
            <w:shd w:val="clear" w:color="auto" w:fill="auto"/>
            <w:tcMar>
              <w:top w:w="100" w:type="dxa"/>
              <w:left w:w="100" w:type="dxa"/>
              <w:bottom w:w="100" w:type="dxa"/>
              <w:right w:w="100" w:type="dxa"/>
            </w:tcMar>
          </w:tcPr>
          <w:p w14:paraId="59032D1B" w14:textId="77777777" w:rsidR="00AD5713" w:rsidRPr="00AC7217" w:rsidRDefault="00DF6095" w:rsidP="004E1A2F">
            <w:pPr>
              <w:widowControl w:val="0"/>
              <w:spacing w:line="360" w:lineRule="auto"/>
              <w:rPr>
                <w:sz w:val="20"/>
              </w:rPr>
            </w:pPr>
            <w:r w:rsidRPr="00AC7217">
              <w:rPr>
                <w:sz w:val="20"/>
              </w:rPr>
              <w:lastRenderedPageBreak/>
              <w:t>Instrument</w:t>
            </w:r>
          </w:p>
        </w:tc>
        <w:tc>
          <w:tcPr>
            <w:tcW w:w="315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69E654D3" w14:textId="77777777" w:rsidR="00AD5713" w:rsidRPr="00AC7217" w:rsidRDefault="00DF6095" w:rsidP="004E1A2F">
            <w:pPr>
              <w:widowControl w:val="0"/>
              <w:spacing w:line="360" w:lineRule="auto"/>
              <w:jc w:val="center"/>
              <w:rPr>
                <w:sz w:val="20"/>
              </w:rPr>
            </w:pPr>
            <w:r w:rsidRPr="00AC7217">
              <w:rPr>
                <w:sz w:val="20"/>
              </w:rPr>
              <w:t>Items/dimensions</w:t>
            </w:r>
          </w:p>
          <w:p w14:paraId="445111B2" w14:textId="77777777" w:rsidR="00AD5713" w:rsidRPr="00AC7217" w:rsidRDefault="00DF6095" w:rsidP="004E1A2F">
            <w:pPr>
              <w:widowControl w:val="0"/>
              <w:spacing w:line="360" w:lineRule="auto"/>
              <w:jc w:val="center"/>
              <w:rPr>
                <w:sz w:val="20"/>
              </w:rPr>
            </w:pPr>
            <w:r w:rsidRPr="00AC7217">
              <w:rPr>
                <w:sz w:val="20"/>
              </w:rPr>
              <w:t>Details</w:t>
            </w:r>
          </w:p>
        </w:tc>
        <w:tc>
          <w:tcPr>
            <w:tcW w:w="255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7520BAD8" w14:textId="77777777" w:rsidR="00AD5713" w:rsidRPr="00AC7217" w:rsidRDefault="00DF6095" w:rsidP="004E1A2F">
            <w:pPr>
              <w:widowControl w:val="0"/>
              <w:spacing w:line="360" w:lineRule="auto"/>
              <w:jc w:val="center"/>
              <w:rPr>
                <w:sz w:val="20"/>
              </w:rPr>
            </w:pPr>
            <w:r w:rsidRPr="00AC7217">
              <w:rPr>
                <w:sz w:val="20"/>
              </w:rPr>
              <w:t>Primary</w:t>
            </w:r>
          </w:p>
          <w:p w14:paraId="03ACE0DD" w14:textId="77777777" w:rsidR="00AD5713" w:rsidRPr="00AC7217" w:rsidRDefault="00DF6095" w:rsidP="004E1A2F">
            <w:pPr>
              <w:widowControl w:val="0"/>
              <w:spacing w:line="360" w:lineRule="auto"/>
              <w:jc w:val="center"/>
              <w:rPr>
                <w:sz w:val="20"/>
              </w:rPr>
            </w:pPr>
            <w:r w:rsidRPr="00AC7217">
              <w:rPr>
                <w:sz w:val="20"/>
              </w:rPr>
              <w:t>audience</w:t>
            </w:r>
          </w:p>
        </w:tc>
      </w:tr>
      <w:tr w:rsidR="00AD5713" w:rsidRPr="00AC7217" w14:paraId="59D6CED9" w14:textId="77777777" w:rsidTr="00A90A32">
        <w:trPr>
          <w:trHeight w:val="440"/>
        </w:trPr>
        <w:tc>
          <w:tcPr>
            <w:tcW w:w="2760" w:type="dxa"/>
            <w:tcBorders>
              <w:top w:val="single" w:sz="4" w:space="0" w:color="auto"/>
              <w:left w:val="nil"/>
              <w:bottom w:val="nil"/>
              <w:right w:val="nil"/>
            </w:tcBorders>
            <w:shd w:val="clear" w:color="auto" w:fill="auto"/>
            <w:tcMar>
              <w:top w:w="100" w:type="dxa"/>
              <w:left w:w="100" w:type="dxa"/>
              <w:bottom w:w="100" w:type="dxa"/>
              <w:right w:w="100" w:type="dxa"/>
            </w:tcMar>
          </w:tcPr>
          <w:p w14:paraId="6E9738FD" w14:textId="77777777" w:rsidR="00AD5713" w:rsidRPr="00AC7217" w:rsidRDefault="00DF6095" w:rsidP="004E1A2F">
            <w:pPr>
              <w:widowControl w:val="0"/>
              <w:spacing w:before="240" w:line="360" w:lineRule="auto"/>
              <w:rPr>
                <w:sz w:val="20"/>
              </w:rPr>
            </w:pPr>
            <w:r w:rsidRPr="00AC7217">
              <w:rPr>
                <w:sz w:val="20"/>
              </w:rPr>
              <w:t xml:space="preserve">The Educational and Career Interest in STEM (Oh, </w:t>
            </w:r>
            <w:proofErr w:type="spellStart"/>
            <w:r w:rsidRPr="00AC7217">
              <w:rPr>
                <w:sz w:val="20"/>
              </w:rPr>
              <w:t>Jia</w:t>
            </w:r>
            <w:proofErr w:type="spellEnd"/>
            <w:r w:rsidRPr="00AC7217">
              <w:rPr>
                <w:sz w:val="20"/>
              </w:rPr>
              <w:t xml:space="preserve">, Lorentson, and </w:t>
            </w:r>
            <w:proofErr w:type="spellStart"/>
            <w:r w:rsidRPr="00AC7217">
              <w:rPr>
                <w:sz w:val="20"/>
              </w:rPr>
              <w:t>LaBanca</w:t>
            </w:r>
            <w:proofErr w:type="spellEnd"/>
            <w:r w:rsidRPr="00AC7217">
              <w:rPr>
                <w:sz w:val="20"/>
              </w:rPr>
              <w:t>, 2013)</w:t>
            </w:r>
          </w:p>
        </w:tc>
        <w:tc>
          <w:tcPr>
            <w:tcW w:w="3150" w:type="dxa"/>
            <w:tcBorders>
              <w:top w:val="single" w:sz="4" w:space="0" w:color="auto"/>
              <w:left w:val="nil"/>
              <w:bottom w:val="nil"/>
              <w:right w:val="nil"/>
            </w:tcBorders>
            <w:shd w:val="clear" w:color="auto" w:fill="auto"/>
            <w:tcMar>
              <w:top w:w="100" w:type="dxa"/>
              <w:left w:w="100" w:type="dxa"/>
              <w:bottom w:w="100" w:type="dxa"/>
              <w:right w:w="100" w:type="dxa"/>
            </w:tcMar>
          </w:tcPr>
          <w:p w14:paraId="3A72342D" w14:textId="77777777" w:rsidR="00AD5713" w:rsidRPr="00AC7217" w:rsidRDefault="00DF6095" w:rsidP="004E1A2F">
            <w:pPr>
              <w:widowControl w:val="0"/>
              <w:spacing w:before="240" w:line="360" w:lineRule="auto"/>
              <w:rPr>
                <w:sz w:val="20"/>
              </w:rPr>
            </w:pPr>
            <w:r w:rsidRPr="00AC7217">
              <w:rPr>
                <w:sz w:val="20"/>
              </w:rPr>
              <w:t xml:space="preserve">9 </w:t>
            </w:r>
            <w:r w:rsidRPr="00AC7217">
              <w:rPr>
                <w:sz w:val="20"/>
              </w:rPr>
              <w:t>items rated on a 7-point Likert-type scale ranging from 1 (not at all true) to 7 (very true)</w:t>
            </w:r>
          </w:p>
        </w:tc>
        <w:tc>
          <w:tcPr>
            <w:tcW w:w="2550" w:type="dxa"/>
            <w:tcBorders>
              <w:top w:val="single" w:sz="4" w:space="0" w:color="auto"/>
              <w:left w:val="nil"/>
              <w:bottom w:val="nil"/>
              <w:right w:val="nil"/>
            </w:tcBorders>
            <w:shd w:val="clear" w:color="auto" w:fill="auto"/>
            <w:tcMar>
              <w:top w:w="100" w:type="dxa"/>
              <w:left w:w="100" w:type="dxa"/>
              <w:bottom w:w="100" w:type="dxa"/>
              <w:right w:w="100" w:type="dxa"/>
            </w:tcMar>
          </w:tcPr>
          <w:p w14:paraId="4A487C56" w14:textId="77777777" w:rsidR="00AD5713" w:rsidRPr="00AC7217" w:rsidRDefault="00DF6095" w:rsidP="004E1A2F">
            <w:pPr>
              <w:widowControl w:val="0"/>
              <w:spacing w:before="240" w:line="360" w:lineRule="auto"/>
              <w:rPr>
                <w:sz w:val="20"/>
              </w:rPr>
            </w:pPr>
            <w:r w:rsidRPr="00AC7217">
              <w:rPr>
                <w:sz w:val="20"/>
              </w:rPr>
              <w:t>Measures the interest in science of high school students</w:t>
            </w:r>
          </w:p>
        </w:tc>
      </w:tr>
      <w:tr w:rsidR="00AD5713" w:rsidRPr="00AC7217" w14:paraId="0716B342" w14:textId="77777777" w:rsidTr="00A90A32">
        <w:trPr>
          <w:trHeight w:val="440"/>
        </w:trPr>
        <w:tc>
          <w:tcPr>
            <w:tcW w:w="2760" w:type="dxa"/>
            <w:tcBorders>
              <w:top w:val="nil"/>
              <w:left w:val="nil"/>
              <w:bottom w:val="nil"/>
              <w:right w:val="nil"/>
            </w:tcBorders>
            <w:shd w:val="clear" w:color="auto" w:fill="auto"/>
            <w:tcMar>
              <w:top w:w="100" w:type="dxa"/>
              <w:left w:w="100" w:type="dxa"/>
              <w:bottom w:w="100" w:type="dxa"/>
              <w:right w:w="100" w:type="dxa"/>
            </w:tcMar>
          </w:tcPr>
          <w:p w14:paraId="20CA5258" w14:textId="77777777" w:rsidR="00AD5713" w:rsidRPr="00AC7217" w:rsidRDefault="00DF6095" w:rsidP="004E1A2F">
            <w:pPr>
              <w:widowControl w:val="0"/>
              <w:spacing w:line="360" w:lineRule="auto"/>
              <w:rPr>
                <w:sz w:val="20"/>
              </w:rPr>
            </w:pPr>
            <w:r w:rsidRPr="00AC7217">
              <w:rPr>
                <w:sz w:val="20"/>
              </w:rPr>
              <w:t>Impact of Lab in a Lorry instrument (</w:t>
            </w:r>
            <w:proofErr w:type="spellStart"/>
            <w:r w:rsidRPr="00AC7217">
              <w:rPr>
                <w:sz w:val="20"/>
              </w:rPr>
              <w:t>Barmby</w:t>
            </w:r>
            <w:proofErr w:type="spellEnd"/>
            <w:r w:rsidRPr="00AC7217">
              <w:rPr>
                <w:sz w:val="20"/>
              </w:rPr>
              <w:t>, Kind &amp; Jones, 2008)</w:t>
            </w:r>
          </w:p>
        </w:tc>
        <w:tc>
          <w:tcPr>
            <w:tcW w:w="3150" w:type="dxa"/>
            <w:tcBorders>
              <w:top w:val="nil"/>
              <w:left w:val="nil"/>
              <w:bottom w:val="nil"/>
              <w:right w:val="nil"/>
            </w:tcBorders>
            <w:shd w:val="clear" w:color="auto" w:fill="auto"/>
            <w:tcMar>
              <w:top w:w="100" w:type="dxa"/>
              <w:left w:w="100" w:type="dxa"/>
              <w:bottom w:w="100" w:type="dxa"/>
              <w:right w:w="100" w:type="dxa"/>
            </w:tcMar>
          </w:tcPr>
          <w:p w14:paraId="0CC5C8F2" w14:textId="77777777" w:rsidR="00AD5713" w:rsidRPr="00AC7217" w:rsidRDefault="00DF6095" w:rsidP="004E1A2F">
            <w:pPr>
              <w:widowControl w:val="0"/>
              <w:spacing w:before="240" w:line="360" w:lineRule="auto"/>
              <w:rPr>
                <w:sz w:val="20"/>
              </w:rPr>
            </w:pPr>
            <w:r w:rsidRPr="00AC7217">
              <w:rPr>
                <w:sz w:val="20"/>
              </w:rPr>
              <w:t xml:space="preserve">37 items rated on a 7-point Likert-type </w:t>
            </w:r>
            <w:r w:rsidRPr="00AC7217">
              <w:rPr>
                <w:sz w:val="20"/>
              </w:rPr>
              <w:t>scale ranging from 1 (strongly disagree) to 5 (strongly agree)</w:t>
            </w:r>
          </w:p>
        </w:tc>
        <w:tc>
          <w:tcPr>
            <w:tcW w:w="2550" w:type="dxa"/>
            <w:tcBorders>
              <w:top w:val="nil"/>
              <w:left w:val="nil"/>
              <w:bottom w:val="nil"/>
              <w:right w:val="nil"/>
            </w:tcBorders>
            <w:shd w:val="clear" w:color="auto" w:fill="auto"/>
            <w:tcMar>
              <w:top w:w="100" w:type="dxa"/>
              <w:left w:w="100" w:type="dxa"/>
              <w:bottom w:w="100" w:type="dxa"/>
              <w:right w:w="100" w:type="dxa"/>
            </w:tcMar>
          </w:tcPr>
          <w:p w14:paraId="1ABAB0A0" w14:textId="77777777" w:rsidR="00AD5713" w:rsidRPr="00AC7217" w:rsidRDefault="00DF6095" w:rsidP="004E1A2F">
            <w:pPr>
              <w:widowControl w:val="0"/>
              <w:spacing w:before="240" w:line="360" w:lineRule="auto"/>
              <w:rPr>
                <w:sz w:val="20"/>
              </w:rPr>
            </w:pPr>
            <w:r w:rsidRPr="00AC7217">
              <w:rPr>
                <w:sz w:val="20"/>
              </w:rPr>
              <w:t>Measure the attitudes of secondary school students</w:t>
            </w:r>
          </w:p>
        </w:tc>
      </w:tr>
      <w:tr w:rsidR="00AD5713" w:rsidRPr="00AC7217" w14:paraId="488478FF" w14:textId="77777777" w:rsidTr="00A90A32">
        <w:trPr>
          <w:trHeight w:val="440"/>
        </w:trPr>
        <w:tc>
          <w:tcPr>
            <w:tcW w:w="2760" w:type="dxa"/>
            <w:tcBorders>
              <w:top w:val="nil"/>
              <w:left w:val="nil"/>
              <w:bottom w:val="nil"/>
              <w:right w:val="nil"/>
            </w:tcBorders>
            <w:shd w:val="clear" w:color="auto" w:fill="auto"/>
            <w:tcMar>
              <w:top w:w="100" w:type="dxa"/>
              <w:left w:w="100" w:type="dxa"/>
              <w:bottom w:w="100" w:type="dxa"/>
              <w:right w:w="100" w:type="dxa"/>
            </w:tcMar>
          </w:tcPr>
          <w:p w14:paraId="0CE7A93F" w14:textId="77777777" w:rsidR="00AD5713" w:rsidRPr="00AC7217" w:rsidRDefault="00DF6095" w:rsidP="004E1A2F">
            <w:pPr>
              <w:widowControl w:val="0"/>
              <w:spacing w:before="240" w:line="360" w:lineRule="auto"/>
              <w:rPr>
                <w:sz w:val="20"/>
              </w:rPr>
            </w:pPr>
            <w:r w:rsidRPr="00AC7217">
              <w:rPr>
                <w:sz w:val="20"/>
              </w:rPr>
              <w:t>Middle School Career Self-Efficacy Scale (Fouad et al., 1997)</w:t>
            </w:r>
          </w:p>
        </w:tc>
        <w:tc>
          <w:tcPr>
            <w:tcW w:w="3150" w:type="dxa"/>
            <w:tcBorders>
              <w:top w:val="nil"/>
              <w:left w:val="nil"/>
              <w:bottom w:val="nil"/>
              <w:right w:val="nil"/>
            </w:tcBorders>
            <w:shd w:val="clear" w:color="auto" w:fill="auto"/>
            <w:tcMar>
              <w:top w:w="100" w:type="dxa"/>
              <w:left w:w="100" w:type="dxa"/>
              <w:bottom w:w="100" w:type="dxa"/>
              <w:right w:w="100" w:type="dxa"/>
            </w:tcMar>
          </w:tcPr>
          <w:p w14:paraId="2E548731" w14:textId="77777777" w:rsidR="00AD5713" w:rsidRPr="00AC7217" w:rsidRDefault="00DF6095" w:rsidP="004E1A2F">
            <w:pPr>
              <w:widowControl w:val="0"/>
              <w:spacing w:before="240" w:line="360" w:lineRule="auto"/>
              <w:rPr>
                <w:sz w:val="20"/>
              </w:rPr>
            </w:pPr>
            <w:r w:rsidRPr="00AC7217">
              <w:rPr>
                <w:sz w:val="20"/>
              </w:rPr>
              <w:t xml:space="preserve">47 items rated on two scales ranging: </w:t>
            </w:r>
          </w:p>
          <w:p w14:paraId="7BD32A34" w14:textId="77777777" w:rsidR="00AD5713" w:rsidRPr="00AC7217" w:rsidRDefault="00DF6095" w:rsidP="004E1A2F">
            <w:pPr>
              <w:widowControl w:val="0"/>
              <w:spacing w:before="240" w:line="360" w:lineRule="auto"/>
              <w:rPr>
                <w:sz w:val="20"/>
              </w:rPr>
            </w:pPr>
            <w:r w:rsidRPr="00AC7217">
              <w:rPr>
                <w:sz w:val="20"/>
              </w:rPr>
              <w:t xml:space="preserve">a) Strongly Agree (SA) to Strongly </w:t>
            </w:r>
            <w:r w:rsidRPr="00AC7217">
              <w:rPr>
                <w:sz w:val="20"/>
              </w:rPr>
              <w:t>Disagree (SD).</w:t>
            </w:r>
          </w:p>
          <w:p w14:paraId="6F071110" w14:textId="77777777" w:rsidR="00AD5713" w:rsidRPr="00AC7217" w:rsidRDefault="00DF6095" w:rsidP="004E1A2F">
            <w:pPr>
              <w:widowControl w:val="0"/>
              <w:spacing w:before="240" w:line="360" w:lineRule="auto"/>
              <w:rPr>
                <w:sz w:val="20"/>
              </w:rPr>
            </w:pPr>
            <w:r w:rsidRPr="00AC7217">
              <w:rPr>
                <w:sz w:val="20"/>
              </w:rPr>
              <w:t>b) 1 (Very High Ability) to 5 (Very Low Ability)</w:t>
            </w:r>
          </w:p>
        </w:tc>
        <w:tc>
          <w:tcPr>
            <w:tcW w:w="2550" w:type="dxa"/>
            <w:tcBorders>
              <w:top w:val="nil"/>
              <w:left w:val="nil"/>
              <w:bottom w:val="nil"/>
              <w:right w:val="nil"/>
            </w:tcBorders>
            <w:shd w:val="clear" w:color="auto" w:fill="auto"/>
            <w:tcMar>
              <w:top w:w="100" w:type="dxa"/>
              <w:left w:w="100" w:type="dxa"/>
              <w:bottom w:w="100" w:type="dxa"/>
              <w:right w:w="100" w:type="dxa"/>
            </w:tcMar>
          </w:tcPr>
          <w:p w14:paraId="7D267C88" w14:textId="77777777" w:rsidR="00AD5713" w:rsidRPr="00AC7217" w:rsidRDefault="00DF6095" w:rsidP="004E1A2F">
            <w:pPr>
              <w:widowControl w:val="0"/>
              <w:spacing w:before="240" w:line="360" w:lineRule="auto"/>
              <w:rPr>
                <w:sz w:val="20"/>
              </w:rPr>
            </w:pPr>
            <w:r w:rsidRPr="00AC7217">
              <w:rPr>
                <w:sz w:val="20"/>
              </w:rPr>
              <w:t>Measure vocational identity, self-esteem, and career choice. Has been applied to children from 12 to 15 years old</w:t>
            </w:r>
          </w:p>
        </w:tc>
      </w:tr>
      <w:tr w:rsidR="00AD5713" w:rsidRPr="00AC7217" w14:paraId="5FD48F93" w14:textId="77777777" w:rsidTr="00A90A32">
        <w:trPr>
          <w:trHeight w:val="440"/>
        </w:trPr>
        <w:tc>
          <w:tcPr>
            <w:tcW w:w="2760" w:type="dxa"/>
            <w:tcBorders>
              <w:top w:val="nil"/>
              <w:left w:val="nil"/>
              <w:bottom w:val="nil"/>
              <w:right w:val="nil"/>
            </w:tcBorders>
            <w:shd w:val="clear" w:color="auto" w:fill="auto"/>
            <w:tcMar>
              <w:top w:w="100" w:type="dxa"/>
              <w:left w:w="100" w:type="dxa"/>
              <w:bottom w:w="100" w:type="dxa"/>
              <w:right w:w="100" w:type="dxa"/>
            </w:tcMar>
          </w:tcPr>
          <w:p w14:paraId="1D22B7C3" w14:textId="77777777" w:rsidR="00AD5713" w:rsidRPr="00AC7217" w:rsidRDefault="00DF6095" w:rsidP="004E1A2F">
            <w:pPr>
              <w:widowControl w:val="0"/>
              <w:spacing w:before="240" w:line="360" w:lineRule="auto"/>
              <w:rPr>
                <w:sz w:val="20"/>
              </w:rPr>
            </w:pPr>
            <w:r w:rsidRPr="00AC7217">
              <w:rPr>
                <w:sz w:val="20"/>
              </w:rPr>
              <w:t xml:space="preserve">Questionnaire of attitudes towards science (Vázquez and </w:t>
            </w:r>
            <w:proofErr w:type="spellStart"/>
            <w:r w:rsidRPr="00AC7217">
              <w:rPr>
                <w:sz w:val="20"/>
              </w:rPr>
              <w:t>Manassero</w:t>
            </w:r>
            <w:proofErr w:type="spellEnd"/>
            <w:r w:rsidRPr="00AC7217">
              <w:rPr>
                <w:sz w:val="20"/>
              </w:rPr>
              <w:t>, 2008)</w:t>
            </w:r>
          </w:p>
        </w:tc>
        <w:tc>
          <w:tcPr>
            <w:tcW w:w="3150" w:type="dxa"/>
            <w:tcBorders>
              <w:top w:val="nil"/>
              <w:left w:val="nil"/>
              <w:bottom w:val="nil"/>
              <w:right w:val="nil"/>
            </w:tcBorders>
            <w:shd w:val="clear" w:color="auto" w:fill="auto"/>
            <w:tcMar>
              <w:top w:w="100" w:type="dxa"/>
              <w:left w:w="100" w:type="dxa"/>
              <w:bottom w:w="100" w:type="dxa"/>
              <w:right w:w="100" w:type="dxa"/>
            </w:tcMar>
          </w:tcPr>
          <w:p w14:paraId="57F0879C" w14:textId="77777777" w:rsidR="00AD5713" w:rsidRPr="00AC7217" w:rsidRDefault="00DF6095" w:rsidP="004E1A2F">
            <w:pPr>
              <w:widowControl w:val="0"/>
              <w:spacing w:before="240" w:line="360" w:lineRule="auto"/>
              <w:rPr>
                <w:sz w:val="20"/>
              </w:rPr>
            </w:pPr>
            <w:r w:rsidRPr="00AC7217">
              <w:rPr>
                <w:sz w:val="20"/>
              </w:rPr>
              <w:t>24 i</w:t>
            </w:r>
            <w:r w:rsidRPr="00AC7217">
              <w:rPr>
                <w:sz w:val="20"/>
              </w:rPr>
              <w:t>tems.</w:t>
            </w:r>
          </w:p>
          <w:p w14:paraId="418F485C" w14:textId="15B14126" w:rsidR="00AD5713" w:rsidRPr="00AC7217" w:rsidRDefault="00DF6095" w:rsidP="004E1A2F">
            <w:pPr>
              <w:widowControl w:val="0"/>
              <w:spacing w:before="240" w:line="360" w:lineRule="auto"/>
              <w:rPr>
                <w:sz w:val="20"/>
              </w:rPr>
            </w:pPr>
            <w:r w:rsidRPr="00AC7217">
              <w:rPr>
                <w:sz w:val="20"/>
              </w:rPr>
              <w:t xml:space="preserve">The participants </w:t>
            </w:r>
            <w:r w:rsidR="008C75B3" w:rsidRPr="00AC7217">
              <w:rPr>
                <w:sz w:val="20"/>
              </w:rPr>
              <w:t>must</w:t>
            </w:r>
            <w:r w:rsidRPr="00AC7217">
              <w:rPr>
                <w:sz w:val="20"/>
              </w:rPr>
              <w:t xml:space="preserve"> select the level of agreement for each sentence on a scale of 4 options</w:t>
            </w:r>
          </w:p>
        </w:tc>
        <w:tc>
          <w:tcPr>
            <w:tcW w:w="2550" w:type="dxa"/>
            <w:tcBorders>
              <w:top w:val="nil"/>
              <w:left w:val="nil"/>
              <w:bottom w:val="nil"/>
              <w:right w:val="nil"/>
            </w:tcBorders>
            <w:shd w:val="clear" w:color="auto" w:fill="auto"/>
            <w:tcMar>
              <w:top w:w="100" w:type="dxa"/>
              <w:left w:w="100" w:type="dxa"/>
              <w:bottom w:w="100" w:type="dxa"/>
              <w:right w:w="100" w:type="dxa"/>
            </w:tcMar>
          </w:tcPr>
          <w:p w14:paraId="30D7BF59" w14:textId="77777777" w:rsidR="00AD5713" w:rsidRPr="00AC7217" w:rsidRDefault="00DF6095" w:rsidP="004E1A2F">
            <w:pPr>
              <w:widowControl w:val="0"/>
              <w:spacing w:before="240" w:line="360" w:lineRule="auto"/>
              <w:rPr>
                <w:sz w:val="20"/>
              </w:rPr>
            </w:pPr>
            <w:r w:rsidRPr="00AC7217">
              <w:rPr>
                <w:sz w:val="20"/>
              </w:rPr>
              <w:t>It has been applied to science fair visitors</w:t>
            </w:r>
          </w:p>
        </w:tc>
      </w:tr>
      <w:tr w:rsidR="00AD5713" w:rsidRPr="00AC7217" w14:paraId="3626AC85" w14:textId="77777777" w:rsidTr="00A90A32">
        <w:trPr>
          <w:trHeight w:val="440"/>
        </w:trPr>
        <w:tc>
          <w:tcPr>
            <w:tcW w:w="2760" w:type="dxa"/>
            <w:tcBorders>
              <w:top w:val="nil"/>
              <w:left w:val="nil"/>
              <w:bottom w:val="nil"/>
              <w:right w:val="nil"/>
            </w:tcBorders>
            <w:shd w:val="clear" w:color="auto" w:fill="auto"/>
            <w:tcMar>
              <w:top w:w="100" w:type="dxa"/>
              <w:left w:w="100" w:type="dxa"/>
              <w:bottom w:w="100" w:type="dxa"/>
              <w:right w:w="100" w:type="dxa"/>
            </w:tcMar>
          </w:tcPr>
          <w:p w14:paraId="7894D6DC" w14:textId="77777777" w:rsidR="00AD5713" w:rsidRPr="00AC7217" w:rsidRDefault="00DF6095" w:rsidP="004E1A2F">
            <w:pPr>
              <w:widowControl w:val="0"/>
              <w:spacing w:line="360" w:lineRule="auto"/>
              <w:rPr>
                <w:sz w:val="20"/>
              </w:rPr>
            </w:pPr>
            <w:r w:rsidRPr="00AC7217">
              <w:rPr>
                <w:sz w:val="20"/>
              </w:rPr>
              <w:t>Related Attitudes Questionnaire</w:t>
            </w:r>
          </w:p>
          <w:p w14:paraId="0103BBAC" w14:textId="77777777" w:rsidR="00AD5713" w:rsidRPr="00AC7217" w:rsidRDefault="00DF6095" w:rsidP="004E1A2F">
            <w:pPr>
              <w:widowControl w:val="0"/>
              <w:spacing w:line="360" w:lineRule="auto"/>
              <w:rPr>
                <w:sz w:val="20"/>
              </w:rPr>
            </w:pPr>
            <w:r w:rsidRPr="00AC7217">
              <w:rPr>
                <w:sz w:val="20"/>
              </w:rPr>
              <w:t xml:space="preserve">with science (Molina, </w:t>
            </w:r>
            <w:proofErr w:type="spellStart"/>
            <w:r w:rsidRPr="00AC7217">
              <w:rPr>
                <w:sz w:val="20"/>
              </w:rPr>
              <w:t>Carriazo</w:t>
            </w:r>
            <w:proofErr w:type="spellEnd"/>
            <w:r w:rsidRPr="00AC7217">
              <w:rPr>
                <w:sz w:val="20"/>
              </w:rPr>
              <w:t xml:space="preserve"> and Casas, 2013).</w:t>
            </w:r>
          </w:p>
        </w:tc>
        <w:tc>
          <w:tcPr>
            <w:tcW w:w="3150" w:type="dxa"/>
            <w:tcBorders>
              <w:top w:val="nil"/>
              <w:left w:val="nil"/>
              <w:bottom w:val="nil"/>
              <w:right w:val="nil"/>
            </w:tcBorders>
            <w:shd w:val="clear" w:color="auto" w:fill="auto"/>
            <w:tcMar>
              <w:top w:w="100" w:type="dxa"/>
              <w:left w:w="100" w:type="dxa"/>
              <w:bottom w:w="100" w:type="dxa"/>
              <w:right w:w="100" w:type="dxa"/>
            </w:tcMar>
          </w:tcPr>
          <w:p w14:paraId="074371CE" w14:textId="77777777" w:rsidR="00AD5713" w:rsidRPr="00AC7217" w:rsidRDefault="00DF6095" w:rsidP="004E1A2F">
            <w:pPr>
              <w:widowControl w:val="0"/>
              <w:spacing w:before="240" w:line="360" w:lineRule="auto"/>
              <w:rPr>
                <w:sz w:val="20"/>
              </w:rPr>
            </w:pPr>
            <w:r w:rsidRPr="00AC7217">
              <w:rPr>
                <w:sz w:val="20"/>
              </w:rPr>
              <w:t>45 items</w:t>
            </w:r>
          </w:p>
          <w:p w14:paraId="4171A7C8" w14:textId="77777777" w:rsidR="00AD5713" w:rsidRPr="00AC7217" w:rsidRDefault="00DF6095" w:rsidP="004E1A2F">
            <w:pPr>
              <w:widowControl w:val="0"/>
              <w:spacing w:before="240" w:line="360" w:lineRule="auto"/>
              <w:rPr>
                <w:sz w:val="20"/>
              </w:rPr>
            </w:pPr>
            <w:r w:rsidRPr="00AC7217">
              <w:rPr>
                <w:sz w:val="20"/>
              </w:rPr>
              <w:t>The response options</w:t>
            </w:r>
            <w:r w:rsidRPr="00AC7217">
              <w:rPr>
                <w:sz w:val="20"/>
              </w:rPr>
              <w:t xml:space="preserve"> are arranged in a 4-option Likert-type format</w:t>
            </w:r>
          </w:p>
        </w:tc>
        <w:tc>
          <w:tcPr>
            <w:tcW w:w="2550" w:type="dxa"/>
            <w:tcBorders>
              <w:top w:val="nil"/>
              <w:left w:val="nil"/>
              <w:bottom w:val="nil"/>
              <w:right w:val="nil"/>
            </w:tcBorders>
            <w:shd w:val="clear" w:color="auto" w:fill="auto"/>
            <w:tcMar>
              <w:top w:w="100" w:type="dxa"/>
              <w:left w:w="100" w:type="dxa"/>
              <w:bottom w:w="100" w:type="dxa"/>
              <w:right w:w="100" w:type="dxa"/>
            </w:tcMar>
          </w:tcPr>
          <w:p w14:paraId="403E6E9F" w14:textId="77777777" w:rsidR="00AD5713" w:rsidRPr="00AC7217" w:rsidRDefault="00DF6095" w:rsidP="004E1A2F">
            <w:pPr>
              <w:widowControl w:val="0"/>
              <w:spacing w:before="240" w:line="360" w:lineRule="auto"/>
              <w:rPr>
                <w:sz w:val="20"/>
              </w:rPr>
            </w:pPr>
            <w:r w:rsidRPr="00AC7217">
              <w:rPr>
                <w:sz w:val="20"/>
              </w:rPr>
              <w:t>It has been applied to students from 10 to 18 years old</w:t>
            </w:r>
          </w:p>
        </w:tc>
      </w:tr>
      <w:tr w:rsidR="00AD5713" w:rsidRPr="00AC7217" w14:paraId="537B9C71" w14:textId="77777777" w:rsidTr="00A90A32">
        <w:trPr>
          <w:trHeight w:val="440"/>
        </w:trPr>
        <w:tc>
          <w:tcPr>
            <w:tcW w:w="2760" w:type="dxa"/>
            <w:tcBorders>
              <w:top w:val="nil"/>
              <w:left w:val="nil"/>
              <w:bottom w:val="nil"/>
              <w:right w:val="nil"/>
            </w:tcBorders>
            <w:shd w:val="clear" w:color="auto" w:fill="auto"/>
            <w:tcMar>
              <w:top w:w="100" w:type="dxa"/>
              <w:left w:w="100" w:type="dxa"/>
              <w:bottom w:w="100" w:type="dxa"/>
              <w:right w:w="100" w:type="dxa"/>
            </w:tcMar>
          </w:tcPr>
          <w:p w14:paraId="04B52D3B" w14:textId="77777777" w:rsidR="00AD5713" w:rsidRPr="00AC7217" w:rsidRDefault="00DF6095" w:rsidP="004E1A2F">
            <w:pPr>
              <w:widowControl w:val="0"/>
              <w:spacing w:before="240" w:line="360" w:lineRule="auto"/>
              <w:rPr>
                <w:sz w:val="20"/>
              </w:rPr>
            </w:pPr>
            <w:r w:rsidRPr="00AC7217">
              <w:rPr>
                <w:sz w:val="20"/>
              </w:rPr>
              <w:t>Questionnaire of attitudes associated with science (Leal et al., 2014)</w:t>
            </w:r>
          </w:p>
        </w:tc>
        <w:tc>
          <w:tcPr>
            <w:tcW w:w="3150" w:type="dxa"/>
            <w:tcBorders>
              <w:top w:val="nil"/>
              <w:left w:val="nil"/>
              <w:bottom w:val="nil"/>
              <w:right w:val="nil"/>
            </w:tcBorders>
            <w:shd w:val="clear" w:color="auto" w:fill="auto"/>
            <w:tcMar>
              <w:top w:w="100" w:type="dxa"/>
              <w:left w:w="100" w:type="dxa"/>
              <w:bottom w:w="100" w:type="dxa"/>
              <w:right w:w="100" w:type="dxa"/>
            </w:tcMar>
          </w:tcPr>
          <w:p w14:paraId="3594EBC7" w14:textId="77777777" w:rsidR="00AD5713" w:rsidRPr="00AC7217" w:rsidRDefault="00DF6095" w:rsidP="004E1A2F">
            <w:pPr>
              <w:widowControl w:val="0"/>
              <w:spacing w:before="240" w:line="360" w:lineRule="auto"/>
              <w:rPr>
                <w:sz w:val="20"/>
              </w:rPr>
            </w:pPr>
            <w:r w:rsidRPr="00AC7217">
              <w:rPr>
                <w:sz w:val="20"/>
              </w:rPr>
              <w:t>It has 17 items.</w:t>
            </w:r>
          </w:p>
          <w:p w14:paraId="2D2605BD" w14:textId="77777777" w:rsidR="00AD5713" w:rsidRPr="00AC7217" w:rsidRDefault="00DF6095" w:rsidP="004E1A2F">
            <w:pPr>
              <w:widowControl w:val="0"/>
              <w:spacing w:before="240" w:line="360" w:lineRule="auto"/>
              <w:rPr>
                <w:sz w:val="20"/>
              </w:rPr>
            </w:pPr>
            <w:r w:rsidRPr="00AC7217">
              <w:rPr>
                <w:sz w:val="20"/>
              </w:rPr>
              <w:t>The rating scale goes from 1 to 4</w:t>
            </w:r>
          </w:p>
        </w:tc>
        <w:tc>
          <w:tcPr>
            <w:tcW w:w="2550" w:type="dxa"/>
            <w:tcBorders>
              <w:top w:val="nil"/>
              <w:left w:val="nil"/>
              <w:bottom w:val="nil"/>
              <w:right w:val="nil"/>
            </w:tcBorders>
            <w:shd w:val="clear" w:color="auto" w:fill="auto"/>
            <w:tcMar>
              <w:top w:w="100" w:type="dxa"/>
              <w:left w:w="100" w:type="dxa"/>
              <w:bottom w:w="100" w:type="dxa"/>
              <w:right w:w="100" w:type="dxa"/>
            </w:tcMar>
          </w:tcPr>
          <w:p w14:paraId="26B6F256" w14:textId="77777777" w:rsidR="00AD5713" w:rsidRPr="00AC7217" w:rsidRDefault="00DF6095" w:rsidP="004E1A2F">
            <w:pPr>
              <w:widowControl w:val="0"/>
              <w:spacing w:before="240" w:line="360" w:lineRule="auto"/>
              <w:rPr>
                <w:sz w:val="20"/>
              </w:rPr>
            </w:pPr>
            <w:r w:rsidRPr="00AC7217">
              <w:rPr>
                <w:sz w:val="20"/>
              </w:rPr>
              <w:t>It has been applied to fifth a</w:t>
            </w:r>
            <w:r w:rsidRPr="00AC7217">
              <w:rPr>
                <w:sz w:val="20"/>
              </w:rPr>
              <w:t>nd sixth grade students from public and private primary schools in Mexico.</w:t>
            </w:r>
          </w:p>
        </w:tc>
      </w:tr>
      <w:tr w:rsidR="00AD5713" w:rsidRPr="00AC7217" w14:paraId="0EB8DBF1" w14:textId="77777777" w:rsidTr="00A90A32">
        <w:trPr>
          <w:trHeight w:val="440"/>
        </w:trPr>
        <w:tc>
          <w:tcPr>
            <w:tcW w:w="2760" w:type="dxa"/>
            <w:tcBorders>
              <w:top w:val="nil"/>
              <w:left w:val="nil"/>
              <w:bottom w:val="single" w:sz="4" w:space="0" w:color="auto"/>
              <w:right w:val="nil"/>
            </w:tcBorders>
            <w:shd w:val="clear" w:color="auto" w:fill="auto"/>
            <w:tcMar>
              <w:top w:w="100" w:type="dxa"/>
              <w:left w:w="100" w:type="dxa"/>
              <w:bottom w:w="100" w:type="dxa"/>
              <w:right w:w="100" w:type="dxa"/>
            </w:tcMar>
          </w:tcPr>
          <w:p w14:paraId="482D74AA" w14:textId="77777777" w:rsidR="00AD5713" w:rsidRPr="00AC7217" w:rsidRDefault="00DF6095" w:rsidP="004E1A2F">
            <w:pPr>
              <w:widowControl w:val="0"/>
              <w:spacing w:before="240" w:line="360" w:lineRule="auto"/>
              <w:rPr>
                <w:sz w:val="20"/>
              </w:rPr>
            </w:pPr>
            <w:r w:rsidRPr="00AC7217">
              <w:rPr>
                <w:sz w:val="20"/>
              </w:rPr>
              <w:t>Manual for the Evaluation of Science Fairs (</w:t>
            </w:r>
            <w:proofErr w:type="spellStart"/>
            <w:r w:rsidRPr="00AC7217">
              <w:rPr>
                <w:sz w:val="20"/>
              </w:rPr>
              <w:t>Simarro</w:t>
            </w:r>
            <w:proofErr w:type="spellEnd"/>
            <w:r w:rsidRPr="00AC7217">
              <w:rPr>
                <w:sz w:val="20"/>
              </w:rPr>
              <w:t xml:space="preserve"> &amp; </w:t>
            </w:r>
            <w:proofErr w:type="spellStart"/>
            <w:r w:rsidRPr="00AC7217">
              <w:rPr>
                <w:sz w:val="20"/>
              </w:rPr>
              <w:t>Couso</w:t>
            </w:r>
            <w:proofErr w:type="spellEnd"/>
            <w:r w:rsidRPr="00AC7217">
              <w:rPr>
                <w:sz w:val="20"/>
              </w:rPr>
              <w:t>, 2018)</w:t>
            </w:r>
          </w:p>
        </w:tc>
        <w:tc>
          <w:tcPr>
            <w:tcW w:w="3150" w:type="dxa"/>
            <w:tcBorders>
              <w:top w:val="nil"/>
              <w:left w:val="nil"/>
              <w:bottom w:val="single" w:sz="4" w:space="0" w:color="auto"/>
              <w:right w:val="nil"/>
            </w:tcBorders>
            <w:shd w:val="clear" w:color="auto" w:fill="auto"/>
            <w:tcMar>
              <w:top w:w="100" w:type="dxa"/>
              <w:left w:w="100" w:type="dxa"/>
              <w:bottom w:w="100" w:type="dxa"/>
              <w:right w:w="100" w:type="dxa"/>
            </w:tcMar>
          </w:tcPr>
          <w:p w14:paraId="3CCC0EAA" w14:textId="77777777" w:rsidR="008C75B3" w:rsidRPr="00AC7217" w:rsidRDefault="008C75B3" w:rsidP="004E1A2F">
            <w:pPr>
              <w:widowControl w:val="0"/>
              <w:spacing w:before="240" w:line="360" w:lineRule="auto"/>
              <w:rPr>
                <w:sz w:val="20"/>
                <w:lang w:val="en-US"/>
              </w:rPr>
            </w:pPr>
            <w:r w:rsidRPr="00AC7217">
              <w:rPr>
                <w:sz w:val="20"/>
                <w:lang w:val="en-US"/>
              </w:rPr>
              <w:t>It is divided into three sections: a) for students, b) for teachers and c) for researchers.</w:t>
            </w:r>
          </w:p>
          <w:p w14:paraId="7B5B5C08" w14:textId="77777777" w:rsidR="008C75B3" w:rsidRPr="00AC7217" w:rsidRDefault="008C75B3" w:rsidP="004E1A2F">
            <w:pPr>
              <w:widowControl w:val="0"/>
              <w:spacing w:before="240" w:line="360" w:lineRule="auto"/>
              <w:rPr>
                <w:sz w:val="20"/>
                <w:lang w:val="en-US"/>
              </w:rPr>
            </w:pPr>
            <w:r w:rsidRPr="00AC7217">
              <w:rPr>
                <w:sz w:val="20"/>
                <w:lang w:val="en-US"/>
              </w:rPr>
              <w:lastRenderedPageBreak/>
              <w:t>The questions addressed to the students are divided into two parts:</w:t>
            </w:r>
          </w:p>
          <w:p w14:paraId="7AE69BA9" w14:textId="77777777" w:rsidR="008C75B3" w:rsidRPr="00AC7217" w:rsidRDefault="008C75B3" w:rsidP="004E1A2F">
            <w:pPr>
              <w:widowControl w:val="0"/>
              <w:spacing w:before="240" w:line="360" w:lineRule="auto"/>
              <w:rPr>
                <w:sz w:val="20"/>
                <w:lang w:val="en-US"/>
              </w:rPr>
            </w:pPr>
            <w:r w:rsidRPr="00AC7217">
              <w:rPr>
                <w:sz w:val="20"/>
                <w:lang w:val="en-US"/>
              </w:rPr>
              <w:t>19 items with closed response option</w:t>
            </w:r>
          </w:p>
          <w:p w14:paraId="3215F2CF" w14:textId="7BEE8CDD" w:rsidR="00AD5713" w:rsidRPr="00AC7217" w:rsidRDefault="008C75B3" w:rsidP="004E1A2F">
            <w:pPr>
              <w:widowControl w:val="0"/>
              <w:spacing w:before="240" w:line="360" w:lineRule="auto"/>
              <w:rPr>
                <w:sz w:val="20"/>
              </w:rPr>
            </w:pPr>
            <w:r w:rsidRPr="00AC7217">
              <w:rPr>
                <w:sz w:val="20"/>
                <w:lang w:val="en-US"/>
              </w:rPr>
              <w:t>8 reagents with open questions</w:t>
            </w:r>
          </w:p>
        </w:tc>
        <w:tc>
          <w:tcPr>
            <w:tcW w:w="2550" w:type="dxa"/>
            <w:tcBorders>
              <w:top w:val="nil"/>
              <w:left w:val="nil"/>
              <w:bottom w:val="single" w:sz="4" w:space="0" w:color="auto"/>
              <w:right w:val="nil"/>
            </w:tcBorders>
            <w:shd w:val="clear" w:color="auto" w:fill="auto"/>
            <w:tcMar>
              <w:top w:w="100" w:type="dxa"/>
              <w:left w:w="100" w:type="dxa"/>
              <w:bottom w:w="100" w:type="dxa"/>
              <w:right w:w="100" w:type="dxa"/>
            </w:tcMar>
          </w:tcPr>
          <w:p w14:paraId="0F10B33D" w14:textId="77777777" w:rsidR="00AD5713" w:rsidRPr="00AC7217" w:rsidRDefault="00DF6095" w:rsidP="004E1A2F">
            <w:pPr>
              <w:widowControl w:val="0"/>
              <w:spacing w:before="240" w:line="360" w:lineRule="auto"/>
              <w:rPr>
                <w:sz w:val="20"/>
              </w:rPr>
            </w:pPr>
            <w:r w:rsidRPr="00AC7217">
              <w:rPr>
                <w:sz w:val="20"/>
              </w:rPr>
              <w:lastRenderedPageBreak/>
              <w:t>It has been applied to science fair visitors</w:t>
            </w:r>
          </w:p>
        </w:tc>
      </w:tr>
    </w:tbl>
    <w:p w14:paraId="64DA698A" w14:textId="77777777" w:rsidR="00AD5713" w:rsidRDefault="00DF6095" w:rsidP="004E1A2F">
      <w:pPr>
        <w:spacing w:line="360" w:lineRule="auto"/>
      </w:pPr>
      <w:r>
        <w:rPr>
          <w:i/>
        </w:rPr>
        <w:lastRenderedPageBreak/>
        <w:t>Note:</w:t>
      </w:r>
      <w:r>
        <w:t xml:space="preserve"> Own elaboration.</w:t>
      </w:r>
    </w:p>
    <w:p w14:paraId="09BEFF16" w14:textId="77777777" w:rsidR="008C75B3" w:rsidRDefault="00DF6095" w:rsidP="00785589">
      <w:pPr>
        <w:widowControl w:val="0"/>
        <w:spacing w:before="240" w:line="360" w:lineRule="auto"/>
        <w:ind w:firstLine="720"/>
      </w:pPr>
      <w:proofErr w:type="spellStart"/>
      <w:r>
        <w:t>Simarro</w:t>
      </w:r>
      <w:proofErr w:type="spellEnd"/>
      <w:r>
        <w:t xml:space="preserve"> y </w:t>
      </w:r>
      <w:proofErr w:type="spellStart"/>
      <w:r>
        <w:t>Couso</w:t>
      </w:r>
      <w:proofErr w:type="spellEnd"/>
      <w:r>
        <w:t xml:space="preserve"> (2018) designed a manual for the evaluation of science fairs in which different suggestions are offered for designing evaluations to measure the effectiveness of intervention projects that seek to promote interest in science, positive attitudes towards sc</w:t>
      </w:r>
      <w:r>
        <w:t xml:space="preserve">ience and scientific vocations. Once reviewing the instruments to measure interest in science developed in other contexts, some items were taken from the manual created by </w:t>
      </w:r>
      <w:proofErr w:type="spellStart"/>
      <w:r>
        <w:t>Simarro</w:t>
      </w:r>
      <w:proofErr w:type="spellEnd"/>
      <w:r>
        <w:t xml:space="preserve"> and </w:t>
      </w:r>
      <w:proofErr w:type="spellStart"/>
      <w:r>
        <w:t>Couso</w:t>
      </w:r>
      <w:proofErr w:type="spellEnd"/>
      <w:r>
        <w:t xml:space="preserve"> (2018) to design our instrument: The Interest in Science Instrumen</w:t>
      </w:r>
      <w:r>
        <w:t>t. The need to create an instrument responds to the need to have an instrument that assesses the interest in science of young people who attend secondary school specifically for the context of Tlaxcala. The aim of this instrument is to measure the interest</w:t>
      </w:r>
      <w:r>
        <w:t xml:space="preserve"> in science in secondary school students. The Interest in Science Instrument is composed of two scales. The first one assesses the interest of high school students towards science and the second one the self-efficacy to perform scientific activities.</w:t>
      </w:r>
      <w:bookmarkStart w:id="0" w:name="_heading=h.8zgw1h4epo3x" w:colFirst="0" w:colLast="0"/>
      <w:bookmarkEnd w:id="0"/>
    </w:p>
    <w:p w14:paraId="496A5D46" w14:textId="69CD72EE" w:rsidR="00AD5713" w:rsidRPr="008C75B3" w:rsidRDefault="00DF6095" w:rsidP="004E1A2F">
      <w:pPr>
        <w:widowControl w:val="0"/>
        <w:spacing w:before="240" w:line="360" w:lineRule="auto"/>
        <w:rPr>
          <w:b/>
          <w:bCs/>
          <w:i/>
          <w:iCs/>
        </w:rPr>
      </w:pPr>
      <w:r w:rsidRPr="008C75B3">
        <w:rPr>
          <w:b/>
          <w:bCs/>
          <w:i/>
          <w:iCs/>
        </w:rPr>
        <w:t>Metho</w:t>
      </w:r>
      <w:r w:rsidRPr="008C75B3">
        <w:rPr>
          <w:b/>
          <w:bCs/>
          <w:i/>
          <w:iCs/>
        </w:rPr>
        <w:t>ds</w:t>
      </w:r>
    </w:p>
    <w:p w14:paraId="00F43FAD" w14:textId="77777777" w:rsidR="008C75B3" w:rsidRDefault="00DF6095" w:rsidP="004E1A2F">
      <w:pPr>
        <w:spacing w:before="360" w:line="360" w:lineRule="auto"/>
      </w:pPr>
      <w:r>
        <w:rPr>
          <w:i/>
        </w:rPr>
        <w:t>Instrument: Design and validation process</w:t>
      </w:r>
    </w:p>
    <w:p w14:paraId="5682A788" w14:textId="77777777" w:rsidR="008C75B3" w:rsidRDefault="00DF6095" w:rsidP="00785589">
      <w:pPr>
        <w:spacing w:before="360" w:line="360" w:lineRule="auto"/>
        <w:ind w:firstLine="720"/>
      </w:pPr>
      <w:r>
        <w:t xml:space="preserve">14 items were taken and modified from the manual created by </w:t>
      </w:r>
      <w:proofErr w:type="spellStart"/>
      <w:r>
        <w:t>Simarro</w:t>
      </w:r>
      <w:proofErr w:type="spellEnd"/>
      <w:r>
        <w:t xml:space="preserve"> and </w:t>
      </w:r>
      <w:proofErr w:type="spellStart"/>
      <w:r>
        <w:t>Couso</w:t>
      </w:r>
      <w:proofErr w:type="spellEnd"/>
      <w:r>
        <w:t xml:space="preserve"> (2018), </w:t>
      </w:r>
      <w:r w:rsidR="00A90A32">
        <w:t>these items</w:t>
      </w:r>
      <w:r>
        <w:t xml:space="preserve"> divided into two subscales were developed that operationalized self-efficacy to carry out scientific activities and interest in science. The first consists of 7 items that measure interest in scientific topics. It asks the question "How interested are you</w:t>
      </w:r>
      <w:r>
        <w:t xml:space="preserve"> in the following subjects?" and the participant must assess her interest in each of them on a scale of 0 (I'm not interested at all) to 10 (I'm very interested). The subjects mentioned in the scale are related to science and are typical of the subjects ta</w:t>
      </w:r>
      <w:r>
        <w:t xml:space="preserve">ught at that educational level. The range scale is from 0 to 70 points. </w:t>
      </w:r>
    </w:p>
    <w:p w14:paraId="52BE8F7D" w14:textId="77777777" w:rsidR="008C75B3" w:rsidRDefault="00DF6095" w:rsidP="00785589">
      <w:pPr>
        <w:spacing w:before="360" w:line="360" w:lineRule="auto"/>
        <w:ind w:firstLine="720"/>
      </w:pPr>
      <w:r>
        <w:lastRenderedPageBreak/>
        <w:t>The second measures the degree to which the participant feels capable of performing in the scientific field. The question is asked "Think about your science or mathematics subjects: t</w:t>
      </w:r>
      <w:r>
        <w:t>o what extent do you feel capable of continuing to study them in the future?". The science subjects that correspond to that educational level (for example, biology, mathematics, computing or informatics, etc.) are listed and the participant must indicate b</w:t>
      </w:r>
      <w:r>
        <w:t>ased on a Likert-type scale the degree to which they feel capable of continuing study in those fields. The categories range from 1 to 4 (Not at all, Little, Quite a lot, A lot) and the scale ranges from 7 to 28 points. </w:t>
      </w:r>
    </w:p>
    <w:p w14:paraId="1C392885" w14:textId="77777777" w:rsidR="008C75B3" w:rsidRDefault="00DF6095" w:rsidP="00785589">
      <w:pPr>
        <w:spacing w:before="360" w:line="360" w:lineRule="auto"/>
        <w:ind w:firstLine="720"/>
      </w:pPr>
      <w:r>
        <w:t>Based on the scores obtained, the lo</w:t>
      </w:r>
      <w:r>
        <w:t>w, medium, and high categories were determined. The criteria for determining the categories were established based on the minimum and maximum score that can be obtained in each of the scales. For the first scale, the assigned categories were the following:</w:t>
      </w:r>
      <w:r>
        <w:t xml:space="preserve"> Low: 0-23 points; Medium: 24-46 points; High: 47-70 points. The categories for the second scale were: Low: 0-9 points; Medium: 10-19 points; High: 20-28 points.</w:t>
      </w:r>
    </w:p>
    <w:p w14:paraId="6942E460" w14:textId="74989280" w:rsidR="00AD5713" w:rsidRDefault="00DF6095" w:rsidP="004E1A2F">
      <w:pPr>
        <w:spacing w:before="360" w:line="360" w:lineRule="auto"/>
      </w:pPr>
      <w:r>
        <w:rPr>
          <w:i/>
        </w:rPr>
        <w:t>Content validity</w:t>
      </w:r>
    </w:p>
    <w:p w14:paraId="464030DC" w14:textId="77777777" w:rsidR="00AD5713" w:rsidRDefault="00DF6095" w:rsidP="004E1A2F">
      <w:pPr>
        <w:spacing w:line="360" w:lineRule="auto"/>
        <w:jc w:val="both"/>
        <w:rPr>
          <w:i/>
        </w:rPr>
      </w:pPr>
      <w:r>
        <w:rPr>
          <w:i/>
        </w:rPr>
        <w:t>Expert judgments</w:t>
      </w:r>
    </w:p>
    <w:p w14:paraId="2DEB1E1B" w14:textId="099E038C" w:rsidR="008C75B3" w:rsidRDefault="00DF6095" w:rsidP="00785589">
      <w:pPr>
        <w:widowControl w:val="0"/>
        <w:spacing w:before="240" w:line="360" w:lineRule="auto"/>
        <w:ind w:firstLine="720"/>
      </w:pPr>
      <w:r>
        <w:t xml:space="preserve">To verify whether the items of the Interest in Science </w:t>
      </w:r>
      <w:r w:rsidR="007D3258">
        <w:t>I</w:t>
      </w:r>
      <w:r>
        <w:t>nstr</w:t>
      </w:r>
      <w:r>
        <w:t>ument complied with the appropriate language and writing for a secondary school youth population and verify that there were no cultural differences in writing, we invited three experts to evaluate the representativeness of them. Each expert was contacted b</w:t>
      </w:r>
      <w:r>
        <w:t>y e-mail requesting their participation in the validation of the instrument. They were provided with the evaluation form in which they had to estimate the relevance of the items according to three criteria: wording, language, and theoretical validity. Once</w:t>
      </w:r>
      <w:r>
        <w:t xml:space="preserve"> the inaccuracies of the instrument were identified based on the suggestions of the expert judges, the pertinent modifications were made (table 2).</w:t>
      </w:r>
    </w:p>
    <w:p w14:paraId="22013AA7" w14:textId="6C3AFC3A" w:rsidR="00AD5713" w:rsidRDefault="00DF6095" w:rsidP="004E1A2F">
      <w:pPr>
        <w:widowControl w:val="0"/>
        <w:spacing w:before="240" w:line="360" w:lineRule="auto"/>
      </w:pPr>
      <w:r>
        <w:t>Table 2. Changes made after content validity.</w:t>
      </w:r>
    </w:p>
    <w:tbl>
      <w:tblPr>
        <w:tblStyle w:val="a4"/>
        <w:tblW w:w="8499" w:type="dxa"/>
        <w:tblLayout w:type="fixed"/>
        <w:tblLook w:val="0400" w:firstRow="0" w:lastRow="0" w:firstColumn="0" w:lastColumn="0" w:noHBand="0" w:noVBand="1"/>
      </w:tblPr>
      <w:tblGrid>
        <w:gridCol w:w="2010"/>
        <w:gridCol w:w="2657"/>
        <w:gridCol w:w="3832"/>
      </w:tblGrid>
      <w:tr w:rsidR="00AD5713" w:rsidRPr="00AC7217" w14:paraId="5A825C74" w14:textId="77777777">
        <w:tc>
          <w:tcPr>
            <w:tcW w:w="2010" w:type="dxa"/>
            <w:tcBorders>
              <w:top w:val="single" w:sz="8" w:space="0" w:color="000000"/>
              <w:bottom w:val="single" w:sz="8" w:space="0" w:color="000000"/>
            </w:tcBorders>
            <w:tcMar>
              <w:top w:w="100" w:type="dxa"/>
              <w:left w:w="100" w:type="dxa"/>
              <w:bottom w:w="100" w:type="dxa"/>
              <w:right w:w="100" w:type="dxa"/>
            </w:tcMar>
          </w:tcPr>
          <w:p w14:paraId="2433EE2A" w14:textId="77777777" w:rsidR="00AD5713" w:rsidRPr="00AC7217" w:rsidRDefault="00DF6095" w:rsidP="004E1A2F">
            <w:pPr>
              <w:spacing w:line="360" w:lineRule="auto"/>
              <w:rPr>
                <w:sz w:val="20"/>
              </w:rPr>
            </w:pPr>
            <w:r w:rsidRPr="00AC7217">
              <w:rPr>
                <w:sz w:val="20"/>
              </w:rPr>
              <w:t>Observation</w:t>
            </w:r>
          </w:p>
        </w:tc>
        <w:tc>
          <w:tcPr>
            <w:tcW w:w="2657" w:type="dxa"/>
            <w:tcBorders>
              <w:top w:val="single" w:sz="8" w:space="0" w:color="000000"/>
              <w:bottom w:val="single" w:sz="8" w:space="0" w:color="000000"/>
            </w:tcBorders>
            <w:tcMar>
              <w:top w:w="100" w:type="dxa"/>
              <w:left w:w="100" w:type="dxa"/>
              <w:bottom w:w="100" w:type="dxa"/>
              <w:right w:w="100" w:type="dxa"/>
            </w:tcMar>
          </w:tcPr>
          <w:p w14:paraId="77447E65" w14:textId="77777777" w:rsidR="00AD5713" w:rsidRPr="00AC7217" w:rsidRDefault="00DF6095" w:rsidP="004E1A2F">
            <w:pPr>
              <w:spacing w:line="360" w:lineRule="auto"/>
              <w:jc w:val="center"/>
              <w:rPr>
                <w:sz w:val="20"/>
              </w:rPr>
            </w:pPr>
            <w:r w:rsidRPr="00AC7217">
              <w:rPr>
                <w:sz w:val="20"/>
              </w:rPr>
              <w:t>Description</w:t>
            </w:r>
          </w:p>
        </w:tc>
        <w:tc>
          <w:tcPr>
            <w:tcW w:w="3832" w:type="dxa"/>
            <w:tcBorders>
              <w:top w:val="single" w:sz="8" w:space="0" w:color="000000"/>
              <w:bottom w:val="single" w:sz="8" w:space="0" w:color="000000"/>
            </w:tcBorders>
            <w:tcMar>
              <w:top w:w="100" w:type="dxa"/>
              <w:left w:w="100" w:type="dxa"/>
              <w:bottom w:w="100" w:type="dxa"/>
              <w:right w:w="100" w:type="dxa"/>
            </w:tcMar>
          </w:tcPr>
          <w:p w14:paraId="19B1F14A" w14:textId="77777777" w:rsidR="00AD5713" w:rsidRPr="00AC7217" w:rsidRDefault="00DF6095" w:rsidP="004E1A2F">
            <w:pPr>
              <w:spacing w:line="360" w:lineRule="auto"/>
              <w:jc w:val="center"/>
              <w:rPr>
                <w:sz w:val="20"/>
              </w:rPr>
            </w:pPr>
            <w:r w:rsidRPr="00AC7217">
              <w:rPr>
                <w:sz w:val="20"/>
              </w:rPr>
              <w:t>Modification</w:t>
            </w:r>
          </w:p>
        </w:tc>
      </w:tr>
      <w:tr w:rsidR="00AD5713" w:rsidRPr="00AC7217" w14:paraId="721CD9E5" w14:textId="77777777">
        <w:trPr>
          <w:trHeight w:val="437"/>
        </w:trPr>
        <w:tc>
          <w:tcPr>
            <w:tcW w:w="2010" w:type="dxa"/>
            <w:tcBorders>
              <w:top w:val="single" w:sz="8" w:space="0" w:color="000000"/>
              <w:bottom w:val="single" w:sz="8" w:space="0" w:color="000000"/>
            </w:tcBorders>
            <w:tcMar>
              <w:top w:w="100" w:type="dxa"/>
              <w:left w:w="100" w:type="dxa"/>
              <w:bottom w:w="100" w:type="dxa"/>
              <w:right w:w="100" w:type="dxa"/>
            </w:tcMar>
          </w:tcPr>
          <w:p w14:paraId="5621AD4C" w14:textId="77777777" w:rsidR="00AD5713" w:rsidRPr="00AC7217" w:rsidRDefault="00DF6095" w:rsidP="004E1A2F">
            <w:pPr>
              <w:spacing w:line="360" w:lineRule="auto"/>
              <w:rPr>
                <w:sz w:val="20"/>
              </w:rPr>
            </w:pPr>
            <w:r w:rsidRPr="00AC7217">
              <w:rPr>
                <w:sz w:val="20"/>
              </w:rPr>
              <w:t>Instruction review</w:t>
            </w:r>
          </w:p>
        </w:tc>
        <w:tc>
          <w:tcPr>
            <w:tcW w:w="2657" w:type="dxa"/>
            <w:tcBorders>
              <w:top w:val="single" w:sz="8" w:space="0" w:color="000000"/>
              <w:bottom w:val="single" w:sz="8" w:space="0" w:color="000000"/>
            </w:tcBorders>
            <w:tcMar>
              <w:top w:w="100" w:type="dxa"/>
              <w:left w:w="100" w:type="dxa"/>
              <w:bottom w:w="100" w:type="dxa"/>
              <w:right w:w="100" w:type="dxa"/>
            </w:tcMar>
          </w:tcPr>
          <w:p w14:paraId="650230AC" w14:textId="77777777" w:rsidR="00AD5713" w:rsidRPr="00AC7217" w:rsidRDefault="00DF6095" w:rsidP="004E1A2F">
            <w:pPr>
              <w:spacing w:line="360" w:lineRule="auto"/>
              <w:rPr>
                <w:sz w:val="20"/>
              </w:rPr>
            </w:pPr>
            <w:r w:rsidRPr="00AC7217">
              <w:rPr>
                <w:sz w:val="20"/>
              </w:rPr>
              <w:t>Instructions are not clear</w:t>
            </w:r>
          </w:p>
        </w:tc>
        <w:tc>
          <w:tcPr>
            <w:tcW w:w="3832" w:type="dxa"/>
            <w:tcBorders>
              <w:top w:val="single" w:sz="8" w:space="0" w:color="000000"/>
              <w:bottom w:val="single" w:sz="8" w:space="0" w:color="000000"/>
            </w:tcBorders>
            <w:tcMar>
              <w:top w:w="100" w:type="dxa"/>
              <w:left w:w="100" w:type="dxa"/>
              <w:bottom w:w="100" w:type="dxa"/>
              <w:right w:w="100" w:type="dxa"/>
            </w:tcMar>
          </w:tcPr>
          <w:p w14:paraId="20121E30" w14:textId="77777777" w:rsidR="00AD5713" w:rsidRPr="00AC7217" w:rsidRDefault="00DF6095" w:rsidP="004E1A2F">
            <w:pPr>
              <w:spacing w:line="360" w:lineRule="auto"/>
              <w:rPr>
                <w:sz w:val="20"/>
              </w:rPr>
            </w:pPr>
            <w:r w:rsidRPr="00AC7217">
              <w:rPr>
                <w:sz w:val="20"/>
              </w:rPr>
              <w:t>Simpler language was used</w:t>
            </w:r>
          </w:p>
        </w:tc>
      </w:tr>
      <w:tr w:rsidR="00AD5713" w:rsidRPr="00AC7217" w14:paraId="4F625F89" w14:textId="77777777">
        <w:tc>
          <w:tcPr>
            <w:tcW w:w="2010" w:type="dxa"/>
            <w:tcBorders>
              <w:top w:val="single" w:sz="8" w:space="0" w:color="000000"/>
              <w:bottom w:val="single" w:sz="8" w:space="0" w:color="000000"/>
            </w:tcBorders>
            <w:tcMar>
              <w:top w:w="100" w:type="dxa"/>
              <w:left w:w="100" w:type="dxa"/>
              <w:bottom w:w="100" w:type="dxa"/>
              <w:right w:w="100" w:type="dxa"/>
            </w:tcMar>
          </w:tcPr>
          <w:p w14:paraId="57E02AD0" w14:textId="77777777" w:rsidR="00AD5713" w:rsidRPr="00AC7217" w:rsidRDefault="00DF6095" w:rsidP="004E1A2F">
            <w:pPr>
              <w:spacing w:line="360" w:lineRule="auto"/>
              <w:rPr>
                <w:sz w:val="20"/>
              </w:rPr>
            </w:pPr>
            <w:r w:rsidRPr="00AC7217">
              <w:rPr>
                <w:sz w:val="20"/>
              </w:rPr>
              <w:lastRenderedPageBreak/>
              <w:t>Likert-type scale modification.</w:t>
            </w:r>
          </w:p>
        </w:tc>
        <w:tc>
          <w:tcPr>
            <w:tcW w:w="2657" w:type="dxa"/>
            <w:tcBorders>
              <w:top w:val="single" w:sz="8" w:space="0" w:color="000000"/>
              <w:bottom w:val="single" w:sz="8" w:space="0" w:color="000000"/>
            </w:tcBorders>
            <w:tcMar>
              <w:top w:w="100" w:type="dxa"/>
              <w:left w:w="100" w:type="dxa"/>
              <w:bottom w:w="100" w:type="dxa"/>
              <w:right w:w="100" w:type="dxa"/>
            </w:tcMar>
          </w:tcPr>
          <w:p w14:paraId="4DD75ABC" w14:textId="77777777" w:rsidR="00AD5713" w:rsidRPr="00AC7217" w:rsidRDefault="00DF6095" w:rsidP="004E1A2F">
            <w:pPr>
              <w:spacing w:line="360" w:lineRule="auto"/>
              <w:rPr>
                <w:sz w:val="20"/>
              </w:rPr>
            </w:pPr>
            <w:r w:rsidRPr="00AC7217">
              <w:rPr>
                <w:sz w:val="20"/>
              </w:rPr>
              <w:t>The Likert-type scale contains several response options.</w:t>
            </w:r>
          </w:p>
        </w:tc>
        <w:tc>
          <w:tcPr>
            <w:tcW w:w="3832" w:type="dxa"/>
            <w:tcBorders>
              <w:top w:val="single" w:sz="8" w:space="0" w:color="000000"/>
              <w:bottom w:val="single" w:sz="8" w:space="0" w:color="000000"/>
            </w:tcBorders>
            <w:tcMar>
              <w:top w:w="100" w:type="dxa"/>
              <w:left w:w="100" w:type="dxa"/>
              <w:bottom w:w="100" w:type="dxa"/>
              <w:right w:w="100" w:type="dxa"/>
            </w:tcMar>
          </w:tcPr>
          <w:p w14:paraId="59C0AAB9" w14:textId="77777777" w:rsidR="00AD5713" w:rsidRPr="00AC7217" w:rsidRDefault="00DF6095" w:rsidP="004E1A2F">
            <w:pPr>
              <w:spacing w:line="360" w:lineRule="auto"/>
              <w:rPr>
                <w:sz w:val="20"/>
              </w:rPr>
            </w:pPr>
            <w:r w:rsidRPr="00AC7217">
              <w:rPr>
                <w:sz w:val="20"/>
              </w:rPr>
              <w:t>The response options were reduced, leaving 4 categories: Not at all, Little, Quite a lot, A lot.</w:t>
            </w:r>
          </w:p>
        </w:tc>
      </w:tr>
    </w:tbl>
    <w:p w14:paraId="0BF7ECEE" w14:textId="77777777" w:rsidR="00AD5713" w:rsidRDefault="00DF6095" w:rsidP="004E1A2F">
      <w:pPr>
        <w:spacing w:line="360" w:lineRule="auto"/>
      </w:pPr>
      <w:r>
        <w:rPr>
          <w:i/>
        </w:rPr>
        <w:t>Note:</w:t>
      </w:r>
      <w:r>
        <w:t xml:space="preserve"> Own elabo</w:t>
      </w:r>
      <w:r>
        <w:t>ration.</w:t>
      </w:r>
    </w:p>
    <w:p w14:paraId="414917FD" w14:textId="77777777" w:rsidR="00AD5713" w:rsidRDefault="00DF6095" w:rsidP="004E1A2F">
      <w:pPr>
        <w:spacing w:before="360" w:line="360" w:lineRule="auto"/>
        <w:rPr>
          <w:i/>
        </w:rPr>
      </w:pPr>
      <w:r>
        <w:rPr>
          <w:i/>
        </w:rPr>
        <w:t>Participants</w:t>
      </w:r>
    </w:p>
    <w:p w14:paraId="2C2A2139" w14:textId="77777777" w:rsidR="00AD5713" w:rsidRDefault="00DF6095" w:rsidP="00785589">
      <w:pPr>
        <w:widowControl w:val="0"/>
        <w:spacing w:before="240" w:line="360" w:lineRule="auto"/>
        <w:ind w:firstLine="720"/>
      </w:pPr>
      <w:r>
        <w:t xml:space="preserve">To determine the internal consistency of the instrument, it was applied to 74 secondary school students (33 boys and 41 girls). They were enrolled in a rural and public Secondary School located in Tlaxcala. Access was requested for the groups that were in </w:t>
      </w:r>
      <w:r>
        <w:t>the first grade of secondary school. The application of the instrument was carried out within the school facilities, in the classroom of the three first-grade groups. Prior to the application, the parents of the participants signed a document with the info</w:t>
      </w:r>
      <w:r>
        <w:t>rmed consent in which the anonymity of the student's data was guaranteed.</w:t>
      </w:r>
    </w:p>
    <w:p w14:paraId="4D770D24" w14:textId="77777777" w:rsidR="008C75B3" w:rsidRDefault="00DF6095" w:rsidP="004E1A2F">
      <w:pPr>
        <w:spacing w:before="360" w:line="360" w:lineRule="auto"/>
        <w:rPr>
          <w:i/>
        </w:rPr>
      </w:pPr>
      <w:r>
        <w:rPr>
          <w:i/>
        </w:rPr>
        <w:t xml:space="preserve">Instrument </w:t>
      </w:r>
    </w:p>
    <w:p w14:paraId="03EE1805" w14:textId="1319524D" w:rsidR="00AD5713" w:rsidRPr="008C75B3" w:rsidRDefault="00DF6095" w:rsidP="00785589">
      <w:pPr>
        <w:spacing w:before="360" w:line="360" w:lineRule="auto"/>
        <w:ind w:firstLine="720"/>
        <w:rPr>
          <w:i/>
        </w:rPr>
      </w:pPr>
      <w:r>
        <w:t>The aim of this instrument is to measure the interest in science in secondary school students. We drafted 14 items that operationalized the scientific vocation, self-effi</w:t>
      </w:r>
      <w:r>
        <w:t xml:space="preserve">cacy to carry out scientific activities, and social perception of science. </w:t>
      </w:r>
    </w:p>
    <w:p w14:paraId="601C2C0A" w14:textId="77777777" w:rsidR="00AD5713" w:rsidRDefault="00DF6095" w:rsidP="004E1A2F">
      <w:pPr>
        <w:spacing w:line="360" w:lineRule="auto"/>
      </w:pPr>
      <w:r>
        <w:t>Based on the scores obtained, the low, medium, and high categories were determined. The criteria for determining the categories were established based on the minimum and maximum sc</w:t>
      </w:r>
      <w:r>
        <w:t>ore that can be obtained in each of the scales. </w:t>
      </w:r>
    </w:p>
    <w:p w14:paraId="4FF72C2C" w14:textId="77777777" w:rsidR="008C75B3" w:rsidRDefault="00DF6095" w:rsidP="004E1A2F">
      <w:pPr>
        <w:spacing w:before="360" w:line="360" w:lineRule="auto"/>
        <w:rPr>
          <w:i/>
        </w:rPr>
      </w:pPr>
      <w:r>
        <w:rPr>
          <w:i/>
        </w:rPr>
        <w:t>Procedure</w:t>
      </w:r>
    </w:p>
    <w:p w14:paraId="0892C747" w14:textId="77777777" w:rsidR="008C75B3" w:rsidRDefault="00DF6095" w:rsidP="00785589">
      <w:pPr>
        <w:spacing w:before="360" w:line="360" w:lineRule="auto"/>
        <w:ind w:firstLine="720"/>
        <w:rPr>
          <w:i/>
        </w:rPr>
      </w:pPr>
      <w:r>
        <w:t>Once access to the classrooms was authorized, the instrument was provided to all students so they could answer it individually. The applicator explained to them in a simple way the purpose of the r</w:t>
      </w:r>
      <w:r>
        <w:t>esearch and the instrument, emphasized the anonymity of the data and told them that if any doubt arose during the application, they could contact the applicator to clarify it. The application time for each group was approximately 20 minutes.</w:t>
      </w:r>
    </w:p>
    <w:p w14:paraId="47B789DF" w14:textId="77777777" w:rsidR="008C75B3" w:rsidRDefault="00DF6095" w:rsidP="004E1A2F">
      <w:pPr>
        <w:spacing w:before="360" w:line="360" w:lineRule="auto"/>
        <w:rPr>
          <w:i/>
        </w:rPr>
      </w:pPr>
      <w:r>
        <w:rPr>
          <w:i/>
        </w:rPr>
        <w:t>Data Analysis</w:t>
      </w:r>
    </w:p>
    <w:p w14:paraId="5B151A17" w14:textId="77777777" w:rsidR="008C75B3" w:rsidRDefault="00DF6095" w:rsidP="00785589">
      <w:pPr>
        <w:spacing w:before="360" w:line="360" w:lineRule="auto"/>
        <w:ind w:firstLine="720"/>
        <w:rPr>
          <w:i/>
        </w:rPr>
      </w:pPr>
      <w:r>
        <w:lastRenderedPageBreak/>
        <w:t>To validate the factorial structure of the Interest in Science Instrument the data obtained were processed with the statistical program SPSS.</w:t>
      </w:r>
    </w:p>
    <w:p w14:paraId="04B8A0CB" w14:textId="5BB8C973" w:rsidR="00AD5713" w:rsidRPr="008C75B3" w:rsidRDefault="00DF6095" w:rsidP="004E1A2F">
      <w:pPr>
        <w:spacing w:before="360" w:line="360" w:lineRule="auto"/>
        <w:rPr>
          <w:i/>
        </w:rPr>
      </w:pPr>
      <w:r>
        <w:rPr>
          <w:i/>
        </w:rPr>
        <w:t>Internal consistency </w:t>
      </w:r>
    </w:p>
    <w:p w14:paraId="3D8CB556" w14:textId="77777777" w:rsidR="008C75B3" w:rsidRDefault="00DF6095" w:rsidP="00785589">
      <w:pPr>
        <w:widowControl w:val="0"/>
        <w:spacing w:before="240" w:line="360" w:lineRule="auto"/>
        <w:ind w:firstLine="720"/>
      </w:pPr>
      <w:r>
        <w:t>Reliability was obtained by internal consistency analysis, through Cronbach's alpha coeffici</w:t>
      </w:r>
      <w:r>
        <w:t xml:space="preserve">ent and factorability was checked through Bartlett's test of sphericity (BS) and the Kaiser–Meyer–Olkin (KMO) measure of sampling adequacy to both scales. A score greater than or equal to 0.70 was considered as an indicator, and the </w:t>
      </w:r>
      <w:r>
        <w:rPr>
          <w:i/>
        </w:rPr>
        <w:t>p</w:t>
      </w:r>
      <w:r>
        <w:t xml:space="preserve">-value of the BS less </w:t>
      </w:r>
      <w:r>
        <w:t xml:space="preserve">than or equal to 0.05. To </w:t>
      </w:r>
      <w:proofErr w:type="spellStart"/>
      <w:r>
        <w:t>analyze</w:t>
      </w:r>
      <w:proofErr w:type="spellEnd"/>
      <w:r>
        <w:t xml:space="preserve"> the factorial validity of the instrument we performed an exploratory factor analysis (EFA), principal component factor analysis with non-orthogonal rotation was used (Promax).</w:t>
      </w:r>
    </w:p>
    <w:p w14:paraId="4A406C6B" w14:textId="77777777" w:rsidR="008C75B3" w:rsidRDefault="00DF6095" w:rsidP="004E1A2F">
      <w:pPr>
        <w:widowControl w:val="0"/>
        <w:spacing w:before="240" w:line="360" w:lineRule="auto"/>
      </w:pPr>
      <w:r>
        <w:rPr>
          <w:i/>
        </w:rPr>
        <w:t>Results</w:t>
      </w:r>
    </w:p>
    <w:p w14:paraId="67200293" w14:textId="77777777" w:rsidR="008C75B3" w:rsidRDefault="00DF6095" w:rsidP="00785589">
      <w:pPr>
        <w:widowControl w:val="0"/>
        <w:spacing w:before="240" w:line="360" w:lineRule="auto"/>
        <w:ind w:firstLine="720"/>
      </w:pPr>
      <w:r>
        <w:t xml:space="preserve">For the first part of the instrument, </w:t>
      </w:r>
      <w:r>
        <w:t xml:space="preserve">the results showed adequate internal consistency (Cronbach's alpha 0.781). To </w:t>
      </w:r>
      <w:proofErr w:type="spellStart"/>
      <w:r>
        <w:t>analyze</w:t>
      </w:r>
      <w:proofErr w:type="spellEnd"/>
      <w:r>
        <w:t xml:space="preserve"> the factorial validity of the instrument, an exploratory factorial analysis was performed. Principal component factor analysis with non-orthogonal rotation (Promax) was u</w:t>
      </w:r>
      <w:r>
        <w:t>sed. Bartlett's sphericity test was significant (χ2=152.436 p &lt; .001). The KMO sample adequacy measure showed an acceptable sample adequacy (KMO = .761).</w:t>
      </w:r>
    </w:p>
    <w:p w14:paraId="303F555B" w14:textId="77777777" w:rsidR="000518B3" w:rsidRDefault="00DF6095" w:rsidP="00785589">
      <w:pPr>
        <w:widowControl w:val="0"/>
        <w:spacing w:before="240" w:line="360" w:lineRule="auto"/>
        <w:ind w:firstLine="720"/>
      </w:pPr>
      <w:r>
        <w:t>According to the results obtained from the principal component analysis, two components could be ident</w:t>
      </w:r>
      <w:r>
        <w:t>ified. The screen plot suggested that an extraction of two components accounted for 44.39% of the variance and 17.77% (figure 1).</w:t>
      </w:r>
      <w:r>
        <w:rPr>
          <w:rFonts w:ascii="Roboto" w:eastAsia="Roboto" w:hAnsi="Roboto" w:cs="Roboto"/>
          <w:noProof/>
          <w:sz w:val="21"/>
          <w:szCs w:val="21"/>
          <w:highlight w:val="white"/>
          <w:lang w:val="en-US" w:eastAsia="en-US"/>
        </w:rPr>
        <w:lastRenderedPageBreak/>
        <w:drawing>
          <wp:inline distT="0" distB="0" distL="0" distR="0" wp14:anchorId="20F143DF" wp14:editId="62C598DA">
            <wp:extent cx="5396865" cy="3687706"/>
            <wp:effectExtent l="0" t="0" r="0" b="0"/>
            <wp:docPr id="5" name="image1.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line chart&#10;&#10;Description automatically generated"/>
                    <pic:cNvPicPr preferRelativeResize="0"/>
                  </pic:nvPicPr>
                  <pic:blipFill>
                    <a:blip r:embed="rId8"/>
                    <a:srcRect t="14471"/>
                    <a:stretch>
                      <a:fillRect/>
                    </a:stretch>
                  </pic:blipFill>
                  <pic:spPr>
                    <a:xfrm>
                      <a:off x="0" y="0"/>
                      <a:ext cx="5396865" cy="3687706"/>
                    </a:xfrm>
                    <a:prstGeom prst="rect">
                      <a:avLst/>
                    </a:prstGeom>
                    <a:ln/>
                  </pic:spPr>
                </pic:pic>
              </a:graphicData>
            </a:graphic>
          </wp:inline>
        </w:drawing>
      </w:r>
      <w:r>
        <w:t>Figure 1. Screen plot from the factor analysis</w:t>
      </w:r>
      <w:r w:rsidR="000518B3">
        <w:t>.</w:t>
      </w:r>
    </w:p>
    <w:p w14:paraId="22CAA673" w14:textId="77777777" w:rsidR="000518B3" w:rsidRDefault="00DF6095" w:rsidP="00785589">
      <w:pPr>
        <w:widowControl w:val="0"/>
        <w:spacing w:before="240" w:line="360" w:lineRule="auto"/>
        <w:ind w:firstLine="720"/>
      </w:pPr>
      <w:r>
        <w:t>The program's suggestion is to omit item 2 (geography) to increase the explain</w:t>
      </w:r>
      <w:r>
        <w:t>ed variance of the instrument; however, it is a subject present in the secondary school curriculum, so it was decided to keep it in the instrument (table 3)</w:t>
      </w:r>
      <w:r w:rsidR="000518B3">
        <w:t xml:space="preserve">. </w:t>
      </w:r>
    </w:p>
    <w:p w14:paraId="64C92115" w14:textId="3C91071D" w:rsidR="00AD5713" w:rsidRDefault="00DF6095" w:rsidP="004E1A2F">
      <w:pPr>
        <w:widowControl w:val="0"/>
        <w:spacing w:before="240" w:line="360" w:lineRule="auto"/>
      </w:pPr>
      <w:r>
        <w:t>Table 3. Principal component analysis</w:t>
      </w:r>
    </w:p>
    <w:tbl>
      <w:tblPr>
        <w:tblStyle w:val="a5"/>
        <w:tblW w:w="5010" w:type="dxa"/>
        <w:tblLayout w:type="fixed"/>
        <w:tblLook w:val="0400" w:firstRow="0" w:lastRow="0" w:firstColumn="0" w:lastColumn="0" w:noHBand="0" w:noVBand="1"/>
      </w:tblPr>
      <w:tblGrid>
        <w:gridCol w:w="2055"/>
        <w:gridCol w:w="1545"/>
        <w:gridCol w:w="1410"/>
      </w:tblGrid>
      <w:tr w:rsidR="00AD5713" w:rsidRPr="00AC7217" w14:paraId="29B3D112" w14:textId="77777777">
        <w:trPr>
          <w:trHeight w:val="536"/>
        </w:trPr>
        <w:tc>
          <w:tcPr>
            <w:tcW w:w="2055" w:type="dxa"/>
            <w:tcBorders>
              <w:top w:val="single" w:sz="8" w:space="0" w:color="000000"/>
            </w:tcBorders>
            <w:tcMar>
              <w:top w:w="100" w:type="dxa"/>
              <w:left w:w="100" w:type="dxa"/>
              <w:bottom w:w="100" w:type="dxa"/>
              <w:right w:w="100" w:type="dxa"/>
            </w:tcMar>
          </w:tcPr>
          <w:p w14:paraId="13070E4E" w14:textId="77777777" w:rsidR="00AD5713" w:rsidRPr="00AC7217" w:rsidRDefault="00AD5713" w:rsidP="00AC7217">
            <w:pPr>
              <w:rPr>
                <w:sz w:val="20"/>
              </w:rPr>
            </w:pPr>
          </w:p>
        </w:tc>
        <w:tc>
          <w:tcPr>
            <w:tcW w:w="2955" w:type="dxa"/>
            <w:gridSpan w:val="2"/>
            <w:tcBorders>
              <w:top w:val="single" w:sz="8" w:space="0" w:color="000000"/>
              <w:bottom w:val="single" w:sz="8" w:space="0" w:color="000000"/>
            </w:tcBorders>
            <w:tcMar>
              <w:top w:w="100" w:type="dxa"/>
              <w:left w:w="100" w:type="dxa"/>
              <w:bottom w:w="100" w:type="dxa"/>
              <w:right w:w="100" w:type="dxa"/>
            </w:tcMar>
          </w:tcPr>
          <w:p w14:paraId="10BC7A7D" w14:textId="77777777" w:rsidR="00AD5713" w:rsidRPr="00AC7217" w:rsidRDefault="00DF6095" w:rsidP="00AC7217">
            <w:pPr>
              <w:jc w:val="center"/>
              <w:rPr>
                <w:sz w:val="20"/>
              </w:rPr>
            </w:pPr>
            <w:r w:rsidRPr="00AC7217">
              <w:rPr>
                <w:sz w:val="20"/>
              </w:rPr>
              <w:t>Factor</w:t>
            </w:r>
          </w:p>
        </w:tc>
      </w:tr>
      <w:tr w:rsidR="00AD5713" w:rsidRPr="00AC7217" w14:paraId="6C48B498" w14:textId="77777777">
        <w:tc>
          <w:tcPr>
            <w:tcW w:w="2055" w:type="dxa"/>
            <w:tcBorders>
              <w:bottom w:val="single" w:sz="8" w:space="0" w:color="000000"/>
            </w:tcBorders>
            <w:tcMar>
              <w:top w:w="100" w:type="dxa"/>
              <w:left w:w="100" w:type="dxa"/>
              <w:bottom w:w="100" w:type="dxa"/>
              <w:right w:w="100" w:type="dxa"/>
            </w:tcMar>
          </w:tcPr>
          <w:p w14:paraId="72687A33" w14:textId="77777777" w:rsidR="00AD5713" w:rsidRPr="00AC7217" w:rsidRDefault="00AD5713" w:rsidP="00AC7217">
            <w:pPr>
              <w:rPr>
                <w:sz w:val="20"/>
              </w:rPr>
            </w:pPr>
          </w:p>
        </w:tc>
        <w:tc>
          <w:tcPr>
            <w:tcW w:w="1545" w:type="dxa"/>
            <w:tcBorders>
              <w:top w:val="single" w:sz="8" w:space="0" w:color="000000"/>
              <w:bottom w:val="single" w:sz="8" w:space="0" w:color="000000"/>
            </w:tcBorders>
            <w:tcMar>
              <w:top w:w="100" w:type="dxa"/>
              <w:left w:w="100" w:type="dxa"/>
              <w:bottom w:w="100" w:type="dxa"/>
              <w:right w:w="100" w:type="dxa"/>
            </w:tcMar>
          </w:tcPr>
          <w:p w14:paraId="2D24EE7D" w14:textId="77777777" w:rsidR="00AD5713" w:rsidRPr="00AC7217" w:rsidRDefault="00DF6095" w:rsidP="00AC7217">
            <w:pPr>
              <w:jc w:val="center"/>
              <w:rPr>
                <w:sz w:val="20"/>
              </w:rPr>
            </w:pPr>
            <w:r w:rsidRPr="00AC7217">
              <w:rPr>
                <w:sz w:val="20"/>
              </w:rPr>
              <w:t>1</w:t>
            </w:r>
          </w:p>
        </w:tc>
        <w:tc>
          <w:tcPr>
            <w:tcW w:w="1410" w:type="dxa"/>
            <w:tcBorders>
              <w:top w:val="single" w:sz="8" w:space="0" w:color="000000"/>
              <w:bottom w:val="single" w:sz="8" w:space="0" w:color="000000"/>
            </w:tcBorders>
            <w:tcMar>
              <w:top w:w="100" w:type="dxa"/>
              <w:left w:w="100" w:type="dxa"/>
              <w:bottom w:w="100" w:type="dxa"/>
              <w:right w:w="100" w:type="dxa"/>
            </w:tcMar>
          </w:tcPr>
          <w:p w14:paraId="7CDE03E7" w14:textId="77777777" w:rsidR="00AD5713" w:rsidRPr="00AC7217" w:rsidRDefault="00DF6095" w:rsidP="00AC7217">
            <w:pPr>
              <w:jc w:val="center"/>
              <w:rPr>
                <w:sz w:val="20"/>
              </w:rPr>
            </w:pPr>
            <w:r w:rsidRPr="00AC7217">
              <w:rPr>
                <w:sz w:val="20"/>
              </w:rPr>
              <w:t>2</w:t>
            </w:r>
          </w:p>
        </w:tc>
      </w:tr>
      <w:tr w:rsidR="00AD5713" w:rsidRPr="00AC7217" w14:paraId="23D02C51" w14:textId="77777777">
        <w:tc>
          <w:tcPr>
            <w:tcW w:w="2055" w:type="dxa"/>
            <w:tcBorders>
              <w:top w:val="single" w:sz="8" w:space="0" w:color="000000"/>
            </w:tcBorders>
            <w:tcMar>
              <w:top w:w="100" w:type="dxa"/>
              <w:left w:w="100" w:type="dxa"/>
              <w:bottom w:w="100" w:type="dxa"/>
              <w:right w:w="100" w:type="dxa"/>
            </w:tcMar>
          </w:tcPr>
          <w:p w14:paraId="3C4518D7" w14:textId="77777777" w:rsidR="00AD5713" w:rsidRPr="00AC7217" w:rsidRDefault="00DF6095" w:rsidP="00AC7217">
            <w:pPr>
              <w:rPr>
                <w:sz w:val="20"/>
              </w:rPr>
            </w:pPr>
            <w:r w:rsidRPr="00AC7217">
              <w:rPr>
                <w:sz w:val="20"/>
              </w:rPr>
              <w:t>Biology</w:t>
            </w:r>
          </w:p>
        </w:tc>
        <w:tc>
          <w:tcPr>
            <w:tcW w:w="1545" w:type="dxa"/>
            <w:tcBorders>
              <w:top w:val="single" w:sz="8" w:space="0" w:color="000000"/>
            </w:tcBorders>
            <w:tcMar>
              <w:top w:w="100" w:type="dxa"/>
              <w:left w:w="100" w:type="dxa"/>
              <w:bottom w:w="100" w:type="dxa"/>
              <w:right w:w="100" w:type="dxa"/>
            </w:tcMar>
          </w:tcPr>
          <w:p w14:paraId="41D6C00E" w14:textId="77777777" w:rsidR="00AD5713" w:rsidRPr="00AC7217" w:rsidRDefault="00DF6095" w:rsidP="00AC7217">
            <w:pPr>
              <w:jc w:val="center"/>
              <w:rPr>
                <w:sz w:val="20"/>
              </w:rPr>
            </w:pPr>
            <w:r w:rsidRPr="00AC7217">
              <w:rPr>
                <w:sz w:val="20"/>
              </w:rPr>
              <w:t>.549</w:t>
            </w:r>
          </w:p>
        </w:tc>
        <w:tc>
          <w:tcPr>
            <w:tcW w:w="1410" w:type="dxa"/>
            <w:tcBorders>
              <w:top w:val="single" w:sz="8" w:space="0" w:color="000000"/>
            </w:tcBorders>
            <w:tcMar>
              <w:top w:w="100" w:type="dxa"/>
              <w:left w:w="100" w:type="dxa"/>
              <w:bottom w:w="100" w:type="dxa"/>
              <w:right w:w="100" w:type="dxa"/>
            </w:tcMar>
          </w:tcPr>
          <w:p w14:paraId="6692ABA8" w14:textId="77777777" w:rsidR="00AD5713" w:rsidRPr="00AC7217" w:rsidRDefault="00AD5713" w:rsidP="00AC7217">
            <w:pPr>
              <w:rPr>
                <w:sz w:val="20"/>
              </w:rPr>
            </w:pPr>
          </w:p>
        </w:tc>
      </w:tr>
      <w:tr w:rsidR="00AD5713" w:rsidRPr="00AC7217" w14:paraId="69E84C7D" w14:textId="77777777">
        <w:tc>
          <w:tcPr>
            <w:tcW w:w="2055" w:type="dxa"/>
            <w:tcMar>
              <w:top w:w="100" w:type="dxa"/>
              <w:left w:w="100" w:type="dxa"/>
              <w:bottom w:w="100" w:type="dxa"/>
              <w:right w:w="100" w:type="dxa"/>
            </w:tcMar>
          </w:tcPr>
          <w:p w14:paraId="0440E291" w14:textId="77777777" w:rsidR="00AD5713" w:rsidRPr="00AC7217" w:rsidRDefault="00DF6095" w:rsidP="00AC7217">
            <w:pPr>
              <w:rPr>
                <w:sz w:val="20"/>
              </w:rPr>
            </w:pPr>
            <w:r w:rsidRPr="00AC7217">
              <w:rPr>
                <w:sz w:val="20"/>
              </w:rPr>
              <w:t>Geography</w:t>
            </w:r>
          </w:p>
        </w:tc>
        <w:tc>
          <w:tcPr>
            <w:tcW w:w="1545" w:type="dxa"/>
            <w:tcMar>
              <w:top w:w="100" w:type="dxa"/>
              <w:left w:w="100" w:type="dxa"/>
              <w:bottom w:w="100" w:type="dxa"/>
              <w:right w:w="100" w:type="dxa"/>
            </w:tcMar>
          </w:tcPr>
          <w:p w14:paraId="48407E8F" w14:textId="77777777" w:rsidR="00AD5713" w:rsidRPr="00AC7217" w:rsidRDefault="00DF6095" w:rsidP="00AC7217">
            <w:pPr>
              <w:jc w:val="center"/>
              <w:rPr>
                <w:sz w:val="20"/>
              </w:rPr>
            </w:pPr>
            <w:r w:rsidRPr="00AC7217">
              <w:rPr>
                <w:sz w:val="20"/>
              </w:rPr>
              <w:t>.524</w:t>
            </w:r>
          </w:p>
        </w:tc>
        <w:tc>
          <w:tcPr>
            <w:tcW w:w="1410" w:type="dxa"/>
            <w:tcMar>
              <w:top w:w="100" w:type="dxa"/>
              <w:left w:w="100" w:type="dxa"/>
              <w:bottom w:w="100" w:type="dxa"/>
              <w:right w:w="100" w:type="dxa"/>
            </w:tcMar>
          </w:tcPr>
          <w:p w14:paraId="6D442264" w14:textId="77777777" w:rsidR="00AD5713" w:rsidRPr="00AC7217" w:rsidRDefault="00AD5713" w:rsidP="00AC7217">
            <w:pPr>
              <w:rPr>
                <w:sz w:val="20"/>
              </w:rPr>
            </w:pPr>
          </w:p>
        </w:tc>
      </w:tr>
      <w:tr w:rsidR="00AD5713" w:rsidRPr="00AC7217" w14:paraId="71EF407C" w14:textId="77777777">
        <w:tc>
          <w:tcPr>
            <w:tcW w:w="2055" w:type="dxa"/>
            <w:tcMar>
              <w:top w:w="100" w:type="dxa"/>
              <w:left w:w="100" w:type="dxa"/>
              <w:bottom w:w="100" w:type="dxa"/>
              <w:right w:w="100" w:type="dxa"/>
            </w:tcMar>
          </w:tcPr>
          <w:p w14:paraId="0FCB427C" w14:textId="77777777" w:rsidR="00AD5713" w:rsidRPr="00AC7217" w:rsidRDefault="00DF6095" w:rsidP="00AC7217">
            <w:pPr>
              <w:rPr>
                <w:sz w:val="20"/>
              </w:rPr>
            </w:pPr>
            <w:r w:rsidRPr="00AC7217">
              <w:rPr>
                <w:sz w:val="20"/>
              </w:rPr>
              <w:t>Physics</w:t>
            </w:r>
          </w:p>
        </w:tc>
        <w:tc>
          <w:tcPr>
            <w:tcW w:w="1545" w:type="dxa"/>
            <w:tcMar>
              <w:top w:w="100" w:type="dxa"/>
              <w:left w:w="100" w:type="dxa"/>
              <w:bottom w:w="100" w:type="dxa"/>
              <w:right w:w="100" w:type="dxa"/>
            </w:tcMar>
          </w:tcPr>
          <w:p w14:paraId="03C2582E" w14:textId="77777777" w:rsidR="00AD5713" w:rsidRPr="00AC7217" w:rsidRDefault="00DF6095" w:rsidP="00AC7217">
            <w:pPr>
              <w:jc w:val="center"/>
              <w:rPr>
                <w:sz w:val="20"/>
              </w:rPr>
            </w:pPr>
            <w:r w:rsidRPr="00AC7217">
              <w:rPr>
                <w:sz w:val="20"/>
              </w:rPr>
              <w:t>.854</w:t>
            </w:r>
          </w:p>
        </w:tc>
        <w:tc>
          <w:tcPr>
            <w:tcW w:w="1410" w:type="dxa"/>
            <w:tcMar>
              <w:top w:w="100" w:type="dxa"/>
              <w:left w:w="100" w:type="dxa"/>
              <w:bottom w:w="100" w:type="dxa"/>
              <w:right w:w="100" w:type="dxa"/>
            </w:tcMar>
          </w:tcPr>
          <w:p w14:paraId="51BD9AFA" w14:textId="77777777" w:rsidR="00AD5713" w:rsidRPr="00AC7217" w:rsidRDefault="00AD5713" w:rsidP="00AC7217">
            <w:pPr>
              <w:rPr>
                <w:sz w:val="20"/>
              </w:rPr>
            </w:pPr>
          </w:p>
        </w:tc>
      </w:tr>
      <w:tr w:rsidR="00AD5713" w:rsidRPr="00AC7217" w14:paraId="1829D4CB" w14:textId="77777777">
        <w:tc>
          <w:tcPr>
            <w:tcW w:w="2055" w:type="dxa"/>
            <w:tcMar>
              <w:top w:w="100" w:type="dxa"/>
              <w:left w:w="100" w:type="dxa"/>
              <w:bottom w:w="100" w:type="dxa"/>
              <w:right w:w="100" w:type="dxa"/>
            </w:tcMar>
          </w:tcPr>
          <w:p w14:paraId="0289C2D2" w14:textId="77777777" w:rsidR="00AD5713" w:rsidRPr="00AC7217" w:rsidRDefault="00DF6095" w:rsidP="00AC7217">
            <w:pPr>
              <w:rPr>
                <w:sz w:val="20"/>
              </w:rPr>
            </w:pPr>
            <w:r w:rsidRPr="00AC7217">
              <w:rPr>
                <w:sz w:val="20"/>
              </w:rPr>
              <w:t>Chemistry</w:t>
            </w:r>
          </w:p>
        </w:tc>
        <w:tc>
          <w:tcPr>
            <w:tcW w:w="1545" w:type="dxa"/>
            <w:tcMar>
              <w:top w:w="100" w:type="dxa"/>
              <w:left w:w="100" w:type="dxa"/>
              <w:bottom w:w="100" w:type="dxa"/>
              <w:right w:w="100" w:type="dxa"/>
            </w:tcMar>
          </w:tcPr>
          <w:p w14:paraId="7A03A9CF" w14:textId="77777777" w:rsidR="00AD5713" w:rsidRPr="00AC7217" w:rsidRDefault="00DF6095" w:rsidP="00AC7217">
            <w:pPr>
              <w:jc w:val="center"/>
              <w:rPr>
                <w:sz w:val="20"/>
              </w:rPr>
            </w:pPr>
            <w:r w:rsidRPr="00AC7217">
              <w:rPr>
                <w:sz w:val="20"/>
              </w:rPr>
              <w:t>804</w:t>
            </w:r>
          </w:p>
        </w:tc>
        <w:tc>
          <w:tcPr>
            <w:tcW w:w="1410" w:type="dxa"/>
            <w:tcMar>
              <w:top w:w="100" w:type="dxa"/>
              <w:left w:w="100" w:type="dxa"/>
              <w:bottom w:w="100" w:type="dxa"/>
              <w:right w:w="100" w:type="dxa"/>
            </w:tcMar>
          </w:tcPr>
          <w:p w14:paraId="79965AE4" w14:textId="77777777" w:rsidR="00AD5713" w:rsidRPr="00AC7217" w:rsidRDefault="00AD5713" w:rsidP="00AC7217">
            <w:pPr>
              <w:rPr>
                <w:sz w:val="20"/>
              </w:rPr>
            </w:pPr>
          </w:p>
        </w:tc>
      </w:tr>
      <w:tr w:rsidR="00AD5713" w:rsidRPr="00AC7217" w14:paraId="419FBFD8" w14:textId="77777777">
        <w:tc>
          <w:tcPr>
            <w:tcW w:w="2055" w:type="dxa"/>
            <w:tcMar>
              <w:top w:w="100" w:type="dxa"/>
              <w:left w:w="100" w:type="dxa"/>
              <w:bottom w:w="100" w:type="dxa"/>
              <w:right w:w="100" w:type="dxa"/>
            </w:tcMar>
          </w:tcPr>
          <w:p w14:paraId="17D51BE2" w14:textId="77777777" w:rsidR="00AD5713" w:rsidRPr="00AC7217" w:rsidRDefault="00DF6095" w:rsidP="00AC7217">
            <w:pPr>
              <w:rPr>
                <w:sz w:val="20"/>
              </w:rPr>
            </w:pPr>
            <w:r w:rsidRPr="00AC7217">
              <w:rPr>
                <w:sz w:val="20"/>
              </w:rPr>
              <w:t>Technology</w:t>
            </w:r>
          </w:p>
        </w:tc>
        <w:tc>
          <w:tcPr>
            <w:tcW w:w="1545" w:type="dxa"/>
            <w:tcMar>
              <w:top w:w="100" w:type="dxa"/>
              <w:left w:w="100" w:type="dxa"/>
              <w:bottom w:w="100" w:type="dxa"/>
              <w:right w:w="100" w:type="dxa"/>
            </w:tcMar>
          </w:tcPr>
          <w:p w14:paraId="659B600D" w14:textId="77777777" w:rsidR="00AD5713" w:rsidRPr="00AC7217" w:rsidRDefault="00DF6095" w:rsidP="00AC7217">
            <w:pPr>
              <w:jc w:val="center"/>
              <w:rPr>
                <w:sz w:val="20"/>
              </w:rPr>
            </w:pPr>
            <w:r w:rsidRPr="00AC7217">
              <w:rPr>
                <w:sz w:val="20"/>
              </w:rPr>
              <w:t>.797</w:t>
            </w:r>
          </w:p>
        </w:tc>
        <w:tc>
          <w:tcPr>
            <w:tcW w:w="1410" w:type="dxa"/>
            <w:tcMar>
              <w:top w:w="100" w:type="dxa"/>
              <w:left w:w="100" w:type="dxa"/>
              <w:bottom w:w="100" w:type="dxa"/>
              <w:right w:w="100" w:type="dxa"/>
            </w:tcMar>
          </w:tcPr>
          <w:p w14:paraId="14C0C059" w14:textId="77777777" w:rsidR="00AD5713" w:rsidRPr="00AC7217" w:rsidRDefault="00AD5713" w:rsidP="00AC7217">
            <w:pPr>
              <w:rPr>
                <w:sz w:val="20"/>
              </w:rPr>
            </w:pPr>
          </w:p>
        </w:tc>
      </w:tr>
      <w:tr w:rsidR="00AD5713" w:rsidRPr="00AC7217" w14:paraId="15CA759F" w14:textId="77777777">
        <w:tc>
          <w:tcPr>
            <w:tcW w:w="2055" w:type="dxa"/>
            <w:tcMar>
              <w:top w:w="100" w:type="dxa"/>
              <w:left w:w="100" w:type="dxa"/>
              <w:bottom w:w="100" w:type="dxa"/>
              <w:right w:w="100" w:type="dxa"/>
            </w:tcMar>
          </w:tcPr>
          <w:p w14:paraId="288F8D13" w14:textId="77777777" w:rsidR="00AD5713" w:rsidRPr="00AC7217" w:rsidRDefault="00DF6095" w:rsidP="00AC7217">
            <w:pPr>
              <w:rPr>
                <w:sz w:val="20"/>
              </w:rPr>
            </w:pPr>
            <w:r w:rsidRPr="00AC7217">
              <w:rPr>
                <w:sz w:val="20"/>
              </w:rPr>
              <w:t>Computing</w:t>
            </w:r>
          </w:p>
        </w:tc>
        <w:tc>
          <w:tcPr>
            <w:tcW w:w="1545" w:type="dxa"/>
            <w:tcMar>
              <w:top w:w="100" w:type="dxa"/>
              <w:left w:w="100" w:type="dxa"/>
              <w:bottom w:w="100" w:type="dxa"/>
              <w:right w:w="100" w:type="dxa"/>
            </w:tcMar>
          </w:tcPr>
          <w:p w14:paraId="2623CFF2" w14:textId="77777777" w:rsidR="00AD5713" w:rsidRPr="00AC7217" w:rsidRDefault="00AD5713" w:rsidP="00AC7217">
            <w:pPr>
              <w:rPr>
                <w:sz w:val="20"/>
              </w:rPr>
            </w:pPr>
          </w:p>
        </w:tc>
        <w:tc>
          <w:tcPr>
            <w:tcW w:w="1410" w:type="dxa"/>
            <w:tcMar>
              <w:top w:w="100" w:type="dxa"/>
              <w:left w:w="100" w:type="dxa"/>
              <w:bottom w:w="100" w:type="dxa"/>
              <w:right w:w="100" w:type="dxa"/>
            </w:tcMar>
          </w:tcPr>
          <w:p w14:paraId="46ED39AD" w14:textId="77777777" w:rsidR="00AD5713" w:rsidRPr="00AC7217" w:rsidRDefault="00DF6095" w:rsidP="00AC7217">
            <w:pPr>
              <w:jc w:val="center"/>
              <w:rPr>
                <w:sz w:val="20"/>
              </w:rPr>
            </w:pPr>
            <w:r w:rsidRPr="00AC7217">
              <w:rPr>
                <w:sz w:val="20"/>
              </w:rPr>
              <w:t>.824</w:t>
            </w:r>
          </w:p>
        </w:tc>
      </w:tr>
      <w:tr w:rsidR="00AD5713" w:rsidRPr="00AC7217" w14:paraId="1782F480" w14:textId="77777777">
        <w:tc>
          <w:tcPr>
            <w:tcW w:w="2055" w:type="dxa"/>
            <w:tcBorders>
              <w:bottom w:val="single" w:sz="8" w:space="0" w:color="000000"/>
            </w:tcBorders>
            <w:tcMar>
              <w:top w:w="100" w:type="dxa"/>
              <w:left w:w="100" w:type="dxa"/>
              <w:bottom w:w="100" w:type="dxa"/>
              <w:right w:w="100" w:type="dxa"/>
            </w:tcMar>
          </w:tcPr>
          <w:p w14:paraId="130F0B16" w14:textId="77777777" w:rsidR="00AD5713" w:rsidRPr="00AC7217" w:rsidRDefault="00DF6095" w:rsidP="00AC7217">
            <w:pPr>
              <w:rPr>
                <w:sz w:val="20"/>
              </w:rPr>
            </w:pPr>
            <w:r w:rsidRPr="00AC7217">
              <w:rPr>
                <w:sz w:val="20"/>
              </w:rPr>
              <w:t>Mathematics</w:t>
            </w:r>
          </w:p>
        </w:tc>
        <w:tc>
          <w:tcPr>
            <w:tcW w:w="1545" w:type="dxa"/>
            <w:tcBorders>
              <w:bottom w:val="single" w:sz="8" w:space="0" w:color="000000"/>
            </w:tcBorders>
            <w:tcMar>
              <w:top w:w="100" w:type="dxa"/>
              <w:left w:w="100" w:type="dxa"/>
              <w:bottom w:w="100" w:type="dxa"/>
              <w:right w:w="100" w:type="dxa"/>
            </w:tcMar>
          </w:tcPr>
          <w:p w14:paraId="432918EB" w14:textId="77777777" w:rsidR="00AD5713" w:rsidRPr="00AC7217" w:rsidRDefault="00AD5713" w:rsidP="00AC7217">
            <w:pPr>
              <w:rPr>
                <w:sz w:val="20"/>
              </w:rPr>
            </w:pPr>
          </w:p>
        </w:tc>
        <w:tc>
          <w:tcPr>
            <w:tcW w:w="1410" w:type="dxa"/>
            <w:tcBorders>
              <w:bottom w:val="single" w:sz="8" w:space="0" w:color="000000"/>
            </w:tcBorders>
            <w:tcMar>
              <w:top w:w="100" w:type="dxa"/>
              <w:left w:w="100" w:type="dxa"/>
              <w:bottom w:w="100" w:type="dxa"/>
              <w:right w:w="100" w:type="dxa"/>
            </w:tcMar>
          </w:tcPr>
          <w:p w14:paraId="1AADC59E" w14:textId="77777777" w:rsidR="00AD5713" w:rsidRPr="00AC7217" w:rsidRDefault="00DF6095" w:rsidP="00AC7217">
            <w:pPr>
              <w:jc w:val="center"/>
              <w:rPr>
                <w:sz w:val="20"/>
              </w:rPr>
            </w:pPr>
            <w:r w:rsidRPr="00AC7217">
              <w:rPr>
                <w:sz w:val="20"/>
              </w:rPr>
              <w:t>.876</w:t>
            </w:r>
          </w:p>
        </w:tc>
      </w:tr>
    </w:tbl>
    <w:p w14:paraId="15EA8B86" w14:textId="77777777" w:rsidR="00AD5713" w:rsidRDefault="00DF6095" w:rsidP="004E1A2F">
      <w:pPr>
        <w:spacing w:line="360" w:lineRule="auto"/>
      </w:pPr>
      <w:r>
        <w:rPr>
          <w:i/>
        </w:rPr>
        <w:t>Note:</w:t>
      </w:r>
      <w:r>
        <w:t xml:space="preserve"> Own elaboration.</w:t>
      </w:r>
    </w:p>
    <w:p w14:paraId="67C1EC12" w14:textId="77777777" w:rsidR="00AD5713" w:rsidRDefault="00DF6095" w:rsidP="00785589">
      <w:pPr>
        <w:widowControl w:val="0"/>
        <w:spacing w:before="240" w:line="360" w:lineRule="auto"/>
        <w:ind w:firstLine="720"/>
      </w:pPr>
      <w:r>
        <w:t xml:space="preserve">For the second part of the instrument, the results showed adequate internal consistency </w:t>
      </w:r>
      <w:r>
        <w:lastRenderedPageBreak/>
        <w:t xml:space="preserve">(Cronbach's alpha 0.749) and Bartlett's sphericity test was significant (χ2=106.926; </w:t>
      </w:r>
      <w:proofErr w:type="spellStart"/>
      <w:r>
        <w:t>gl</w:t>
      </w:r>
      <w:proofErr w:type="spellEnd"/>
      <w:r>
        <w:t>=21, p &lt; .000). The KMO sample adequacy measure showed an acceptable sample adequ</w:t>
      </w:r>
      <w:r>
        <w:t>acy (KMO = 0.749). Examination of the screen plot suggested that an extraction of two components accounted for 40.57% of the variance. The second factor explained 16.17% of the total variation in students’ responses to the instrument items (figure 2).</w:t>
      </w:r>
    </w:p>
    <w:p w14:paraId="461A03F2" w14:textId="77777777" w:rsidR="000518B3" w:rsidRDefault="00DF6095" w:rsidP="004E1A2F">
      <w:pPr>
        <w:pBdr>
          <w:top w:val="nil"/>
          <w:left w:val="nil"/>
          <w:bottom w:val="nil"/>
          <w:right w:val="nil"/>
          <w:between w:val="nil"/>
        </w:pBdr>
        <w:spacing w:before="360" w:line="360" w:lineRule="auto"/>
        <w:rPr>
          <w:i/>
          <w:color w:val="000000"/>
        </w:rPr>
      </w:pPr>
      <w:r>
        <w:rPr>
          <w:rFonts w:ascii="Roboto" w:eastAsia="Roboto" w:hAnsi="Roboto" w:cs="Roboto"/>
          <w:noProof/>
          <w:color w:val="000000"/>
          <w:sz w:val="21"/>
          <w:szCs w:val="21"/>
          <w:highlight w:val="white"/>
          <w:lang w:val="en-US" w:eastAsia="en-US"/>
        </w:rPr>
        <w:drawing>
          <wp:inline distT="0" distB="0" distL="0" distR="0" wp14:anchorId="5185D10A" wp14:editId="15B1516A">
            <wp:extent cx="5396865" cy="3690844"/>
            <wp:effectExtent l="0" t="0" r="0" b="0"/>
            <wp:docPr id="6" name="image2.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 line chart&#10;&#10;Description automatically generated"/>
                    <pic:cNvPicPr preferRelativeResize="0"/>
                  </pic:nvPicPr>
                  <pic:blipFill>
                    <a:blip r:embed="rId9"/>
                    <a:srcRect t="14247"/>
                    <a:stretch>
                      <a:fillRect/>
                    </a:stretch>
                  </pic:blipFill>
                  <pic:spPr>
                    <a:xfrm>
                      <a:off x="0" y="0"/>
                      <a:ext cx="5396865" cy="3690844"/>
                    </a:xfrm>
                    <a:prstGeom prst="rect">
                      <a:avLst/>
                    </a:prstGeom>
                    <a:ln/>
                  </pic:spPr>
                </pic:pic>
              </a:graphicData>
            </a:graphic>
          </wp:inline>
        </w:drawing>
      </w:r>
      <w:r>
        <w:rPr>
          <w:color w:val="000000"/>
        </w:rPr>
        <w:t>Figure 2. Screen plot from the factor analysis </w:t>
      </w:r>
    </w:p>
    <w:p w14:paraId="03C46403" w14:textId="77777777" w:rsidR="000518B3" w:rsidRDefault="00DF6095" w:rsidP="00785589">
      <w:pPr>
        <w:pBdr>
          <w:top w:val="nil"/>
          <w:left w:val="nil"/>
          <w:bottom w:val="nil"/>
          <w:right w:val="nil"/>
          <w:between w:val="nil"/>
        </w:pBdr>
        <w:spacing w:before="360" w:line="360" w:lineRule="auto"/>
        <w:ind w:firstLine="720"/>
        <w:rPr>
          <w:i/>
          <w:color w:val="000000"/>
        </w:rPr>
      </w:pPr>
      <w:r>
        <w:t>To define the number of factors of this scale we use the Promax rotation technique. Table 4 shows the items grouped in each factor with their corresponding factor loadings.</w:t>
      </w:r>
    </w:p>
    <w:p w14:paraId="65F54AED" w14:textId="31C593D0" w:rsidR="00AD5713" w:rsidRPr="000518B3" w:rsidRDefault="00DF6095" w:rsidP="004E1A2F">
      <w:pPr>
        <w:pBdr>
          <w:top w:val="nil"/>
          <w:left w:val="nil"/>
          <w:bottom w:val="nil"/>
          <w:right w:val="nil"/>
          <w:between w:val="nil"/>
        </w:pBdr>
        <w:spacing w:before="360" w:line="360" w:lineRule="auto"/>
        <w:rPr>
          <w:i/>
          <w:color w:val="000000"/>
        </w:rPr>
      </w:pPr>
      <w:r>
        <w:t>Table 4. Principal component analys</w:t>
      </w:r>
      <w:r>
        <w:t>is </w:t>
      </w:r>
    </w:p>
    <w:tbl>
      <w:tblPr>
        <w:tblStyle w:val="a6"/>
        <w:tblW w:w="4920" w:type="dxa"/>
        <w:tblLayout w:type="fixed"/>
        <w:tblLook w:val="0400" w:firstRow="0" w:lastRow="0" w:firstColumn="0" w:lastColumn="0" w:noHBand="0" w:noVBand="1"/>
      </w:tblPr>
      <w:tblGrid>
        <w:gridCol w:w="1845"/>
        <w:gridCol w:w="1515"/>
        <w:gridCol w:w="1560"/>
      </w:tblGrid>
      <w:tr w:rsidR="00AD5713" w:rsidRPr="00AC7217" w14:paraId="6920FE40" w14:textId="77777777">
        <w:trPr>
          <w:trHeight w:val="420"/>
        </w:trPr>
        <w:tc>
          <w:tcPr>
            <w:tcW w:w="1845" w:type="dxa"/>
            <w:tcBorders>
              <w:top w:val="single" w:sz="8" w:space="0" w:color="000000"/>
            </w:tcBorders>
            <w:tcMar>
              <w:top w:w="100" w:type="dxa"/>
              <w:left w:w="100" w:type="dxa"/>
              <w:bottom w:w="100" w:type="dxa"/>
              <w:right w:w="100" w:type="dxa"/>
            </w:tcMar>
          </w:tcPr>
          <w:p w14:paraId="0E4846D5" w14:textId="77777777" w:rsidR="00AD5713" w:rsidRPr="00AC7217" w:rsidRDefault="00AD5713" w:rsidP="00AC7217">
            <w:pPr>
              <w:rPr>
                <w:sz w:val="20"/>
              </w:rPr>
            </w:pPr>
          </w:p>
        </w:tc>
        <w:tc>
          <w:tcPr>
            <w:tcW w:w="3075" w:type="dxa"/>
            <w:gridSpan w:val="2"/>
            <w:tcBorders>
              <w:top w:val="single" w:sz="8" w:space="0" w:color="000000"/>
              <w:bottom w:val="single" w:sz="8" w:space="0" w:color="000000"/>
            </w:tcBorders>
            <w:tcMar>
              <w:top w:w="100" w:type="dxa"/>
              <w:left w:w="100" w:type="dxa"/>
              <w:bottom w:w="100" w:type="dxa"/>
              <w:right w:w="100" w:type="dxa"/>
            </w:tcMar>
          </w:tcPr>
          <w:p w14:paraId="05D21FF7" w14:textId="77777777" w:rsidR="00AD5713" w:rsidRPr="00AC7217" w:rsidRDefault="00DF6095" w:rsidP="00AC7217">
            <w:pPr>
              <w:jc w:val="center"/>
              <w:rPr>
                <w:sz w:val="20"/>
              </w:rPr>
            </w:pPr>
            <w:r w:rsidRPr="00AC7217">
              <w:rPr>
                <w:sz w:val="20"/>
              </w:rPr>
              <w:t>Factor</w:t>
            </w:r>
          </w:p>
        </w:tc>
      </w:tr>
      <w:tr w:rsidR="00AD5713" w:rsidRPr="00AC7217" w14:paraId="77F954E4" w14:textId="77777777">
        <w:tc>
          <w:tcPr>
            <w:tcW w:w="1845" w:type="dxa"/>
            <w:tcBorders>
              <w:bottom w:val="single" w:sz="8" w:space="0" w:color="000000"/>
            </w:tcBorders>
            <w:tcMar>
              <w:top w:w="100" w:type="dxa"/>
              <w:left w:w="100" w:type="dxa"/>
              <w:bottom w:w="100" w:type="dxa"/>
              <w:right w:w="100" w:type="dxa"/>
            </w:tcMar>
          </w:tcPr>
          <w:p w14:paraId="31C6CDF1" w14:textId="77777777" w:rsidR="00AD5713" w:rsidRPr="00AC7217" w:rsidRDefault="00AD5713" w:rsidP="00AC7217">
            <w:pPr>
              <w:rPr>
                <w:sz w:val="20"/>
              </w:rPr>
            </w:pPr>
          </w:p>
        </w:tc>
        <w:tc>
          <w:tcPr>
            <w:tcW w:w="1515" w:type="dxa"/>
            <w:tcBorders>
              <w:top w:val="single" w:sz="8" w:space="0" w:color="000000"/>
              <w:bottom w:val="single" w:sz="8" w:space="0" w:color="000000"/>
            </w:tcBorders>
            <w:tcMar>
              <w:top w:w="100" w:type="dxa"/>
              <w:left w:w="100" w:type="dxa"/>
              <w:bottom w:w="100" w:type="dxa"/>
              <w:right w:w="100" w:type="dxa"/>
            </w:tcMar>
          </w:tcPr>
          <w:p w14:paraId="32D77796" w14:textId="77777777" w:rsidR="00AD5713" w:rsidRPr="00AC7217" w:rsidRDefault="00DF6095" w:rsidP="00AC7217">
            <w:pPr>
              <w:jc w:val="center"/>
              <w:rPr>
                <w:sz w:val="20"/>
              </w:rPr>
            </w:pPr>
            <w:r w:rsidRPr="00AC7217">
              <w:rPr>
                <w:sz w:val="20"/>
              </w:rPr>
              <w:t>1</w:t>
            </w:r>
          </w:p>
        </w:tc>
        <w:tc>
          <w:tcPr>
            <w:tcW w:w="1560" w:type="dxa"/>
            <w:tcBorders>
              <w:top w:val="single" w:sz="8" w:space="0" w:color="000000"/>
              <w:bottom w:val="single" w:sz="8" w:space="0" w:color="000000"/>
            </w:tcBorders>
            <w:tcMar>
              <w:top w:w="100" w:type="dxa"/>
              <w:left w:w="100" w:type="dxa"/>
              <w:bottom w:w="100" w:type="dxa"/>
              <w:right w:w="100" w:type="dxa"/>
            </w:tcMar>
          </w:tcPr>
          <w:p w14:paraId="0F137197" w14:textId="77777777" w:rsidR="00AD5713" w:rsidRPr="00AC7217" w:rsidRDefault="00DF6095" w:rsidP="00AC7217">
            <w:pPr>
              <w:jc w:val="center"/>
              <w:rPr>
                <w:sz w:val="20"/>
              </w:rPr>
            </w:pPr>
            <w:r w:rsidRPr="00AC7217">
              <w:rPr>
                <w:sz w:val="20"/>
              </w:rPr>
              <w:t>2</w:t>
            </w:r>
          </w:p>
        </w:tc>
      </w:tr>
      <w:tr w:rsidR="00AD5713" w:rsidRPr="00AC7217" w14:paraId="69EA50D6" w14:textId="77777777">
        <w:tc>
          <w:tcPr>
            <w:tcW w:w="1845" w:type="dxa"/>
            <w:tcBorders>
              <w:top w:val="single" w:sz="8" w:space="0" w:color="000000"/>
            </w:tcBorders>
            <w:tcMar>
              <w:top w:w="100" w:type="dxa"/>
              <w:left w:w="100" w:type="dxa"/>
              <w:bottom w:w="100" w:type="dxa"/>
              <w:right w:w="100" w:type="dxa"/>
            </w:tcMar>
          </w:tcPr>
          <w:p w14:paraId="333AA105" w14:textId="77777777" w:rsidR="00AD5713" w:rsidRPr="00AC7217" w:rsidRDefault="00DF6095" w:rsidP="00AC7217">
            <w:pPr>
              <w:rPr>
                <w:sz w:val="20"/>
              </w:rPr>
            </w:pPr>
            <w:r w:rsidRPr="00AC7217">
              <w:rPr>
                <w:sz w:val="20"/>
              </w:rPr>
              <w:t>Biology</w:t>
            </w:r>
          </w:p>
        </w:tc>
        <w:tc>
          <w:tcPr>
            <w:tcW w:w="1515" w:type="dxa"/>
            <w:tcBorders>
              <w:top w:val="single" w:sz="8" w:space="0" w:color="000000"/>
            </w:tcBorders>
            <w:tcMar>
              <w:top w:w="100" w:type="dxa"/>
              <w:left w:w="100" w:type="dxa"/>
              <w:bottom w:w="100" w:type="dxa"/>
              <w:right w:w="100" w:type="dxa"/>
            </w:tcMar>
          </w:tcPr>
          <w:p w14:paraId="6B400FC2" w14:textId="77777777" w:rsidR="00AD5713" w:rsidRPr="00AC7217" w:rsidRDefault="00AD5713" w:rsidP="00AC7217">
            <w:pPr>
              <w:rPr>
                <w:sz w:val="20"/>
              </w:rPr>
            </w:pPr>
          </w:p>
        </w:tc>
        <w:tc>
          <w:tcPr>
            <w:tcW w:w="1560" w:type="dxa"/>
            <w:tcBorders>
              <w:top w:val="single" w:sz="8" w:space="0" w:color="000000"/>
            </w:tcBorders>
            <w:tcMar>
              <w:top w:w="100" w:type="dxa"/>
              <w:left w:w="100" w:type="dxa"/>
              <w:bottom w:w="100" w:type="dxa"/>
              <w:right w:w="100" w:type="dxa"/>
            </w:tcMar>
          </w:tcPr>
          <w:p w14:paraId="13A9889B" w14:textId="77777777" w:rsidR="00AD5713" w:rsidRPr="00AC7217" w:rsidRDefault="00DF6095" w:rsidP="00AC7217">
            <w:pPr>
              <w:jc w:val="center"/>
              <w:rPr>
                <w:sz w:val="20"/>
              </w:rPr>
            </w:pPr>
            <w:r w:rsidRPr="00AC7217">
              <w:rPr>
                <w:sz w:val="20"/>
              </w:rPr>
              <w:t>.815</w:t>
            </w:r>
          </w:p>
        </w:tc>
      </w:tr>
      <w:tr w:rsidR="00AD5713" w:rsidRPr="00AC7217" w14:paraId="2150B072" w14:textId="77777777">
        <w:tc>
          <w:tcPr>
            <w:tcW w:w="1845" w:type="dxa"/>
            <w:tcMar>
              <w:top w:w="100" w:type="dxa"/>
              <w:left w:w="100" w:type="dxa"/>
              <w:bottom w:w="100" w:type="dxa"/>
              <w:right w:w="100" w:type="dxa"/>
            </w:tcMar>
          </w:tcPr>
          <w:p w14:paraId="5D2C1A3A" w14:textId="77777777" w:rsidR="00AD5713" w:rsidRPr="00AC7217" w:rsidRDefault="00DF6095" w:rsidP="00AC7217">
            <w:pPr>
              <w:rPr>
                <w:sz w:val="20"/>
              </w:rPr>
            </w:pPr>
            <w:r w:rsidRPr="00AC7217">
              <w:rPr>
                <w:sz w:val="20"/>
              </w:rPr>
              <w:t>Geography</w:t>
            </w:r>
          </w:p>
        </w:tc>
        <w:tc>
          <w:tcPr>
            <w:tcW w:w="1515" w:type="dxa"/>
            <w:tcMar>
              <w:top w:w="100" w:type="dxa"/>
              <w:left w:w="100" w:type="dxa"/>
              <w:bottom w:w="100" w:type="dxa"/>
              <w:right w:w="100" w:type="dxa"/>
            </w:tcMar>
          </w:tcPr>
          <w:p w14:paraId="7FF6FFE7" w14:textId="77777777" w:rsidR="00AD5713" w:rsidRPr="00AC7217" w:rsidRDefault="00AD5713" w:rsidP="00AC7217">
            <w:pPr>
              <w:rPr>
                <w:sz w:val="20"/>
              </w:rPr>
            </w:pPr>
          </w:p>
        </w:tc>
        <w:tc>
          <w:tcPr>
            <w:tcW w:w="1560" w:type="dxa"/>
            <w:tcMar>
              <w:top w:w="100" w:type="dxa"/>
              <w:left w:w="100" w:type="dxa"/>
              <w:bottom w:w="100" w:type="dxa"/>
              <w:right w:w="100" w:type="dxa"/>
            </w:tcMar>
          </w:tcPr>
          <w:p w14:paraId="41C44325" w14:textId="77777777" w:rsidR="00AD5713" w:rsidRPr="00AC7217" w:rsidRDefault="00DF6095" w:rsidP="00AC7217">
            <w:pPr>
              <w:jc w:val="center"/>
              <w:rPr>
                <w:sz w:val="20"/>
              </w:rPr>
            </w:pPr>
            <w:r w:rsidRPr="00AC7217">
              <w:rPr>
                <w:sz w:val="20"/>
              </w:rPr>
              <w:t>.797</w:t>
            </w:r>
          </w:p>
        </w:tc>
      </w:tr>
      <w:tr w:rsidR="00AD5713" w:rsidRPr="00AC7217" w14:paraId="24BA112E" w14:textId="77777777">
        <w:tc>
          <w:tcPr>
            <w:tcW w:w="1845" w:type="dxa"/>
            <w:tcMar>
              <w:top w:w="100" w:type="dxa"/>
              <w:left w:w="100" w:type="dxa"/>
              <w:bottom w:w="100" w:type="dxa"/>
              <w:right w:w="100" w:type="dxa"/>
            </w:tcMar>
          </w:tcPr>
          <w:p w14:paraId="2F8DBC43" w14:textId="77777777" w:rsidR="00AD5713" w:rsidRPr="00AC7217" w:rsidRDefault="00DF6095" w:rsidP="00AC7217">
            <w:pPr>
              <w:rPr>
                <w:sz w:val="20"/>
              </w:rPr>
            </w:pPr>
            <w:r w:rsidRPr="00AC7217">
              <w:rPr>
                <w:sz w:val="20"/>
              </w:rPr>
              <w:t>Physics</w:t>
            </w:r>
          </w:p>
        </w:tc>
        <w:tc>
          <w:tcPr>
            <w:tcW w:w="1515" w:type="dxa"/>
            <w:tcMar>
              <w:top w:w="100" w:type="dxa"/>
              <w:left w:w="100" w:type="dxa"/>
              <w:bottom w:w="100" w:type="dxa"/>
              <w:right w:w="100" w:type="dxa"/>
            </w:tcMar>
          </w:tcPr>
          <w:p w14:paraId="6B7C2EAE" w14:textId="77777777" w:rsidR="00AD5713" w:rsidRPr="00AC7217" w:rsidRDefault="00DF6095" w:rsidP="00AC7217">
            <w:pPr>
              <w:jc w:val="center"/>
              <w:rPr>
                <w:sz w:val="20"/>
              </w:rPr>
            </w:pPr>
            <w:r w:rsidRPr="00AC7217">
              <w:rPr>
                <w:sz w:val="20"/>
              </w:rPr>
              <w:t>.543</w:t>
            </w:r>
          </w:p>
        </w:tc>
        <w:tc>
          <w:tcPr>
            <w:tcW w:w="1560" w:type="dxa"/>
            <w:tcMar>
              <w:top w:w="100" w:type="dxa"/>
              <w:left w:w="100" w:type="dxa"/>
              <w:bottom w:w="100" w:type="dxa"/>
              <w:right w:w="100" w:type="dxa"/>
            </w:tcMar>
          </w:tcPr>
          <w:p w14:paraId="1617A8F9" w14:textId="77777777" w:rsidR="00AD5713" w:rsidRPr="00AC7217" w:rsidRDefault="00AD5713" w:rsidP="00AC7217">
            <w:pPr>
              <w:rPr>
                <w:sz w:val="20"/>
              </w:rPr>
            </w:pPr>
          </w:p>
        </w:tc>
      </w:tr>
      <w:tr w:rsidR="00AD5713" w:rsidRPr="00AC7217" w14:paraId="246019A7" w14:textId="77777777">
        <w:tc>
          <w:tcPr>
            <w:tcW w:w="1845" w:type="dxa"/>
            <w:tcMar>
              <w:top w:w="100" w:type="dxa"/>
              <w:left w:w="100" w:type="dxa"/>
              <w:bottom w:w="100" w:type="dxa"/>
              <w:right w:w="100" w:type="dxa"/>
            </w:tcMar>
          </w:tcPr>
          <w:p w14:paraId="1131D872" w14:textId="77777777" w:rsidR="00AD5713" w:rsidRPr="00AC7217" w:rsidRDefault="00DF6095" w:rsidP="00AC7217">
            <w:pPr>
              <w:rPr>
                <w:sz w:val="20"/>
              </w:rPr>
            </w:pPr>
            <w:r w:rsidRPr="00AC7217">
              <w:rPr>
                <w:sz w:val="20"/>
              </w:rPr>
              <w:t>Chemistry</w:t>
            </w:r>
          </w:p>
        </w:tc>
        <w:tc>
          <w:tcPr>
            <w:tcW w:w="1515" w:type="dxa"/>
            <w:tcMar>
              <w:top w:w="100" w:type="dxa"/>
              <w:left w:w="100" w:type="dxa"/>
              <w:bottom w:w="100" w:type="dxa"/>
              <w:right w:w="100" w:type="dxa"/>
            </w:tcMar>
          </w:tcPr>
          <w:p w14:paraId="404952DF" w14:textId="77777777" w:rsidR="00AD5713" w:rsidRPr="00AC7217" w:rsidRDefault="00DF6095" w:rsidP="00AC7217">
            <w:pPr>
              <w:jc w:val="center"/>
              <w:rPr>
                <w:sz w:val="20"/>
              </w:rPr>
            </w:pPr>
            <w:r w:rsidRPr="00AC7217">
              <w:rPr>
                <w:sz w:val="20"/>
              </w:rPr>
              <w:t>.824</w:t>
            </w:r>
          </w:p>
        </w:tc>
        <w:tc>
          <w:tcPr>
            <w:tcW w:w="1560" w:type="dxa"/>
            <w:tcMar>
              <w:top w:w="100" w:type="dxa"/>
              <w:left w:w="100" w:type="dxa"/>
              <w:bottom w:w="100" w:type="dxa"/>
              <w:right w:w="100" w:type="dxa"/>
            </w:tcMar>
          </w:tcPr>
          <w:p w14:paraId="57FD1D76" w14:textId="77777777" w:rsidR="00AD5713" w:rsidRPr="00AC7217" w:rsidRDefault="00AD5713" w:rsidP="00AC7217">
            <w:pPr>
              <w:rPr>
                <w:sz w:val="20"/>
              </w:rPr>
            </w:pPr>
          </w:p>
        </w:tc>
      </w:tr>
      <w:tr w:rsidR="00AD5713" w:rsidRPr="00AC7217" w14:paraId="419BC395" w14:textId="77777777">
        <w:tc>
          <w:tcPr>
            <w:tcW w:w="1845" w:type="dxa"/>
            <w:tcMar>
              <w:top w:w="100" w:type="dxa"/>
              <w:left w:w="100" w:type="dxa"/>
              <w:bottom w:w="100" w:type="dxa"/>
              <w:right w:w="100" w:type="dxa"/>
            </w:tcMar>
          </w:tcPr>
          <w:p w14:paraId="15C4D0B8" w14:textId="77777777" w:rsidR="00AD5713" w:rsidRPr="00AC7217" w:rsidRDefault="00DF6095" w:rsidP="00AC7217">
            <w:pPr>
              <w:rPr>
                <w:sz w:val="20"/>
              </w:rPr>
            </w:pPr>
            <w:r w:rsidRPr="00AC7217">
              <w:rPr>
                <w:sz w:val="20"/>
              </w:rPr>
              <w:t>Technology</w:t>
            </w:r>
          </w:p>
        </w:tc>
        <w:tc>
          <w:tcPr>
            <w:tcW w:w="1515" w:type="dxa"/>
            <w:tcMar>
              <w:top w:w="100" w:type="dxa"/>
              <w:left w:w="100" w:type="dxa"/>
              <w:bottom w:w="100" w:type="dxa"/>
              <w:right w:w="100" w:type="dxa"/>
            </w:tcMar>
          </w:tcPr>
          <w:p w14:paraId="3A87ED66" w14:textId="77777777" w:rsidR="00AD5713" w:rsidRPr="00AC7217" w:rsidRDefault="00DF6095" w:rsidP="00AC7217">
            <w:pPr>
              <w:jc w:val="center"/>
              <w:rPr>
                <w:sz w:val="20"/>
              </w:rPr>
            </w:pPr>
            <w:r w:rsidRPr="00AC7217">
              <w:rPr>
                <w:sz w:val="20"/>
              </w:rPr>
              <w:t>.694</w:t>
            </w:r>
          </w:p>
        </w:tc>
        <w:tc>
          <w:tcPr>
            <w:tcW w:w="1560" w:type="dxa"/>
            <w:tcMar>
              <w:top w:w="100" w:type="dxa"/>
              <w:left w:w="100" w:type="dxa"/>
              <w:bottom w:w="100" w:type="dxa"/>
              <w:right w:w="100" w:type="dxa"/>
            </w:tcMar>
          </w:tcPr>
          <w:p w14:paraId="0BAB31A2" w14:textId="77777777" w:rsidR="00AD5713" w:rsidRPr="00AC7217" w:rsidRDefault="00AD5713" w:rsidP="00AC7217">
            <w:pPr>
              <w:rPr>
                <w:sz w:val="20"/>
              </w:rPr>
            </w:pPr>
          </w:p>
        </w:tc>
      </w:tr>
      <w:tr w:rsidR="00AD5713" w:rsidRPr="00AC7217" w14:paraId="06CAC5D4" w14:textId="77777777">
        <w:tc>
          <w:tcPr>
            <w:tcW w:w="1845" w:type="dxa"/>
            <w:tcMar>
              <w:top w:w="100" w:type="dxa"/>
              <w:left w:w="100" w:type="dxa"/>
              <w:bottom w:w="100" w:type="dxa"/>
              <w:right w:w="100" w:type="dxa"/>
            </w:tcMar>
          </w:tcPr>
          <w:p w14:paraId="0FAAF9A8" w14:textId="77777777" w:rsidR="00AD5713" w:rsidRPr="00AC7217" w:rsidRDefault="00DF6095" w:rsidP="00AC7217">
            <w:pPr>
              <w:rPr>
                <w:sz w:val="20"/>
              </w:rPr>
            </w:pPr>
            <w:r w:rsidRPr="00AC7217">
              <w:rPr>
                <w:sz w:val="20"/>
              </w:rPr>
              <w:lastRenderedPageBreak/>
              <w:t>Computing</w:t>
            </w:r>
          </w:p>
        </w:tc>
        <w:tc>
          <w:tcPr>
            <w:tcW w:w="1515" w:type="dxa"/>
            <w:tcMar>
              <w:top w:w="100" w:type="dxa"/>
              <w:left w:w="100" w:type="dxa"/>
              <w:bottom w:w="100" w:type="dxa"/>
              <w:right w:w="100" w:type="dxa"/>
            </w:tcMar>
          </w:tcPr>
          <w:p w14:paraId="2D38634C" w14:textId="77777777" w:rsidR="00AD5713" w:rsidRPr="00AC7217" w:rsidRDefault="00DF6095" w:rsidP="00AC7217">
            <w:pPr>
              <w:jc w:val="center"/>
              <w:rPr>
                <w:sz w:val="20"/>
              </w:rPr>
            </w:pPr>
            <w:r w:rsidRPr="00AC7217">
              <w:rPr>
                <w:sz w:val="20"/>
              </w:rPr>
              <w:t>.670</w:t>
            </w:r>
          </w:p>
        </w:tc>
        <w:tc>
          <w:tcPr>
            <w:tcW w:w="1560" w:type="dxa"/>
            <w:tcMar>
              <w:top w:w="100" w:type="dxa"/>
              <w:left w:w="100" w:type="dxa"/>
              <w:bottom w:w="100" w:type="dxa"/>
              <w:right w:w="100" w:type="dxa"/>
            </w:tcMar>
          </w:tcPr>
          <w:p w14:paraId="6746161A" w14:textId="77777777" w:rsidR="00AD5713" w:rsidRPr="00AC7217" w:rsidRDefault="00AD5713" w:rsidP="00AC7217">
            <w:pPr>
              <w:rPr>
                <w:sz w:val="20"/>
              </w:rPr>
            </w:pPr>
          </w:p>
        </w:tc>
      </w:tr>
      <w:tr w:rsidR="00AD5713" w:rsidRPr="00AC7217" w14:paraId="57411E5C" w14:textId="77777777">
        <w:tc>
          <w:tcPr>
            <w:tcW w:w="1845" w:type="dxa"/>
            <w:tcBorders>
              <w:bottom w:val="single" w:sz="8" w:space="0" w:color="000000"/>
            </w:tcBorders>
            <w:tcMar>
              <w:top w:w="100" w:type="dxa"/>
              <w:left w:w="100" w:type="dxa"/>
              <w:bottom w:w="100" w:type="dxa"/>
              <w:right w:w="100" w:type="dxa"/>
            </w:tcMar>
          </w:tcPr>
          <w:p w14:paraId="2C141C73" w14:textId="77777777" w:rsidR="00AD5713" w:rsidRPr="00AC7217" w:rsidRDefault="00DF6095" w:rsidP="00AC7217">
            <w:pPr>
              <w:rPr>
                <w:sz w:val="20"/>
              </w:rPr>
            </w:pPr>
            <w:r w:rsidRPr="00AC7217">
              <w:rPr>
                <w:sz w:val="20"/>
              </w:rPr>
              <w:t>Mathematics</w:t>
            </w:r>
          </w:p>
        </w:tc>
        <w:tc>
          <w:tcPr>
            <w:tcW w:w="1515" w:type="dxa"/>
            <w:tcBorders>
              <w:bottom w:val="single" w:sz="8" w:space="0" w:color="000000"/>
            </w:tcBorders>
            <w:tcMar>
              <w:top w:w="100" w:type="dxa"/>
              <w:left w:w="100" w:type="dxa"/>
              <w:bottom w:w="100" w:type="dxa"/>
              <w:right w:w="100" w:type="dxa"/>
            </w:tcMar>
          </w:tcPr>
          <w:p w14:paraId="1A9437BA" w14:textId="77777777" w:rsidR="00AD5713" w:rsidRPr="00AC7217" w:rsidRDefault="00AD5713" w:rsidP="00AC7217">
            <w:pPr>
              <w:rPr>
                <w:sz w:val="20"/>
              </w:rPr>
            </w:pPr>
          </w:p>
        </w:tc>
        <w:tc>
          <w:tcPr>
            <w:tcW w:w="1560" w:type="dxa"/>
            <w:tcBorders>
              <w:bottom w:val="single" w:sz="8" w:space="0" w:color="000000"/>
            </w:tcBorders>
            <w:tcMar>
              <w:top w:w="100" w:type="dxa"/>
              <w:left w:w="100" w:type="dxa"/>
              <w:bottom w:w="100" w:type="dxa"/>
              <w:right w:w="100" w:type="dxa"/>
            </w:tcMar>
          </w:tcPr>
          <w:p w14:paraId="432AAD24" w14:textId="77777777" w:rsidR="00AD5713" w:rsidRPr="00AC7217" w:rsidRDefault="00DF6095" w:rsidP="00AC7217">
            <w:pPr>
              <w:jc w:val="center"/>
              <w:rPr>
                <w:sz w:val="20"/>
              </w:rPr>
            </w:pPr>
            <w:r w:rsidRPr="00AC7217">
              <w:rPr>
                <w:sz w:val="20"/>
              </w:rPr>
              <w:t>.815</w:t>
            </w:r>
          </w:p>
        </w:tc>
      </w:tr>
    </w:tbl>
    <w:p w14:paraId="4C157B40" w14:textId="77777777" w:rsidR="000518B3" w:rsidRDefault="00DF6095" w:rsidP="004E1A2F">
      <w:pPr>
        <w:spacing w:line="360" w:lineRule="auto"/>
      </w:pPr>
      <w:r>
        <w:rPr>
          <w:i/>
        </w:rPr>
        <w:t>Note:</w:t>
      </w:r>
      <w:r>
        <w:t xml:space="preserve"> Own elaboration</w:t>
      </w:r>
      <w:r w:rsidR="000518B3">
        <w:t xml:space="preserve">. </w:t>
      </w:r>
    </w:p>
    <w:p w14:paraId="4D54A29A" w14:textId="77777777" w:rsidR="000518B3" w:rsidRDefault="000518B3" w:rsidP="004E1A2F">
      <w:pPr>
        <w:spacing w:line="360" w:lineRule="auto"/>
      </w:pPr>
    </w:p>
    <w:p w14:paraId="42039C28" w14:textId="544DF248" w:rsidR="00AD5713" w:rsidRDefault="00DF6095" w:rsidP="004E1A2F">
      <w:pPr>
        <w:spacing w:line="360" w:lineRule="auto"/>
      </w:pPr>
      <w:r>
        <w:rPr>
          <w:i/>
        </w:rPr>
        <w:t>Descriptive Statistics</w:t>
      </w:r>
    </w:p>
    <w:p w14:paraId="3349C3E4" w14:textId="77777777" w:rsidR="000518B3" w:rsidRDefault="00DF6095" w:rsidP="00785589">
      <w:pPr>
        <w:widowControl w:val="0"/>
        <w:spacing w:before="240" w:line="360" w:lineRule="auto"/>
        <w:ind w:firstLine="720"/>
      </w:pPr>
      <w:r>
        <w:t xml:space="preserve">Descriptive statistics were calculated on the responses of boys (n = </w:t>
      </w:r>
      <w:r>
        <w:t>34) and girls (n= 40) to the Interest in Science instrument. The means and standard deviations of the scores obtained are reported in table 5. According to the descriptive data, boys and girls presented a medium level of interest in scientific issues and t</w:t>
      </w:r>
      <w:r>
        <w:t>he ability to perform in the future in the scientific field.</w:t>
      </w:r>
    </w:p>
    <w:p w14:paraId="6F0D9770" w14:textId="26DACF27" w:rsidR="00AD5713" w:rsidRDefault="00DF6095" w:rsidP="004E1A2F">
      <w:pPr>
        <w:widowControl w:val="0"/>
        <w:spacing w:before="240" w:line="360" w:lineRule="auto"/>
      </w:pPr>
      <w:r>
        <w:t>Table 5. Means and standard deviations for the Interest in Science instrument by gender.</w:t>
      </w:r>
    </w:p>
    <w:tbl>
      <w:tblPr>
        <w:tblStyle w:val="a7"/>
        <w:tblW w:w="8505" w:type="dxa"/>
        <w:tblLayout w:type="fixed"/>
        <w:tblLook w:val="0400" w:firstRow="0" w:lastRow="0" w:firstColumn="0" w:lastColumn="0" w:noHBand="0" w:noVBand="1"/>
      </w:tblPr>
      <w:tblGrid>
        <w:gridCol w:w="1455"/>
        <w:gridCol w:w="1440"/>
        <w:gridCol w:w="1110"/>
        <w:gridCol w:w="2700"/>
        <w:gridCol w:w="1800"/>
      </w:tblGrid>
      <w:tr w:rsidR="00AD5713" w:rsidRPr="00AC7217" w14:paraId="6D5FA044" w14:textId="77777777">
        <w:trPr>
          <w:gridAfter w:val="1"/>
          <w:wAfter w:w="1800" w:type="dxa"/>
          <w:trHeight w:val="440"/>
        </w:trPr>
        <w:tc>
          <w:tcPr>
            <w:tcW w:w="1455" w:type="dxa"/>
            <w:tcBorders>
              <w:top w:val="single" w:sz="4" w:space="0" w:color="000000"/>
            </w:tcBorders>
            <w:tcMar>
              <w:top w:w="100" w:type="dxa"/>
              <w:left w:w="100" w:type="dxa"/>
              <w:bottom w:w="100" w:type="dxa"/>
              <w:right w:w="100" w:type="dxa"/>
            </w:tcMar>
          </w:tcPr>
          <w:p w14:paraId="77778CBC" w14:textId="77777777" w:rsidR="00AD5713" w:rsidRPr="00AC7217" w:rsidRDefault="00AD5713" w:rsidP="00AC7217">
            <w:pPr>
              <w:rPr>
                <w:sz w:val="20"/>
              </w:rPr>
            </w:pPr>
          </w:p>
        </w:tc>
        <w:tc>
          <w:tcPr>
            <w:tcW w:w="2550" w:type="dxa"/>
            <w:gridSpan w:val="2"/>
            <w:tcBorders>
              <w:top w:val="single" w:sz="4" w:space="0" w:color="000000"/>
              <w:bottom w:val="single" w:sz="8" w:space="0" w:color="000000"/>
            </w:tcBorders>
            <w:tcMar>
              <w:top w:w="100" w:type="dxa"/>
              <w:left w:w="100" w:type="dxa"/>
              <w:bottom w:w="100" w:type="dxa"/>
              <w:right w:w="100" w:type="dxa"/>
            </w:tcMar>
          </w:tcPr>
          <w:p w14:paraId="405EFB76" w14:textId="77777777" w:rsidR="00AD5713" w:rsidRPr="00AC7217" w:rsidRDefault="00DF6095" w:rsidP="00AC7217">
            <w:pPr>
              <w:jc w:val="center"/>
              <w:rPr>
                <w:sz w:val="20"/>
              </w:rPr>
            </w:pPr>
            <w:r w:rsidRPr="00AC7217">
              <w:rPr>
                <w:sz w:val="20"/>
              </w:rPr>
              <w:t>Boys (n=34)</w:t>
            </w:r>
          </w:p>
        </w:tc>
        <w:tc>
          <w:tcPr>
            <w:tcW w:w="2700" w:type="dxa"/>
            <w:tcBorders>
              <w:top w:val="single" w:sz="4" w:space="0" w:color="000000"/>
              <w:bottom w:val="single" w:sz="8" w:space="0" w:color="000000"/>
            </w:tcBorders>
            <w:tcMar>
              <w:top w:w="100" w:type="dxa"/>
              <w:left w:w="100" w:type="dxa"/>
              <w:bottom w:w="100" w:type="dxa"/>
              <w:right w:w="100" w:type="dxa"/>
            </w:tcMar>
          </w:tcPr>
          <w:p w14:paraId="16E1BEC1" w14:textId="77777777" w:rsidR="00AD5713" w:rsidRPr="00AC7217" w:rsidRDefault="00DF6095" w:rsidP="00AC7217">
            <w:pPr>
              <w:jc w:val="center"/>
              <w:rPr>
                <w:sz w:val="20"/>
              </w:rPr>
            </w:pPr>
            <w:r w:rsidRPr="00AC7217">
              <w:rPr>
                <w:sz w:val="20"/>
              </w:rPr>
              <w:t>Girls (n=40)</w:t>
            </w:r>
          </w:p>
        </w:tc>
      </w:tr>
      <w:tr w:rsidR="00AD5713" w:rsidRPr="00AC7217" w14:paraId="50077065" w14:textId="77777777">
        <w:tc>
          <w:tcPr>
            <w:tcW w:w="1455" w:type="dxa"/>
            <w:tcMar>
              <w:top w:w="100" w:type="dxa"/>
              <w:left w:w="100" w:type="dxa"/>
              <w:bottom w:w="100" w:type="dxa"/>
              <w:right w:w="100" w:type="dxa"/>
            </w:tcMar>
          </w:tcPr>
          <w:p w14:paraId="08944CB7" w14:textId="77777777" w:rsidR="00AD5713" w:rsidRPr="00AC7217" w:rsidRDefault="00DF6095" w:rsidP="00AC7217">
            <w:pPr>
              <w:rPr>
                <w:sz w:val="20"/>
              </w:rPr>
            </w:pPr>
            <w:r w:rsidRPr="00AC7217">
              <w:rPr>
                <w:sz w:val="20"/>
              </w:rPr>
              <w:t>Variables</w:t>
            </w:r>
          </w:p>
        </w:tc>
        <w:tc>
          <w:tcPr>
            <w:tcW w:w="1440" w:type="dxa"/>
            <w:tcBorders>
              <w:top w:val="single" w:sz="8" w:space="0" w:color="000000"/>
            </w:tcBorders>
            <w:tcMar>
              <w:top w:w="100" w:type="dxa"/>
              <w:left w:w="100" w:type="dxa"/>
              <w:bottom w:w="100" w:type="dxa"/>
              <w:right w:w="100" w:type="dxa"/>
            </w:tcMar>
          </w:tcPr>
          <w:p w14:paraId="3C4FAD45" w14:textId="77777777" w:rsidR="00AD5713" w:rsidRPr="00AC7217" w:rsidRDefault="00DF6095" w:rsidP="00AC7217">
            <w:pPr>
              <w:jc w:val="center"/>
              <w:rPr>
                <w:sz w:val="20"/>
              </w:rPr>
            </w:pPr>
            <w:r w:rsidRPr="00AC7217">
              <w:rPr>
                <w:sz w:val="20"/>
              </w:rPr>
              <w:t>Mean</w:t>
            </w:r>
          </w:p>
        </w:tc>
        <w:tc>
          <w:tcPr>
            <w:tcW w:w="1110" w:type="dxa"/>
            <w:tcBorders>
              <w:top w:val="single" w:sz="8" w:space="0" w:color="000000"/>
            </w:tcBorders>
            <w:tcMar>
              <w:top w:w="100" w:type="dxa"/>
              <w:left w:w="100" w:type="dxa"/>
              <w:bottom w:w="100" w:type="dxa"/>
              <w:right w:w="100" w:type="dxa"/>
            </w:tcMar>
          </w:tcPr>
          <w:p w14:paraId="57B71106" w14:textId="77777777" w:rsidR="00AD5713" w:rsidRPr="00AC7217" w:rsidRDefault="00DF6095" w:rsidP="00AC7217">
            <w:pPr>
              <w:jc w:val="center"/>
              <w:rPr>
                <w:sz w:val="20"/>
              </w:rPr>
            </w:pPr>
            <w:r w:rsidRPr="00AC7217">
              <w:rPr>
                <w:sz w:val="20"/>
              </w:rPr>
              <w:t>SD</w:t>
            </w:r>
          </w:p>
        </w:tc>
        <w:tc>
          <w:tcPr>
            <w:tcW w:w="2700" w:type="dxa"/>
            <w:tcBorders>
              <w:top w:val="single" w:sz="8" w:space="0" w:color="000000"/>
            </w:tcBorders>
            <w:tcMar>
              <w:top w:w="100" w:type="dxa"/>
              <w:left w:w="100" w:type="dxa"/>
              <w:bottom w:w="100" w:type="dxa"/>
              <w:right w:w="100" w:type="dxa"/>
            </w:tcMar>
          </w:tcPr>
          <w:p w14:paraId="2514EEAB" w14:textId="77777777" w:rsidR="00AD5713" w:rsidRPr="00AC7217" w:rsidRDefault="00DF6095" w:rsidP="00AC7217">
            <w:pPr>
              <w:jc w:val="center"/>
              <w:rPr>
                <w:sz w:val="20"/>
              </w:rPr>
            </w:pPr>
            <w:r w:rsidRPr="00AC7217">
              <w:rPr>
                <w:sz w:val="20"/>
              </w:rPr>
              <w:t>Mean</w:t>
            </w:r>
          </w:p>
        </w:tc>
        <w:tc>
          <w:tcPr>
            <w:tcW w:w="1800" w:type="dxa"/>
            <w:tcBorders>
              <w:top w:val="single" w:sz="8" w:space="0" w:color="000000"/>
            </w:tcBorders>
            <w:tcMar>
              <w:top w:w="100" w:type="dxa"/>
              <w:left w:w="100" w:type="dxa"/>
              <w:bottom w:w="100" w:type="dxa"/>
              <w:right w:w="100" w:type="dxa"/>
            </w:tcMar>
          </w:tcPr>
          <w:p w14:paraId="2F14E7A5" w14:textId="77777777" w:rsidR="00AD5713" w:rsidRPr="00AC7217" w:rsidRDefault="00DF6095" w:rsidP="00AC7217">
            <w:pPr>
              <w:jc w:val="center"/>
              <w:rPr>
                <w:sz w:val="20"/>
              </w:rPr>
            </w:pPr>
            <w:r w:rsidRPr="00AC7217">
              <w:rPr>
                <w:sz w:val="20"/>
              </w:rPr>
              <w:t>SD</w:t>
            </w:r>
          </w:p>
        </w:tc>
      </w:tr>
      <w:tr w:rsidR="00AD5713" w:rsidRPr="00AC7217" w14:paraId="01E8CC20" w14:textId="77777777">
        <w:tc>
          <w:tcPr>
            <w:tcW w:w="1455" w:type="dxa"/>
            <w:tcMar>
              <w:top w:w="100" w:type="dxa"/>
              <w:left w:w="100" w:type="dxa"/>
              <w:bottom w:w="100" w:type="dxa"/>
              <w:right w:w="100" w:type="dxa"/>
            </w:tcMar>
          </w:tcPr>
          <w:p w14:paraId="486FA929" w14:textId="77777777" w:rsidR="00AD5713" w:rsidRPr="00AC7217" w:rsidRDefault="00DF6095" w:rsidP="00AC7217">
            <w:pPr>
              <w:rPr>
                <w:sz w:val="20"/>
              </w:rPr>
            </w:pPr>
            <w:r w:rsidRPr="00AC7217">
              <w:rPr>
                <w:sz w:val="20"/>
              </w:rPr>
              <w:t>Part 1</w:t>
            </w:r>
          </w:p>
        </w:tc>
        <w:tc>
          <w:tcPr>
            <w:tcW w:w="1440" w:type="dxa"/>
            <w:tcMar>
              <w:top w:w="100" w:type="dxa"/>
              <w:left w:w="100" w:type="dxa"/>
              <w:bottom w:w="100" w:type="dxa"/>
              <w:right w:w="100" w:type="dxa"/>
            </w:tcMar>
          </w:tcPr>
          <w:p w14:paraId="7EB954E5" w14:textId="77777777" w:rsidR="00AD5713" w:rsidRPr="00AC7217" w:rsidRDefault="00DF6095" w:rsidP="00AC7217">
            <w:pPr>
              <w:jc w:val="center"/>
              <w:rPr>
                <w:sz w:val="20"/>
              </w:rPr>
            </w:pPr>
            <w:r w:rsidRPr="00AC7217">
              <w:rPr>
                <w:sz w:val="20"/>
              </w:rPr>
              <w:t>47.50</w:t>
            </w:r>
          </w:p>
        </w:tc>
        <w:tc>
          <w:tcPr>
            <w:tcW w:w="1110" w:type="dxa"/>
            <w:tcMar>
              <w:top w:w="100" w:type="dxa"/>
              <w:left w:w="100" w:type="dxa"/>
              <w:bottom w:w="100" w:type="dxa"/>
              <w:right w:w="100" w:type="dxa"/>
            </w:tcMar>
          </w:tcPr>
          <w:p w14:paraId="26FACE94" w14:textId="77777777" w:rsidR="00AD5713" w:rsidRPr="00AC7217" w:rsidRDefault="00DF6095" w:rsidP="00AC7217">
            <w:pPr>
              <w:jc w:val="center"/>
              <w:rPr>
                <w:sz w:val="20"/>
              </w:rPr>
            </w:pPr>
            <w:r w:rsidRPr="00AC7217">
              <w:rPr>
                <w:sz w:val="20"/>
              </w:rPr>
              <w:t>13.12</w:t>
            </w:r>
          </w:p>
        </w:tc>
        <w:tc>
          <w:tcPr>
            <w:tcW w:w="2700" w:type="dxa"/>
            <w:tcMar>
              <w:top w:w="100" w:type="dxa"/>
              <w:left w:w="100" w:type="dxa"/>
              <w:bottom w:w="100" w:type="dxa"/>
              <w:right w:w="100" w:type="dxa"/>
            </w:tcMar>
          </w:tcPr>
          <w:p w14:paraId="7ED3C121" w14:textId="77777777" w:rsidR="00AD5713" w:rsidRPr="00AC7217" w:rsidRDefault="00DF6095" w:rsidP="00AC7217">
            <w:pPr>
              <w:jc w:val="center"/>
              <w:rPr>
                <w:sz w:val="20"/>
              </w:rPr>
            </w:pPr>
            <w:r w:rsidRPr="00AC7217">
              <w:rPr>
                <w:sz w:val="20"/>
              </w:rPr>
              <w:t>47.07</w:t>
            </w:r>
          </w:p>
        </w:tc>
        <w:tc>
          <w:tcPr>
            <w:tcW w:w="1800" w:type="dxa"/>
            <w:tcMar>
              <w:top w:w="100" w:type="dxa"/>
              <w:left w:w="100" w:type="dxa"/>
              <w:bottom w:w="100" w:type="dxa"/>
              <w:right w:w="100" w:type="dxa"/>
            </w:tcMar>
          </w:tcPr>
          <w:p w14:paraId="1CA50620" w14:textId="77777777" w:rsidR="00AD5713" w:rsidRPr="00AC7217" w:rsidRDefault="00DF6095" w:rsidP="00AC7217">
            <w:pPr>
              <w:jc w:val="center"/>
              <w:rPr>
                <w:sz w:val="20"/>
              </w:rPr>
            </w:pPr>
            <w:r w:rsidRPr="00AC7217">
              <w:rPr>
                <w:sz w:val="20"/>
              </w:rPr>
              <w:t>14.17</w:t>
            </w:r>
          </w:p>
        </w:tc>
      </w:tr>
      <w:tr w:rsidR="00AD5713" w:rsidRPr="00AC7217" w14:paraId="0EC5FDFC" w14:textId="77777777">
        <w:tc>
          <w:tcPr>
            <w:tcW w:w="1455" w:type="dxa"/>
            <w:tcBorders>
              <w:bottom w:val="single" w:sz="4" w:space="0" w:color="000000"/>
            </w:tcBorders>
            <w:tcMar>
              <w:top w:w="100" w:type="dxa"/>
              <w:left w:w="100" w:type="dxa"/>
              <w:bottom w:w="100" w:type="dxa"/>
              <w:right w:w="100" w:type="dxa"/>
            </w:tcMar>
          </w:tcPr>
          <w:p w14:paraId="5AEB9A93" w14:textId="77777777" w:rsidR="00AD5713" w:rsidRPr="00AC7217" w:rsidRDefault="00DF6095" w:rsidP="00AC7217">
            <w:pPr>
              <w:rPr>
                <w:sz w:val="20"/>
              </w:rPr>
            </w:pPr>
            <w:r w:rsidRPr="00AC7217">
              <w:rPr>
                <w:sz w:val="20"/>
              </w:rPr>
              <w:t>Part 2</w:t>
            </w:r>
          </w:p>
        </w:tc>
        <w:tc>
          <w:tcPr>
            <w:tcW w:w="1440" w:type="dxa"/>
            <w:tcBorders>
              <w:bottom w:val="single" w:sz="4" w:space="0" w:color="000000"/>
            </w:tcBorders>
            <w:tcMar>
              <w:top w:w="100" w:type="dxa"/>
              <w:left w:w="100" w:type="dxa"/>
              <w:bottom w:w="100" w:type="dxa"/>
              <w:right w:w="100" w:type="dxa"/>
            </w:tcMar>
          </w:tcPr>
          <w:p w14:paraId="1B95E707" w14:textId="77777777" w:rsidR="00AD5713" w:rsidRPr="00AC7217" w:rsidRDefault="00DF6095" w:rsidP="00AC7217">
            <w:pPr>
              <w:jc w:val="center"/>
              <w:rPr>
                <w:sz w:val="20"/>
              </w:rPr>
            </w:pPr>
            <w:r w:rsidRPr="00AC7217">
              <w:rPr>
                <w:sz w:val="20"/>
              </w:rPr>
              <w:t>18.64</w:t>
            </w:r>
          </w:p>
        </w:tc>
        <w:tc>
          <w:tcPr>
            <w:tcW w:w="1110" w:type="dxa"/>
            <w:tcBorders>
              <w:bottom w:val="single" w:sz="4" w:space="0" w:color="000000"/>
            </w:tcBorders>
            <w:tcMar>
              <w:top w:w="100" w:type="dxa"/>
              <w:left w:w="100" w:type="dxa"/>
              <w:bottom w:w="100" w:type="dxa"/>
              <w:right w:w="100" w:type="dxa"/>
            </w:tcMar>
          </w:tcPr>
          <w:p w14:paraId="60CCB80E" w14:textId="77777777" w:rsidR="00AD5713" w:rsidRPr="00AC7217" w:rsidRDefault="00DF6095" w:rsidP="00AC7217">
            <w:pPr>
              <w:jc w:val="center"/>
              <w:rPr>
                <w:sz w:val="20"/>
              </w:rPr>
            </w:pPr>
            <w:r w:rsidRPr="00AC7217">
              <w:rPr>
                <w:sz w:val="20"/>
              </w:rPr>
              <w:t>4.08</w:t>
            </w:r>
          </w:p>
        </w:tc>
        <w:tc>
          <w:tcPr>
            <w:tcW w:w="2700" w:type="dxa"/>
            <w:tcBorders>
              <w:bottom w:val="single" w:sz="4" w:space="0" w:color="000000"/>
            </w:tcBorders>
            <w:tcMar>
              <w:top w:w="100" w:type="dxa"/>
              <w:left w:w="100" w:type="dxa"/>
              <w:bottom w:w="100" w:type="dxa"/>
              <w:right w:w="100" w:type="dxa"/>
            </w:tcMar>
          </w:tcPr>
          <w:p w14:paraId="28BDD9FD" w14:textId="77777777" w:rsidR="00AD5713" w:rsidRPr="00AC7217" w:rsidRDefault="00DF6095" w:rsidP="00AC7217">
            <w:pPr>
              <w:jc w:val="center"/>
              <w:rPr>
                <w:sz w:val="20"/>
              </w:rPr>
            </w:pPr>
            <w:r w:rsidRPr="00AC7217">
              <w:rPr>
                <w:sz w:val="20"/>
              </w:rPr>
              <w:t>17.90</w:t>
            </w:r>
          </w:p>
        </w:tc>
        <w:tc>
          <w:tcPr>
            <w:tcW w:w="1800" w:type="dxa"/>
            <w:tcBorders>
              <w:bottom w:val="single" w:sz="4" w:space="0" w:color="000000"/>
            </w:tcBorders>
            <w:tcMar>
              <w:top w:w="100" w:type="dxa"/>
              <w:left w:w="100" w:type="dxa"/>
              <w:bottom w:w="100" w:type="dxa"/>
              <w:right w:w="100" w:type="dxa"/>
            </w:tcMar>
          </w:tcPr>
          <w:p w14:paraId="16607DC7" w14:textId="77777777" w:rsidR="00AD5713" w:rsidRPr="00AC7217" w:rsidRDefault="00DF6095" w:rsidP="00AC7217">
            <w:pPr>
              <w:jc w:val="center"/>
              <w:rPr>
                <w:sz w:val="20"/>
              </w:rPr>
            </w:pPr>
            <w:r w:rsidRPr="00AC7217">
              <w:rPr>
                <w:sz w:val="20"/>
              </w:rPr>
              <w:t>4.08</w:t>
            </w:r>
          </w:p>
        </w:tc>
      </w:tr>
    </w:tbl>
    <w:p w14:paraId="5CAD52FC" w14:textId="77777777" w:rsidR="00AD5713" w:rsidRDefault="00DF6095" w:rsidP="004E1A2F">
      <w:pPr>
        <w:spacing w:line="360" w:lineRule="auto"/>
      </w:pPr>
      <w:r>
        <w:rPr>
          <w:i/>
          <w:color w:val="000000"/>
        </w:rPr>
        <w:t>Note:</w:t>
      </w:r>
      <w:r>
        <w:rPr>
          <w:color w:val="000000"/>
        </w:rPr>
        <w:t xml:space="preserve"> Own elaboration.</w:t>
      </w:r>
    </w:p>
    <w:p w14:paraId="2E48DABD" w14:textId="77777777" w:rsidR="008C75B3" w:rsidRDefault="00DF6095" w:rsidP="00785589">
      <w:pPr>
        <w:widowControl w:val="0"/>
        <w:spacing w:before="240" w:line="360" w:lineRule="auto"/>
        <w:ind w:firstLine="720"/>
      </w:pPr>
      <w:r>
        <w:t>To verify if there was a difference in the scores of boys and girls in the instrument, the non-parametric Mann-Whitney test was applied. No significant differences were found in both scales (p=0.824 for the first scale an</w:t>
      </w:r>
      <w:r>
        <w:t xml:space="preserve">d p= 0.439 for the second scale). </w:t>
      </w:r>
    </w:p>
    <w:p w14:paraId="35398EE5" w14:textId="77777777" w:rsidR="008C75B3" w:rsidRDefault="00DF6095" w:rsidP="004E1A2F">
      <w:pPr>
        <w:widowControl w:val="0"/>
        <w:spacing w:before="240" w:line="360" w:lineRule="auto"/>
      </w:pPr>
      <w:r>
        <w:t>Discussion</w:t>
      </w:r>
    </w:p>
    <w:p w14:paraId="62B24C80" w14:textId="3984DD33" w:rsidR="008C75B3" w:rsidRDefault="00DF6095" w:rsidP="00785589">
      <w:pPr>
        <w:widowControl w:val="0"/>
        <w:spacing w:before="240" w:line="360" w:lineRule="auto"/>
        <w:ind w:firstLine="720"/>
      </w:pPr>
      <w:r>
        <w:t>Several instruments have recently been developed to measure students' scientific vocation and attitudes toward science in the United States and European countries (</w:t>
      </w:r>
      <w:proofErr w:type="spellStart"/>
      <w:r>
        <w:t>Herce-Palomares</w:t>
      </w:r>
      <w:proofErr w:type="spellEnd"/>
      <w:r>
        <w:t xml:space="preserve"> et al., 2022; Wang, &amp; Berlin, </w:t>
      </w:r>
      <w:r>
        <w:t>2010). The availability of reliable and valid instruments of interest in science is a necessary condition for understanding students' inclination towards science. In addition, it will facilitate the development of research oriented to promote interest in s</w:t>
      </w:r>
      <w:r>
        <w:t>cience. However, it is necessary to create instruments that respond to the contextual and cultural needs of each population. Particularly in the Latin American and Mexican context, where a shortage of instruments that measure interest in science among youn</w:t>
      </w:r>
      <w:r>
        <w:t>g people has been detected.</w:t>
      </w:r>
    </w:p>
    <w:p w14:paraId="1DD12F02" w14:textId="77777777" w:rsidR="008C75B3" w:rsidRDefault="00DF6095" w:rsidP="00785589">
      <w:pPr>
        <w:widowControl w:val="0"/>
        <w:spacing w:before="240" w:line="360" w:lineRule="auto"/>
        <w:ind w:firstLine="720"/>
      </w:pPr>
      <w:r>
        <w:lastRenderedPageBreak/>
        <w:t>Findings obtained with this sample of secondary school students show that the Interest in Science Instrument is a valid and reliable questionnaire.  In particular, the results of the validity and reliability analysis of this ins</w:t>
      </w:r>
      <w:r>
        <w:t xml:space="preserve">trument show an acceptable internal consistency for both parts of the scale. The information presented in this article can help teachers and researchers to measure the interests of secondary school students and their inclination toward scientific subjects </w:t>
      </w:r>
      <w:r>
        <w:t xml:space="preserve">and provide support to foster students' interest in science, specifically in the Mexican population. </w:t>
      </w:r>
    </w:p>
    <w:p w14:paraId="41EAD6C3" w14:textId="77777777" w:rsidR="008C75B3" w:rsidRDefault="00DF6095" w:rsidP="00785589">
      <w:pPr>
        <w:widowControl w:val="0"/>
        <w:spacing w:before="240" w:line="360" w:lineRule="auto"/>
        <w:ind w:firstLine="720"/>
      </w:pPr>
      <w:r>
        <w:t xml:space="preserve">This instrument was created to assess the general interests of secondary school students and their predisposition to develop scientific activities in the </w:t>
      </w:r>
      <w:r>
        <w:t xml:space="preserve">future. It should be noted that this scale will be created with the purpose of applying it in a </w:t>
      </w:r>
      <w:proofErr w:type="spellStart"/>
      <w:r>
        <w:t>pretest-posttest</w:t>
      </w:r>
      <w:proofErr w:type="spellEnd"/>
      <w:r>
        <w:t xml:space="preserve"> study to evaluate the effectiveness of an intervention program that aims to promote scientific vocations and interest in science among secondar</w:t>
      </w:r>
      <w:r>
        <w:t xml:space="preserve">y school students. </w:t>
      </w:r>
    </w:p>
    <w:p w14:paraId="7A5A13AF" w14:textId="77777777" w:rsidR="008C75B3" w:rsidRDefault="00DF6095" w:rsidP="00785589">
      <w:pPr>
        <w:widowControl w:val="0"/>
        <w:spacing w:before="240" w:line="360" w:lineRule="auto"/>
        <w:ind w:firstLine="720"/>
      </w:pPr>
      <w:r>
        <w:t>This project arose from the detection of specific needs in this state, such as the high rates of school dropout and the need to increase the insertion rates of children and young people in the sciences. According to the latest INEGI dat</w:t>
      </w:r>
      <w:r>
        <w:t>a, in Tlaxcala the average schooling measured in years is 9.3, equivalent to a little more than finishing high school (INEGI, 2017). As the student advances towards higher educational levels, coverage decreases while educational dropout increases. School d</w:t>
      </w:r>
      <w:r>
        <w:t>ropout can be explained by factors such as school failure, inadequate vocational guidance, lack of motivation or interest in learning, and different economic and social inequalities (</w:t>
      </w:r>
      <w:proofErr w:type="spellStart"/>
      <w:r>
        <w:t>Carro</w:t>
      </w:r>
      <w:proofErr w:type="spellEnd"/>
      <w:r>
        <w:t xml:space="preserve"> et al., 2014; Trejo, 2019).</w:t>
      </w:r>
    </w:p>
    <w:p w14:paraId="4812086E" w14:textId="77777777" w:rsidR="008C75B3" w:rsidRDefault="00DF6095" w:rsidP="00785589">
      <w:pPr>
        <w:widowControl w:val="0"/>
        <w:spacing w:before="240" w:line="360" w:lineRule="auto"/>
        <w:ind w:firstLine="720"/>
      </w:pPr>
      <w:r>
        <w:t>Regarding the levels of interest in sci</w:t>
      </w:r>
      <w:r>
        <w:t>entific topics and the perception of the ability to perform in a scientific area, the participants are at a medium level. This is in line with various authors who reported the low interest of young people in scientific careers (</w:t>
      </w:r>
      <w:proofErr w:type="spellStart"/>
      <w:r>
        <w:t>Betancur</w:t>
      </w:r>
      <w:proofErr w:type="spellEnd"/>
      <w:r>
        <w:t xml:space="preserve"> et al., 2022; </w:t>
      </w:r>
      <w:proofErr w:type="spellStart"/>
      <w:r>
        <w:t>Casad</w:t>
      </w:r>
      <w:r>
        <w:t>ó</w:t>
      </w:r>
      <w:proofErr w:type="spellEnd"/>
      <w:r>
        <w:t xml:space="preserve"> et al., 2019; Vázquez &amp; </w:t>
      </w:r>
      <w:proofErr w:type="spellStart"/>
      <w:r>
        <w:t>Manassero</w:t>
      </w:r>
      <w:proofErr w:type="spellEnd"/>
      <w:r>
        <w:t xml:space="preserve">, 2009). Our results do not show differences between boys and girls about gender and interest in science. In general, it is known that women face different obstacles when pursuing scientific careers (Irvin et al., 2012). </w:t>
      </w:r>
      <w:r>
        <w:t xml:space="preserve">For example, it has been reported that women face greater discrimination during the school teaching process and their academic contributions are less recognized (Romo, 2018). It has also been observed that there are differences in the choice of scientific </w:t>
      </w:r>
      <w:r>
        <w:t xml:space="preserve">disciplines between men and women, which may respond to cultural factors such as the roles each sex must play in society (Jones, Howe &amp; </w:t>
      </w:r>
      <w:proofErr w:type="spellStart"/>
      <w:r>
        <w:t>Rua</w:t>
      </w:r>
      <w:proofErr w:type="spellEnd"/>
      <w:r>
        <w:t xml:space="preserve">, 2000, in </w:t>
      </w:r>
      <w:proofErr w:type="spellStart"/>
      <w:r>
        <w:t>Dapía</w:t>
      </w:r>
      <w:proofErr w:type="spellEnd"/>
      <w:r>
        <w:t>, 2019). These differences have been observed in university and postgraduate studies, so it is necess</w:t>
      </w:r>
      <w:r>
        <w:t xml:space="preserve">ary to study, in early stages, the factors </w:t>
      </w:r>
      <w:r>
        <w:lastRenderedPageBreak/>
        <w:t>that subsequently cause differences between the sexes to reduce their effects and effectively promote girl interest in science.</w:t>
      </w:r>
    </w:p>
    <w:p w14:paraId="263195C2" w14:textId="5A527EAE" w:rsidR="008C75B3" w:rsidRDefault="00DF6095" w:rsidP="00785589">
      <w:pPr>
        <w:widowControl w:val="0"/>
        <w:spacing w:before="240" w:line="360" w:lineRule="auto"/>
        <w:ind w:firstLine="720"/>
      </w:pPr>
      <w:r>
        <w:t xml:space="preserve">Another variable to explore is the lack of resources in schools. </w:t>
      </w:r>
      <w:proofErr w:type="spellStart"/>
      <w:r>
        <w:t>Gairal-Casadó</w:t>
      </w:r>
      <w:proofErr w:type="spellEnd"/>
      <w:r>
        <w:t xml:space="preserve"> et al.</w:t>
      </w:r>
      <w:r>
        <w:t xml:space="preserve"> (2019), and Irvin et al. (2012) point out that the lack of support from educational institutions, the lack of resources in schools, and the limited academic offer in localities close to rural populations influence the low interest of students in dedicatin</w:t>
      </w:r>
      <w:r>
        <w:t>g themselves to the study of scientific disciplines, as well as motivation to continue with their schooling.</w:t>
      </w:r>
    </w:p>
    <w:p w14:paraId="63409392" w14:textId="77777777" w:rsidR="008C75B3" w:rsidRDefault="00DF6095" w:rsidP="00785589">
      <w:pPr>
        <w:widowControl w:val="0"/>
        <w:spacing w:before="240" w:line="360" w:lineRule="auto"/>
        <w:ind w:firstLine="720"/>
      </w:pPr>
      <w:r>
        <w:t>Compared to studies in Europe and the United States, boys have been found to be more positive toward science than girls (</w:t>
      </w:r>
      <w:proofErr w:type="spellStart"/>
      <w:r>
        <w:t>Barmby</w:t>
      </w:r>
      <w:proofErr w:type="spellEnd"/>
      <w:r>
        <w:t>, Kind, &amp; Jones, 200</w:t>
      </w:r>
      <w:r>
        <w:t>8). It may be because in Mexico boys do not find references from Mexican scientists who are close to them with whom they can identify, and therefore the empowerment work must be done with both boys and girls, looking for references of both sexes, being a p</w:t>
      </w:r>
      <w:r>
        <w:t>eculiarity of the Latin American context.</w:t>
      </w:r>
    </w:p>
    <w:p w14:paraId="6DEB63D6" w14:textId="24FCD25F" w:rsidR="00AD5713" w:rsidRPr="00A94359" w:rsidRDefault="00DF6095" w:rsidP="00785589">
      <w:pPr>
        <w:widowControl w:val="0"/>
        <w:spacing w:before="240" w:line="360" w:lineRule="auto"/>
        <w:ind w:firstLine="720"/>
      </w:pPr>
      <w:r w:rsidRPr="00A94359">
        <w:t>Although our study may contribute to research on fostering interest in science and science vocations in secondary school students, some limitations must be recognized. Therefore, testing this instrument with a larg</w:t>
      </w:r>
      <w:r w:rsidRPr="00A94359">
        <w:t xml:space="preserve">er sample of students is suggested to explore </w:t>
      </w:r>
      <w:r w:rsidR="007D3258" w:rsidRPr="00A94359">
        <w:rPr>
          <w:color w:val="000000"/>
        </w:rPr>
        <w:t xml:space="preserve">the motivation towards </w:t>
      </w:r>
      <w:r w:rsidRPr="00A94359">
        <w:t xml:space="preserve">for scientific topics further. Moreover, the initial validity evidence in our study is limited to the criterion variables </w:t>
      </w:r>
      <w:r w:rsidR="008C75B3" w:rsidRPr="00A94359">
        <w:t>included</w:t>
      </w:r>
      <w:r w:rsidRPr="00A94359">
        <w:t xml:space="preserve"> it is known that interest in science involves several va</w:t>
      </w:r>
      <w:r w:rsidRPr="00A94359">
        <w:t>riables, such as experiencing positive emotions when learning scientific topics (</w:t>
      </w:r>
      <w:proofErr w:type="spellStart"/>
      <w:r w:rsidRPr="00A94359">
        <w:t>Paños</w:t>
      </w:r>
      <w:proofErr w:type="spellEnd"/>
      <w:r w:rsidRPr="00A94359">
        <w:t xml:space="preserve"> &amp; Ruiz-Gallardo, 2021), the influence of parents and teachers who inspire young people to approach science (</w:t>
      </w:r>
      <w:proofErr w:type="spellStart"/>
      <w:r w:rsidRPr="00A94359">
        <w:t>Sáinz</w:t>
      </w:r>
      <w:proofErr w:type="spellEnd"/>
      <w:r w:rsidRPr="00A94359">
        <w:t xml:space="preserve"> &amp; Müller, 2018).</w:t>
      </w:r>
    </w:p>
    <w:p w14:paraId="05394E94" w14:textId="77777777" w:rsidR="007D3258" w:rsidRDefault="007D3258" w:rsidP="004E1A2F">
      <w:pPr>
        <w:spacing w:line="360" w:lineRule="auto"/>
      </w:pPr>
    </w:p>
    <w:p w14:paraId="34966348" w14:textId="79BDE64F" w:rsidR="008232B1" w:rsidRPr="007D3258" w:rsidRDefault="00DF6095" w:rsidP="004E1A2F">
      <w:pPr>
        <w:spacing w:line="360" w:lineRule="auto"/>
      </w:pPr>
      <w:proofErr w:type="spellStart"/>
      <w:r w:rsidRPr="00A90A32">
        <w:rPr>
          <w:lang w:val="es-ES"/>
        </w:rPr>
        <w:t>References</w:t>
      </w:r>
      <w:proofErr w:type="spellEnd"/>
      <w:r w:rsidRPr="00A90A32">
        <w:rPr>
          <w:lang w:val="es-ES"/>
        </w:rPr>
        <w:t xml:space="preserve">: </w:t>
      </w:r>
    </w:p>
    <w:p w14:paraId="15B58382" w14:textId="549C91E6" w:rsidR="00AD5713" w:rsidRPr="00A90A32" w:rsidRDefault="00DF6095" w:rsidP="00233B16">
      <w:pPr>
        <w:spacing w:line="360" w:lineRule="auto"/>
        <w:ind w:left="720" w:hanging="720"/>
        <w:rPr>
          <w:highlight w:val="white"/>
          <w:lang w:val="es-ES"/>
        </w:rPr>
      </w:pPr>
      <w:r w:rsidRPr="000F5108">
        <w:rPr>
          <w:highlight w:val="white"/>
          <w:lang w:val="es-ES"/>
        </w:rPr>
        <w:t xml:space="preserve">Aranguren, M., </w:t>
      </w:r>
      <w:r w:rsidR="00956853" w:rsidRPr="000F5108">
        <w:rPr>
          <w:highlight w:val="white"/>
          <w:lang w:val="es-ES"/>
        </w:rPr>
        <w:t>&amp;</w:t>
      </w:r>
      <w:r w:rsidRPr="000F5108">
        <w:rPr>
          <w:highlight w:val="white"/>
          <w:lang w:val="es-ES"/>
        </w:rPr>
        <w:t xml:space="preserve"> Irrazabal, N. (2010). </w:t>
      </w:r>
      <w:r w:rsidRPr="00A90A32">
        <w:rPr>
          <w:i/>
          <w:highlight w:val="white"/>
          <w:lang w:val="es-ES"/>
        </w:rPr>
        <w:t xml:space="preserve">Estudio exploratorio de las propiedades psicométricas de la Escala de Autoeficacia Creativa en población </w:t>
      </w:r>
      <w:proofErr w:type="gramStart"/>
      <w:r w:rsidRPr="00A90A32">
        <w:rPr>
          <w:i/>
          <w:highlight w:val="white"/>
          <w:lang w:val="es-ES"/>
        </w:rPr>
        <w:t>Argentina</w:t>
      </w:r>
      <w:proofErr w:type="gramEnd"/>
      <w:r w:rsidRPr="00A90A32">
        <w:rPr>
          <w:highlight w:val="white"/>
          <w:lang w:val="es-ES"/>
        </w:rPr>
        <w:t xml:space="preserve">. II Congreso Internacional de Investigación y Práctica Profesional en Psicología XVII Jornadas de Investigación Sexto </w:t>
      </w:r>
      <w:r w:rsidRPr="00A90A32">
        <w:rPr>
          <w:highlight w:val="white"/>
          <w:lang w:val="es-ES"/>
        </w:rPr>
        <w:t>Encuentro de Investigadores en Psicología del MERCOSUR. Facultad de Psicología - Universidad de Buenos Aires, Buenos Aires.</w:t>
      </w:r>
    </w:p>
    <w:p w14:paraId="6F82D6DC" w14:textId="4AE232AA" w:rsidR="00AD5713" w:rsidRPr="00A94359" w:rsidRDefault="00DF6095" w:rsidP="00233B16">
      <w:pPr>
        <w:spacing w:line="360" w:lineRule="auto"/>
        <w:ind w:left="720" w:hanging="720"/>
        <w:jc w:val="both"/>
        <w:rPr>
          <w:color w:val="000000" w:themeColor="text1"/>
        </w:rPr>
      </w:pPr>
      <w:r w:rsidRPr="000F5108">
        <w:rPr>
          <w:highlight w:val="white"/>
          <w:lang w:val="es-ES"/>
        </w:rPr>
        <w:t xml:space="preserve">Barmby, P., Kind, P. M., </w:t>
      </w:r>
      <w:r w:rsidR="00956853" w:rsidRPr="000F5108">
        <w:rPr>
          <w:highlight w:val="white"/>
          <w:lang w:val="es-ES"/>
        </w:rPr>
        <w:t xml:space="preserve">&amp; </w:t>
      </w:r>
      <w:r w:rsidRPr="000F5108">
        <w:rPr>
          <w:highlight w:val="white"/>
          <w:lang w:val="es-ES"/>
        </w:rPr>
        <w:t xml:space="preserve">Jones, K. (2008). </w:t>
      </w:r>
      <w:r>
        <w:rPr>
          <w:highlight w:val="white"/>
        </w:rPr>
        <w:t xml:space="preserve">Examining Changing Attitudes in Secondary </w:t>
      </w:r>
      <w:r w:rsidR="008232B1">
        <w:rPr>
          <w:highlight w:val="white"/>
        </w:rPr>
        <w:t>School Science</w:t>
      </w:r>
      <w:r>
        <w:rPr>
          <w:highlight w:val="white"/>
        </w:rPr>
        <w:t xml:space="preserve">. </w:t>
      </w:r>
      <w:r>
        <w:rPr>
          <w:i/>
          <w:highlight w:val="white"/>
        </w:rPr>
        <w:t xml:space="preserve">International Journal of </w:t>
      </w:r>
      <w:r>
        <w:rPr>
          <w:i/>
          <w:highlight w:val="white"/>
        </w:rPr>
        <w:t>Science Education, 30</w:t>
      </w:r>
      <w:r>
        <w:rPr>
          <w:highlight w:val="white"/>
        </w:rPr>
        <w:t>(8), 1075–1093</w:t>
      </w:r>
      <w:r w:rsidRPr="00A94359">
        <w:rPr>
          <w:color w:val="000000" w:themeColor="text1"/>
        </w:rPr>
        <w:t>.</w:t>
      </w:r>
      <w:r w:rsidR="00A94359" w:rsidRPr="00A94359">
        <w:rPr>
          <w:color w:val="000000" w:themeColor="text1"/>
        </w:rPr>
        <w:t xml:space="preserve"> </w:t>
      </w:r>
      <w:r w:rsidR="00A94359" w:rsidRPr="00A94359">
        <w:rPr>
          <w:color w:val="000000" w:themeColor="text1"/>
          <w:shd w:val="clear" w:color="auto" w:fill="FFFFFF"/>
        </w:rPr>
        <w:t>DOI:</w:t>
      </w:r>
      <w:hyperlink r:id="rId10" w:tgtFrame="_blank" w:history="1">
        <w:r w:rsidR="00A94359" w:rsidRPr="00A94359">
          <w:rPr>
            <w:color w:val="000000" w:themeColor="text1"/>
            <w:bdr w:val="none" w:sz="0" w:space="0" w:color="auto" w:frame="1"/>
            <w:shd w:val="clear" w:color="auto" w:fill="FFFFFF"/>
          </w:rPr>
          <w:t>10.1080/09500690701344966</w:t>
        </w:r>
      </w:hyperlink>
    </w:p>
    <w:p w14:paraId="09799E73" w14:textId="48A672DB" w:rsidR="00AD5713" w:rsidRPr="00A90A32" w:rsidRDefault="00DF6095" w:rsidP="00233B16">
      <w:pPr>
        <w:spacing w:line="360" w:lineRule="auto"/>
        <w:ind w:left="720" w:hanging="720"/>
        <w:jc w:val="both"/>
        <w:rPr>
          <w:lang w:val="es-ES"/>
        </w:rPr>
      </w:pPr>
      <w:r w:rsidRPr="000F5108">
        <w:rPr>
          <w:lang w:val="en-US"/>
        </w:rPr>
        <w:lastRenderedPageBreak/>
        <w:t xml:space="preserve">Betancur, D. M., Castellanos, L. N., </w:t>
      </w:r>
      <w:r w:rsidR="00956853" w:rsidRPr="000F5108">
        <w:rPr>
          <w:highlight w:val="white"/>
          <w:lang w:val="en-US"/>
        </w:rPr>
        <w:t>&amp;</w:t>
      </w:r>
      <w:r w:rsidR="00956853" w:rsidRPr="000F5108">
        <w:rPr>
          <w:lang w:val="en-US"/>
        </w:rPr>
        <w:t xml:space="preserve"> </w:t>
      </w:r>
      <w:r w:rsidRPr="000F5108">
        <w:rPr>
          <w:lang w:val="en-US"/>
        </w:rPr>
        <w:t xml:space="preserve">Granados, Y. (2022). </w:t>
      </w:r>
      <w:r w:rsidRPr="00A90A32">
        <w:rPr>
          <w:lang w:val="es-ES"/>
        </w:rPr>
        <w:t>La indagación en el aprendizaje y la enseñanza de las Cie</w:t>
      </w:r>
      <w:r w:rsidRPr="00A90A32">
        <w:rPr>
          <w:lang w:val="es-ES"/>
        </w:rPr>
        <w:t>ncias Naturales en un grupo de estudiantes de séptimo grado [</w:t>
      </w:r>
      <w:proofErr w:type="spellStart"/>
      <w:r w:rsidRPr="00A90A32">
        <w:rPr>
          <w:lang w:val="es-ES"/>
        </w:rPr>
        <w:t>Inquiry</w:t>
      </w:r>
      <w:proofErr w:type="spellEnd"/>
      <w:r w:rsidRPr="00A90A32">
        <w:rPr>
          <w:lang w:val="es-ES"/>
        </w:rPr>
        <w:t xml:space="preserve"> in </w:t>
      </w:r>
      <w:proofErr w:type="spellStart"/>
      <w:r w:rsidRPr="00A90A32">
        <w:rPr>
          <w:lang w:val="es-ES"/>
        </w:rPr>
        <w:t>the</w:t>
      </w:r>
      <w:proofErr w:type="spellEnd"/>
      <w:r w:rsidRPr="00A90A32">
        <w:rPr>
          <w:lang w:val="es-ES"/>
        </w:rPr>
        <w:t xml:space="preserve"> </w:t>
      </w:r>
      <w:proofErr w:type="spellStart"/>
      <w:r w:rsidRPr="00A90A32">
        <w:rPr>
          <w:lang w:val="es-ES"/>
        </w:rPr>
        <w:t>learning</w:t>
      </w:r>
      <w:proofErr w:type="spellEnd"/>
      <w:r w:rsidRPr="00A90A32">
        <w:rPr>
          <w:lang w:val="es-ES"/>
        </w:rPr>
        <w:t xml:space="preserve"> and </w:t>
      </w:r>
      <w:proofErr w:type="spellStart"/>
      <w:r w:rsidRPr="00A90A32">
        <w:rPr>
          <w:lang w:val="es-ES"/>
        </w:rPr>
        <w:t>teaching</w:t>
      </w:r>
      <w:proofErr w:type="spellEnd"/>
      <w:r w:rsidRPr="00A90A32">
        <w:rPr>
          <w:lang w:val="es-ES"/>
        </w:rPr>
        <w:t xml:space="preserve"> of Natural </w:t>
      </w:r>
      <w:proofErr w:type="spellStart"/>
      <w:r w:rsidRPr="00A90A32">
        <w:rPr>
          <w:lang w:val="es-ES"/>
        </w:rPr>
        <w:t>Sciences</w:t>
      </w:r>
      <w:proofErr w:type="spellEnd"/>
      <w:r w:rsidRPr="00A90A32">
        <w:rPr>
          <w:lang w:val="es-ES"/>
        </w:rPr>
        <w:t xml:space="preserve"> in a </w:t>
      </w:r>
      <w:proofErr w:type="spellStart"/>
      <w:r w:rsidRPr="00A90A32">
        <w:rPr>
          <w:lang w:val="es-ES"/>
        </w:rPr>
        <w:t>group</w:t>
      </w:r>
      <w:proofErr w:type="spellEnd"/>
      <w:r w:rsidRPr="00A90A32">
        <w:rPr>
          <w:lang w:val="es-ES"/>
        </w:rPr>
        <w:t xml:space="preserve"> of </w:t>
      </w:r>
      <w:proofErr w:type="spellStart"/>
      <w:r w:rsidRPr="00A90A32">
        <w:rPr>
          <w:lang w:val="es-ES"/>
        </w:rPr>
        <w:t>seventh</w:t>
      </w:r>
      <w:proofErr w:type="spellEnd"/>
      <w:r w:rsidRPr="00A90A32">
        <w:rPr>
          <w:lang w:val="es-ES"/>
        </w:rPr>
        <w:t xml:space="preserve"> grade </w:t>
      </w:r>
      <w:proofErr w:type="spellStart"/>
      <w:r w:rsidRPr="00A90A32">
        <w:rPr>
          <w:lang w:val="es-ES"/>
        </w:rPr>
        <w:t>students</w:t>
      </w:r>
      <w:proofErr w:type="spellEnd"/>
      <w:r w:rsidRPr="00A90A32">
        <w:rPr>
          <w:lang w:val="es-ES"/>
        </w:rPr>
        <w:t xml:space="preserve">]. </w:t>
      </w:r>
      <w:r w:rsidRPr="00A90A32">
        <w:rPr>
          <w:i/>
          <w:lang w:val="es-ES"/>
        </w:rPr>
        <w:t>Revista Electrónica de Enseñanza de las Ciencias, 21</w:t>
      </w:r>
      <w:r w:rsidRPr="00A90A32">
        <w:rPr>
          <w:lang w:val="es-ES"/>
        </w:rPr>
        <w:t xml:space="preserve">(1), 131-155. </w:t>
      </w:r>
    </w:p>
    <w:p w14:paraId="04D2566D" w14:textId="7E4B3F01" w:rsidR="00AD5713" w:rsidRPr="00A90A32" w:rsidRDefault="00DF6095" w:rsidP="00233B16">
      <w:pPr>
        <w:spacing w:line="360" w:lineRule="auto"/>
        <w:ind w:left="720" w:hanging="720"/>
        <w:jc w:val="both"/>
        <w:rPr>
          <w:lang w:val="es-ES"/>
        </w:rPr>
      </w:pPr>
      <w:bookmarkStart w:id="1" w:name="_GoBack"/>
      <w:bookmarkEnd w:id="1"/>
      <w:r w:rsidRPr="000F5108">
        <w:rPr>
          <w:highlight w:val="white"/>
          <w:lang w:val="en-US"/>
        </w:rPr>
        <w:t xml:space="preserve">Carro, A., </w:t>
      </w:r>
      <w:r w:rsidRPr="000F5108">
        <w:rPr>
          <w:highlight w:val="white"/>
          <w:lang w:val="en-US"/>
        </w:rPr>
        <w:t xml:space="preserve">Lima, J. A., Hernández, F., </w:t>
      </w:r>
      <w:r w:rsidR="00956853" w:rsidRPr="000F5108">
        <w:rPr>
          <w:highlight w:val="white"/>
          <w:lang w:val="en-US"/>
        </w:rPr>
        <w:t xml:space="preserve">&amp; </w:t>
      </w:r>
      <w:r w:rsidRPr="000F5108">
        <w:rPr>
          <w:highlight w:val="white"/>
          <w:lang w:val="en-US"/>
        </w:rPr>
        <w:t xml:space="preserve">León, A. K. (2014). </w:t>
      </w:r>
      <w:r w:rsidRPr="00A90A32">
        <w:rPr>
          <w:highlight w:val="white"/>
          <w:lang w:val="es-ES"/>
        </w:rPr>
        <w:t xml:space="preserve">Educar sin excluir: una experiencia de educación inclusiva en el estado de Tlaxcala, México </w:t>
      </w:r>
      <w:r w:rsidRPr="00A90A32">
        <w:rPr>
          <w:lang w:val="es-ES"/>
        </w:rPr>
        <w:t>[</w:t>
      </w:r>
      <w:proofErr w:type="spellStart"/>
      <w:r w:rsidRPr="00A90A32">
        <w:rPr>
          <w:highlight w:val="white"/>
          <w:lang w:val="es-ES"/>
        </w:rPr>
        <w:t>Educate</w:t>
      </w:r>
      <w:proofErr w:type="spellEnd"/>
      <w:r w:rsidRPr="00A90A32">
        <w:rPr>
          <w:highlight w:val="white"/>
          <w:lang w:val="es-ES"/>
        </w:rPr>
        <w:t xml:space="preserve"> </w:t>
      </w:r>
      <w:proofErr w:type="spellStart"/>
      <w:r w:rsidRPr="00A90A32">
        <w:rPr>
          <w:highlight w:val="white"/>
          <w:lang w:val="es-ES"/>
        </w:rPr>
        <w:t>without</w:t>
      </w:r>
      <w:proofErr w:type="spellEnd"/>
      <w:r w:rsidRPr="00A90A32">
        <w:rPr>
          <w:highlight w:val="white"/>
          <w:lang w:val="es-ES"/>
        </w:rPr>
        <w:t xml:space="preserve"> </w:t>
      </w:r>
      <w:proofErr w:type="spellStart"/>
      <w:r w:rsidRPr="00A90A32">
        <w:rPr>
          <w:highlight w:val="white"/>
          <w:lang w:val="es-ES"/>
        </w:rPr>
        <w:t>excluding</w:t>
      </w:r>
      <w:proofErr w:type="spellEnd"/>
      <w:r w:rsidRPr="00A90A32">
        <w:rPr>
          <w:highlight w:val="white"/>
          <w:lang w:val="es-ES"/>
        </w:rPr>
        <w:t xml:space="preserve">: </w:t>
      </w:r>
      <w:proofErr w:type="spellStart"/>
      <w:r w:rsidRPr="00A90A32">
        <w:rPr>
          <w:highlight w:val="white"/>
          <w:lang w:val="es-ES"/>
        </w:rPr>
        <w:t>an</w:t>
      </w:r>
      <w:proofErr w:type="spellEnd"/>
      <w:r w:rsidRPr="00A90A32">
        <w:rPr>
          <w:highlight w:val="white"/>
          <w:lang w:val="es-ES"/>
        </w:rPr>
        <w:t xml:space="preserve"> </w:t>
      </w:r>
      <w:proofErr w:type="spellStart"/>
      <w:r w:rsidRPr="00A90A32">
        <w:rPr>
          <w:highlight w:val="white"/>
          <w:lang w:val="es-ES"/>
        </w:rPr>
        <w:t>experience</w:t>
      </w:r>
      <w:proofErr w:type="spellEnd"/>
      <w:r w:rsidRPr="00A90A32">
        <w:rPr>
          <w:highlight w:val="white"/>
          <w:lang w:val="es-ES"/>
        </w:rPr>
        <w:t xml:space="preserve"> of inclusive </w:t>
      </w:r>
      <w:proofErr w:type="spellStart"/>
      <w:r w:rsidRPr="00A90A32">
        <w:rPr>
          <w:highlight w:val="white"/>
          <w:lang w:val="es-ES"/>
        </w:rPr>
        <w:t>education</w:t>
      </w:r>
      <w:proofErr w:type="spellEnd"/>
      <w:r w:rsidRPr="00A90A32">
        <w:rPr>
          <w:highlight w:val="white"/>
          <w:lang w:val="es-ES"/>
        </w:rPr>
        <w:t xml:space="preserve"> in </w:t>
      </w:r>
      <w:proofErr w:type="spellStart"/>
      <w:r w:rsidRPr="00A90A32">
        <w:rPr>
          <w:highlight w:val="white"/>
          <w:lang w:val="es-ES"/>
        </w:rPr>
        <w:t>the</w:t>
      </w:r>
      <w:proofErr w:type="spellEnd"/>
      <w:r w:rsidRPr="00A90A32">
        <w:rPr>
          <w:highlight w:val="white"/>
          <w:lang w:val="es-ES"/>
        </w:rPr>
        <w:t xml:space="preserve"> </w:t>
      </w:r>
      <w:proofErr w:type="spellStart"/>
      <w:r w:rsidRPr="00A90A32">
        <w:rPr>
          <w:highlight w:val="white"/>
          <w:lang w:val="es-ES"/>
        </w:rPr>
        <w:t>state</w:t>
      </w:r>
      <w:proofErr w:type="spellEnd"/>
      <w:r w:rsidRPr="00A90A32">
        <w:rPr>
          <w:highlight w:val="white"/>
          <w:lang w:val="es-ES"/>
        </w:rPr>
        <w:t xml:space="preserve"> of Tlaxcala, </w:t>
      </w:r>
      <w:proofErr w:type="spellStart"/>
      <w:r w:rsidRPr="00A90A32">
        <w:rPr>
          <w:highlight w:val="white"/>
          <w:lang w:val="es-ES"/>
        </w:rPr>
        <w:t>Mexico</w:t>
      </w:r>
      <w:proofErr w:type="spellEnd"/>
      <w:r w:rsidRPr="00A90A32">
        <w:rPr>
          <w:lang w:val="es-ES"/>
        </w:rPr>
        <w:t>]</w:t>
      </w:r>
      <w:r w:rsidRPr="00A90A32">
        <w:rPr>
          <w:highlight w:val="white"/>
          <w:lang w:val="es-ES"/>
        </w:rPr>
        <w:t xml:space="preserve">. </w:t>
      </w:r>
      <w:r w:rsidRPr="00A90A32">
        <w:rPr>
          <w:i/>
          <w:highlight w:val="white"/>
          <w:lang w:val="es-ES"/>
        </w:rPr>
        <w:t xml:space="preserve">Revista </w:t>
      </w:r>
      <w:r w:rsidRPr="00A90A32">
        <w:rPr>
          <w:i/>
          <w:highlight w:val="white"/>
          <w:lang w:val="es-ES"/>
        </w:rPr>
        <w:t>Nacional e Internacional de Educación Inclusiva, 7</w:t>
      </w:r>
      <w:r w:rsidRPr="00A90A32">
        <w:rPr>
          <w:highlight w:val="white"/>
          <w:lang w:val="es-ES"/>
        </w:rPr>
        <w:t>(1), 140-162.</w:t>
      </w:r>
    </w:p>
    <w:p w14:paraId="144A340B" w14:textId="28A4B38A" w:rsidR="00AD5713" w:rsidRPr="00A90A32" w:rsidRDefault="003E18C0" w:rsidP="00233B16">
      <w:pPr>
        <w:spacing w:line="360" w:lineRule="auto"/>
        <w:ind w:left="720" w:hanging="720"/>
        <w:jc w:val="both"/>
        <w:rPr>
          <w:lang w:val="es-ES"/>
        </w:rPr>
      </w:pPr>
      <w:r>
        <w:rPr>
          <w:highlight w:val="white"/>
          <w:lang w:val="es-ES"/>
        </w:rPr>
        <w:t>C</w:t>
      </w:r>
      <w:r w:rsidRPr="00A90A32">
        <w:rPr>
          <w:highlight w:val="white"/>
          <w:lang w:val="es-ES"/>
        </w:rPr>
        <w:t xml:space="preserve">asas, Y., </w:t>
      </w:r>
      <w:r w:rsidR="00956853" w:rsidRPr="00956853">
        <w:rPr>
          <w:highlight w:val="white"/>
          <w:lang w:val="es-ES"/>
        </w:rPr>
        <w:t xml:space="preserve">&amp; </w:t>
      </w:r>
      <w:r w:rsidRPr="00A90A32">
        <w:rPr>
          <w:highlight w:val="white"/>
          <w:lang w:val="es-ES"/>
        </w:rPr>
        <w:t xml:space="preserve">Blanco-Blanco, A. (2017). </w:t>
      </w:r>
      <w:r>
        <w:rPr>
          <w:highlight w:val="white"/>
        </w:rPr>
        <w:t xml:space="preserve">Testing Social Cognitive Career Theory in Colombian adolescent </w:t>
      </w:r>
      <w:r w:rsidR="00956853">
        <w:rPr>
          <w:highlight w:val="white"/>
        </w:rPr>
        <w:t>secondary students</w:t>
      </w:r>
      <w:r>
        <w:rPr>
          <w:highlight w:val="white"/>
        </w:rPr>
        <w:t xml:space="preserve">: a study in the field of mathematics and </w:t>
      </w:r>
      <w:r w:rsidRPr="00A94359">
        <w:rPr>
          <w:highlight w:val="white"/>
        </w:rPr>
        <w:t xml:space="preserve">science. </w:t>
      </w:r>
      <w:r w:rsidRPr="00A94359">
        <w:rPr>
          <w:i/>
          <w:highlight w:val="white"/>
          <w:lang w:val="es-ES"/>
        </w:rPr>
        <w:t>Revista Complutense de Educación, 28</w:t>
      </w:r>
      <w:r w:rsidRPr="00A94359">
        <w:rPr>
          <w:highlight w:val="white"/>
          <w:lang w:val="es-ES"/>
        </w:rPr>
        <w:t>(4), 1173-1192</w:t>
      </w:r>
      <w:r w:rsidRPr="00A94359">
        <w:rPr>
          <w:lang w:val="es-ES"/>
        </w:rPr>
        <w:t>.</w:t>
      </w:r>
      <w:r w:rsidR="00A94359" w:rsidRPr="00A94359">
        <w:rPr>
          <w:lang w:val="es-ES"/>
        </w:rPr>
        <w:t xml:space="preserve"> DOI: </w:t>
      </w:r>
      <w:hyperlink r:id="rId11" w:history="1">
        <w:r w:rsidR="00A94359" w:rsidRPr="003D021A">
          <w:rPr>
            <w:rStyle w:val="Hipervnculo"/>
            <w:color w:val="303030"/>
            <w:u w:val="none"/>
            <w:shd w:val="clear" w:color="auto" w:fill="FFFFFF"/>
            <w:lang w:val="es-ES"/>
          </w:rPr>
          <w:t>https://doi.org/10.5209/RCED.52572</w:t>
        </w:r>
      </w:hyperlink>
    </w:p>
    <w:p w14:paraId="7DBB566B" w14:textId="59FBF622" w:rsidR="00AD5713" w:rsidRPr="00A90A32" w:rsidRDefault="00DF6095" w:rsidP="00233B16">
      <w:pPr>
        <w:spacing w:line="360" w:lineRule="auto"/>
        <w:ind w:left="720" w:hanging="720"/>
        <w:jc w:val="both"/>
        <w:rPr>
          <w:lang w:val="es-ES"/>
        </w:rPr>
      </w:pPr>
      <w:r w:rsidRPr="00A90A32">
        <w:rPr>
          <w:lang w:val="es-ES"/>
        </w:rPr>
        <w:t xml:space="preserve">Causado, R., Santos, B., </w:t>
      </w:r>
      <w:r w:rsidR="00956853" w:rsidRPr="00956853">
        <w:rPr>
          <w:highlight w:val="white"/>
          <w:lang w:val="es-ES"/>
        </w:rPr>
        <w:t xml:space="preserve">&amp; </w:t>
      </w:r>
      <w:r w:rsidRPr="00A90A32">
        <w:rPr>
          <w:lang w:val="es-ES"/>
        </w:rPr>
        <w:t xml:space="preserve">Calderón, I. (2015). Desarrollo del pensamiento crítico en el área de Ciencias Naturales en una escuela de </w:t>
      </w:r>
      <w:r w:rsidRPr="00A90A32">
        <w:rPr>
          <w:lang w:val="es-ES"/>
        </w:rPr>
        <w:t>secundaria [</w:t>
      </w:r>
      <w:proofErr w:type="spellStart"/>
      <w:r w:rsidRPr="00A90A32">
        <w:rPr>
          <w:highlight w:val="white"/>
          <w:lang w:val="es-ES"/>
        </w:rPr>
        <w:t>Development</w:t>
      </w:r>
      <w:proofErr w:type="spellEnd"/>
      <w:r w:rsidRPr="00A90A32">
        <w:rPr>
          <w:highlight w:val="white"/>
          <w:lang w:val="es-ES"/>
        </w:rPr>
        <w:t xml:space="preserve"> of </w:t>
      </w:r>
      <w:proofErr w:type="spellStart"/>
      <w:r w:rsidRPr="00A90A32">
        <w:rPr>
          <w:highlight w:val="white"/>
          <w:lang w:val="es-ES"/>
        </w:rPr>
        <w:t>critical</w:t>
      </w:r>
      <w:proofErr w:type="spellEnd"/>
      <w:r w:rsidRPr="00A90A32">
        <w:rPr>
          <w:highlight w:val="white"/>
          <w:lang w:val="es-ES"/>
        </w:rPr>
        <w:t xml:space="preserve"> </w:t>
      </w:r>
      <w:proofErr w:type="spellStart"/>
      <w:r w:rsidRPr="00A90A32">
        <w:rPr>
          <w:highlight w:val="white"/>
          <w:lang w:val="es-ES"/>
        </w:rPr>
        <w:t>thinking</w:t>
      </w:r>
      <w:proofErr w:type="spellEnd"/>
      <w:r w:rsidRPr="00A90A32">
        <w:rPr>
          <w:highlight w:val="white"/>
          <w:lang w:val="es-ES"/>
        </w:rPr>
        <w:t xml:space="preserve"> in </w:t>
      </w:r>
      <w:proofErr w:type="spellStart"/>
      <w:r w:rsidRPr="00A90A32">
        <w:rPr>
          <w:highlight w:val="white"/>
          <w:lang w:val="es-ES"/>
        </w:rPr>
        <w:t>the</w:t>
      </w:r>
      <w:proofErr w:type="spellEnd"/>
      <w:r w:rsidRPr="00A90A32">
        <w:rPr>
          <w:highlight w:val="white"/>
          <w:lang w:val="es-ES"/>
        </w:rPr>
        <w:t xml:space="preserve"> </w:t>
      </w:r>
      <w:proofErr w:type="spellStart"/>
      <w:r w:rsidRPr="00A90A32">
        <w:rPr>
          <w:highlight w:val="white"/>
          <w:lang w:val="es-ES"/>
        </w:rPr>
        <w:t>area</w:t>
      </w:r>
      <w:proofErr w:type="spellEnd"/>
      <w:r w:rsidRPr="00A90A32">
        <w:rPr>
          <w:highlight w:val="white"/>
          <w:lang w:val="es-ES"/>
        </w:rPr>
        <w:t xml:space="preserve"> of Natural </w:t>
      </w:r>
      <w:proofErr w:type="spellStart"/>
      <w:r w:rsidRPr="00A90A32">
        <w:rPr>
          <w:highlight w:val="white"/>
          <w:lang w:val="es-ES"/>
        </w:rPr>
        <w:t>Sciences</w:t>
      </w:r>
      <w:proofErr w:type="spellEnd"/>
      <w:r w:rsidRPr="00A90A32">
        <w:rPr>
          <w:highlight w:val="white"/>
          <w:lang w:val="es-ES"/>
        </w:rPr>
        <w:t xml:space="preserve"> in a </w:t>
      </w:r>
      <w:proofErr w:type="spellStart"/>
      <w:r w:rsidRPr="00A90A32">
        <w:rPr>
          <w:highlight w:val="white"/>
          <w:lang w:val="es-ES"/>
        </w:rPr>
        <w:t>secondary</w:t>
      </w:r>
      <w:proofErr w:type="spellEnd"/>
      <w:r w:rsidRPr="00A90A32">
        <w:rPr>
          <w:highlight w:val="white"/>
          <w:lang w:val="es-ES"/>
        </w:rPr>
        <w:t xml:space="preserve"> </w:t>
      </w:r>
      <w:proofErr w:type="spellStart"/>
      <w:r w:rsidRPr="00A90A32">
        <w:rPr>
          <w:highlight w:val="white"/>
          <w:lang w:val="es-ES"/>
        </w:rPr>
        <w:t>school</w:t>
      </w:r>
      <w:proofErr w:type="spellEnd"/>
      <w:r w:rsidRPr="00A90A32">
        <w:rPr>
          <w:lang w:val="es-ES"/>
        </w:rPr>
        <w:t xml:space="preserve">]. </w:t>
      </w:r>
      <w:r w:rsidRPr="00A90A32">
        <w:rPr>
          <w:i/>
          <w:lang w:val="es-ES"/>
        </w:rPr>
        <w:t>Revista Facultad de Ciencias Universidad Nacional de Colombia, 4</w:t>
      </w:r>
      <w:r w:rsidRPr="00A90A32">
        <w:rPr>
          <w:lang w:val="es-ES"/>
        </w:rPr>
        <w:t>(2), 17-42.</w:t>
      </w:r>
      <w:r w:rsidR="00A94359">
        <w:rPr>
          <w:lang w:val="es-ES"/>
        </w:rPr>
        <w:t xml:space="preserve"> </w:t>
      </w:r>
      <w:r w:rsidR="00A94359" w:rsidRPr="00A94359">
        <w:rPr>
          <w:color w:val="000000" w:themeColor="text1"/>
          <w:lang w:val="es-ES"/>
        </w:rPr>
        <w:t xml:space="preserve">DOI: </w:t>
      </w:r>
      <w:hyperlink r:id="rId12" w:history="1">
        <w:r w:rsidR="00A94359" w:rsidRPr="003D021A">
          <w:rPr>
            <w:color w:val="000000" w:themeColor="text1"/>
            <w:bdr w:val="none" w:sz="0" w:space="0" w:color="auto" w:frame="1"/>
            <w:shd w:val="clear" w:color="auto" w:fill="FFFFFF"/>
            <w:lang w:val="es-ES"/>
          </w:rPr>
          <w:t>https://doi.org/10.15446/rev.fac.cienc.v4n2.51437</w:t>
        </w:r>
      </w:hyperlink>
    </w:p>
    <w:p w14:paraId="16EF5191" w14:textId="77777777" w:rsidR="00AD5713" w:rsidRPr="00A90A32" w:rsidRDefault="00DF6095" w:rsidP="00233B16">
      <w:pPr>
        <w:spacing w:line="360" w:lineRule="auto"/>
        <w:ind w:left="720" w:hanging="720"/>
        <w:jc w:val="both"/>
        <w:rPr>
          <w:lang w:val="es-ES"/>
        </w:rPr>
      </w:pPr>
      <w:r w:rsidRPr="00A90A32">
        <w:rPr>
          <w:highlight w:val="white"/>
          <w:lang w:val="es-ES"/>
        </w:rPr>
        <w:t>Consejo Nacional de Humanidades Ciencias y Tecnologías (CONACYT) (2021). Programa especial de ciencia, tecnología e innovación 2021-2024. [</w:t>
      </w:r>
      <w:proofErr w:type="spellStart"/>
      <w:r w:rsidRPr="00A90A32">
        <w:rPr>
          <w:highlight w:val="white"/>
          <w:lang w:val="es-ES"/>
        </w:rPr>
        <w:t>Special</w:t>
      </w:r>
      <w:proofErr w:type="spellEnd"/>
      <w:r w:rsidRPr="00A90A32">
        <w:rPr>
          <w:highlight w:val="white"/>
          <w:lang w:val="es-ES"/>
        </w:rPr>
        <w:t xml:space="preserve"> </w:t>
      </w:r>
      <w:proofErr w:type="spellStart"/>
      <w:r w:rsidRPr="00A90A32">
        <w:rPr>
          <w:highlight w:val="white"/>
          <w:lang w:val="es-ES"/>
        </w:rPr>
        <w:t>science</w:t>
      </w:r>
      <w:proofErr w:type="spellEnd"/>
      <w:r w:rsidRPr="00A90A32">
        <w:rPr>
          <w:highlight w:val="white"/>
          <w:lang w:val="es-ES"/>
        </w:rPr>
        <w:t xml:space="preserve">, </w:t>
      </w:r>
      <w:proofErr w:type="spellStart"/>
      <w:r w:rsidRPr="00A90A32">
        <w:rPr>
          <w:highlight w:val="white"/>
          <w:lang w:val="es-ES"/>
        </w:rPr>
        <w:t>technology</w:t>
      </w:r>
      <w:proofErr w:type="spellEnd"/>
      <w:r w:rsidRPr="00A90A32">
        <w:rPr>
          <w:highlight w:val="white"/>
          <w:lang w:val="es-ES"/>
        </w:rPr>
        <w:t xml:space="preserve"> and </w:t>
      </w:r>
      <w:proofErr w:type="spellStart"/>
      <w:r w:rsidRPr="00A90A32">
        <w:rPr>
          <w:highlight w:val="white"/>
          <w:lang w:val="es-ES"/>
        </w:rPr>
        <w:t>innovation</w:t>
      </w:r>
      <w:proofErr w:type="spellEnd"/>
      <w:r w:rsidRPr="00A90A32">
        <w:rPr>
          <w:highlight w:val="white"/>
          <w:lang w:val="es-ES"/>
        </w:rPr>
        <w:t xml:space="preserve"> </w:t>
      </w:r>
      <w:proofErr w:type="spellStart"/>
      <w:r w:rsidRPr="00A90A32">
        <w:rPr>
          <w:highlight w:val="white"/>
          <w:lang w:val="es-ES"/>
        </w:rPr>
        <w:t>program</w:t>
      </w:r>
      <w:proofErr w:type="spellEnd"/>
      <w:r w:rsidRPr="00A90A32">
        <w:rPr>
          <w:highlight w:val="white"/>
          <w:lang w:val="es-ES"/>
        </w:rPr>
        <w:t xml:space="preserve"> 2021-2024].</w:t>
      </w:r>
    </w:p>
    <w:p w14:paraId="7618E38A" w14:textId="55FD56C1" w:rsidR="00AD5713" w:rsidRPr="00A94359" w:rsidRDefault="00DF6095" w:rsidP="00233B16">
      <w:pPr>
        <w:spacing w:line="360" w:lineRule="auto"/>
        <w:ind w:left="720" w:hanging="720"/>
        <w:jc w:val="both"/>
        <w:rPr>
          <w:color w:val="000000" w:themeColor="text1"/>
          <w:lang w:val="es-ES"/>
        </w:rPr>
      </w:pPr>
      <w:proofErr w:type="spellStart"/>
      <w:r w:rsidRPr="00A90A32">
        <w:rPr>
          <w:lang w:val="es-ES"/>
        </w:rPr>
        <w:t>Dapí</w:t>
      </w:r>
      <w:r w:rsidRPr="00A90A32">
        <w:rPr>
          <w:lang w:val="es-ES"/>
        </w:rPr>
        <w:t>a</w:t>
      </w:r>
      <w:proofErr w:type="spellEnd"/>
      <w:r w:rsidRPr="00A90A32">
        <w:rPr>
          <w:lang w:val="es-ES"/>
        </w:rPr>
        <w:t xml:space="preserve">, M. (2019). ¿Tiene género la ciencia? </w:t>
      </w:r>
      <w:proofErr w:type="gramStart"/>
      <w:r w:rsidRPr="00A90A32">
        <w:rPr>
          <w:lang w:val="es-ES"/>
        </w:rPr>
        <w:t>Conocimientos y actitudes hacia la ciencia en niñas y niños de Educación Primaria [</w:t>
      </w:r>
      <w:proofErr w:type="spellStart"/>
      <w:r w:rsidRPr="00A90A32">
        <w:rPr>
          <w:lang w:val="es-ES"/>
        </w:rPr>
        <w:t>Does</w:t>
      </w:r>
      <w:proofErr w:type="spellEnd"/>
      <w:r w:rsidRPr="00A90A32">
        <w:rPr>
          <w:lang w:val="es-ES"/>
        </w:rPr>
        <w:t xml:space="preserve"> </w:t>
      </w:r>
      <w:proofErr w:type="spellStart"/>
      <w:r w:rsidRPr="00A90A32">
        <w:rPr>
          <w:lang w:val="es-ES"/>
        </w:rPr>
        <w:t>science</w:t>
      </w:r>
      <w:proofErr w:type="spellEnd"/>
      <w:r w:rsidRPr="00A90A32">
        <w:rPr>
          <w:lang w:val="es-ES"/>
        </w:rPr>
        <w:t xml:space="preserve"> </w:t>
      </w:r>
      <w:proofErr w:type="spellStart"/>
      <w:r w:rsidRPr="00A90A32">
        <w:rPr>
          <w:lang w:val="es-ES"/>
        </w:rPr>
        <w:t>have</w:t>
      </w:r>
      <w:proofErr w:type="spellEnd"/>
      <w:r w:rsidRPr="00A90A32">
        <w:rPr>
          <w:lang w:val="es-ES"/>
        </w:rPr>
        <w:t xml:space="preserve"> a </w:t>
      </w:r>
      <w:proofErr w:type="spellStart"/>
      <w:r w:rsidRPr="00A90A32">
        <w:rPr>
          <w:lang w:val="es-ES"/>
        </w:rPr>
        <w:t>gender</w:t>
      </w:r>
      <w:proofErr w:type="spellEnd"/>
      <w:r w:rsidRPr="00A90A32">
        <w:rPr>
          <w:lang w:val="es-ES"/>
        </w:rPr>
        <w:t>?</w:t>
      </w:r>
      <w:proofErr w:type="gramEnd"/>
      <w:r w:rsidRPr="00A90A32">
        <w:rPr>
          <w:lang w:val="es-ES"/>
        </w:rPr>
        <w:t xml:space="preserve"> </w:t>
      </w:r>
      <w:r>
        <w:t xml:space="preserve">Knowledge and attitudes towards science in girls and boys of Primary Education]. </w:t>
      </w:r>
      <w:r w:rsidRPr="00A90A32">
        <w:rPr>
          <w:i/>
          <w:lang w:val="es-ES"/>
        </w:rPr>
        <w:t>Revista Eureka sobre Ens</w:t>
      </w:r>
      <w:r w:rsidRPr="00A90A32">
        <w:rPr>
          <w:i/>
          <w:lang w:val="es-ES"/>
        </w:rPr>
        <w:t>eñanza y Divulgación de las Ciencias, 16</w:t>
      </w:r>
      <w:r w:rsidRPr="00A90A32">
        <w:rPr>
          <w:lang w:val="es-ES"/>
        </w:rPr>
        <w:t>(2).</w:t>
      </w:r>
      <w:r w:rsidR="00A94359">
        <w:rPr>
          <w:lang w:val="es-ES"/>
        </w:rPr>
        <w:t xml:space="preserve"> </w:t>
      </w:r>
    </w:p>
    <w:p w14:paraId="33DE2A5B" w14:textId="35E53906" w:rsidR="00AD5713" w:rsidRDefault="00DF6095" w:rsidP="00233B16">
      <w:pPr>
        <w:spacing w:line="360" w:lineRule="auto"/>
        <w:ind w:left="720" w:hanging="720"/>
        <w:jc w:val="both"/>
      </w:pPr>
      <w:r w:rsidRPr="00A90A32">
        <w:rPr>
          <w:lang w:val="es-ES"/>
        </w:rPr>
        <w:t>Espinosa, A. B. (2021). Caminos y batallas para la equidad en la educación superior mexicana: veinte años de políticas y un desafío latente [</w:t>
      </w:r>
      <w:proofErr w:type="spellStart"/>
      <w:r w:rsidRPr="00A90A32">
        <w:rPr>
          <w:lang w:val="es-ES"/>
        </w:rPr>
        <w:t>Paths</w:t>
      </w:r>
      <w:proofErr w:type="spellEnd"/>
      <w:r w:rsidRPr="00A90A32">
        <w:rPr>
          <w:lang w:val="es-ES"/>
        </w:rPr>
        <w:t xml:space="preserve"> and </w:t>
      </w:r>
      <w:proofErr w:type="spellStart"/>
      <w:r w:rsidRPr="00A90A32">
        <w:rPr>
          <w:lang w:val="es-ES"/>
        </w:rPr>
        <w:t>battles</w:t>
      </w:r>
      <w:proofErr w:type="spellEnd"/>
      <w:r w:rsidRPr="00A90A32">
        <w:rPr>
          <w:lang w:val="es-ES"/>
        </w:rPr>
        <w:t xml:space="preserve"> </w:t>
      </w:r>
      <w:proofErr w:type="spellStart"/>
      <w:r w:rsidRPr="00A90A32">
        <w:rPr>
          <w:lang w:val="es-ES"/>
        </w:rPr>
        <w:t>for</w:t>
      </w:r>
      <w:proofErr w:type="spellEnd"/>
      <w:r w:rsidRPr="00A90A32">
        <w:rPr>
          <w:lang w:val="es-ES"/>
        </w:rPr>
        <w:t xml:space="preserve"> </w:t>
      </w:r>
      <w:proofErr w:type="spellStart"/>
      <w:r w:rsidRPr="00A90A32">
        <w:rPr>
          <w:lang w:val="es-ES"/>
        </w:rPr>
        <w:t>equity</w:t>
      </w:r>
      <w:proofErr w:type="spellEnd"/>
      <w:r w:rsidRPr="00A90A32">
        <w:rPr>
          <w:lang w:val="es-ES"/>
        </w:rPr>
        <w:t xml:space="preserve"> in </w:t>
      </w:r>
      <w:proofErr w:type="spellStart"/>
      <w:r w:rsidRPr="00A90A32">
        <w:rPr>
          <w:lang w:val="es-ES"/>
        </w:rPr>
        <w:t>Mexican</w:t>
      </w:r>
      <w:proofErr w:type="spellEnd"/>
      <w:r w:rsidRPr="00A90A32">
        <w:rPr>
          <w:lang w:val="es-ES"/>
        </w:rPr>
        <w:t xml:space="preserve"> </w:t>
      </w:r>
      <w:proofErr w:type="spellStart"/>
      <w:r w:rsidRPr="00A90A32">
        <w:rPr>
          <w:lang w:val="es-ES"/>
        </w:rPr>
        <w:t>higher</w:t>
      </w:r>
      <w:proofErr w:type="spellEnd"/>
      <w:r w:rsidRPr="00A90A32">
        <w:rPr>
          <w:lang w:val="es-ES"/>
        </w:rPr>
        <w:t xml:space="preserve"> </w:t>
      </w:r>
      <w:proofErr w:type="spellStart"/>
      <w:r w:rsidRPr="00A90A32">
        <w:rPr>
          <w:lang w:val="es-ES"/>
        </w:rPr>
        <w:t>education</w:t>
      </w:r>
      <w:proofErr w:type="spellEnd"/>
      <w:r w:rsidRPr="00A90A32">
        <w:rPr>
          <w:lang w:val="es-ES"/>
        </w:rPr>
        <w:t xml:space="preserve">: </w:t>
      </w:r>
      <w:proofErr w:type="spellStart"/>
      <w:r w:rsidRPr="00A90A32">
        <w:rPr>
          <w:lang w:val="es-ES"/>
        </w:rPr>
        <w:t>twenty</w:t>
      </w:r>
      <w:proofErr w:type="spellEnd"/>
      <w:r w:rsidRPr="00A90A32">
        <w:rPr>
          <w:lang w:val="es-ES"/>
        </w:rPr>
        <w:t xml:space="preserve"> </w:t>
      </w:r>
      <w:proofErr w:type="spellStart"/>
      <w:r w:rsidRPr="00A90A32">
        <w:rPr>
          <w:lang w:val="es-ES"/>
        </w:rPr>
        <w:t>year</w:t>
      </w:r>
      <w:r w:rsidRPr="00A90A32">
        <w:rPr>
          <w:lang w:val="es-ES"/>
        </w:rPr>
        <w:t>s</w:t>
      </w:r>
      <w:proofErr w:type="spellEnd"/>
      <w:r w:rsidRPr="00A90A32">
        <w:rPr>
          <w:lang w:val="es-ES"/>
        </w:rPr>
        <w:t xml:space="preserve"> of </w:t>
      </w:r>
      <w:proofErr w:type="spellStart"/>
      <w:r w:rsidRPr="00A90A32">
        <w:rPr>
          <w:lang w:val="es-ES"/>
        </w:rPr>
        <w:t>policies</w:t>
      </w:r>
      <w:proofErr w:type="spellEnd"/>
      <w:r w:rsidRPr="00A90A32">
        <w:rPr>
          <w:lang w:val="es-ES"/>
        </w:rPr>
        <w:t xml:space="preserve"> and a </w:t>
      </w:r>
      <w:proofErr w:type="spellStart"/>
      <w:r w:rsidRPr="00A90A32">
        <w:rPr>
          <w:lang w:val="es-ES"/>
        </w:rPr>
        <w:t>latent</w:t>
      </w:r>
      <w:proofErr w:type="spellEnd"/>
      <w:r w:rsidRPr="00A90A32">
        <w:rPr>
          <w:lang w:val="es-ES"/>
        </w:rPr>
        <w:t xml:space="preserve"> </w:t>
      </w:r>
      <w:proofErr w:type="spellStart"/>
      <w:r w:rsidRPr="00A90A32">
        <w:rPr>
          <w:lang w:val="es-ES"/>
        </w:rPr>
        <w:t>challenge</w:t>
      </w:r>
      <w:proofErr w:type="spellEnd"/>
      <w:r w:rsidRPr="00A90A32">
        <w:rPr>
          <w:lang w:val="es-ES"/>
        </w:rPr>
        <w:t xml:space="preserve">]. </w:t>
      </w:r>
      <w:r>
        <w:rPr>
          <w:i/>
        </w:rPr>
        <w:t>Higher Education and Society, 33</w:t>
      </w:r>
      <w:r>
        <w:t>(1), 262-295.</w:t>
      </w:r>
      <w:r w:rsidR="0021657C">
        <w:t xml:space="preserve"> </w:t>
      </w:r>
      <w:r w:rsidR="0021657C" w:rsidRPr="0021657C">
        <w:rPr>
          <w:color w:val="000000" w:themeColor="text1"/>
          <w:shd w:val="clear" w:color="auto" w:fill="FFFFFF"/>
        </w:rPr>
        <w:t>DOI: https://doi.org/10.54674/ess.v33i1.397</w:t>
      </w:r>
    </w:p>
    <w:p w14:paraId="6D0BBD3F" w14:textId="4DAC4F7E" w:rsidR="00AD5713" w:rsidRDefault="00DF6095" w:rsidP="00233B16">
      <w:pPr>
        <w:spacing w:line="360" w:lineRule="auto"/>
        <w:ind w:left="720" w:hanging="720"/>
        <w:jc w:val="both"/>
      </w:pPr>
      <w:r>
        <w:t xml:space="preserve">Fouad, N. A., Smith, P. L., </w:t>
      </w:r>
      <w:r w:rsidR="00956853" w:rsidRPr="00956853">
        <w:rPr>
          <w:highlight w:val="white"/>
          <w:lang w:val="en-US"/>
        </w:rPr>
        <w:t xml:space="preserve">&amp; </w:t>
      </w:r>
      <w:proofErr w:type="spellStart"/>
      <w:r>
        <w:t>Enochs</w:t>
      </w:r>
      <w:proofErr w:type="spellEnd"/>
      <w:r>
        <w:t xml:space="preserve">, L. (1997). Reliability and validity evidence for the middle school self-efficacy scale. </w:t>
      </w:r>
      <w:r>
        <w:rPr>
          <w:i/>
        </w:rPr>
        <w:t>M</w:t>
      </w:r>
      <w:r>
        <w:rPr>
          <w:i/>
        </w:rPr>
        <w:t xml:space="preserve">easurement and Evaluation in </w:t>
      </w:r>
      <w:proofErr w:type="spellStart"/>
      <w:r>
        <w:rPr>
          <w:i/>
        </w:rPr>
        <w:t>Counseling</w:t>
      </w:r>
      <w:proofErr w:type="spellEnd"/>
      <w:r>
        <w:rPr>
          <w:i/>
        </w:rPr>
        <w:t xml:space="preserve"> and Development, 30</w:t>
      </w:r>
      <w:r>
        <w:t xml:space="preserve">(1), 17–31. </w:t>
      </w:r>
      <w:r w:rsidR="0021657C">
        <w:t xml:space="preserve">DOI: </w:t>
      </w:r>
      <w:r w:rsidR="0021657C" w:rsidRPr="0021657C">
        <w:t>https://doi.org/10.1080/07481756.1997.12068914</w:t>
      </w:r>
    </w:p>
    <w:p w14:paraId="76681212" w14:textId="5964616A" w:rsidR="00AD5713" w:rsidRDefault="00DF6095" w:rsidP="00233B16">
      <w:pPr>
        <w:spacing w:line="360" w:lineRule="auto"/>
        <w:ind w:left="720" w:hanging="720"/>
        <w:jc w:val="both"/>
      </w:pPr>
      <w:r w:rsidRPr="003D021A">
        <w:rPr>
          <w:highlight w:val="white"/>
          <w:lang w:val="es-ES"/>
        </w:rPr>
        <w:t xml:space="preserve">Gairal-Casadó, R., Garcia-Yestea, C., Novo-Molineroa, M. T., </w:t>
      </w:r>
      <w:r w:rsidR="00956853" w:rsidRPr="003D021A">
        <w:rPr>
          <w:highlight w:val="white"/>
          <w:lang w:val="es-ES"/>
        </w:rPr>
        <w:t xml:space="preserve">&amp; </w:t>
      </w:r>
      <w:r w:rsidRPr="003D021A">
        <w:rPr>
          <w:highlight w:val="white"/>
          <w:lang w:val="es-ES"/>
        </w:rPr>
        <w:t xml:space="preserve">Salvadó-Belartab, Z. (2019). </w:t>
      </w:r>
      <w:r>
        <w:rPr>
          <w:highlight w:val="white"/>
        </w:rPr>
        <w:t>Out of school learning scientific worksho</w:t>
      </w:r>
      <w:r>
        <w:rPr>
          <w:highlight w:val="white"/>
        </w:rPr>
        <w:t xml:space="preserve">ps: Stimulating institutionalized Adolescents' </w:t>
      </w:r>
      <w:r>
        <w:rPr>
          <w:highlight w:val="white"/>
        </w:rPr>
        <w:lastRenderedPageBreak/>
        <w:t xml:space="preserve">educational aspirations. </w:t>
      </w:r>
      <w:r>
        <w:rPr>
          <w:i/>
          <w:highlight w:val="white"/>
        </w:rPr>
        <w:t>Children and Youth Services Review, 103</w:t>
      </w:r>
      <w:r>
        <w:rPr>
          <w:highlight w:val="white"/>
        </w:rPr>
        <w:t>, 116-126.</w:t>
      </w:r>
      <w:r w:rsidR="0021657C">
        <w:t xml:space="preserve"> DOI: </w:t>
      </w:r>
      <w:r w:rsidR="0021657C" w:rsidRPr="0021657C">
        <w:t>https://doi.org/10.1016/j.childyouth.2019.05.037</w:t>
      </w:r>
    </w:p>
    <w:p w14:paraId="118A23DE" w14:textId="0F1DD2AD" w:rsidR="00AD5713" w:rsidRPr="003D021A" w:rsidRDefault="00DF6095" w:rsidP="00233B16">
      <w:pPr>
        <w:spacing w:line="360" w:lineRule="auto"/>
        <w:ind w:left="720" w:hanging="720"/>
        <w:jc w:val="both"/>
      </w:pPr>
      <w:r>
        <w:rPr>
          <w:highlight w:val="white"/>
        </w:rPr>
        <w:t xml:space="preserve">Gerhard, D. M., Meyer, H. C., </w:t>
      </w:r>
      <w:r w:rsidR="00956853" w:rsidRPr="00956853">
        <w:rPr>
          <w:highlight w:val="white"/>
          <w:lang w:val="en-US"/>
        </w:rPr>
        <w:t xml:space="preserve">&amp; </w:t>
      </w:r>
      <w:r>
        <w:rPr>
          <w:highlight w:val="white"/>
        </w:rPr>
        <w:t>Lee, F. S. (2021). An Adolescent Sensitive Perio</w:t>
      </w:r>
      <w:r>
        <w:rPr>
          <w:highlight w:val="white"/>
        </w:rPr>
        <w:t xml:space="preserve">d for Threat Responding: Impacts of Stress and Sex. </w:t>
      </w:r>
      <w:r w:rsidRPr="003D021A">
        <w:rPr>
          <w:i/>
          <w:highlight w:val="white"/>
        </w:rPr>
        <w:t>Biological Psychiatry, 89</w:t>
      </w:r>
      <w:r w:rsidRPr="003D021A">
        <w:rPr>
          <w:highlight w:val="white"/>
        </w:rPr>
        <w:t>, 651–658.</w:t>
      </w:r>
      <w:r w:rsidR="0021657C" w:rsidRPr="003D021A">
        <w:t xml:space="preserve"> DOI: 10.1016/j.biopsych.2020.10.003</w:t>
      </w:r>
    </w:p>
    <w:p w14:paraId="7B8EC1B4" w14:textId="74F3A97A" w:rsidR="00AD5713" w:rsidRPr="00A90A32" w:rsidRDefault="00DF6095" w:rsidP="00233B16">
      <w:pPr>
        <w:spacing w:line="360" w:lineRule="auto"/>
        <w:ind w:left="720" w:hanging="720"/>
        <w:jc w:val="both"/>
        <w:rPr>
          <w:lang w:val="es-ES"/>
        </w:rPr>
      </w:pPr>
      <w:r w:rsidRPr="003D021A">
        <w:rPr>
          <w:highlight w:val="white"/>
        </w:rPr>
        <w:t xml:space="preserve">Herce-Palomares, M. P., Botella-Mascarell, C., de Ves, E., López-Iñesta, E., Forte, A., Benavent, X., </w:t>
      </w:r>
      <w:r w:rsidR="00956853" w:rsidRPr="003D021A">
        <w:rPr>
          <w:highlight w:val="white"/>
        </w:rPr>
        <w:t xml:space="preserve">&amp; </w:t>
      </w:r>
      <w:r w:rsidRPr="003D021A">
        <w:rPr>
          <w:highlight w:val="white"/>
        </w:rPr>
        <w:t xml:space="preserve">Rueda, S. (2022). </w:t>
      </w:r>
      <w:r>
        <w:rPr>
          <w:highlight w:val="white"/>
        </w:rPr>
        <w:t xml:space="preserve">On the Design and Validation of Assessing Tools for Measuring the Impact of Programs Promoting STEM Vocations. </w:t>
      </w:r>
      <w:proofErr w:type="spellStart"/>
      <w:r w:rsidRPr="00A90A32">
        <w:rPr>
          <w:i/>
          <w:highlight w:val="white"/>
          <w:lang w:val="es-ES"/>
        </w:rPr>
        <w:t>Frontiers</w:t>
      </w:r>
      <w:proofErr w:type="spellEnd"/>
      <w:r w:rsidRPr="00A90A32">
        <w:rPr>
          <w:i/>
          <w:highlight w:val="white"/>
          <w:lang w:val="es-ES"/>
        </w:rPr>
        <w:t xml:space="preserve"> in </w:t>
      </w:r>
      <w:proofErr w:type="spellStart"/>
      <w:r w:rsidRPr="00A90A32">
        <w:rPr>
          <w:i/>
          <w:highlight w:val="white"/>
          <w:lang w:val="es-ES"/>
        </w:rPr>
        <w:t>Psychology</w:t>
      </w:r>
      <w:proofErr w:type="spellEnd"/>
      <w:r w:rsidRPr="00A90A32">
        <w:rPr>
          <w:i/>
          <w:highlight w:val="white"/>
          <w:lang w:val="es-ES"/>
        </w:rPr>
        <w:t>, 13</w:t>
      </w:r>
      <w:r w:rsidRPr="00A90A32">
        <w:rPr>
          <w:highlight w:val="white"/>
          <w:lang w:val="es-ES"/>
        </w:rPr>
        <w:t xml:space="preserve">. </w:t>
      </w:r>
      <w:r w:rsidR="0021657C">
        <w:rPr>
          <w:lang w:val="es-ES"/>
        </w:rPr>
        <w:t xml:space="preserve">DOI: </w:t>
      </w:r>
      <w:r w:rsidR="0021657C" w:rsidRPr="0021657C">
        <w:rPr>
          <w:lang w:val="es-ES"/>
        </w:rPr>
        <w:t>https://doi.org/10.3389/fpsyg.2022.937058</w:t>
      </w:r>
    </w:p>
    <w:p w14:paraId="2EAA103A" w14:textId="77777777" w:rsidR="00AD5713" w:rsidRPr="00A90A32" w:rsidRDefault="00DF6095" w:rsidP="00233B16">
      <w:pPr>
        <w:spacing w:line="360" w:lineRule="auto"/>
        <w:ind w:left="720" w:hanging="720"/>
        <w:jc w:val="both"/>
        <w:rPr>
          <w:lang w:val="es-ES"/>
        </w:rPr>
      </w:pPr>
      <w:r w:rsidRPr="00A90A32">
        <w:rPr>
          <w:highlight w:val="white"/>
          <w:lang w:val="es-ES"/>
        </w:rPr>
        <w:t>Instituto Nacional de Estadística y Geografía [INEGI] (2017). Anuario</w:t>
      </w:r>
      <w:r w:rsidRPr="00A90A32">
        <w:rPr>
          <w:highlight w:val="white"/>
          <w:lang w:val="es-ES"/>
        </w:rPr>
        <w:t xml:space="preserve"> estadístico y geográfico de Tlaxcala. México: INEGI [</w:t>
      </w:r>
      <w:proofErr w:type="spellStart"/>
      <w:r w:rsidRPr="00A90A32">
        <w:rPr>
          <w:highlight w:val="white"/>
          <w:lang w:val="es-ES"/>
        </w:rPr>
        <w:t>Statistical</w:t>
      </w:r>
      <w:proofErr w:type="spellEnd"/>
      <w:r w:rsidRPr="00A90A32">
        <w:rPr>
          <w:highlight w:val="white"/>
          <w:lang w:val="es-ES"/>
        </w:rPr>
        <w:t xml:space="preserve"> and </w:t>
      </w:r>
      <w:proofErr w:type="spellStart"/>
      <w:r w:rsidRPr="00A90A32">
        <w:rPr>
          <w:highlight w:val="white"/>
          <w:lang w:val="es-ES"/>
        </w:rPr>
        <w:t>geographic</w:t>
      </w:r>
      <w:proofErr w:type="spellEnd"/>
      <w:r w:rsidRPr="00A90A32">
        <w:rPr>
          <w:highlight w:val="white"/>
          <w:lang w:val="es-ES"/>
        </w:rPr>
        <w:t xml:space="preserve"> </w:t>
      </w:r>
      <w:proofErr w:type="spellStart"/>
      <w:r w:rsidRPr="00A90A32">
        <w:rPr>
          <w:highlight w:val="white"/>
          <w:lang w:val="es-ES"/>
        </w:rPr>
        <w:t>yearbook</w:t>
      </w:r>
      <w:proofErr w:type="spellEnd"/>
      <w:r w:rsidRPr="00A90A32">
        <w:rPr>
          <w:highlight w:val="white"/>
          <w:lang w:val="es-ES"/>
        </w:rPr>
        <w:t xml:space="preserve"> of Tlaxcala. </w:t>
      </w:r>
      <w:proofErr w:type="spellStart"/>
      <w:r w:rsidRPr="00A90A32">
        <w:rPr>
          <w:highlight w:val="white"/>
          <w:lang w:val="es-ES"/>
        </w:rPr>
        <w:t>Mexico</w:t>
      </w:r>
      <w:proofErr w:type="spellEnd"/>
      <w:r w:rsidRPr="00A90A32">
        <w:rPr>
          <w:highlight w:val="white"/>
          <w:lang w:val="es-ES"/>
        </w:rPr>
        <w:t>: INEGI]. Recuperado de</w:t>
      </w:r>
      <w:hyperlink r:id="rId13">
        <w:r w:rsidRPr="00A90A32">
          <w:rPr>
            <w:highlight w:val="white"/>
            <w:lang w:val="es-ES"/>
          </w:rPr>
          <w:t xml:space="preserve"> http://internet.contenidos.inegi.org.mx/contenidos/Productos/prod_serv/contenidos/espanol/bvinegi/productos/nueva_estruc/anuarios_2017/702825096212.pdf</w:t>
        </w:r>
      </w:hyperlink>
    </w:p>
    <w:p w14:paraId="4D3D41E2" w14:textId="77777777" w:rsidR="00AD5713" w:rsidRDefault="00DF6095" w:rsidP="00233B16">
      <w:pPr>
        <w:spacing w:line="360" w:lineRule="auto"/>
        <w:ind w:left="720" w:hanging="720"/>
        <w:jc w:val="both"/>
      </w:pPr>
      <w:r w:rsidRPr="00A90A32">
        <w:rPr>
          <w:highlight w:val="white"/>
          <w:lang w:val="es-ES"/>
        </w:rPr>
        <w:t>Instituto Nacional de Estadística y Geografía [INEGI] (2</w:t>
      </w:r>
      <w:r w:rsidRPr="00A90A32">
        <w:rPr>
          <w:highlight w:val="white"/>
          <w:lang w:val="es-ES"/>
        </w:rPr>
        <w:t xml:space="preserve">020). En Tlaxcala somos 1 342 977 habitantes: censo de población y vivienda 2020 [In Tlaxcala </w:t>
      </w:r>
      <w:proofErr w:type="spellStart"/>
      <w:r w:rsidRPr="00A90A32">
        <w:rPr>
          <w:highlight w:val="white"/>
          <w:lang w:val="es-ES"/>
        </w:rPr>
        <w:t>we</w:t>
      </w:r>
      <w:proofErr w:type="spellEnd"/>
      <w:r w:rsidRPr="00A90A32">
        <w:rPr>
          <w:highlight w:val="white"/>
          <w:lang w:val="es-ES"/>
        </w:rPr>
        <w:t xml:space="preserve"> are 1,342,977 </w:t>
      </w:r>
      <w:proofErr w:type="spellStart"/>
      <w:r w:rsidRPr="00A90A32">
        <w:rPr>
          <w:highlight w:val="white"/>
          <w:lang w:val="es-ES"/>
        </w:rPr>
        <w:t>inhabitants</w:t>
      </w:r>
      <w:proofErr w:type="spellEnd"/>
      <w:r w:rsidRPr="00A90A32">
        <w:rPr>
          <w:highlight w:val="white"/>
          <w:lang w:val="es-ES"/>
        </w:rPr>
        <w:t xml:space="preserve">: </w:t>
      </w:r>
      <w:proofErr w:type="spellStart"/>
      <w:r w:rsidRPr="00A90A32">
        <w:rPr>
          <w:highlight w:val="white"/>
          <w:lang w:val="es-ES"/>
        </w:rPr>
        <w:t>population</w:t>
      </w:r>
      <w:proofErr w:type="spellEnd"/>
      <w:r w:rsidRPr="00A90A32">
        <w:rPr>
          <w:highlight w:val="white"/>
          <w:lang w:val="es-ES"/>
        </w:rPr>
        <w:t xml:space="preserve"> and </w:t>
      </w:r>
      <w:proofErr w:type="spellStart"/>
      <w:r w:rsidRPr="00A90A32">
        <w:rPr>
          <w:highlight w:val="white"/>
          <w:lang w:val="es-ES"/>
        </w:rPr>
        <w:t>housing</w:t>
      </w:r>
      <w:proofErr w:type="spellEnd"/>
      <w:r w:rsidRPr="00A90A32">
        <w:rPr>
          <w:highlight w:val="white"/>
          <w:lang w:val="es-ES"/>
        </w:rPr>
        <w:t xml:space="preserve"> </w:t>
      </w:r>
      <w:proofErr w:type="spellStart"/>
      <w:r w:rsidRPr="00A90A32">
        <w:rPr>
          <w:highlight w:val="white"/>
          <w:lang w:val="es-ES"/>
        </w:rPr>
        <w:t>census</w:t>
      </w:r>
      <w:proofErr w:type="spellEnd"/>
      <w:r w:rsidRPr="00A90A32">
        <w:rPr>
          <w:highlight w:val="white"/>
          <w:lang w:val="es-ES"/>
        </w:rPr>
        <w:t xml:space="preserve"> 2020].  </w:t>
      </w:r>
      <w:r>
        <w:rPr>
          <w:highlight w:val="white"/>
        </w:rPr>
        <w:t xml:space="preserve">Press release, 54(21) 26 </w:t>
      </w:r>
      <w:proofErr w:type="spellStart"/>
      <w:r>
        <w:rPr>
          <w:highlight w:val="white"/>
        </w:rPr>
        <w:t>january</w:t>
      </w:r>
      <w:proofErr w:type="spellEnd"/>
      <w:r>
        <w:rPr>
          <w:highlight w:val="white"/>
        </w:rPr>
        <w:t xml:space="preserve"> 2021. Tlaxcala, </w:t>
      </w:r>
      <w:proofErr w:type="spellStart"/>
      <w:r>
        <w:rPr>
          <w:highlight w:val="white"/>
        </w:rPr>
        <w:t>Tlax</w:t>
      </w:r>
      <w:proofErr w:type="spellEnd"/>
      <w:r>
        <w:rPr>
          <w:highlight w:val="white"/>
        </w:rPr>
        <w:t>, 1-3.</w:t>
      </w:r>
    </w:p>
    <w:p w14:paraId="42155983" w14:textId="3C710FA3" w:rsidR="00AD5713" w:rsidRDefault="00DF6095" w:rsidP="00233B16">
      <w:pPr>
        <w:spacing w:line="360" w:lineRule="auto"/>
        <w:ind w:left="720" w:hanging="720"/>
        <w:jc w:val="both"/>
      </w:pPr>
      <w:r>
        <w:rPr>
          <w:highlight w:val="white"/>
        </w:rPr>
        <w:t xml:space="preserve">Irvin, M. J., Byun, S., </w:t>
      </w:r>
      <w:proofErr w:type="spellStart"/>
      <w:r>
        <w:rPr>
          <w:highlight w:val="white"/>
        </w:rPr>
        <w:t>Meece</w:t>
      </w:r>
      <w:proofErr w:type="spellEnd"/>
      <w:r>
        <w:rPr>
          <w:highlight w:val="white"/>
        </w:rPr>
        <w:t xml:space="preserve">, J. </w:t>
      </w:r>
      <w:r>
        <w:rPr>
          <w:highlight w:val="white"/>
        </w:rPr>
        <w:t xml:space="preserve">L., Farmer, T. W., </w:t>
      </w:r>
      <w:r w:rsidR="00956853" w:rsidRPr="00956853">
        <w:rPr>
          <w:highlight w:val="white"/>
          <w:lang w:val="en-US"/>
        </w:rPr>
        <w:t xml:space="preserve">&amp; </w:t>
      </w:r>
      <w:r>
        <w:rPr>
          <w:highlight w:val="white"/>
        </w:rPr>
        <w:t>Hutchins, B. C. (2012). Educational barriers of rural youth: relation of individual and contextual difference variables.</w:t>
      </w:r>
      <w:r>
        <w:rPr>
          <w:i/>
          <w:highlight w:val="white"/>
        </w:rPr>
        <w:t xml:space="preserve"> Journal of Career Assessment, 20</w:t>
      </w:r>
      <w:r>
        <w:rPr>
          <w:highlight w:val="white"/>
        </w:rPr>
        <w:t>(1), 71-87. DOI: 10.1177/1069072711420105</w:t>
      </w:r>
    </w:p>
    <w:p w14:paraId="4817CB55" w14:textId="47C4222F" w:rsidR="00AD5713" w:rsidRDefault="00DF6095" w:rsidP="00233B16">
      <w:pPr>
        <w:spacing w:line="360" w:lineRule="auto"/>
        <w:ind w:left="720" w:hanging="720"/>
        <w:jc w:val="both"/>
      </w:pPr>
      <w:proofErr w:type="spellStart"/>
      <w:r>
        <w:rPr>
          <w:highlight w:val="white"/>
        </w:rPr>
        <w:t>Kievit</w:t>
      </w:r>
      <w:proofErr w:type="spellEnd"/>
      <w:r>
        <w:rPr>
          <w:highlight w:val="white"/>
        </w:rPr>
        <w:t xml:space="preserve">, R. A. (2020). Sensitive periods </w:t>
      </w:r>
      <w:r>
        <w:rPr>
          <w:highlight w:val="white"/>
        </w:rPr>
        <w:t xml:space="preserve">in cognitive development: a mutualistic perspective. </w:t>
      </w:r>
      <w:r>
        <w:rPr>
          <w:i/>
          <w:highlight w:val="white"/>
        </w:rPr>
        <w:t xml:space="preserve">Current Opinion in </w:t>
      </w:r>
      <w:proofErr w:type="spellStart"/>
      <w:r>
        <w:rPr>
          <w:i/>
          <w:highlight w:val="white"/>
        </w:rPr>
        <w:t>Behavioral</w:t>
      </w:r>
      <w:proofErr w:type="spellEnd"/>
      <w:r>
        <w:rPr>
          <w:i/>
          <w:highlight w:val="white"/>
        </w:rPr>
        <w:t xml:space="preserve"> Sciences, 36</w:t>
      </w:r>
      <w:r>
        <w:rPr>
          <w:highlight w:val="white"/>
        </w:rPr>
        <w:t>, 144-149.</w:t>
      </w:r>
      <w:r w:rsidR="0021657C">
        <w:t xml:space="preserve"> DOI: </w:t>
      </w:r>
      <w:r w:rsidR="0021657C" w:rsidRPr="0021657C">
        <w:t>https://doi.org/10.1016/j.cobeha.2020.10.007</w:t>
      </w:r>
    </w:p>
    <w:p w14:paraId="53E0666D" w14:textId="69A1D680" w:rsidR="00AD5713" w:rsidRPr="00A90A32" w:rsidRDefault="00DF6095" w:rsidP="00233B16">
      <w:pPr>
        <w:spacing w:line="360" w:lineRule="auto"/>
        <w:ind w:left="720" w:hanging="720"/>
        <w:jc w:val="both"/>
        <w:rPr>
          <w:lang w:val="es-ES"/>
        </w:rPr>
      </w:pPr>
      <w:r w:rsidRPr="003D021A">
        <w:rPr>
          <w:lang w:val="es-ES"/>
        </w:rPr>
        <w:t xml:space="preserve">Leal, B. E., Hernández, R., </w:t>
      </w:r>
      <w:r w:rsidR="00956853" w:rsidRPr="003D021A">
        <w:rPr>
          <w:highlight w:val="white"/>
          <w:lang w:val="es-ES"/>
        </w:rPr>
        <w:t xml:space="preserve">&amp; </w:t>
      </w:r>
      <w:r w:rsidRPr="003D021A">
        <w:rPr>
          <w:lang w:val="es-ES"/>
        </w:rPr>
        <w:t xml:space="preserve">Hernández, A. (2014). </w:t>
      </w:r>
      <w:r w:rsidRPr="00A90A32">
        <w:rPr>
          <w:lang w:val="es-ES"/>
        </w:rPr>
        <w:t>Actitudes asociadas a la ciencia en la educación</w:t>
      </w:r>
      <w:r w:rsidRPr="00A90A32">
        <w:rPr>
          <w:lang w:val="es-ES"/>
        </w:rPr>
        <w:t xml:space="preserve"> básica en México [</w:t>
      </w:r>
      <w:proofErr w:type="spellStart"/>
      <w:r w:rsidRPr="00A90A32">
        <w:rPr>
          <w:lang w:val="es-ES"/>
        </w:rPr>
        <w:t>Attitudes</w:t>
      </w:r>
      <w:proofErr w:type="spellEnd"/>
      <w:r w:rsidRPr="00A90A32">
        <w:rPr>
          <w:lang w:val="es-ES"/>
        </w:rPr>
        <w:t xml:space="preserve"> </w:t>
      </w:r>
      <w:proofErr w:type="spellStart"/>
      <w:r w:rsidRPr="00A90A32">
        <w:rPr>
          <w:lang w:val="es-ES"/>
        </w:rPr>
        <w:t>associated</w:t>
      </w:r>
      <w:proofErr w:type="spellEnd"/>
      <w:r w:rsidRPr="00A90A32">
        <w:rPr>
          <w:lang w:val="es-ES"/>
        </w:rPr>
        <w:t xml:space="preserve"> </w:t>
      </w:r>
      <w:proofErr w:type="spellStart"/>
      <w:r w:rsidRPr="00A90A32">
        <w:rPr>
          <w:lang w:val="es-ES"/>
        </w:rPr>
        <w:t>with</w:t>
      </w:r>
      <w:proofErr w:type="spellEnd"/>
      <w:r w:rsidRPr="00A90A32">
        <w:rPr>
          <w:lang w:val="es-ES"/>
        </w:rPr>
        <w:t xml:space="preserve"> </w:t>
      </w:r>
      <w:proofErr w:type="spellStart"/>
      <w:r w:rsidRPr="00A90A32">
        <w:rPr>
          <w:lang w:val="es-ES"/>
        </w:rPr>
        <w:t>science</w:t>
      </w:r>
      <w:proofErr w:type="spellEnd"/>
      <w:r w:rsidRPr="00A90A32">
        <w:rPr>
          <w:lang w:val="es-ES"/>
        </w:rPr>
        <w:t xml:space="preserve"> in </w:t>
      </w:r>
      <w:proofErr w:type="spellStart"/>
      <w:r w:rsidRPr="00A90A32">
        <w:rPr>
          <w:lang w:val="es-ES"/>
        </w:rPr>
        <w:t>basic</w:t>
      </w:r>
      <w:proofErr w:type="spellEnd"/>
      <w:r w:rsidRPr="00A90A32">
        <w:rPr>
          <w:lang w:val="es-ES"/>
        </w:rPr>
        <w:t xml:space="preserve"> </w:t>
      </w:r>
      <w:proofErr w:type="spellStart"/>
      <w:r w:rsidRPr="00A90A32">
        <w:rPr>
          <w:lang w:val="es-ES"/>
        </w:rPr>
        <w:t>education</w:t>
      </w:r>
      <w:proofErr w:type="spellEnd"/>
      <w:r w:rsidRPr="00A90A32">
        <w:rPr>
          <w:lang w:val="es-ES"/>
        </w:rPr>
        <w:t xml:space="preserve"> in </w:t>
      </w:r>
      <w:proofErr w:type="spellStart"/>
      <w:r w:rsidRPr="00A90A32">
        <w:rPr>
          <w:lang w:val="es-ES"/>
        </w:rPr>
        <w:t>Mexico</w:t>
      </w:r>
      <w:proofErr w:type="spellEnd"/>
      <w:r w:rsidRPr="00A90A32">
        <w:rPr>
          <w:lang w:val="es-ES"/>
        </w:rPr>
        <w:t xml:space="preserve">]. </w:t>
      </w:r>
      <w:r w:rsidRPr="00A90A32">
        <w:rPr>
          <w:i/>
          <w:lang w:val="es-ES"/>
        </w:rPr>
        <w:t>Estudios en Ciencias Sociales y Administrativas de la Universidad de Celaya, 4</w:t>
      </w:r>
      <w:r w:rsidRPr="00A90A32">
        <w:rPr>
          <w:lang w:val="es-ES"/>
        </w:rPr>
        <w:t>, 40-57.</w:t>
      </w:r>
    </w:p>
    <w:p w14:paraId="62C648AD" w14:textId="07E8B3FF" w:rsidR="00AD5713" w:rsidRPr="00A90A32" w:rsidRDefault="00DF6095" w:rsidP="00233B16">
      <w:pPr>
        <w:spacing w:line="360" w:lineRule="auto"/>
        <w:ind w:left="720" w:hanging="720"/>
        <w:jc w:val="both"/>
        <w:rPr>
          <w:lang w:val="es-ES"/>
        </w:rPr>
      </w:pPr>
      <w:proofErr w:type="spellStart"/>
      <w:r>
        <w:t>Leisman</w:t>
      </w:r>
      <w:proofErr w:type="spellEnd"/>
      <w:r>
        <w:t xml:space="preserve">, G., </w:t>
      </w:r>
      <w:proofErr w:type="spellStart"/>
      <w:r>
        <w:t>Mualem</w:t>
      </w:r>
      <w:proofErr w:type="spellEnd"/>
      <w:r>
        <w:t xml:space="preserve">, R., </w:t>
      </w:r>
      <w:r w:rsidR="00956853" w:rsidRPr="00956853">
        <w:rPr>
          <w:highlight w:val="white"/>
          <w:lang w:val="en-US"/>
        </w:rPr>
        <w:t xml:space="preserve">&amp; </w:t>
      </w:r>
      <w:proofErr w:type="spellStart"/>
      <w:r>
        <w:t>Mughrabi</w:t>
      </w:r>
      <w:proofErr w:type="spellEnd"/>
      <w:r>
        <w:t>, S. K. (2015). The neurological development of th</w:t>
      </w:r>
      <w:r>
        <w:t xml:space="preserve">e child with the educational enrichment in mind. </w:t>
      </w:r>
      <w:r w:rsidRPr="00A90A32">
        <w:rPr>
          <w:i/>
          <w:lang w:val="es-ES"/>
        </w:rPr>
        <w:t>Psicología Educativa, 21</w:t>
      </w:r>
      <w:r w:rsidRPr="00A90A32">
        <w:rPr>
          <w:lang w:val="es-ES"/>
        </w:rPr>
        <w:t>, 79-96.</w:t>
      </w:r>
      <w:r w:rsidR="00D13F67">
        <w:rPr>
          <w:lang w:val="es-ES"/>
        </w:rPr>
        <w:t xml:space="preserve"> DOI: </w:t>
      </w:r>
      <w:r w:rsidR="00D13F67" w:rsidRPr="00D13F67">
        <w:rPr>
          <w:lang w:val="es-ES"/>
        </w:rPr>
        <w:t>https://doi.org/10.1016/j.pse.2015.08.006</w:t>
      </w:r>
    </w:p>
    <w:p w14:paraId="6BDEEFF5" w14:textId="6CBB70CB" w:rsidR="00AD5713" w:rsidRPr="00A90A32" w:rsidRDefault="00DF6095" w:rsidP="00233B16">
      <w:pPr>
        <w:spacing w:line="360" w:lineRule="auto"/>
        <w:ind w:left="720" w:hanging="720"/>
        <w:jc w:val="both"/>
        <w:rPr>
          <w:lang w:val="es-ES"/>
        </w:rPr>
      </w:pPr>
      <w:r w:rsidRPr="00A53031">
        <w:rPr>
          <w:lang w:val="es-ES"/>
        </w:rPr>
        <w:t xml:space="preserve">León, F. J., </w:t>
      </w:r>
      <w:r w:rsidR="00956853" w:rsidRPr="00956853">
        <w:rPr>
          <w:highlight w:val="white"/>
          <w:lang w:val="es-ES"/>
        </w:rPr>
        <w:t xml:space="preserve">&amp; </w:t>
      </w:r>
      <w:r w:rsidRPr="00A53031">
        <w:rPr>
          <w:lang w:val="es-ES"/>
        </w:rPr>
        <w:t xml:space="preserve">Mora, E. (2010). </w:t>
      </w:r>
      <w:r w:rsidRPr="00A90A32">
        <w:rPr>
          <w:lang w:val="es-ES"/>
        </w:rPr>
        <w:t>Género y vocación científica. Un estudio de caso basado en mecanismos [</w:t>
      </w:r>
      <w:proofErr w:type="spellStart"/>
      <w:r w:rsidRPr="00A90A32">
        <w:rPr>
          <w:lang w:val="es-ES"/>
        </w:rPr>
        <w:t>Gender</w:t>
      </w:r>
      <w:proofErr w:type="spellEnd"/>
      <w:r w:rsidRPr="00A90A32">
        <w:rPr>
          <w:lang w:val="es-ES"/>
        </w:rPr>
        <w:t xml:space="preserve"> and </w:t>
      </w:r>
      <w:proofErr w:type="spellStart"/>
      <w:r w:rsidRPr="00A90A32">
        <w:rPr>
          <w:lang w:val="es-ES"/>
        </w:rPr>
        <w:t>scientific</w:t>
      </w:r>
      <w:proofErr w:type="spellEnd"/>
      <w:r w:rsidRPr="00A90A32">
        <w:rPr>
          <w:lang w:val="es-ES"/>
        </w:rPr>
        <w:t xml:space="preserve"> </w:t>
      </w:r>
      <w:proofErr w:type="spellStart"/>
      <w:r w:rsidRPr="00A90A32">
        <w:rPr>
          <w:lang w:val="es-ES"/>
        </w:rPr>
        <w:t>vocation</w:t>
      </w:r>
      <w:proofErr w:type="spellEnd"/>
      <w:r w:rsidRPr="00A90A32">
        <w:rPr>
          <w:lang w:val="es-ES"/>
        </w:rPr>
        <w:t xml:space="preserve">. A </w:t>
      </w:r>
      <w:proofErr w:type="spellStart"/>
      <w:r w:rsidRPr="00A90A32">
        <w:rPr>
          <w:lang w:val="es-ES"/>
        </w:rPr>
        <w:t>mechanism-based</w:t>
      </w:r>
      <w:proofErr w:type="spellEnd"/>
      <w:r w:rsidRPr="00A90A32">
        <w:rPr>
          <w:lang w:val="es-ES"/>
        </w:rPr>
        <w:t xml:space="preserve"> case </w:t>
      </w:r>
      <w:proofErr w:type="spellStart"/>
      <w:r w:rsidRPr="00A90A32">
        <w:rPr>
          <w:lang w:val="es-ES"/>
        </w:rPr>
        <w:t>study</w:t>
      </w:r>
      <w:proofErr w:type="spellEnd"/>
      <w:r w:rsidRPr="00A90A32">
        <w:rPr>
          <w:lang w:val="es-ES"/>
        </w:rPr>
        <w:t xml:space="preserve">]. </w:t>
      </w:r>
      <w:r w:rsidRPr="00A90A32">
        <w:rPr>
          <w:i/>
          <w:lang w:val="es-ES"/>
        </w:rPr>
        <w:t>Revista Internacional de Sociología, 68</w:t>
      </w:r>
      <w:r w:rsidRPr="00A90A32">
        <w:rPr>
          <w:lang w:val="es-ES"/>
        </w:rPr>
        <w:t>(2), 399-428. DOI:10.3989/ris.2008.06.19 </w:t>
      </w:r>
    </w:p>
    <w:p w14:paraId="62A88569" w14:textId="52D8F890" w:rsidR="00AD5713" w:rsidRPr="00A90A32" w:rsidRDefault="00DF6095" w:rsidP="00233B16">
      <w:pPr>
        <w:spacing w:line="360" w:lineRule="auto"/>
        <w:ind w:left="720" w:hanging="720"/>
        <w:jc w:val="both"/>
        <w:rPr>
          <w:lang w:val="es-ES"/>
        </w:rPr>
      </w:pPr>
      <w:r w:rsidRPr="00A90A32">
        <w:rPr>
          <w:lang w:val="es-ES"/>
        </w:rPr>
        <w:lastRenderedPageBreak/>
        <w:t xml:space="preserve">López, D. C., </w:t>
      </w:r>
      <w:r w:rsidR="00956853" w:rsidRPr="00956853">
        <w:rPr>
          <w:highlight w:val="white"/>
          <w:lang w:val="es-ES"/>
        </w:rPr>
        <w:t xml:space="preserve">&amp; </w:t>
      </w:r>
      <w:r w:rsidRPr="00A90A32">
        <w:rPr>
          <w:lang w:val="es-ES"/>
        </w:rPr>
        <w:t>Obando, N. L. (2018). Habilidades de pensamiento científico en estudiantes de primer grado [</w:t>
      </w:r>
      <w:proofErr w:type="spellStart"/>
      <w:r w:rsidRPr="00A90A32">
        <w:rPr>
          <w:lang w:val="es-ES"/>
        </w:rPr>
        <w:t>Scientific</w:t>
      </w:r>
      <w:proofErr w:type="spellEnd"/>
      <w:r w:rsidRPr="00A90A32">
        <w:rPr>
          <w:lang w:val="es-ES"/>
        </w:rPr>
        <w:t xml:space="preserve"> </w:t>
      </w:r>
      <w:proofErr w:type="spellStart"/>
      <w:r w:rsidRPr="00A90A32">
        <w:rPr>
          <w:lang w:val="es-ES"/>
        </w:rPr>
        <w:t>thinking</w:t>
      </w:r>
      <w:proofErr w:type="spellEnd"/>
      <w:r w:rsidRPr="00A90A32">
        <w:rPr>
          <w:lang w:val="es-ES"/>
        </w:rPr>
        <w:t xml:space="preserve"> </w:t>
      </w:r>
      <w:proofErr w:type="spellStart"/>
      <w:r w:rsidRPr="00A90A32">
        <w:rPr>
          <w:lang w:val="es-ES"/>
        </w:rPr>
        <w:t>skills</w:t>
      </w:r>
      <w:proofErr w:type="spellEnd"/>
      <w:r w:rsidRPr="00A90A32">
        <w:rPr>
          <w:lang w:val="es-ES"/>
        </w:rPr>
        <w:t xml:space="preserve"> in </w:t>
      </w:r>
      <w:proofErr w:type="spellStart"/>
      <w:r w:rsidRPr="00A90A32">
        <w:rPr>
          <w:lang w:val="es-ES"/>
        </w:rPr>
        <w:t>first</w:t>
      </w:r>
      <w:proofErr w:type="spellEnd"/>
      <w:r w:rsidRPr="00A90A32">
        <w:rPr>
          <w:lang w:val="es-ES"/>
        </w:rPr>
        <w:t xml:space="preserve"> grade </w:t>
      </w:r>
      <w:proofErr w:type="spellStart"/>
      <w:r w:rsidRPr="00A90A32">
        <w:rPr>
          <w:lang w:val="es-ES"/>
        </w:rPr>
        <w:t>students</w:t>
      </w:r>
      <w:proofErr w:type="spellEnd"/>
      <w:r w:rsidRPr="00A90A32">
        <w:rPr>
          <w:lang w:val="es-ES"/>
        </w:rPr>
        <w:t xml:space="preserve">].  </w:t>
      </w:r>
      <w:r w:rsidRPr="00A90A32">
        <w:rPr>
          <w:i/>
          <w:lang w:val="es-ES"/>
        </w:rPr>
        <w:t>Revista de la Asociación Colombiana de Ciencias Biológicas, 30</w:t>
      </w:r>
      <w:r w:rsidRPr="00A90A32">
        <w:rPr>
          <w:lang w:val="es-ES"/>
        </w:rPr>
        <w:t>, 52-62.</w:t>
      </w:r>
    </w:p>
    <w:p w14:paraId="7612ED46" w14:textId="560E1CA6" w:rsidR="00AD5713" w:rsidRPr="00A90A32" w:rsidRDefault="00DF6095" w:rsidP="00233B16">
      <w:pPr>
        <w:spacing w:line="360" w:lineRule="auto"/>
        <w:ind w:left="720" w:hanging="720"/>
        <w:jc w:val="both"/>
        <w:rPr>
          <w:lang w:val="es-ES"/>
        </w:rPr>
      </w:pPr>
      <w:proofErr w:type="spellStart"/>
      <w:r w:rsidRPr="00A90A32">
        <w:rPr>
          <w:lang w:val="es-ES"/>
        </w:rPr>
        <w:t>Lupión</w:t>
      </w:r>
      <w:proofErr w:type="spellEnd"/>
      <w:r w:rsidRPr="00A90A32">
        <w:rPr>
          <w:lang w:val="es-ES"/>
        </w:rPr>
        <w:t xml:space="preserve">, T., </w:t>
      </w:r>
      <w:r w:rsidR="00956853" w:rsidRPr="00956853">
        <w:rPr>
          <w:highlight w:val="white"/>
          <w:lang w:val="es-ES"/>
        </w:rPr>
        <w:t xml:space="preserve">&amp; </w:t>
      </w:r>
      <w:r w:rsidRPr="00A90A32">
        <w:rPr>
          <w:lang w:val="es-ES"/>
        </w:rPr>
        <w:t xml:space="preserve">Franco, A. J. (2017). Implicaciones sociales de la ciencia y la tecnología movilizadas en investigaciones STSPS. </w:t>
      </w:r>
      <w:r>
        <w:t xml:space="preserve">La </w:t>
      </w:r>
      <w:proofErr w:type="spellStart"/>
      <w:r>
        <w:t>visión</w:t>
      </w:r>
      <w:proofErr w:type="spellEnd"/>
      <w:r>
        <w:t xml:space="preserve"> del </w:t>
      </w:r>
      <w:proofErr w:type="spellStart"/>
      <w:r>
        <w:t>alumnado</w:t>
      </w:r>
      <w:proofErr w:type="spellEnd"/>
      <w:r>
        <w:t xml:space="preserve"> y del </w:t>
      </w:r>
      <w:proofErr w:type="spellStart"/>
      <w:r>
        <w:t>profesorado</w:t>
      </w:r>
      <w:proofErr w:type="spellEnd"/>
      <w:r>
        <w:t xml:space="preserve"> [Social implications of science and technology mobilized in STSPS research. The vision of students and teachers]. </w:t>
      </w:r>
      <w:r w:rsidRPr="00A90A32">
        <w:rPr>
          <w:lang w:val="es-ES"/>
        </w:rPr>
        <w:t>X Congreso Internacional Sobre Investigación en Didáctica de las Ciencias. </w:t>
      </w:r>
    </w:p>
    <w:p w14:paraId="4F25985B" w14:textId="7151F09B" w:rsidR="00AD5713" w:rsidRDefault="00DF6095" w:rsidP="00233B16">
      <w:pPr>
        <w:spacing w:line="360" w:lineRule="auto"/>
        <w:ind w:left="720" w:hanging="720"/>
        <w:jc w:val="both"/>
      </w:pPr>
      <w:proofErr w:type="spellStart"/>
      <w:r>
        <w:t>McConney</w:t>
      </w:r>
      <w:proofErr w:type="spellEnd"/>
      <w:r>
        <w:t>, A., Oliver, M., Woods‐</w:t>
      </w:r>
      <w:proofErr w:type="spellStart"/>
      <w:r>
        <w:t>McConney</w:t>
      </w:r>
      <w:proofErr w:type="spellEnd"/>
      <w:r>
        <w:t xml:space="preserve">, A., </w:t>
      </w:r>
      <w:r w:rsidR="00956853" w:rsidRPr="00956853">
        <w:rPr>
          <w:highlight w:val="white"/>
          <w:lang w:val="en-US"/>
        </w:rPr>
        <w:t xml:space="preserve">&amp; </w:t>
      </w:r>
      <w:proofErr w:type="spellStart"/>
      <w:r>
        <w:t>Schibe</w:t>
      </w:r>
      <w:r>
        <w:t>ci</w:t>
      </w:r>
      <w:proofErr w:type="spellEnd"/>
      <w:r>
        <w:t xml:space="preserve">, A. (2011). Bridging the Gap? A Comparative, </w:t>
      </w:r>
      <w:proofErr w:type="spellStart"/>
      <w:r>
        <w:t>RetrospectiveAnalysis</w:t>
      </w:r>
      <w:proofErr w:type="spellEnd"/>
      <w:r>
        <w:t xml:space="preserve"> of Science Literacy and Interest in Science </w:t>
      </w:r>
      <w:proofErr w:type="gramStart"/>
      <w:r>
        <w:t>For</w:t>
      </w:r>
      <w:proofErr w:type="gramEnd"/>
      <w:r>
        <w:t xml:space="preserve"> Indigenous and Non‐Indigenous Australian Students. </w:t>
      </w:r>
      <w:r>
        <w:rPr>
          <w:i/>
        </w:rPr>
        <w:t>International Journal of Science Education, 33</w:t>
      </w:r>
      <w:r>
        <w:t>(14), 2017–2035.</w:t>
      </w:r>
      <w:r w:rsidR="00D13F67">
        <w:t xml:space="preserve"> </w:t>
      </w:r>
      <w:r w:rsidR="00D13F67" w:rsidRPr="00D13F67">
        <w:t>DOI:10.1080/09500693.2010.529477</w:t>
      </w:r>
    </w:p>
    <w:p w14:paraId="7052B38C" w14:textId="340AB771" w:rsidR="00AD5713" w:rsidRPr="00D13F67" w:rsidRDefault="00DF6095" w:rsidP="00233B16">
      <w:pPr>
        <w:spacing w:line="360" w:lineRule="auto"/>
        <w:ind w:left="720" w:hanging="720"/>
        <w:jc w:val="both"/>
        <w:rPr>
          <w:lang w:val="es-ES"/>
        </w:rPr>
      </w:pPr>
      <w:r w:rsidRPr="000F5108">
        <w:rPr>
          <w:lang w:val="en-US"/>
        </w:rPr>
        <w:t xml:space="preserve">Molina, M., Carriazo, J., </w:t>
      </w:r>
      <w:r w:rsidR="00956853" w:rsidRPr="000F5108">
        <w:rPr>
          <w:highlight w:val="white"/>
          <w:lang w:val="en-US"/>
        </w:rPr>
        <w:t xml:space="preserve">&amp; </w:t>
      </w:r>
      <w:r w:rsidRPr="000F5108">
        <w:rPr>
          <w:lang w:val="en-US"/>
        </w:rPr>
        <w:t xml:space="preserve">Casas, J. (2013). </w:t>
      </w:r>
      <w:r w:rsidRPr="00A90A32">
        <w:rPr>
          <w:lang w:val="es-ES"/>
        </w:rPr>
        <w:t xml:space="preserve">Estudio transversal de las actitudes hacia la ciencia en estudiantes de grados quinto a undécimo. </w:t>
      </w:r>
      <w:proofErr w:type="spellStart"/>
      <w:r>
        <w:t>Adaptación</w:t>
      </w:r>
      <w:proofErr w:type="spellEnd"/>
      <w:r>
        <w:t xml:space="preserve"> y </w:t>
      </w:r>
      <w:proofErr w:type="spellStart"/>
      <w:r>
        <w:t>aplicación</w:t>
      </w:r>
      <w:proofErr w:type="spellEnd"/>
      <w:r>
        <w:t xml:space="preserve"> de un </w:t>
      </w:r>
      <w:proofErr w:type="spellStart"/>
      <w:r>
        <w:t>instrumento</w:t>
      </w:r>
      <w:proofErr w:type="spellEnd"/>
      <w:r>
        <w:t xml:space="preserve"> para </w:t>
      </w:r>
      <w:proofErr w:type="spellStart"/>
      <w:r>
        <w:t>valorar</w:t>
      </w:r>
      <w:proofErr w:type="spellEnd"/>
      <w:r>
        <w:t xml:space="preserve"> </w:t>
      </w:r>
      <w:proofErr w:type="spellStart"/>
      <w:r>
        <w:t>actitudes</w:t>
      </w:r>
      <w:proofErr w:type="spellEnd"/>
      <w:r>
        <w:t xml:space="preserve"> [Cross-sectional study of attitudes to</w:t>
      </w:r>
      <w:r>
        <w:t xml:space="preserve">wards science in students from grades five to eleven. Adaptation and application of an instrument to assess attitudes.]. </w:t>
      </w:r>
      <w:r w:rsidRPr="003D021A">
        <w:rPr>
          <w:i/>
          <w:lang w:val="en-US"/>
        </w:rPr>
        <w:t>Tecné, Episteme y Didaxis: TED, 1</w:t>
      </w:r>
      <w:r w:rsidRPr="003D021A">
        <w:rPr>
          <w:lang w:val="en-US"/>
        </w:rPr>
        <w:t>, 103-122.</w:t>
      </w:r>
      <w:r w:rsidR="00D13F67" w:rsidRPr="003D021A">
        <w:rPr>
          <w:lang w:val="en-US"/>
        </w:rPr>
        <w:t xml:space="preserve"> </w:t>
      </w:r>
      <w:r w:rsidR="00D13F67" w:rsidRPr="00D13F67">
        <w:rPr>
          <w:lang w:val="es-ES"/>
        </w:rPr>
        <w:t>DOI: https://doi.org/10.17227/01213814.33ted103.122</w:t>
      </w:r>
    </w:p>
    <w:p w14:paraId="2FBEEF8E" w14:textId="495AFBDB" w:rsidR="00AD5713" w:rsidRDefault="00DF6095" w:rsidP="00233B16">
      <w:pPr>
        <w:spacing w:line="360" w:lineRule="auto"/>
        <w:ind w:left="720" w:hanging="720"/>
        <w:jc w:val="both"/>
      </w:pPr>
      <w:r w:rsidRPr="00956853">
        <w:rPr>
          <w:lang w:val="es-ES"/>
        </w:rPr>
        <w:t xml:space="preserve">Oh, Y. J., Jia, Y., </w:t>
      </w:r>
      <w:proofErr w:type="spellStart"/>
      <w:r w:rsidRPr="00956853">
        <w:rPr>
          <w:lang w:val="es-ES"/>
        </w:rPr>
        <w:t>Lorentson</w:t>
      </w:r>
      <w:proofErr w:type="spellEnd"/>
      <w:r w:rsidRPr="00956853">
        <w:rPr>
          <w:lang w:val="es-ES"/>
        </w:rPr>
        <w:t xml:space="preserve">, M., </w:t>
      </w:r>
      <w:r w:rsidR="00956853" w:rsidRPr="00956853">
        <w:rPr>
          <w:highlight w:val="white"/>
          <w:lang w:val="es-ES"/>
        </w:rPr>
        <w:t xml:space="preserve">&amp; </w:t>
      </w:r>
      <w:proofErr w:type="spellStart"/>
      <w:r w:rsidRPr="00956853">
        <w:rPr>
          <w:lang w:val="es-ES"/>
        </w:rPr>
        <w:t>La</w:t>
      </w:r>
      <w:r w:rsidRPr="00956853">
        <w:rPr>
          <w:lang w:val="es-ES"/>
        </w:rPr>
        <w:t>Banca</w:t>
      </w:r>
      <w:proofErr w:type="spellEnd"/>
      <w:r w:rsidRPr="00956853">
        <w:rPr>
          <w:lang w:val="es-ES"/>
        </w:rPr>
        <w:t xml:space="preserve">, F. (2013). </w:t>
      </w:r>
      <w:r>
        <w:t xml:space="preserve">Development of the Educational and Career Interest Scale in Science, Technology, and Mathematics for High School Students. </w:t>
      </w:r>
      <w:r>
        <w:rPr>
          <w:i/>
        </w:rPr>
        <w:t>Journal of Science Education and Technology, 22</w:t>
      </w:r>
      <w:r>
        <w:t>(5), 780-790. DOI: 10.1007/s10956-012-9430-8</w:t>
      </w:r>
    </w:p>
    <w:p w14:paraId="4AF8F16D" w14:textId="77777777" w:rsidR="00AD5713" w:rsidRDefault="00DF6095" w:rsidP="00233B16">
      <w:pPr>
        <w:spacing w:line="360" w:lineRule="auto"/>
        <w:ind w:left="720" w:hanging="720"/>
        <w:jc w:val="both"/>
      </w:pPr>
      <w:r>
        <w:t xml:space="preserve">Organisation for Economic Co-operation and Development [OECD] (2018). </w:t>
      </w:r>
      <w:r w:rsidRPr="00A90A32">
        <w:rPr>
          <w:i/>
          <w:lang w:val="es-ES"/>
        </w:rPr>
        <w:t>Programa para la Evaluación Internacional de Alumnos (PISA). Resultados [</w:t>
      </w:r>
      <w:proofErr w:type="spellStart"/>
      <w:r w:rsidRPr="00A90A32">
        <w:rPr>
          <w:i/>
          <w:lang w:val="es-ES"/>
        </w:rPr>
        <w:t>Program</w:t>
      </w:r>
      <w:proofErr w:type="spellEnd"/>
      <w:r w:rsidRPr="00A90A32">
        <w:rPr>
          <w:i/>
          <w:lang w:val="es-ES"/>
        </w:rPr>
        <w:t xml:space="preserve"> </w:t>
      </w:r>
      <w:proofErr w:type="spellStart"/>
      <w:r w:rsidRPr="00A90A32">
        <w:rPr>
          <w:i/>
          <w:lang w:val="es-ES"/>
        </w:rPr>
        <w:t>for</w:t>
      </w:r>
      <w:proofErr w:type="spellEnd"/>
      <w:r w:rsidRPr="00A90A32">
        <w:rPr>
          <w:i/>
          <w:lang w:val="es-ES"/>
        </w:rPr>
        <w:t xml:space="preserve"> International </w:t>
      </w:r>
      <w:proofErr w:type="spellStart"/>
      <w:r w:rsidRPr="00A90A32">
        <w:rPr>
          <w:i/>
          <w:lang w:val="es-ES"/>
        </w:rPr>
        <w:t>Student</w:t>
      </w:r>
      <w:proofErr w:type="spellEnd"/>
      <w:r w:rsidRPr="00A90A32">
        <w:rPr>
          <w:i/>
          <w:lang w:val="es-ES"/>
        </w:rPr>
        <w:t xml:space="preserve"> </w:t>
      </w:r>
      <w:proofErr w:type="spellStart"/>
      <w:r w:rsidRPr="00A90A32">
        <w:rPr>
          <w:i/>
          <w:lang w:val="es-ES"/>
        </w:rPr>
        <w:t>Assessment</w:t>
      </w:r>
      <w:proofErr w:type="spellEnd"/>
      <w:r w:rsidRPr="00A90A32">
        <w:rPr>
          <w:i/>
          <w:lang w:val="es-ES"/>
        </w:rPr>
        <w:t xml:space="preserve"> (PISA). </w:t>
      </w:r>
      <w:r>
        <w:rPr>
          <w:i/>
        </w:rPr>
        <w:t>Results]</w:t>
      </w:r>
      <w:r>
        <w:t>. http://www.oecd.org/pisa/publications/PISA2018_CN_</w:t>
      </w:r>
      <w:r>
        <w:t>MEX_Spanish.pdf.</w:t>
      </w:r>
    </w:p>
    <w:p w14:paraId="4B52D071" w14:textId="25044206" w:rsidR="00AD5713" w:rsidRDefault="00DF6095" w:rsidP="00233B16">
      <w:pPr>
        <w:spacing w:line="360" w:lineRule="auto"/>
        <w:ind w:left="720" w:hanging="720"/>
        <w:jc w:val="both"/>
      </w:pPr>
      <w:r w:rsidRPr="00956853">
        <w:rPr>
          <w:lang w:val="es-ES"/>
        </w:rPr>
        <w:t xml:space="preserve">Paños, E., </w:t>
      </w:r>
      <w:r w:rsidR="00956853" w:rsidRPr="00956853">
        <w:rPr>
          <w:highlight w:val="white"/>
          <w:lang w:val="es-ES"/>
        </w:rPr>
        <w:t xml:space="preserve">&amp; </w:t>
      </w:r>
      <w:r w:rsidRPr="00956853">
        <w:rPr>
          <w:lang w:val="es-ES"/>
        </w:rPr>
        <w:t xml:space="preserve">Ruiz-Gallardo, J. R., (2021). </w:t>
      </w:r>
      <w:r>
        <w:t>Attitude toward informal science in the early years and development of Leisure Time in Science (</w:t>
      </w:r>
      <w:proofErr w:type="spellStart"/>
      <w:r>
        <w:t>LeTiS</w:t>
      </w:r>
      <w:proofErr w:type="spellEnd"/>
      <w:r>
        <w:t xml:space="preserve">), a pictographic scale. </w:t>
      </w:r>
      <w:r>
        <w:rPr>
          <w:i/>
        </w:rPr>
        <w:t>Journal of Research in Science Teaching, 58</w:t>
      </w:r>
      <w:r>
        <w:t>(5), 689-720.</w:t>
      </w:r>
      <w:r w:rsidR="00D13F67">
        <w:t xml:space="preserve"> DOI: </w:t>
      </w:r>
      <w:r w:rsidR="00D13F67" w:rsidRPr="00D13F67">
        <w:t>https://doi.org/10.1002/tea.21675</w:t>
      </w:r>
    </w:p>
    <w:p w14:paraId="431363D4" w14:textId="4872146F" w:rsidR="00AD5713" w:rsidRPr="00A90A32" w:rsidRDefault="00DF6095" w:rsidP="00233B16">
      <w:pPr>
        <w:spacing w:line="360" w:lineRule="auto"/>
        <w:ind w:left="720" w:hanging="720"/>
        <w:jc w:val="both"/>
        <w:rPr>
          <w:lang w:val="es-ES"/>
        </w:rPr>
      </w:pPr>
      <w:r w:rsidRPr="003D021A">
        <w:rPr>
          <w:lang w:val="es-ES"/>
        </w:rPr>
        <w:t xml:space="preserve">Pelcastre, L., Gómez, A. R., </w:t>
      </w:r>
      <w:r w:rsidR="00956853" w:rsidRPr="003D021A">
        <w:rPr>
          <w:highlight w:val="white"/>
          <w:lang w:val="es-ES"/>
        </w:rPr>
        <w:t xml:space="preserve">&amp; </w:t>
      </w:r>
      <w:r w:rsidRPr="003D021A">
        <w:rPr>
          <w:lang w:val="es-ES"/>
        </w:rPr>
        <w:t xml:space="preserve">Zavala, G., (2015). </w:t>
      </w:r>
      <w:r w:rsidRPr="00A90A32">
        <w:rPr>
          <w:lang w:val="es-ES"/>
        </w:rPr>
        <w:t>Actitudes hacia la ciencia de estudiantes de educación preuniversitaria del centro de México [</w:t>
      </w:r>
      <w:proofErr w:type="spellStart"/>
      <w:r w:rsidRPr="00A90A32">
        <w:rPr>
          <w:lang w:val="es-ES"/>
        </w:rPr>
        <w:t>Attitudes</w:t>
      </w:r>
      <w:proofErr w:type="spellEnd"/>
      <w:r w:rsidRPr="00A90A32">
        <w:rPr>
          <w:lang w:val="es-ES"/>
        </w:rPr>
        <w:t xml:space="preserve"> </w:t>
      </w:r>
      <w:proofErr w:type="spellStart"/>
      <w:r w:rsidRPr="00A90A32">
        <w:rPr>
          <w:lang w:val="es-ES"/>
        </w:rPr>
        <w:t>towards</w:t>
      </w:r>
      <w:proofErr w:type="spellEnd"/>
      <w:r w:rsidRPr="00A90A32">
        <w:rPr>
          <w:lang w:val="es-ES"/>
        </w:rPr>
        <w:t xml:space="preserve"> </w:t>
      </w:r>
      <w:proofErr w:type="spellStart"/>
      <w:r w:rsidRPr="00A90A32">
        <w:rPr>
          <w:lang w:val="es-ES"/>
        </w:rPr>
        <w:t>science</w:t>
      </w:r>
      <w:proofErr w:type="spellEnd"/>
      <w:r w:rsidRPr="00A90A32">
        <w:rPr>
          <w:lang w:val="es-ES"/>
        </w:rPr>
        <w:t xml:space="preserve"> of pre-</w:t>
      </w:r>
      <w:proofErr w:type="spellStart"/>
      <w:r w:rsidRPr="00A90A32">
        <w:rPr>
          <w:lang w:val="es-ES"/>
        </w:rPr>
        <w:t>university</w:t>
      </w:r>
      <w:proofErr w:type="spellEnd"/>
      <w:r w:rsidRPr="00A90A32">
        <w:rPr>
          <w:lang w:val="es-ES"/>
        </w:rPr>
        <w:t xml:space="preserve"> </w:t>
      </w:r>
      <w:proofErr w:type="spellStart"/>
      <w:r w:rsidRPr="00A90A32">
        <w:rPr>
          <w:lang w:val="es-ES"/>
        </w:rPr>
        <w:t>education</w:t>
      </w:r>
      <w:proofErr w:type="spellEnd"/>
      <w:r w:rsidRPr="00A90A32">
        <w:rPr>
          <w:lang w:val="es-ES"/>
        </w:rPr>
        <w:t xml:space="preserve"> </w:t>
      </w:r>
      <w:proofErr w:type="spellStart"/>
      <w:r w:rsidRPr="00A90A32">
        <w:rPr>
          <w:lang w:val="es-ES"/>
        </w:rPr>
        <w:t>students</w:t>
      </w:r>
      <w:proofErr w:type="spellEnd"/>
      <w:r w:rsidRPr="00A90A32">
        <w:rPr>
          <w:lang w:val="es-ES"/>
        </w:rPr>
        <w:t xml:space="preserve"> </w:t>
      </w:r>
      <w:proofErr w:type="spellStart"/>
      <w:r w:rsidRPr="00A90A32">
        <w:rPr>
          <w:lang w:val="es-ES"/>
        </w:rPr>
        <w:t>from</w:t>
      </w:r>
      <w:proofErr w:type="spellEnd"/>
      <w:r w:rsidRPr="00A90A32">
        <w:rPr>
          <w:lang w:val="es-ES"/>
        </w:rPr>
        <w:t xml:space="preserve"> central </w:t>
      </w:r>
      <w:proofErr w:type="spellStart"/>
      <w:r w:rsidRPr="00A90A32">
        <w:rPr>
          <w:lang w:val="es-ES"/>
        </w:rPr>
        <w:t>Mexico</w:t>
      </w:r>
      <w:proofErr w:type="spellEnd"/>
      <w:r w:rsidRPr="00A90A32">
        <w:rPr>
          <w:lang w:val="es-ES"/>
        </w:rPr>
        <w:t xml:space="preserve">]. </w:t>
      </w:r>
      <w:r w:rsidRPr="00A90A32">
        <w:rPr>
          <w:i/>
          <w:lang w:val="es-ES"/>
        </w:rPr>
        <w:t>Revista Eureka sobre Enseñanza y Divulgación de las Ciencias, 12</w:t>
      </w:r>
      <w:r w:rsidRPr="00A90A32">
        <w:rPr>
          <w:lang w:val="es-ES"/>
        </w:rPr>
        <w:t>(3), 475-490.</w:t>
      </w:r>
    </w:p>
    <w:p w14:paraId="59E9A19E" w14:textId="77777777" w:rsidR="00AD5713" w:rsidRPr="00A90A32" w:rsidRDefault="00DF6095" w:rsidP="00233B16">
      <w:pPr>
        <w:spacing w:line="360" w:lineRule="auto"/>
        <w:ind w:left="720" w:hanging="720"/>
        <w:jc w:val="both"/>
        <w:rPr>
          <w:lang w:val="es-ES"/>
        </w:rPr>
      </w:pPr>
      <w:r w:rsidRPr="00A90A32">
        <w:rPr>
          <w:lang w:val="es-ES"/>
        </w:rPr>
        <w:lastRenderedPageBreak/>
        <w:t xml:space="preserve">Rivera, M. (2015). Rendimiento escolar, crianza, origen étnico y </w:t>
      </w:r>
      <w:proofErr w:type="spellStart"/>
      <w:r w:rsidRPr="00A90A32">
        <w:rPr>
          <w:lang w:val="es-ES"/>
        </w:rPr>
        <w:t>agentividad</w:t>
      </w:r>
      <w:proofErr w:type="spellEnd"/>
      <w:r w:rsidRPr="00A90A32">
        <w:rPr>
          <w:lang w:val="es-ES"/>
        </w:rPr>
        <w:t>. [</w:t>
      </w:r>
      <w:proofErr w:type="spellStart"/>
      <w:r w:rsidRPr="00A90A32">
        <w:rPr>
          <w:lang w:val="es-ES"/>
        </w:rPr>
        <w:t>Educational</w:t>
      </w:r>
      <w:proofErr w:type="spellEnd"/>
      <w:r w:rsidRPr="00A90A32">
        <w:rPr>
          <w:lang w:val="es-ES"/>
        </w:rPr>
        <w:t xml:space="preserve"> Performance, </w:t>
      </w:r>
      <w:proofErr w:type="spellStart"/>
      <w:r w:rsidRPr="00A90A32">
        <w:rPr>
          <w:lang w:val="es-ES"/>
        </w:rPr>
        <w:t>upbringing</w:t>
      </w:r>
      <w:proofErr w:type="spellEnd"/>
      <w:r w:rsidRPr="00A90A32">
        <w:rPr>
          <w:lang w:val="es-ES"/>
        </w:rPr>
        <w:t xml:space="preserve">, </w:t>
      </w:r>
      <w:proofErr w:type="spellStart"/>
      <w:r w:rsidRPr="00A90A32">
        <w:rPr>
          <w:lang w:val="es-ES"/>
        </w:rPr>
        <w:t>ethnic</w:t>
      </w:r>
      <w:proofErr w:type="spellEnd"/>
      <w:r w:rsidRPr="00A90A32">
        <w:rPr>
          <w:lang w:val="es-ES"/>
        </w:rPr>
        <w:t xml:space="preserve"> </w:t>
      </w:r>
      <w:proofErr w:type="spellStart"/>
      <w:r w:rsidRPr="00A90A32">
        <w:rPr>
          <w:lang w:val="es-ES"/>
        </w:rPr>
        <w:t>origin</w:t>
      </w:r>
      <w:proofErr w:type="spellEnd"/>
      <w:r w:rsidRPr="00A90A32">
        <w:rPr>
          <w:lang w:val="es-ES"/>
        </w:rPr>
        <w:t xml:space="preserve"> and </w:t>
      </w:r>
      <w:proofErr w:type="spellStart"/>
      <w:r w:rsidRPr="00A90A32">
        <w:rPr>
          <w:lang w:val="es-ES"/>
        </w:rPr>
        <w:t>agentivity</w:t>
      </w:r>
      <w:proofErr w:type="spellEnd"/>
      <w:r w:rsidRPr="00A90A32">
        <w:rPr>
          <w:lang w:val="es-ES"/>
        </w:rPr>
        <w:t xml:space="preserve">]. </w:t>
      </w:r>
      <w:r w:rsidRPr="00A90A32">
        <w:rPr>
          <w:i/>
          <w:lang w:val="es-ES"/>
        </w:rPr>
        <w:t>Integración Académica en Psicol</w:t>
      </w:r>
      <w:r w:rsidRPr="00A90A32">
        <w:rPr>
          <w:i/>
          <w:lang w:val="es-ES"/>
        </w:rPr>
        <w:t>ogía, 3</w:t>
      </w:r>
      <w:r w:rsidRPr="00A90A32">
        <w:rPr>
          <w:lang w:val="es-ES"/>
        </w:rPr>
        <w:t>(9), 48-56</w:t>
      </w:r>
    </w:p>
    <w:p w14:paraId="72EA0FEC" w14:textId="53B01296" w:rsidR="00AD5713" w:rsidRPr="00A90A32" w:rsidRDefault="00DF6095" w:rsidP="00233B16">
      <w:pPr>
        <w:spacing w:line="360" w:lineRule="auto"/>
        <w:ind w:left="720" w:hanging="720"/>
        <w:jc w:val="both"/>
        <w:rPr>
          <w:lang w:val="es-ES"/>
        </w:rPr>
      </w:pPr>
      <w:r w:rsidRPr="000F5108">
        <w:rPr>
          <w:lang w:val="es-ES"/>
        </w:rPr>
        <w:t xml:space="preserve">Rocha, M., Massarani, L., </w:t>
      </w:r>
      <w:r w:rsidR="00956853" w:rsidRPr="000F5108">
        <w:rPr>
          <w:highlight w:val="white"/>
          <w:lang w:val="es-ES"/>
        </w:rPr>
        <w:t xml:space="preserve">&amp; </w:t>
      </w:r>
      <w:r w:rsidRPr="000F5108">
        <w:rPr>
          <w:lang w:val="es-ES"/>
        </w:rPr>
        <w:t xml:space="preserve">Pedersol, C. (2017). </w:t>
      </w:r>
      <w:r w:rsidRPr="00A90A32">
        <w:rPr>
          <w:lang w:val="es-ES"/>
        </w:rPr>
        <w:t>La divulgación de la ciencia en América Latina: términos, definiciones y campo académico [</w:t>
      </w:r>
      <w:proofErr w:type="spellStart"/>
      <w:r w:rsidRPr="00A90A32">
        <w:rPr>
          <w:lang w:val="es-ES"/>
        </w:rPr>
        <w:t>The</w:t>
      </w:r>
      <w:proofErr w:type="spellEnd"/>
      <w:r w:rsidRPr="00A90A32">
        <w:rPr>
          <w:lang w:val="es-ES"/>
        </w:rPr>
        <w:t xml:space="preserve"> </w:t>
      </w:r>
      <w:proofErr w:type="spellStart"/>
      <w:r w:rsidRPr="00A90A32">
        <w:rPr>
          <w:lang w:val="es-ES"/>
        </w:rPr>
        <w:t>dissemination</w:t>
      </w:r>
      <w:proofErr w:type="spellEnd"/>
      <w:r w:rsidRPr="00A90A32">
        <w:rPr>
          <w:lang w:val="es-ES"/>
        </w:rPr>
        <w:t xml:space="preserve"> of </w:t>
      </w:r>
      <w:proofErr w:type="spellStart"/>
      <w:r w:rsidRPr="00A90A32">
        <w:rPr>
          <w:lang w:val="es-ES"/>
        </w:rPr>
        <w:t>science</w:t>
      </w:r>
      <w:proofErr w:type="spellEnd"/>
      <w:r w:rsidRPr="00A90A32">
        <w:rPr>
          <w:lang w:val="es-ES"/>
        </w:rPr>
        <w:t xml:space="preserve"> in </w:t>
      </w:r>
      <w:proofErr w:type="spellStart"/>
      <w:r w:rsidRPr="00A90A32">
        <w:rPr>
          <w:lang w:val="es-ES"/>
        </w:rPr>
        <w:t>Latin</w:t>
      </w:r>
      <w:proofErr w:type="spellEnd"/>
      <w:r w:rsidRPr="00A90A32">
        <w:rPr>
          <w:lang w:val="es-ES"/>
        </w:rPr>
        <w:t xml:space="preserve"> </w:t>
      </w:r>
      <w:proofErr w:type="spellStart"/>
      <w:r w:rsidRPr="00A90A32">
        <w:rPr>
          <w:lang w:val="es-ES"/>
        </w:rPr>
        <w:t>America</w:t>
      </w:r>
      <w:proofErr w:type="spellEnd"/>
      <w:r w:rsidRPr="00A90A32">
        <w:rPr>
          <w:lang w:val="es-ES"/>
        </w:rPr>
        <w:t xml:space="preserve">: </w:t>
      </w:r>
      <w:proofErr w:type="spellStart"/>
      <w:r w:rsidRPr="00A90A32">
        <w:rPr>
          <w:lang w:val="es-ES"/>
        </w:rPr>
        <w:t>terms</w:t>
      </w:r>
      <w:proofErr w:type="spellEnd"/>
      <w:r w:rsidRPr="00A90A32">
        <w:rPr>
          <w:lang w:val="es-ES"/>
        </w:rPr>
        <w:t xml:space="preserve">, </w:t>
      </w:r>
      <w:proofErr w:type="spellStart"/>
      <w:r w:rsidRPr="00A90A32">
        <w:rPr>
          <w:lang w:val="es-ES"/>
        </w:rPr>
        <w:t>definitions</w:t>
      </w:r>
      <w:proofErr w:type="spellEnd"/>
      <w:r w:rsidRPr="00A90A32">
        <w:rPr>
          <w:lang w:val="es-ES"/>
        </w:rPr>
        <w:t xml:space="preserve"> and </w:t>
      </w:r>
      <w:proofErr w:type="spellStart"/>
      <w:r w:rsidRPr="00A90A32">
        <w:rPr>
          <w:lang w:val="es-ES"/>
        </w:rPr>
        <w:t>academic</w:t>
      </w:r>
      <w:proofErr w:type="spellEnd"/>
      <w:r w:rsidRPr="00A90A32">
        <w:rPr>
          <w:lang w:val="es-ES"/>
        </w:rPr>
        <w:t xml:space="preserve"> </w:t>
      </w:r>
      <w:proofErr w:type="spellStart"/>
      <w:r w:rsidRPr="00A90A32">
        <w:rPr>
          <w:lang w:val="es-ES"/>
        </w:rPr>
        <w:t>field</w:t>
      </w:r>
      <w:proofErr w:type="spellEnd"/>
      <w:r w:rsidRPr="00A90A32">
        <w:rPr>
          <w:lang w:val="es-ES"/>
        </w:rPr>
        <w:t xml:space="preserve">]. In L. </w:t>
      </w:r>
      <w:proofErr w:type="spellStart"/>
      <w:r w:rsidRPr="00A90A32">
        <w:rPr>
          <w:lang w:val="es-ES"/>
        </w:rPr>
        <w:t>Massar</w:t>
      </w:r>
      <w:r w:rsidRPr="00A90A32">
        <w:rPr>
          <w:lang w:val="es-ES"/>
        </w:rPr>
        <w:t>ani</w:t>
      </w:r>
      <w:proofErr w:type="spellEnd"/>
      <w:r w:rsidRPr="00A90A32">
        <w:rPr>
          <w:lang w:val="es-ES"/>
        </w:rPr>
        <w:t xml:space="preserve">, </w:t>
      </w:r>
      <w:r w:rsidR="003E18C0" w:rsidRPr="003E18C0">
        <w:rPr>
          <w:highlight w:val="white"/>
          <w:lang w:val="es-ES"/>
        </w:rPr>
        <w:t>and</w:t>
      </w:r>
      <w:r w:rsidRPr="00A90A32">
        <w:rPr>
          <w:lang w:val="es-ES"/>
        </w:rPr>
        <w:t xml:space="preserve"> M. Rocha (</w:t>
      </w:r>
      <w:proofErr w:type="spellStart"/>
      <w:r w:rsidRPr="00A90A32">
        <w:rPr>
          <w:lang w:val="es-ES"/>
        </w:rPr>
        <w:t>Eds</w:t>
      </w:r>
      <w:proofErr w:type="spellEnd"/>
      <w:r w:rsidRPr="00A90A32">
        <w:rPr>
          <w:lang w:val="es-ES"/>
        </w:rPr>
        <w:t xml:space="preserve">) </w:t>
      </w:r>
      <w:r w:rsidRPr="00A90A32">
        <w:rPr>
          <w:i/>
          <w:lang w:val="es-ES"/>
        </w:rPr>
        <w:t>Aproximaciones a la investigación en divulgación de la ciencia en América Latina a partir de sus artículos académicos [</w:t>
      </w:r>
      <w:proofErr w:type="spellStart"/>
      <w:r w:rsidRPr="00A90A32">
        <w:rPr>
          <w:i/>
          <w:lang w:val="es-ES"/>
        </w:rPr>
        <w:t>Approaches</w:t>
      </w:r>
      <w:proofErr w:type="spellEnd"/>
      <w:r w:rsidRPr="00A90A32">
        <w:rPr>
          <w:i/>
          <w:lang w:val="es-ES"/>
        </w:rPr>
        <w:t xml:space="preserve"> to </w:t>
      </w:r>
      <w:proofErr w:type="spellStart"/>
      <w:r w:rsidRPr="00A90A32">
        <w:rPr>
          <w:i/>
          <w:lang w:val="es-ES"/>
        </w:rPr>
        <w:t>research</w:t>
      </w:r>
      <w:proofErr w:type="spellEnd"/>
      <w:r w:rsidRPr="00A90A32">
        <w:rPr>
          <w:i/>
          <w:lang w:val="es-ES"/>
        </w:rPr>
        <w:t xml:space="preserve"> in </w:t>
      </w:r>
      <w:proofErr w:type="spellStart"/>
      <w:r w:rsidRPr="00A90A32">
        <w:rPr>
          <w:i/>
          <w:lang w:val="es-ES"/>
        </w:rPr>
        <w:t>the</w:t>
      </w:r>
      <w:proofErr w:type="spellEnd"/>
      <w:r w:rsidRPr="00A90A32">
        <w:rPr>
          <w:i/>
          <w:lang w:val="es-ES"/>
        </w:rPr>
        <w:t xml:space="preserve"> </w:t>
      </w:r>
      <w:proofErr w:type="spellStart"/>
      <w:r w:rsidRPr="00A90A32">
        <w:rPr>
          <w:i/>
          <w:lang w:val="es-ES"/>
        </w:rPr>
        <w:t>dissemination</w:t>
      </w:r>
      <w:proofErr w:type="spellEnd"/>
      <w:r w:rsidRPr="00A90A32">
        <w:rPr>
          <w:i/>
          <w:lang w:val="es-ES"/>
        </w:rPr>
        <w:t xml:space="preserve"> of </w:t>
      </w:r>
      <w:proofErr w:type="spellStart"/>
      <w:r w:rsidRPr="00A90A32">
        <w:rPr>
          <w:i/>
          <w:lang w:val="es-ES"/>
        </w:rPr>
        <w:t>science</w:t>
      </w:r>
      <w:proofErr w:type="spellEnd"/>
      <w:r w:rsidRPr="00A90A32">
        <w:rPr>
          <w:i/>
          <w:lang w:val="es-ES"/>
        </w:rPr>
        <w:t xml:space="preserve"> in </w:t>
      </w:r>
      <w:proofErr w:type="spellStart"/>
      <w:r w:rsidRPr="00A90A32">
        <w:rPr>
          <w:i/>
          <w:lang w:val="es-ES"/>
        </w:rPr>
        <w:t>Latin</w:t>
      </w:r>
      <w:proofErr w:type="spellEnd"/>
      <w:r w:rsidRPr="00A90A32">
        <w:rPr>
          <w:i/>
          <w:lang w:val="es-ES"/>
        </w:rPr>
        <w:t xml:space="preserve"> </w:t>
      </w:r>
      <w:proofErr w:type="spellStart"/>
      <w:r w:rsidRPr="00A90A32">
        <w:rPr>
          <w:i/>
          <w:lang w:val="es-ES"/>
        </w:rPr>
        <w:t>America</w:t>
      </w:r>
      <w:proofErr w:type="spellEnd"/>
      <w:r w:rsidRPr="00A90A32">
        <w:rPr>
          <w:i/>
          <w:lang w:val="es-ES"/>
        </w:rPr>
        <w:t xml:space="preserve"> </w:t>
      </w:r>
      <w:proofErr w:type="spellStart"/>
      <w:r w:rsidRPr="00A90A32">
        <w:rPr>
          <w:i/>
          <w:lang w:val="es-ES"/>
        </w:rPr>
        <w:t>from</w:t>
      </w:r>
      <w:proofErr w:type="spellEnd"/>
      <w:r w:rsidRPr="00A90A32">
        <w:rPr>
          <w:i/>
          <w:lang w:val="es-ES"/>
        </w:rPr>
        <w:t xml:space="preserve"> </w:t>
      </w:r>
      <w:proofErr w:type="spellStart"/>
      <w:r w:rsidRPr="00A90A32">
        <w:rPr>
          <w:i/>
          <w:lang w:val="es-ES"/>
        </w:rPr>
        <w:t>their</w:t>
      </w:r>
      <w:proofErr w:type="spellEnd"/>
      <w:r w:rsidRPr="00A90A32">
        <w:rPr>
          <w:i/>
          <w:lang w:val="es-ES"/>
        </w:rPr>
        <w:t xml:space="preserve"> </w:t>
      </w:r>
      <w:proofErr w:type="spellStart"/>
      <w:r w:rsidRPr="00A90A32">
        <w:rPr>
          <w:i/>
          <w:lang w:val="es-ES"/>
        </w:rPr>
        <w:t>academic</w:t>
      </w:r>
      <w:proofErr w:type="spellEnd"/>
      <w:r w:rsidRPr="00A90A32">
        <w:rPr>
          <w:i/>
          <w:lang w:val="es-ES"/>
        </w:rPr>
        <w:t xml:space="preserve"> </w:t>
      </w:r>
      <w:proofErr w:type="spellStart"/>
      <w:r w:rsidRPr="00A90A32">
        <w:rPr>
          <w:i/>
          <w:lang w:val="es-ES"/>
        </w:rPr>
        <w:t>articles</w:t>
      </w:r>
      <w:proofErr w:type="spellEnd"/>
      <w:r w:rsidRPr="00A90A32">
        <w:rPr>
          <w:i/>
          <w:lang w:val="es-ES"/>
        </w:rPr>
        <w:t>]</w:t>
      </w:r>
      <w:r w:rsidRPr="00A90A32">
        <w:rPr>
          <w:lang w:val="es-ES"/>
        </w:rPr>
        <w:t xml:space="preserve"> (pp. 39-59)</w:t>
      </w:r>
      <w:r w:rsidRPr="00A90A32">
        <w:rPr>
          <w:lang w:val="es-ES"/>
        </w:rPr>
        <w:t xml:space="preserve">. Brasil, </w:t>
      </w:r>
      <w:proofErr w:type="spellStart"/>
      <w:r w:rsidRPr="00A90A32">
        <w:rPr>
          <w:lang w:val="es-ES"/>
        </w:rPr>
        <w:t>Fiocruz</w:t>
      </w:r>
      <w:proofErr w:type="spellEnd"/>
      <w:r w:rsidRPr="00A90A32">
        <w:rPr>
          <w:lang w:val="es-ES"/>
        </w:rPr>
        <w:t>.</w:t>
      </w:r>
    </w:p>
    <w:p w14:paraId="1871D5A9" w14:textId="77777777" w:rsidR="00AD5713" w:rsidRPr="00A90A32" w:rsidRDefault="00DF6095" w:rsidP="00233B16">
      <w:pPr>
        <w:spacing w:line="360" w:lineRule="auto"/>
        <w:ind w:left="720" w:hanging="720"/>
        <w:jc w:val="both"/>
        <w:rPr>
          <w:lang w:val="es-ES"/>
        </w:rPr>
      </w:pPr>
      <w:r w:rsidRPr="00A90A32">
        <w:rPr>
          <w:lang w:val="es-ES"/>
        </w:rPr>
        <w:t xml:space="preserve">Romo, M. (2018). </w:t>
      </w:r>
      <w:proofErr w:type="gramStart"/>
      <w:r w:rsidRPr="00A90A32">
        <w:rPr>
          <w:lang w:val="es-ES"/>
        </w:rPr>
        <w:t>Tiene género la creatividad?</w:t>
      </w:r>
      <w:proofErr w:type="gramEnd"/>
      <w:r w:rsidRPr="00A90A32">
        <w:rPr>
          <w:lang w:val="es-ES"/>
        </w:rPr>
        <w:t xml:space="preserve"> </w:t>
      </w:r>
      <w:proofErr w:type="gramStart"/>
      <w:r w:rsidRPr="00A90A32">
        <w:rPr>
          <w:lang w:val="es-ES"/>
        </w:rPr>
        <w:t>Obstáculos a la excelencia en mujeres [</w:t>
      </w:r>
      <w:proofErr w:type="spellStart"/>
      <w:r w:rsidRPr="00A90A32">
        <w:rPr>
          <w:lang w:val="es-ES"/>
        </w:rPr>
        <w:t>Does</w:t>
      </w:r>
      <w:proofErr w:type="spellEnd"/>
      <w:r w:rsidRPr="00A90A32">
        <w:rPr>
          <w:lang w:val="es-ES"/>
        </w:rPr>
        <w:t xml:space="preserve"> </w:t>
      </w:r>
      <w:proofErr w:type="spellStart"/>
      <w:r w:rsidRPr="00A90A32">
        <w:rPr>
          <w:lang w:val="es-ES"/>
        </w:rPr>
        <w:t>creativity</w:t>
      </w:r>
      <w:proofErr w:type="spellEnd"/>
      <w:r w:rsidRPr="00A90A32">
        <w:rPr>
          <w:lang w:val="es-ES"/>
        </w:rPr>
        <w:t xml:space="preserve"> </w:t>
      </w:r>
      <w:proofErr w:type="spellStart"/>
      <w:r w:rsidRPr="00A90A32">
        <w:rPr>
          <w:lang w:val="es-ES"/>
        </w:rPr>
        <w:t>have</w:t>
      </w:r>
      <w:proofErr w:type="spellEnd"/>
      <w:r w:rsidRPr="00A90A32">
        <w:rPr>
          <w:lang w:val="es-ES"/>
        </w:rPr>
        <w:t xml:space="preserve"> a </w:t>
      </w:r>
      <w:proofErr w:type="spellStart"/>
      <w:r w:rsidRPr="00A90A32">
        <w:rPr>
          <w:lang w:val="es-ES"/>
        </w:rPr>
        <w:t>gender</w:t>
      </w:r>
      <w:proofErr w:type="spellEnd"/>
      <w:r w:rsidRPr="00A90A32">
        <w:rPr>
          <w:lang w:val="es-ES"/>
        </w:rPr>
        <w:t>?</w:t>
      </w:r>
      <w:proofErr w:type="gramEnd"/>
      <w:r w:rsidRPr="00A90A32">
        <w:rPr>
          <w:lang w:val="es-ES"/>
        </w:rPr>
        <w:t xml:space="preserve"> </w:t>
      </w:r>
      <w:proofErr w:type="spellStart"/>
      <w:r w:rsidRPr="00A90A32">
        <w:rPr>
          <w:lang w:val="es-ES"/>
        </w:rPr>
        <w:t>Obstacles</w:t>
      </w:r>
      <w:proofErr w:type="spellEnd"/>
      <w:r w:rsidRPr="00A90A32">
        <w:rPr>
          <w:lang w:val="es-ES"/>
        </w:rPr>
        <w:t xml:space="preserve"> to </w:t>
      </w:r>
      <w:proofErr w:type="spellStart"/>
      <w:r w:rsidRPr="00A90A32">
        <w:rPr>
          <w:lang w:val="es-ES"/>
        </w:rPr>
        <w:t>excellence</w:t>
      </w:r>
      <w:proofErr w:type="spellEnd"/>
      <w:r w:rsidRPr="00A90A32">
        <w:rPr>
          <w:lang w:val="es-ES"/>
        </w:rPr>
        <w:t xml:space="preserve"> in </w:t>
      </w:r>
      <w:proofErr w:type="spellStart"/>
      <w:r w:rsidRPr="00A90A32">
        <w:rPr>
          <w:lang w:val="es-ES"/>
        </w:rPr>
        <w:t>women</w:t>
      </w:r>
      <w:proofErr w:type="spellEnd"/>
      <w:r w:rsidRPr="00A90A32">
        <w:rPr>
          <w:lang w:val="es-ES"/>
        </w:rPr>
        <w:t xml:space="preserve">]. </w:t>
      </w:r>
      <w:proofErr w:type="spellStart"/>
      <w:r w:rsidRPr="00A90A32">
        <w:rPr>
          <w:i/>
          <w:lang w:val="es-ES"/>
        </w:rPr>
        <w:t>Estudos</w:t>
      </w:r>
      <w:proofErr w:type="spellEnd"/>
      <w:r w:rsidRPr="00A90A32">
        <w:rPr>
          <w:i/>
          <w:lang w:val="es-ES"/>
        </w:rPr>
        <w:t xml:space="preserve"> de </w:t>
      </w:r>
      <w:proofErr w:type="spellStart"/>
      <w:r w:rsidRPr="00A90A32">
        <w:rPr>
          <w:i/>
          <w:lang w:val="es-ES"/>
        </w:rPr>
        <w:t>Psicologia</w:t>
      </w:r>
      <w:proofErr w:type="spellEnd"/>
      <w:r w:rsidRPr="00A90A32">
        <w:rPr>
          <w:i/>
          <w:lang w:val="es-ES"/>
        </w:rPr>
        <w:t xml:space="preserve"> (</w:t>
      </w:r>
      <w:proofErr w:type="spellStart"/>
      <w:r w:rsidRPr="00A90A32">
        <w:rPr>
          <w:i/>
          <w:lang w:val="es-ES"/>
        </w:rPr>
        <w:t>Campinas</w:t>
      </w:r>
      <w:proofErr w:type="spellEnd"/>
      <w:r w:rsidRPr="00A90A32">
        <w:rPr>
          <w:i/>
          <w:lang w:val="es-ES"/>
        </w:rPr>
        <w:t>)</w:t>
      </w:r>
      <w:r w:rsidRPr="00A90A32">
        <w:rPr>
          <w:lang w:val="es-ES"/>
        </w:rPr>
        <w:t>, 35(3), 247-258. http://dx.doi.org/10.1590/1982-02752</w:t>
      </w:r>
      <w:r w:rsidRPr="00A90A32">
        <w:rPr>
          <w:lang w:val="es-ES"/>
        </w:rPr>
        <w:t>018000300003</w:t>
      </w:r>
    </w:p>
    <w:p w14:paraId="621E70B6" w14:textId="6E71D5E6" w:rsidR="00AD5713" w:rsidRDefault="00DF6095" w:rsidP="00233B16">
      <w:pPr>
        <w:spacing w:line="360" w:lineRule="auto"/>
        <w:ind w:left="720" w:hanging="720"/>
        <w:jc w:val="both"/>
      </w:pPr>
      <w:r w:rsidRPr="00956853">
        <w:rPr>
          <w:lang w:val="es-ES"/>
        </w:rPr>
        <w:t xml:space="preserve">Ruiz-Mallén, I., </w:t>
      </w:r>
      <w:proofErr w:type="spellStart"/>
      <w:r w:rsidRPr="00956853">
        <w:rPr>
          <w:lang w:val="es-ES"/>
        </w:rPr>
        <w:t>Gallois</w:t>
      </w:r>
      <w:proofErr w:type="spellEnd"/>
      <w:r w:rsidRPr="00956853">
        <w:rPr>
          <w:lang w:val="es-ES"/>
        </w:rPr>
        <w:t xml:space="preserve">, S., </w:t>
      </w:r>
      <w:r w:rsidR="00956853" w:rsidRPr="00956853">
        <w:rPr>
          <w:highlight w:val="white"/>
          <w:lang w:val="es-ES"/>
        </w:rPr>
        <w:t xml:space="preserve">&amp; </w:t>
      </w:r>
      <w:r w:rsidRPr="00956853">
        <w:rPr>
          <w:lang w:val="es-ES"/>
        </w:rPr>
        <w:t xml:space="preserve">Heras, M. (2018). </w:t>
      </w:r>
      <w:r>
        <w:t xml:space="preserve">From white lab coats and crazy hair to actual scientists: exploring the impact of researcher interaction and performing arts on students' perceptions and motivation for science. </w:t>
      </w:r>
      <w:r>
        <w:rPr>
          <w:i/>
        </w:rPr>
        <w:t>Science Communi</w:t>
      </w:r>
      <w:r>
        <w:rPr>
          <w:i/>
        </w:rPr>
        <w:t>cation, 40</w:t>
      </w:r>
      <w:r>
        <w:t>(6), 749-777. DOI: 10.1177/1075547018808025</w:t>
      </w:r>
    </w:p>
    <w:p w14:paraId="44D6D86C" w14:textId="689A996F" w:rsidR="00AD5713" w:rsidRPr="003D021A" w:rsidRDefault="00DF6095" w:rsidP="00233B16">
      <w:pPr>
        <w:spacing w:line="360" w:lineRule="auto"/>
        <w:ind w:left="720" w:hanging="720"/>
        <w:jc w:val="both"/>
        <w:rPr>
          <w:lang w:val="es-ES"/>
        </w:rPr>
      </w:pPr>
      <w:proofErr w:type="spellStart"/>
      <w:r>
        <w:rPr>
          <w:highlight w:val="white"/>
        </w:rPr>
        <w:t>Sachser</w:t>
      </w:r>
      <w:proofErr w:type="spellEnd"/>
      <w:r>
        <w:rPr>
          <w:highlight w:val="white"/>
        </w:rPr>
        <w:t xml:space="preserve">, N., Zimmermann, T. D., Hennessy, M. B., </w:t>
      </w:r>
      <w:r w:rsidR="00956853" w:rsidRPr="00956853">
        <w:rPr>
          <w:highlight w:val="white"/>
          <w:lang w:val="en-US"/>
        </w:rPr>
        <w:t xml:space="preserve">&amp; </w:t>
      </w:r>
      <w:r>
        <w:rPr>
          <w:highlight w:val="white"/>
        </w:rPr>
        <w:t xml:space="preserve">Kaiser, S. (2020). Sensitive phases in the development of rodent social </w:t>
      </w:r>
      <w:proofErr w:type="spellStart"/>
      <w:r>
        <w:rPr>
          <w:highlight w:val="white"/>
        </w:rPr>
        <w:t>behavior</w:t>
      </w:r>
      <w:proofErr w:type="spellEnd"/>
      <w:r>
        <w:rPr>
          <w:highlight w:val="white"/>
        </w:rPr>
        <w:t xml:space="preserve">. </w:t>
      </w:r>
      <w:r>
        <w:rPr>
          <w:i/>
          <w:highlight w:val="white"/>
        </w:rPr>
        <w:t xml:space="preserve">Current Opinion in </w:t>
      </w:r>
      <w:proofErr w:type="spellStart"/>
      <w:r>
        <w:rPr>
          <w:i/>
          <w:highlight w:val="white"/>
        </w:rPr>
        <w:t>Behavioral</w:t>
      </w:r>
      <w:proofErr w:type="spellEnd"/>
      <w:r>
        <w:rPr>
          <w:i/>
          <w:highlight w:val="white"/>
        </w:rPr>
        <w:t xml:space="preserve"> Sciences, 36</w:t>
      </w:r>
      <w:r>
        <w:rPr>
          <w:highlight w:val="white"/>
        </w:rPr>
        <w:t>, 63-70.</w:t>
      </w:r>
      <w:r w:rsidR="00D13F67">
        <w:t xml:space="preserve"> </w:t>
      </w:r>
      <w:r w:rsidR="00D13F67" w:rsidRPr="003D021A">
        <w:rPr>
          <w:lang w:val="es-ES"/>
        </w:rPr>
        <w:t>DOI: 10.1016/j.cobeha.2020.07.014</w:t>
      </w:r>
    </w:p>
    <w:p w14:paraId="01398D11" w14:textId="43AC894B" w:rsidR="00AD5713" w:rsidRDefault="00DF6095" w:rsidP="00233B16">
      <w:pPr>
        <w:spacing w:line="360" w:lineRule="auto"/>
        <w:ind w:left="720" w:hanging="720"/>
        <w:jc w:val="both"/>
      </w:pPr>
      <w:r w:rsidRPr="00A90A32">
        <w:rPr>
          <w:lang w:val="es-ES"/>
        </w:rPr>
        <w:t xml:space="preserve">Sáinz, M., Meneses, J., López, B., </w:t>
      </w:r>
      <w:r w:rsidR="00956853" w:rsidRPr="00956853">
        <w:rPr>
          <w:highlight w:val="white"/>
          <w:lang w:val="es-ES"/>
        </w:rPr>
        <w:t xml:space="preserve">&amp; </w:t>
      </w:r>
      <w:proofErr w:type="spellStart"/>
      <w:r w:rsidRPr="00A90A32">
        <w:rPr>
          <w:lang w:val="es-ES"/>
        </w:rPr>
        <w:t>Fàbregues</w:t>
      </w:r>
      <w:proofErr w:type="spellEnd"/>
      <w:r w:rsidRPr="00A90A32">
        <w:rPr>
          <w:lang w:val="es-ES"/>
        </w:rPr>
        <w:t xml:space="preserve">, S. (2016). </w:t>
      </w:r>
      <w:r>
        <w:t xml:space="preserve">Gender stereotypes and attitudes towards ICT in a sample of Spanish secondary students. </w:t>
      </w:r>
      <w:r>
        <w:rPr>
          <w:i/>
        </w:rPr>
        <w:t>Sex Roles, 74</w:t>
      </w:r>
      <w:r>
        <w:t>(3-4), 154-168. doi:10.1007/s11199-014-0424-2</w:t>
      </w:r>
    </w:p>
    <w:p w14:paraId="17E572E3" w14:textId="62DCB084" w:rsidR="00AD5713" w:rsidRDefault="00DF6095" w:rsidP="00233B16">
      <w:pPr>
        <w:spacing w:line="360" w:lineRule="auto"/>
        <w:ind w:left="720" w:hanging="720"/>
        <w:jc w:val="both"/>
      </w:pPr>
      <w:proofErr w:type="spellStart"/>
      <w:r>
        <w:t>Sáinz</w:t>
      </w:r>
      <w:proofErr w:type="spellEnd"/>
      <w:r>
        <w:t xml:space="preserve">, M., </w:t>
      </w:r>
      <w:r w:rsidR="00956853" w:rsidRPr="000F5108">
        <w:rPr>
          <w:highlight w:val="white"/>
          <w:lang w:val="en-US"/>
        </w:rPr>
        <w:t xml:space="preserve">&amp; </w:t>
      </w:r>
      <w:r>
        <w:t xml:space="preserve">Müller, </w:t>
      </w:r>
      <w:r>
        <w:t xml:space="preserve">J. (2018). Gender and family influences on Spanish </w:t>
      </w:r>
      <w:proofErr w:type="gramStart"/>
      <w:r>
        <w:t>students</w:t>
      </w:r>
      <w:proofErr w:type="gramEnd"/>
      <w:r>
        <w:t xml:space="preserve"> aspirations and values in stem fields. </w:t>
      </w:r>
      <w:r>
        <w:rPr>
          <w:i/>
        </w:rPr>
        <w:t>International Journal of Science Education, 40</w:t>
      </w:r>
      <w:r>
        <w:t>:2, 188-203, DOI: 10.1080/09500693.2017.1405464</w:t>
      </w:r>
    </w:p>
    <w:p w14:paraId="58751A4C" w14:textId="7031632C" w:rsidR="00AD5713" w:rsidRDefault="00DF6095" w:rsidP="00233B16">
      <w:pPr>
        <w:spacing w:line="360" w:lineRule="auto"/>
        <w:ind w:left="720" w:hanging="720"/>
        <w:jc w:val="both"/>
      </w:pPr>
      <w:r>
        <w:t xml:space="preserve">Scholes, L., </w:t>
      </w:r>
      <w:r w:rsidR="00956853" w:rsidRPr="000F5108">
        <w:rPr>
          <w:highlight w:val="white"/>
          <w:lang w:val="en-US"/>
        </w:rPr>
        <w:t xml:space="preserve">&amp; </w:t>
      </w:r>
      <w:r>
        <w:t>Stahl, G. (2020). 'I'm good at science but I don</w:t>
      </w:r>
      <w:r>
        <w:t xml:space="preserve">'t want to be a scientist': Australian primary school student stereotypes of science and scientists. </w:t>
      </w:r>
      <w:r>
        <w:rPr>
          <w:i/>
        </w:rPr>
        <w:t>International Journal of Inclusive Education</w:t>
      </w:r>
      <w:r>
        <w:t>. DOI: 10.1080/13603116.2020.1751316</w:t>
      </w:r>
    </w:p>
    <w:p w14:paraId="1F7EC4EB" w14:textId="1748420A" w:rsidR="00AD5713" w:rsidRPr="000F5108" w:rsidRDefault="00DF6095" w:rsidP="00233B16">
      <w:pPr>
        <w:spacing w:line="360" w:lineRule="auto"/>
        <w:ind w:left="720" w:hanging="720"/>
        <w:jc w:val="both"/>
        <w:rPr>
          <w:lang w:val="en-US"/>
        </w:rPr>
      </w:pPr>
      <w:proofErr w:type="spellStart"/>
      <w:r>
        <w:rPr>
          <w:highlight w:val="white"/>
        </w:rPr>
        <w:t>Simarro</w:t>
      </w:r>
      <w:proofErr w:type="spellEnd"/>
      <w:r>
        <w:rPr>
          <w:highlight w:val="white"/>
        </w:rPr>
        <w:t xml:space="preserve">, C., </w:t>
      </w:r>
      <w:r w:rsidR="00956853" w:rsidRPr="000F5108">
        <w:rPr>
          <w:highlight w:val="white"/>
          <w:lang w:val="en-US"/>
        </w:rPr>
        <w:t xml:space="preserve">&amp; </w:t>
      </w:r>
      <w:proofErr w:type="spellStart"/>
      <w:r>
        <w:rPr>
          <w:highlight w:val="white"/>
        </w:rPr>
        <w:t>Couso</w:t>
      </w:r>
      <w:proofErr w:type="spellEnd"/>
      <w:r>
        <w:rPr>
          <w:highlight w:val="white"/>
        </w:rPr>
        <w:t xml:space="preserve">, D. (2018). </w:t>
      </w:r>
      <w:r w:rsidRPr="00A90A32">
        <w:rPr>
          <w:i/>
          <w:highlight w:val="white"/>
          <w:lang w:val="es-ES"/>
        </w:rPr>
        <w:t>Compendio de herramientas de evaluación p</w:t>
      </w:r>
      <w:r w:rsidRPr="00A90A32">
        <w:rPr>
          <w:i/>
          <w:highlight w:val="white"/>
          <w:lang w:val="es-ES"/>
        </w:rPr>
        <w:t xml:space="preserve">ara ferias de la ciencia: aprendizaje de la evaluación de la </w:t>
      </w:r>
      <w:proofErr w:type="spellStart"/>
      <w:r w:rsidRPr="00A90A32">
        <w:rPr>
          <w:i/>
          <w:highlight w:val="white"/>
          <w:lang w:val="es-ES"/>
        </w:rPr>
        <w:t>Elhuyar</w:t>
      </w:r>
      <w:proofErr w:type="spellEnd"/>
      <w:r w:rsidRPr="00A90A32">
        <w:rPr>
          <w:i/>
          <w:highlight w:val="white"/>
          <w:lang w:val="es-ES"/>
        </w:rPr>
        <w:t xml:space="preserve"> </w:t>
      </w:r>
      <w:proofErr w:type="spellStart"/>
      <w:r w:rsidRPr="00A90A32">
        <w:rPr>
          <w:i/>
          <w:highlight w:val="white"/>
          <w:lang w:val="es-ES"/>
        </w:rPr>
        <w:t>Zientzia</w:t>
      </w:r>
      <w:proofErr w:type="spellEnd"/>
      <w:r w:rsidRPr="00A90A32">
        <w:rPr>
          <w:i/>
          <w:highlight w:val="white"/>
          <w:lang w:val="es-ES"/>
        </w:rPr>
        <w:t xml:space="preserve"> </w:t>
      </w:r>
      <w:proofErr w:type="spellStart"/>
      <w:r w:rsidRPr="00A90A32">
        <w:rPr>
          <w:i/>
          <w:highlight w:val="white"/>
          <w:lang w:val="es-ES"/>
        </w:rPr>
        <w:t>Azoka</w:t>
      </w:r>
      <w:proofErr w:type="spellEnd"/>
      <w:r w:rsidRPr="00A90A32">
        <w:rPr>
          <w:i/>
          <w:highlight w:val="white"/>
          <w:lang w:val="es-ES"/>
        </w:rPr>
        <w:t xml:space="preserve"> [</w:t>
      </w:r>
      <w:proofErr w:type="spellStart"/>
      <w:r w:rsidRPr="00A90A32">
        <w:rPr>
          <w:i/>
          <w:highlight w:val="white"/>
          <w:lang w:val="es-ES"/>
        </w:rPr>
        <w:t>Compendium</w:t>
      </w:r>
      <w:proofErr w:type="spellEnd"/>
      <w:r w:rsidRPr="00A90A32">
        <w:rPr>
          <w:i/>
          <w:highlight w:val="white"/>
          <w:lang w:val="es-ES"/>
        </w:rPr>
        <w:t xml:space="preserve"> of </w:t>
      </w:r>
      <w:proofErr w:type="spellStart"/>
      <w:r w:rsidRPr="00A90A32">
        <w:rPr>
          <w:i/>
          <w:highlight w:val="white"/>
          <w:lang w:val="es-ES"/>
        </w:rPr>
        <w:t>evaluation</w:t>
      </w:r>
      <w:proofErr w:type="spellEnd"/>
      <w:r w:rsidRPr="00A90A32">
        <w:rPr>
          <w:i/>
          <w:highlight w:val="white"/>
          <w:lang w:val="es-ES"/>
        </w:rPr>
        <w:t xml:space="preserve"> </w:t>
      </w:r>
      <w:proofErr w:type="spellStart"/>
      <w:r w:rsidRPr="00A90A32">
        <w:rPr>
          <w:i/>
          <w:highlight w:val="white"/>
          <w:lang w:val="es-ES"/>
        </w:rPr>
        <w:t>tools</w:t>
      </w:r>
      <w:proofErr w:type="spellEnd"/>
      <w:r w:rsidRPr="00A90A32">
        <w:rPr>
          <w:i/>
          <w:highlight w:val="white"/>
          <w:lang w:val="es-ES"/>
        </w:rPr>
        <w:t xml:space="preserve"> </w:t>
      </w:r>
      <w:proofErr w:type="spellStart"/>
      <w:r w:rsidRPr="00A90A32">
        <w:rPr>
          <w:i/>
          <w:highlight w:val="white"/>
          <w:lang w:val="es-ES"/>
        </w:rPr>
        <w:t>for</w:t>
      </w:r>
      <w:proofErr w:type="spellEnd"/>
      <w:r w:rsidRPr="00A90A32">
        <w:rPr>
          <w:i/>
          <w:highlight w:val="white"/>
          <w:lang w:val="es-ES"/>
        </w:rPr>
        <w:t xml:space="preserve"> </w:t>
      </w:r>
      <w:proofErr w:type="spellStart"/>
      <w:r w:rsidRPr="00A90A32">
        <w:rPr>
          <w:i/>
          <w:highlight w:val="white"/>
          <w:lang w:val="es-ES"/>
        </w:rPr>
        <w:t>science</w:t>
      </w:r>
      <w:proofErr w:type="spellEnd"/>
      <w:r w:rsidRPr="00A90A32">
        <w:rPr>
          <w:i/>
          <w:highlight w:val="white"/>
          <w:lang w:val="es-ES"/>
        </w:rPr>
        <w:t xml:space="preserve"> </w:t>
      </w:r>
      <w:proofErr w:type="spellStart"/>
      <w:r w:rsidRPr="00A90A32">
        <w:rPr>
          <w:i/>
          <w:highlight w:val="white"/>
          <w:lang w:val="es-ES"/>
        </w:rPr>
        <w:t>fairs</w:t>
      </w:r>
      <w:proofErr w:type="spellEnd"/>
      <w:r w:rsidRPr="00A90A32">
        <w:rPr>
          <w:i/>
          <w:highlight w:val="white"/>
          <w:lang w:val="es-ES"/>
        </w:rPr>
        <w:t xml:space="preserve">: </w:t>
      </w:r>
      <w:proofErr w:type="spellStart"/>
      <w:r w:rsidRPr="00A90A32">
        <w:rPr>
          <w:i/>
          <w:highlight w:val="white"/>
          <w:lang w:val="es-ES"/>
        </w:rPr>
        <w:t>learning</w:t>
      </w:r>
      <w:proofErr w:type="spellEnd"/>
      <w:r w:rsidRPr="00A90A32">
        <w:rPr>
          <w:i/>
          <w:highlight w:val="white"/>
          <w:lang w:val="es-ES"/>
        </w:rPr>
        <w:t xml:space="preserve"> </w:t>
      </w:r>
      <w:proofErr w:type="spellStart"/>
      <w:r w:rsidRPr="00A90A32">
        <w:rPr>
          <w:i/>
          <w:highlight w:val="white"/>
          <w:lang w:val="es-ES"/>
        </w:rPr>
        <w:t>from</w:t>
      </w:r>
      <w:proofErr w:type="spellEnd"/>
      <w:r w:rsidRPr="00A90A32">
        <w:rPr>
          <w:i/>
          <w:highlight w:val="white"/>
          <w:lang w:val="es-ES"/>
        </w:rPr>
        <w:t xml:space="preserve"> </w:t>
      </w:r>
      <w:proofErr w:type="spellStart"/>
      <w:r w:rsidRPr="00A90A32">
        <w:rPr>
          <w:i/>
          <w:highlight w:val="white"/>
          <w:lang w:val="es-ES"/>
        </w:rPr>
        <w:t>the</w:t>
      </w:r>
      <w:proofErr w:type="spellEnd"/>
      <w:r w:rsidRPr="00A90A32">
        <w:rPr>
          <w:i/>
          <w:highlight w:val="white"/>
          <w:lang w:val="es-ES"/>
        </w:rPr>
        <w:t xml:space="preserve"> </w:t>
      </w:r>
      <w:proofErr w:type="spellStart"/>
      <w:r w:rsidRPr="00A90A32">
        <w:rPr>
          <w:i/>
          <w:highlight w:val="white"/>
          <w:lang w:val="es-ES"/>
        </w:rPr>
        <w:t>evaluation</w:t>
      </w:r>
      <w:proofErr w:type="spellEnd"/>
      <w:r w:rsidRPr="00A90A32">
        <w:rPr>
          <w:i/>
          <w:highlight w:val="white"/>
          <w:lang w:val="es-ES"/>
        </w:rPr>
        <w:t xml:space="preserve"> of </w:t>
      </w:r>
      <w:proofErr w:type="spellStart"/>
      <w:r w:rsidRPr="00A90A32">
        <w:rPr>
          <w:i/>
          <w:highlight w:val="white"/>
          <w:lang w:val="es-ES"/>
        </w:rPr>
        <w:t>Elhuyar</w:t>
      </w:r>
      <w:proofErr w:type="spellEnd"/>
      <w:r w:rsidRPr="00A90A32">
        <w:rPr>
          <w:i/>
          <w:highlight w:val="white"/>
          <w:lang w:val="es-ES"/>
        </w:rPr>
        <w:t xml:space="preserve"> </w:t>
      </w:r>
      <w:proofErr w:type="spellStart"/>
      <w:r w:rsidRPr="00A90A32">
        <w:rPr>
          <w:i/>
          <w:highlight w:val="white"/>
          <w:lang w:val="es-ES"/>
        </w:rPr>
        <w:t>Zientzia</w:t>
      </w:r>
      <w:proofErr w:type="spellEnd"/>
      <w:r w:rsidRPr="00A90A32">
        <w:rPr>
          <w:i/>
          <w:highlight w:val="white"/>
          <w:lang w:val="es-ES"/>
        </w:rPr>
        <w:t xml:space="preserve"> </w:t>
      </w:r>
      <w:proofErr w:type="spellStart"/>
      <w:r w:rsidRPr="00A90A32">
        <w:rPr>
          <w:i/>
          <w:highlight w:val="white"/>
          <w:lang w:val="es-ES"/>
        </w:rPr>
        <w:t>Azoka</w:t>
      </w:r>
      <w:proofErr w:type="spellEnd"/>
      <w:r w:rsidRPr="00A90A32">
        <w:rPr>
          <w:i/>
          <w:highlight w:val="white"/>
          <w:lang w:val="es-ES"/>
        </w:rPr>
        <w:t>]</w:t>
      </w:r>
      <w:r w:rsidRPr="00A90A32">
        <w:rPr>
          <w:highlight w:val="white"/>
          <w:lang w:val="es-ES"/>
        </w:rPr>
        <w:t xml:space="preserve">. </w:t>
      </w:r>
      <w:r w:rsidRPr="000F5108">
        <w:rPr>
          <w:highlight w:val="white"/>
          <w:lang w:val="en-US"/>
        </w:rPr>
        <w:t>España: Universitat Autònoma de Barcelona.</w:t>
      </w:r>
    </w:p>
    <w:p w14:paraId="277026C7" w14:textId="77777777" w:rsidR="00AD5713" w:rsidRPr="003D021A" w:rsidRDefault="00DF6095" w:rsidP="00233B16">
      <w:pPr>
        <w:spacing w:line="360" w:lineRule="auto"/>
        <w:ind w:left="720" w:hanging="720"/>
        <w:jc w:val="both"/>
        <w:rPr>
          <w:lang w:val="es-ES"/>
        </w:rPr>
      </w:pPr>
      <w:r w:rsidRPr="003D021A">
        <w:rPr>
          <w:highlight w:val="white"/>
          <w:lang w:val="es-ES"/>
        </w:rPr>
        <w:t>Trejo, J. H. (2019). Desigualdad, dispersión y diversidad como oportunidades en el s</w:t>
      </w:r>
      <w:r w:rsidRPr="003D021A">
        <w:rPr>
          <w:highlight w:val="white"/>
          <w:lang w:val="es-ES"/>
        </w:rPr>
        <w:t xml:space="preserve">istema educativo mexicano en el contexto de la reforma para mejora continua de la educación </w:t>
      </w:r>
      <w:r w:rsidRPr="003D021A">
        <w:rPr>
          <w:highlight w:val="white"/>
          <w:lang w:val="es-ES"/>
        </w:rPr>
        <w:lastRenderedPageBreak/>
        <w:t>[</w:t>
      </w:r>
      <w:proofErr w:type="spellStart"/>
      <w:r w:rsidRPr="003D021A">
        <w:rPr>
          <w:highlight w:val="white"/>
          <w:lang w:val="es-ES"/>
        </w:rPr>
        <w:t>Inequality</w:t>
      </w:r>
      <w:proofErr w:type="spellEnd"/>
      <w:r w:rsidRPr="003D021A">
        <w:rPr>
          <w:highlight w:val="white"/>
          <w:lang w:val="es-ES"/>
        </w:rPr>
        <w:t xml:space="preserve">, </w:t>
      </w:r>
      <w:proofErr w:type="spellStart"/>
      <w:r w:rsidRPr="003D021A">
        <w:rPr>
          <w:highlight w:val="white"/>
          <w:lang w:val="es-ES"/>
        </w:rPr>
        <w:t>dispersion</w:t>
      </w:r>
      <w:proofErr w:type="spellEnd"/>
      <w:r w:rsidRPr="003D021A">
        <w:rPr>
          <w:highlight w:val="white"/>
          <w:lang w:val="es-ES"/>
        </w:rPr>
        <w:t xml:space="preserve"> and </w:t>
      </w:r>
      <w:proofErr w:type="spellStart"/>
      <w:r w:rsidRPr="003D021A">
        <w:rPr>
          <w:highlight w:val="white"/>
          <w:lang w:val="es-ES"/>
        </w:rPr>
        <w:t>diversity</w:t>
      </w:r>
      <w:proofErr w:type="spellEnd"/>
      <w:r w:rsidRPr="003D021A">
        <w:rPr>
          <w:highlight w:val="white"/>
          <w:lang w:val="es-ES"/>
        </w:rPr>
        <w:t xml:space="preserve"> as </w:t>
      </w:r>
      <w:proofErr w:type="spellStart"/>
      <w:r w:rsidRPr="003D021A">
        <w:rPr>
          <w:highlight w:val="white"/>
          <w:lang w:val="es-ES"/>
        </w:rPr>
        <w:t>opportunities</w:t>
      </w:r>
      <w:proofErr w:type="spellEnd"/>
      <w:r w:rsidRPr="003D021A">
        <w:rPr>
          <w:highlight w:val="white"/>
          <w:lang w:val="es-ES"/>
        </w:rPr>
        <w:t xml:space="preserve"> in </w:t>
      </w:r>
      <w:proofErr w:type="spellStart"/>
      <w:r w:rsidRPr="003D021A">
        <w:rPr>
          <w:highlight w:val="white"/>
          <w:lang w:val="es-ES"/>
        </w:rPr>
        <w:t>the</w:t>
      </w:r>
      <w:proofErr w:type="spellEnd"/>
      <w:r w:rsidRPr="003D021A">
        <w:rPr>
          <w:highlight w:val="white"/>
          <w:lang w:val="es-ES"/>
        </w:rPr>
        <w:t xml:space="preserve"> </w:t>
      </w:r>
      <w:proofErr w:type="spellStart"/>
      <w:r w:rsidRPr="003D021A">
        <w:rPr>
          <w:highlight w:val="white"/>
          <w:lang w:val="es-ES"/>
        </w:rPr>
        <w:t>Mexican</w:t>
      </w:r>
      <w:proofErr w:type="spellEnd"/>
      <w:r w:rsidRPr="003D021A">
        <w:rPr>
          <w:highlight w:val="white"/>
          <w:lang w:val="es-ES"/>
        </w:rPr>
        <w:t xml:space="preserve"> </w:t>
      </w:r>
      <w:proofErr w:type="spellStart"/>
      <w:r w:rsidRPr="003D021A">
        <w:rPr>
          <w:highlight w:val="white"/>
          <w:lang w:val="es-ES"/>
        </w:rPr>
        <w:t>educational</w:t>
      </w:r>
      <w:proofErr w:type="spellEnd"/>
      <w:r w:rsidRPr="003D021A">
        <w:rPr>
          <w:highlight w:val="white"/>
          <w:lang w:val="es-ES"/>
        </w:rPr>
        <w:t xml:space="preserve"> </w:t>
      </w:r>
      <w:proofErr w:type="spellStart"/>
      <w:r w:rsidRPr="003D021A">
        <w:rPr>
          <w:highlight w:val="white"/>
          <w:lang w:val="es-ES"/>
        </w:rPr>
        <w:t>system</w:t>
      </w:r>
      <w:proofErr w:type="spellEnd"/>
      <w:r w:rsidRPr="003D021A">
        <w:rPr>
          <w:highlight w:val="white"/>
          <w:lang w:val="es-ES"/>
        </w:rPr>
        <w:t xml:space="preserve"> in </w:t>
      </w:r>
      <w:proofErr w:type="spellStart"/>
      <w:r w:rsidRPr="003D021A">
        <w:rPr>
          <w:highlight w:val="white"/>
          <w:lang w:val="es-ES"/>
        </w:rPr>
        <w:t>the</w:t>
      </w:r>
      <w:proofErr w:type="spellEnd"/>
      <w:r w:rsidRPr="003D021A">
        <w:rPr>
          <w:highlight w:val="white"/>
          <w:lang w:val="es-ES"/>
        </w:rPr>
        <w:t xml:space="preserve"> </w:t>
      </w:r>
      <w:proofErr w:type="spellStart"/>
      <w:r w:rsidRPr="003D021A">
        <w:rPr>
          <w:highlight w:val="white"/>
          <w:lang w:val="es-ES"/>
        </w:rPr>
        <w:t>context</w:t>
      </w:r>
      <w:proofErr w:type="spellEnd"/>
      <w:r w:rsidRPr="003D021A">
        <w:rPr>
          <w:highlight w:val="white"/>
          <w:lang w:val="es-ES"/>
        </w:rPr>
        <w:t xml:space="preserve"> of </w:t>
      </w:r>
      <w:proofErr w:type="spellStart"/>
      <w:r w:rsidRPr="003D021A">
        <w:rPr>
          <w:highlight w:val="white"/>
          <w:lang w:val="es-ES"/>
        </w:rPr>
        <w:t>the</w:t>
      </w:r>
      <w:proofErr w:type="spellEnd"/>
      <w:r w:rsidRPr="003D021A">
        <w:rPr>
          <w:highlight w:val="white"/>
          <w:lang w:val="es-ES"/>
        </w:rPr>
        <w:t xml:space="preserve"> </w:t>
      </w:r>
      <w:proofErr w:type="spellStart"/>
      <w:r w:rsidRPr="003D021A">
        <w:rPr>
          <w:highlight w:val="white"/>
          <w:lang w:val="es-ES"/>
        </w:rPr>
        <w:t>reform</w:t>
      </w:r>
      <w:proofErr w:type="spellEnd"/>
      <w:r w:rsidRPr="003D021A">
        <w:rPr>
          <w:highlight w:val="white"/>
          <w:lang w:val="es-ES"/>
        </w:rPr>
        <w:t xml:space="preserve"> </w:t>
      </w:r>
      <w:proofErr w:type="spellStart"/>
      <w:r w:rsidRPr="003D021A">
        <w:rPr>
          <w:highlight w:val="white"/>
          <w:lang w:val="es-ES"/>
        </w:rPr>
        <w:t>for</w:t>
      </w:r>
      <w:proofErr w:type="spellEnd"/>
      <w:r w:rsidRPr="003D021A">
        <w:rPr>
          <w:highlight w:val="white"/>
          <w:lang w:val="es-ES"/>
        </w:rPr>
        <w:t xml:space="preserve"> </w:t>
      </w:r>
      <w:proofErr w:type="spellStart"/>
      <w:r w:rsidRPr="003D021A">
        <w:rPr>
          <w:highlight w:val="white"/>
          <w:lang w:val="es-ES"/>
        </w:rPr>
        <w:t>continuous</w:t>
      </w:r>
      <w:proofErr w:type="spellEnd"/>
      <w:r w:rsidRPr="003D021A">
        <w:rPr>
          <w:highlight w:val="white"/>
          <w:lang w:val="es-ES"/>
        </w:rPr>
        <w:t xml:space="preserve"> </w:t>
      </w:r>
      <w:proofErr w:type="spellStart"/>
      <w:r w:rsidRPr="003D021A">
        <w:rPr>
          <w:highlight w:val="white"/>
          <w:lang w:val="es-ES"/>
        </w:rPr>
        <w:t>improvement</w:t>
      </w:r>
      <w:proofErr w:type="spellEnd"/>
      <w:r w:rsidRPr="003D021A">
        <w:rPr>
          <w:highlight w:val="white"/>
          <w:lang w:val="es-ES"/>
        </w:rPr>
        <w:t xml:space="preserve"> of </w:t>
      </w:r>
      <w:proofErr w:type="spellStart"/>
      <w:r w:rsidRPr="003D021A">
        <w:rPr>
          <w:highlight w:val="white"/>
          <w:lang w:val="es-ES"/>
        </w:rPr>
        <w:t>education</w:t>
      </w:r>
      <w:proofErr w:type="spellEnd"/>
      <w:r w:rsidRPr="003D021A">
        <w:rPr>
          <w:highlight w:val="white"/>
          <w:lang w:val="es-ES"/>
        </w:rPr>
        <w:t xml:space="preserve">]. </w:t>
      </w:r>
      <w:r w:rsidRPr="003D021A">
        <w:rPr>
          <w:i/>
          <w:highlight w:val="white"/>
          <w:lang w:val="es-ES"/>
        </w:rPr>
        <w:t>Revi</w:t>
      </w:r>
      <w:r w:rsidRPr="003D021A">
        <w:rPr>
          <w:i/>
          <w:highlight w:val="white"/>
          <w:lang w:val="es-ES"/>
        </w:rPr>
        <w:t>sta Electrónica de Investigación e Innovación Educativa, 4</w:t>
      </w:r>
      <w:r w:rsidRPr="003D021A">
        <w:rPr>
          <w:highlight w:val="white"/>
          <w:lang w:val="es-ES"/>
        </w:rPr>
        <w:t>(3), 46-66.</w:t>
      </w:r>
    </w:p>
    <w:p w14:paraId="148C77E3" w14:textId="77777777" w:rsidR="00AD5713" w:rsidRDefault="00DF6095" w:rsidP="00233B16">
      <w:pPr>
        <w:spacing w:line="360" w:lineRule="auto"/>
        <w:ind w:left="720" w:hanging="720"/>
        <w:jc w:val="both"/>
      </w:pPr>
      <w:r w:rsidRPr="003D021A">
        <w:rPr>
          <w:lang w:val="es-ES"/>
        </w:rPr>
        <w:t xml:space="preserve">United Nations Educational, Scientific and Cultural Organization [UNESCO]. (2009). </w:t>
      </w:r>
      <w:r w:rsidRPr="003D021A">
        <w:rPr>
          <w:i/>
          <w:lang w:val="es-ES"/>
        </w:rPr>
        <w:t>Current challenge in basic science education</w:t>
      </w:r>
      <w:r w:rsidRPr="003D021A">
        <w:rPr>
          <w:lang w:val="es-ES"/>
        </w:rPr>
        <w:t xml:space="preserve">. </w:t>
      </w:r>
      <w:r>
        <w:t>France: Education Sector.</w:t>
      </w:r>
    </w:p>
    <w:p w14:paraId="6BDFFFE7" w14:textId="77777777" w:rsidR="00AD5713" w:rsidRDefault="00DF6095" w:rsidP="00233B16">
      <w:pPr>
        <w:spacing w:line="360" w:lineRule="auto"/>
        <w:ind w:left="720" w:hanging="720"/>
        <w:jc w:val="both"/>
      </w:pPr>
      <w:r>
        <w:t>United Nations Educational Scie</w:t>
      </w:r>
      <w:r>
        <w:t xml:space="preserve">ntific and Cultural Organization [UNESCO] (2010). Current Challenges in Basic Science Education. </w:t>
      </w:r>
      <w:proofErr w:type="spellStart"/>
      <w:r>
        <w:t>Conferencia</w:t>
      </w:r>
      <w:proofErr w:type="spellEnd"/>
      <w:r>
        <w:t>: International Group of Experts on Science and Mathematics Education Policies, Paris, 2009</w:t>
      </w:r>
    </w:p>
    <w:p w14:paraId="0B6922DA" w14:textId="02B9CF43" w:rsidR="00AD5713" w:rsidRPr="00A90A32" w:rsidRDefault="00DF6095" w:rsidP="00233B16">
      <w:pPr>
        <w:spacing w:line="360" w:lineRule="auto"/>
        <w:ind w:left="720" w:hanging="720"/>
        <w:jc w:val="both"/>
        <w:rPr>
          <w:lang w:val="es-ES"/>
        </w:rPr>
      </w:pPr>
      <w:r w:rsidRPr="00A90A32">
        <w:rPr>
          <w:lang w:val="es-ES"/>
        </w:rPr>
        <w:t xml:space="preserve">Vázquez, A., </w:t>
      </w:r>
      <w:r w:rsidR="00956853" w:rsidRPr="00956853">
        <w:rPr>
          <w:highlight w:val="white"/>
          <w:lang w:val="es-ES"/>
        </w:rPr>
        <w:t xml:space="preserve">&amp; </w:t>
      </w:r>
      <w:proofErr w:type="spellStart"/>
      <w:r w:rsidRPr="00A90A32">
        <w:rPr>
          <w:lang w:val="es-ES"/>
        </w:rPr>
        <w:t>Manassero</w:t>
      </w:r>
      <w:proofErr w:type="spellEnd"/>
      <w:r w:rsidRPr="00A90A32">
        <w:rPr>
          <w:lang w:val="es-ES"/>
        </w:rPr>
        <w:t xml:space="preserve">, M. A. (2008). El declive de </w:t>
      </w:r>
      <w:r w:rsidRPr="00A90A32">
        <w:rPr>
          <w:lang w:val="es-ES"/>
        </w:rPr>
        <w:t>las actitudes hacia la ciencia de los estudiantes: un indicador inquietante para la educación científica [</w:t>
      </w:r>
      <w:proofErr w:type="spellStart"/>
      <w:r w:rsidRPr="00A90A32">
        <w:rPr>
          <w:lang w:val="es-ES"/>
        </w:rPr>
        <w:t>The</w:t>
      </w:r>
      <w:proofErr w:type="spellEnd"/>
      <w:r w:rsidRPr="00A90A32">
        <w:rPr>
          <w:lang w:val="es-ES"/>
        </w:rPr>
        <w:t xml:space="preserve"> decline of </w:t>
      </w:r>
      <w:proofErr w:type="spellStart"/>
      <w:r w:rsidRPr="00A90A32">
        <w:rPr>
          <w:lang w:val="es-ES"/>
        </w:rPr>
        <w:t>students</w:t>
      </w:r>
      <w:proofErr w:type="spellEnd"/>
      <w:r w:rsidRPr="00A90A32">
        <w:rPr>
          <w:lang w:val="es-ES"/>
        </w:rPr>
        <w:t xml:space="preserve">' </w:t>
      </w:r>
      <w:proofErr w:type="spellStart"/>
      <w:r w:rsidRPr="00A90A32">
        <w:rPr>
          <w:lang w:val="es-ES"/>
        </w:rPr>
        <w:t>attitudes</w:t>
      </w:r>
      <w:proofErr w:type="spellEnd"/>
      <w:r w:rsidRPr="00A90A32">
        <w:rPr>
          <w:lang w:val="es-ES"/>
        </w:rPr>
        <w:t xml:space="preserve"> </w:t>
      </w:r>
      <w:proofErr w:type="spellStart"/>
      <w:r w:rsidRPr="00A90A32">
        <w:rPr>
          <w:lang w:val="es-ES"/>
        </w:rPr>
        <w:t>towards</w:t>
      </w:r>
      <w:proofErr w:type="spellEnd"/>
      <w:r w:rsidRPr="00A90A32">
        <w:rPr>
          <w:lang w:val="es-ES"/>
        </w:rPr>
        <w:t xml:space="preserve"> </w:t>
      </w:r>
      <w:proofErr w:type="spellStart"/>
      <w:r w:rsidRPr="00A90A32">
        <w:rPr>
          <w:lang w:val="es-ES"/>
        </w:rPr>
        <w:t>science</w:t>
      </w:r>
      <w:proofErr w:type="spellEnd"/>
      <w:r w:rsidRPr="00A90A32">
        <w:rPr>
          <w:lang w:val="es-ES"/>
        </w:rPr>
        <w:t xml:space="preserve">: a </w:t>
      </w:r>
      <w:proofErr w:type="spellStart"/>
      <w:r w:rsidRPr="00A90A32">
        <w:rPr>
          <w:lang w:val="es-ES"/>
        </w:rPr>
        <w:t>worrying</w:t>
      </w:r>
      <w:proofErr w:type="spellEnd"/>
      <w:r w:rsidRPr="00A90A32">
        <w:rPr>
          <w:lang w:val="es-ES"/>
        </w:rPr>
        <w:t xml:space="preserve"> </w:t>
      </w:r>
      <w:proofErr w:type="spellStart"/>
      <w:r w:rsidRPr="00A90A32">
        <w:rPr>
          <w:lang w:val="es-ES"/>
        </w:rPr>
        <w:t>indicator</w:t>
      </w:r>
      <w:proofErr w:type="spellEnd"/>
      <w:r w:rsidRPr="00A90A32">
        <w:rPr>
          <w:lang w:val="es-ES"/>
        </w:rPr>
        <w:t xml:space="preserve"> </w:t>
      </w:r>
      <w:proofErr w:type="spellStart"/>
      <w:r w:rsidRPr="00A90A32">
        <w:rPr>
          <w:lang w:val="es-ES"/>
        </w:rPr>
        <w:t>for</w:t>
      </w:r>
      <w:proofErr w:type="spellEnd"/>
      <w:r w:rsidRPr="00A90A32">
        <w:rPr>
          <w:lang w:val="es-ES"/>
        </w:rPr>
        <w:t xml:space="preserve"> </w:t>
      </w:r>
      <w:proofErr w:type="spellStart"/>
      <w:r w:rsidRPr="00A90A32">
        <w:rPr>
          <w:lang w:val="es-ES"/>
        </w:rPr>
        <w:t>science</w:t>
      </w:r>
      <w:proofErr w:type="spellEnd"/>
      <w:r w:rsidRPr="00A90A32">
        <w:rPr>
          <w:lang w:val="es-ES"/>
        </w:rPr>
        <w:t xml:space="preserve"> </w:t>
      </w:r>
      <w:proofErr w:type="spellStart"/>
      <w:r w:rsidRPr="00A90A32">
        <w:rPr>
          <w:lang w:val="es-ES"/>
        </w:rPr>
        <w:t>education</w:t>
      </w:r>
      <w:proofErr w:type="spellEnd"/>
      <w:r w:rsidRPr="00A90A32">
        <w:rPr>
          <w:lang w:val="es-ES"/>
        </w:rPr>
        <w:t xml:space="preserve">]. </w:t>
      </w:r>
      <w:r w:rsidRPr="00A90A32">
        <w:rPr>
          <w:i/>
          <w:lang w:val="es-ES"/>
        </w:rPr>
        <w:t>Revista Eureka sobre Enseñanza y Divulgación de las C</w:t>
      </w:r>
      <w:r w:rsidRPr="00A90A32">
        <w:rPr>
          <w:i/>
          <w:lang w:val="es-ES"/>
        </w:rPr>
        <w:t>iencias, 5</w:t>
      </w:r>
      <w:r w:rsidRPr="00A90A32">
        <w:rPr>
          <w:lang w:val="es-ES"/>
        </w:rPr>
        <w:t>(3), 274-292.</w:t>
      </w:r>
      <w:r w:rsidR="00566AB1">
        <w:rPr>
          <w:lang w:val="es-ES"/>
        </w:rPr>
        <w:t xml:space="preserve"> </w:t>
      </w:r>
      <w:r w:rsidR="00566AB1" w:rsidRPr="00566AB1">
        <w:rPr>
          <w:lang w:val="es-ES"/>
        </w:rPr>
        <w:t>DOI:10.25267/REV_EUREKA_ENSEN_DIVULG_</w:t>
      </w:r>
      <w:proofErr w:type="gramStart"/>
      <w:r w:rsidR="00566AB1" w:rsidRPr="00566AB1">
        <w:rPr>
          <w:lang w:val="es-ES"/>
        </w:rPr>
        <w:t>CIENC.2008.V</w:t>
      </w:r>
      <w:proofErr w:type="gramEnd"/>
      <w:r w:rsidR="00566AB1" w:rsidRPr="00566AB1">
        <w:rPr>
          <w:lang w:val="es-ES"/>
        </w:rPr>
        <w:t>5.I3.03</w:t>
      </w:r>
    </w:p>
    <w:p w14:paraId="5B6AC841" w14:textId="5DECC9B4" w:rsidR="00AD5713" w:rsidRPr="00A90A32" w:rsidRDefault="00DF6095" w:rsidP="00233B16">
      <w:pPr>
        <w:spacing w:line="360" w:lineRule="auto"/>
        <w:ind w:left="720" w:hanging="720"/>
        <w:jc w:val="both"/>
        <w:rPr>
          <w:lang w:val="es-ES"/>
        </w:rPr>
      </w:pPr>
      <w:r w:rsidRPr="00A90A32">
        <w:rPr>
          <w:lang w:val="es-ES"/>
        </w:rPr>
        <w:t xml:space="preserve">Vázquez, A., </w:t>
      </w:r>
      <w:r w:rsidR="00956853" w:rsidRPr="00956853">
        <w:rPr>
          <w:highlight w:val="white"/>
          <w:lang w:val="es-ES"/>
        </w:rPr>
        <w:t xml:space="preserve">&amp; </w:t>
      </w:r>
      <w:proofErr w:type="spellStart"/>
      <w:r w:rsidRPr="00A90A32">
        <w:rPr>
          <w:lang w:val="es-ES"/>
        </w:rPr>
        <w:t>Manassero</w:t>
      </w:r>
      <w:proofErr w:type="spellEnd"/>
      <w:r w:rsidRPr="00A90A32">
        <w:rPr>
          <w:lang w:val="es-ES"/>
        </w:rPr>
        <w:t>, M. A. (2009). La vocación científica y tecnológica: predictores actitudinales significativos [</w:t>
      </w:r>
      <w:proofErr w:type="spellStart"/>
      <w:r w:rsidRPr="00A90A32">
        <w:rPr>
          <w:lang w:val="es-ES"/>
        </w:rPr>
        <w:t>The</w:t>
      </w:r>
      <w:proofErr w:type="spellEnd"/>
      <w:r w:rsidRPr="00A90A32">
        <w:rPr>
          <w:lang w:val="es-ES"/>
        </w:rPr>
        <w:t xml:space="preserve"> </w:t>
      </w:r>
      <w:proofErr w:type="spellStart"/>
      <w:r w:rsidRPr="00A90A32">
        <w:rPr>
          <w:lang w:val="es-ES"/>
        </w:rPr>
        <w:t>scientific</w:t>
      </w:r>
      <w:proofErr w:type="spellEnd"/>
      <w:r w:rsidRPr="00A90A32">
        <w:rPr>
          <w:lang w:val="es-ES"/>
        </w:rPr>
        <w:t xml:space="preserve"> and </w:t>
      </w:r>
      <w:proofErr w:type="spellStart"/>
      <w:r w:rsidRPr="00A90A32">
        <w:rPr>
          <w:lang w:val="es-ES"/>
        </w:rPr>
        <w:t>technological</w:t>
      </w:r>
      <w:proofErr w:type="spellEnd"/>
      <w:r w:rsidRPr="00A90A32">
        <w:rPr>
          <w:lang w:val="es-ES"/>
        </w:rPr>
        <w:t xml:space="preserve"> </w:t>
      </w:r>
      <w:proofErr w:type="spellStart"/>
      <w:r w:rsidRPr="00A90A32">
        <w:rPr>
          <w:lang w:val="es-ES"/>
        </w:rPr>
        <w:t>vocation</w:t>
      </w:r>
      <w:proofErr w:type="spellEnd"/>
      <w:r w:rsidRPr="00A90A32">
        <w:rPr>
          <w:lang w:val="es-ES"/>
        </w:rPr>
        <w:t xml:space="preserve">: </w:t>
      </w:r>
      <w:proofErr w:type="spellStart"/>
      <w:r w:rsidRPr="00A90A32">
        <w:rPr>
          <w:lang w:val="es-ES"/>
        </w:rPr>
        <w:t>significant</w:t>
      </w:r>
      <w:proofErr w:type="spellEnd"/>
      <w:r w:rsidRPr="00A90A32">
        <w:rPr>
          <w:lang w:val="es-ES"/>
        </w:rPr>
        <w:t xml:space="preserve"> </w:t>
      </w:r>
      <w:proofErr w:type="spellStart"/>
      <w:r w:rsidRPr="00A90A32">
        <w:rPr>
          <w:lang w:val="es-ES"/>
        </w:rPr>
        <w:t>attitudinal</w:t>
      </w:r>
      <w:proofErr w:type="spellEnd"/>
      <w:r w:rsidRPr="00A90A32">
        <w:rPr>
          <w:lang w:val="es-ES"/>
        </w:rPr>
        <w:t xml:space="preserve"> </w:t>
      </w:r>
      <w:proofErr w:type="spellStart"/>
      <w:r w:rsidRPr="00A90A32">
        <w:rPr>
          <w:lang w:val="es-ES"/>
        </w:rPr>
        <w:t>predictors</w:t>
      </w:r>
      <w:proofErr w:type="spellEnd"/>
      <w:r w:rsidRPr="00A90A32">
        <w:rPr>
          <w:lang w:val="es-ES"/>
        </w:rPr>
        <w:t xml:space="preserve">]. </w:t>
      </w:r>
      <w:r w:rsidRPr="00A90A32">
        <w:rPr>
          <w:i/>
          <w:lang w:val="es-ES"/>
        </w:rPr>
        <w:t>Revista Eureka de Enseñanza y Divulgación, 6</w:t>
      </w:r>
      <w:r w:rsidRPr="00A90A32">
        <w:rPr>
          <w:lang w:val="es-ES"/>
        </w:rPr>
        <w:t>(2), 213-231.</w:t>
      </w:r>
      <w:r w:rsidR="00566AB1">
        <w:rPr>
          <w:lang w:val="es-ES"/>
        </w:rPr>
        <w:t xml:space="preserve"> DOI: </w:t>
      </w:r>
      <w:r w:rsidR="00566AB1" w:rsidRPr="00566AB1">
        <w:rPr>
          <w:lang w:val="es-ES"/>
        </w:rPr>
        <w:t>https://www.redalyc.org/articulo.oa?id=92012978003</w:t>
      </w:r>
    </w:p>
    <w:p w14:paraId="2A915542" w14:textId="56EA3D0E" w:rsidR="00AD5713" w:rsidRDefault="00DF6095" w:rsidP="00233B16">
      <w:pPr>
        <w:spacing w:line="360" w:lineRule="auto"/>
        <w:ind w:left="720" w:hanging="720"/>
        <w:jc w:val="both"/>
      </w:pPr>
      <w:r w:rsidRPr="00956853">
        <w:rPr>
          <w:lang w:val="es-ES"/>
        </w:rPr>
        <w:t xml:space="preserve">Vidal, A. L., Aparecida, P., </w:t>
      </w:r>
      <w:r w:rsidR="00956853" w:rsidRPr="00956853">
        <w:rPr>
          <w:highlight w:val="white"/>
          <w:lang w:val="es-ES"/>
        </w:rPr>
        <w:t xml:space="preserve">&amp; </w:t>
      </w:r>
      <w:proofErr w:type="spellStart"/>
      <w:r w:rsidRPr="00956853">
        <w:rPr>
          <w:lang w:val="es-ES"/>
        </w:rPr>
        <w:t>Jannuzzi</w:t>
      </w:r>
      <w:proofErr w:type="spellEnd"/>
      <w:r w:rsidRPr="00956853">
        <w:rPr>
          <w:lang w:val="es-ES"/>
        </w:rPr>
        <w:t xml:space="preserve">, P. (2013). </w:t>
      </w:r>
      <w:r>
        <w:t xml:space="preserve">Cognitive functions and prefrontal cortex damage in children and </w:t>
      </w:r>
      <w:r>
        <w:t>adolescents: consequences, rehabilitation and neural plasticity. In R. Collins and J. Adams (Eds.) Prefrontal cortex (p. 129-154).</w:t>
      </w:r>
    </w:p>
    <w:p w14:paraId="734E6122" w14:textId="410F9B87" w:rsidR="00AD5713" w:rsidRDefault="00DF6095" w:rsidP="00233B16">
      <w:pPr>
        <w:spacing w:line="360" w:lineRule="auto"/>
        <w:ind w:left="720" w:hanging="720"/>
        <w:jc w:val="both"/>
      </w:pPr>
      <w:r>
        <w:t xml:space="preserve">Wang, T. L., </w:t>
      </w:r>
      <w:r w:rsidR="00956853" w:rsidRPr="00AE6D40">
        <w:rPr>
          <w:highlight w:val="white"/>
          <w:lang w:val="en-US"/>
        </w:rPr>
        <w:t xml:space="preserve">&amp; </w:t>
      </w:r>
      <w:r>
        <w:t>Berlin, D. (2010). Construction and Validation of an Instrument to Measure Taiwanese Elementary Students’ Atti</w:t>
      </w:r>
      <w:r>
        <w:t xml:space="preserve">tudes toward Their Science Class. </w:t>
      </w:r>
      <w:r>
        <w:rPr>
          <w:i/>
        </w:rPr>
        <w:t>International Journal of Science Education</w:t>
      </w:r>
      <w:r>
        <w:t xml:space="preserve">, </w:t>
      </w:r>
      <w:r>
        <w:rPr>
          <w:i/>
        </w:rPr>
        <w:t>32</w:t>
      </w:r>
      <w:r>
        <w:t>(18), 2413-2428.</w:t>
      </w:r>
      <w:r w:rsidR="00566AB1">
        <w:t xml:space="preserve"> DOI: </w:t>
      </w:r>
      <w:r w:rsidR="00566AB1" w:rsidRPr="00566AB1">
        <w:t>https://doi.org/10.1080/09500690903431561</w:t>
      </w:r>
    </w:p>
    <w:sectPr w:rsidR="00AD5713" w:rsidSect="004E1A2F">
      <w:footerReference w:type="default" r:id="rId14"/>
      <w:pgSz w:w="11901" w:h="16840"/>
      <w:pgMar w:top="1418" w:right="1418" w:bottom="1418" w:left="1418" w:header="709" w:footer="709"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3B803" w14:textId="77777777" w:rsidR="00DF6095" w:rsidRDefault="00DF6095">
      <w:r>
        <w:separator/>
      </w:r>
    </w:p>
  </w:endnote>
  <w:endnote w:type="continuationSeparator" w:id="0">
    <w:p w14:paraId="5CEBDE07" w14:textId="77777777" w:rsidR="00DF6095" w:rsidRDefault="00DF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332B" w14:textId="77777777" w:rsidR="00AD5713" w:rsidRDefault="00AD57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70961" w14:textId="77777777" w:rsidR="00DF6095" w:rsidRDefault="00DF6095">
      <w:r>
        <w:separator/>
      </w:r>
    </w:p>
  </w:footnote>
  <w:footnote w:type="continuationSeparator" w:id="0">
    <w:p w14:paraId="7D8F4600" w14:textId="77777777" w:rsidR="00DF6095" w:rsidRDefault="00DF60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A70AB"/>
    <w:multiLevelType w:val="multilevel"/>
    <w:tmpl w:val="4FC6C972"/>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13"/>
    <w:rsid w:val="00033A89"/>
    <w:rsid w:val="000518B3"/>
    <w:rsid w:val="00075551"/>
    <w:rsid w:val="0009376A"/>
    <w:rsid w:val="000F5108"/>
    <w:rsid w:val="00101E3F"/>
    <w:rsid w:val="002039CA"/>
    <w:rsid w:val="0021657C"/>
    <w:rsid w:val="00233B16"/>
    <w:rsid w:val="002D3B62"/>
    <w:rsid w:val="003D021A"/>
    <w:rsid w:val="003E18C0"/>
    <w:rsid w:val="004E1A2F"/>
    <w:rsid w:val="00566AB1"/>
    <w:rsid w:val="005C350F"/>
    <w:rsid w:val="005D4A52"/>
    <w:rsid w:val="006329A2"/>
    <w:rsid w:val="00647692"/>
    <w:rsid w:val="006B5F02"/>
    <w:rsid w:val="006F513F"/>
    <w:rsid w:val="00715F42"/>
    <w:rsid w:val="0075057F"/>
    <w:rsid w:val="00785589"/>
    <w:rsid w:val="007B6692"/>
    <w:rsid w:val="007C0EF0"/>
    <w:rsid w:val="007C445F"/>
    <w:rsid w:val="007D3258"/>
    <w:rsid w:val="008232B1"/>
    <w:rsid w:val="00840803"/>
    <w:rsid w:val="008506FE"/>
    <w:rsid w:val="008C75B3"/>
    <w:rsid w:val="009358C9"/>
    <w:rsid w:val="00956853"/>
    <w:rsid w:val="00974EDE"/>
    <w:rsid w:val="00976A7F"/>
    <w:rsid w:val="009E068C"/>
    <w:rsid w:val="00A53031"/>
    <w:rsid w:val="00A90A32"/>
    <w:rsid w:val="00A94359"/>
    <w:rsid w:val="00AC2952"/>
    <w:rsid w:val="00AC7217"/>
    <w:rsid w:val="00AD5713"/>
    <w:rsid w:val="00AE6D40"/>
    <w:rsid w:val="00B11078"/>
    <w:rsid w:val="00B51DB3"/>
    <w:rsid w:val="00BF01B0"/>
    <w:rsid w:val="00CC0F49"/>
    <w:rsid w:val="00CF6F99"/>
    <w:rsid w:val="00D0513E"/>
    <w:rsid w:val="00D13F67"/>
    <w:rsid w:val="00DB0B19"/>
    <w:rsid w:val="00DF6095"/>
    <w:rsid w:val="00E07CB7"/>
    <w:rsid w:val="00FF54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C23B"/>
  <w15:docId w15:val="{6E57660B-E0BF-AB44-8F80-66B2D9E8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8DC"/>
  </w:style>
  <w:style w:type="paragraph" w:styleId="Ttulo1">
    <w:name w:val="heading 1"/>
    <w:basedOn w:val="Normal"/>
    <w:next w:val="Paragraph"/>
    <w:link w:val="Ttulo1Car"/>
    <w:uiPriority w:val="9"/>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uiPriority w:val="9"/>
    <w:unhideWhenUsed/>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uiPriority w:val="9"/>
    <w:semiHidden/>
    <w:unhideWhenUsed/>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uiPriority w:val="9"/>
    <w:semiHidden/>
    <w:unhideWhenUsed/>
    <w:qFormat/>
    <w:rsid w:val="00F43B9D"/>
    <w:pPr>
      <w:spacing w:before="360"/>
      <w:outlineLvl w:val="3"/>
    </w:pPr>
    <w:rPr>
      <w:bCs/>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line="480" w:lineRule="auto"/>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pPr>
      <w:spacing w:line="480" w:lineRule="auto"/>
    </w:pPr>
  </w:style>
  <w:style w:type="paragraph" w:customStyle="1" w:styleId="Paragraph">
    <w:name w:val="Paragraph"/>
    <w:basedOn w:val="Normal"/>
    <w:next w:val="Newparagraph"/>
    <w:qFormat/>
    <w:rsid w:val="001B7681"/>
    <w:pPr>
      <w:widowControl w:val="0"/>
      <w:spacing w:before="240" w:line="480" w:lineRule="auto"/>
    </w:pPr>
  </w:style>
  <w:style w:type="paragraph" w:customStyle="1" w:styleId="Newparagraph">
    <w:name w:val="New paragraph"/>
    <w:basedOn w:val="Normal"/>
    <w:qFormat/>
    <w:rsid w:val="00AE2F8D"/>
    <w:pPr>
      <w:spacing w:line="480" w:lineRule="auto"/>
      <w:ind w:firstLine="720"/>
    </w:pPr>
  </w:style>
  <w:style w:type="paragraph" w:styleId="Sangranormal">
    <w:name w:val="Normal Indent"/>
    <w:basedOn w:val="Normal"/>
    <w:rsid w:val="00526454"/>
    <w:pPr>
      <w:spacing w:line="480" w:lineRule="auto"/>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Textonotapie">
    <w:name w:val="footnote text"/>
    <w:basedOn w:val="Normal"/>
    <w:link w:val="TextonotapieCar"/>
    <w:autoRedefine/>
    <w:rsid w:val="006C19B2"/>
    <w:pPr>
      <w:spacing w:line="480" w:lineRule="auto"/>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spacing w:line="480" w:lineRule="auto"/>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F02F94"/>
    <w:pPr>
      <w:tabs>
        <w:tab w:val="center" w:pos="4320"/>
        <w:tab w:val="right" w:pos="8640"/>
      </w:tabs>
    </w:pPr>
  </w:style>
  <w:style w:type="character" w:customStyle="1" w:styleId="EncabezadoCar">
    <w:name w:val="Encabezado Car"/>
    <w:basedOn w:val="Fuentedeprrafopredeter"/>
    <w:link w:val="Encabezado"/>
    <w:rsid w:val="00F02F94"/>
    <w:rPr>
      <w:sz w:val="24"/>
      <w:szCs w:val="24"/>
    </w:rPr>
  </w:style>
  <w:style w:type="paragraph" w:styleId="Piedepgina">
    <w:name w:val="footer"/>
    <w:basedOn w:val="Normal"/>
    <w:link w:val="PiedepginaCar"/>
    <w:rsid w:val="00F02F94"/>
    <w:pPr>
      <w:tabs>
        <w:tab w:val="center" w:pos="4320"/>
        <w:tab w:val="right" w:pos="8640"/>
      </w:tabs>
    </w:pPr>
  </w:style>
  <w:style w:type="character" w:customStyle="1" w:styleId="PiedepginaCar">
    <w:name w:val="Pie de página Car"/>
    <w:basedOn w:val="Fuentedeprrafopredeter"/>
    <w:link w:val="Piedepgina"/>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rmalWeb">
    <w:name w:val="Normal (Web)"/>
    <w:basedOn w:val="Normal"/>
    <w:uiPriority w:val="99"/>
    <w:semiHidden/>
    <w:unhideWhenUsed/>
    <w:rsid w:val="007D5796"/>
    <w:pPr>
      <w:spacing w:before="100" w:beforeAutospacing="1" w:after="100" w:afterAutospacing="1"/>
    </w:pPr>
  </w:style>
  <w:style w:type="character" w:styleId="Hipervnculo">
    <w:name w:val="Hyperlink"/>
    <w:basedOn w:val="Fuentedeprrafopredeter"/>
    <w:uiPriority w:val="99"/>
    <w:unhideWhenUsed/>
    <w:rsid w:val="00B411D5"/>
    <w:rPr>
      <w:color w:val="0000FF"/>
      <w:u w:val="single"/>
    </w:rPr>
  </w:style>
  <w:style w:type="character" w:styleId="Refdecomentario">
    <w:name w:val="annotation reference"/>
    <w:basedOn w:val="Fuentedeprrafopredeter"/>
    <w:semiHidden/>
    <w:unhideWhenUsed/>
    <w:rsid w:val="00E747A7"/>
    <w:rPr>
      <w:sz w:val="16"/>
      <w:szCs w:val="16"/>
    </w:rPr>
  </w:style>
  <w:style w:type="paragraph" w:styleId="Textocomentario">
    <w:name w:val="annotation text"/>
    <w:basedOn w:val="Normal"/>
    <w:link w:val="TextocomentarioCar"/>
    <w:unhideWhenUsed/>
    <w:rsid w:val="00E747A7"/>
    <w:rPr>
      <w:sz w:val="20"/>
      <w:szCs w:val="20"/>
    </w:rPr>
  </w:style>
  <w:style w:type="character" w:customStyle="1" w:styleId="TextocomentarioCar">
    <w:name w:val="Texto comentario Car"/>
    <w:basedOn w:val="Fuentedeprrafopredeter"/>
    <w:link w:val="Textocomentario"/>
    <w:rsid w:val="00E747A7"/>
  </w:style>
  <w:style w:type="paragraph" w:styleId="Asuntodelcomentario">
    <w:name w:val="annotation subject"/>
    <w:basedOn w:val="Textocomentario"/>
    <w:next w:val="Textocomentario"/>
    <w:link w:val="AsuntodelcomentarioCar"/>
    <w:semiHidden/>
    <w:unhideWhenUsed/>
    <w:rsid w:val="00E747A7"/>
    <w:rPr>
      <w:b/>
      <w:bCs/>
    </w:rPr>
  </w:style>
  <w:style w:type="character" w:customStyle="1" w:styleId="AsuntodelcomentarioCar">
    <w:name w:val="Asunto del comentario Car"/>
    <w:basedOn w:val="TextocomentarioCar"/>
    <w:link w:val="Asuntodelcomentario"/>
    <w:semiHidden/>
    <w:rsid w:val="00E747A7"/>
    <w:rPr>
      <w:b/>
      <w:bCs/>
    </w:rPr>
  </w:style>
  <w:style w:type="paragraph" w:styleId="Textodeglobo">
    <w:name w:val="Balloon Text"/>
    <w:basedOn w:val="Normal"/>
    <w:link w:val="TextodegloboCar"/>
    <w:semiHidden/>
    <w:unhideWhenUsed/>
    <w:rsid w:val="00E747A7"/>
    <w:rPr>
      <w:rFonts w:ascii="Segoe UI" w:hAnsi="Segoe UI" w:cs="Segoe UI"/>
      <w:sz w:val="18"/>
      <w:szCs w:val="18"/>
    </w:rPr>
  </w:style>
  <w:style w:type="character" w:customStyle="1" w:styleId="TextodegloboCar">
    <w:name w:val="Texto de globo Car"/>
    <w:basedOn w:val="Fuentedeprrafopredeter"/>
    <w:link w:val="Textodeglobo"/>
    <w:semiHidden/>
    <w:rsid w:val="00E747A7"/>
    <w:rPr>
      <w:rFonts w:ascii="Segoe UI" w:hAnsi="Segoe UI" w:cs="Segoe UI"/>
      <w:sz w:val="18"/>
      <w:szCs w:val="18"/>
    </w:rPr>
  </w:style>
  <w:style w:type="character" w:styleId="Nmerodelnea">
    <w:name w:val="line number"/>
    <w:basedOn w:val="Fuentedeprrafopredeter"/>
    <w:semiHidden/>
    <w:unhideWhenUsed/>
    <w:rsid w:val="00057C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5" w:type="dxa"/>
        <w:left w:w="15" w:type="dxa"/>
        <w:bottom w:w="15" w:type="dxa"/>
        <w:right w:w="15" w:type="dxa"/>
      </w:tblCellMar>
    </w:tblPr>
  </w:style>
  <w:style w:type="table" w:customStyle="1" w:styleId="a0">
    <w:basedOn w:val="Tablanormal"/>
    <w:tblPr>
      <w:tblStyleRowBandSize w:val="1"/>
      <w:tblStyleColBandSize w:val="1"/>
      <w:tblCellMar>
        <w:top w:w="15" w:type="dxa"/>
        <w:left w:w="15" w:type="dxa"/>
        <w:bottom w:w="15" w:type="dxa"/>
        <w:right w:w="15" w:type="dxa"/>
      </w:tblCellMar>
    </w:tblPr>
  </w:style>
  <w:style w:type="table" w:customStyle="1" w:styleId="a1">
    <w:basedOn w:val="Tablanormal"/>
    <w:tblPr>
      <w:tblStyleRowBandSize w:val="1"/>
      <w:tblStyleColBandSize w:val="1"/>
      <w:tblCellMar>
        <w:top w:w="15" w:type="dxa"/>
        <w:left w:w="15" w:type="dxa"/>
        <w:bottom w:w="15" w:type="dxa"/>
        <w:right w:w="15" w:type="dxa"/>
      </w:tblCellMar>
    </w:tblPr>
  </w:style>
  <w:style w:type="table" w:customStyle="1" w:styleId="a2">
    <w:basedOn w:val="Tablanormal"/>
    <w:tblPr>
      <w:tblStyleRowBandSize w:val="1"/>
      <w:tblStyleColBandSize w:val="1"/>
      <w:tblCellMar>
        <w:top w:w="15" w:type="dxa"/>
        <w:left w:w="15" w:type="dxa"/>
        <w:bottom w:w="15" w:type="dxa"/>
        <w:right w:w="15" w:type="dxa"/>
      </w:tblCellMar>
    </w:tblPr>
  </w:style>
  <w:style w:type="paragraph" w:styleId="Revisin">
    <w:name w:val="Revision"/>
    <w:hidden/>
    <w:uiPriority w:val="99"/>
    <w:semiHidden/>
    <w:rsid w:val="00D13206"/>
  </w:style>
  <w:style w:type="character" w:customStyle="1" w:styleId="UnresolvedMention">
    <w:name w:val="Unresolved Mention"/>
    <w:basedOn w:val="Fuentedeprrafopredeter"/>
    <w:uiPriority w:val="99"/>
    <w:semiHidden/>
    <w:unhideWhenUsed/>
    <w:rsid w:val="003F12DA"/>
    <w:rPr>
      <w:color w:val="605E5C"/>
      <w:shd w:val="clear" w:color="auto" w:fill="E1DFDD"/>
    </w:r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5" w:type="dxa"/>
        <w:left w:w="15" w:type="dxa"/>
        <w:bottom w:w="15" w:type="dxa"/>
        <w:right w:w="15" w:type="dxa"/>
      </w:tblCellMar>
    </w:tblPr>
  </w:style>
  <w:style w:type="table" w:customStyle="1" w:styleId="a5">
    <w:basedOn w:val="Tablanormal"/>
    <w:tblPr>
      <w:tblStyleRowBandSize w:val="1"/>
      <w:tblStyleColBandSize w:val="1"/>
      <w:tblCellMar>
        <w:top w:w="15" w:type="dxa"/>
        <w:left w:w="15" w:type="dxa"/>
        <w:bottom w:w="15" w:type="dxa"/>
        <w:right w:w="15" w:type="dxa"/>
      </w:tblCellMar>
    </w:tblPr>
  </w:style>
  <w:style w:type="table" w:customStyle="1" w:styleId="a6">
    <w:basedOn w:val="Tablanormal"/>
    <w:tblPr>
      <w:tblStyleRowBandSize w:val="1"/>
      <w:tblStyleColBandSize w:val="1"/>
      <w:tblCellMar>
        <w:top w:w="15" w:type="dxa"/>
        <w:left w:w="15" w:type="dxa"/>
        <w:bottom w:w="15" w:type="dxa"/>
        <w:right w:w="15" w:type="dxa"/>
      </w:tblCellMar>
    </w:tblPr>
  </w:style>
  <w:style w:type="table" w:customStyle="1" w:styleId="a7">
    <w:basedOn w:val="Tablanormal"/>
    <w:tblPr>
      <w:tblStyleRowBandSize w:val="1"/>
      <w:tblStyleColBandSize w:val="1"/>
      <w:tblCellMar>
        <w:top w:w="15" w:type="dxa"/>
        <w:left w:w="15" w:type="dxa"/>
        <w:bottom w:w="15" w:type="dxa"/>
        <w:right w:w="15" w:type="dxa"/>
      </w:tblCellMar>
    </w:tblPr>
  </w:style>
  <w:style w:type="character" w:customStyle="1" w:styleId="label">
    <w:name w:val="label"/>
    <w:basedOn w:val="Fuentedeprrafopredeter"/>
    <w:rsid w:val="0021657C"/>
  </w:style>
  <w:style w:type="character" w:customStyle="1" w:styleId="value">
    <w:name w:val="value"/>
    <w:basedOn w:val="Fuentedeprrafopredeter"/>
    <w:rsid w:val="00216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7193">
      <w:bodyDiv w:val="1"/>
      <w:marLeft w:val="0"/>
      <w:marRight w:val="0"/>
      <w:marTop w:val="0"/>
      <w:marBottom w:val="0"/>
      <w:divBdr>
        <w:top w:val="none" w:sz="0" w:space="0" w:color="auto"/>
        <w:left w:val="none" w:sz="0" w:space="0" w:color="auto"/>
        <w:bottom w:val="none" w:sz="0" w:space="0" w:color="auto"/>
        <w:right w:val="none" w:sz="0" w:space="0" w:color="auto"/>
      </w:divBdr>
    </w:div>
    <w:div w:id="248274469">
      <w:bodyDiv w:val="1"/>
      <w:marLeft w:val="0"/>
      <w:marRight w:val="0"/>
      <w:marTop w:val="0"/>
      <w:marBottom w:val="0"/>
      <w:divBdr>
        <w:top w:val="none" w:sz="0" w:space="0" w:color="auto"/>
        <w:left w:val="none" w:sz="0" w:space="0" w:color="auto"/>
        <w:bottom w:val="none" w:sz="0" w:space="0" w:color="auto"/>
        <w:right w:val="none" w:sz="0" w:space="0" w:color="auto"/>
      </w:divBdr>
      <w:divsChild>
        <w:div w:id="1533154663">
          <w:marLeft w:val="0"/>
          <w:marRight w:val="0"/>
          <w:marTop w:val="0"/>
          <w:marBottom w:val="0"/>
          <w:divBdr>
            <w:top w:val="none" w:sz="0" w:space="0" w:color="auto"/>
            <w:left w:val="none" w:sz="0" w:space="0" w:color="auto"/>
            <w:bottom w:val="none" w:sz="0" w:space="0" w:color="auto"/>
            <w:right w:val="none" w:sz="0" w:space="0" w:color="auto"/>
          </w:divBdr>
        </w:div>
      </w:divsChild>
    </w:div>
    <w:div w:id="291711390">
      <w:bodyDiv w:val="1"/>
      <w:marLeft w:val="0"/>
      <w:marRight w:val="0"/>
      <w:marTop w:val="0"/>
      <w:marBottom w:val="0"/>
      <w:divBdr>
        <w:top w:val="none" w:sz="0" w:space="0" w:color="auto"/>
        <w:left w:val="none" w:sz="0" w:space="0" w:color="auto"/>
        <w:bottom w:val="none" w:sz="0" w:space="0" w:color="auto"/>
        <w:right w:val="none" w:sz="0" w:space="0" w:color="auto"/>
      </w:divBdr>
    </w:div>
    <w:div w:id="386608790">
      <w:bodyDiv w:val="1"/>
      <w:marLeft w:val="0"/>
      <w:marRight w:val="0"/>
      <w:marTop w:val="0"/>
      <w:marBottom w:val="0"/>
      <w:divBdr>
        <w:top w:val="none" w:sz="0" w:space="0" w:color="auto"/>
        <w:left w:val="none" w:sz="0" w:space="0" w:color="auto"/>
        <w:bottom w:val="none" w:sz="0" w:space="0" w:color="auto"/>
        <w:right w:val="none" w:sz="0" w:space="0" w:color="auto"/>
      </w:divBdr>
      <w:divsChild>
        <w:div w:id="1046373418">
          <w:marLeft w:val="0"/>
          <w:marRight w:val="0"/>
          <w:marTop w:val="15"/>
          <w:marBottom w:val="0"/>
          <w:divBdr>
            <w:top w:val="single" w:sz="48" w:space="0" w:color="auto"/>
            <w:left w:val="single" w:sz="48" w:space="0" w:color="auto"/>
            <w:bottom w:val="single" w:sz="48" w:space="0" w:color="auto"/>
            <w:right w:val="single" w:sz="48" w:space="0" w:color="auto"/>
          </w:divBdr>
          <w:divsChild>
            <w:div w:id="953294952">
              <w:marLeft w:val="0"/>
              <w:marRight w:val="0"/>
              <w:marTop w:val="0"/>
              <w:marBottom w:val="0"/>
              <w:divBdr>
                <w:top w:val="none" w:sz="0" w:space="0" w:color="auto"/>
                <w:left w:val="none" w:sz="0" w:space="0" w:color="auto"/>
                <w:bottom w:val="none" w:sz="0" w:space="0" w:color="auto"/>
                <w:right w:val="none" w:sz="0" w:space="0" w:color="auto"/>
              </w:divBdr>
            </w:div>
          </w:divsChild>
        </w:div>
        <w:div w:id="1263416187">
          <w:marLeft w:val="0"/>
          <w:marRight w:val="0"/>
          <w:marTop w:val="15"/>
          <w:marBottom w:val="0"/>
          <w:divBdr>
            <w:top w:val="single" w:sz="48" w:space="0" w:color="auto"/>
            <w:left w:val="single" w:sz="48" w:space="0" w:color="auto"/>
            <w:bottom w:val="single" w:sz="48" w:space="0" w:color="auto"/>
            <w:right w:val="single" w:sz="48" w:space="0" w:color="auto"/>
          </w:divBdr>
          <w:divsChild>
            <w:div w:id="894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3312">
      <w:bodyDiv w:val="1"/>
      <w:marLeft w:val="0"/>
      <w:marRight w:val="0"/>
      <w:marTop w:val="0"/>
      <w:marBottom w:val="0"/>
      <w:divBdr>
        <w:top w:val="none" w:sz="0" w:space="0" w:color="auto"/>
        <w:left w:val="none" w:sz="0" w:space="0" w:color="auto"/>
        <w:bottom w:val="none" w:sz="0" w:space="0" w:color="auto"/>
        <w:right w:val="none" w:sz="0" w:space="0" w:color="auto"/>
      </w:divBdr>
    </w:div>
    <w:div w:id="1061556251">
      <w:bodyDiv w:val="1"/>
      <w:marLeft w:val="0"/>
      <w:marRight w:val="0"/>
      <w:marTop w:val="0"/>
      <w:marBottom w:val="0"/>
      <w:divBdr>
        <w:top w:val="none" w:sz="0" w:space="0" w:color="auto"/>
        <w:left w:val="none" w:sz="0" w:space="0" w:color="auto"/>
        <w:bottom w:val="none" w:sz="0" w:space="0" w:color="auto"/>
        <w:right w:val="none" w:sz="0" w:space="0" w:color="auto"/>
      </w:divBdr>
    </w:div>
    <w:div w:id="1161120183">
      <w:bodyDiv w:val="1"/>
      <w:marLeft w:val="0"/>
      <w:marRight w:val="0"/>
      <w:marTop w:val="0"/>
      <w:marBottom w:val="0"/>
      <w:divBdr>
        <w:top w:val="none" w:sz="0" w:space="0" w:color="auto"/>
        <w:left w:val="none" w:sz="0" w:space="0" w:color="auto"/>
        <w:bottom w:val="none" w:sz="0" w:space="0" w:color="auto"/>
        <w:right w:val="none" w:sz="0" w:space="0" w:color="auto"/>
      </w:divBdr>
    </w:div>
    <w:div w:id="1285845074">
      <w:bodyDiv w:val="1"/>
      <w:marLeft w:val="0"/>
      <w:marRight w:val="0"/>
      <w:marTop w:val="0"/>
      <w:marBottom w:val="0"/>
      <w:divBdr>
        <w:top w:val="none" w:sz="0" w:space="0" w:color="auto"/>
        <w:left w:val="none" w:sz="0" w:space="0" w:color="auto"/>
        <w:bottom w:val="none" w:sz="0" w:space="0" w:color="auto"/>
        <w:right w:val="none" w:sz="0" w:space="0" w:color="auto"/>
      </w:divBdr>
    </w:div>
    <w:div w:id="1547449482">
      <w:bodyDiv w:val="1"/>
      <w:marLeft w:val="0"/>
      <w:marRight w:val="0"/>
      <w:marTop w:val="0"/>
      <w:marBottom w:val="0"/>
      <w:divBdr>
        <w:top w:val="none" w:sz="0" w:space="0" w:color="auto"/>
        <w:left w:val="none" w:sz="0" w:space="0" w:color="auto"/>
        <w:bottom w:val="none" w:sz="0" w:space="0" w:color="auto"/>
        <w:right w:val="none" w:sz="0" w:space="0" w:color="auto"/>
      </w:divBdr>
    </w:div>
    <w:div w:id="1941646867">
      <w:bodyDiv w:val="1"/>
      <w:marLeft w:val="0"/>
      <w:marRight w:val="0"/>
      <w:marTop w:val="0"/>
      <w:marBottom w:val="0"/>
      <w:divBdr>
        <w:top w:val="none" w:sz="0" w:space="0" w:color="auto"/>
        <w:left w:val="none" w:sz="0" w:space="0" w:color="auto"/>
        <w:bottom w:val="none" w:sz="0" w:space="0" w:color="auto"/>
        <w:right w:val="none" w:sz="0" w:space="0" w:color="auto"/>
      </w:divBdr>
    </w:div>
    <w:div w:id="2071078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contenidos.inegi.org.mx/contenidos/Productos/prod_serv/contenidos/espanol/bvinegi/productos/nueva_estruc/anuarios_2017/7028250962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446/rev.fac.cienc.v4n2.514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09/RCED.525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080/0950069070134496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NHKeLvzgcbGoZerHs3lGaiA4Q==">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20</Pages>
  <Words>6296</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CTBC</cp:lastModifiedBy>
  <cp:revision>24</cp:revision>
  <dcterms:created xsi:type="dcterms:W3CDTF">2023-02-10T15:23:00Z</dcterms:created>
  <dcterms:modified xsi:type="dcterms:W3CDTF">2023-09-18T19:08:00Z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e11ce508766e8a8473c1a7bd900db030f58e3eeeb8df86da499744826f03f876</vt:lpwstr>
  </property>
</Properties>
</file>