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21B2A" w14:textId="4EE30930" w:rsidR="00741CF9" w:rsidRDefault="00153DC5" w:rsidP="00741CF9">
      <w:pPr>
        <w:pStyle w:val="Titulodeartculo"/>
        <w:rPr>
          <w:lang w:val="en-US" w:eastAsia="pt-BR"/>
        </w:rPr>
      </w:pPr>
      <w:r w:rsidRPr="002B2297">
        <w:rPr>
          <w:lang w:val="en-US"/>
        </w:rPr>
        <w:t xml:space="preserve"> </w:t>
      </w:r>
      <w:bookmarkStart w:id="0" w:name="_GoBack"/>
      <w:r w:rsidR="00741CF9">
        <w:rPr>
          <w:lang w:val="en-US"/>
        </w:rPr>
        <w:t>Descriptions of attachment representations in Burundian school-age children with and without attention deficit disorder</w:t>
      </w:r>
      <w:bookmarkEnd w:id="0"/>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D697F1"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Default="00C413D4" w:rsidP="00C43335">
      <w:pPr>
        <w:pStyle w:val="TtuloResumen"/>
        <w:rPr>
          <w:lang w:val="en-US"/>
        </w:rPr>
      </w:pPr>
      <w:r w:rsidRPr="00E25900">
        <w:rPr>
          <w:lang w:val="en-US"/>
        </w:rPr>
        <w:t>Abstract</w:t>
      </w:r>
    </w:p>
    <w:p w14:paraId="0A9B4F10" w14:textId="48B2349A" w:rsidR="00205C88" w:rsidRDefault="00205C88" w:rsidP="00205C88">
      <w:pPr>
        <w:spacing w:line="360" w:lineRule="auto"/>
        <w:jc w:val="both"/>
        <w:rPr>
          <w:lang w:val="en-US"/>
        </w:rPr>
      </w:pPr>
      <w:r>
        <w:rPr>
          <w:lang w:val="en-US"/>
        </w:rPr>
        <w:t>This paper examines attachment representations in Burundian children with attention deficit hyperactivity disorder (ADHD). Children with ADHD have anxious and disordered bonding representations than their normally developing peers, and what factors explain this association. The People in My Life questionnaire was used to asses</w:t>
      </w:r>
      <w:r w:rsidR="00135E7A">
        <w:rPr>
          <w:lang w:val="en-US"/>
        </w:rPr>
        <w:t>s bonding representations in 110</w:t>
      </w:r>
      <w:r>
        <w:rPr>
          <w:lang w:val="en-US"/>
        </w:rPr>
        <w:t xml:space="preserve"> children aged 7-12 years, 80 with ADH</w:t>
      </w:r>
      <w:r w:rsidR="00817396">
        <w:rPr>
          <w:lang w:val="en-US"/>
        </w:rPr>
        <w:t>D and no conduct disorder and 30</w:t>
      </w:r>
      <w:r>
        <w:rPr>
          <w:lang w:val="en-US"/>
        </w:rPr>
        <w:t xml:space="preserve"> normally developing control children.The parents' expressed emotions, competence, education and OCD were assessed </w:t>
      </w:r>
    </w:p>
    <w:p w14:paraId="0334CB51" w14:textId="77777777" w:rsidR="00205C88" w:rsidRDefault="00205C88" w:rsidP="00205C88">
      <w:pPr>
        <w:spacing w:line="360" w:lineRule="auto"/>
        <w:jc w:val="both"/>
        <w:rPr>
          <w:lang w:val="en-US"/>
        </w:rPr>
      </w:pPr>
      <w:r>
        <w:rPr>
          <w:lang w:val="en-US"/>
        </w:rPr>
        <w:t>In contrast to their peers, ADHD children were found to have less secure and ambivalent bonding representations, regardless of the presence of OCD or their level of education. Children with ADHD display higher levels of bonding organization and insecurity than their normally developing peers.These findings suggest that ADHD may have a unique impact on attachment representations in children, regardless of other factors that typically influence attachment. Further research is needed to explore the specific mechanisms underlying this relationship and to develop interventions that can improve attachment security in children with ADHD. Children with ADHD often suffer from attachment problems, but the implications of this co-occurrence are not yet clear and research is in its infancy.</w:t>
      </w:r>
    </w:p>
    <w:p w14:paraId="5468F70A" w14:textId="77777777" w:rsidR="00205C88" w:rsidRPr="00E25900" w:rsidRDefault="00205C88" w:rsidP="00C43335">
      <w:pPr>
        <w:pStyle w:val="TtuloResumen"/>
        <w:rPr>
          <w:lang w:val="en-US"/>
        </w:rPr>
      </w:pP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19E350F6" w:rsidR="00153DC5" w:rsidRPr="00E25900" w:rsidRDefault="00205C88" w:rsidP="007A7C7C">
      <w:pPr>
        <w:jc w:val="both"/>
        <w:rPr>
          <w:bCs/>
          <w:sz w:val="20"/>
          <w:szCs w:val="20"/>
          <w:lang w:val="en-US"/>
        </w:rPr>
      </w:pPr>
      <w:r w:rsidRPr="00205C88">
        <w:rPr>
          <w:bCs/>
          <w:sz w:val="20"/>
          <w:szCs w:val="20"/>
          <w:lang w:val="en-US"/>
        </w:rPr>
        <w:t>Attention deficit/hyperactivity disorder (ADHD); attachment; children; parenting; parent-child relationship</w:t>
      </w:r>
    </w:p>
    <w:p w14:paraId="3C2A8692" w14:textId="46796CA0" w:rsidR="00153DC5" w:rsidRPr="00E25900" w:rsidRDefault="00153DC5" w:rsidP="007A7C7C">
      <w:pPr>
        <w:jc w:val="both"/>
        <w:rPr>
          <w:bCs/>
          <w:sz w:val="20"/>
          <w:szCs w:val="20"/>
          <w:lang w:val="en-US"/>
        </w:rPr>
      </w:pPr>
    </w:p>
    <w:p w14:paraId="1D18B459" w14:textId="6C2D65CC" w:rsidR="009E37BF" w:rsidRPr="005E4ED4" w:rsidRDefault="009E37BF" w:rsidP="009E37BF">
      <w:pPr>
        <w:pBdr>
          <w:top w:val="nil"/>
          <w:left w:val="nil"/>
          <w:bottom w:val="nil"/>
          <w:right w:val="nil"/>
          <w:between w:val="nil"/>
        </w:pBdr>
        <w:spacing w:after="120"/>
        <w:jc w:val="center"/>
        <w:rPr>
          <w:b/>
          <w:smallCaps/>
          <w:color w:val="000000"/>
          <w:sz w:val="20"/>
          <w:szCs w:val="20"/>
          <w:lang w:val="fr-FR"/>
        </w:rPr>
      </w:pPr>
      <w:r w:rsidRPr="005E4ED4">
        <w:rPr>
          <w:b/>
          <w:smallCaps/>
          <w:color w:val="000000"/>
          <w:sz w:val="20"/>
          <w:szCs w:val="20"/>
          <w:lang w:val="fr-FR"/>
        </w:rPr>
        <w:t>R</w:t>
      </w:r>
      <w:r w:rsidRPr="005E4ED4">
        <w:rPr>
          <w:b/>
          <w:smallCaps/>
          <w:sz w:val="20"/>
          <w:szCs w:val="20"/>
          <w:lang w:val="fr-FR"/>
        </w:rPr>
        <w:t>ésumé</w:t>
      </w:r>
    </w:p>
    <w:p w14:paraId="0F1523BB" w14:textId="6EC04015" w:rsidR="00A90868" w:rsidRPr="00205C88" w:rsidRDefault="00205C88" w:rsidP="00205C88">
      <w:pPr>
        <w:spacing w:line="360" w:lineRule="auto"/>
        <w:jc w:val="both"/>
        <w:rPr>
          <w:bCs/>
          <w:lang w:val="fr-FR"/>
        </w:rPr>
      </w:pPr>
      <w:r w:rsidRPr="00205C88">
        <w:rPr>
          <w:bCs/>
          <w:lang w:val="fr-FR"/>
        </w:rPr>
        <w:t>Cet article examine les représentations de l’attachement chez les enfants burundais atteints de trouble déficitaire de l’attention avec hyperactivité (TDAH). Les enfants atteints de TDAH ont des représentations de liaison anxieuses et désordonnées que leurs pairs en développement normal, et quels facteurs expliquent cette association. Le questionnaire People in My Life a été utilisé pour évaluer les rep</w:t>
      </w:r>
      <w:r w:rsidR="00135E7A">
        <w:rPr>
          <w:bCs/>
          <w:lang w:val="fr-FR"/>
        </w:rPr>
        <w:t>résentations de liaison chez 110</w:t>
      </w:r>
      <w:r w:rsidRPr="00205C88">
        <w:rPr>
          <w:bCs/>
          <w:lang w:val="fr-FR"/>
        </w:rPr>
        <w:t xml:space="preserve"> enfants âgés de 7 à 12 ans, 80 atteints de TDAH et sans trouble des conduites et 34 enfants témoins en développement normal. Les émotions, les </w:t>
      </w:r>
      <w:r w:rsidRPr="00205C88">
        <w:rPr>
          <w:bCs/>
          <w:lang w:val="fr-FR"/>
        </w:rPr>
        <w:lastRenderedPageBreak/>
        <w:t>compétences, l’éducation et le TOC exprimés par les parents ont été évalués</w:t>
      </w:r>
      <w:r w:rsidR="00AA7D0D">
        <w:rPr>
          <w:bCs/>
          <w:lang w:val="fr-FR"/>
        </w:rPr>
        <w:t>.</w:t>
      </w:r>
      <w:r w:rsidRPr="00205C88">
        <w:rPr>
          <w:bCs/>
          <w:lang w:val="fr-FR"/>
        </w:rPr>
        <w:t xml:space="preserve"> Contrairement à leurs pairs, les enfants atteints de TDAH se sont avérés avoir des représentations de liaison moins sûres et ambivalentes, indépendamment de la présence de TOC ou de leur niveau d’éducation. Les enfants atteints de TDAH présentent des niveaux plus élevés d’organisation de liens et d’insécurité que leurs pairs en développement normal. Ces résultats suggèrent que le TDAH peut avoir un impact unique sur les représentations de l’attachement chez les enfants, indépendamment des autres facteurs qui influencent généralement l’attachement</w:t>
      </w:r>
    </w:p>
    <w:p w14:paraId="57CB705B" w14:textId="286CACC9" w:rsidR="009E37BF" w:rsidRPr="00205C88" w:rsidRDefault="009E37BF" w:rsidP="009E37BF">
      <w:pPr>
        <w:jc w:val="both"/>
        <w:rPr>
          <w:i/>
          <w:sz w:val="20"/>
          <w:szCs w:val="20"/>
          <w:lang w:val="fr-FR"/>
        </w:rPr>
      </w:pPr>
    </w:p>
    <w:p w14:paraId="32A22B7A" w14:textId="77777777" w:rsidR="009E37BF" w:rsidRPr="00205C88" w:rsidRDefault="009E37BF" w:rsidP="009E37BF">
      <w:pPr>
        <w:rPr>
          <w:sz w:val="20"/>
          <w:szCs w:val="20"/>
          <w:lang w:val="fr-FR"/>
        </w:rPr>
      </w:pPr>
    </w:p>
    <w:p w14:paraId="126AA7B0" w14:textId="39E988AD" w:rsidR="009E37BF" w:rsidRPr="00741CF9" w:rsidRDefault="009E37BF" w:rsidP="009E37BF">
      <w:pPr>
        <w:jc w:val="both"/>
        <w:rPr>
          <w:b/>
          <w:sz w:val="20"/>
          <w:szCs w:val="20"/>
          <w:lang w:val="fr-FR"/>
        </w:rPr>
      </w:pPr>
      <w:r w:rsidRPr="00741CF9">
        <w:rPr>
          <w:b/>
          <w:sz w:val="20"/>
          <w:szCs w:val="20"/>
          <w:lang w:val="fr-FR"/>
        </w:rPr>
        <w:t>Mots-clés</w:t>
      </w:r>
    </w:p>
    <w:p w14:paraId="3B35E00C" w14:textId="01F0B089" w:rsidR="00483D6B" w:rsidRPr="009E37BF" w:rsidRDefault="00A90868" w:rsidP="00B6522A">
      <w:pPr>
        <w:rPr>
          <w:b/>
          <w:lang w:val="pt-BR"/>
        </w:rPr>
      </w:pPr>
      <w:r>
        <w:rPr>
          <w:rFonts w:ascii="Garamond" w:hAnsi="Garamond"/>
          <w:lang w:val="fr-FR"/>
        </w:rPr>
        <w:t>Trouble de déficit de l'attention/hyperactivité (TDAH) ; attachement ; enfants ; parentage ; relation parent-enfant</w:t>
      </w:r>
    </w:p>
    <w:p w14:paraId="3F538DA7" w14:textId="366A5BBD" w:rsidR="00153DC5" w:rsidRPr="00E25900" w:rsidRDefault="0059034C" w:rsidP="007A7CDC">
      <w:pPr>
        <w:pStyle w:val="Ttuloprincipiodeartculo"/>
        <w:rPr>
          <w:lang w:val="es-AR"/>
        </w:rPr>
      </w:pPr>
      <w:r w:rsidRPr="009E37BF">
        <w:rPr>
          <w:lang w:val="es-AR"/>
        </w:rPr>
        <w:br w:type="page"/>
      </w:r>
    </w:p>
    <w:p w14:paraId="4FA726CB" w14:textId="0CA97B8C" w:rsidR="006A1BA2" w:rsidRPr="0042142D" w:rsidRDefault="00153DC5" w:rsidP="005E4ED4">
      <w:pPr>
        <w:pStyle w:val="Ttulosinternos"/>
        <w:rPr>
          <w:bCs/>
        </w:rPr>
      </w:pPr>
      <w:r w:rsidRPr="0042142D">
        <w:lastRenderedPageBreak/>
        <w:t>Introduction</w:t>
      </w:r>
    </w:p>
    <w:p w14:paraId="7BB2E8A2" w14:textId="18E489A6" w:rsidR="00205C88" w:rsidRDefault="00205C88" w:rsidP="00205C88">
      <w:pPr>
        <w:autoSpaceDN w:val="0"/>
        <w:spacing w:line="360" w:lineRule="auto"/>
        <w:jc w:val="both"/>
        <w:rPr>
          <w:rFonts w:ascii="Garamond" w:hAnsi="Garamond"/>
          <w:lang w:val="fr-FR" w:eastAsia="fr-FR"/>
        </w:rPr>
      </w:pPr>
      <w:r w:rsidRPr="001745E8">
        <w:rPr>
          <w:rFonts w:ascii="Garamond" w:hAnsi="Garamond"/>
          <w:lang w:val="fr-FR" w:eastAsia="fr-FR"/>
        </w:rPr>
        <w:t>Le trouble déficitaire de l'attention/hyperactivité (TDAH) est un trouble du développement neurologique caractérisé par des niveaux d'inattention, d'hyperactivité et/ou d'impulsivité inadaptés à l'âge, entraînant des déficiences dans plusieurs domaines de la vie</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{"citationID":"jP3mwt6N","properties":{"formattedCitation":"(American Psychiatric Association, 2015)","plainCitation":"(American Psychiatric Association, 2015)","noteIndex":0},"citationItems":[{"id":1780,"uris":["http://zotero.org/users/9196345/items/HZHHUGXR"],"itemData":{"id":1780,"type":"article-journal","container-title":"Issy-les-Moulineaux: APA","journalAbbreviation":"Issy-les-Moulineaux: APA","title":"Manuel diagnostique et statistique des troubles mentaux (DSM-5), 5e édition. Elsevier Masson SAS","author":[{"literal":"American Psychiatric Association"}],"issued":{"date-parts":[["2015"]]}}}],"schema":"https://github.com/citation-style-language/schema/raw/master/csl-citation.json"} </w:instrText>
      </w:r>
      <w:r>
        <w:rPr>
          <w:rFonts w:ascii="Garamond" w:hAnsi="Garamond"/>
          <w:lang w:val="fr-FR" w:eastAsia="fr-FR"/>
        </w:rPr>
        <w:fldChar w:fldCharType="separate"/>
      </w:r>
      <w:r w:rsidRPr="005D38D2">
        <w:rPr>
          <w:rFonts w:ascii="Garamond" w:hAnsi="Garamond"/>
          <w:lang w:val="fr-FR"/>
        </w:rPr>
        <w:t>(American Psychiatric Association, 2015)</w:t>
      </w:r>
      <w:r>
        <w:rPr>
          <w:rFonts w:ascii="Garamond" w:hAnsi="Garamond"/>
          <w:lang w:val="fr-FR" w:eastAsia="fr-FR"/>
        </w:rPr>
        <w:fldChar w:fldCharType="end"/>
      </w:r>
      <w:r w:rsidRPr="001745E8">
        <w:rPr>
          <w:rFonts w:ascii="Garamond" w:hAnsi="Garamond"/>
          <w:lang w:val="fr-FR" w:eastAsia="fr-FR"/>
        </w:rPr>
        <w:t>.</w:t>
      </w:r>
      <w:r>
        <w:rPr>
          <w:rFonts w:ascii="Garamond" w:hAnsi="Garamond"/>
          <w:lang w:val="fr-FR" w:eastAsia="fr-FR"/>
        </w:rPr>
        <w:t xml:space="preserve"> Les recherches sur la prévalence du TDAH indiquent que</w:t>
      </w:r>
      <w:r w:rsidRPr="001745E8">
        <w:rPr>
          <w:rFonts w:ascii="Garamond" w:hAnsi="Garamond"/>
          <w:lang w:val="fr-FR" w:eastAsia="fr-FR"/>
        </w:rPr>
        <w:t xml:space="preserve"> Chez les enfants, la prévalence du TDAH est élevée</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{"citationID":"kjIx2ndX","properties":{"formattedCitation":"(Pineda et al., 1999; Ponnou et al., 2015; Purper-Ouakil et al., 2006a, 2006b)","plainCitation":"(Pineda et al., 1999; Ponnou et al., 2015; Purper-Ouakil et al., 2006a, 2006b)","noteIndex":0},"citationItems":[{"id":333,"uris":["http://zotero.org/users/9196345/items/WM82DPX5"],"itemData":{"id":333,"type":"article-journal","container-title":"Journal of abnormal child psychology","ISSN":"0091-0627","journalAbbreviation":"Journal of abnormal child psychology","note":"publisher: Springer","page":"455-462","title":"Prevalence of attention-deficit/hyperactivity disorder symptoms in 4-to 17-year-old children in the general population","volume":"27","author":[{"family":"Pineda","given":"David"},{"family":"Ardila","given":"Alfredo"},{"family":"Rosselli","given":"Monica"},{"family":"Arias","given":"Beatriz E"},{"family":"Henao","given":"Gloria C"},{"family":"Gomez","given":"Luisa F"},{"family":"Mejia","given":"Silvia E"},{"family":"Miranda","given":"Martha L"}],"issued":{"date-parts":[["1999"]]}},"label":"page"},{"id":1802,"uris":["http://zotero.org/users/9196345/items/YQCMRFMM"],"itemData":{"id":1802,"type":"article-journal","container-title":"Les dossiers des sciences de l’éducation","issue":"34","note":"publisher: Presses universitaires du Mirail","page":"139–154","source":"Google Scholar","title":"Le trouble déficitaire de l’attention avec hyperactivité dans la presse spécialisée destinée aux travailleurs sociaux: évolution des discours psychanalytiques et biomédicaux","title-short":"Le trouble déficitaire de l’attention avec hyperactivité dans la presse spécialisée destinée aux travailleurs sociaux","author":[{"family":"Ponnou","given":"Sébastien"},{"family":"Kohout-Diaz","given":"Magdalena"},{"family":"Gonon","given":"François"}],"issued":{"date-parts":[["2015"]]}},"label":"page"},{"id":1805,"uris":["http://zotero.org/users/9196345/items/3DQA4XY7"],"itemData":{"id":1805,"type":"paper-conference","container-title":"Annales Médico-psychologiques, revue psychiatrique","note":"issue: 1","page":"63–72","publisher":"Elsevier Masson","source":"Google Scholar","title":"Le trouble déficitaire de l'attention–hyperactivité (TDAH) de l'enfant et de l'adolescent","volume":"164","author":[{"family":"Purper-Ouakil","given":"D."},{"family":"Wohl","given":"M."},{"family":"Cortese","given":"S."},{"family":"Michel","given":"G."},{"family":"Mouren","given":"M.-C."}],"issued":{"date-parts":[["2006"]]}},"label":"page"},{"id":1798,"uris":["http://zotero.org/users/9196345/items/VEKXU3TM"],"itemData":{"id":1798,"type":"article-journal","container-title":"Annales Medico-psychologiques - ANN MEDICO-PSYCHOL","DOI":"10.1016/j.amp.2005.11.003","journalAbbreviation":"Annales Medico-psychologiques - ANN MEDICO-PSYCHOL","page":"63-72","source":"ResearchGate","title":"Le trouble déficitaire de l'attention–hyperactivité (TDAH) de l'enfant et de l'adolescent","volume":"164","author":[{"family":"Purper-Ouakil","given":"Diane"},{"family":"Wohl","given":"M."},{"family":"Cortese","given":"Samuele"},{"family":"Michel","given":"Grégory"},{"family":"Mouren","given":"M.-C"}],"issued":{"date-parts":[["2006",2,1]]}},"label":"page"}],"schema":"https://github.com/citation-style-language/schema/raw/master/csl-citation.json"} </w:instrText>
      </w:r>
      <w:r>
        <w:rPr>
          <w:rFonts w:ascii="Garamond" w:hAnsi="Garamond"/>
          <w:lang w:val="fr-FR" w:eastAsia="fr-FR"/>
        </w:rPr>
        <w:fldChar w:fldCharType="separate"/>
      </w:r>
      <w:r w:rsidRPr="00F6450E">
        <w:rPr>
          <w:rFonts w:ascii="Garamond" w:hAnsi="Garamond"/>
          <w:lang w:val="fr-FR"/>
        </w:rPr>
        <w:t>(Pineda et al., 1999; Ponnou et al., 2015; Purper-Ouakil et al., 2006a, 2006b)</w:t>
      </w:r>
      <w:r>
        <w:rPr>
          <w:rFonts w:ascii="Garamond" w:hAnsi="Garamond"/>
          <w:lang w:val="fr-FR" w:eastAsia="fr-FR"/>
        </w:rPr>
        <w:fldChar w:fldCharType="end"/>
      </w:r>
      <w:r>
        <w:rPr>
          <w:rFonts w:ascii="Garamond" w:hAnsi="Garamond"/>
          <w:lang w:val="fr-FR" w:eastAsia="fr-FR"/>
        </w:rPr>
        <w:t>.</w:t>
      </w:r>
      <w:r w:rsidRPr="005D38D2">
        <w:rPr>
          <w:rFonts w:ascii="Georgia" w:hAnsi="Georgia"/>
          <w:color w:val="2E2E2E"/>
          <w:lang w:val="fr-FR"/>
        </w:rPr>
        <w:t xml:space="preserve"> </w:t>
      </w:r>
      <w:r>
        <w:rPr>
          <w:rFonts w:ascii="Garamond" w:hAnsi="Garamond"/>
          <w:color w:val="2E2E2E"/>
          <w:lang w:val="fr-FR"/>
        </w:rPr>
        <w:t>L</w:t>
      </w:r>
      <w:r w:rsidRPr="005D38D2">
        <w:rPr>
          <w:rFonts w:ascii="Garamond" w:hAnsi="Garamond"/>
          <w:color w:val="2E2E2E"/>
          <w:lang w:val="fr-FR"/>
        </w:rPr>
        <w:t>es données de l’Assurance maladie</w:t>
      </w:r>
      <w:r>
        <w:rPr>
          <w:rFonts w:ascii="Garamond" w:hAnsi="Garamond"/>
          <w:color w:val="2E2E2E"/>
          <w:lang w:val="fr-FR"/>
        </w:rPr>
        <w:t xml:space="preserve"> en France</w:t>
      </w:r>
      <w:r w:rsidRPr="005D38D2">
        <w:rPr>
          <w:rFonts w:ascii="Garamond" w:hAnsi="Garamond"/>
          <w:color w:val="2E2E2E"/>
          <w:lang w:val="fr-FR"/>
        </w:rPr>
        <w:t xml:space="preserve"> permettent d’établir une estimation de la prévalence du TDAH de 0,3 %</w:t>
      </w:r>
      <w:r w:rsidRPr="005D38D2">
        <w:rPr>
          <w:rFonts w:ascii="Garamond" w:hAnsi="Garamond"/>
          <w:lang w:val="fr-FR" w:eastAsia="fr-FR"/>
        </w:rPr>
        <w:t xml:space="preserve"> des enfants répondant aux critères diagnostiques</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{"citationID":"tTLT93pA","properties":{"formattedCitation":"(Polanczyk et al., 2014; Ponnou, 2022)","plainCitation":"(Polanczyk et al., 2014; Ponnou, 2022)","noteIndex":0},"citationItems":[{"id":330,"uris":["http://zotero.org/users/9196345/items/IXJBZEFM"],"itemData":{"id":330,"type":"article-journal","container-title":"International journal of epidemiology","ISSN":"1464-3685","issue":"2","journalAbbreviation":"International journal of epidemiology","note":"publisher: Oxford University Press","page":"434-442","title":"ADHD prevalence estimates across three decades: an updated systematic review and meta-regression analysis","volume":"43","author":[{"family":"Polanczyk","given":"Guilherme V"},{"family":"Willcutt","given":"Erik G"},{"family":"Salum","given":"Giovanni A"},{"family":"Kieling","given":"Christian"},{"family":"Rohde","given":"Luis A"}],"issued":{"date-parts":[["2014"]]}},"label":"page"},{"id":332,"uris":["http://zotero.org/users/9196345/items/FR7KGP8M"],"itemData":{"id":332,"type":"article-journal","abstract":"Résumé\nContexte\nLa prévalence de l’hyperactivité/TDAH fait l’objet d’intenses débats au niveau international. En France, la seule étude disponible pointe un taux de prévalence du TDAH de 3,5 à 5,6 % des enfants âgés de 6 à 12 ans. Les auteurs estiment également que 3,48 % des 6–12 ans sont traités par psychostimulant. Notre article s’appuie sur les données de l’Assurance Maladie pour discuter ces résultats.\nMéthode\nIl est possible de procéder à une étude rigoureuse du taux diagnostic et du niveau de prescription du méthylphénidate en France en analysant les données de l’Assurance Maladie. Dans cette perspective, nous avons utilisé les informations extraites de la base du Système National d’Information Inter-Régime de l’Assurance Maladie (SNIIRAM) présentées en 2017 dans un rapport de l’Agence Nationale de Sécurité du Médicament et des produits de santé (ANSM).\nRésultats\nLes données de l’Assurance maladie permettent d’établir une estimation de la prévalence du TDAH de 0,3 % en France.\nDiscussion\nCe résultat appelle des investigations plus approfondies dans la base du SNIIRAM. Il questionne les raisons du faible taux de médication du TDAH en France en comparaison d’autres pays occidentaux. Il interroge les biais méthodologiques et les conflits d’intérêts susceptibles d’orienter les études de prévalence du TDAH en France et au niveau international.\nIntroduction\nPrevalence estimates for ADHD have therefore been at the core of an international debate in the last two decades. In France, the only available study carried out telephone inquiries in 2008 from a 7912 randomly selected sample of households. The researchers estimated 3.5% children suffered from ADHD, while 2.2% other children were treated with psychostimulants for attention deficit or hyperactivity symptoms without having formally been diagnosed. The use of a rigorous scientific approach and a strong methodology let the authors conclude the prevalence rate of children suffering from ADHD in France ranged from 3.5 to 5.6%. They also noted that among the 3.5% of children who were diagnosed with ADHD, 36.5% were being treated with methylphenidate. Therefore, they estimated 3.48% of children aged 6–12 were effectively treated with psychostimulants. In 2017, a report was issued by the National Agency for Medicines and Health Products Safety using data from The French National Social Security System (SNIIRAM) concerning methylphenidate consumption among children aged 6–11. This report showed 19,613 children aged 6–11 were effectively treated with methylphenidate in 2014. The study also states the prescription rate for methylphenidate increased by 44% between 2008 and 2012, then again by 13% between 2013 and 2014, though 34.2% of the children being treated with methylphenidate are not diagnosed as suffering from ADHD but from other psychiatric pathologies. Our paper compares these two data sets: one concerning ADHD prevalence and the ratio of ADHD children treated with methylphenidate in France, the other regarding the provision of methylphenidate-based medication among children. We highlight the gap between the two studies’ results and call for supplementary investigations of the French Healthcare Insurance database as a way to obtain better information on ADHD diagnosis and medication in France.\nMethods\nMethylphenidate is the only psychostimulant which prescription is authorized in the case of an ADHD diagnosis in France. To determine the prevalence of methylphenidate-based medication use in children aged 6–11, we first collected data concerning methylphenidate consumption from the SNIIRAM database and analyzed them in regard to the 2008 demographic survey issued by the National Institute for Statistics and Economic Studies (INSEE). Using this information and ADHD prevalence data, we secondly inferred an ADHD diagnosis rate in France. Consequently: Since methylphenidate is the only drug precription in France for ADHD, without any other therapeutic authorization; By taking into account (1) the ratio of children diagnosed ADHD and treated with methylphenidate in France (36.5%) and (2) the data concerning methylphenidate consumption in France (19,613 children aged 6–11 in 2014); It is possible to obtain accurate information on ADHD diagnosis in France from the provision of methylphenidate-based medication. We finally compared the prevalence rate of methylphenidate prescription and the estimation of ADHD diagnosis as reported in the SNIIRAM database, to the psychostimulant consumption level and the ADHD prevalence rate as highlighted in the initial prevalence study.\nResults\nFigures extracted from the SNIIRAM database show 19,613 children aged 6–11 were effectively treated with methylphenidate in 2014. Knowing the prescription rate for this molecule and this population increased by 44% between 2008 and 2012, then again by 13% between 2013 and 2014, we calculated methyphenidate consumption concerned 9555 of children aged 6–11 in 2008. Comparing this number to the National Institute of Statistics and Economic Studies (INSEE) children census, which reported 4,752,571 French children in 200811Those figures are available at: https://www.insee.fr/fr/statistiques/2016358?geo=FE-1&amp;sommaire=2133806#consulter-sommaire., one can estimate about 0,2% of children aged 6–11 were effectively given methylphenidate that year. If 9555 of children aged 6–11 were treated by methylphenidate in 2008 according to the French National healthcare insurance system, and if 36.5% of ADHD children are treated with methylphenidate in France, then a correct estimate of the number of children who had been diagnosed with ADHD in 2008 would be 9555+9.555×0.635=15,622 children. This would mean around 0.3% of this population was diagnosed with ADHD in France in 2008.\nDiscussion\nThe real methylphenidate consumption rate among 6–11 children in France is at best 17 times lower than the estimation initially provided by the Lecendreux et al. prevalence study (0.2% the 6–11 children versus 3.48% of the 6–12 aged children). The discrepancy we highlight in this paper questions conflicts of interest and methodological biases at work in telephone inquiries or in any indirect methodology willing to establish ADHD prevalence rates.\nConclusion\nThe results we present in this communication support more in-depth investigations of the SNIIRAM database when it comes to determining precise ADHD diagnosis and methylphenidate prescription rates in France. Accessing national, official databases would give researchers relevant information concerning potential variations in diagnosis and prescription rates over time, according to regions and hospitals, the age of the child at the time of diagnosis or treatment initiation, multiple co-morbidities and prescriptions outside of recommendations, associated therapeutic practices (psychotherapy), etc. Such complementary studies could also shed light on the factors contributing to the low rate of prescription drugs in the treatment of ADHD in France.","container-title":"Annales Médico-psychologiques, revue psychiatrique","DOI":"10.1016/j.amp.2020.08.018","ISSN":"0003-4487","issue":"10","journalAbbreviation":"Annales Médico-psychologiques, revue psychiatrique","language":"fr","page":"995-999","source":"ScienceDirect","title":"Prévalence, diagnostic et médication de l’hyperactivité/TDAH en France","volume":"180","author":[{"family":"Ponnou","given":"Sébastien"}],"issued":{"date-parts":[["2022",12,1]]}},"label":"page"}],"schema":"https://github.com/citation-style-language/schema/raw/master/csl-citation.json"} </w:instrText>
      </w:r>
      <w:r>
        <w:rPr>
          <w:rFonts w:ascii="Garamond" w:hAnsi="Garamond"/>
          <w:lang w:val="fr-FR" w:eastAsia="fr-FR"/>
        </w:rPr>
        <w:fldChar w:fldCharType="separate"/>
      </w:r>
      <w:r w:rsidR="002A764C" w:rsidRPr="002A764C">
        <w:rPr>
          <w:rFonts w:ascii="Garamond" w:hAnsi="Garamond"/>
        </w:rPr>
        <w:t>(Polanczyk et al., 2014; Ponnou, 2022)</w:t>
      </w:r>
      <w:r>
        <w:rPr>
          <w:rFonts w:ascii="Garamond" w:hAnsi="Garamond"/>
          <w:lang w:val="fr-FR" w:eastAsia="fr-FR"/>
        </w:rPr>
        <w:fldChar w:fldCharType="end"/>
      </w:r>
      <w:r>
        <w:rPr>
          <w:rFonts w:ascii="Garamond" w:hAnsi="Garamond"/>
          <w:lang w:val="fr-FR" w:eastAsia="fr-FR"/>
        </w:rPr>
        <w:t>.</w:t>
      </w:r>
      <w:r w:rsidRPr="001745E8">
        <w:rPr>
          <w:rFonts w:ascii="Garamond" w:hAnsi="Garamond"/>
          <w:lang w:val="fr-FR" w:eastAsia="fr-FR"/>
        </w:rPr>
        <w:t>Dans les familles d'enfants atteints de TDAH, le stress parental est plus élevé, la compétence parentale est plus faible, la psychopathologie parentale est plus importante, les relations parents-enfants sont plus souvent conflictuelles et la situation socio-économique est défavorable par rapport aux familles d'enfants sans TDAH</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{"citationID":"VZj9Yz6i","properties":{"formattedCitation":"(Bouvard, 2019; Djerada, 2021; Wodon, 2013)","plainCitation":"(Bouvard, 2019; Djerada, 2021; Wodon, 2013)","noteIndex":0},"citationItems":[{"id":1804,"uris":["http://zotero.org/users/9196345/items/XYK7KEQK"],"itemData":{"id":1804,"type":"book","publisher":"Editions Ellipses","source":"Google Scholar","title":"Savoir pour guérir: Le trouble déficit de l'attention/hyperactivité (TDAH) chez l'enfant et l'adolescent","title-short":"Savoir pour guérir","author":[{"family":"Bouvard","given":"Manuel"}],"issued":{"date-parts":[["2019"]]}},"label":"page"},{"id":326,"uris":["http://zotero.org/users/9196345/items/K7Q3HH6L"],"itemData":{"id":326,"type":"article-journal","note":"publisher: Université d'Alger 3","title":"Effet d'un programme proposé en éducation motrice sur la diminution du trouble de déficit d'attention avec hyperactivité (TDAH) chez les enfants algériens âgés de 8 à 10 ans","author":[{"family":"Djerada","given":"Thinhinane"}],"issued":{"date-parts":[["2021"]]}},"label":"page"},{"id":328,"uris":["http://zotero.org/users/9196345/items/Y5WAGIXM"],"itemData":{"id":328,"type":"book","ISBN":"2-8047-0131-X","publisher":"Primento","title":"Déficit de l'attention et hyperactivité chez l'enfant et l'adolescent: Comprendre et soigner le TDAH chez les jeunes","author":[{"family":"Wodon","given":"Isabelle"}],"issued":{"date-parts":[["2013"]]}},"label":"page"}],"schema":"https://github.com/citation-style-language/schema/raw/master/csl-citation.json"} </w:instrText>
      </w:r>
      <w:r>
        <w:rPr>
          <w:rFonts w:ascii="Garamond" w:hAnsi="Garamond"/>
          <w:lang w:val="fr-FR" w:eastAsia="fr-FR"/>
        </w:rPr>
        <w:fldChar w:fldCharType="separate"/>
      </w:r>
      <w:r w:rsidRPr="003742AA">
        <w:rPr>
          <w:rFonts w:ascii="Garamond" w:hAnsi="Garamond"/>
          <w:lang w:val="fr-FR"/>
        </w:rPr>
        <w:t>(Bouvard, 2019; Djerada, 2021; Wodon, 2013)</w:t>
      </w:r>
      <w:r>
        <w:rPr>
          <w:rFonts w:ascii="Garamond" w:hAnsi="Garamond"/>
          <w:lang w:val="fr-FR" w:eastAsia="fr-FR"/>
        </w:rPr>
        <w:fldChar w:fldCharType="end"/>
      </w:r>
      <w:r w:rsidRPr="001745E8">
        <w:rPr>
          <w:rFonts w:ascii="Garamond" w:hAnsi="Garamond"/>
          <w:lang w:val="fr-FR" w:eastAsia="fr-FR"/>
        </w:rPr>
        <w:t>. Cela suggère que les enfants atteints de TDAH grandissent de manière disproportionnée dans des conditions familiales défavorables. Comme les conditions familiales défavorables entravent souvent le développement d'un attachement sécurisant</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{"citationID":"VNprr2GV","properties":{"formattedCitation":"(De Wolff &amp; Van Ijzendoorn, 1997)","plainCitation":"(De Wolff &amp; Van Ijzendoorn, 1997)","noteIndex":0},"citationItems":[{"id":325,"uris":["http://zotero.org/users/9196345/items/VH38MQPH"],"itemData":{"id":325,"type":"article-journal","container-title":"Child development","issue":"4","note":"publisher: Wiley Online Library","page":"571–591","source":"Google Scholar","title":"Sensitivity and attachment: A meta-analysis on parental antecedents of infant attachment","title-short":"Sensitivity and attachment","volume":"68","author":[{"family":"De Wolff","given":"Marianne S."},{"family":"Van Ijzendoorn","given":"Marinus H."}],"issued":{"date-parts":[["1997"]]}}}],"schema":"https://github.com/citation-style-language/schema/raw/master/csl-citation.json"}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(De Wolff &amp; Van Ijzendoorn, 1997)</w:t>
      </w:r>
      <w:r>
        <w:rPr>
          <w:rFonts w:ascii="Garamond" w:hAnsi="Garamond"/>
          <w:lang w:val="fr-FR" w:eastAsia="fr-FR"/>
        </w:rPr>
        <w:fldChar w:fldCharType="end"/>
      </w:r>
      <w:r>
        <w:rPr>
          <w:rFonts w:ascii="Garamond" w:hAnsi="Garamond"/>
          <w:lang w:val="fr-FR" w:eastAsia="fr-FR"/>
        </w:rPr>
        <w:t xml:space="preserve"> </w:t>
      </w:r>
      <w:r w:rsidRPr="001745E8">
        <w:rPr>
          <w:rFonts w:ascii="Garamond" w:hAnsi="Garamond"/>
          <w:lang w:val="fr-FR" w:eastAsia="fr-FR"/>
        </w:rPr>
        <w:t>, le lien entre le TDAH  et les conditions familiales défavorables a orienté l'hypothèse selon laquelle les enfants atteints du TDAH ont plus souvent des représentations d'attachement insécurisées et/ou désorganisées</w:t>
      </w:r>
      <w:r w:rsidR="001163BC">
        <w:rPr>
          <w:rFonts w:ascii="Garamond" w:hAnsi="Garamond"/>
          <w:lang w:val="fr-FR" w:eastAsia="fr-FR"/>
        </w:rPr>
        <w:t xml:space="preserve"> que les enfants à développement typique</w:t>
      </w:r>
      <w:r w:rsidR="00C06AF8">
        <w:rPr>
          <w:rFonts w:ascii="Garamond" w:hAnsi="Garamond"/>
          <w:lang w:val="fr-FR" w:eastAsia="fr-FR"/>
        </w:rPr>
        <w:t>(TD)</w:t>
      </w:r>
      <w:r w:rsidRPr="001745E8">
        <w:rPr>
          <w:rFonts w:ascii="Garamond" w:hAnsi="Garamond"/>
          <w:lang w:val="fr-FR" w:eastAsia="fr-FR"/>
        </w:rPr>
        <w:t>.</w:t>
      </w:r>
    </w:p>
    <w:p w14:paraId="0786FA32" w14:textId="6EA1B18D" w:rsidR="002A764C" w:rsidRDefault="00205C88" w:rsidP="00205C88">
      <w:pPr>
        <w:autoSpaceDN w:val="0"/>
        <w:spacing w:line="360" w:lineRule="auto"/>
        <w:jc w:val="both"/>
        <w:rPr>
          <w:rFonts w:ascii="Garamond" w:hAnsi="Garamond"/>
          <w:color w:val="FF0000"/>
          <w:lang w:val="fr-FR" w:eastAsia="fr-FR"/>
        </w:rPr>
      </w:pPr>
      <w:r w:rsidRPr="001745E8">
        <w:rPr>
          <w:rFonts w:ascii="Garamond" w:hAnsi="Garamond"/>
          <w:lang w:val="fr-FR" w:eastAsia="fr-FR"/>
        </w:rPr>
        <w:t xml:space="preserve"> La présente étude vise donc à déterminer si les enfants d'âge scolaire atteints de TDAH sont moins enclins à développer des attachements sécurisés ou moins organisés que leurs pairs au développement typique.</w:t>
      </w:r>
      <w:r>
        <w:rPr>
          <w:rFonts w:ascii="Garamond" w:hAnsi="Garamond"/>
          <w:lang w:val="fr-FR" w:eastAsia="fr-FR"/>
        </w:rPr>
        <w:t xml:space="preserve"> </w:t>
      </w:r>
      <w:r w:rsidRPr="001745E8">
        <w:rPr>
          <w:rFonts w:ascii="Garamond" w:hAnsi="Garamond"/>
          <w:lang w:val="fr-FR" w:eastAsia="fr-FR"/>
        </w:rPr>
        <w:t xml:space="preserve">De manière générale, on distingue trois représentations d'attachement différentes. Des parents sensibles et compréhensifs en réponse au stress aideront l'enfant à développer un scénario de base sûr, conduisant finalement à une représentation d'attachement sûr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{"citationID":"H42dxJor","properties":{"formattedCitation":"(Ainsworth et al., 2015)","plainCitation":"(Ainsworth et al., 2015)","noteIndex":0},"citationItems":[{"id":1584,"uris":["http://zotero.org/users/9196345/items/GRU6QXJG"],"itemData":{"id":1584,"type":"book","publisher":"Psychology Press","source":"Google Scholar","title":"Patterns of attachment: A psychological study of the strange situation","title-short":"Patterns of attachment","author":[{"family":"Ainsworth","given":"Mary D. Salter"},{"family":"Blehar","given":"Mary C."},{"family":"Waters","given":"Everett"},{"family":"Wall","given":"Sally N."}],"issued":{"date-parts":[["2015"]]}}}],"schema":"https://github.com/citation-style-language/schema/raw/master/csl-citation.json"}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(Ainsworth et al., 2015)</w:t>
      </w:r>
      <w:r>
        <w:rPr>
          <w:rFonts w:ascii="Garamond" w:hAnsi="Garamond"/>
          <w:lang w:val="fr-FR" w:eastAsia="fr-FR"/>
        </w:rPr>
        <w:fldChar w:fldCharType="end"/>
      </w:r>
      <w:r w:rsidRPr="001745E8">
        <w:rPr>
          <w:rFonts w:ascii="Garamond" w:hAnsi="Garamond"/>
          <w:lang w:val="fr-FR" w:eastAsia="fr-FR"/>
        </w:rPr>
        <w:t xml:space="preserve">. En revanche, l'attachement insécurisant se développe lorsque l'enfant n'a pas confiance dans la disponibilité des personnes qui s'occupent de lui lorsqu'il a besoin de protection ou de soutien. Cela peut entraîner des représentations d'attachement ambivalentes ou évitantes, dans lesquelles les enfants concentrent leur attention exclusivement sur les personnes qui s'occupent d'eux ou les évitent et ne comptent que sur eux-mêmes. Enfin, certains enfants ne montrent pas de cohérence dans leurs comportements d'attachement (c'est-à-dire qu'ils manifestent des comportements désorientés ou contradictoires), ce qui est classé comme un attachement désorganisé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{"citationID":"xAcoitNy","properties":{"formattedCitation":"(Main et al., 1985; Main &amp; Hesse, 1990; Main &amp; Morgan, 1996)","plainCitation":"(Main et al., 1985; Main &amp; Hesse, 1990; Main &amp; Morgan, 1996)","noteIndex":0},"citationItems":[{"id":1403,"uris":["http://zotero.org/users/9196345/items/K7PD4MXT"],"itemData":{"id":1403,"type":"article-journal","abstract":"Research guided by attachment theory as formulated by Bowlby and Ainsworth is branching out in exciting new directions. The 12 chapters collected together in this Monograph present theoretical and methodological tools that will facilitate further research on attachment across the life span, across generations, and across cultures. The Monograph is divided into 4 parts. Part 1 provides the theoretical framework, emphasizing the ethological and the psychoanalytic roots of attachment theory. Two central ideas in attachment theory are highlighted: attachment as grounded in a behavioral-motivational control system whose set-goal is felt security, and the notion that individuals construct internal working models of self and attachment figures that guide the interpretation and production of behavior. These themes are repeatedly taken up in other chapters of the Monograph. Part 2 is concerned with translating theory into measurement. In Chapter II, Waters and Deane present a Q-sort suitable for assessing attachment security in 12-36-month-olds. This instrument is based on Bowlby's control systems model of attachment. In Chapter III, Main, Kaplan, and Cassidy offer a variety of highly original measures for assessing security in children and adults that have been validated against attachment classifications in infancy. These measures open new avenues for research by moving the study of attachment to the level of representation. Part 3 (Chaps. IV-IX) is organized around issues in adaptation, maladaptation, and intergenerational transmission. Vaughn, Deane, and Waters (Chap. IV) examine short-term and long-term adaptations to nonmaternal care. Findings on short-term adaptation to high-quality day care seemed benign; those on long-term adaptation illustrate that outcome is jointly dependent on attachment security and on whether or when the mother returns to work. In Chapter V, Dontas, Maratos, Fafoutis, and Karangelis present a field study, conducted in a model infant home in Greece, describing 8-12-month-olds' 2-week adaptations to a new principal caregiver (the adoptive mother) in a supportive setting. The theme of Chapters VI and VII is continuity of adaptation from infancy to early childhood in a poverty and in a middle-class sample. Significant relationships between early insecure attachment classification and later preschool behavior problems are reported for the poverty sample (Erickson, Sroufe, &amp; Egeland, Chap. VI) but not for the middle-class sample (Bates, Maslin, &amp; Frankel, Chap. VII), despite the fact that mother-infant interaction at 6, 13, and 24 months was related to attachment classifications in predictable ways. In Chapter VIII, Schneider-Rosen, Braunwald, Carlson, and Cicchetti discuss infants' adaption to maltreatment. They report a preponderance of insecure attachment classifications at 12, 18, and 24 months, with avoidant classifications becoming dominant at the later ages. Secure attachment in abused children is explained in terms of multifactorial compensatory and potentiating influences. In the concluding chapter of this section, Ricks reviews intergenerational effects related to attachment. Two domains are considered: effects of early separation and familial disruption on parental behavior in the next generation, and continuity in quality of attachment. Part 4 (Chaps. X-XII) is devoted to cross-national research on attachment in infancy. Grossmann, Grossmann, Spangler, Suess, and Unzner (Chap. X) present findings for North German mother-infant pairs, observed at home and in the Strange Situation. This first attempt at replicating the classic Baltimore study corroborated associations between Strange Situation classifications and maternal sensitivity to infant signals reported by Ainsworth and her colleagues. However, the overrepresentation of group A (avoidant) classifications in this sample is ascribed to a culturally valued emphasis on early independence rather than to maternal rejection. In Chapter XI, Sagi, Lamb, Lewkowicz, Shoham, Dvir, and Estes report a high proportion of insecure-resistant (C) classifications in 12-month-old Israeli kibbutz infants, who were observed with mother, father, and metapelet. This finding is explained in terms of heightened stranger anxiety rather than insecurity. A comparison group of Israeli city infants in day care resembled U.S. samples in terms of Strange Situation groups. The insecure-resistant group (C) was also overrepresented in Japan (Miyake, Chen, &amp; Campos, Chap. XII), where C classification was correlated with neonatal temperament but also with maternal interactive behavior. In view of the infants' lack of experience with nonfamilial care, the C classification in Japan is not interpreted as an index of insecure-resistant attachment. Two additional themes running through the Monograph deserve special mention. These are (a) a concern with epigenetic explanations, charting different developmental pathways for secure and insecure infants, and (b) consideration of exceptional cases that do not, at first sight, fit predictions derived from the epigenetic perspective.","container-title":"Monographs of the Society for Research in Child Development","DOI":"10.2307/3333827","ISSN":"0037-976X","issue":"1/2","note":"publisher: [Society for Research in Child Development, Wiley]","page":"66-104","source":"JSTOR","title":"Security in Infancy, Childhood, and Adulthood: A Move to the Level of Representation","title-short":"Security in Infancy, Childhood, and Adulthood","volume":"50","author":[{"family":"Main","given":"Mary"},{"family":"Kaplan","given":"Nancy"},{"family":"Cassidy","given":"Jude"}],"issued":{"date-parts":[["1985"]]}},"label":"page"},{"id":1055,"uris":["http://zotero.org/users/9196345/items/I2EIRDGJ"],"itemData":{"id":1055,"type":"article-journal","ISSN":"0226306291","note":"publisher: University of Chicago Press","title":"Parents' unresolved traumatic experiences are related to infant disorganized attachment status: Is frightened and/or frightening parental behavior the linking mechanism?","author":[{"family":"Main","given":"Mary"},{"family":"Hesse","given":"Erik"}],"issued":{"date-parts":[["1990"]]}},"label":"page"},{"id":89,"uris":["http://zotero.org/users/9196345/items/8CRBG3Q6"],"itemData":{"id":89,"type":"article-journal","container-title":"Handbook of dissociation: Theoretical, empirical, and clinical perspectives","note":"publisher: Springer","page":"107–138","source":"Google Scholar","title":"Disorganization and disorientation in infant strange situation behavior: Phenotypic resemblance to dissociative states","title-short":"Disorganization and disorientation in infant strange situation behavior","author":[{"family":"Main","given":"Mary"},{"family":"Morgan","given":"Hillary"}],"issued":{"date-parts":[["1996"]]}},"label":"page"}],"schema":"https://github.com/citation-style-language/schema/raw/master/csl-citation.json"}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(Main et al., 1985; Main &amp; Hesse, 1990; Main &amp; Morgan, 1996)</w:t>
      </w:r>
      <w:r>
        <w:rPr>
          <w:rFonts w:ascii="Garamond" w:hAnsi="Garamond"/>
          <w:lang w:val="fr-FR" w:eastAsia="fr-FR"/>
        </w:rPr>
        <w:fldChar w:fldCharType="end"/>
      </w:r>
      <w:r w:rsidRPr="001745E8">
        <w:rPr>
          <w:rFonts w:ascii="Garamond" w:hAnsi="Garamond"/>
          <w:lang w:val="fr-FR" w:eastAsia="fr-FR"/>
        </w:rPr>
        <w:t xml:space="preserve">. L'attachement insécure et désorganisé a été associé à de multiples formes </w:t>
      </w:r>
      <w:r w:rsidRPr="001745E8">
        <w:rPr>
          <w:rFonts w:ascii="Garamond" w:hAnsi="Garamond"/>
          <w:lang w:val="fr-FR" w:eastAsia="fr-FR"/>
        </w:rPr>
        <w:lastRenderedPageBreak/>
        <w:t xml:space="preserve">de psychopathologie, allant des troubles d'intériorisation aux troubles d'extériorisation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{"citationID":"VM9ei1k0","properties":{"formattedCitation":"(Madigan et al., 2013)","plainCitation":"(Madigan et al., 2013)","noteIndex":0},"citationItems":[{"id":1010,"uris":["http://zotero.org/users/9196345/items/8AY5X8JY"],"itemData":{"id":1010,"type":"article-journal","container-title":"Developmental psychology","ISSN":"1939-0599","issue":"4","journalAbbreviation":"Developmental psychology","note":"publisher: American Psychological Association","page":"672","title":"Attachment and internalizing behavior in early childhood: a meta-analysis.","volume":"49","author":[{"family":"Madigan","given":"Sheri"},{"family":"Atkinson","given":"Leslie"},{"family":"Laurin","given":"Kristin"},{"family":"Benoit","given":"Diane"}],"issued":{"date-parts":[["2013"]]}}}],"schema":"https://github.com/citation-style-language/schema/raw/master/csl-citation.json"} </w:instrText>
      </w:r>
      <w:r>
        <w:rPr>
          <w:rFonts w:ascii="Garamond" w:hAnsi="Garamond"/>
          <w:lang w:val="fr-FR" w:eastAsia="fr-FR"/>
        </w:rPr>
        <w:fldChar w:fldCharType="separate"/>
      </w:r>
      <w:r w:rsidRPr="00CD5727">
        <w:rPr>
          <w:rFonts w:ascii="Garamond" w:hAnsi="Garamond"/>
          <w:lang w:val="fr-FR"/>
        </w:rPr>
        <w:t>(Madigan et al., 2013)</w:t>
      </w:r>
      <w:r>
        <w:rPr>
          <w:rFonts w:ascii="Garamond" w:hAnsi="Garamond"/>
          <w:lang w:val="fr-FR" w:eastAsia="fr-FR"/>
        </w:rPr>
        <w:fldChar w:fldCharType="end"/>
      </w:r>
      <w:r w:rsidRPr="001745E8">
        <w:rPr>
          <w:rFonts w:ascii="Garamond" w:hAnsi="Garamond"/>
          <w:lang w:val="fr-FR" w:eastAsia="fr-FR"/>
        </w:rPr>
        <w:t>.</w:t>
      </w:r>
      <w:r>
        <w:rPr>
          <w:rFonts w:ascii="Garamond" w:hAnsi="Garamond"/>
          <w:lang w:val="fr-FR" w:eastAsia="fr-FR"/>
        </w:rPr>
        <w:t xml:space="preserve"> </w:t>
      </w:r>
      <w:r w:rsidRPr="001745E8">
        <w:rPr>
          <w:rFonts w:ascii="Garamond" w:hAnsi="Garamond"/>
          <w:lang w:val="fr-FR" w:eastAsia="fr-FR"/>
        </w:rPr>
        <w:t xml:space="preserve">Malgré sa pertinence potentielle, les recherches empiriques sur le lien entre l'attachement et le TDAH sont rares. Une récente méta-analyse incluant 62 études a trouvé un lien entre les problèmes d'attention des enfants et la qualité de l'attachement : les enfants ayant des représentations d'attachement plus insécurisées et plus désorganisées avaient plus de problèmes d'attention que les enfants ayant des représentations d'attachement sécurisées ou organisées, bien que l'ampleur des effets soit modeste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{"citationID":"T8f13pza","properties":{"formattedCitation":"(B\\uc0\\u233{}langer et al., 2018)","plainCitation":"(Bélanger et al., 2018)","noteIndex":0},"citationItems":[{"id":324,"uris":["http://zotero.org/users/9196345/items/ZXMIIZPX"],"itemData":{"id":324,"type":"article-journal","container-title":"Paediatrics &amp; Child Health","issue":"7","note":"publisher: Oxford University Press US","page":"454–461","source":"Google Scholar","title":"Le TDAH chez les enfants et les adolescents, partie 1: l’étiologie, le diagnostic et la comorbidité","title-short":"Le TDAH chez les enfants et les adolescents, partie 1","volume":"23","author":[{"family":"Bélanger","given":"Stacey A."},{"family":"Andrews","given":"Debbi"},{"family":"Gray","given":"Clare"},{"family":"Korczak","given":"Daphne"}],"issued":{"date-parts":[["2018"]]}}}],"schema":"https://github.com/citation-style-language/schema/raw/master/csl-citation.json"} </w:instrText>
      </w:r>
      <w:r>
        <w:rPr>
          <w:rFonts w:ascii="Garamond" w:hAnsi="Garamond"/>
          <w:lang w:val="fr-FR" w:eastAsia="fr-FR"/>
        </w:rPr>
        <w:fldChar w:fldCharType="separate"/>
      </w:r>
      <w:r w:rsidRPr="00AE2CF1">
        <w:rPr>
          <w:rFonts w:ascii="Garamond" w:hAnsi="Garamond"/>
          <w:lang w:val="fr-FR"/>
        </w:rPr>
        <w:t>(Bélanger et al., 2018)</w:t>
      </w:r>
      <w:r>
        <w:rPr>
          <w:rFonts w:ascii="Garamond" w:hAnsi="Garamond"/>
          <w:lang w:val="fr-FR" w:eastAsia="fr-FR"/>
        </w:rPr>
        <w:fldChar w:fldCharType="end"/>
      </w:r>
      <w:r w:rsidRPr="001745E8">
        <w:rPr>
          <w:rFonts w:ascii="Garamond" w:hAnsi="Garamond"/>
          <w:lang w:val="fr-FR" w:eastAsia="fr-FR"/>
        </w:rPr>
        <w:t>. Une revue systématique a également conclu à l'existence d'une association entre le TDAH et l'attachement insécurisant</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{"citationID":"JWjNvuXz","properties":{"formattedCitation":"(Dekkers et al., 2021)","plainCitation":"(Dekkers et al., 2021)","noteIndex":0},"citationItems":[{"id":323,"uris":["http://zotero.org/users/9196345/items/JHKESI93"],"itemData":{"id":323,"type":"article-journal","container-title":"Brain Sciences","ISSN":"2076-3425","issue":"11","journalAbbreviation":"Brain Sciences","note":"publisher: MDPI","page":"1516","title":"Attachment Representations in Children with and without Attention-Deficit/Hyperactivity Disorder (ADHD)","volume":"11","author":[{"family":"Dekkers","given":"Tycho J"},{"family":"Hornstra","given":"Rianne"},{"family":"Hoofdakker","given":"Barbara J","non-dropping-particle":"van den"},{"family":"Jong","given":"Suzanne RC","non-dropping-particle":"de"},{"family":"Schaaf","given":"Jessica V"},{"family":"Bosmans","given":"Guy"},{"family":"Van der Oord","given":"Saskia"}],"issued":{"date-parts":[["2021"]]}}}],"schema":"https://github.com/citation-style-language/schema/raw/master/csl-citation.json"} </w:instrText>
      </w:r>
      <w:r>
        <w:rPr>
          <w:rFonts w:ascii="Garamond" w:hAnsi="Garamond"/>
          <w:lang w:val="fr-FR" w:eastAsia="fr-FR"/>
        </w:rPr>
        <w:fldChar w:fldCharType="separate"/>
      </w:r>
      <w:r w:rsidRPr="00AE2CF1">
        <w:rPr>
          <w:rFonts w:ascii="Garamond" w:hAnsi="Garamond"/>
          <w:lang w:val="fr-FR"/>
        </w:rPr>
        <w:t>(Dekkers et al., 2021)</w:t>
      </w:r>
      <w:r>
        <w:rPr>
          <w:rFonts w:ascii="Garamond" w:hAnsi="Garamond"/>
          <w:lang w:val="fr-FR" w:eastAsia="fr-FR"/>
        </w:rPr>
        <w:fldChar w:fldCharType="end"/>
      </w:r>
      <w:r>
        <w:rPr>
          <w:rFonts w:ascii="Garamond" w:hAnsi="Garamond"/>
          <w:lang w:val="fr-FR" w:eastAsia="fr-FR"/>
        </w:rPr>
        <w:t xml:space="preserve"> </w:t>
      </w:r>
      <w:r w:rsidRPr="002A764C">
        <w:rPr>
          <w:rFonts w:ascii="Garamond" w:hAnsi="Garamond"/>
          <w:lang w:val="fr-FR" w:eastAsia="fr-FR"/>
        </w:rPr>
        <w:t>.</w:t>
      </w:r>
      <w:r w:rsidR="002A764C" w:rsidRPr="002A764C">
        <w:t xml:space="preserve"> </w:t>
      </w:r>
      <w:r w:rsidR="002A764C" w:rsidRPr="002A764C">
        <w:rPr>
          <w:rFonts w:ascii="Garamond" w:hAnsi="Garamond"/>
          <w:lang w:val="fr-FR" w:eastAsia="fr-FR"/>
        </w:rPr>
        <w:t>La littérature sur le TDAH et l'attachement a apparues trois limitations importantes. La plupart des études ont examiné le lien entre l'attachement et les symptômes du TDAH dans des échantillons d'enfants au développement normal ou d'enfants présentant un risque de problèmes d'attachement</w:t>
      </w:r>
      <w:r w:rsidR="002A764C" w:rsidRPr="002A764C">
        <w:rPr>
          <w:rFonts w:ascii="Garamond" w:hAnsi="Garamond"/>
          <w:lang w:val="fr-FR" w:eastAsia="fr-FR"/>
        </w:rPr>
        <w:fldChar w:fldCharType="begin"/>
      </w:r>
      <w:r w:rsidR="0075727F">
        <w:rPr>
          <w:rFonts w:ascii="Garamond" w:hAnsi="Garamond"/>
          <w:lang w:val="fr-FR" w:eastAsia="fr-FR"/>
        </w:rPr>
        <w:instrText xml:space="preserve"> ADDIN ZOTERO_ITEM CSL_CITATION {"citationID":"315yssUh","properties":{"formattedCitation":"(B\\uc0\\u233{}langer et al., 2018)","plainCitation":"(Bélanger et al., 2018)","noteIndex":0},"citationItems":[{"id":324,"uris":["http://zotero.org/users/9196345/items/ZXMIIZPX"],"itemData":{"id":324,"type":"article-journal","container-title":"Paediatrics &amp; Child Health","issue":"7","note":"publisher: Oxford University Press US","page":"454–461","source":"Google Scholar","title":"Le TDAH chez les enfants et les adolescents, partie 1: l’étiologie, le diagnostic et la comorbidité","title-short":"Le TDAH chez les enfants et les adolescents, partie 1","volume":"23","author":[{"family":"Bélanger","given":"Stacey A."},{"family":"Andrews","given":"Debbi"},{"family":"Gray","given":"Clare"},{"family":"Korczak","given":"Daphne"}],"issued":{"date-parts":[["2018"]]}}}],"schema":"https://github.com/citation-style-language/schema/raw/master/csl-citation.json"} </w:instrText>
      </w:r>
      <w:r w:rsidR="002A764C" w:rsidRPr="002A764C">
        <w:rPr>
          <w:rFonts w:ascii="Garamond" w:hAnsi="Garamond"/>
          <w:lang w:val="fr-FR" w:eastAsia="fr-FR"/>
        </w:rPr>
        <w:fldChar w:fldCharType="separate"/>
      </w:r>
      <w:r w:rsidR="002A764C" w:rsidRPr="002A764C">
        <w:rPr>
          <w:rFonts w:ascii="Garamond" w:hAnsi="Garamond"/>
          <w:lang w:val="fr-FR" w:eastAsia="fr-FR"/>
        </w:rPr>
        <w:t>(Bélanger et al., 2018)</w:t>
      </w:r>
      <w:r w:rsidR="002A764C" w:rsidRPr="002A764C">
        <w:rPr>
          <w:rFonts w:ascii="Garamond" w:hAnsi="Garamond"/>
          <w:lang w:val="fr-FR" w:eastAsia="fr-FR"/>
        </w:rPr>
        <w:fldChar w:fldCharType="end"/>
      </w:r>
      <w:r w:rsidR="002A764C" w:rsidRPr="002A764C">
        <w:rPr>
          <w:rFonts w:ascii="Garamond" w:hAnsi="Garamond"/>
          <w:lang w:val="fr-FR" w:eastAsia="fr-FR"/>
        </w:rPr>
        <w:t>. De nombreuses études portant sur le lien entre le TDAH et l'attachement n'ont pas tenu compte des problèmes de comportement perturbateurs morbides</w:t>
      </w:r>
      <w:r w:rsidR="002A764C">
        <w:rPr>
          <w:rFonts w:ascii="Garamond" w:hAnsi="Garamond"/>
          <w:lang w:val="fr-FR" w:eastAsia="fr-FR"/>
        </w:rPr>
        <w:fldChar w:fldCharType="begin"/>
      </w:r>
      <w:r w:rsidR="0075727F">
        <w:rPr>
          <w:rFonts w:ascii="Garamond" w:hAnsi="Garamond"/>
          <w:lang w:val="fr-FR" w:eastAsia="fr-FR"/>
        </w:rPr>
        <w:instrText xml:space="preserve"> ADDIN ZOTERO_ITEM CSL_CITATION {"citationID":"K2OsqiTC","properties":{"formattedCitation":"(Clark &amp; B\\uc0\\u233{}langer, 2018; La Boissonni\\uc0\\u232{}re, 2016; Lapointe, 2017; Main, 1998; Moss et al., 2006; Nahas et al., 2017)","plainCitation":"(Clark &amp; Bélanger, 2018; La Boissonnière, 2016; Lapointe, 2017; Main, 1998; Moss et al., 2006; Nahas et al., 2017)","noteIndex":0},"citationItems":[{"id":307,"uris":["http://zotero.org/users/9196345/items/7EKPRCQ9"],"itemData":{"id":307,"type":"article-journal","container-title":"Paediatrics &amp; Child Health","ISSN":"1205-7088","issue":"7","journalAbbreviation":"Paediatrics &amp; Child Health","note":"publisher: Oxford University Press US","page":"491-497","title":"Le TDAH chez les enfants et les adolescents, partie 3: l’évaluation et le traitement en cas d’association au trouble du spectre de l’autisme, au handicap intellectuel ou à la prématurité","volume":"23","author":[{"family":"Clark","given":"Brenda"},{"family":"Bélanger","given":"Stacey A"}],"issued":{"date-parts":[["2018"]]}},"label":"page"},{"id":480,"uris":["http://zotero.org/users/9196345/items/AR2JXDLQ"],"itemData":{"id":480,"type":"article-journal","source":"Google Scholar","title":"L'attachement de l'enfant: l'abus sexuel et les indices psychopathologiques","title-short":"L'attachement de l'enfant","author":[{"family":"La Boissonnière","given":"Anne-Marie"}],"issued":{"date-parts":[["2016"]]}},"label":"page"},{"id":254,"uris":["http://zotero.org/users/9196345/items/LWQKG38I"],"itemData":{"id":254,"type":"article-journal","container-title":"Devenir","ISSN":"1015-8154","issue":"3","journalAbbreviation":"Devenir","note":"publisher: Cairn/Softwin","page":"153-169","title":"L’attachement des enfants présentant un trouble du spectre de l’autisme: proposition d’un modèle modérateur de l’insécurité d’attachement sur les comportements et symptômes perturbateurs","volume":"29","author":[{"family":"Lapointe","given":"Marilyn"}],"issued":{"date-parts":[["2017"]]}},"label":"page"},{"id":720,"uris":["http://zotero.org/users/9196345/items/DUGJUVMP"],"itemData":{"id":720,"type":"article-journal","container-title":"Enfance","issue":"3","note":"publisher: Persée-Portail des revues scientifiques en SHS","page":"13–27","source":"Google Scholar","title":"De l'attachement à la psychopathologie","volume":"51","author":[{"family":"Main","given":"Mary"}],"issued":{"date-parts":[["1998"]]}},"label":"page"},{"id":317,"uris":["http://zotero.org/users/9196345/items/7GDQ2II8"],"itemData":{"id":317,"type":"article-journal","container-title":"Canadian Journal of Behavioural Science/Revue canadienne des sciences du comportement","ISSN":"1879-2669","issue":"2","journalAbbreviation":"Canadian Journal of Behavioural Science/Revue canadienne des sciences du comportement","note":"publisher: Canadian Psychological Association","page":"142","title":"Attachement et problèmes de comportements intériorisés et extérioriśs auto-rapportés à la période scolaire.","volume":"38","author":[{"family":"Moss","given":"Ellen"},{"family":"Smolla","given":"Nicole"},{"family":"Guerra","given":"Isabelle"},{"family":"Mazzarello","given":"Tania"},{"family":"Chayer","given":"Daniel"},{"family":"Berthiaume","given":"Claude"}],"issued":{"date-parts":[["2006"]]}},"label":"page"},{"id":303,"uris":["http://zotero.org/users/9196345/items/UC5NUI7E"],"itemData":{"id":303,"type":"article-journal","container-title":"La psychiatrie de l'enfant","issue":"2","journalAbbreviation":"La psychiatrie de l'enfant","note":"publisher: Cairn/Cairn","page":"329-350","title":"Liens entre les pratiques éducatives, le style d’attachement du parent et les comportements d’inattention et d’hyperactivité/impulsivité","volume":"61","author":[{"family":"Nahas","given":"Nayla"},{"family":"Normandeau","given":"Sylvie"},{"family":"Girard Lapointe","given":"Julie"}],"issued":{"date-parts":[["2017"]]}},"label":"page"}],"schema":"https://github.com/citation-style-language/schema/raw/master/csl-citation.json"} </w:instrText>
      </w:r>
      <w:r w:rsidR="002A764C">
        <w:rPr>
          <w:rFonts w:ascii="Garamond" w:hAnsi="Garamond"/>
          <w:lang w:val="fr-FR" w:eastAsia="fr-FR"/>
        </w:rPr>
        <w:fldChar w:fldCharType="separate"/>
      </w:r>
      <w:r w:rsidR="007C41F2" w:rsidRPr="007C41F2">
        <w:rPr>
          <w:rFonts w:ascii="Garamond" w:hAnsi="Garamond"/>
        </w:rPr>
        <w:t>(Clark &amp; Bélanger, 2018; La Boissonnière, 2016; Lapointe, 2017; Main, 1998; Moss et al., 2006; Nahas et al., 2017)</w:t>
      </w:r>
      <w:r w:rsidR="002A764C">
        <w:rPr>
          <w:rFonts w:ascii="Garamond" w:hAnsi="Garamond"/>
          <w:lang w:val="fr-FR" w:eastAsia="fr-FR"/>
        </w:rPr>
        <w:fldChar w:fldCharType="end"/>
      </w:r>
      <w:r w:rsidR="002A764C" w:rsidRPr="002A764C">
        <w:rPr>
          <w:rFonts w:ascii="Garamond" w:hAnsi="Garamond"/>
          <w:lang w:val="fr-FR" w:eastAsia="fr-FR"/>
        </w:rPr>
        <w:t>.La mesure de l'attachement est également limitée à des méthodes d'observation à l'âge scolaire</w:t>
      </w:r>
      <w:r w:rsidR="007C41F2">
        <w:rPr>
          <w:rFonts w:ascii="Garamond" w:hAnsi="Garamond"/>
          <w:lang w:val="fr-FR" w:eastAsia="fr-FR"/>
        </w:rPr>
        <w:t xml:space="preserve"> </w:t>
      </w:r>
      <w:r w:rsidR="007C41F2">
        <w:rPr>
          <w:rFonts w:ascii="Garamond" w:hAnsi="Garamond"/>
          <w:lang w:val="fr-FR" w:eastAsia="fr-FR"/>
        </w:rPr>
        <w:fldChar w:fldCharType="begin"/>
      </w:r>
      <w:r w:rsidR="0075727F">
        <w:rPr>
          <w:rFonts w:ascii="Garamond" w:hAnsi="Garamond"/>
          <w:lang w:val="fr-FR" w:eastAsia="fr-FR"/>
        </w:rPr>
        <w:instrText xml:space="preserve"> ADDIN ZOTERO_ITEM CSL_CITATION {"citationID":"jjDgnVag","properties":{"formattedCitation":"(Perrault et al., 2019; Polanczyk et al., 2014)","plainCitation":"(Perrault et al., 2019; Polanczyk et al., 2014)","noteIndex":0},"citationItems":[{"id":260,"uris":["http://zotero.org/users/9196345/items/LD8PRRWJ"],"itemData":{"id":260,"type":"article-journal","container-title":"Canadian Journal of Behavioural Science/Revue canadienne des sciences du comportement","ISSN":"1879-2669","issue":"1","journalAbbreviation":"Canadian Journal of Behavioural Science/Revue canadienne des sciences du comportement","note":"publisher: Educational Publishing Foundation","page":"61","title":"Utilité des tests cognitifs pour prédire le diagnostic de TDAH présentation mixte chez des jeunes âgés de 8 à 15 ans.","volume":"51","author":[{"family":"Perrault","given":"Annie-Claude"},{"family":"Parent","given":"Véronique"},{"family":"Guay","given":"Marie-Claude"}],"issued":{"date-parts":[["2019"]]}},"label":"page"},{"id":330,"uris":["http://zotero.org/users/9196345/items/IXJBZEFM"],"itemData":{"id":330,"type":"article-journal","container-title":"International journal of epidemiology","ISSN":"1464-3685","issue":"2","journalAbbreviation":"International journal of epidemiology","note":"publisher: Oxford University Press","page":"434-442","title":"ADHD prevalence estimates across three decades: an updated systematic review and meta-regression analysis","volume":"43","author":[{"family":"Polanczyk","given":"Guilherme V"},{"family":"Willcutt","given":"Erik G"},{"family":"Salum","given":"Giovanni A"},{"family":"Kieling","given":"Christian"},{"family":"Rohde","given":"Luis A"}],"issued":{"date-parts":[["2014"]]}},"label":"page"}],"schema":"https://github.com/citation-style-language/schema/raw/master/csl-citation.json"} </w:instrText>
      </w:r>
      <w:r w:rsidR="007C41F2">
        <w:rPr>
          <w:rFonts w:ascii="Garamond" w:hAnsi="Garamond"/>
          <w:lang w:val="fr-FR" w:eastAsia="fr-FR"/>
        </w:rPr>
        <w:fldChar w:fldCharType="separate"/>
      </w:r>
      <w:r w:rsidR="007C41F2" w:rsidRPr="007C41F2">
        <w:rPr>
          <w:rFonts w:ascii="Garamond" w:hAnsi="Garamond"/>
        </w:rPr>
        <w:t>(Perrault et al., 2019; Polanczyk et al., 2014)</w:t>
      </w:r>
      <w:r w:rsidR="007C41F2">
        <w:rPr>
          <w:rFonts w:ascii="Garamond" w:hAnsi="Garamond"/>
          <w:lang w:val="fr-FR" w:eastAsia="fr-FR"/>
        </w:rPr>
        <w:fldChar w:fldCharType="end"/>
      </w:r>
      <w:r w:rsidR="002A764C" w:rsidRPr="002A764C">
        <w:rPr>
          <w:rFonts w:ascii="Garamond" w:hAnsi="Garamond"/>
          <w:lang w:val="fr-FR" w:eastAsia="fr-FR"/>
        </w:rPr>
        <w:t>. L'évaluation du comportement d'attachement insécure/désorganisé peut être confondue avec les caractéristiques du TDAH à l'aide de ces mesures</w:t>
      </w:r>
      <w:r w:rsidR="002A764C" w:rsidRPr="002A764C">
        <w:rPr>
          <w:rFonts w:ascii="Garamond" w:hAnsi="Garamond"/>
          <w:lang w:val="fr-FR" w:eastAsia="fr-FR"/>
        </w:rPr>
        <w:fldChar w:fldCharType="begin"/>
      </w:r>
      <w:r w:rsidR="0075727F">
        <w:rPr>
          <w:rFonts w:ascii="Garamond" w:hAnsi="Garamond"/>
          <w:lang w:val="fr-FR" w:eastAsia="fr-FR"/>
        </w:rPr>
        <w:instrText xml:space="preserve"> ADDIN ZOTERO_ITEM CSL_CITATION {"citationID":"a2mhcqm5l8v","properties":{"formattedCitation":"(BOURAS, 2017)","plainCitation":"(BOURAS, 2017)","noteIndex":0},"citationItems":[{"id":258,"uris":["http://zotero.org/users/9196345/items/C9HJPQQW"],"itemData":{"id":258,"type":"article-journal","title":"les caractéristiques diagnostiques et thérapeutiques","author":[{"family":"BOURAS","given":"Mr Habib"}],"issued":{"date-parts":[["2017"]]}}}],"schema":"https://github.com/citation-style-language/schema/raw/master/csl-citation.json"} </w:instrText>
      </w:r>
      <w:r w:rsidR="002A764C" w:rsidRPr="002A764C">
        <w:rPr>
          <w:rFonts w:ascii="Garamond" w:hAnsi="Garamond"/>
          <w:lang w:val="fr-FR" w:eastAsia="fr-FR"/>
        </w:rPr>
        <w:fldChar w:fldCharType="separate"/>
      </w:r>
      <w:r w:rsidR="002A764C" w:rsidRPr="002A764C">
        <w:rPr>
          <w:rFonts w:ascii="Garamond" w:hAnsi="Garamond"/>
          <w:lang w:val="fr-FR" w:eastAsia="fr-FR"/>
        </w:rPr>
        <w:t>(BOURAS, 2017)</w:t>
      </w:r>
      <w:r w:rsidR="002A764C" w:rsidRPr="002A764C">
        <w:rPr>
          <w:rFonts w:ascii="Garamond" w:hAnsi="Garamond"/>
          <w:lang w:val="fr-FR" w:eastAsia="fr-FR"/>
        </w:rPr>
        <w:fldChar w:fldCharType="end"/>
      </w:r>
      <w:r w:rsidR="002A764C" w:rsidRPr="002A764C">
        <w:rPr>
          <w:rFonts w:ascii="Garamond" w:hAnsi="Garamond"/>
          <w:lang w:val="fr-FR" w:eastAsia="fr-FR"/>
        </w:rPr>
        <w:t>.</w:t>
      </w:r>
    </w:p>
    <w:p w14:paraId="1816F0AC" w14:textId="32A63B76" w:rsidR="00205C88" w:rsidRPr="001745E8" w:rsidRDefault="00205C88" w:rsidP="00205C88">
      <w:pPr>
        <w:autoSpaceDN w:val="0"/>
        <w:spacing w:line="360" w:lineRule="auto"/>
        <w:jc w:val="both"/>
        <w:rPr>
          <w:rFonts w:ascii="Garamond" w:hAnsi="Garamond"/>
          <w:lang w:val="fr-FR" w:eastAsia="fr-FR"/>
        </w:rPr>
      </w:pPr>
      <w:r w:rsidRPr="001745E8">
        <w:rPr>
          <w:rFonts w:ascii="Garamond" w:hAnsi="Garamond"/>
          <w:lang w:val="fr-FR" w:eastAsia="fr-FR"/>
        </w:rPr>
        <w:t xml:space="preserve"> De nombreuses études sur les enfants d'âge scolaire ont utilisé des mesures d'auto-évaluation, qui présentent différents inconvénients : (i) les mesures d'auto-évaluation pourraient invoquer la désirabilité sociale, en particulier sur des sujets sensibles tels que les relations parents-enfants ; (ii) l'auto-évaluation est particulièrement peu fiable chez les enfants atteints de TDAH et/ou de trouble oppositionnel avec provocation (TOP)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{"citationID":"a214hodtsiq","properties":{"formattedCitation":"(Binhas, 2008)","plainCitation":"(Binhas, 2008)","noteIndex":0},"citationItems":[{"id":257,"uris":["http://zotero.org/users/9196345/items/LC4NAVQP"],"itemData":{"id":257,"type":"article-journal","container-title":"Orthod Fr","journalAbbreviation":"Orthod Fr","page":"343-345","title":"Questionnaire d’auto-évaluation","volume":"80","author":[{"family":"Binhas","given":"Edmond"}],"issued":{"date-parts":[["2008"]]}}}],"schema":"https://github.com/citation-style-language/schema/raw/master/csl-citation.json"} </w:instrText>
      </w:r>
      <w:r>
        <w:rPr>
          <w:rFonts w:ascii="Garamond" w:hAnsi="Garamond"/>
          <w:lang w:val="fr-FR" w:eastAsia="fr-FR"/>
        </w:rPr>
        <w:fldChar w:fldCharType="separate"/>
      </w:r>
      <w:r w:rsidRPr="002535EF">
        <w:rPr>
          <w:rFonts w:ascii="Garamond" w:hAnsi="Garamond"/>
          <w:lang w:val="fr-FR"/>
        </w:rPr>
        <w:t>(Binhas, 2008)</w:t>
      </w:r>
      <w:r>
        <w:rPr>
          <w:rFonts w:ascii="Garamond" w:hAnsi="Garamond"/>
          <w:lang w:val="fr-FR" w:eastAsia="fr-FR"/>
        </w:rPr>
        <w:fldChar w:fldCharType="end"/>
      </w:r>
      <w:r w:rsidRPr="001745E8">
        <w:rPr>
          <w:rFonts w:ascii="Garamond" w:hAnsi="Garamond"/>
          <w:lang w:val="fr-FR" w:eastAsia="fr-FR"/>
        </w:rPr>
        <w:t>; (iii) un biais illusoire positif est souvent signalé chez les enfants atteints de TDAH, ce qui signifie que les enfants atteints de TDAH surestiment systématiquement leurs propres capacités</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{"citationID":"aaar4cssmf","properties":{"formattedCitation":"(Huynh &amp; Mazet, 2011)","plainCitation":"(Huynh &amp; Mazet, 2011)","noteIndex":0},"citationItems":[{"id":1795,"uris":["http://zotero.org/users/9196345/items/USLQECTR"],"itemData":{"id":1795,"type":"article-journal","container-title":"Perspectives Psy","issue":"1","note":"publisher: Éditions EDK, Groupe EDP Sciences","page":"86–93","source":"Google Scholar","title":"L’estime de soi chez les enfants ayant un trouble déficitaire de l’attention-hyperactivité","volume":"50","author":[{"family":"Huynh","given":"Christophe"},{"family":"Mazet","given":"Philippe"}],"issued":{"date-parts":[["2011"]]}}}],"schema":"https://github.com/citation-style-language/schema/raw/master/csl-citation.json"} </w:instrText>
      </w:r>
      <w:r>
        <w:rPr>
          <w:rFonts w:ascii="Garamond" w:hAnsi="Garamond"/>
          <w:lang w:val="fr-FR" w:eastAsia="fr-FR"/>
        </w:rPr>
        <w:fldChar w:fldCharType="separate"/>
      </w:r>
      <w:r w:rsidRPr="002535EF">
        <w:rPr>
          <w:rFonts w:ascii="Garamond" w:hAnsi="Garamond"/>
          <w:lang w:val="fr-FR"/>
        </w:rPr>
        <w:t>(Huynh &amp; Mazet, 2011)</w:t>
      </w:r>
      <w:r>
        <w:rPr>
          <w:rFonts w:ascii="Garamond" w:hAnsi="Garamond"/>
          <w:lang w:val="fr-FR" w:eastAsia="fr-FR"/>
        </w:rPr>
        <w:fldChar w:fldCharType="end"/>
      </w:r>
      <w:r>
        <w:rPr>
          <w:rFonts w:ascii="Garamond" w:hAnsi="Garamond"/>
          <w:lang w:val="fr-FR" w:eastAsia="fr-FR"/>
        </w:rPr>
        <w:t xml:space="preserve"> </w:t>
      </w:r>
      <w:r w:rsidRPr="001745E8">
        <w:rPr>
          <w:rFonts w:ascii="Garamond" w:hAnsi="Garamond"/>
          <w:lang w:val="fr-FR" w:eastAsia="fr-FR"/>
        </w:rPr>
        <w:t xml:space="preserve">. </w:t>
      </w:r>
    </w:p>
    <w:p w14:paraId="23C5847C" w14:textId="4300B0F8" w:rsidR="00205C88" w:rsidRPr="00205C88" w:rsidRDefault="00205C88" w:rsidP="00205C88">
      <w:pPr>
        <w:autoSpaceDN w:val="0"/>
        <w:spacing w:line="360" w:lineRule="auto"/>
        <w:jc w:val="both"/>
        <w:rPr>
          <w:rFonts w:ascii="Garamond" w:hAnsi="Garamond"/>
          <w:lang w:val="fr-FR" w:eastAsia="fr-FR"/>
        </w:rPr>
      </w:pPr>
      <w:r w:rsidRPr="001745E8">
        <w:rPr>
          <w:rFonts w:ascii="Garamond" w:hAnsi="Garamond"/>
          <w:lang w:val="fr-FR" w:eastAsia="fr-FR"/>
        </w:rPr>
        <w:t xml:space="preserve">Dans l'étude actuelle, nous tenons compte des limites des études précédentes en examinant les représentations de l'attachement dans un échantillon d'enfants d'âge scolaire soigneusement diagnostiqués avec et sans TDAH, appariés par l'âge, le </w:t>
      </w:r>
      <w:r w:rsidR="00E44BBA" w:rsidRPr="001745E8">
        <w:rPr>
          <w:rFonts w:ascii="Garamond" w:hAnsi="Garamond"/>
          <w:lang w:val="fr-FR" w:eastAsia="fr-FR"/>
        </w:rPr>
        <w:t>sexe</w:t>
      </w:r>
      <w:r w:rsidR="00E44BBA">
        <w:rPr>
          <w:rFonts w:ascii="Garamond" w:hAnsi="Garamond"/>
          <w:lang w:val="fr-FR" w:eastAsia="fr-FR"/>
        </w:rPr>
        <w:t>,</w:t>
      </w:r>
      <w:r w:rsidRPr="001745E8">
        <w:rPr>
          <w:rFonts w:ascii="Garamond" w:hAnsi="Garamond"/>
          <w:lang w:val="fr-FR" w:eastAsia="fr-FR"/>
        </w:rPr>
        <w:t xml:space="preserve"> contrôlant les symptômes comportementaux perturbateurs comorbides et </w:t>
      </w:r>
      <w:r w:rsidR="00261FB6">
        <w:rPr>
          <w:rFonts w:ascii="Garamond" w:hAnsi="Garamond"/>
          <w:lang w:val="fr-FR" w:eastAsia="fr-FR"/>
        </w:rPr>
        <w:t>utilisant le questionnaire les G</w:t>
      </w:r>
      <w:r w:rsidRPr="001745E8">
        <w:rPr>
          <w:rFonts w:ascii="Garamond" w:hAnsi="Garamond"/>
          <w:lang w:val="fr-FR" w:eastAsia="fr-FR"/>
        </w:rPr>
        <w:t xml:space="preserve">ens dans ma vie pour mesurer les représentations de l'attachement. Nous émettons l'hypothèse que les enfants atteints de TDAH ont des représentations d'attachement plus insécurisées et plus désorganisées, par rapport aux enfants au développement typique, et, sur la base de la littérature disponible sur le TDAH et l'attachement insécurisé, que cela ne peut pas être entièrement expliqué par un comportement </w:t>
      </w:r>
      <w:r w:rsidRPr="001745E8">
        <w:rPr>
          <w:rFonts w:ascii="Garamond" w:hAnsi="Garamond"/>
          <w:lang w:val="fr-FR" w:eastAsia="fr-FR"/>
        </w:rPr>
        <w:lastRenderedPageBreak/>
        <w:t>perturbateur comorbide. Ensuite, nous avons fait un zoom sur le groupe d'enfants souffrant de TDAH afin d'explorer si les représentations d'attachement insécurisées et/ou désorganisées chez ces enfants pouvaient être expliquées par l'émotion exprimée</w:t>
      </w:r>
      <w:r w:rsidR="00C06AF8">
        <w:rPr>
          <w:rFonts w:ascii="Garamond" w:hAnsi="Garamond"/>
          <w:lang w:val="fr-FR" w:eastAsia="fr-FR"/>
        </w:rPr>
        <w:t>(E.E)</w:t>
      </w:r>
      <w:r w:rsidRPr="001745E8">
        <w:rPr>
          <w:rFonts w:ascii="Garamond" w:hAnsi="Garamond"/>
          <w:lang w:val="fr-FR" w:eastAsia="fr-FR"/>
        </w:rPr>
        <w:t xml:space="preserve"> par les parents (en tant qu'indicateur de la qualité de la relation parent-enfant), le sentiment de compétence perçu par les parents</w:t>
      </w:r>
      <w:r w:rsidR="00C06AF8">
        <w:rPr>
          <w:rFonts w:ascii="Garamond" w:hAnsi="Garamond"/>
          <w:lang w:val="fr-FR" w:eastAsia="fr-FR"/>
        </w:rPr>
        <w:t>(SCP)</w:t>
      </w:r>
      <w:r w:rsidRPr="001745E8">
        <w:rPr>
          <w:rFonts w:ascii="Garamond" w:hAnsi="Garamond"/>
          <w:lang w:val="fr-FR" w:eastAsia="fr-FR"/>
        </w:rPr>
        <w:t>, le niveau d'éducation des parents et les symptômes de</w:t>
      </w:r>
      <w:r w:rsidRPr="00FC4497">
        <w:rPr>
          <w:rFonts w:ascii="Garamond" w:hAnsi="Garamond"/>
          <w:lang w:val="fr-FR" w:eastAsia="fr-FR"/>
        </w:rPr>
        <w:t xml:space="preserve"> TOC </w:t>
      </w:r>
      <w:r w:rsidRPr="001745E8">
        <w:rPr>
          <w:rFonts w:ascii="Garamond" w:hAnsi="Garamond"/>
          <w:lang w:val="fr-FR" w:eastAsia="fr-FR"/>
        </w:rPr>
        <w:t>comorbides des enfants. En fin de compte, cela pourrait guider les interventions auprès des enfants atteints de TDAH et de leurs familles.</w:t>
      </w:r>
    </w:p>
    <w:p w14:paraId="228ADCF4" w14:textId="402C04B0" w:rsidR="009850BE" w:rsidRPr="00205C88" w:rsidRDefault="00261FB6" w:rsidP="005E4ED4">
      <w:pPr>
        <w:pStyle w:val="Ttulosinternos"/>
      </w:pPr>
      <w:r>
        <w:t>Mé</w:t>
      </w:r>
      <w:r w:rsidR="001516ED" w:rsidRPr="00E25900">
        <w:t>thod</w:t>
      </w:r>
      <w:r>
        <w:t>e</w:t>
      </w:r>
      <w:r w:rsidR="00001B4E" w:rsidRPr="00001B4E">
        <w:rPr>
          <w:rFonts w:eastAsia="Calibri"/>
        </w:rPr>
        <w:t>.</w:t>
      </w:r>
    </w:p>
    <w:p w14:paraId="2F19162A" w14:textId="58968C22" w:rsidR="006F7E7E" w:rsidRPr="00261FB6" w:rsidRDefault="005B5614" w:rsidP="00FC652A">
      <w:pPr>
        <w:pStyle w:val="SubtituloInterno"/>
      </w:pPr>
      <w:r w:rsidRPr="00261FB6">
        <w:t>Participants</w:t>
      </w:r>
    </w:p>
    <w:p w14:paraId="2978D45F" w14:textId="7FF5C57C" w:rsidR="00047DFF" w:rsidRPr="00261FB6" w:rsidRDefault="00047DFF" w:rsidP="00AF404D">
      <w:pPr>
        <w:spacing w:line="360" w:lineRule="auto"/>
        <w:ind w:firstLine="720"/>
        <w:jc w:val="both"/>
      </w:pPr>
      <w:r w:rsidRPr="00261FB6">
        <w:t>L'</w:t>
      </w:r>
      <w:r w:rsidR="007C41F2" w:rsidRPr="00261FB6">
        <w:t>échantillon</w:t>
      </w:r>
      <w:r w:rsidR="00C12E57">
        <w:t xml:space="preserve"> consiste en 110</w:t>
      </w:r>
      <w:r w:rsidRPr="00261FB6">
        <w:t xml:space="preserve"> enfants âgés de 7 à 12 ans, dont 80 enfants atteints de TDAH et 30 enfants au développement typique. Les enfants avaient déjà reçu un diagnostic de TDAH et étaient inclus dans le groupe TD lorsqu'ils ne répondaient pas aux critères du TDAH. </w:t>
      </w:r>
      <w:r w:rsidR="007C41F2">
        <w:t>L</w:t>
      </w:r>
      <w:r w:rsidRPr="00261FB6">
        <w:t>es enfants présentant un trouble du spectre autistique ou un trouble des conduites (TC) ont été exclus</w:t>
      </w:r>
      <w:r w:rsidR="000B675D">
        <w:t>.</w:t>
      </w:r>
    </w:p>
    <w:p w14:paraId="0FA29A56" w14:textId="187E31CA" w:rsidR="006F7E7E" w:rsidRPr="00261FB6" w:rsidRDefault="00507B29" w:rsidP="00FC652A">
      <w:pPr>
        <w:pStyle w:val="SubtituloInterno"/>
      </w:pPr>
      <w:r w:rsidRPr="00261FB6">
        <w:t>Design</w:t>
      </w:r>
    </w:p>
    <w:p w14:paraId="03CFE397" w14:textId="1CD1AB51" w:rsidR="00A850EE" w:rsidRPr="006131A2" w:rsidRDefault="00A850EE" w:rsidP="00AF404D">
      <w:pPr>
        <w:spacing w:line="360" w:lineRule="auto"/>
        <w:ind w:firstLine="720"/>
        <w:jc w:val="both"/>
      </w:pPr>
      <w:r w:rsidRPr="006131A2">
        <w:t>Suite à un rencontre initial é</w:t>
      </w:r>
      <w:r w:rsidR="001163BC">
        <w:t>tabli entre l’</w:t>
      </w:r>
      <w:r w:rsidR="001163BC" w:rsidRPr="006131A2">
        <w:t>auteur</w:t>
      </w:r>
      <w:r w:rsidR="001163BC">
        <w:t>,</w:t>
      </w:r>
      <w:r w:rsidRPr="006131A2">
        <w:t xml:space="preserve"> les enseignants et directeurs, certains enfants ayant rempli les critères de sélections préétablis étaient alors référés </w:t>
      </w:r>
      <w:r w:rsidR="001163BC">
        <w:t>dans</w:t>
      </w:r>
      <w:r w:rsidRPr="006131A2">
        <w:t xml:space="preserve"> cette recherche. Ensuite</w:t>
      </w:r>
      <w:r w:rsidR="00C86614" w:rsidRPr="006131A2">
        <w:t xml:space="preserve"> </w:t>
      </w:r>
      <w:r w:rsidR="001163BC">
        <w:t>l’</w:t>
      </w:r>
      <w:r w:rsidRPr="006131A2">
        <w:t xml:space="preserve"> auteur de cette étude </w:t>
      </w:r>
      <w:r w:rsidR="00C86614" w:rsidRPr="006131A2">
        <w:t xml:space="preserve">communiquait avec </w:t>
      </w:r>
      <w:r w:rsidRPr="006131A2">
        <w:t xml:space="preserve">les enfants directement en classes et les parents par téléphones afin de vérifier </w:t>
      </w:r>
      <w:r w:rsidR="00C86614" w:rsidRPr="006131A2">
        <w:t>les consentements</w:t>
      </w:r>
      <w:r w:rsidRPr="006131A2">
        <w:t xml:space="preserve"> à participer à cette </w:t>
      </w:r>
      <w:r w:rsidR="00C86614" w:rsidRPr="006131A2">
        <w:t>recherche. Lorsque</w:t>
      </w:r>
      <w:r w:rsidRPr="006131A2">
        <w:t xml:space="preserve"> </w:t>
      </w:r>
      <w:r w:rsidR="00C86614" w:rsidRPr="006131A2">
        <w:t>cette</w:t>
      </w:r>
      <w:r w:rsidRPr="006131A2">
        <w:t xml:space="preserve"> </w:t>
      </w:r>
      <w:r w:rsidR="00C86614" w:rsidRPr="006131A2">
        <w:t>étape</w:t>
      </w:r>
      <w:r w:rsidRPr="006131A2">
        <w:t xml:space="preserve">  était </w:t>
      </w:r>
      <w:r w:rsidR="00C86614" w:rsidRPr="006131A2">
        <w:t>complété</w:t>
      </w:r>
      <w:r w:rsidR="001163BC">
        <w:t xml:space="preserve"> l’auteur prenait</w:t>
      </w:r>
      <w:r w:rsidRPr="006131A2">
        <w:t xml:space="preserve"> </w:t>
      </w:r>
      <w:r w:rsidR="00CF41BC" w:rsidRPr="006131A2">
        <w:t>rende</w:t>
      </w:r>
      <w:r w:rsidR="00CF41BC">
        <w:t>z</w:t>
      </w:r>
      <w:r w:rsidR="00CF41BC" w:rsidRPr="006131A2">
        <w:t>-vous</w:t>
      </w:r>
      <w:r w:rsidRPr="006131A2">
        <w:t xml:space="preserve"> avec </w:t>
      </w:r>
      <w:r w:rsidR="00C86614" w:rsidRPr="006131A2">
        <w:t>l’enfant</w:t>
      </w:r>
      <w:r w:rsidR="001163BC">
        <w:t xml:space="preserve"> et se rendait</w:t>
      </w:r>
      <w:r w:rsidRPr="006131A2">
        <w:t xml:space="preserve"> directement  dans la famille de l’enfant afin que les parents puissent remplir les questionnaires</w:t>
      </w:r>
      <w:r w:rsidR="001163BC">
        <w:t>. L</w:t>
      </w:r>
      <w:r w:rsidRPr="006131A2">
        <w:t xml:space="preserve">a </w:t>
      </w:r>
      <w:r w:rsidR="00C86614" w:rsidRPr="006131A2">
        <w:t>rencontre</w:t>
      </w:r>
      <w:r w:rsidRPr="006131A2">
        <w:t xml:space="preserve"> se </w:t>
      </w:r>
      <w:r w:rsidR="001163BC">
        <w:t>réalisait</w:t>
      </w:r>
      <w:r w:rsidRPr="006131A2">
        <w:t xml:space="preserve"> </w:t>
      </w:r>
      <w:r w:rsidR="00C86614" w:rsidRPr="006131A2">
        <w:t>individuellement</w:t>
      </w:r>
      <w:r w:rsidRPr="006131A2">
        <w:t xml:space="preserve"> avec les participant</w:t>
      </w:r>
      <w:r w:rsidR="004509A6">
        <w:t xml:space="preserve">s dans un endroit tranquille et </w:t>
      </w:r>
      <w:r w:rsidRPr="006131A2">
        <w:t>d</w:t>
      </w:r>
      <w:r w:rsidR="004509A6">
        <w:t>i</w:t>
      </w:r>
      <w:r w:rsidRPr="006131A2">
        <w:t>scret.</w:t>
      </w:r>
      <w:r w:rsidR="004509A6">
        <w:t xml:space="preserve"> </w:t>
      </w:r>
      <w:r w:rsidR="004509A6" w:rsidRPr="006131A2">
        <w:t>Les</w:t>
      </w:r>
      <w:r w:rsidRPr="006131A2">
        <w:t xml:space="preserve"> rencontres </w:t>
      </w:r>
      <w:r w:rsidR="00C86614" w:rsidRPr="006131A2">
        <w:t>duraient</w:t>
      </w:r>
      <w:r w:rsidR="001163BC">
        <w:t xml:space="preserve"> en moyennes deux</w:t>
      </w:r>
      <w:r w:rsidRPr="006131A2">
        <w:t xml:space="preserve"> </w:t>
      </w:r>
      <w:r w:rsidR="00C86614" w:rsidRPr="006131A2">
        <w:t xml:space="preserve">heures. </w:t>
      </w:r>
    </w:p>
    <w:p w14:paraId="5B79FB44" w14:textId="5D14D769" w:rsidR="00047DFF" w:rsidRPr="00261FB6" w:rsidRDefault="004509A6" w:rsidP="00FC652A">
      <w:pPr>
        <w:pStyle w:val="SubtituloInterno"/>
      </w:pPr>
      <w:r>
        <w:t>Matérie</w:t>
      </w:r>
      <w:r w:rsidR="00507B29" w:rsidRPr="00261FB6">
        <w:t>ls</w:t>
      </w:r>
    </w:p>
    <w:p w14:paraId="2210CB60" w14:textId="086786AD" w:rsidR="00951A2D" w:rsidRPr="00951A2D" w:rsidRDefault="00AC0DFD" w:rsidP="00AF404D">
      <w:pPr>
        <w:pStyle w:val="SubtituloInterno"/>
        <w:ind w:firstLine="720"/>
      </w:pPr>
      <w:r w:rsidRPr="006131A2">
        <w:t>TDAH/ODD/CD</w:t>
      </w:r>
      <w:r w:rsidR="00951A2D" w:rsidRPr="006131A2">
        <w:t xml:space="preserve"> </w:t>
      </w:r>
      <w:r w:rsidR="00951A2D" w:rsidRPr="00CF41BC">
        <w:t>DISC-IV a été utilisé comme mesure diagnostique pour inclure les enfants atteints de TDAH et les enfants atteints de MC</w:t>
      </w:r>
      <w:r w:rsidR="00951A2D" w:rsidRPr="00CF41BC">
        <w:fldChar w:fldCharType="begin"/>
      </w:r>
      <w:r w:rsidR="0075727F">
        <w:instrText xml:space="preserve"> ADDIN ZOTERO_ITEM CSL_CITATION {"citationID":"av4stf6601","properties":{"formattedCitation":"(Shaffer et al., 2000)","plainCitation":"(Shaffer et al., 2000)","noteIndex":0},"citationItems":[{"id":262,"uris":["http://zotero.org/users/9196345/items/UD9I85GA"],"itemData":{"id":262,"type":"article-journal","container-title":"Journal of the American Academy of Child &amp; Adolescent Psychiatry","ISSN":"0890-8567","issue":"1","journalAbbreviation":"Journal of the American Academy of Child &amp; Adolescent Psychiatry","note":"publisher: Elsevier","page":"28-38","title":"NIMH Diagnostic Interview Schedule for Children Version IV (NIMH DISC-IV): description, differences from previous versions, and reliability of some common diagnoses","volume":"39","author":[{"family":"Shaffer","given":"David"},{"family":"Fisher","given":"Prudence"},{"family":"Lucas","given":"Christopher P"},{"family":"Dulcan","given":"Mina K"},{"family":"Schwab-Stone","given":"Mary E"}],"issued":{"date-parts":[["2000"]]}}}],"schema":"https://github.com/citation-style-language/schema/raw/master/csl-citation.json"} </w:instrText>
      </w:r>
      <w:r w:rsidR="00951A2D" w:rsidRPr="00CF41BC">
        <w:fldChar w:fldCharType="separate"/>
      </w:r>
      <w:r w:rsidR="00951A2D" w:rsidRPr="00CF41BC">
        <w:t>(Shaffer et al., 2000)</w:t>
      </w:r>
      <w:r w:rsidR="00951A2D" w:rsidRPr="00CF41BC">
        <w:fldChar w:fldCharType="end"/>
      </w:r>
      <w:r w:rsidR="00951A2D" w:rsidRPr="00951A2D">
        <w:t xml:space="preserve">. La fiabilité test-retest et la validité prédictive sont bonnes. Le DISC a été utilisé comme mesure diagnostique (c'est-à-dire pour inclure les enfants atteints de TDAH et exclure les enfants atteints </w:t>
      </w:r>
      <w:r w:rsidR="00951A2D" w:rsidRPr="00CF41BC">
        <w:t xml:space="preserve">de MC), </w:t>
      </w:r>
      <w:r w:rsidR="00951A2D" w:rsidRPr="00951A2D">
        <w:t>ainsi que pour mesurer le nombre de symptômes de TOC. Dans cette étude le test de TDAH indique de bonne fiabilit</w:t>
      </w:r>
      <w:r w:rsidR="009B7E16">
        <w:t xml:space="preserve">é (alpha </w:t>
      </w:r>
      <w:r w:rsidR="009B7E16">
        <w:lastRenderedPageBreak/>
        <w:t>cronbanch=0.94</w:t>
      </w:r>
      <w:r w:rsidR="004509A6">
        <w:t>,n items =1</w:t>
      </w:r>
      <w:r w:rsidR="00951A2D" w:rsidRPr="00951A2D">
        <w:t>3) ;les items sur le troubles de conduites indique une moyenne fiabilité et acceptable(alpha cronbanch=0.56,n items=14),pour le trouble oppositionnel la fiabilité(.66,n item=8 ).</w:t>
      </w:r>
    </w:p>
    <w:p w14:paraId="22886AEF" w14:textId="526388AD" w:rsidR="00AC0DFD" w:rsidRPr="001D699F" w:rsidRDefault="00AC0DFD" w:rsidP="00AC0DFD">
      <w:pPr>
        <w:autoSpaceDN w:val="0"/>
        <w:spacing w:line="360" w:lineRule="auto"/>
        <w:jc w:val="both"/>
        <w:rPr>
          <w:rFonts w:ascii="Garamond" w:hAnsi="Garamond"/>
          <w:color w:val="FF0000"/>
          <w:lang w:val="fr-FR" w:eastAsia="fr-FR"/>
        </w:rPr>
      </w:pPr>
      <w:r w:rsidRPr="001D699F">
        <w:rPr>
          <w:rFonts w:ascii="Garamond" w:hAnsi="Garamond"/>
          <w:lang w:val="fr-FR" w:eastAsia="fr-FR"/>
        </w:rPr>
        <w:t>Niveau d'éducation des parents</w:t>
      </w:r>
    </w:p>
    <w:p w14:paraId="667B0DDE" w14:textId="1E5FCBF3" w:rsidR="00AC0DFD" w:rsidRPr="00BB4236" w:rsidRDefault="00AC0DFD" w:rsidP="00AF404D">
      <w:pPr>
        <w:autoSpaceDN w:val="0"/>
        <w:spacing w:line="360" w:lineRule="auto"/>
        <w:ind w:firstLine="720"/>
        <w:jc w:val="both"/>
      </w:pPr>
      <w:r w:rsidRPr="001745E8">
        <w:rPr>
          <w:rFonts w:ascii="Garamond" w:hAnsi="Garamond"/>
          <w:lang w:val="fr-FR" w:eastAsia="fr-FR"/>
        </w:rPr>
        <w:t xml:space="preserve">Le niveau d'éducation le plus élevé </w:t>
      </w:r>
      <w:r w:rsidR="003B5EF6">
        <w:rPr>
          <w:rFonts w:ascii="Garamond" w:hAnsi="Garamond"/>
          <w:lang w:val="fr-FR" w:eastAsia="fr-FR"/>
        </w:rPr>
        <w:t xml:space="preserve">des parents (échelle de 3 </w:t>
      </w:r>
      <w:r w:rsidR="004509A6">
        <w:rPr>
          <w:rFonts w:ascii="Garamond" w:hAnsi="Garamond"/>
          <w:lang w:val="fr-FR" w:eastAsia="fr-FR"/>
        </w:rPr>
        <w:t>point</w:t>
      </w:r>
      <w:r w:rsidRPr="001745E8">
        <w:rPr>
          <w:rFonts w:ascii="Garamond" w:hAnsi="Garamond"/>
          <w:lang w:val="fr-FR" w:eastAsia="fr-FR"/>
        </w:rPr>
        <w:t>, les valeurs les plus élevées indiquant un niveau d'éducation p</w:t>
      </w:r>
      <w:r w:rsidR="003B5EF6">
        <w:rPr>
          <w:rFonts w:ascii="Garamond" w:hAnsi="Garamond"/>
          <w:lang w:val="fr-FR" w:eastAsia="fr-FR"/>
        </w:rPr>
        <w:t>lus élevé) a été obtenu. Nous avons</w:t>
      </w:r>
      <w:r w:rsidRPr="001745E8">
        <w:rPr>
          <w:rFonts w:ascii="Garamond" w:hAnsi="Garamond"/>
          <w:lang w:val="fr-FR" w:eastAsia="fr-FR"/>
        </w:rPr>
        <w:t xml:space="preserve"> pu obt</w:t>
      </w:r>
      <w:r w:rsidR="003B5EF6">
        <w:rPr>
          <w:rFonts w:ascii="Garamond" w:hAnsi="Garamond"/>
          <w:lang w:val="fr-FR" w:eastAsia="fr-FR"/>
        </w:rPr>
        <w:t>enir cette information pour tous les</w:t>
      </w:r>
      <w:r w:rsidRPr="001745E8">
        <w:rPr>
          <w:rFonts w:ascii="Garamond" w:hAnsi="Garamond"/>
          <w:lang w:val="fr-FR" w:eastAsia="fr-FR"/>
        </w:rPr>
        <w:t xml:space="preserve"> </w:t>
      </w:r>
      <w:r w:rsidR="00BC7AB3" w:rsidRPr="001745E8">
        <w:rPr>
          <w:rFonts w:ascii="Garamond" w:hAnsi="Garamond"/>
          <w:lang w:val="fr-FR" w:eastAsia="fr-FR"/>
        </w:rPr>
        <w:t>participants</w:t>
      </w:r>
      <w:r w:rsidR="004509A6">
        <w:rPr>
          <w:rFonts w:ascii="Garamond" w:hAnsi="Garamond"/>
          <w:lang w:val="fr-FR" w:eastAsia="fr-FR"/>
        </w:rPr>
        <w:t>.</w:t>
      </w:r>
      <w:r w:rsidR="00951A2D" w:rsidRPr="00951A2D">
        <w:t xml:space="preserve"> </w:t>
      </w:r>
    </w:p>
    <w:p w14:paraId="0FE266D5" w14:textId="008BA744" w:rsidR="00AC0DFD" w:rsidRPr="001D699F" w:rsidRDefault="00AC0DFD" w:rsidP="00AC0DFD">
      <w:pPr>
        <w:autoSpaceDN w:val="0"/>
        <w:spacing w:line="360" w:lineRule="auto"/>
        <w:jc w:val="both"/>
        <w:rPr>
          <w:rFonts w:ascii="Garamond" w:hAnsi="Garamond"/>
          <w:lang w:val="fr-FR" w:eastAsia="fr-FR"/>
        </w:rPr>
      </w:pPr>
      <w:r w:rsidRPr="001D699F">
        <w:rPr>
          <w:rFonts w:ascii="Garamond" w:hAnsi="Garamond"/>
          <w:lang w:val="fr-FR" w:eastAsia="fr-FR"/>
        </w:rPr>
        <w:t>Relation parent-enfant : Émotion exprimée</w:t>
      </w:r>
    </w:p>
    <w:p w14:paraId="7B8FBBD6" w14:textId="54051EE6" w:rsidR="00AC0DFD" w:rsidRPr="001745E8" w:rsidRDefault="00AC0DFD" w:rsidP="0099755D">
      <w:pPr>
        <w:autoSpaceDN w:val="0"/>
        <w:spacing w:line="360" w:lineRule="auto"/>
        <w:ind w:firstLine="720"/>
        <w:jc w:val="both"/>
        <w:rPr>
          <w:rFonts w:ascii="Garamond" w:hAnsi="Garamond"/>
          <w:lang w:val="fr-FR" w:eastAsia="fr-FR"/>
        </w:rPr>
      </w:pPr>
      <w:r w:rsidRPr="001745E8">
        <w:rPr>
          <w:rFonts w:ascii="Garamond" w:hAnsi="Garamond"/>
          <w:lang w:val="fr-FR" w:eastAsia="fr-FR"/>
        </w:rPr>
        <w:t>Des échantillons de discours de cinq minutes (FMSS)</w:t>
      </w:r>
      <w:r w:rsidRPr="00F63D80">
        <w:rPr>
          <w:rFonts w:ascii="Garamond" w:hAnsi="Garamond"/>
          <w:lang w:val="fr-FR" w:eastAsia="fr-FR"/>
        </w:rPr>
        <w:t xml:space="preserve"> </w:t>
      </w:r>
      <w:r w:rsidRPr="001745E8">
        <w:rPr>
          <w:rFonts w:ascii="Garamond" w:hAnsi="Garamond"/>
          <w:lang w:val="fr-FR" w:eastAsia="fr-FR"/>
        </w:rPr>
        <w:t>ont été recueillis auprès des parents de tous les enfants du groupe TDAH afin de mesurer l'émotion exprimée (EE). L'EE reflète</w:t>
      </w:r>
      <w:r w:rsidR="001D699F">
        <w:rPr>
          <w:rFonts w:ascii="Garamond" w:hAnsi="Garamond"/>
          <w:lang w:val="fr-FR" w:eastAsia="fr-FR"/>
        </w:rPr>
        <w:t xml:space="preserve"> la qualité</w:t>
      </w:r>
      <w:r w:rsidRPr="001745E8">
        <w:rPr>
          <w:rFonts w:ascii="Garamond" w:hAnsi="Garamond"/>
          <w:lang w:val="fr-FR" w:eastAsia="fr-FR"/>
        </w:rPr>
        <w:t xml:space="preserve"> </w:t>
      </w:r>
      <w:r w:rsidR="001D699F">
        <w:rPr>
          <w:rFonts w:ascii="Garamond" w:hAnsi="Garamond"/>
          <w:lang w:val="fr-FR" w:eastAsia="fr-FR"/>
        </w:rPr>
        <w:t xml:space="preserve">d’attachement </w:t>
      </w:r>
      <w:r w:rsidRPr="001745E8">
        <w:rPr>
          <w:rFonts w:ascii="Garamond" w:hAnsi="Garamond"/>
          <w:lang w:val="fr-FR" w:eastAsia="fr-FR"/>
        </w:rPr>
        <w:t>parent-enfant et prédit de manière fiable les résultats négatifs</w:t>
      </w:r>
      <w:r>
        <w:rPr>
          <w:rFonts w:ascii="Garamond" w:hAnsi="Garamond"/>
          <w:lang w:val="fr-FR" w:eastAsia="fr-FR"/>
        </w:rPr>
        <w:t xml:space="preserve"> </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{"citationID":"u5ELi7WT","properties":{"formattedCitation":"(Hooley, 2007)","plainCitation":"(Hooley, 2007)","noteIndex":0},"citationItems":[{"id":302,"uris":["http://zotero.org/users/9196345/items/RF3YYYGL"],"itemData":{"id":302,"type":"article-journal","container-title":"Annu. Rev. Clin. Psychol.","ISSN":"1548-5943","journalAbbreviation":"Annu. Rev. Clin. Psychol.","note":"publisher: Annual Reviews","page":"329-352","title":"Expressed emotion and relapse of psychopathology","volume":"3","author":[{"family":"Hooley","given":"Jill M"}],"issued":{"date-parts":[["2007"]]}}}],"schema":"https://github.com/citation-style-language/schema/raw/master/csl-citation.json"} </w:instrText>
      </w:r>
      <w:r>
        <w:rPr>
          <w:rFonts w:ascii="Garamond" w:hAnsi="Garamond"/>
          <w:lang w:val="fr-FR" w:eastAsia="fr-FR"/>
        </w:rPr>
        <w:fldChar w:fldCharType="separate"/>
      </w:r>
      <w:r w:rsidRPr="00F63D80">
        <w:rPr>
          <w:rFonts w:ascii="Garamond" w:hAnsi="Garamond"/>
          <w:lang w:val="fr-FR"/>
        </w:rPr>
        <w:t>(Hooley, 2007)</w:t>
      </w:r>
      <w:r>
        <w:rPr>
          <w:rFonts w:ascii="Garamond" w:hAnsi="Garamond"/>
          <w:lang w:val="fr-FR" w:eastAsia="fr-FR"/>
        </w:rPr>
        <w:fldChar w:fldCharType="end"/>
      </w:r>
      <w:r w:rsidRPr="001745E8">
        <w:rPr>
          <w:rFonts w:ascii="Garamond" w:hAnsi="Garamond"/>
          <w:lang w:val="fr-FR" w:eastAsia="fr-FR"/>
        </w:rPr>
        <w:t xml:space="preserve">  . Les parents ont été invités à parler de leur enfant pendant cinq minutes, sans être interrompus par le chercheur. Lorsque les parents s'arrêtaient de parler avant la fin des cinq minutes, le chercheur les encourageait à continuer. Sur la base de la littérature antérieure</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{"citationID":"atStwNT2","properties":{"formattedCitation":"(Wearden et al., 2000)","plainCitation":"(Wearden et al., 2000)","noteIndex":0},"citationItems":[{"id":300,"uris":["http://zotero.org/users/9196345/items/8MSPUN7E"],"itemData":{"id":300,"type":"article-journal","container-title":"Clinical psychology review","ISSN":"0272-7358","issue":"5","journalAbbreviation":"Clinical psychology review","note":"publisher: Elsevier","page":"633-666","title":"A review of expressed emotion research in health care","volume":"20","author":[{"family":"Wearden","given":"Alison J"},{"family":"Tarrier","given":"Nicholas"},{"family":"Barrowclough","given":"Christine"},{"family":"Zastowny","given":"Thomas R"},{"family":"Rahill","given":"Alice Armstrong"}],"issued":{"date-parts":[["2000"]]}}}],"schema":"https://github.com/citation-style-language/schema/raw/master/csl-citation.json"} </w:instrText>
      </w:r>
      <w:r>
        <w:rPr>
          <w:rFonts w:ascii="Garamond" w:hAnsi="Garamond"/>
          <w:lang w:val="fr-FR" w:eastAsia="fr-FR"/>
        </w:rPr>
        <w:fldChar w:fldCharType="separate"/>
      </w:r>
      <w:r w:rsidRPr="00F63D80">
        <w:rPr>
          <w:rFonts w:ascii="Garamond" w:hAnsi="Garamond"/>
          <w:lang w:val="fr-FR"/>
        </w:rPr>
        <w:t>(Wearden et al., 2000)</w:t>
      </w:r>
      <w:r>
        <w:rPr>
          <w:rFonts w:ascii="Garamond" w:hAnsi="Garamond"/>
          <w:lang w:val="fr-FR" w:eastAsia="fr-FR"/>
        </w:rPr>
        <w:fldChar w:fldCharType="end"/>
      </w:r>
      <w:r w:rsidRPr="001745E8">
        <w:rPr>
          <w:rFonts w:ascii="Garamond" w:hAnsi="Garamond"/>
          <w:lang w:val="fr-FR" w:eastAsia="fr-FR"/>
        </w:rPr>
        <w:t>, le FMSS a permis d'évaluer la déclaration initiale (positive, neutre ou négative), la chaleur (élevée, modérée ou faible) et la relation (positive, neutre ou négative), ainsi que la fréquence des commentaires positifs et critiques. Un score total des évaluations de la déclaration initiale, de la chaleur et de la relation a été calculé et a servi de principale variable dépendante utilisée dans les analyses. Si au moins une des évaluations était faible/négative, et si la fréquence des commentaires critiques était élevée, le score total était calculé.</w:t>
      </w:r>
    </w:p>
    <w:p w14:paraId="5426055D" w14:textId="72A6B571" w:rsidR="00AC0DFD" w:rsidRPr="001D699F" w:rsidRDefault="00AC0DFD" w:rsidP="00AC0DFD">
      <w:pPr>
        <w:autoSpaceDN w:val="0"/>
        <w:spacing w:line="360" w:lineRule="auto"/>
        <w:jc w:val="both"/>
        <w:rPr>
          <w:rFonts w:ascii="Garamond" w:hAnsi="Garamond"/>
          <w:lang w:val="fr-FR" w:eastAsia="fr-FR"/>
        </w:rPr>
      </w:pPr>
      <w:r w:rsidRPr="001D699F">
        <w:rPr>
          <w:rFonts w:ascii="Garamond" w:hAnsi="Garamond"/>
          <w:lang w:val="fr-FR" w:eastAsia="fr-FR"/>
        </w:rPr>
        <w:t>Sentiment de compétence perçue par les parents</w:t>
      </w:r>
    </w:p>
    <w:p w14:paraId="536855D9" w14:textId="2793FF83" w:rsidR="00AC0DFD" w:rsidRPr="00047DFF" w:rsidRDefault="00AC0DFD" w:rsidP="0099755D">
      <w:pPr>
        <w:autoSpaceDN w:val="0"/>
        <w:spacing w:line="360" w:lineRule="auto"/>
        <w:ind w:firstLine="720"/>
        <w:jc w:val="both"/>
        <w:rPr>
          <w:rFonts w:ascii="Garamond" w:hAnsi="Garamond"/>
          <w:lang w:val="fr-FR" w:eastAsia="fr-FR"/>
        </w:rPr>
      </w:pPr>
      <w:r w:rsidRPr="001745E8">
        <w:rPr>
          <w:rFonts w:ascii="Garamond" w:hAnsi="Garamond"/>
          <w:lang w:val="fr-FR" w:eastAsia="fr-FR"/>
        </w:rPr>
        <w:t>L'échelle du sentiment de compétence parentale (PSOC)</w:t>
      </w:r>
      <w:r>
        <w:rPr>
          <w:rFonts w:ascii="Garamond" w:hAnsi="Garamond"/>
          <w:lang w:val="fr-FR" w:eastAsia="fr-FR"/>
        </w:rPr>
        <w:fldChar w:fldCharType="begin"/>
      </w:r>
      <w:r w:rsidR="0075727F">
        <w:rPr>
          <w:rFonts w:ascii="Garamond" w:hAnsi="Garamond"/>
          <w:lang w:val="fr-FR" w:eastAsia="fr-FR"/>
        </w:rPr>
        <w:instrText xml:space="preserve"> ADDIN ZOTERO_ITEM CSL_CITATION {"citationID":"3vjTJGio","properties":{"formattedCitation":"(Ohan et al., 2000)","plainCitation":"(Ohan et al., 2000)","noteIndex":0},"citationItems":[{"id":299,"uris":["http://zotero.org/users/9196345/items/JE8VVD5D"],"itemData":{"id":299,"type":"article-journal","container-title":"Canadian Journal of Behavioural Science / Revue canadienne des sciences du comportement","DOI":"10.1037/h0087122","ISSN":"1879-2669, 0008-400X","issue":"4","journalAbbreviation":"Canadian Journal of Behavioural Science / Revue canadienne des sciences du comportement","language":"en","page":"251-261","source":"DOI.org (Crossref)","title":"The Parenting Sense of Competence scale: Evidence of a stable factor structure and validity.","title-short":"The Parenting Sense of Competence scale","volume":"32","author":[{"family":"Ohan","given":"Jeneva L."},{"family":"Leung","given":"Debbie W."},{"family":"Johnston","given":"Charlotte"}],"issued":{"date-parts":[["2000"]]}}}],"schema":"https://github.com/citation-style-language/schema/raw/master/csl-citation.json"} </w:instrText>
      </w:r>
      <w:r>
        <w:rPr>
          <w:rFonts w:ascii="Garamond" w:hAnsi="Garamond"/>
          <w:lang w:val="fr-FR" w:eastAsia="fr-FR"/>
        </w:rPr>
        <w:fldChar w:fldCharType="separate"/>
      </w:r>
      <w:r w:rsidRPr="004C6557">
        <w:rPr>
          <w:rFonts w:ascii="Garamond" w:hAnsi="Garamond"/>
          <w:lang w:val="fr-FR"/>
        </w:rPr>
        <w:t>(Ohan et al., 2000)</w:t>
      </w:r>
      <w:r>
        <w:rPr>
          <w:rFonts w:ascii="Garamond" w:hAnsi="Garamond"/>
          <w:lang w:val="fr-FR" w:eastAsia="fr-FR"/>
        </w:rPr>
        <w:fldChar w:fldCharType="end"/>
      </w:r>
      <w:r>
        <w:rPr>
          <w:rFonts w:ascii="Garamond" w:hAnsi="Garamond"/>
          <w:lang w:val="fr-FR" w:eastAsia="fr-FR"/>
        </w:rPr>
        <w:t xml:space="preserve"> </w:t>
      </w:r>
      <w:r w:rsidRPr="001745E8">
        <w:rPr>
          <w:rFonts w:ascii="Garamond" w:hAnsi="Garamond"/>
          <w:lang w:val="fr-FR" w:eastAsia="fr-FR"/>
        </w:rPr>
        <w:t>a été utilisée pour évaluer la compétence perçue des parents en tant que parent. L'échelle PSOC comprend 17 items (par exemple, "être parent est gérable, et les problèmes sont facilement résolus"), auxquels on répond sur une échelle de Likert en 6 points allant de 1 (fortement en désaccord) à 6 (fortement d'accord). Des scores plus élevés indiquent un plus grand sentiment de compétence parentale. Des évaluations plus élevées des problèmes de l'enfant étaient liées à des scores plus faibles au PSOC, et les propriétés psychométriques (structure factorielle, cohérence interne) étaient</w:t>
      </w:r>
      <w:r>
        <w:rPr>
          <w:rFonts w:ascii="Garamond" w:hAnsi="Garamond"/>
          <w:lang w:val="fr-FR" w:eastAsia="fr-FR"/>
        </w:rPr>
        <w:t xml:space="preserve"> adéquates </w:t>
      </w:r>
      <w:r w:rsidR="001178E6" w:rsidRPr="001178E6">
        <w:rPr>
          <w:rFonts w:ascii="Garamond" w:hAnsi="Garamond"/>
          <w:lang w:val="fr-FR" w:eastAsia="fr-FR"/>
        </w:rPr>
        <w:t>.</w:t>
      </w:r>
      <w:r>
        <w:rPr>
          <w:rFonts w:ascii="Garamond" w:hAnsi="Garamond"/>
          <w:lang w:val="fr-FR" w:eastAsia="fr-FR"/>
        </w:rPr>
        <w:t xml:space="preserve">Dans cette etude </w:t>
      </w:r>
      <w:r w:rsidRPr="001745E8">
        <w:rPr>
          <w:rFonts w:ascii="Garamond" w:hAnsi="Garamond"/>
          <w:lang w:val="fr-FR" w:eastAsia="fr-FR"/>
        </w:rPr>
        <w:t xml:space="preserve"> la faibilité du  ltest de L'échelle du sentiment de compétence parentale (PSOC) est très bonnes 0.86 (avec n items =16)</w:t>
      </w:r>
    </w:p>
    <w:p w14:paraId="788EC80D" w14:textId="664651D5" w:rsidR="004C1FD8" w:rsidRPr="005E4ED4" w:rsidRDefault="0030125E" w:rsidP="00FC652A">
      <w:pPr>
        <w:pStyle w:val="SubtituloInterno"/>
      </w:pPr>
      <w:r w:rsidRPr="005E4ED4">
        <w:t>Procédure</w:t>
      </w:r>
      <w:r w:rsidR="007C3C14" w:rsidRPr="005E4ED4">
        <w:t xml:space="preserve"> </w:t>
      </w:r>
    </w:p>
    <w:p w14:paraId="0CAE8797" w14:textId="4294546E" w:rsidR="007948E1" w:rsidRPr="005E4ED4" w:rsidRDefault="007948E1" w:rsidP="0099755D">
      <w:pPr>
        <w:spacing w:line="360" w:lineRule="auto"/>
        <w:ind w:firstLine="720"/>
      </w:pPr>
      <w:r w:rsidRPr="005E4ED4">
        <w:lastRenderedPageBreak/>
        <w:t>Avant de commencer, il était important d’avoir l’accord du directeur de l’établissement pour trouver un moyen d’informer et d’obtenir le consentement des enfants qui voulaient participer et de connaître ceux qui ne voulaient pas participer. Lorsque nous avons rencontré chaque enfant, nous avons lu le formulaire de consentement, qui indique qu’ils ont le choix de participer, qu’ils ne sont pas obligés de le faire et qu’ils peuvent retirer les données que nous avons collectées. Nous avons aussi obtenu l’accord des parents qui souhaitaient participer à cette étude.</w:t>
      </w:r>
    </w:p>
    <w:p w14:paraId="0F4ED851" w14:textId="68B8525C" w:rsidR="007C3C14" w:rsidRPr="005E4ED4" w:rsidRDefault="0030125E" w:rsidP="00FC652A">
      <w:pPr>
        <w:pStyle w:val="SubtituloInterno"/>
      </w:pPr>
      <w:r w:rsidRPr="005E4ED4">
        <w:t xml:space="preserve"> Analyses des données</w:t>
      </w:r>
    </w:p>
    <w:p w14:paraId="704FFCB6" w14:textId="7853AB6B" w:rsidR="0030125E" w:rsidRPr="005E4ED4" w:rsidRDefault="00972D0C" w:rsidP="00AF404D">
      <w:pPr>
        <w:spacing w:line="360" w:lineRule="auto"/>
        <w:ind w:firstLine="720"/>
        <w:jc w:val="both"/>
      </w:pPr>
      <w:r w:rsidRPr="005E4ED4">
        <w:t>Nous avons utilisé des tests t indépendants, des tests de</w:t>
      </w:r>
      <w:r w:rsidR="00C34AEB">
        <w:t xml:space="preserve"> </w:t>
      </w:r>
      <w:r w:rsidR="00C34AEB" w:rsidRPr="00C34AEB">
        <w:t>Kruskall-Walli</w:t>
      </w:r>
      <w:r w:rsidR="00C34AEB">
        <w:t>s</w:t>
      </w:r>
      <w:r w:rsidRPr="005E4ED4">
        <w:t xml:space="preserve"> et des analyses du chi carré pour évaluer les différences entre les groupes en </w:t>
      </w:r>
      <w:r w:rsidR="00515CD1">
        <w:t>ce qui concerne l'âge, le sexe</w:t>
      </w:r>
      <w:r w:rsidRPr="005E4ED4">
        <w:t>, le niveau d'éducation des parents et les symptômes du TDAH et du</w:t>
      </w:r>
      <w:r w:rsidRPr="00685E37">
        <w:t xml:space="preserve"> TOC</w:t>
      </w:r>
      <w:r w:rsidRPr="005E4ED4">
        <w:t xml:space="preserve">. Nous avons inclus l'âge comme covariable. La littérature indique que ces variables sont liées non seulement à l'attachement mais aussi au TDAH. Nous avons effectué des analyses séparées avec les symptômes du trouble oppositionnel avec provocation et le niveau d'éducation des parents. Nous avons utilisé des analyses de régression linéaire hiérarchique bootstrapped pour évaluer l'influence de l'âge et du niveau d'éducation des parents, des symptômes comorbides de TOC, des émotions exprimées et du sentiment de compétence parentale au sein du groupe d'enfants atteints de TDAH. </w:t>
      </w:r>
      <w:r w:rsidR="001178E6">
        <w:t xml:space="preserve">Nous avons utilisé les scores Z de toutes les variables explicatives </w:t>
      </w:r>
      <w:r w:rsidRPr="005E4ED4">
        <w:t xml:space="preserve">pour les tests </w:t>
      </w:r>
      <w:r w:rsidR="001178E6" w:rsidRPr="005E4ED4">
        <w:t>multiples</w:t>
      </w:r>
      <w:r w:rsidRPr="005E4ED4">
        <w:t>.</w:t>
      </w:r>
      <w:r w:rsidR="001178E6">
        <w:t xml:space="preserve"> C</w:t>
      </w:r>
      <w:r w:rsidR="00AC0DFD" w:rsidRPr="005E4ED4">
        <w:t xml:space="preserve">ar nous avons utilisé </w:t>
      </w:r>
      <w:r w:rsidR="001178E6">
        <w:t xml:space="preserve">l’indice global </w:t>
      </w:r>
      <w:r w:rsidR="00AC0DFD" w:rsidRPr="005E4ED4">
        <w:t>d'attachement</w:t>
      </w:r>
      <w:r w:rsidR="001178E6">
        <w:t xml:space="preserve"> parental</w:t>
      </w:r>
      <w:r w:rsidR="00AC0DFD" w:rsidRPr="005E4ED4">
        <w:t>. Nous avons effectué tou</w:t>
      </w:r>
      <w:r w:rsidR="00B35042">
        <w:t>tes les analyses dans SPSS (v.25</w:t>
      </w:r>
      <w:r w:rsidR="00AC0DFD" w:rsidRPr="005E4ED4">
        <w:t>)</w:t>
      </w:r>
    </w:p>
    <w:p w14:paraId="5625561E" w14:textId="77777777" w:rsidR="0099755D" w:rsidRDefault="004C1FD8" w:rsidP="0099755D">
      <w:pPr>
        <w:pStyle w:val="SubtituloInterno"/>
      </w:pPr>
      <w:r w:rsidRPr="00047DFF">
        <w:t xml:space="preserve"> </w:t>
      </w:r>
      <w:r w:rsidR="0030125E" w:rsidRPr="00FC652A">
        <w:t>Considérations éthiques</w:t>
      </w:r>
    </w:p>
    <w:p w14:paraId="72CC96D3" w14:textId="71659DA1" w:rsidR="0030125E" w:rsidRPr="005E4ED4" w:rsidRDefault="00DB4E12" w:rsidP="0099755D">
      <w:pPr>
        <w:spacing w:line="360" w:lineRule="auto"/>
        <w:ind w:firstLine="720"/>
        <w:jc w:val="both"/>
      </w:pPr>
      <w:r w:rsidRPr="005E4ED4">
        <w:t xml:space="preserve">La mise en œuvre de cette étude  ne mettra pas en péril le bien-être physique ou psychologique des sujets; Cependant, parce que le sujet de notre recherche implique les traumatismes et les conséquences sur les pathologies de santé mentale chez les victimes, les lettres d’information et de consentement doivent être complètes pour tous, tout en tenant compte de l’impact que cela peut avoir sur les personnes. Les élèves et leurs enseignants avaient la possibilité de cesser de participer à tout moment sans avoir à se justifier, étant entendu que les informations recueillies resteraient privées et anonymisées dans le cadre de l’étude. Le consentement signé de </w:t>
      </w:r>
      <w:r w:rsidRPr="005E4ED4">
        <w:lastRenderedPageBreak/>
        <w:t>chaque enseignant ainsi que le consentement de chaque élève ont été obtenus. Lors de la réunion des parents et des autorités éducatives avec les chercheurs, il a été noté que les parents et/ou tuteurs avaient, de leur propre chef, donné aux enfants la permission de participer à l’étude</w:t>
      </w:r>
      <w:r w:rsidRPr="005E4ED4">
        <w:rPr>
          <w:b/>
        </w:rPr>
        <w:t>.</w:t>
      </w:r>
    </w:p>
    <w:p w14:paraId="5AC65240" w14:textId="446A157A" w:rsidR="00A93146" w:rsidRDefault="005E4ED4" w:rsidP="005E4ED4">
      <w:pPr>
        <w:pStyle w:val="Ttulosinternos"/>
      </w:pPr>
      <w:r w:rsidRPr="0030125E">
        <w:t>Résultats</w:t>
      </w:r>
    </w:p>
    <w:p w14:paraId="26757D19" w14:textId="77777777" w:rsidR="00465C3B" w:rsidRPr="005E4ED4" w:rsidRDefault="00465C3B" w:rsidP="00465C3B">
      <w:pPr>
        <w:autoSpaceDN w:val="0"/>
        <w:spacing w:line="360" w:lineRule="auto"/>
        <w:jc w:val="both"/>
        <w:rPr>
          <w:rFonts w:ascii="Garamond" w:hAnsi="Garamond"/>
          <w:i/>
          <w:lang w:val="fr-FR" w:eastAsia="fr-FR"/>
        </w:rPr>
      </w:pPr>
      <w:r w:rsidRPr="005E4ED4">
        <w:rPr>
          <w:rFonts w:ascii="Garamond" w:hAnsi="Garamond"/>
          <w:i/>
          <w:lang w:val="fr-FR" w:eastAsia="fr-FR"/>
        </w:rPr>
        <w:t>Analyses préliminaires</w:t>
      </w:r>
    </w:p>
    <w:p w14:paraId="63367EF5" w14:textId="36333D9D" w:rsidR="00465C3B" w:rsidRDefault="00465C3B" w:rsidP="00AF404D">
      <w:pPr>
        <w:autoSpaceDN w:val="0"/>
        <w:spacing w:line="360" w:lineRule="auto"/>
        <w:ind w:firstLine="708"/>
        <w:jc w:val="both"/>
        <w:rPr>
          <w:rFonts w:ascii="Garamond" w:hAnsi="Garamond"/>
          <w:lang w:val="fr-FR" w:eastAsia="fr-FR"/>
        </w:rPr>
      </w:pPr>
      <w:r w:rsidRPr="001745E8">
        <w:rPr>
          <w:rFonts w:ascii="Garamond" w:hAnsi="Garamond"/>
          <w:lang w:val="fr-FR" w:eastAsia="fr-FR"/>
        </w:rPr>
        <w:t>Les groupes ne différaient pas en termes</w:t>
      </w:r>
      <w:r w:rsidR="001178E6">
        <w:rPr>
          <w:rFonts w:ascii="Garamond" w:hAnsi="Garamond"/>
          <w:lang w:val="fr-FR" w:eastAsia="fr-FR"/>
        </w:rPr>
        <w:t xml:space="preserve"> d'âge, de répartition par sexe</w:t>
      </w:r>
      <w:r w:rsidR="001178E6" w:rsidRPr="001745E8">
        <w:rPr>
          <w:rFonts w:ascii="Garamond" w:hAnsi="Garamond"/>
          <w:lang w:val="fr-FR" w:eastAsia="fr-FR"/>
        </w:rPr>
        <w:t xml:space="preserve"> (</w:t>
      </w:r>
      <w:r w:rsidRPr="001745E8">
        <w:rPr>
          <w:rFonts w:ascii="Garamond" w:hAnsi="Garamond"/>
          <w:lang w:val="fr-FR" w:eastAsia="fr-FR"/>
        </w:rPr>
        <w:t xml:space="preserve">tableau 1). Le niveau d'éducation des parents était plus élevé chez les enfants atteints de troubles du déficit de l'attention que chez les enfants </w:t>
      </w:r>
      <w:r w:rsidR="001178E6">
        <w:rPr>
          <w:rFonts w:ascii="Garamond" w:hAnsi="Garamond"/>
          <w:lang w:val="fr-FR" w:eastAsia="fr-FR"/>
        </w:rPr>
        <w:t xml:space="preserve">au </w:t>
      </w:r>
      <w:r w:rsidRPr="001745E8">
        <w:rPr>
          <w:rFonts w:ascii="Garamond" w:hAnsi="Garamond"/>
          <w:lang w:val="fr-FR" w:eastAsia="fr-FR"/>
        </w:rPr>
        <w:t>TD. Comme prévu, les enfants atteints de TDAH présentaient davantage de symptômes de TOC que les enfants atteints de TD</w:t>
      </w:r>
      <w:r w:rsidR="00BB4CA3">
        <w:rPr>
          <w:rFonts w:ascii="Garamond" w:hAnsi="Garamond"/>
          <w:lang w:val="fr-FR" w:eastAsia="fr-FR"/>
        </w:rPr>
        <w:t xml:space="preserve"> </w:t>
      </w:r>
      <w:r w:rsidRPr="001745E8">
        <w:rPr>
          <w:rFonts w:ascii="Garamond" w:hAnsi="Garamond"/>
          <w:lang w:val="fr-FR" w:eastAsia="fr-FR"/>
        </w:rPr>
        <w:t>.</w:t>
      </w:r>
      <w:r w:rsidR="001F1478">
        <w:rPr>
          <w:rFonts w:ascii="Garamond" w:hAnsi="Garamond"/>
          <w:lang w:val="fr-FR" w:eastAsia="fr-FR"/>
        </w:rPr>
        <w:t xml:space="preserve">Les statistiques descriptives indiquent que les filles ont eu un score moyen plus élevé des  symptômes du TDAH que les garçons. </w:t>
      </w:r>
    </w:p>
    <w:p w14:paraId="3A6F9478" w14:textId="5570CB5C" w:rsidR="00465C3B" w:rsidRPr="00465C3B" w:rsidRDefault="00465C3B" w:rsidP="00575541">
      <w:pPr>
        <w:pStyle w:val="Prrafocomn"/>
        <w:rPr>
          <w:lang w:val="fr-FR"/>
        </w:rPr>
      </w:pPr>
      <w:r w:rsidRPr="00AC692E">
        <w:rPr>
          <w:rFonts w:ascii="Garamond" w:hAnsi="Garamond"/>
          <w:lang w:val="fr-FR" w:eastAsia="fr-FR"/>
        </w:rPr>
        <w:t>Tableau 1. Caractéristiques de l'échantillon (moyennes et écarts types, ou distribution)</w:t>
      </w:r>
    </w:p>
    <w:p w14:paraId="0E436BA1" w14:textId="4B84C446" w:rsidR="00575541" w:rsidRPr="00465C3B" w:rsidRDefault="00575541" w:rsidP="00575541">
      <w:pPr>
        <w:pStyle w:val="Prrafocomn"/>
        <w:rPr>
          <w:lang w:val="fr-FR"/>
        </w:rPr>
      </w:pPr>
    </w:p>
    <w:tbl>
      <w:tblPr>
        <w:tblW w:w="5000" w:type="pct"/>
        <w:tblCellMar>
          <w:left w:w="10" w:type="dxa"/>
          <w:right w:w="10" w:type="dxa"/>
        </w:tblCellMar>
        <w:tblLook w:val="0000" w:firstRow="0" w:lastRow="0" w:firstColumn="0" w:lastColumn="0" w:noHBand="0" w:noVBand="0"/>
      </w:tblPr>
      <w:tblGrid>
        <w:gridCol w:w="2552"/>
        <w:gridCol w:w="1984"/>
        <w:gridCol w:w="2596"/>
        <w:gridCol w:w="2228"/>
      </w:tblGrid>
      <w:tr w:rsidR="00465C3B" w:rsidRPr="00AC692E" w14:paraId="5352D895" w14:textId="77777777" w:rsidTr="00AF5B9A">
        <w:trPr>
          <w:trHeight w:val="378"/>
        </w:trPr>
        <w:tc>
          <w:tcPr>
            <w:tcW w:w="2552" w:type="dxa"/>
            <w:tcBorders>
              <w:top w:val="single" w:sz="8" w:space="0" w:color="5B9BD5"/>
              <w:bottom w:val="single" w:sz="8" w:space="0" w:color="5B9BD5"/>
            </w:tcBorders>
            <w:shd w:val="clear" w:color="auto" w:fill="auto"/>
            <w:noWrap/>
            <w:tcMar>
              <w:top w:w="0" w:type="dxa"/>
              <w:left w:w="108" w:type="dxa"/>
              <w:bottom w:w="0" w:type="dxa"/>
              <w:right w:w="108" w:type="dxa"/>
            </w:tcMar>
          </w:tcPr>
          <w:p w14:paraId="470C589F" w14:textId="77777777" w:rsidR="00465C3B" w:rsidRPr="00AC692E" w:rsidRDefault="00465C3B" w:rsidP="00D7109A">
            <w:pPr>
              <w:autoSpaceDN w:val="0"/>
              <w:spacing w:line="360" w:lineRule="auto"/>
              <w:jc w:val="both"/>
              <w:rPr>
                <w:rFonts w:ascii="Garamond" w:hAnsi="Garamond"/>
                <w:iCs/>
                <w:lang w:val="fr-FR" w:eastAsia="fr-FR"/>
              </w:rPr>
            </w:pPr>
          </w:p>
        </w:tc>
        <w:tc>
          <w:tcPr>
            <w:tcW w:w="1984" w:type="dxa"/>
            <w:tcBorders>
              <w:top w:val="single" w:sz="8" w:space="0" w:color="5B9BD5"/>
              <w:bottom w:val="single" w:sz="8" w:space="0" w:color="5B9BD5"/>
            </w:tcBorders>
            <w:shd w:val="clear" w:color="auto" w:fill="auto"/>
            <w:tcMar>
              <w:top w:w="0" w:type="dxa"/>
              <w:left w:w="108" w:type="dxa"/>
              <w:bottom w:w="0" w:type="dxa"/>
              <w:right w:w="108" w:type="dxa"/>
            </w:tcMar>
          </w:tcPr>
          <w:p w14:paraId="3FB09A23" w14:textId="3352F117" w:rsidR="00465C3B" w:rsidRPr="00AC692E" w:rsidRDefault="00465C3B" w:rsidP="00D7109A">
            <w:pPr>
              <w:autoSpaceDN w:val="0"/>
              <w:spacing w:line="360" w:lineRule="auto"/>
              <w:jc w:val="both"/>
              <w:rPr>
                <w:rFonts w:ascii="Garamond" w:hAnsi="Garamond"/>
                <w:iCs/>
                <w:lang w:val="fr-FR" w:eastAsia="fr-FR"/>
              </w:rPr>
            </w:pPr>
            <w:r>
              <w:rPr>
                <w:rFonts w:ascii="Garamond" w:hAnsi="Garamond"/>
                <w:bCs/>
                <w:lang w:val="fr-FR" w:eastAsia="fr-FR"/>
              </w:rPr>
              <w:t>TDAH (N = 80</w:t>
            </w:r>
            <w:r w:rsidRPr="00AC692E">
              <w:rPr>
                <w:rFonts w:ascii="Garamond" w:hAnsi="Garamond"/>
                <w:bCs/>
                <w:lang w:val="fr-FR" w:eastAsia="fr-FR"/>
              </w:rPr>
              <w:t xml:space="preserve">)                                        </w:t>
            </w:r>
          </w:p>
        </w:tc>
        <w:tc>
          <w:tcPr>
            <w:tcW w:w="2596" w:type="dxa"/>
            <w:tcBorders>
              <w:top w:val="single" w:sz="8" w:space="0" w:color="5B9BD5"/>
              <w:bottom w:val="single" w:sz="8" w:space="0" w:color="5B9BD5"/>
            </w:tcBorders>
            <w:shd w:val="clear" w:color="auto" w:fill="auto"/>
            <w:tcMar>
              <w:top w:w="0" w:type="dxa"/>
              <w:left w:w="108" w:type="dxa"/>
              <w:bottom w:w="0" w:type="dxa"/>
              <w:right w:w="108" w:type="dxa"/>
            </w:tcMar>
          </w:tcPr>
          <w:p w14:paraId="75160A67" w14:textId="47BA64A1" w:rsidR="00465C3B" w:rsidRPr="00AC692E" w:rsidRDefault="00C12E57" w:rsidP="00D7109A">
            <w:pPr>
              <w:autoSpaceDN w:val="0"/>
              <w:spacing w:line="360" w:lineRule="auto"/>
              <w:jc w:val="both"/>
              <w:rPr>
                <w:rFonts w:ascii="Garamond" w:hAnsi="Garamond"/>
                <w:iCs/>
                <w:lang w:val="fr-FR" w:eastAsia="fr-FR"/>
              </w:rPr>
            </w:pPr>
            <w:r>
              <w:rPr>
                <w:rFonts w:ascii="Garamond" w:hAnsi="Garamond"/>
                <w:bCs/>
                <w:lang w:val="fr-FR" w:eastAsia="fr-FR"/>
              </w:rPr>
              <w:t>TD (N = 30</w:t>
            </w:r>
            <w:r w:rsidR="00465C3B">
              <w:rPr>
                <w:rFonts w:ascii="Garamond" w:hAnsi="Garamond"/>
                <w:bCs/>
                <w:lang w:val="fr-FR" w:eastAsia="fr-FR"/>
              </w:rPr>
              <w:t>)</w:t>
            </w:r>
          </w:p>
        </w:tc>
        <w:tc>
          <w:tcPr>
            <w:tcW w:w="2228" w:type="dxa"/>
            <w:tcBorders>
              <w:top w:val="single" w:sz="8" w:space="0" w:color="5B9BD5"/>
              <w:bottom w:val="single" w:sz="8" w:space="0" w:color="5B9BD5"/>
            </w:tcBorders>
            <w:shd w:val="clear" w:color="auto" w:fill="auto"/>
            <w:tcMar>
              <w:top w:w="0" w:type="dxa"/>
              <w:left w:w="108" w:type="dxa"/>
              <w:bottom w:w="0" w:type="dxa"/>
              <w:right w:w="108" w:type="dxa"/>
            </w:tcMar>
          </w:tcPr>
          <w:p w14:paraId="6999FB84" w14:textId="7D2F1978" w:rsidR="00465C3B" w:rsidRPr="00AC692E" w:rsidRDefault="00CE12C2" w:rsidP="00D7109A">
            <w:pPr>
              <w:autoSpaceDN w:val="0"/>
              <w:spacing w:line="360" w:lineRule="auto"/>
              <w:jc w:val="both"/>
              <w:rPr>
                <w:rFonts w:ascii="Garamond" w:hAnsi="Garamond"/>
                <w:iCs/>
                <w:lang w:val="fr-FR" w:eastAsia="fr-FR"/>
              </w:rPr>
            </w:pPr>
            <w:r>
              <w:rPr>
                <w:rFonts w:ascii="Garamond" w:hAnsi="Garamond"/>
                <w:iCs/>
                <w:lang w:val="fr-FR" w:eastAsia="fr-FR"/>
              </w:rPr>
              <w:t>S</w:t>
            </w:r>
            <w:r w:rsidR="00E66A8E">
              <w:rPr>
                <w:rFonts w:ascii="Garamond" w:hAnsi="Garamond"/>
                <w:iCs/>
                <w:lang w:val="fr-FR" w:eastAsia="fr-FR"/>
              </w:rPr>
              <w:t>i</w:t>
            </w:r>
            <w:r>
              <w:rPr>
                <w:rFonts w:ascii="Garamond" w:hAnsi="Garamond"/>
                <w:iCs/>
                <w:lang w:val="fr-FR" w:eastAsia="fr-FR"/>
              </w:rPr>
              <w:t>g.</w:t>
            </w:r>
          </w:p>
        </w:tc>
      </w:tr>
      <w:tr w:rsidR="00465C3B" w:rsidRPr="00AC692E" w14:paraId="21701042" w14:textId="77777777" w:rsidTr="00AF5B9A">
        <w:trPr>
          <w:trHeight w:val="3943"/>
        </w:trPr>
        <w:tc>
          <w:tcPr>
            <w:tcW w:w="2552" w:type="dxa"/>
            <w:tcBorders>
              <w:top w:val="single" w:sz="8" w:space="0" w:color="5B9BD5"/>
              <w:bottom w:val="single" w:sz="8" w:space="0" w:color="5B9BD5"/>
            </w:tcBorders>
            <w:shd w:val="clear" w:color="auto" w:fill="auto"/>
            <w:noWrap/>
            <w:tcMar>
              <w:top w:w="0" w:type="dxa"/>
              <w:left w:w="108" w:type="dxa"/>
              <w:bottom w:w="0" w:type="dxa"/>
              <w:right w:w="108" w:type="dxa"/>
            </w:tcMar>
          </w:tcPr>
          <w:p w14:paraId="71105FE3" w14:textId="01BB97E9" w:rsidR="00465C3B" w:rsidRPr="007A160D" w:rsidRDefault="00465C3B" w:rsidP="00D7109A">
            <w:pPr>
              <w:autoSpaceDN w:val="0"/>
              <w:spacing w:line="360" w:lineRule="auto"/>
              <w:jc w:val="both"/>
              <w:rPr>
                <w:rFonts w:ascii="Garamond" w:hAnsi="Garamond"/>
                <w:iCs/>
                <w:lang w:val="fr-FR" w:eastAsia="fr-FR"/>
              </w:rPr>
            </w:pPr>
            <w:r w:rsidRPr="00AC692E">
              <w:rPr>
                <w:rFonts w:ascii="Garamond" w:hAnsi="Garamond"/>
                <w:bCs/>
                <w:lang w:val="fr-FR" w:eastAsia="fr-FR"/>
              </w:rPr>
              <w:t>Âge</w:t>
            </w:r>
          </w:p>
          <w:p w14:paraId="3CA5D3C1" w14:textId="77777777" w:rsidR="00A54DF8" w:rsidRDefault="00465C3B" w:rsidP="00D7109A">
            <w:pPr>
              <w:autoSpaceDN w:val="0"/>
              <w:spacing w:line="360" w:lineRule="auto"/>
              <w:jc w:val="both"/>
              <w:rPr>
                <w:rFonts w:ascii="Garamond" w:hAnsi="Garamond"/>
                <w:bCs/>
                <w:iCs/>
                <w:lang w:val="fr-FR" w:eastAsia="fr-FR"/>
              </w:rPr>
            </w:pPr>
            <w:r w:rsidRPr="00AC692E">
              <w:rPr>
                <w:rFonts w:ascii="Garamond" w:hAnsi="Garamond"/>
                <w:bCs/>
                <w:iCs/>
                <w:lang w:val="fr-FR" w:eastAsia="fr-FR"/>
              </w:rPr>
              <w:t xml:space="preserve">Sexe </w:t>
            </w:r>
          </w:p>
          <w:p w14:paraId="07271647" w14:textId="45A276C6" w:rsidR="00A54DF8" w:rsidRDefault="00A54DF8" w:rsidP="00D7109A">
            <w:pPr>
              <w:autoSpaceDN w:val="0"/>
              <w:spacing w:line="360" w:lineRule="auto"/>
              <w:jc w:val="both"/>
              <w:rPr>
                <w:rFonts w:ascii="Garamond" w:hAnsi="Garamond"/>
                <w:bCs/>
                <w:iCs/>
                <w:lang w:val="fr-FR" w:eastAsia="fr-FR"/>
              </w:rPr>
            </w:pPr>
            <w:r>
              <w:rPr>
                <w:rFonts w:ascii="Garamond" w:hAnsi="Garamond"/>
                <w:bCs/>
                <w:iCs/>
                <w:lang w:val="fr-FR" w:eastAsia="fr-FR"/>
              </w:rPr>
              <w:t>Féminin</w:t>
            </w:r>
          </w:p>
          <w:p w14:paraId="62A643B2" w14:textId="77777777" w:rsidR="0053145D" w:rsidRPr="0053145D" w:rsidRDefault="0053145D" w:rsidP="0053145D">
            <w:pPr>
              <w:autoSpaceDN w:val="0"/>
              <w:spacing w:line="360" w:lineRule="auto"/>
              <w:jc w:val="both"/>
              <w:rPr>
                <w:rFonts w:ascii="Garamond" w:hAnsi="Garamond"/>
                <w:bCs/>
                <w:iCs/>
                <w:lang w:val="fr-FR" w:eastAsia="fr-FR"/>
              </w:rPr>
            </w:pPr>
            <w:r w:rsidRPr="0053145D">
              <w:rPr>
                <w:rFonts w:ascii="Garamond" w:hAnsi="Garamond"/>
                <w:bCs/>
                <w:iCs/>
                <w:lang w:val="fr-FR" w:eastAsia="fr-FR"/>
              </w:rPr>
              <w:t>masculin</w:t>
            </w:r>
          </w:p>
          <w:p w14:paraId="56736C22" w14:textId="575C5A4D" w:rsidR="00465C3B" w:rsidRPr="00CE12C2" w:rsidRDefault="00465C3B" w:rsidP="00D7109A">
            <w:pPr>
              <w:autoSpaceDN w:val="0"/>
              <w:spacing w:line="360" w:lineRule="auto"/>
              <w:jc w:val="both"/>
              <w:rPr>
                <w:rFonts w:ascii="Garamond" w:hAnsi="Garamond"/>
                <w:bCs/>
                <w:iCs/>
                <w:lang w:val="fr-FR" w:eastAsia="fr-FR"/>
              </w:rPr>
            </w:pPr>
            <w:r w:rsidRPr="00AC692E">
              <w:rPr>
                <w:rFonts w:ascii="Garamond" w:hAnsi="Garamond"/>
                <w:bCs/>
                <w:iCs/>
                <w:lang w:val="fr-FR" w:eastAsia="fr-FR"/>
              </w:rPr>
              <w:t xml:space="preserve"> </w:t>
            </w:r>
            <w:r w:rsidRPr="00AC692E">
              <w:rPr>
                <w:rFonts w:ascii="Garamond" w:hAnsi="Garamond"/>
                <w:bCs/>
                <w:lang w:val="fr-FR" w:eastAsia="fr-FR"/>
              </w:rPr>
              <w:t>Niveau d'éducation</w:t>
            </w:r>
          </w:p>
          <w:p w14:paraId="6FB87E95" w14:textId="4C7378CE" w:rsidR="009B7E16" w:rsidRPr="009B7E16" w:rsidRDefault="004509A6" w:rsidP="00D7109A">
            <w:pPr>
              <w:autoSpaceDN w:val="0"/>
              <w:spacing w:line="360" w:lineRule="auto"/>
              <w:jc w:val="both"/>
              <w:rPr>
                <w:rFonts w:ascii="Garamond" w:hAnsi="Garamond"/>
                <w:bCs/>
                <w:lang w:val="fr-FR" w:eastAsia="fr-FR"/>
              </w:rPr>
            </w:pPr>
            <w:r>
              <w:rPr>
                <w:rFonts w:ascii="Garamond" w:hAnsi="Garamond"/>
                <w:bCs/>
                <w:lang w:val="fr-FR" w:eastAsia="fr-FR"/>
              </w:rPr>
              <w:t xml:space="preserve"> des parents</w:t>
            </w:r>
          </w:p>
          <w:p w14:paraId="469BB711" w14:textId="77777777" w:rsidR="00465C3B" w:rsidRPr="00AC692E" w:rsidRDefault="00465C3B" w:rsidP="00D7109A">
            <w:pPr>
              <w:autoSpaceDN w:val="0"/>
              <w:spacing w:line="360" w:lineRule="auto"/>
              <w:jc w:val="both"/>
              <w:rPr>
                <w:rFonts w:ascii="Garamond" w:hAnsi="Garamond"/>
                <w:lang w:val="fr-FR" w:eastAsia="fr-FR"/>
              </w:rPr>
            </w:pPr>
            <w:r w:rsidRPr="00AC692E">
              <w:rPr>
                <w:rFonts w:ascii="Garamond" w:hAnsi="Garamond"/>
                <w:bCs/>
                <w:iCs/>
                <w:lang w:val="fr-FR" w:eastAsia="fr-FR"/>
              </w:rPr>
              <w:t xml:space="preserve">Symptômes d'inattention        </w:t>
            </w:r>
          </w:p>
          <w:p w14:paraId="5ECAE13D" w14:textId="77777777" w:rsidR="00465C3B" w:rsidRPr="00AC692E" w:rsidRDefault="00465C3B" w:rsidP="00D7109A">
            <w:pPr>
              <w:autoSpaceDN w:val="0"/>
              <w:spacing w:line="360" w:lineRule="auto"/>
              <w:jc w:val="both"/>
              <w:rPr>
                <w:rFonts w:ascii="Garamond" w:hAnsi="Garamond"/>
                <w:lang w:val="fr-FR" w:eastAsia="fr-FR"/>
              </w:rPr>
            </w:pPr>
            <w:r w:rsidRPr="00AC692E">
              <w:rPr>
                <w:rFonts w:ascii="Garamond" w:hAnsi="Garamond"/>
                <w:bCs/>
                <w:iCs/>
                <w:lang w:val="fr-FR" w:eastAsia="fr-FR"/>
              </w:rPr>
              <w:t>Symptômes d'hypo-imp</w:t>
            </w:r>
          </w:p>
          <w:p w14:paraId="1F8133A5" w14:textId="5BDB992A" w:rsidR="00465C3B" w:rsidRDefault="00465C3B" w:rsidP="00D7109A">
            <w:pPr>
              <w:autoSpaceDN w:val="0"/>
              <w:spacing w:line="360" w:lineRule="auto"/>
              <w:jc w:val="both"/>
              <w:rPr>
                <w:rFonts w:ascii="Garamond" w:hAnsi="Garamond"/>
                <w:bCs/>
                <w:iCs/>
                <w:lang w:val="fr-FR" w:eastAsia="fr-FR"/>
              </w:rPr>
            </w:pPr>
            <w:r w:rsidRPr="00AC692E">
              <w:rPr>
                <w:rFonts w:ascii="Garamond" w:hAnsi="Garamond"/>
                <w:bCs/>
                <w:iCs/>
                <w:lang w:val="fr-FR" w:eastAsia="fr-FR"/>
              </w:rPr>
              <w:t>Symptômes</w:t>
            </w:r>
            <w:r w:rsidR="000B23D0">
              <w:rPr>
                <w:rFonts w:ascii="Garamond" w:hAnsi="Garamond"/>
                <w:bCs/>
                <w:iCs/>
                <w:lang w:val="fr-FR" w:eastAsia="fr-FR"/>
              </w:rPr>
              <w:t xml:space="preserve"> </w:t>
            </w:r>
            <w:r w:rsidR="000C4DD2">
              <w:rPr>
                <w:rFonts w:ascii="Garamond" w:hAnsi="Garamond"/>
                <w:bCs/>
                <w:iCs/>
                <w:lang w:val="fr-FR" w:eastAsia="fr-FR"/>
              </w:rPr>
              <w:t>troubles oppositionnel</w:t>
            </w:r>
          </w:p>
          <w:p w14:paraId="282FC7BD" w14:textId="50ABEBC2" w:rsidR="000C4DD2" w:rsidRPr="00AC692E" w:rsidRDefault="0053145D" w:rsidP="00D7109A">
            <w:pPr>
              <w:autoSpaceDN w:val="0"/>
              <w:spacing w:line="360" w:lineRule="auto"/>
              <w:jc w:val="both"/>
              <w:rPr>
                <w:rFonts w:ascii="Garamond" w:hAnsi="Garamond"/>
                <w:lang w:val="fr-FR" w:eastAsia="fr-FR"/>
              </w:rPr>
            </w:pPr>
            <w:r>
              <w:rPr>
                <w:rFonts w:ascii="Garamond" w:hAnsi="Garamond"/>
                <w:lang w:val="fr-FR" w:eastAsia="fr-FR"/>
              </w:rPr>
              <w:t xml:space="preserve">Trouble de conduite                    </w:t>
            </w:r>
          </w:p>
        </w:tc>
        <w:tc>
          <w:tcPr>
            <w:tcW w:w="1984" w:type="dxa"/>
            <w:tcBorders>
              <w:top w:val="single" w:sz="8" w:space="0" w:color="5B9BD5"/>
              <w:bottom w:val="single" w:sz="8" w:space="0" w:color="5B9BD5"/>
            </w:tcBorders>
            <w:shd w:val="clear" w:color="auto" w:fill="auto"/>
            <w:tcMar>
              <w:top w:w="0" w:type="dxa"/>
              <w:left w:w="108" w:type="dxa"/>
              <w:bottom w:w="0" w:type="dxa"/>
              <w:right w:w="108" w:type="dxa"/>
            </w:tcMar>
          </w:tcPr>
          <w:p w14:paraId="4C0E6AB0" w14:textId="2E3FD01A" w:rsidR="00465C3B" w:rsidRPr="00AC692E" w:rsidRDefault="007A160D" w:rsidP="00D7109A">
            <w:pPr>
              <w:autoSpaceDN w:val="0"/>
              <w:spacing w:line="360" w:lineRule="auto"/>
              <w:jc w:val="both"/>
              <w:rPr>
                <w:rFonts w:ascii="Garamond" w:hAnsi="Garamond"/>
                <w:iCs/>
                <w:lang w:val="fr-FR" w:eastAsia="fr-FR"/>
              </w:rPr>
            </w:pPr>
            <w:r>
              <w:rPr>
                <w:rFonts w:ascii="Garamond" w:hAnsi="Garamond"/>
                <w:bCs/>
                <w:lang w:val="fr-FR" w:eastAsia="fr-FR"/>
              </w:rPr>
              <w:t>8,59 (</w:t>
            </w:r>
            <w:r w:rsidR="000C4DD2">
              <w:rPr>
                <w:rFonts w:ascii="Garamond" w:hAnsi="Garamond"/>
                <w:bCs/>
                <w:lang w:val="fr-FR" w:eastAsia="fr-FR"/>
              </w:rPr>
              <w:t>1,72</w:t>
            </w:r>
            <w:r w:rsidR="00465C3B" w:rsidRPr="00AC692E">
              <w:rPr>
                <w:rFonts w:ascii="Garamond" w:hAnsi="Garamond"/>
                <w:bCs/>
                <w:lang w:val="fr-FR" w:eastAsia="fr-FR"/>
              </w:rPr>
              <w:t xml:space="preserve">) </w:t>
            </w:r>
          </w:p>
          <w:p w14:paraId="07E6E411" w14:textId="77777777" w:rsidR="00AF5B9A" w:rsidRDefault="00AF5B9A" w:rsidP="00D7109A">
            <w:pPr>
              <w:autoSpaceDN w:val="0"/>
              <w:spacing w:line="360" w:lineRule="auto"/>
              <w:jc w:val="both"/>
              <w:rPr>
                <w:rFonts w:ascii="Garamond" w:hAnsi="Garamond"/>
                <w:iCs/>
                <w:lang w:val="fr-FR" w:eastAsia="fr-FR"/>
              </w:rPr>
            </w:pPr>
          </w:p>
          <w:p w14:paraId="6F29A8DC" w14:textId="77777777" w:rsidR="00AF5B9A" w:rsidRDefault="00E95803" w:rsidP="00D7109A">
            <w:pPr>
              <w:autoSpaceDN w:val="0"/>
              <w:spacing w:line="360" w:lineRule="auto"/>
              <w:jc w:val="both"/>
              <w:rPr>
                <w:rFonts w:ascii="Garamond" w:hAnsi="Garamond"/>
                <w:bCs/>
                <w:lang w:val="fr-FR" w:eastAsia="fr-FR"/>
              </w:rPr>
            </w:pPr>
            <w:r>
              <w:rPr>
                <w:rFonts w:ascii="Garamond" w:hAnsi="Garamond"/>
                <w:bCs/>
                <w:lang w:val="fr-FR" w:eastAsia="fr-FR"/>
              </w:rPr>
              <w:t>65</w:t>
            </w:r>
            <w:r w:rsidR="00465C3B" w:rsidRPr="00AC692E">
              <w:rPr>
                <w:rFonts w:ascii="Garamond" w:hAnsi="Garamond"/>
                <w:bCs/>
                <w:lang w:val="fr-FR" w:eastAsia="fr-FR"/>
              </w:rPr>
              <w:t>%</w:t>
            </w:r>
            <w:r w:rsidR="0053145D">
              <w:rPr>
                <w:rFonts w:ascii="Garamond" w:hAnsi="Garamond"/>
                <w:bCs/>
                <w:lang w:val="fr-FR" w:eastAsia="fr-FR"/>
              </w:rPr>
              <w:t>(n=52</w:t>
            </w:r>
            <w:r w:rsidR="00A54DF8">
              <w:rPr>
                <w:rFonts w:ascii="Garamond" w:hAnsi="Garamond"/>
                <w:bCs/>
                <w:lang w:val="fr-FR" w:eastAsia="fr-FR"/>
              </w:rPr>
              <w:t>)</w:t>
            </w:r>
            <w:r w:rsidR="00465C3B" w:rsidRPr="00AC692E">
              <w:rPr>
                <w:rFonts w:ascii="Garamond" w:hAnsi="Garamond"/>
                <w:bCs/>
                <w:lang w:val="fr-FR" w:eastAsia="fr-FR"/>
              </w:rPr>
              <w:t xml:space="preserve"> </w:t>
            </w:r>
          </w:p>
          <w:p w14:paraId="1871671C" w14:textId="77777777" w:rsidR="00AF5B9A" w:rsidRDefault="00E95803" w:rsidP="00D7109A">
            <w:pPr>
              <w:autoSpaceDN w:val="0"/>
              <w:spacing w:line="360" w:lineRule="auto"/>
              <w:jc w:val="both"/>
              <w:rPr>
                <w:rFonts w:ascii="Garamond" w:hAnsi="Garamond"/>
                <w:bCs/>
                <w:lang w:val="fr-FR" w:eastAsia="fr-FR"/>
              </w:rPr>
            </w:pPr>
            <w:r>
              <w:rPr>
                <w:rFonts w:ascii="Garamond" w:hAnsi="Garamond"/>
                <w:bCs/>
                <w:lang w:val="fr-FR" w:eastAsia="fr-FR"/>
              </w:rPr>
              <w:t>35</w:t>
            </w:r>
            <w:r w:rsidR="00465C3B" w:rsidRPr="00AC692E">
              <w:rPr>
                <w:rFonts w:ascii="Garamond" w:hAnsi="Garamond"/>
                <w:bCs/>
                <w:lang w:val="fr-FR" w:eastAsia="fr-FR"/>
              </w:rPr>
              <w:t xml:space="preserve"> </w:t>
            </w:r>
            <w:r w:rsidR="00A54DF8" w:rsidRPr="00AC692E">
              <w:rPr>
                <w:rFonts w:ascii="Garamond" w:hAnsi="Garamond"/>
                <w:bCs/>
                <w:lang w:val="fr-FR" w:eastAsia="fr-FR"/>
              </w:rPr>
              <w:t>%</w:t>
            </w:r>
            <w:r w:rsidR="0053145D">
              <w:rPr>
                <w:rFonts w:ascii="Garamond" w:hAnsi="Garamond"/>
                <w:bCs/>
                <w:lang w:val="fr-FR" w:eastAsia="fr-FR"/>
              </w:rPr>
              <w:t>(n=28</w:t>
            </w:r>
            <w:r w:rsidR="00A54DF8">
              <w:rPr>
                <w:rFonts w:ascii="Garamond" w:hAnsi="Garamond"/>
                <w:bCs/>
                <w:lang w:val="fr-FR" w:eastAsia="fr-FR"/>
              </w:rPr>
              <w:t>)</w:t>
            </w:r>
            <w:r w:rsidR="00465C3B" w:rsidRPr="00AC692E">
              <w:rPr>
                <w:rFonts w:ascii="Garamond" w:hAnsi="Garamond"/>
                <w:bCs/>
                <w:lang w:val="fr-FR" w:eastAsia="fr-FR"/>
              </w:rPr>
              <w:t xml:space="preserve">                                                                       </w:t>
            </w:r>
          </w:p>
          <w:p w14:paraId="4333E581" w14:textId="0D0130F0" w:rsidR="00465C3B" w:rsidRPr="00AF5B9A" w:rsidRDefault="00465C3B" w:rsidP="00D7109A">
            <w:pPr>
              <w:autoSpaceDN w:val="0"/>
              <w:spacing w:line="360" w:lineRule="auto"/>
              <w:jc w:val="both"/>
              <w:rPr>
                <w:rFonts w:ascii="Garamond" w:hAnsi="Garamond"/>
                <w:bCs/>
                <w:lang w:val="fr-FR" w:eastAsia="fr-FR"/>
              </w:rPr>
            </w:pPr>
            <w:r w:rsidRPr="00AC692E">
              <w:rPr>
                <w:rFonts w:ascii="Garamond" w:hAnsi="Garamond"/>
                <w:bCs/>
                <w:lang w:val="fr-FR" w:eastAsia="fr-FR"/>
              </w:rPr>
              <w:t xml:space="preserve"> </w:t>
            </w:r>
            <w:r w:rsidR="00E95803">
              <w:rPr>
                <w:rFonts w:ascii="Garamond" w:hAnsi="Garamond"/>
                <w:bCs/>
                <w:lang w:val="fr-FR" w:eastAsia="fr-FR"/>
              </w:rPr>
              <w:t>3,</w:t>
            </w:r>
            <w:r w:rsidR="00942F46">
              <w:rPr>
                <w:rFonts w:ascii="Garamond" w:hAnsi="Garamond"/>
                <w:bCs/>
                <w:lang w:val="fr-FR" w:eastAsia="fr-FR"/>
              </w:rPr>
              <w:t>5</w:t>
            </w:r>
            <w:r w:rsidR="00E95803">
              <w:rPr>
                <w:rFonts w:ascii="Garamond" w:hAnsi="Garamond"/>
                <w:bCs/>
                <w:lang w:val="fr-FR" w:eastAsia="fr-FR"/>
              </w:rPr>
              <w:t>6 (1,65</w:t>
            </w:r>
            <w:r w:rsidRPr="00AC692E">
              <w:rPr>
                <w:rFonts w:ascii="Garamond" w:hAnsi="Garamond"/>
                <w:bCs/>
                <w:lang w:val="fr-FR" w:eastAsia="fr-FR"/>
              </w:rPr>
              <w:t>)</w:t>
            </w:r>
          </w:p>
          <w:p w14:paraId="062B7994" w14:textId="77777777" w:rsidR="00AF5B9A" w:rsidRDefault="000C4DD2" w:rsidP="00D7109A">
            <w:pPr>
              <w:autoSpaceDN w:val="0"/>
              <w:spacing w:line="360" w:lineRule="auto"/>
              <w:jc w:val="both"/>
              <w:rPr>
                <w:rFonts w:ascii="Garamond" w:hAnsi="Garamond"/>
                <w:bCs/>
                <w:lang w:val="fr-FR" w:eastAsia="fr-FR"/>
              </w:rPr>
            </w:pPr>
            <w:r>
              <w:rPr>
                <w:rFonts w:ascii="Garamond" w:hAnsi="Garamond"/>
                <w:iCs/>
                <w:lang w:val="fr-FR" w:eastAsia="fr-FR"/>
              </w:rPr>
              <w:t xml:space="preserve">  </w:t>
            </w:r>
            <w:r>
              <w:rPr>
                <w:rFonts w:ascii="Garamond" w:hAnsi="Garamond"/>
                <w:bCs/>
                <w:lang w:val="fr-FR" w:eastAsia="fr-FR"/>
              </w:rPr>
              <w:t xml:space="preserve"> </w:t>
            </w:r>
          </w:p>
          <w:p w14:paraId="2A87F90F" w14:textId="4CE3D292" w:rsidR="00465C3B" w:rsidRPr="00AF5B9A" w:rsidRDefault="000C4DD2" w:rsidP="00D7109A">
            <w:pPr>
              <w:autoSpaceDN w:val="0"/>
              <w:spacing w:line="360" w:lineRule="auto"/>
              <w:jc w:val="both"/>
              <w:rPr>
                <w:rFonts w:ascii="Garamond" w:hAnsi="Garamond"/>
                <w:bCs/>
                <w:lang w:val="fr-FR" w:eastAsia="fr-FR"/>
              </w:rPr>
            </w:pPr>
            <w:r>
              <w:rPr>
                <w:rFonts w:ascii="Garamond" w:hAnsi="Garamond"/>
                <w:bCs/>
                <w:lang w:val="fr-FR" w:eastAsia="fr-FR"/>
              </w:rPr>
              <w:t>13,52</w:t>
            </w:r>
            <w:r w:rsidR="00C35B1F">
              <w:rPr>
                <w:rFonts w:ascii="Garamond" w:hAnsi="Garamond"/>
                <w:bCs/>
                <w:lang w:val="fr-FR" w:eastAsia="fr-FR"/>
              </w:rPr>
              <w:t>(6,14</w:t>
            </w:r>
            <w:r w:rsidR="00465C3B" w:rsidRPr="00AC692E">
              <w:rPr>
                <w:rFonts w:ascii="Garamond" w:hAnsi="Garamond"/>
                <w:bCs/>
                <w:lang w:val="fr-FR" w:eastAsia="fr-FR"/>
              </w:rPr>
              <w:t xml:space="preserve">) </w:t>
            </w:r>
          </w:p>
          <w:p w14:paraId="3D6A6C7F" w14:textId="5B120088" w:rsidR="00465C3B" w:rsidRPr="00AC692E" w:rsidRDefault="000C4DD2" w:rsidP="00D7109A">
            <w:pPr>
              <w:autoSpaceDN w:val="0"/>
              <w:spacing w:line="360" w:lineRule="auto"/>
              <w:jc w:val="both"/>
              <w:rPr>
                <w:rFonts w:ascii="Garamond" w:hAnsi="Garamond"/>
                <w:iCs/>
                <w:lang w:val="fr-FR" w:eastAsia="fr-FR"/>
              </w:rPr>
            </w:pPr>
            <w:r>
              <w:rPr>
                <w:rFonts w:ascii="Garamond" w:hAnsi="Garamond"/>
                <w:bCs/>
                <w:lang w:val="fr-FR" w:eastAsia="fr-FR"/>
              </w:rPr>
              <w:t>15.03 (7,</w:t>
            </w:r>
            <w:r w:rsidR="00C35B1F">
              <w:rPr>
                <w:rFonts w:ascii="Garamond" w:hAnsi="Garamond"/>
                <w:bCs/>
                <w:lang w:val="fr-FR" w:eastAsia="fr-FR"/>
              </w:rPr>
              <w:t>7</w:t>
            </w:r>
            <w:r>
              <w:rPr>
                <w:rFonts w:ascii="Garamond" w:hAnsi="Garamond"/>
                <w:bCs/>
                <w:lang w:val="fr-FR" w:eastAsia="fr-FR"/>
              </w:rPr>
              <w:t>2</w:t>
            </w:r>
            <w:r w:rsidR="00465C3B" w:rsidRPr="00AC692E">
              <w:rPr>
                <w:rFonts w:ascii="Garamond" w:hAnsi="Garamond"/>
                <w:bCs/>
                <w:lang w:val="fr-FR" w:eastAsia="fr-FR"/>
              </w:rPr>
              <w:t>)</w:t>
            </w:r>
          </w:p>
          <w:p w14:paraId="6E805654" w14:textId="5CAB44E9" w:rsidR="0053145D" w:rsidRDefault="000C4DD2" w:rsidP="00D7109A">
            <w:pPr>
              <w:autoSpaceDN w:val="0"/>
              <w:spacing w:line="360" w:lineRule="auto"/>
              <w:jc w:val="both"/>
              <w:rPr>
                <w:rFonts w:ascii="Garamond" w:hAnsi="Garamond"/>
                <w:bCs/>
                <w:lang w:val="fr-FR" w:eastAsia="fr-FR"/>
              </w:rPr>
            </w:pPr>
            <w:r>
              <w:rPr>
                <w:rFonts w:ascii="Garamond" w:hAnsi="Garamond"/>
                <w:bCs/>
                <w:lang w:val="fr-FR" w:eastAsia="fr-FR"/>
              </w:rPr>
              <w:t>13,32 (7,17</w:t>
            </w:r>
            <w:r w:rsidR="00465C3B" w:rsidRPr="00AC692E">
              <w:rPr>
                <w:rFonts w:ascii="Garamond" w:hAnsi="Garamond"/>
                <w:bCs/>
                <w:lang w:val="fr-FR" w:eastAsia="fr-FR"/>
              </w:rPr>
              <w:t xml:space="preserve">) </w:t>
            </w:r>
          </w:p>
          <w:p w14:paraId="037FF03D" w14:textId="77777777" w:rsidR="00AF5B9A" w:rsidRDefault="00AF5B9A" w:rsidP="00D7109A">
            <w:pPr>
              <w:autoSpaceDN w:val="0"/>
              <w:spacing w:line="360" w:lineRule="auto"/>
              <w:jc w:val="both"/>
              <w:rPr>
                <w:rFonts w:ascii="Garamond" w:hAnsi="Garamond"/>
                <w:bCs/>
                <w:lang w:val="fr-FR" w:eastAsia="fr-FR"/>
              </w:rPr>
            </w:pPr>
          </w:p>
          <w:p w14:paraId="36D118E2" w14:textId="317F80E0" w:rsidR="00465C3B" w:rsidRPr="00E95803" w:rsidRDefault="0053145D" w:rsidP="00D7109A">
            <w:pPr>
              <w:autoSpaceDN w:val="0"/>
              <w:spacing w:line="360" w:lineRule="auto"/>
              <w:jc w:val="both"/>
              <w:rPr>
                <w:rFonts w:ascii="Garamond" w:hAnsi="Garamond"/>
                <w:bCs/>
                <w:lang w:val="fr-FR" w:eastAsia="fr-FR"/>
              </w:rPr>
            </w:pPr>
            <w:r>
              <w:rPr>
                <w:rFonts w:ascii="Garamond" w:hAnsi="Garamond"/>
                <w:bCs/>
                <w:lang w:val="fr-FR" w:eastAsia="fr-FR"/>
              </w:rPr>
              <w:t>6,67(3,20)</w:t>
            </w:r>
            <w:r w:rsidR="00465C3B" w:rsidRPr="00AC692E">
              <w:rPr>
                <w:rFonts w:ascii="Garamond" w:hAnsi="Garamond"/>
                <w:bCs/>
                <w:lang w:val="fr-FR" w:eastAsia="fr-FR"/>
              </w:rPr>
              <w:t xml:space="preserve">                                                                                                                                                                                                   </w:t>
            </w:r>
          </w:p>
        </w:tc>
        <w:tc>
          <w:tcPr>
            <w:tcW w:w="2596" w:type="dxa"/>
            <w:tcBorders>
              <w:top w:val="single" w:sz="8" w:space="0" w:color="5B9BD5"/>
              <w:bottom w:val="single" w:sz="8" w:space="0" w:color="5B9BD5"/>
            </w:tcBorders>
            <w:shd w:val="clear" w:color="auto" w:fill="auto"/>
            <w:tcMar>
              <w:top w:w="0" w:type="dxa"/>
              <w:left w:w="108" w:type="dxa"/>
              <w:bottom w:w="0" w:type="dxa"/>
              <w:right w:w="108" w:type="dxa"/>
            </w:tcMar>
          </w:tcPr>
          <w:p w14:paraId="0EB45A4A" w14:textId="2AED3BC7" w:rsidR="00465C3B" w:rsidRPr="00E66A8E" w:rsidRDefault="0057771A" w:rsidP="00D7109A">
            <w:pPr>
              <w:autoSpaceDN w:val="0"/>
              <w:spacing w:line="360" w:lineRule="auto"/>
              <w:jc w:val="both"/>
              <w:rPr>
                <w:rFonts w:ascii="Garamond" w:hAnsi="Garamond"/>
                <w:iCs/>
                <w:lang w:val="fr-FR" w:eastAsia="fr-FR"/>
              </w:rPr>
            </w:pPr>
            <w:r>
              <w:rPr>
                <w:rFonts w:ascii="Garamond" w:hAnsi="Garamond"/>
                <w:bCs/>
                <w:lang w:val="fr-FR" w:eastAsia="fr-FR"/>
              </w:rPr>
              <w:t>8,40 (2,17</w:t>
            </w:r>
            <w:r w:rsidR="00465C3B" w:rsidRPr="00E66A8E">
              <w:rPr>
                <w:rFonts w:ascii="Garamond" w:hAnsi="Garamond"/>
                <w:bCs/>
                <w:lang w:val="fr-FR" w:eastAsia="fr-FR"/>
              </w:rPr>
              <w:t>)</w:t>
            </w:r>
          </w:p>
          <w:p w14:paraId="37F88799" w14:textId="77777777" w:rsidR="00465C3B" w:rsidRPr="00E66A8E" w:rsidRDefault="00465C3B" w:rsidP="00D7109A">
            <w:pPr>
              <w:autoSpaceDN w:val="0"/>
              <w:spacing w:line="360" w:lineRule="auto"/>
              <w:jc w:val="both"/>
              <w:rPr>
                <w:rFonts w:ascii="Garamond" w:hAnsi="Garamond"/>
                <w:iCs/>
                <w:lang w:val="fr-FR" w:eastAsia="fr-FR"/>
              </w:rPr>
            </w:pPr>
          </w:p>
          <w:p w14:paraId="7E09EDF2" w14:textId="2FC526F4" w:rsidR="00AF5B9A" w:rsidRPr="00E66A8E" w:rsidRDefault="00465C3B" w:rsidP="00D7109A">
            <w:pPr>
              <w:autoSpaceDN w:val="0"/>
              <w:spacing w:line="360" w:lineRule="auto"/>
              <w:jc w:val="both"/>
              <w:rPr>
                <w:rFonts w:ascii="Garamond" w:hAnsi="Garamond"/>
                <w:bCs/>
                <w:lang w:val="fr-FR" w:eastAsia="fr-FR"/>
              </w:rPr>
            </w:pPr>
            <w:r w:rsidRPr="00E66A8E">
              <w:rPr>
                <w:rFonts w:ascii="Garamond" w:hAnsi="Garamond"/>
                <w:bCs/>
                <w:lang w:val="fr-FR" w:eastAsia="fr-FR"/>
              </w:rPr>
              <w:t xml:space="preserve"> </w:t>
            </w:r>
            <w:r w:rsidR="00C12E57">
              <w:rPr>
                <w:rFonts w:ascii="Garamond" w:hAnsi="Garamond"/>
                <w:bCs/>
                <w:lang w:val="fr-FR" w:eastAsia="fr-FR"/>
              </w:rPr>
              <w:t>63.3</w:t>
            </w:r>
            <w:r w:rsidR="00C12E57" w:rsidRPr="00C12E57">
              <w:rPr>
                <w:rFonts w:ascii="Garamond" w:hAnsi="Garamond"/>
                <w:bCs/>
                <w:lang w:val="fr-FR" w:eastAsia="fr-FR"/>
              </w:rPr>
              <w:t>%</w:t>
            </w:r>
            <w:r w:rsidR="00C12E57">
              <w:rPr>
                <w:rFonts w:ascii="Garamond" w:hAnsi="Garamond"/>
                <w:bCs/>
                <w:lang w:val="fr-FR" w:eastAsia="fr-FR"/>
              </w:rPr>
              <w:t>(n=19</w:t>
            </w:r>
            <w:r w:rsidR="00BB4CA3">
              <w:rPr>
                <w:rFonts w:ascii="Garamond" w:hAnsi="Garamond"/>
                <w:bCs/>
                <w:lang w:val="fr-FR" w:eastAsia="fr-FR"/>
              </w:rPr>
              <w:t>)</w:t>
            </w:r>
          </w:p>
          <w:p w14:paraId="27C254C7" w14:textId="7C862717" w:rsidR="00CE12C2" w:rsidRPr="00E66A8E" w:rsidRDefault="00C12E57" w:rsidP="00D7109A">
            <w:pPr>
              <w:autoSpaceDN w:val="0"/>
              <w:spacing w:line="360" w:lineRule="auto"/>
              <w:jc w:val="both"/>
              <w:rPr>
                <w:rFonts w:ascii="Garamond" w:hAnsi="Garamond"/>
                <w:iCs/>
                <w:lang w:val="fr-FR" w:eastAsia="fr-FR"/>
              </w:rPr>
            </w:pPr>
            <w:r>
              <w:rPr>
                <w:rFonts w:ascii="Garamond" w:hAnsi="Garamond"/>
                <w:bCs/>
                <w:lang w:val="fr-FR" w:eastAsia="fr-FR"/>
              </w:rPr>
              <w:t>36,7</w:t>
            </w:r>
            <w:r w:rsidR="00465C3B" w:rsidRPr="00E66A8E">
              <w:rPr>
                <w:rFonts w:ascii="Garamond" w:hAnsi="Garamond"/>
                <w:bCs/>
                <w:lang w:val="fr-FR" w:eastAsia="fr-FR"/>
              </w:rPr>
              <w:t xml:space="preserve"> % </w:t>
            </w:r>
            <w:r>
              <w:rPr>
                <w:rFonts w:ascii="Garamond" w:hAnsi="Garamond"/>
                <w:bCs/>
                <w:lang w:val="fr-FR" w:eastAsia="fr-FR"/>
              </w:rPr>
              <w:t>(n=11)</w:t>
            </w:r>
            <w:r w:rsidR="00465C3B" w:rsidRPr="00E66A8E">
              <w:rPr>
                <w:rFonts w:ascii="Garamond" w:hAnsi="Garamond"/>
                <w:bCs/>
                <w:lang w:val="fr-FR" w:eastAsia="fr-FR"/>
              </w:rPr>
              <w:t xml:space="preserve"> </w:t>
            </w:r>
            <w:r w:rsidR="00CE12C2" w:rsidRPr="00E66A8E">
              <w:rPr>
                <w:rFonts w:ascii="Garamond" w:hAnsi="Garamond"/>
                <w:bCs/>
                <w:lang w:val="fr-FR" w:eastAsia="fr-FR"/>
              </w:rPr>
              <w:t xml:space="preserve">            </w:t>
            </w:r>
            <w:r w:rsidR="00465C3B" w:rsidRPr="00E66A8E">
              <w:rPr>
                <w:rFonts w:ascii="Garamond" w:hAnsi="Garamond"/>
                <w:bCs/>
                <w:lang w:val="fr-FR" w:eastAsia="fr-FR"/>
              </w:rPr>
              <w:t xml:space="preserve">          </w:t>
            </w:r>
            <w:r w:rsidR="00AF5B9A" w:rsidRPr="00E66A8E">
              <w:rPr>
                <w:rFonts w:ascii="Garamond" w:hAnsi="Garamond"/>
                <w:iCs/>
                <w:lang w:val="fr-FR" w:eastAsia="fr-FR"/>
              </w:rPr>
              <w:t xml:space="preserve">                      </w:t>
            </w:r>
          </w:p>
          <w:p w14:paraId="07F90B4F" w14:textId="6524F06D" w:rsidR="00465C3B" w:rsidRPr="00E66A8E" w:rsidRDefault="006E3340" w:rsidP="00D7109A">
            <w:pPr>
              <w:autoSpaceDN w:val="0"/>
              <w:spacing w:line="360" w:lineRule="auto"/>
              <w:jc w:val="both"/>
              <w:rPr>
                <w:rFonts w:ascii="Garamond" w:hAnsi="Garamond"/>
                <w:bCs/>
                <w:lang w:val="fr-FR" w:eastAsia="fr-FR"/>
              </w:rPr>
            </w:pPr>
            <w:r>
              <w:rPr>
                <w:rFonts w:ascii="Garamond" w:hAnsi="Garamond"/>
                <w:bCs/>
                <w:lang w:val="fr-FR" w:eastAsia="fr-FR"/>
              </w:rPr>
              <w:t xml:space="preserve"> 2,20 (0,84</w:t>
            </w:r>
            <w:r w:rsidR="00465C3B" w:rsidRPr="00E66A8E">
              <w:rPr>
                <w:rFonts w:ascii="Garamond" w:hAnsi="Garamond"/>
                <w:bCs/>
                <w:lang w:val="fr-FR" w:eastAsia="fr-FR"/>
              </w:rPr>
              <w:t>)</w:t>
            </w:r>
            <w:r w:rsidR="00AF5B9A" w:rsidRPr="00E66A8E">
              <w:rPr>
                <w:rFonts w:ascii="Garamond" w:hAnsi="Garamond"/>
                <w:bCs/>
                <w:lang w:val="fr-FR" w:eastAsia="fr-FR"/>
              </w:rPr>
              <w:t xml:space="preserve">  </w:t>
            </w:r>
          </w:p>
          <w:p w14:paraId="74DB5D1F" w14:textId="77777777" w:rsidR="000D4F3C" w:rsidRDefault="0053145D" w:rsidP="00D7109A">
            <w:pPr>
              <w:autoSpaceDN w:val="0"/>
              <w:spacing w:line="360" w:lineRule="auto"/>
              <w:jc w:val="both"/>
              <w:rPr>
                <w:rFonts w:ascii="Garamond" w:hAnsi="Garamond"/>
                <w:bCs/>
                <w:lang w:val="fr-FR" w:eastAsia="fr-FR"/>
              </w:rPr>
            </w:pPr>
            <w:r w:rsidRPr="00E66A8E">
              <w:rPr>
                <w:rFonts w:ascii="Garamond" w:hAnsi="Garamond"/>
                <w:bCs/>
                <w:lang w:val="fr-FR" w:eastAsia="fr-FR"/>
              </w:rPr>
              <w:t xml:space="preserve"> </w:t>
            </w:r>
          </w:p>
          <w:p w14:paraId="6270AD5C" w14:textId="69EDCB65" w:rsidR="00AF5B9A" w:rsidRPr="00E66A8E" w:rsidRDefault="0057771A" w:rsidP="00D7109A">
            <w:pPr>
              <w:autoSpaceDN w:val="0"/>
              <w:spacing w:line="360" w:lineRule="auto"/>
              <w:jc w:val="both"/>
              <w:rPr>
                <w:rFonts w:ascii="Garamond" w:hAnsi="Garamond"/>
                <w:bCs/>
                <w:lang w:val="fr-FR" w:eastAsia="fr-FR"/>
              </w:rPr>
            </w:pPr>
            <w:r>
              <w:rPr>
                <w:rFonts w:ascii="Garamond" w:hAnsi="Garamond"/>
                <w:bCs/>
                <w:lang w:val="fr-FR" w:eastAsia="fr-FR"/>
              </w:rPr>
              <w:t>3,2</w:t>
            </w:r>
            <w:r w:rsidR="000D4F3C">
              <w:rPr>
                <w:rFonts w:ascii="Garamond" w:hAnsi="Garamond"/>
                <w:bCs/>
                <w:lang w:val="fr-FR" w:eastAsia="fr-FR"/>
              </w:rPr>
              <w:t xml:space="preserve"> </w:t>
            </w:r>
            <w:r>
              <w:rPr>
                <w:rFonts w:ascii="Garamond" w:hAnsi="Garamond"/>
                <w:bCs/>
                <w:lang w:val="fr-FR" w:eastAsia="fr-FR"/>
              </w:rPr>
              <w:t>(1,86</w:t>
            </w:r>
            <w:r w:rsidR="00465C3B" w:rsidRPr="00E66A8E">
              <w:rPr>
                <w:rFonts w:ascii="Garamond" w:hAnsi="Garamond"/>
                <w:bCs/>
                <w:lang w:val="fr-FR" w:eastAsia="fr-FR"/>
              </w:rPr>
              <w:t>)</w:t>
            </w:r>
          </w:p>
          <w:p w14:paraId="0FCD2EE6" w14:textId="4D0B9A4B" w:rsidR="00AF5B9A" w:rsidRPr="00E66A8E" w:rsidRDefault="0057771A" w:rsidP="00E95803">
            <w:pPr>
              <w:autoSpaceDN w:val="0"/>
              <w:spacing w:line="360" w:lineRule="auto"/>
              <w:jc w:val="both"/>
              <w:rPr>
                <w:rFonts w:ascii="Garamond" w:hAnsi="Garamond"/>
                <w:iCs/>
                <w:lang w:val="fr-FR" w:eastAsia="fr-FR"/>
              </w:rPr>
            </w:pPr>
            <w:r>
              <w:rPr>
                <w:rFonts w:ascii="Garamond" w:hAnsi="Garamond"/>
                <w:bCs/>
                <w:lang w:val="fr-FR" w:eastAsia="fr-FR"/>
              </w:rPr>
              <w:t>3,1</w:t>
            </w:r>
            <w:r w:rsidR="00E66A8E" w:rsidRPr="00E66A8E">
              <w:rPr>
                <w:rFonts w:ascii="Garamond" w:hAnsi="Garamond"/>
                <w:bCs/>
                <w:lang w:val="fr-FR" w:eastAsia="fr-FR"/>
              </w:rPr>
              <w:t>7 (</w:t>
            </w:r>
            <w:r>
              <w:rPr>
                <w:rFonts w:ascii="Garamond" w:hAnsi="Garamond"/>
                <w:bCs/>
                <w:lang w:val="fr-FR" w:eastAsia="fr-FR"/>
              </w:rPr>
              <w:t>2,12</w:t>
            </w:r>
            <w:r w:rsidR="00465C3B" w:rsidRPr="00E66A8E">
              <w:rPr>
                <w:rFonts w:ascii="Garamond" w:hAnsi="Garamond"/>
                <w:bCs/>
                <w:lang w:val="fr-FR" w:eastAsia="fr-FR"/>
              </w:rPr>
              <w:t>)</w:t>
            </w:r>
          </w:p>
          <w:p w14:paraId="7A7B88FF" w14:textId="77777777" w:rsidR="0057771A" w:rsidRDefault="0057771A" w:rsidP="00E95803">
            <w:pPr>
              <w:autoSpaceDN w:val="0"/>
              <w:spacing w:line="360" w:lineRule="auto"/>
              <w:jc w:val="both"/>
              <w:rPr>
                <w:rFonts w:ascii="Garamond" w:hAnsi="Garamond"/>
                <w:bCs/>
                <w:lang w:val="fr-FR" w:eastAsia="fr-FR"/>
              </w:rPr>
            </w:pPr>
            <w:r>
              <w:rPr>
                <w:rFonts w:ascii="Garamond" w:hAnsi="Garamond"/>
                <w:bCs/>
                <w:lang w:val="fr-FR" w:eastAsia="fr-FR"/>
              </w:rPr>
              <w:t>2,8  (1,72</w:t>
            </w:r>
            <w:r w:rsidR="00465C3B" w:rsidRPr="00E66A8E">
              <w:rPr>
                <w:rFonts w:ascii="Garamond" w:hAnsi="Garamond"/>
                <w:bCs/>
                <w:lang w:val="fr-FR" w:eastAsia="fr-FR"/>
              </w:rPr>
              <w:t xml:space="preserve">) </w:t>
            </w:r>
          </w:p>
          <w:p w14:paraId="6EA43F17" w14:textId="77777777" w:rsidR="0057771A" w:rsidRDefault="0057771A" w:rsidP="00E95803">
            <w:pPr>
              <w:autoSpaceDN w:val="0"/>
              <w:spacing w:line="360" w:lineRule="auto"/>
              <w:jc w:val="both"/>
              <w:rPr>
                <w:rFonts w:ascii="Garamond" w:hAnsi="Garamond"/>
                <w:bCs/>
                <w:lang w:val="fr-FR" w:eastAsia="fr-FR"/>
              </w:rPr>
            </w:pPr>
          </w:p>
          <w:p w14:paraId="7DEDCEA3" w14:textId="2E155AA8" w:rsidR="00465C3B" w:rsidRPr="00E66A8E" w:rsidRDefault="0057771A" w:rsidP="00E95803">
            <w:pPr>
              <w:autoSpaceDN w:val="0"/>
              <w:spacing w:line="360" w:lineRule="auto"/>
              <w:jc w:val="both"/>
              <w:rPr>
                <w:rFonts w:ascii="Garamond" w:hAnsi="Garamond"/>
                <w:iCs/>
                <w:lang w:val="fr-FR" w:eastAsia="fr-FR"/>
              </w:rPr>
            </w:pPr>
            <w:r>
              <w:rPr>
                <w:rFonts w:ascii="Garamond" w:hAnsi="Garamond"/>
                <w:bCs/>
                <w:lang w:val="fr-FR" w:eastAsia="fr-FR"/>
              </w:rPr>
              <w:t>1,83(1,17)</w:t>
            </w:r>
            <w:r w:rsidR="00465C3B" w:rsidRPr="00E66A8E">
              <w:rPr>
                <w:rFonts w:ascii="Garamond" w:hAnsi="Garamond"/>
                <w:bCs/>
                <w:lang w:val="fr-FR" w:eastAsia="fr-FR"/>
              </w:rPr>
              <w:t xml:space="preserve">                                                      </w:t>
            </w:r>
          </w:p>
        </w:tc>
        <w:tc>
          <w:tcPr>
            <w:tcW w:w="2228" w:type="dxa"/>
            <w:tcBorders>
              <w:top w:val="single" w:sz="8" w:space="0" w:color="5B9BD5"/>
              <w:bottom w:val="single" w:sz="8" w:space="0" w:color="5B9BD5"/>
            </w:tcBorders>
            <w:shd w:val="clear" w:color="auto" w:fill="auto"/>
            <w:tcMar>
              <w:top w:w="0" w:type="dxa"/>
              <w:left w:w="108" w:type="dxa"/>
              <w:bottom w:w="0" w:type="dxa"/>
              <w:right w:w="108" w:type="dxa"/>
            </w:tcMar>
          </w:tcPr>
          <w:p w14:paraId="271D4C7C" w14:textId="2370CC84" w:rsidR="00465C3B" w:rsidRPr="00E66A8E" w:rsidRDefault="00964254" w:rsidP="00D7109A">
            <w:pPr>
              <w:autoSpaceDN w:val="0"/>
              <w:spacing w:line="360" w:lineRule="auto"/>
              <w:jc w:val="both"/>
              <w:rPr>
                <w:rFonts w:ascii="Garamond" w:hAnsi="Garamond"/>
                <w:iCs/>
                <w:lang w:val="fr-FR" w:eastAsia="fr-FR"/>
              </w:rPr>
            </w:pPr>
            <w:r>
              <w:rPr>
                <w:rFonts w:ascii="Garamond" w:hAnsi="Garamond"/>
                <w:bCs/>
                <w:lang w:val="fr-FR" w:eastAsia="fr-FR"/>
              </w:rPr>
              <w:t>t(79</w:t>
            </w:r>
            <w:r w:rsidR="00465C3B" w:rsidRPr="00E66A8E">
              <w:rPr>
                <w:rFonts w:ascii="Garamond" w:hAnsi="Garamond"/>
                <w:bCs/>
                <w:lang w:val="fr-FR" w:eastAsia="fr-FR"/>
              </w:rPr>
              <w:t>) = 1,57 n.s.</w:t>
            </w:r>
          </w:p>
          <w:p w14:paraId="2A0C01E5" w14:textId="77777777" w:rsidR="00465C3B" w:rsidRPr="00E66A8E" w:rsidRDefault="00465C3B" w:rsidP="00D7109A">
            <w:pPr>
              <w:autoSpaceDN w:val="0"/>
              <w:spacing w:line="360" w:lineRule="auto"/>
              <w:jc w:val="both"/>
              <w:rPr>
                <w:rFonts w:ascii="Garamond" w:hAnsi="Garamond"/>
                <w:lang w:val="fr-FR" w:eastAsia="fr-FR"/>
              </w:rPr>
            </w:pPr>
          </w:p>
          <w:p w14:paraId="201D6132" w14:textId="77777777" w:rsidR="00A54DF8" w:rsidRPr="00E66A8E" w:rsidRDefault="00465C3B" w:rsidP="00D7109A">
            <w:pPr>
              <w:autoSpaceDN w:val="0"/>
              <w:spacing w:line="360" w:lineRule="auto"/>
              <w:jc w:val="both"/>
              <w:rPr>
                <w:rFonts w:ascii="Garamond" w:hAnsi="Garamond"/>
                <w:bCs/>
                <w:iCs/>
                <w:lang w:val="fr-FR" w:eastAsia="fr-FR"/>
              </w:rPr>
            </w:pPr>
            <w:r w:rsidRPr="00E66A8E">
              <w:rPr>
                <w:rFonts w:ascii="Garamond" w:hAnsi="Garamond"/>
                <w:bCs/>
                <w:iCs/>
                <w:lang w:val="fr-FR" w:eastAsia="fr-FR"/>
              </w:rPr>
              <w:t xml:space="preserve"> </w:t>
            </w:r>
          </w:p>
          <w:p w14:paraId="33689F26" w14:textId="6EA6B486" w:rsidR="00A54DF8" w:rsidRPr="00E66A8E" w:rsidRDefault="00CC3F09" w:rsidP="00D7109A">
            <w:pPr>
              <w:autoSpaceDN w:val="0"/>
              <w:spacing w:line="360" w:lineRule="auto"/>
              <w:jc w:val="both"/>
              <w:rPr>
                <w:rFonts w:ascii="Garamond" w:hAnsi="Garamond"/>
                <w:bCs/>
                <w:iCs/>
                <w:lang w:val="fr-FR" w:eastAsia="fr-FR"/>
              </w:rPr>
            </w:pPr>
            <w:r>
              <w:rPr>
                <w:rFonts w:ascii="Garamond" w:hAnsi="Garamond"/>
                <w:bCs/>
                <w:iCs/>
                <w:lang w:val="fr-FR" w:eastAsia="fr-FR"/>
              </w:rPr>
              <w:t>t</w:t>
            </w:r>
            <w:r w:rsidR="00465C3B" w:rsidRPr="00E66A8E">
              <w:rPr>
                <w:rFonts w:ascii="Garamond" w:hAnsi="Garamond"/>
                <w:bCs/>
                <w:iCs/>
                <w:lang w:val="fr-FR" w:eastAsia="fr-FR"/>
              </w:rPr>
              <w:t>(</w:t>
            </w:r>
            <w:r>
              <w:rPr>
                <w:rFonts w:ascii="Garamond" w:hAnsi="Garamond"/>
                <w:bCs/>
                <w:iCs/>
                <w:lang w:val="fr-FR" w:eastAsia="fr-FR"/>
              </w:rPr>
              <w:t>78)=1,17</w:t>
            </w:r>
            <w:r w:rsidR="00465C3B" w:rsidRPr="00E66A8E">
              <w:rPr>
                <w:rFonts w:ascii="Garamond" w:hAnsi="Garamond"/>
                <w:bCs/>
                <w:iCs/>
                <w:lang w:val="fr-FR" w:eastAsia="fr-FR"/>
              </w:rPr>
              <w:t xml:space="preserve">n.s.   </w:t>
            </w:r>
          </w:p>
          <w:p w14:paraId="1AAE0D3A" w14:textId="01BF2F6C" w:rsidR="00465C3B" w:rsidRPr="00E66A8E" w:rsidRDefault="00C34AEB" w:rsidP="00D7109A">
            <w:pPr>
              <w:autoSpaceDN w:val="0"/>
              <w:spacing w:line="360" w:lineRule="auto"/>
              <w:jc w:val="both"/>
              <w:rPr>
                <w:rFonts w:ascii="Garamond" w:hAnsi="Garamond"/>
                <w:bCs/>
                <w:iCs/>
                <w:lang w:val="fr-FR" w:eastAsia="fr-FR"/>
              </w:rPr>
            </w:pPr>
            <w:r w:rsidRPr="00E66A8E">
              <w:rPr>
                <w:rFonts w:ascii="Garamond" w:hAnsi="Garamond"/>
                <w:bCs/>
                <w:iCs/>
                <w:lang w:val="fr-FR" w:eastAsia="fr-FR"/>
              </w:rPr>
              <w:t xml:space="preserve">α </w:t>
            </w:r>
            <w:r w:rsidR="00CE12C2" w:rsidRPr="00E66A8E">
              <w:rPr>
                <w:rFonts w:ascii="Garamond" w:hAnsi="Garamond"/>
                <w:bCs/>
                <w:iCs/>
                <w:lang w:val="fr-FR" w:eastAsia="fr-FR"/>
              </w:rPr>
              <w:t>= 346</w:t>
            </w:r>
            <w:r w:rsidR="00465C3B" w:rsidRPr="00E66A8E">
              <w:rPr>
                <w:rFonts w:ascii="Garamond" w:hAnsi="Garamond"/>
                <w:bCs/>
                <w:iCs/>
                <w:lang w:val="fr-FR" w:eastAsia="fr-FR"/>
              </w:rPr>
              <w:t>,0 ***</w:t>
            </w:r>
          </w:p>
          <w:p w14:paraId="47429347" w14:textId="77777777" w:rsidR="00E95803" w:rsidRPr="00E66A8E" w:rsidRDefault="00E95803" w:rsidP="00D7109A">
            <w:pPr>
              <w:autoSpaceDN w:val="0"/>
              <w:spacing w:line="360" w:lineRule="auto"/>
              <w:jc w:val="both"/>
              <w:rPr>
                <w:rFonts w:ascii="Garamond" w:hAnsi="Garamond"/>
                <w:bCs/>
                <w:iCs/>
                <w:lang w:val="fr-FR" w:eastAsia="fr-FR"/>
              </w:rPr>
            </w:pPr>
          </w:p>
          <w:p w14:paraId="223E31B4" w14:textId="75F0B68C" w:rsidR="00465C3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 = 265</w:t>
            </w:r>
            <w:r w:rsidR="00465C3B" w:rsidRPr="00E66A8E">
              <w:rPr>
                <w:rFonts w:ascii="Garamond" w:hAnsi="Garamond"/>
                <w:bCs/>
                <w:iCs/>
                <w:lang w:val="fr-FR" w:eastAsia="fr-FR"/>
              </w:rPr>
              <w:t>,5 ***</w:t>
            </w:r>
          </w:p>
          <w:p w14:paraId="470592BE" w14:textId="1726021B" w:rsidR="00465C3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 = 485</w:t>
            </w:r>
            <w:r w:rsidR="00465C3B" w:rsidRPr="00E66A8E">
              <w:rPr>
                <w:rFonts w:ascii="Garamond" w:hAnsi="Garamond"/>
                <w:bCs/>
                <w:iCs/>
                <w:lang w:val="fr-FR" w:eastAsia="fr-FR"/>
              </w:rPr>
              <w:t>.0 ***</w:t>
            </w:r>
          </w:p>
          <w:p w14:paraId="3BDB6062" w14:textId="25CA835A" w:rsidR="00465C3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 = 581</w:t>
            </w:r>
            <w:r w:rsidR="00465C3B" w:rsidRPr="00E66A8E">
              <w:rPr>
                <w:rFonts w:ascii="Garamond" w:hAnsi="Garamond"/>
                <w:bCs/>
                <w:iCs/>
                <w:lang w:val="fr-FR" w:eastAsia="fr-FR"/>
              </w:rPr>
              <w:t>,5 ***</w:t>
            </w:r>
          </w:p>
          <w:p w14:paraId="651DCA77" w14:textId="77777777" w:rsidR="00465C3B" w:rsidRPr="00E66A8E" w:rsidRDefault="00465C3B" w:rsidP="00D7109A">
            <w:pPr>
              <w:autoSpaceDN w:val="0"/>
              <w:spacing w:line="360" w:lineRule="auto"/>
              <w:jc w:val="both"/>
              <w:rPr>
                <w:rFonts w:ascii="Garamond" w:hAnsi="Garamond"/>
                <w:lang w:val="fr-FR" w:eastAsia="fr-FR"/>
              </w:rPr>
            </w:pPr>
          </w:p>
          <w:p w14:paraId="6A0D75E0" w14:textId="70CB1AAB" w:rsidR="00C34AEB" w:rsidRPr="00E66A8E" w:rsidRDefault="00C34AEB" w:rsidP="00D7109A">
            <w:pPr>
              <w:autoSpaceDN w:val="0"/>
              <w:spacing w:line="360" w:lineRule="auto"/>
              <w:jc w:val="both"/>
              <w:rPr>
                <w:rFonts w:ascii="Garamond" w:hAnsi="Garamond"/>
                <w:lang w:val="fr-FR" w:eastAsia="fr-FR"/>
              </w:rPr>
            </w:pPr>
            <w:r w:rsidRPr="00E66A8E">
              <w:rPr>
                <w:rFonts w:ascii="Garamond" w:hAnsi="Garamond"/>
                <w:bCs/>
                <w:iCs/>
                <w:lang w:val="fr-FR" w:eastAsia="fr-FR"/>
              </w:rPr>
              <w:t>α=955,0 ***</w:t>
            </w:r>
          </w:p>
        </w:tc>
      </w:tr>
    </w:tbl>
    <w:p w14:paraId="633747B2" w14:textId="03A9043E" w:rsidR="00A93146" w:rsidRDefault="00A93146" w:rsidP="00A93146">
      <w:pPr>
        <w:pStyle w:val="Prrafocomn"/>
        <w:ind w:firstLine="0"/>
      </w:pPr>
    </w:p>
    <w:p w14:paraId="5C85D521" w14:textId="45C8993C" w:rsidR="00465C3B" w:rsidRPr="001745E8" w:rsidRDefault="00465C3B" w:rsidP="00465C3B">
      <w:pPr>
        <w:autoSpaceDN w:val="0"/>
        <w:spacing w:line="360" w:lineRule="auto"/>
        <w:jc w:val="both"/>
        <w:rPr>
          <w:rFonts w:ascii="Garamond" w:hAnsi="Garamond"/>
          <w:lang w:val="fr-FR" w:eastAsia="fr-FR"/>
        </w:rPr>
      </w:pPr>
      <w:r w:rsidRPr="00E66A8E">
        <w:rPr>
          <w:rFonts w:ascii="Garamond" w:hAnsi="Garamond"/>
          <w:lang w:val="fr-FR" w:eastAsia="fr-FR"/>
        </w:rPr>
        <w:t xml:space="preserve">Note : *** p &lt; 0,001, ** p &lt; 0,01. </w:t>
      </w:r>
      <w:r w:rsidRPr="001745E8">
        <w:rPr>
          <w:rFonts w:ascii="Garamond" w:hAnsi="Garamond"/>
          <w:lang w:val="fr-FR" w:eastAsia="fr-FR"/>
        </w:rPr>
        <w:t>Pour toutes les variables, à l'exception du sexe, les moyennes sont indiquées, avec les écarts types entre parenthèses. Abréviations : TDAH = Trouble déficitaire de l'attention/hyperactivité, Hyp.-Imp. = Hyperactivité-impulsivi</w:t>
      </w:r>
      <w:r w:rsidR="00C06AF8">
        <w:rPr>
          <w:rFonts w:ascii="Garamond" w:hAnsi="Garamond"/>
          <w:lang w:val="fr-FR" w:eastAsia="fr-FR"/>
        </w:rPr>
        <w:t>té, n.s. = non significatif, TOP</w:t>
      </w:r>
      <w:r w:rsidRPr="001745E8">
        <w:rPr>
          <w:rFonts w:ascii="Garamond" w:hAnsi="Garamond"/>
          <w:lang w:val="fr-FR" w:eastAsia="fr-FR"/>
        </w:rPr>
        <w:t xml:space="preserve"> = Trouble oppositionnel avec provocation, TD = Développement typique. </w:t>
      </w:r>
    </w:p>
    <w:p w14:paraId="4553469E" w14:textId="77777777" w:rsidR="00465C3B" w:rsidRPr="001745E8" w:rsidRDefault="00465C3B" w:rsidP="00465C3B">
      <w:pPr>
        <w:autoSpaceDN w:val="0"/>
        <w:spacing w:line="360" w:lineRule="auto"/>
        <w:jc w:val="both"/>
        <w:rPr>
          <w:rFonts w:ascii="Garamond" w:hAnsi="Garamond"/>
          <w:lang w:val="fr-FR" w:eastAsia="fr-FR"/>
        </w:rPr>
      </w:pPr>
      <w:r w:rsidRPr="001745E8">
        <w:rPr>
          <w:rFonts w:ascii="Garamond" w:hAnsi="Garamond"/>
          <w:lang w:val="fr-FR" w:eastAsia="fr-FR"/>
        </w:rPr>
        <w:t>Analyses primaires : Différences entre les groupes</w:t>
      </w:r>
    </w:p>
    <w:p w14:paraId="0B69D366" w14:textId="25E54EA9" w:rsidR="00A93146" w:rsidRPr="00465C3B" w:rsidRDefault="00465C3B" w:rsidP="00465C3B">
      <w:pPr>
        <w:pStyle w:val="Prrafocomn"/>
        <w:ind w:firstLine="0"/>
        <w:rPr>
          <w:lang w:val="fr-FR"/>
        </w:rPr>
      </w:pPr>
      <w:r w:rsidRPr="001745E8">
        <w:rPr>
          <w:rFonts w:ascii="Garamond" w:hAnsi="Garamond"/>
          <w:lang w:val="fr-FR" w:eastAsia="fr-FR"/>
        </w:rPr>
        <w:lastRenderedPageBreak/>
        <w:t>Les analyses de régression multiniveau avec l'âge comme covariable ont révélé que les enfants atteints de TDAH différaient significativement des enfants TD sur trois des quatre représentations de l'attachement. Les enfants atteints de TDAH ont obtenu des scores plus faibles pour les représentations d'attachement sécurisant</w:t>
      </w:r>
      <w:r w:rsidR="00D410F3">
        <w:rPr>
          <w:rFonts w:ascii="Garamond" w:hAnsi="Garamond"/>
          <w:lang w:val="fr-FR" w:eastAsia="fr-FR"/>
        </w:rPr>
        <w:t>,</w:t>
      </w:r>
      <w:r w:rsidRPr="001745E8">
        <w:rPr>
          <w:rFonts w:ascii="Garamond" w:hAnsi="Garamond"/>
          <w:lang w:val="fr-FR" w:eastAsia="fr-FR"/>
        </w:rPr>
        <w:t xml:space="preserve"> </w:t>
      </w:r>
      <w:r w:rsidR="00D410F3">
        <w:rPr>
          <w:rFonts w:ascii="Garamond" w:hAnsi="Garamond"/>
          <w:lang w:val="fr-FR" w:eastAsia="fr-FR"/>
        </w:rPr>
        <w:t>évitant et ambivalent et des scores plus</w:t>
      </w:r>
      <w:r w:rsidRPr="001745E8">
        <w:rPr>
          <w:rFonts w:ascii="Garamond" w:hAnsi="Garamond"/>
          <w:lang w:val="fr-FR" w:eastAsia="fr-FR"/>
        </w:rPr>
        <w:t xml:space="preserve"> élevés pour le</w:t>
      </w:r>
      <w:r w:rsidR="00D410F3">
        <w:rPr>
          <w:rFonts w:ascii="Garamond" w:hAnsi="Garamond"/>
          <w:lang w:val="fr-FR" w:eastAsia="fr-FR"/>
        </w:rPr>
        <w:t>s représentations d'attachement</w:t>
      </w:r>
      <w:r w:rsidRPr="001745E8">
        <w:rPr>
          <w:rFonts w:ascii="Garamond" w:hAnsi="Garamond"/>
          <w:lang w:val="fr-FR" w:eastAsia="fr-FR"/>
        </w:rPr>
        <w:t xml:space="preserve"> désorganisé par rapport aux enfants TD. Les groupes ne différaient pas dans</w:t>
      </w:r>
      <w:r w:rsidR="00D410F3">
        <w:rPr>
          <w:rFonts w:ascii="Garamond" w:hAnsi="Garamond"/>
          <w:lang w:val="fr-FR" w:eastAsia="fr-FR"/>
        </w:rPr>
        <w:t xml:space="preserve"> </w:t>
      </w:r>
      <w:r w:rsidR="000B23D0">
        <w:rPr>
          <w:rFonts w:ascii="Garamond" w:hAnsi="Garamond"/>
          <w:lang w:val="fr-FR" w:eastAsia="fr-FR"/>
        </w:rPr>
        <w:t>tous</w:t>
      </w:r>
      <w:r w:rsidR="00D410F3">
        <w:rPr>
          <w:rFonts w:ascii="Garamond" w:hAnsi="Garamond"/>
          <w:lang w:val="fr-FR" w:eastAsia="fr-FR"/>
        </w:rPr>
        <w:t xml:space="preserve"> les types</w:t>
      </w:r>
      <w:r w:rsidRPr="001745E8">
        <w:rPr>
          <w:rFonts w:ascii="Garamond" w:hAnsi="Garamond"/>
          <w:lang w:val="fr-FR" w:eastAsia="fr-FR"/>
        </w:rPr>
        <w:t xml:space="preserve"> représen</w:t>
      </w:r>
      <w:r w:rsidR="00D410F3">
        <w:rPr>
          <w:rFonts w:ascii="Garamond" w:hAnsi="Garamond"/>
          <w:lang w:val="fr-FR" w:eastAsia="fr-FR"/>
        </w:rPr>
        <w:t>tations de l'attachement</w:t>
      </w:r>
      <w:r w:rsidRPr="001745E8">
        <w:rPr>
          <w:rFonts w:ascii="Garamond" w:hAnsi="Garamond"/>
          <w:lang w:val="fr-FR" w:eastAsia="fr-FR"/>
        </w:rPr>
        <w:t>. Les statistiques sur les différences entre les groupes sont présentées dans le tableau 2. L'âge n'était pas significativement associé à l'une ou l'autre des représentations de l'attachement</w:t>
      </w:r>
    </w:p>
    <w:p w14:paraId="54278693" w14:textId="77777777" w:rsidR="00465C3B" w:rsidRPr="005E4ED4" w:rsidRDefault="00465C3B" w:rsidP="00575541">
      <w:pPr>
        <w:pStyle w:val="Prrafocomn"/>
        <w:ind w:firstLine="0"/>
        <w:rPr>
          <w:lang w:val="fr-FR"/>
        </w:rPr>
      </w:pPr>
    </w:p>
    <w:p w14:paraId="1F3F6C6D" w14:textId="0B6AC67C" w:rsidR="00465C3B" w:rsidRPr="00465C3B" w:rsidRDefault="00465C3B" w:rsidP="00575541">
      <w:pPr>
        <w:pStyle w:val="Prrafocomn"/>
        <w:ind w:firstLine="0"/>
        <w:rPr>
          <w:lang w:val="fr-FR"/>
        </w:rPr>
      </w:pPr>
      <w:r w:rsidRPr="001745E8">
        <w:rPr>
          <w:rFonts w:ascii="Garamond" w:hAnsi="Garamond"/>
          <w:lang w:val="fr-FR" w:eastAsia="fr-FR"/>
        </w:rPr>
        <w:t>Tableau 2. Représentations de l'attachement chez les enfants avec et sans TDAH</w:t>
      </w:r>
    </w:p>
    <w:p w14:paraId="5F2F45F9" w14:textId="77777777" w:rsidR="00465C3B" w:rsidRPr="0074104F" w:rsidRDefault="00465C3B" w:rsidP="00575541">
      <w:pPr>
        <w:pStyle w:val="Prrafocomn"/>
        <w:ind w:firstLine="0"/>
        <w:rPr>
          <w:lang w:val="fr-FR"/>
        </w:rPr>
      </w:pPr>
    </w:p>
    <w:tbl>
      <w:tblPr>
        <w:tblW w:w="9062" w:type="dxa"/>
        <w:tblCellMar>
          <w:left w:w="10" w:type="dxa"/>
          <w:right w:w="10" w:type="dxa"/>
        </w:tblCellMar>
        <w:tblLook w:val="0000" w:firstRow="0" w:lastRow="0" w:firstColumn="0" w:lastColumn="0" w:noHBand="0" w:noVBand="0"/>
      </w:tblPr>
      <w:tblGrid>
        <w:gridCol w:w="9062"/>
      </w:tblGrid>
      <w:tr w:rsidR="0074104F" w:rsidRPr="0074104F" w14:paraId="34F2FA0C" w14:textId="77777777" w:rsidTr="00D7109A">
        <w:tc>
          <w:tcPr>
            <w:tcW w:w="9062" w:type="dxa"/>
            <w:tcBorders>
              <w:top w:val="single" w:sz="4" w:space="0" w:color="000000"/>
            </w:tcBorders>
            <w:shd w:val="clear" w:color="auto" w:fill="auto"/>
            <w:tcMar>
              <w:top w:w="0" w:type="dxa"/>
              <w:left w:w="108" w:type="dxa"/>
              <w:bottom w:w="0" w:type="dxa"/>
              <w:right w:w="108" w:type="dxa"/>
            </w:tcMar>
          </w:tcPr>
          <w:p w14:paraId="15248445" w14:textId="499CEF95" w:rsidR="00465C3B" w:rsidRPr="0074104F" w:rsidRDefault="00465C3B" w:rsidP="00D7109A">
            <w:pPr>
              <w:autoSpaceDN w:val="0"/>
              <w:spacing w:line="360" w:lineRule="auto"/>
              <w:jc w:val="both"/>
              <w:rPr>
                <w:rFonts w:ascii="Garamond" w:hAnsi="Garamond"/>
                <w:lang w:val="en-US" w:eastAsia="fr-FR"/>
              </w:rPr>
            </w:pPr>
            <w:r w:rsidRPr="0074104F">
              <w:rPr>
                <w:rFonts w:ascii="Garamond" w:hAnsi="Garamond"/>
                <w:lang w:val="fr-FR" w:eastAsia="fr-FR"/>
              </w:rPr>
              <w:t xml:space="preserve">            </w:t>
            </w:r>
            <w:r w:rsidR="007C29A6" w:rsidRPr="0074104F">
              <w:rPr>
                <w:rFonts w:ascii="Garamond" w:hAnsi="Garamond"/>
                <w:lang w:val="fr-FR" w:eastAsia="fr-FR"/>
              </w:rPr>
              <w:t xml:space="preserve">                    </w:t>
            </w:r>
            <w:r w:rsidR="007C29A6" w:rsidRPr="0074104F">
              <w:rPr>
                <w:rFonts w:ascii="Garamond" w:hAnsi="Garamond"/>
                <w:lang w:val="en-US" w:eastAsia="fr-FR"/>
              </w:rPr>
              <w:t>TDAH (</w:t>
            </w:r>
            <w:r w:rsidR="00C12E57" w:rsidRPr="0074104F">
              <w:rPr>
                <w:rFonts w:ascii="Garamond" w:hAnsi="Garamond"/>
                <w:lang w:val="en-US" w:eastAsia="fr-FR"/>
              </w:rPr>
              <w:t>N = 80)               TD (N = 30</w:t>
            </w:r>
            <w:r w:rsidRPr="0074104F">
              <w:rPr>
                <w:rFonts w:ascii="Garamond" w:hAnsi="Garamond"/>
                <w:lang w:val="en-US" w:eastAsia="fr-FR"/>
              </w:rPr>
              <w:t xml:space="preserve">)    </w:t>
            </w:r>
            <w:r w:rsidR="00BB4CA3" w:rsidRPr="0074104F">
              <w:rPr>
                <w:rFonts w:ascii="Garamond" w:hAnsi="Garamond"/>
                <w:lang w:val="en-US" w:eastAsia="fr-FR"/>
              </w:rPr>
              <w:t xml:space="preserve">          sig</w:t>
            </w:r>
          </w:p>
        </w:tc>
      </w:tr>
      <w:tr w:rsidR="0074104F" w:rsidRPr="0074104F" w14:paraId="6FB8CA8D" w14:textId="77777777" w:rsidTr="00D7109A">
        <w:trPr>
          <w:trHeight w:val="2110"/>
        </w:trPr>
        <w:tc>
          <w:tcPr>
            <w:tcW w:w="9062" w:type="dxa"/>
            <w:tcBorders>
              <w:bottom w:val="single" w:sz="4" w:space="0" w:color="000000"/>
            </w:tcBorders>
            <w:shd w:val="clear" w:color="auto" w:fill="auto"/>
            <w:tcMar>
              <w:top w:w="0" w:type="dxa"/>
              <w:left w:w="108" w:type="dxa"/>
              <w:bottom w:w="0" w:type="dxa"/>
              <w:right w:w="108" w:type="dxa"/>
            </w:tcMar>
          </w:tcPr>
          <w:p w14:paraId="16BF3593" w14:textId="594A23F5" w:rsidR="00465C3B" w:rsidRPr="0074104F" w:rsidRDefault="00465C3B" w:rsidP="00D7109A">
            <w:pPr>
              <w:autoSpaceDN w:val="0"/>
              <w:spacing w:line="360" w:lineRule="auto"/>
              <w:jc w:val="both"/>
              <w:rPr>
                <w:rFonts w:ascii="Garamond" w:hAnsi="Garamond"/>
                <w:lang w:val="fr-FR" w:eastAsia="fr-FR"/>
              </w:rPr>
            </w:pPr>
            <w:r w:rsidRPr="0074104F">
              <w:rPr>
                <w:rFonts w:ascii="Garamond" w:hAnsi="Garamond"/>
                <w:lang w:val="fr-FR" w:eastAsia="fr-FR"/>
              </w:rPr>
              <w:t>Sécuritaire</w:t>
            </w:r>
            <w:r w:rsidR="006D01F2">
              <w:rPr>
                <w:rFonts w:ascii="Garamond" w:hAnsi="Garamond"/>
                <w:lang w:val="fr-FR" w:eastAsia="fr-FR"/>
              </w:rPr>
              <w:t>s</w:t>
            </w:r>
            <w:r w:rsidRPr="0074104F">
              <w:rPr>
                <w:rFonts w:ascii="Garamond" w:hAnsi="Garamond"/>
                <w:lang w:val="fr-FR" w:eastAsia="fr-FR"/>
              </w:rPr>
              <w:t xml:space="preserve">                 2,</w:t>
            </w:r>
            <w:r w:rsidR="00241FE7" w:rsidRPr="0074104F">
              <w:rPr>
                <w:rFonts w:ascii="Garamond" w:hAnsi="Garamond"/>
                <w:lang w:val="fr-FR" w:eastAsia="fr-FR"/>
              </w:rPr>
              <w:t>97 (1,7</w:t>
            </w:r>
            <w:r w:rsidRPr="0074104F">
              <w:rPr>
                <w:rFonts w:ascii="Garamond" w:hAnsi="Garamond"/>
                <w:lang w:val="fr-FR" w:eastAsia="fr-FR"/>
              </w:rPr>
              <w:t xml:space="preserve">9)               </w:t>
            </w:r>
            <w:r w:rsidR="00FA2FFD" w:rsidRPr="0074104F">
              <w:rPr>
                <w:rFonts w:ascii="Garamond" w:hAnsi="Garamond"/>
                <w:lang w:val="fr-FR" w:eastAsia="fr-FR"/>
              </w:rPr>
              <w:t xml:space="preserve">  </w:t>
            </w:r>
            <w:r w:rsidRPr="0074104F">
              <w:rPr>
                <w:rFonts w:ascii="Garamond" w:hAnsi="Garamond"/>
                <w:lang w:val="fr-FR" w:eastAsia="fr-FR"/>
              </w:rPr>
              <w:t xml:space="preserve"> </w:t>
            </w:r>
            <w:r w:rsidR="001A6607" w:rsidRPr="0074104F">
              <w:rPr>
                <w:rFonts w:ascii="Garamond" w:hAnsi="Garamond"/>
                <w:lang w:val="fr-FR" w:eastAsia="fr-FR"/>
              </w:rPr>
              <w:t>9,33(2</w:t>
            </w:r>
            <w:r w:rsidRPr="0074104F">
              <w:rPr>
                <w:rFonts w:ascii="Garamond" w:hAnsi="Garamond"/>
                <w:lang w:val="fr-FR" w:eastAsia="fr-FR"/>
              </w:rPr>
              <w:t>,</w:t>
            </w:r>
            <w:r w:rsidR="001A6607" w:rsidRPr="0074104F">
              <w:rPr>
                <w:rFonts w:ascii="Garamond" w:hAnsi="Garamond"/>
                <w:lang w:val="fr-FR" w:eastAsia="fr-FR"/>
              </w:rPr>
              <w:t>12</w:t>
            </w:r>
            <w:r w:rsidRPr="0074104F">
              <w:rPr>
                <w:rFonts w:ascii="Garamond" w:hAnsi="Garamond"/>
                <w:lang w:val="fr-FR" w:eastAsia="fr-FR"/>
              </w:rPr>
              <w:t xml:space="preserve">)               </w:t>
            </w:r>
            <w:r w:rsidR="001934A0" w:rsidRPr="0074104F">
              <w:rPr>
                <w:rFonts w:ascii="Garamond" w:hAnsi="Garamond"/>
                <w:lang w:val="fr-FR" w:eastAsia="fr-FR"/>
              </w:rPr>
              <w:t>t(42,86</w:t>
            </w:r>
            <w:r w:rsidRPr="0074104F">
              <w:rPr>
                <w:rFonts w:ascii="Garamond" w:hAnsi="Garamond"/>
                <w:lang w:val="fr-FR" w:eastAsia="fr-FR"/>
              </w:rPr>
              <w:t xml:space="preserve">) = </w:t>
            </w:r>
            <w:r w:rsidR="001934A0" w:rsidRPr="0074104F">
              <w:rPr>
                <w:rFonts w:ascii="Garamond" w:hAnsi="Garamond"/>
                <w:lang w:val="fr-FR" w:eastAsia="fr-FR"/>
              </w:rPr>
              <w:t>-0</w:t>
            </w:r>
            <w:r w:rsidRPr="0074104F">
              <w:rPr>
                <w:rFonts w:ascii="Garamond" w:hAnsi="Garamond"/>
                <w:lang w:val="fr-FR" w:eastAsia="fr-FR"/>
              </w:rPr>
              <w:t>,</w:t>
            </w:r>
            <w:r w:rsidR="001934A0" w:rsidRPr="0074104F">
              <w:rPr>
                <w:rFonts w:ascii="Garamond" w:hAnsi="Garamond"/>
                <w:lang w:val="fr-FR" w:eastAsia="fr-FR"/>
              </w:rPr>
              <w:t>214, p = 0,831</w:t>
            </w:r>
          </w:p>
          <w:p w14:paraId="40770026" w14:textId="0C5252DD" w:rsidR="00465C3B" w:rsidRPr="0074104F" w:rsidRDefault="00465C3B" w:rsidP="00D7109A">
            <w:pPr>
              <w:autoSpaceDN w:val="0"/>
              <w:spacing w:line="360" w:lineRule="auto"/>
              <w:jc w:val="both"/>
              <w:rPr>
                <w:rFonts w:ascii="Garamond" w:hAnsi="Garamond"/>
                <w:lang w:val="fr-FR" w:eastAsia="fr-FR"/>
              </w:rPr>
            </w:pPr>
            <w:r w:rsidRPr="0074104F">
              <w:rPr>
                <w:rFonts w:ascii="Garamond" w:hAnsi="Garamond"/>
                <w:lang w:val="fr-FR" w:eastAsia="fr-FR"/>
              </w:rPr>
              <w:t>Évitant</w:t>
            </w:r>
            <w:r w:rsidR="006D01F2">
              <w:rPr>
                <w:rFonts w:ascii="Garamond" w:hAnsi="Garamond"/>
                <w:lang w:val="fr-FR" w:eastAsia="fr-FR"/>
              </w:rPr>
              <w:t>es</w:t>
            </w:r>
            <w:r w:rsidRPr="0074104F">
              <w:rPr>
                <w:rFonts w:ascii="Garamond" w:hAnsi="Garamond"/>
                <w:lang w:val="fr-FR" w:eastAsia="fr-FR"/>
              </w:rPr>
              <w:t xml:space="preserve">                      </w:t>
            </w:r>
            <w:r w:rsidR="00241FE7" w:rsidRPr="0074104F">
              <w:rPr>
                <w:rFonts w:ascii="Garamond" w:hAnsi="Garamond"/>
                <w:lang w:val="fr-FR" w:eastAsia="fr-FR"/>
              </w:rPr>
              <w:t>1,</w:t>
            </w:r>
            <w:r w:rsidRPr="0074104F">
              <w:rPr>
                <w:rFonts w:ascii="Garamond" w:hAnsi="Garamond"/>
                <w:lang w:val="fr-FR" w:eastAsia="fr-FR"/>
              </w:rPr>
              <w:t>0</w:t>
            </w:r>
            <w:r w:rsidR="00241FE7" w:rsidRPr="0074104F">
              <w:rPr>
                <w:rFonts w:ascii="Garamond" w:hAnsi="Garamond"/>
                <w:lang w:val="fr-FR" w:eastAsia="fr-FR"/>
              </w:rPr>
              <w:t>5 (0,94</w:t>
            </w:r>
            <w:r w:rsidRPr="0074104F">
              <w:rPr>
                <w:rFonts w:ascii="Garamond" w:hAnsi="Garamond"/>
                <w:lang w:val="fr-FR" w:eastAsia="fr-FR"/>
              </w:rPr>
              <w:t xml:space="preserve">)                 </w:t>
            </w:r>
            <w:r w:rsidR="0057771A" w:rsidRPr="0074104F">
              <w:rPr>
                <w:rFonts w:ascii="Garamond" w:hAnsi="Garamond"/>
                <w:lang w:val="fr-FR" w:eastAsia="fr-FR"/>
              </w:rPr>
              <w:t xml:space="preserve"> </w:t>
            </w:r>
            <w:r w:rsidR="00DD05A1" w:rsidRPr="0074104F">
              <w:rPr>
                <w:rFonts w:ascii="Garamond" w:hAnsi="Garamond"/>
                <w:lang w:val="fr-FR" w:eastAsia="fr-FR"/>
              </w:rPr>
              <w:t>1,</w:t>
            </w:r>
            <w:r w:rsidRPr="0074104F">
              <w:rPr>
                <w:rFonts w:ascii="Garamond" w:hAnsi="Garamond"/>
                <w:lang w:val="fr-FR" w:eastAsia="fr-FR"/>
              </w:rPr>
              <w:t>1</w:t>
            </w:r>
            <w:r w:rsidR="00DD05A1" w:rsidRPr="0074104F">
              <w:rPr>
                <w:rFonts w:ascii="Garamond" w:hAnsi="Garamond"/>
                <w:lang w:val="fr-FR" w:eastAsia="fr-FR"/>
              </w:rPr>
              <w:t>0(0,88</w:t>
            </w:r>
            <w:r w:rsidRPr="0074104F">
              <w:rPr>
                <w:rFonts w:ascii="Garamond" w:hAnsi="Garamond"/>
                <w:lang w:val="fr-FR" w:eastAsia="fr-FR"/>
              </w:rPr>
              <w:t xml:space="preserve">)               </w:t>
            </w:r>
            <w:r w:rsidR="001934A0" w:rsidRPr="0074104F">
              <w:rPr>
                <w:rFonts w:ascii="Garamond" w:hAnsi="Garamond"/>
                <w:lang w:val="fr-FR" w:eastAsia="fr-FR"/>
              </w:rPr>
              <w:t>t(37,187) = 0,763, p = 0,450</w:t>
            </w:r>
          </w:p>
          <w:p w14:paraId="304D910A" w14:textId="240E4BB6" w:rsidR="00465C3B" w:rsidRPr="0074104F" w:rsidRDefault="00465C3B" w:rsidP="00D7109A">
            <w:pPr>
              <w:autoSpaceDN w:val="0"/>
              <w:spacing w:line="360" w:lineRule="auto"/>
              <w:jc w:val="both"/>
              <w:rPr>
                <w:rFonts w:ascii="Garamond" w:hAnsi="Garamond"/>
                <w:lang w:val="fr-FR" w:eastAsia="fr-FR"/>
              </w:rPr>
            </w:pPr>
            <w:r w:rsidRPr="0074104F">
              <w:rPr>
                <w:rFonts w:ascii="Garamond" w:hAnsi="Garamond"/>
                <w:lang w:val="fr-FR" w:eastAsia="fr-FR"/>
              </w:rPr>
              <w:t>Ambivalent</w:t>
            </w:r>
            <w:r w:rsidR="006D01F2">
              <w:rPr>
                <w:rFonts w:ascii="Garamond" w:hAnsi="Garamond"/>
                <w:lang w:val="fr-FR" w:eastAsia="fr-FR"/>
              </w:rPr>
              <w:t>es</w:t>
            </w:r>
            <w:r w:rsidR="0074104F" w:rsidRPr="0074104F">
              <w:rPr>
                <w:rFonts w:ascii="Garamond" w:hAnsi="Garamond"/>
                <w:lang w:val="fr-FR" w:eastAsia="fr-FR"/>
              </w:rPr>
              <w:t xml:space="preserve">               </w:t>
            </w:r>
            <w:r w:rsidR="00530BD4" w:rsidRPr="0074104F">
              <w:rPr>
                <w:rFonts w:ascii="Garamond" w:hAnsi="Garamond"/>
                <w:lang w:val="fr-FR" w:eastAsia="fr-FR"/>
              </w:rPr>
              <w:t xml:space="preserve"> </w:t>
            </w:r>
            <w:r w:rsidR="00241FE7" w:rsidRPr="0074104F">
              <w:rPr>
                <w:rFonts w:ascii="Garamond" w:hAnsi="Garamond"/>
                <w:lang w:val="fr-FR" w:eastAsia="fr-FR"/>
              </w:rPr>
              <w:t>0.80 (0.8</w:t>
            </w:r>
            <w:r w:rsidRPr="0074104F">
              <w:rPr>
                <w:rFonts w:ascii="Garamond" w:hAnsi="Garamond"/>
                <w:lang w:val="fr-FR" w:eastAsia="fr-FR"/>
              </w:rPr>
              <w:t xml:space="preserve">2)                 </w:t>
            </w:r>
            <w:r w:rsidR="0057771A" w:rsidRPr="0074104F">
              <w:rPr>
                <w:rFonts w:ascii="Garamond" w:hAnsi="Garamond"/>
                <w:lang w:val="fr-FR" w:eastAsia="fr-FR"/>
              </w:rPr>
              <w:t xml:space="preserve"> </w:t>
            </w:r>
            <w:r w:rsidR="00DD05A1" w:rsidRPr="0074104F">
              <w:rPr>
                <w:rFonts w:ascii="Garamond" w:hAnsi="Garamond"/>
                <w:lang w:val="fr-FR" w:eastAsia="fr-FR"/>
              </w:rPr>
              <w:t>1.16 (0.79</w:t>
            </w:r>
            <w:r w:rsidRPr="0074104F">
              <w:rPr>
                <w:rFonts w:ascii="Garamond" w:hAnsi="Garamond"/>
                <w:lang w:val="fr-FR" w:eastAsia="fr-FR"/>
              </w:rPr>
              <w:t xml:space="preserve">)              </w:t>
            </w:r>
            <w:r w:rsidR="004B1D1B" w:rsidRPr="0074104F">
              <w:rPr>
                <w:rFonts w:ascii="Garamond" w:hAnsi="Garamond"/>
                <w:lang w:val="fr-FR" w:eastAsia="fr-FR"/>
              </w:rPr>
              <w:t>t (</w:t>
            </w:r>
            <w:r w:rsidR="001934A0" w:rsidRPr="0074104F">
              <w:rPr>
                <w:rFonts w:ascii="Garamond" w:hAnsi="Garamond"/>
                <w:lang w:val="fr-FR" w:eastAsia="fr-FR"/>
              </w:rPr>
              <w:t>40 ,32</w:t>
            </w:r>
            <w:r w:rsidRPr="0074104F">
              <w:rPr>
                <w:rFonts w:ascii="Garamond" w:hAnsi="Garamond"/>
                <w:lang w:val="fr-FR" w:eastAsia="fr-FR"/>
              </w:rPr>
              <w:t xml:space="preserve">) = </w:t>
            </w:r>
            <w:r w:rsidR="001934A0" w:rsidRPr="0074104F">
              <w:rPr>
                <w:rFonts w:ascii="Garamond" w:hAnsi="Garamond"/>
                <w:lang w:val="fr-FR" w:eastAsia="fr-FR"/>
              </w:rPr>
              <w:t>-0</w:t>
            </w:r>
            <w:r w:rsidRPr="0074104F">
              <w:rPr>
                <w:rFonts w:ascii="Garamond" w:hAnsi="Garamond"/>
                <w:lang w:val="fr-FR" w:eastAsia="fr-FR"/>
              </w:rPr>
              <w:t>.</w:t>
            </w:r>
            <w:r w:rsidR="001934A0" w:rsidRPr="0074104F">
              <w:rPr>
                <w:rFonts w:ascii="Garamond" w:hAnsi="Garamond"/>
                <w:lang w:val="fr-FR" w:eastAsia="fr-FR"/>
              </w:rPr>
              <w:t>512, p = 0.611</w:t>
            </w:r>
          </w:p>
          <w:p w14:paraId="2AC2014E" w14:textId="3E3C22C2" w:rsidR="00465C3B" w:rsidRPr="0074104F" w:rsidRDefault="00465C3B" w:rsidP="0074104F">
            <w:pPr>
              <w:autoSpaceDN w:val="0"/>
              <w:spacing w:line="360" w:lineRule="auto"/>
              <w:jc w:val="both"/>
              <w:rPr>
                <w:rFonts w:ascii="Garamond" w:hAnsi="Garamond"/>
                <w:lang w:val="fr-FR" w:eastAsia="fr-FR"/>
              </w:rPr>
            </w:pPr>
            <w:r w:rsidRPr="0074104F">
              <w:rPr>
                <w:rFonts w:ascii="Garamond" w:hAnsi="Garamond"/>
                <w:lang w:val="fr-FR" w:eastAsia="fr-FR"/>
              </w:rPr>
              <w:t>Désorganisé</w:t>
            </w:r>
            <w:r w:rsidR="006D01F2">
              <w:rPr>
                <w:rFonts w:ascii="Garamond" w:hAnsi="Garamond"/>
                <w:lang w:val="fr-FR" w:eastAsia="fr-FR"/>
              </w:rPr>
              <w:t>es</w:t>
            </w:r>
            <w:r w:rsidRPr="0074104F">
              <w:rPr>
                <w:rFonts w:ascii="Garamond" w:hAnsi="Garamond"/>
                <w:lang w:val="fr-FR" w:eastAsia="fr-FR"/>
              </w:rPr>
              <w:t xml:space="preserve">               </w:t>
            </w:r>
            <w:r w:rsidR="00241FE7" w:rsidRPr="0074104F">
              <w:rPr>
                <w:rFonts w:ascii="Garamond" w:hAnsi="Garamond"/>
                <w:lang w:val="fr-FR" w:eastAsia="fr-FR"/>
              </w:rPr>
              <w:t>1,13</w:t>
            </w:r>
            <w:r w:rsidRPr="0074104F">
              <w:rPr>
                <w:rFonts w:ascii="Garamond" w:hAnsi="Garamond"/>
                <w:lang w:val="fr-FR" w:eastAsia="fr-FR"/>
              </w:rPr>
              <w:t xml:space="preserve"> (1,10)                 </w:t>
            </w:r>
            <w:r w:rsidR="00C30DDE" w:rsidRPr="0074104F">
              <w:rPr>
                <w:rFonts w:ascii="Garamond" w:hAnsi="Garamond"/>
                <w:lang w:val="fr-FR" w:eastAsia="fr-FR"/>
              </w:rPr>
              <w:t xml:space="preserve"> </w:t>
            </w:r>
            <w:r w:rsidR="00DD05A1" w:rsidRPr="0074104F">
              <w:rPr>
                <w:rFonts w:ascii="Garamond" w:hAnsi="Garamond"/>
                <w:lang w:val="fr-FR" w:eastAsia="fr-FR"/>
              </w:rPr>
              <w:t>0,76 (0,68</w:t>
            </w:r>
            <w:r w:rsidRPr="0074104F">
              <w:rPr>
                <w:rFonts w:ascii="Garamond" w:hAnsi="Garamond"/>
                <w:lang w:val="fr-FR" w:eastAsia="fr-FR"/>
              </w:rPr>
              <w:t xml:space="preserve">)           </w:t>
            </w:r>
            <w:r w:rsidR="0074104F" w:rsidRPr="0074104F">
              <w:rPr>
                <w:rFonts w:ascii="Garamond" w:hAnsi="Garamond"/>
                <w:lang w:val="fr-FR" w:eastAsia="fr-FR"/>
              </w:rPr>
              <w:t xml:space="preserve">    t(3</w:t>
            </w:r>
            <w:r w:rsidRPr="0074104F">
              <w:rPr>
                <w:rFonts w:ascii="Garamond" w:hAnsi="Garamond"/>
                <w:lang w:val="fr-FR" w:eastAsia="fr-FR"/>
              </w:rPr>
              <w:t>9,</w:t>
            </w:r>
            <w:r w:rsidR="0074104F" w:rsidRPr="0074104F">
              <w:rPr>
                <w:rFonts w:ascii="Garamond" w:hAnsi="Garamond"/>
                <w:lang w:val="fr-FR" w:eastAsia="fr-FR"/>
              </w:rPr>
              <w:t>056) =-0,782   p =0,439</w:t>
            </w:r>
            <w:r w:rsidRPr="0074104F">
              <w:rPr>
                <w:rFonts w:ascii="Garamond" w:hAnsi="Garamond"/>
                <w:lang w:val="fr-FR" w:eastAsia="fr-FR"/>
              </w:rPr>
              <w:t>.</w:t>
            </w:r>
          </w:p>
        </w:tc>
      </w:tr>
    </w:tbl>
    <w:p w14:paraId="0B62A593" w14:textId="77777777" w:rsidR="00465C3B" w:rsidRPr="00465C3B" w:rsidRDefault="00465C3B" w:rsidP="00575541">
      <w:pPr>
        <w:pStyle w:val="Prrafocomn"/>
        <w:ind w:firstLine="0"/>
        <w:rPr>
          <w:lang w:val="fr-FR"/>
        </w:rPr>
      </w:pPr>
    </w:p>
    <w:p w14:paraId="2B1D6F4C" w14:textId="690765DC" w:rsidR="00465C3B" w:rsidRDefault="00465C3B" w:rsidP="00465C3B">
      <w:pPr>
        <w:autoSpaceDN w:val="0"/>
        <w:spacing w:line="360" w:lineRule="auto"/>
        <w:jc w:val="both"/>
        <w:rPr>
          <w:rFonts w:ascii="Garamond" w:hAnsi="Garamond"/>
          <w:lang w:val="fr-FR" w:eastAsia="fr-FR"/>
        </w:rPr>
      </w:pPr>
      <w:r w:rsidRPr="001745E8">
        <w:rPr>
          <w:rFonts w:ascii="Garamond" w:hAnsi="Garamond"/>
          <w:lang w:val="fr-FR" w:eastAsia="fr-FR"/>
        </w:rPr>
        <w:t xml:space="preserve">Note : Les moyennes sont rapportées, avec les écarts types entre parenthèses. Les différences entre groupes ont été testées dans un modèle avec l'âge comme covariable. Abréviations : TDAH = Trouble de déficit de l'attention/hyperactivité ; TD = Développement typique. </w:t>
      </w:r>
    </w:p>
    <w:p w14:paraId="14BEEAFC" w14:textId="74555C33" w:rsidR="00402E32" w:rsidRPr="00634597" w:rsidRDefault="00640BFD" w:rsidP="00402E32">
      <w:pPr>
        <w:autoSpaceDN w:val="0"/>
        <w:spacing w:line="360" w:lineRule="auto"/>
        <w:jc w:val="both"/>
        <w:rPr>
          <w:rFonts w:ascii="Garamond" w:hAnsi="Garamond"/>
          <w:lang w:val="fr-FR" w:eastAsia="fr-FR"/>
        </w:rPr>
      </w:pPr>
      <w:r w:rsidRPr="00634597">
        <w:rPr>
          <w:rFonts w:ascii="Garamond" w:hAnsi="Garamond"/>
          <w:lang w:val="fr-FR" w:eastAsia="fr-FR"/>
        </w:rPr>
        <w:t xml:space="preserve">Analyses secondaires : Analyses au sein du groupe avec et ou sans TDAH. </w:t>
      </w:r>
    </w:p>
    <w:p w14:paraId="23465C23" w14:textId="43C22731" w:rsidR="005E4ED4" w:rsidRDefault="00640BFD" w:rsidP="00AF404D">
      <w:pPr>
        <w:autoSpaceDN w:val="0"/>
        <w:spacing w:line="360" w:lineRule="auto"/>
        <w:ind w:firstLine="720"/>
        <w:jc w:val="both"/>
        <w:rPr>
          <w:rFonts w:ascii="Garamond" w:hAnsi="Garamond"/>
          <w:lang w:val="fr-FR" w:eastAsia="fr-FR"/>
        </w:rPr>
      </w:pPr>
      <w:r w:rsidRPr="001745E8">
        <w:rPr>
          <w:rFonts w:ascii="Garamond" w:hAnsi="Garamond"/>
          <w:lang w:val="fr-FR" w:eastAsia="fr-FR"/>
        </w:rPr>
        <w:t xml:space="preserve">Aucune des analyses de régression linéaire bootstrapped au sein du groupe  n'a donné de résultat significatif. Cela indique que l'âge, le niveau d'éducation des parents, et le sentiment de compétence perçu par les parents n'étaient associés à aucune des représentations de l'attachement. Pour des résultats détaillés, voir le tableau 3. </w:t>
      </w:r>
    </w:p>
    <w:p w14:paraId="034FE54B" w14:textId="77777777" w:rsidR="007C41F2" w:rsidRDefault="007C41F2" w:rsidP="00640BFD">
      <w:pPr>
        <w:autoSpaceDN w:val="0"/>
        <w:spacing w:line="360" w:lineRule="auto"/>
        <w:jc w:val="both"/>
        <w:rPr>
          <w:rFonts w:ascii="Garamond" w:hAnsi="Garamond"/>
          <w:lang w:val="fr-FR" w:eastAsia="fr-FR"/>
        </w:rPr>
      </w:pPr>
    </w:p>
    <w:p w14:paraId="2BBC6E02" w14:textId="77777777" w:rsidR="0067355C" w:rsidRDefault="0067355C" w:rsidP="007C41F2">
      <w:pPr>
        <w:autoSpaceDN w:val="0"/>
        <w:spacing w:line="360" w:lineRule="auto"/>
        <w:jc w:val="both"/>
        <w:rPr>
          <w:rFonts w:ascii="Garamond" w:hAnsi="Garamond"/>
          <w:color w:val="FF0000"/>
          <w:lang w:val="fr-FR" w:eastAsia="fr-FR"/>
        </w:rPr>
      </w:pPr>
    </w:p>
    <w:p w14:paraId="76D5142C" w14:textId="77777777" w:rsidR="0067355C" w:rsidRDefault="0067355C" w:rsidP="007C41F2">
      <w:pPr>
        <w:autoSpaceDN w:val="0"/>
        <w:spacing w:line="360" w:lineRule="auto"/>
        <w:jc w:val="both"/>
        <w:rPr>
          <w:rFonts w:ascii="Garamond" w:hAnsi="Garamond"/>
          <w:color w:val="FF0000"/>
          <w:lang w:val="fr-FR" w:eastAsia="fr-FR"/>
        </w:rPr>
      </w:pPr>
    </w:p>
    <w:p w14:paraId="6773C6D4" w14:textId="77777777" w:rsidR="0067355C" w:rsidRDefault="0067355C" w:rsidP="007C41F2">
      <w:pPr>
        <w:autoSpaceDN w:val="0"/>
        <w:spacing w:line="360" w:lineRule="auto"/>
        <w:jc w:val="both"/>
        <w:rPr>
          <w:rFonts w:ascii="Garamond" w:hAnsi="Garamond"/>
          <w:color w:val="FF0000"/>
          <w:lang w:val="fr-FR" w:eastAsia="fr-FR"/>
        </w:rPr>
      </w:pPr>
    </w:p>
    <w:p w14:paraId="5F9FB41E" w14:textId="77777777" w:rsidR="0067355C" w:rsidRDefault="0067355C" w:rsidP="007C41F2">
      <w:pPr>
        <w:autoSpaceDN w:val="0"/>
        <w:spacing w:line="360" w:lineRule="auto"/>
        <w:jc w:val="both"/>
        <w:rPr>
          <w:rFonts w:ascii="Garamond" w:hAnsi="Garamond"/>
          <w:color w:val="FF0000"/>
          <w:lang w:val="fr-FR" w:eastAsia="fr-FR"/>
        </w:rPr>
      </w:pPr>
    </w:p>
    <w:p w14:paraId="0CCDBB78" w14:textId="77777777" w:rsidR="0067355C" w:rsidRDefault="0067355C" w:rsidP="007C41F2">
      <w:pPr>
        <w:autoSpaceDN w:val="0"/>
        <w:spacing w:line="360" w:lineRule="auto"/>
        <w:jc w:val="both"/>
        <w:rPr>
          <w:rFonts w:ascii="Garamond" w:hAnsi="Garamond"/>
          <w:color w:val="FF0000"/>
          <w:lang w:val="fr-FR" w:eastAsia="fr-FR"/>
        </w:rPr>
      </w:pPr>
    </w:p>
    <w:p w14:paraId="4B9D9288" w14:textId="77777777" w:rsidR="0067355C" w:rsidRDefault="0067355C" w:rsidP="007C41F2">
      <w:pPr>
        <w:autoSpaceDN w:val="0"/>
        <w:spacing w:line="360" w:lineRule="auto"/>
        <w:jc w:val="both"/>
        <w:rPr>
          <w:rFonts w:ascii="Garamond" w:hAnsi="Garamond"/>
          <w:color w:val="FF0000"/>
          <w:lang w:val="fr-FR" w:eastAsia="fr-FR"/>
        </w:rPr>
      </w:pPr>
    </w:p>
    <w:p w14:paraId="770B3E20" w14:textId="77777777" w:rsidR="0067355C" w:rsidRDefault="0067355C" w:rsidP="007C41F2">
      <w:pPr>
        <w:autoSpaceDN w:val="0"/>
        <w:spacing w:line="360" w:lineRule="auto"/>
        <w:jc w:val="both"/>
        <w:rPr>
          <w:rFonts w:ascii="Garamond" w:hAnsi="Garamond"/>
          <w:color w:val="FF0000"/>
          <w:lang w:val="fr-FR" w:eastAsia="fr-FR"/>
        </w:rPr>
      </w:pPr>
    </w:p>
    <w:p w14:paraId="055B3FD9" w14:textId="77777777" w:rsidR="0067355C" w:rsidRDefault="0067355C" w:rsidP="007C41F2">
      <w:pPr>
        <w:autoSpaceDN w:val="0"/>
        <w:spacing w:line="360" w:lineRule="auto"/>
        <w:jc w:val="both"/>
        <w:rPr>
          <w:rFonts w:ascii="Garamond" w:hAnsi="Garamond"/>
          <w:color w:val="FF0000"/>
          <w:lang w:val="fr-FR" w:eastAsia="fr-FR"/>
        </w:rPr>
      </w:pPr>
    </w:p>
    <w:p w14:paraId="18AD22CE" w14:textId="77777777" w:rsidR="0067355C" w:rsidRDefault="0067355C" w:rsidP="007C41F2">
      <w:pPr>
        <w:autoSpaceDN w:val="0"/>
        <w:spacing w:line="360" w:lineRule="auto"/>
        <w:jc w:val="both"/>
        <w:rPr>
          <w:rFonts w:ascii="Garamond" w:hAnsi="Garamond"/>
          <w:color w:val="FF0000"/>
          <w:lang w:val="fr-FR" w:eastAsia="fr-FR"/>
        </w:rPr>
      </w:pPr>
    </w:p>
    <w:p w14:paraId="451CEA70" w14:textId="77777777" w:rsidR="0067355C" w:rsidRDefault="0067355C" w:rsidP="007C41F2">
      <w:pPr>
        <w:autoSpaceDN w:val="0"/>
        <w:spacing w:line="360" w:lineRule="auto"/>
        <w:jc w:val="both"/>
        <w:rPr>
          <w:rFonts w:ascii="Garamond" w:hAnsi="Garamond"/>
          <w:color w:val="FF0000"/>
          <w:lang w:val="fr-FR" w:eastAsia="fr-FR"/>
        </w:rPr>
      </w:pPr>
    </w:p>
    <w:p w14:paraId="015AADF9" w14:textId="77777777" w:rsidR="0067355C" w:rsidRDefault="0067355C" w:rsidP="007C41F2">
      <w:pPr>
        <w:autoSpaceDN w:val="0"/>
        <w:spacing w:line="360" w:lineRule="auto"/>
        <w:jc w:val="both"/>
        <w:rPr>
          <w:rFonts w:ascii="Garamond" w:hAnsi="Garamond"/>
          <w:color w:val="FF0000"/>
          <w:lang w:val="fr-FR" w:eastAsia="fr-FR"/>
        </w:rPr>
      </w:pPr>
    </w:p>
    <w:p w14:paraId="7359EC14" w14:textId="77777777" w:rsidR="007C41F2" w:rsidRPr="0067355C" w:rsidRDefault="007C41F2" w:rsidP="007C41F2">
      <w:pPr>
        <w:autoSpaceDN w:val="0"/>
        <w:spacing w:line="360" w:lineRule="auto"/>
        <w:jc w:val="both"/>
        <w:rPr>
          <w:rFonts w:ascii="Garamond" w:hAnsi="Garamond"/>
          <w:lang w:val="fr-FR" w:eastAsia="fr-FR"/>
        </w:rPr>
      </w:pPr>
      <w:r w:rsidRPr="0067355C">
        <w:rPr>
          <w:rFonts w:ascii="Garamond" w:hAnsi="Garamond"/>
          <w:lang w:val="fr-FR" w:eastAsia="fr-FR"/>
        </w:rPr>
        <w:t>Tableau 3. Analyses de régression linéaire bootstrapped au sein du groupe TDAH.</w:t>
      </w:r>
    </w:p>
    <w:p w14:paraId="25EBA7DB" w14:textId="77777777" w:rsidR="00640BFD" w:rsidRPr="0067355C" w:rsidRDefault="00640BFD" w:rsidP="00640BFD">
      <w:pPr>
        <w:autoSpaceDN w:val="0"/>
        <w:spacing w:line="360" w:lineRule="auto"/>
        <w:jc w:val="both"/>
        <w:rPr>
          <w:rFonts w:ascii="Garamond" w:hAnsi="Garamond"/>
          <w:lang w:val="fr-FR" w:eastAsia="fr-FR"/>
        </w:rPr>
      </w:pPr>
    </w:p>
    <w:tbl>
      <w:tblPr>
        <w:tblW w:w="9567" w:type="dxa"/>
        <w:tblCellMar>
          <w:left w:w="10" w:type="dxa"/>
          <w:right w:w="10" w:type="dxa"/>
        </w:tblCellMar>
        <w:tblLook w:val="0000" w:firstRow="0" w:lastRow="0" w:firstColumn="0" w:lastColumn="0" w:noHBand="0" w:noVBand="0"/>
      </w:tblPr>
      <w:tblGrid>
        <w:gridCol w:w="3720"/>
        <w:gridCol w:w="1021"/>
        <w:gridCol w:w="1433"/>
        <w:gridCol w:w="643"/>
        <w:gridCol w:w="1375"/>
        <w:gridCol w:w="1375"/>
      </w:tblGrid>
      <w:tr w:rsidR="00D36F5E" w:rsidRPr="0067355C" w14:paraId="5B2E4C03" w14:textId="77777777" w:rsidTr="002A3EA2">
        <w:trPr>
          <w:trHeight w:val="614"/>
        </w:trPr>
        <w:tc>
          <w:tcPr>
            <w:tcW w:w="3788"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3B1ABEEB"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                                                                                                                                                                  </w:t>
            </w:r>
          </w:p>
        </w:tc>
        <w:tc>
          <w:tcPr>
            <w:tcW w:w="1021"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0C1B090E"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  </w:t>
            </w:r>
          </w:p>
          <w:p w14:paraId="04370833"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B</w:t>
            </w:r>
          </w:p>
        </w:tc>
        <w:tc>
          <w:tcPr>
            <w:tcW w:w="1433"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4E424326"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 xml:space="preserve">  (95% CI)  </w:t>
            </w:r>
          </w:p>
        </w:tc>
        <w:tc>
          <w:tcPr>
            <w:tcW w:w="575"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5F16F29A"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 xml:space="preserve"> SE </w:t>
            </w:r>
          </w:p>
        </w:tc>
        <w:tc>
          <w:tcPr>
            <w:tcW w:w="1375"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0E65EA12"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 xml:space="preserve">  β </w:t>
            </w:r>
          </w:p>
        </w:tc>
        <w:tc>
          <w:tcPr>
            <w:tcW w:w="1375"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76D16C22"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cs="Calibri"/>
                <w:lang w:val="fr-FR" w:eastAsia="fr-FR"/>
              </w:rPr>
              <w:t>p</w:t>
            </w:r>
          </w:p>
        </w:tc>
      </w:tr>
      <w:tr w:rsidR="00D36F5E" w:rsidRPr="0067355C" w14:paraId="33F18DD9" w14:textId="77777777" w:rsidTr="002A3EA2">
        <w:trPr>
          <w:trHeight w:val="302"/>
        </w:trPr>
        <w:tc>
          <w:tcPr>
            <w:tcW w:w="3788" w:type="dxa"/>
            <w:shd w:val="clear" w:color="auto" w:fill="auto"/>
            <w:tcMar>
              <w:top w:w="0" w:type="dxa"/>
              <w:left w:w="70" w:type="dxa"/>
              <w:bottom w:w="0" w:type="dxa"/>
              <w:right w:w="70" w:type="dxa"/>
            </w:tcMar>
            <w:vAlign w:val="center"/>
          </w:tcPr>
          <w:p w14:paraId="1A26EC14" w14:textId="5AE22354" w:rsidR="00640BFD" w:rsidRPr="0067355C" w:rsidRDefault="00503B9E" w:rsidP="00C36E80">
            <w:pPr>
              <w:autoSpaceDN w:val="0"/>
              <w:spacing w:line="360" w:lineRule="auto"/>
              <w:jc w:val="both"/>
              <w:rPr>
                <w:rFonts w:ascii="Garamond" w:hAnsi="Garamond"/>
                <w:lang w:val="fr-FR" w:eastAsia="fr-FR"/>
              </w:rPr>
            </w:pPr>
            <w:r w:rsidRPr="0067355C">
              <w:rPr>
                <w:rFonts w:ascii="Garamond" w:hAnsi="Garamond"/>
                <w:lang w:val="fr-FR" w:eastAsia="fr-FR"/>
              </w:rPr>
              <w:t>Attachement Secure</w:t>
            </w:r>
          </w:p>
        </w:tc>
        <w:tc>
          <w:tcPr>
            <w:tcW w:w="1021" w:type="dxa"/>
            <w:shd w:val="clear" w:color="auto" w:fill="auto"/>
            <w:tcMar>
              <w:top w:w="0" w:type="dxa"/>
              <w:left w:w="70" w:type="dxa"/>
              <w:bottom w:w="0" w:type="dxa"/>
              <w:right w:w="70" w:type="dxa"/>
            </w:tcMar>
            <w:vAlign w:val="center"/>
          </w:tcPr>
          <w:p w14:paraId="623B7EB3"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1F788527"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6D98E0C3"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1CF39081"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46FB5B7C"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63236EA5" w14:textId="77777777" w:rsidTr="002A3EA2">
        <w:trPr>
          <w:trHeight w:val="207"/>
        </w:trPr>
        <w:tc>
          <w:tcPr>
            <w:tcW w:w="3788" w:type="dxa"/>
            <w:shd w:val="clear" w:color="auto" w:fill="auto"/>
            <w:tcMar>
              <w:top w:w="0" w:type="dxa"/>
              <w:left w:w="70" w:type="dxa"/>
              <w:bottom w:w="0" w:type="dxa"/>
              <w:right w:w="70" w:type="dxa"/>
            </w:tcMar>
            <w:vAlign w:val="center"/>
          </w:tcPr>
          <w:p w14:paraId="54DB8397"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045415D2" w14:textId="6F28861F" w:rsidR="00640BFD" w:rsidRPr="0067355C" w:rsidRDefault="00FA7305" w:rsidP="001D699F">
            <w:pPr>
              <w:autoSpaceDN w:val="0"/>
              <w:spacing w:line="360" w:lineRule="auto"/>
              <w:jc w:val="both"/>
              <w:rPr>
                <w:rFonts w:ascii="Garamond" w:hAnsi="Garamond"/>
                <w:lang w:val="fr-FR" w:eastAsia="fr-FR"/>
              </w:rPr>
            </w:pPr>
            <w:r>
              <w:rPr>
                <w:rFonts w:ascii="Arial" w:hAnsi="Arial" w:cs="Arial"/>
                <w:color w:val="010205"/>
                <w:sz w:val="18"/>
                <w:szCs w:val="18"/>
              </w:rPr>
              <w:t>-0,042</w:t>
            </w:r>
          </w:p>
        </w:tc>
        <w:tc>
          <w:tcPr>
            <w:tcW w:w="1433" w:type="dxa"/>
            <w:shd w:val="clear" w:color="auto" w:fill="auto"/>
            <w:noWrap/>
            <w:tcMar>
              <w:top w:w="0" w:type="dxa"/>
              <w:left w:w="70" w:type="dxa"/>
              <w:bottom w:w="0" w:type="dxa"/>
              <w:right w:w="70" w:type="dxa"/>
            </w:tcMar>
            <w:vAlign w:val="bottom"/>
          </w:tcPr>
          <w:p w14:paraId="28D5C43A" w14:textId="1A791114" w:rsidR="00640BFD" w:rsidRPr="0067355C" w:rsidRDefault="00640BFD" w:rsidP="00FA7305">
            <w:pPr>
              <w:autoSpaceDN w:val="0"/>
              <w:spacing w:line="360" w:lineRule="auto"/>
              <w:jc w:val="both"/>
              <w:rPr>
                <w:rFonts w:ascii="Garamond" w:hAnsi="Garamond"/>
                <w:lang w:val="fr-FR" w:eastAsia="fr-FR"/>
              </w:rPr>
            </w:pPr>
            <w:r w:rsidRPr="0067355C">
              <w:rPr>
                <w:rFonts w:ascii="Garamond" w:hAnsi="Garamond" w:cs="Calibri"/>
                <w:lang w:val="fr-FR" w:eastAsia="fr-FR"/>
              </w:rPr>
              <w:t>(</w:t>
            </w:r>
            <w:r w:rsidR="00FA7305">
              <w:rPr>
                <w:rFonts w:ascii="Arial" w:hAnsi="Arial" w:cs="Arial"/>
                <w:color w:val="010205"/>
                <w:sz w:val="18"/>
                <w:szCs w:val="18"/>
              </w:rPr>
              <w:t>-0,041</w:t>
            </w:r>
            <w:r w:rsidR="001D699F" w:rsidRPr="0067355C">
              <w:rPr>
                <w:rFonts w:ascii="Garamond" w:hAnsi="Garamond" w:cs="Calibri"/>
                <w:lang w:val="fr-FR" w:eastAsia="fr-FR"/>
              </w:rPr>
              <w:t>;</w:t>
            </w:r>
            <w:r w:rsidR="00FA7305">
              <w:rPr>
                <w:rFonts w:ascii="Arial" w:hAnsi="Arial" w:cs="Arial"/>
                <w:color w:val="010205"/>
                <w:sz w:val="18"/>
                <w:szCs w:val="18"/>
              </w:rPr>
              <w:t xml:space="preserve"> -0,040</w:t>
            </w:r>
            <w:r w:rsidR="001D699F"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BD59B9F" w14:textId="2E3C7610" w:rsidR="00640BFD" w:rsidRPr="0067355C" w:rsidRDefault="00D36F5E" w:rsidP="00D7109A">
            <w:pPr>
              <w:autoSpaceDN w:val="0"/>
              <w:spacing w:line="360" w:lineRule="auto"/>
              <w:jc w:val="both"/>
              <w:rPr>
                <w:rFonts w:ascii="Garamond" w:hAnsi="Garamond"/>
                <w:lang w:val="fr-FR" w:eastAsia="fr-FR"/>
              </w:rPr>
            </w:pPr>
            <w:r>
              <w:rPr>
                <w:rFonts w:ascii="Garamond" w:hAnsi="Garamond" w:cs="Arial"/>
                <w:lang w:val="fr-FR"/>
              </w:rPr>
              <w:t>0</w:t>
            </w:r>
            <w:r w:rsidRPr="00D36F5E">
              <w:rPr>
                <w:rFonts w:ascii="Garamond" w:hAnsi="Garamond" w:cs="Arial"/>
                <w:lang w:val="fr-FR"/>
              </w:rPr>
              <w:t>,120</w:t>
            </w:r>
          </w:p>
        </w:tc>
        <w:tc>
          <w:tcPr>
            <w:tcW w:w="1375" w:type="dxa"/>
            <w:shd w:val="clear" w:color="auto" w:fill="auto"/>
            <w:noWrap/>
            <w:tcMar>
              <w:top w:w="0" w:type="dxa"/>
              <w:left w:w="70" w:type="dxa"/>
              <w:bottom w:w="0" w:type="dxa"/>
              <w:right w:w="70" w:type="dxa"/>
            </w:tcMar>
            <w:vAlign w:val="bottom"/>
          </w:tcPr>
          <w:p w14:paraId="3CBFDF3B" w14:textId="3190E630" w:rsidR="00640BFD" w:rsidRPr="0067355C" w:rsidRDefault="00FA7305" w:rsidP="00D7109A">
            <w:pPr>
              <w:autoSpaceDN w:val="0"/>
              <w:spacing w:line="360" w:lineRule="auto"/>
              <w:jc w:val="both"/>
              <w:rPr>
                <w:rFonts w:ascii="Garamond" w:hAnsi="Garamond"/>
                <w:lang w:val="fr-FR" w:eastAsia="fr-FR"/>
              </w:rPr>
            </w:pPr>
            <w:r w:rsidRPr="00FA7305">
              <w:rPr>
                <w:rFonts w:ascii="Garamond" w:hAnsi="Garamond" w:cs="Arial"/>
                <w:lang w:val="fr-FR"/>
              </w:rPr>
              <w:t>-</w:t>
            </w:r>
            <w:r>
              <w:rPr>
                <w:rFonts w:ascii="Garamond" w:hAnsi="Garamond" w:cs="Arial"/>
                <w:lang w:val="fr-FR"/>
              </w:rPr>
              <w:t>0</w:t>
            </w:r>
            <w:r w:rsidRPr="00FA7305">
              <w:rPr>
                <w:rFonts w:ascii="Garamond" w:hAnsi="Garamond" w:cs="Arial"/>
                <w:lang w:val="fr-FR"/>
              </w:rPr>
              <w:t>,041</w:t>
            </w:r>
          </w:p>
        </w:tc>
        <w:tc>
          <w:tcPr>
            <w:tcW w:w="1375" w:type="dxa"/>
            <w:shd w:val="clear" w:color="auto" w:fill="auto"/>
            <w:noWrap/>
            <w:tcMar>
              <w:top w:w="0" w:type="dxa"/>
              <w:left w:w="70" w:type="dxa"/>
              <w:bottom w:w="0" w:type="dxa"/>
              <w:right w:w="70" w:type="dxa"/>
            </w:tcMar>
            <w:vAlign w:val="bottom"/>
          </w:tcPr>
          <w:p w14:paraId="27E3A451" w14:textId="20CE24F6" w:rsidR="00640BFD" w:rsidRPr="0067355C" w:rsidRDefault="00D36F5E" w:rsidP="00D7109A">
            <w:pPr>
              <w:autoSpaceDN w:val="0"/>
              <w:spacing w:line="360" w:lineRule="auto"/>
              <w:jc w:val="both"/>
              <w:rPr>
                <w:rFonts w:ascii="Garamond" w:hAnsi="Garamond"/>
                <w:lang w:val="fr-FR" w:eastAsia="fr-FR"/>
              </w:rPr>
            </w:pPr>
            <w:r>
              <w:rPr>
                <w:rFonts w:ascii="Arial" w:hAnsi="Arial" w:cs="Arial"/>
                <w:color w:val="010205"/>
                <w:sz w:val="18"/>
                <w:szCs w:val="18"/>
              </w:rPr>
              <w:t>0,725</w:t>
            </w:r>
          </w:p>
        </w:tc>
      </w:tr>
      <w:tr w:rsidR="00D36F5E" w:rsidRPr="0067355C" w14:paraId="05650184" w14:textId="77777777" w:rsidTr="002A3EA2">
        <w:trPr>
          <w:trHeight w:val="358"/>
        </w:trPr>
        <w:tc>
          <w:tcPr>
            <w:tcW w:w="3788" w:type="dxa"/>
            <w:shd w:val="clear" w:color="auto" w:fill="auto"/>
            <w:tcMar>
              <w:top w:w="0" w:type="dxa"/>
              <w:left w:w="70" w:type="dxa"/>
              <w:bottom w:w="0" w:type="dxa"/>
              <w:right w:w="70" w:type="dxa"/>
            </w:tcMar>
            <w:vAlign w:val="center"/>
          </w:tcPr>
          <w:p w14:paraId="6158AB1F"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noWrap/>
            <w:tcMar>
              <w:top w:w="0" w:type="dxa"/>
              <w:left w:w="70" w:type="dxa"/>
              <w:bottom w:w="0" w:type="dxa"/>
              <w:right w:w="70" w:type="dxa"/>
            </w:tcMar>
            <w:vAlign w:val="bottom"/>
          </w:tcPr>
          <w:p w14:paraId="21A9B5C8" w14:textId="242D0616"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0,242</w:t>
            </w:r>
          </w:p>
        </w:tc>
        <w:tc>
          <w:tcPr>
            <w:tcW w:w="1433" w:type="dxa"/>
            <w:shd w:val="clear" w:color="auto" w:fill="auto"/>
            <w:noWrap/>
            <w:tcMar>
              <w:top w:w="0" w:type="dxa"/>
              <w:left w:w="70" w:type="dxa"/>
              <w:bottom w:w="0" w:type="dxa"/>
              <w:right w:w="70" w:type="dxa"/>
            </w:tcMar>
            <w:vAlign w:val="bottom"/>
          </w:tcPr>
          <w:p w14:paraId="06AF7441" w14:textId="6AD57D7C" w:rsidR="00640BFD" w:rsidRPr="0067355C" w:rsidRDefault="00640BFD" w:rsidP="00FA7305">
            <w:pPr>
              <w:autoSpaceDN w:val="0"/>
              <w:spacing w:line="360" w:lineRule="auto"/>
              <w:jc w:val="both"/>
              <w:rPr>
                <w:rFonts w:ascii="Garamond" w:hAnsi="Garamond"/>
                <w:lang w:val="fr-FR" w:eastAsia="fr-FR"/>
              </w:rPr>
            </w:pPr>
            <w:r w:rsidRPr="0067355C">
              <w:rPr>
                <w:rFonts w:ascii="Garamond" w:hAnsi="Garamond" w:cs="Calibri"/>
                <w:lang w:val="fr-FR" w:eastAsia="fr-FR"/>
              </w:rPr>
              <w:t>(</w:t>
            </w:r>
            <w:r w:rsidR="00FA7305">
              <w:rPr>
                <w:rFonts w:ascii="Arial" w:hAnsi="Arial" w:cs="Arial"/>
                <w:color w:val="010205"/>
                <w:sz w:val="18"/>
                <w:szCs w:val="18"/>
              </w:rPr>
              <w:t>0</w:t>
            </w:r>
            <w:r w:rsidR="00F44FAE">
              <w:rPr>
                <w:rFonts w:ascii="Arial" w:hAnsi="Arial" w:cs="Arial"/>
                <w:color w:val="010205"/>
                <w:sz w:val="18"/>
                <w:szCs w:val="18"/>
              </w:rPr>
              <w:t>,141</w:t>
            </w:r>
            <w:r w:rsidR="0097517B" w:rsidRPr="0067355C">
              <w:rPr>
                <w:rFonts w:ascii="Garamond" w:hAnsi="Garamond" w:cs="Calibri"/>
                <w:lang w:val="fr-FR" w:eastAsia="fr-FR"/>
              </w:rPr>
              <w:t>;</w:t>
            </w:r>
            <w:r w:rsidR="00FA7305">
              <w:rPr>
                <w:rFonts w:ascii="Arial" w:hAnsi="Arial" w:cs="Arial"/>
                <w:color w:val="010205"/>
                <w:sz w:val="18"/>
                <w:szCs w:val="18"/>
              </w:rPr>
              <w:t xml:space="preserve"> 0,14</w:t>
            </w:r>
            <w:r w:rsidR="00F44FAE">
              <w:rPr>
                <w:rFonts w:ascii="Arial" w:hAnsi="Arial" w:cs="Arial"/>
                <w:color w:val="010205"/>
                <w:sz w:val="18"/>
                <w:szCs w:val="18"/>
              </w:rPr>
              <w:t>0</w:t>
            </w:r>
            <w:r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140B96BE" w14:textId="608A091F"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,196</w:t>
            </w:r>
          </w:p>
        </w:tc>
        <w:tc>
          <w:tcPr>
            <w:tcW w:w="1375" w:type="dxa"/>
            <w:shd w:val="clear" w:color="auto" w:fill="auto"/>
            <w:noWrap/>
            <w:tcMar>
              <w:top w:w="0" w:type="dxa"/>
              <w:left w:w="70" w:type="dxa"/>
              <w:bottom w:w="0" w:type="dxa"/>
              <w:right w:w="70" w:type="dxa"/>
            </w:tcMar>
            <w:vAlign w:val="bottom"/>
          </w:tcPr>
          <w:p w14:paraId="1BA2A22F" w14:textId="2ACF9EBB"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0,171</w:t>
            </w:r>
          </w:p>
        </w:tc>
        <w:tc>
          <w:tcPr>
            <w:tcW w:w="1375" w:type="dxa"/>
            <w:shd w:val="clear" w:color="auto" w:fill="auto"/>
            <w:noWrap/>
            <w:tcMar>
              <w:top w:w="0" w:type="dxa"/>
              <w:left w:w="70" w:type="dxa"/>
              <w:bottom w:w="0" w:type="dxa"/>
              <w:right w:w="70" w:type="dxa"/>
            </w:tcMar>
            <w:vAlign w:val="bottom"/>
          </w:tcPr>
          <w:p w14:paraId="4934B087" w14:textId="360D2A70"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,221</w:t>
            </w:r>
          </w:p>
        </w:tc>
      </w:tr>
      <w:tr w:rsidR="00D36F5E" w:rsidRPr="0067355C" w14:paraId="68F9EC67" w14:textId="77777777" w:rsidTr="002A3EA2">
        <w:trPr>
          <w:trHeight w:val="289"/>
        </w:trPr>
        <w:tc>
          <w:tcPr>
            <w:tcW w:w="3788" w:type="dxa"/>
            <w:shd w:val="clear" w:color="auto" w:fill="auto"/>
            <w:tcMar>
              <w:top w:w="0" w:type="dxa"/>
              <w:left w:w="70" w:type="dxa"/>
              <w:bottom w:w="0" w:type="dxa"/>
              <w:right w:w="70" w:type="dxa"/>
            </w:tcMar>
            <w:vAlign w:val="center"/>
          </w:tcPr>
          <w:p w14:paraId="0EF7C999"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52FD9F3D" w14:textId="3C712451"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0,273</w:t>
            </w:r>
          </w:p>
        </w:tc>
        <w:tc>
          <w:tcPr>
            <w:tcW w:w="1433" w:type="dxa"/>
            <w:shd w:val="clear" w:color="auto" w:fill="auto"/>
            <w:noWrap/>
            <w:tcMar>
              <w:top w:w="0" w:type="dxa"/>
              <w:left w:w="70" w:type="dxa"/>
              <w:bottom w:w="0" w:type="dxa"/>
              <w:right w:w="70" w:type="dxa"/>
            </w:tcMar>
            <w:vAlign w:val="bottom"/>
          </w:tcPr>
          <w:p w14:paraId="66D2CAE3" w14:textId="3D96130E" w:rsidR="00640BFD" w:rsidRPr="0067355C" w:rsidRDefault="00640BFD" w:rsidP="00F44FAE">
            <w:pPr>
              <w:autoSpaceDN w:val="0"/>
              <w:spacing w:line="360" w:lineRule="auto"/>
              <w:jc w:val="both"/>
              <w:rPr>
                <w:rFonts w:ascii="Garamond" w:hAnsi="Garamond"/>
                <w:lang w:val="fr-FR" w:eastAsia="fr-FR"/>
              </w:rPr>
            </w:pPr>
            <w:r w:rsidRPr="0067355C">
              <w:rPr>
                <w:rFonts w:ascii="Garamond" w:hAnsi="Garamond" w:cs="Calibri"/>
                <w:lang w:val="fr-FR" w:eastAsia="fr-FR"/>
              </w:rPr>
              <w:t>(</w:t>
            </w:r>
            <w:r w:rsidR="006061F7">
              <w:rPr>
                <w:rFonts w:ascii="Garamond" w:hAnsi="Garamond" w:cs="Calibri"/>
                <w:lang w:val="fr-FR" w:eastAsia="fr-FR"/>
              </w:rPr>
              <w:t>0</w:t>
            </w:r>
            <w:r w:rsidR="00F44FAE" w:rsidRPr="00F44FAE">
              <w:rPr>
                <w:rFonts w:ascii="Garamond" w:hAnsi="Garamond" w:cs="Calibri"/>
                <w:lang w:val="fr-FR" w:eastAsia="fr-FR"/>
              </w:rPr>
              <w:t>,075</w:t>
            </w:r>
            <w:r w:rsidR="00F44FAE" w:rsidRPr="0067355C">
              <w:rPr>
                <w:rFonts w:ascii="Garamond" w:hAnsi="Garamond" w:cs="Calibri"/>
                <w:lang w:val="fr-FR" w:eastAsia="fr-FR"/>
              </w:rPr>
              <w:t>;</w:t>
            </w:r>
            <w:r w:rsidR="00F44FAE" w:rsidRPr="00F44FAE">
              <w:rPr>
                <w:rFonts w:ascii="Arial" w:eastAsiaTheme="minorEastAsia" w:hAnsi="Arial" w:cs="Arial"/>
                <w:color w:val="010205"/>
                <w:sz w:val="18"/>
                <w:szCs w:val="18"/>
                <w:lang w:val="fr-FR" w:eastAsia="fr-FR"/>
              </w:rPr>
              <w:t xml:space="preserve"> </w:t>
            </w:r>
            <w:r w:rsidR="006061F7">
              <w:rPr>
                <w:rFonts w:ascii="Arial" w:eastAsiaTheme="minorEastAsia" w:hAnsi="Arial" w:cs="Arial"/>
                <w:color w:val="010205"/>
                <w:sz w:val="18"/>
                <w:szCs w:val="18"/>
                <w:lang w:val="fr-FR" w:eastAsia="fr-FR"/>
              </w:rPr>
              <w:t>0</w:t>
            </w:r>
            <w:r w:rsidR="00F44FAE" w:rsidRPr="00F44FAE">
              <w:rPr>
                <w:rFonts w:ascii="Garamond" w:hAnsi="Garamond" w:cs="Calibri"/>
                <w:lang w:val="fr-FR" w:eastAsia="fr-FR"/>
              </w:rPr>
              <w:t>,074</w:t>
            </w:r>
            <w:r w:rsidR="00F44FAE" w:rsidRPr="0067355C">
              <w:rPr>
                <w:rFonts w:ascii="Garamond" w:hAnsi="Garamond" w:cs="Calibri"/>
                <w:lang w:val="fr-FR" w:eastAsia="fr-FR"/>
              </w:rPr>
              <w:t>)</w:t>
            </w:r>
            <w:r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3FBE5D9A" w14:textId="26BCB095"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,420</w:t>
            </w:r>
          </w:p>
        </w:tc>
        <w:tc>
          <w:tcPr>
            <w:tcW w:w="1375" w:type="dxa"/>
            <w:shd w:val="clear" w:color="auto" w:fill="auto"/>
            <w:noWrap/>
            <w:tcMar>
              <w:top w:w="0" w:type="dxa"/>
              <w:left w:w="70" w:type="dxa"/>
              <w:bottom w:w="0" w:type="dxa"/>
              <w:right w:w="70" w:type="dxa"/>
            </w:tcMar>
            <w:vAlign w:val="bottom"/>
          </w:tcPr>
          <w:p w14:paraId="0519AF72" w14:textId="743D7077"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,074</w:t>
            </w:r>
          </w:p>
        </w:tc>
        <w:tc>
          <w:tcPr>
            <w:tcW w:w="1375" w:type="dxa"/>
            <w:shd w:val="clear" w:color="auto" w:fill="auto"/>
            <w:noWrap/>
            <w:tcMar>
              <w:top w:w="0" w:type="dxa"/>
              <w:left w:w="70" w:type="dxa"/>
              <w:bottom w:w="0" w:type="dxa"/>
              <w:right w:w="70" w:type="dxa"/>
            </w:tcMar>
            <w:vAlign w:val="bottom"/>
          </w:tcPr>
          <w:p w14:paraId="456C5B5E" w14:textId="12BB00D1" w:rsidR="00640BFD" w:rsidRPr="0067355C" w:rsidRDefault="00D36F5E" w:rsidP="00D7109A">
            <w:pPr>
              <w:autoSpaceDN w:val="0"/>
              <w:spacing w:line="360" w:lineRule="auto"/>
              <w:jc w:val="both"/>
              <w:rPr>
                <w:rFonts w:ascii="Garamond" w:hAnsi="Garamond"/>
                <w:lang w:val="fr-FR" w:eastAsia="fr-FR"/>
              </w:rPr>
            </w:pPr>
            <w:r>
              <w:rPr>
                <w:rFonts w:ascii="Arial" w:hAnsi="Arial" w:cs="Arial"/>
                <w:color w:val="010205"/>
                <w:sz w:val="18"/>
                <w:szCs w:val="18"/>
              </w:rPr>
              <w:t>0,518</w:t>
            </w:r>
          </w:p>
        </w:tc>
      </w:tr>
      <w:tr w:rsidR="00D36F5E" w:rsidRPr="0067355C" w14:paraId="3115CEAB" w14:textId="77777777" w:rsidTr="002A3EA2">
        <w:trPr>
          <w:trHeight w:val="289"/>
        </w:trPr>
        <w:tc>
          <w:tcPr>
            <w:tcW w:w="3788" w:type="dxa"/>
            <w:shd w:val="clear" w:color="auto" w:fill="auto"/>
            <w:tcMar>
              <w:top w:w="0" w:type="dxa"/>
              <w:left w:w="70" w:type="dxa"/>
              <w:bottom w:w="0" w:type="dxa"/>
              <w:right w:w="70" w:type="dxa"/>
            </w:tcMar>
            <w:vAlign w:val="center"/>
          </w:tcPr>
          <w:p w14:paraId="115FFBAE"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parentale   </w:t>
            </w:r>
          </w:p>
        </w:tc>
        <w:tc>
          <w:tcPr>
            <w:tcW w:w="1021" w:type="dxa"/>
            <w:shd w:val="clear" w:color="auto" w:fill="auto"/>
            <w:tcMar>
              <w:top w:w="0" w:type="dxa"/>
              <w:left w:w="70" w:type="dxa"/>
              <w:bottom w:w="0" w:type="dxa"/>
              <w:right w:w="70" w:type="dxa"/>
            </w:tcMar>
            <w:vAlign w:val="center"/>
          </w:tcPr>
          <w:p w14:paraId="2A46F850" w14:textId="7FE0A217" w:rsidR="00640BFD" w:rsidRPr="0067355C" w:rsidRDefault="00FA7305" w:rsidP="00D7109A">
            <w:pPr>
              <w:autoSpaceDN w:val="0"/>
              <w:spacing w:line="360" w:lineRule="auto"/>
              <w:jc w:val="both"/>
              <w:rPr>
                <w:rFonts w:ascii="Garamond" w:hAnsi="Garamond"/>
                <w:lang w:val="fr-FR" w:eastAsia="fr-FR"/>
              </w:rPr>
            </w:pPr>
            <w:r>
              <w:rPr>
                <w:rFonts w:ascii="Arial" w:hAnsi="Arial" w:cs="Arial"/>
                <w:color w:val="010205"/>
                <w:sz w:val="18"/>
                <w:szCs w:val="18"/>
              </w:rPr>
              <w:t>-0,010</w:t>
            </w:r>
          </w:p>
        </w:tc>
        <w:tc>
          <w:tcPr>
            <w:tcW w:w="1433" w:type="dxa"/>
            <w:shd w:val="clear" w:color="auto" w:fill="auto"/>
            <w:noWrap/>
            <w:tcMar>
              <w:top w:w="0" w:type="dxa"/>
              <w:left w:w="70" w:type="dxa"/>
              <w:bottom w:w="0" w:type="dxa"/>
              <w:right w:w="70" w:type="dxa"/>
            </w:tcMar>
            <w:vAlign w:val="bottom"/>
          </w:tcPr>
          <w:p w14:paraId="7FB0CE14" w14:textId="5C91647E" w:rsidR="00640BFD" w:rsidRPr="0067355C" w:rsidRDefault="00640BFD" w:rsidP="00F44FAE">
            <w:pPr>
              <w:autoSpaceDN w:val="0"/>
              <w:spacing w:line="360" w:lineRule="auto"/>
              <w:jc w:val="both"/>
              <w:rPr>
                <w:rFonts w:ascii="Garamond" w:hAnsi="Garamond"/>
                <w:lang w:val="fr-FR" w:eastAsia="fr-FR"/>
              </w:rPr>
            </w:pPr>
            <w:r w:rsidRPr="0067355C">
              <w:rPr>
                <w:rFonts w:ascii="Garamond" w:hAnsi="Garamond" w:cs="Calibri"/>
                <w:lang w:val="fr-FR" w:eastAsia="fr-FR"/>
              </w:rPr>
              <w:t>(</w:t>
            </w:r>
            <w:r w:rsidR="00F44FAE" w:rsidRPr="00F44FAE">
              <w:rPr>
                <w:rFonts w:ascii="Garamond" w:hAnsi="Garamond" w:cs="Calibri"/>
                <w:lang w:val="fr-FR" w:eastAsia="fr-FR"/>
              </w:rPr>
              <w:t>-</w:t>
            </w:r>
            <w:r w:rsidR="006061F7">
              <w:rPr>
                <w:rFonts w:ascii="Garamond" w:hAnsi="Garamond" w:cs="Calibri"/>
                <w:lang w:val="fr-FR" w:eastAsia="fr-FR"/>
              </w:rPr>
              <w:t>0</w:t>
            </w:r>
            <w:r w:rsidR="00F44FAE" w:rsidRPr="00F44FAE">
              <w:rPr>
                <w:rFonts w:ascii="Garamond" w:hAnsi="Garamond" w:cs="Calibri"/>
                <w:lang w:val="fr-FR" w:eastAsia="fr-FR"/>
              </w:rPr>
              <w:t>,070</w:t>
            </w:r>
            <w:r w:rsidRPr="0067355C">
              <w:rPr>
                <w:rFonts w:ascii="Garamond" w:hAnsi="Garamond" w:cs="Calibri"/>
                <w:lang w:val="fr-FR" w:eastAsia="fr-FR"/>
              </w:rPr>
              <w:t>;</w:t>
            </w:r>
            <w:r w:rsidR="00B6475A" w:rsidRPr="0067355C">
              <w:rPr>
                <w:rFonts w:ascii="Arial" w:hAnsi="Arial" w:cs="Arial"/>
                <w:sz w:val="18"/>
                <w:szCs w:val="18"/>
              </w:rPr>
              <w:t>-</w:t>
            </w:r>
            <w:r w:rsidR="006061F7">
              <w:rPr>
                <w:rFonts w:ascii="Arial" w:hAnsi="Arial" w:cs="Arial"/>
                <w:sz w:val="18"/>
                <w:szCs w:val="18"/>
                <w:lang w:val="fr-FR"/>
              </w:rPr>
              <w:t>0</w:t>
            </w:r>
            <w:r w:rsidR="00F44FAE" w:rsidRPr="00F44FAE">
              <w:rPr>
                <w:rFonts w:ascii="Arial" w:hAnsi="Arial" w:cs="Arial"/>
                <w:sz w:val="18"/>
                <w:szCs w:val="18"/>
                <w:lang w:val="fr-FR"/>
              </w:rPr>
              <w:t>,069</w:t>
            </w:r>
            <w:r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3CDEDE3C" w14:textId="74B579EF" w:rsidR="00640BFD" w:rsidRPr="0067355C" w:rsidRDefault="00D36F5E" w:rsidP="00D36F5E">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,016</w:t>
            </w:r>
          </w:p>
        </w:tc>
        <w:tc>
          <w:tcPr>
            <w:tcW w:w="1375" w:type="dxa"/>
            <w:shd w:val="clear" w:color="auto" w:fill="auto"/>
            <w:noWrap/>
            <w:tcMar>
              <w:top w:w="0" w:type="dxa"/>
              <w:left w:w="70" w:type="dxa"/>
              <w:bottom w:w="0" w:type="dxa"/>
              <w:right w:w="70" w:type="dxa"/>
            </w:tcMar>
            <w:vAlign w:val="bottom"/>
          </w:tcPr>
          <w:p w14:paraId="4D007F22" w14:textId="0DD3C9FD" w:rsidR="00640BFD" w:rsidRPr="0067355C" w:rsidRDefault="00D36F5E" w:rsidP="00D7109A">
            <w:pPr>
              <w:autoSpaceDN w:val="0"/>
              <w:spacing w:line="360" w:lineRule="auto"/>
              <w:jc w:val="both"/>
              <w:rPr>
                <w:rFonts w:ascii="Garamond" w:hAnsi="Garamond"/>
                <w:lang w:val="fr-FR" w:eastAsia="fr-FR"/>
              </w:rPr>
            </w:pPr>
            <w:r w:rsidRPr="00D36F5E">
              <w:rPr>
                <w:rFonts w:ascii="Arial" w:hAnsi="Arial" w:cs="Arial"/>
                <w:sz w:val="18"/>
                <w:szCs w:val="18"/>
                <w:lang w:val="fr-FR"/>
              </w:rPr>
              <w:t>-</w:t>
            </w:r>
            <w:r>
              <w:rPr>
                <w:rFonts w:ascii="Arial" w:hAnsi="Arial" w:cs="Arial"/>
                <w:sz w:val="18"/>
                <w:szCs w:val="18"/>
                <w:lang w:val="fr-FR"/>
              </w:rPr>
              <w:t>0</w:t>
            </w:r>
            <w:r w:rsidRPr="00D36F5E">
              <w:rPr>
                <w:rFonts w:ascii="Arial" w:hAnsi="Arial" w:cs="Arial"/>
                <w:sz w:val="18"/>
                <w:szCs w:val="18"/>
                <w:lang w:val="fr-FR"/>
              </w:rPr>
              <w:t>,083</w:t>
            </w:r>
          </w:p>
        </w:tc>
        <w:tc>
          <w:tcPr>
            <w:tcW w:w="1375" w:type="dxa"/>
            <w:shd w:val="clear" w:color="auto" w:fill="auto"/>
            <w:noWrap/>
            <w:tcMar>
              <w:top w:w="0" w:type="dxa"/>
              <w:left w:w="70" w:type="dxa"/>
              <w:bottom w:w="0" w:type="dxa"/>
              <w:right w:w="70" w:type="dxa"/>
            </w:tcMar>
            <w:vAlign w:val="bottom"/>
          </w:tcPr>
          <w:p w14:paraId="271A254D" w14:textId="2B1B02DB" w:rsidR="00640BFD" w:rsidRPr="0067355C" w:rsidRDefault="00D36F5E" w:rsidP="00D7109A">
            <w:pPr>
              <w:autoSpaceDN w:val="0"/>
              <w:spacing w:line="360" w:lineRule="auto"/>
              <w:jc w:val="both"/>
              <w:rPr>
                <w:rFonts w:ascii="Garamond" w:hAnsi="Garamond"/>
                <w:lang w:val="fr-FR" w:eastAsia="fr-FR"/>
              </w:rPr>
            </w:pPr>
            <w:r>
              <w:rPr>
                <w:rFonts w:ascii="Arial" w:hAnsi="Arial" w:cs="Arial"/>
                <w:sz w:val="18"/>
                <w:szCs w:val="18"/>
                <w:lang w:val="fr-FR"/>
              </w:rPr>
              <w:t>0</w:t>
            </w:r>
            <w:r w:rsidRPr="00D36F5E">
              <w:rPr>
                <w:rFonts w:ascii="Arial" w:hAnsi="Arial" w:cs="Arial"/>
                <w:sz w:val="18"/>
                <w:szCs w:val="18"/>
                <w:lang w:val="fr-FR"/>
              </w:rPr>
              <w:t>,544</w:t>
            </w:r>
          </w:p>
        </w:tc>
      </w:tr>
      <w:tr w:rsidR="00D36F5E" w:rsidRPr="0067355C" w14:paraId="08D26B36" w14:textId="77777777" w:rsidTr="002A3EA2">
        <w:trPr>
          <w:trHeight w:val="276"/>
        </w:trPr>
        <w:tc>
          <w:tcPr>
            <w:tcW w:w="3788" w:type="dxa"/>
            <w:shd w:val="clear" w:color="auto" w:fill="auto"/>
            <w:tcMar>
              <w:top w:w="0" w:type="dxa"/>
              <w:left w:w="70" w:type="dxa"/>
              <w:bottom w:w="0" w:type="dxa"/>
              <w:right w:w="70" w:type="dxa"/>
            </w:tcMar>
            <w:vAlign w:val="center"/>
          </w:tcPr>
          <w:p w14:paraId="2CA64BD7" w14:textId="24DE955B" w:rsidR="00C36E80"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Attachement évitant </w:t>
            </w:r>
          </w:p>
        </w:tc>
        <w:tc>
          <w:tcPr>
            <w:tcW w:w="1021" w:type="dxa"/>
            <w:shd w:val="clear" w:color="auto" w:fill="auto"/>
            <w:noWrap/>
            <w:tcMar>
              <w:top w:w="0" w:type="dxa"/>
              <w:left w:w="70" w:type="dxa"/>
              <w:bottom w:w="0" w:type="dxa"/>
              <w:right w:w="70" w:type="dxa"/>
            </w:tcMar>
            <w:vAlign w:val="bottom"/>
          </w:tcPr>
          <w:p w14:paraId="02B84928"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72DB3308"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5E41C041"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1B79623F"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1ABABC31"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7CE9ECC6" w14:textId="77777777" w:rsidTr="002A3EA2">
        <w:trPr>
          <w:trHeight w:val="276"/>
        </w:trPr>
        <w:tc>
          <w:tcPr>
            <w:tcW w:w="3788" w:type="dxa"/>
            <w:shd w:val="clear" w:color="auto" w:fill="auto"/>
            <w:tcMar>
              <w:top w:w="0" w:type="dxa"/>
              <w:left w:w="70" w:type="dxa"/>
              <w:bottom w:w="0" w:type="dxa"/>
              <w:right w:w="70" w:type="dxa"/>
            </w:tcMar>
            <w:vAlign w:val="center"/>
          </w:tcPr>
          <w:p w14:paraId="0B67AE11"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238D858A" w14:textId="3504542D"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0,013</w:t>
            </w:r>
          </w:p>
        </w:tc>
        <w:tc>
          <w:tcPr>
            <w:tcW w:w="1433" w:type="dxa"/>
            <w:shd w:val="clear" w:color="auto" w:fill="auto"/>
            <w:noWrap/>
            <w:tcMar>
              <w:top w:w="0" w:type="dxa"/>
              <w:left w:w="70" w:type="dxa"/>
              <w:bottom w:w="0" w:type="dxa"/>
              <w:right w:w="70" w:type="dxa"/>
            </w:tcMar>
            <w:vAlign w:val="bottom"/>
          </w:tcPr>
          <w:p w14:paraId="0748BDED" w14:textId="665D8870" w:rsidR="00640BFD" w:rsidRPr="0067355C" w:rsidRDefault="00640BFD" w:rsidP="006F7C02">
            <w:pPr>
              <w:autoSpaceDN w:val="0"/>
              <w:spacing w:line="360" w:lineRule="auto"/>
              <w:jc w:val="both"/>
              <w:rPr>
                <w:rFonts w:ascii="Garamond" w:hAnsi="Garamond"/>
                <w:lang w:val="fr-FR" w:eastAsia="fr-FR"/>
              </w:rPr>
            </w:pPr>
            <w:r w:rsidRPr="0067355C">
              <w:rPr>
                <w:rFonts w:ascii="Garamond" w:hAnsi="Garamond" w:cs="Calibri"/>
                <w:lang w:val="fr-FR" w:eastAsia="fr-FR"/>
              </w:rPr>
              <w:t>(</w:t>
            </w:r>
            <w:r w:rsidR="006F7C02" w:rsidRPr="006F7C02">
              <w:rPr>
                <w:rFonts w:ascii="Garamond" w:hAnsi="Garamond" w:cs="Calibri"/>
                <w:lang w:val="fr-FR" w:eastAsia="fr-FR"/>
              </w:rPr>
              <w:t>,036</w:t>
            </w:r>
            <w:r w:rsidR="00267436">
              <w:rPr>
                <w:rFonts w:ascii="Garamond" w:hAnsi="Garamond" w:cs="Calibri"/>
                <w:lang w:val="fr-FR" w:eastAsia="fr-FR"/>
              </w:rPr>
              <w:t>; 0,024</w:t>
            </w:r>
            <w:r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0CAAE8D2" w14:textId="1CCA3CE9"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0,062</w:t>
            </w:r>
          </w:p>
        </w:tc>
        <w:tc>
          <w:tcPr>
            <w:tcW w:w="1375" w:type="dxa"/>
            <w:shd w:val="clear" w:color="auto" w:fill="auto"/>
            <w:noWrap/>
            <w:tcMar>
              <w:top w:w="0" w:type="dxa"/>
              <w:left w:w="70" w:type="dxa"/>
              <w:bottom w:w="0" w:type="dxa"/>
              <w:right w:w="70" w:type="dxa"/>
            </w:tcMar>
            <w:vAlign w:val="bottom"/>
          </w:tcPr>
          <w:p w14:paraId="13B26ADA" w14:textId="6043B1F8"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0,024</w:t>
            </w:r>
          </w:p>
        </w:tc>
        <w:tc>
          <w:tcPr>
            <w:tcW w:w="1375" w:type="dxa"/>
            <w:shd w:val="clear" w:color="auto" w:fill="auto"/>
            <w:noWrap/>
            <w:tcMar>
              <w:top w:w="0" w:type="dxa"/>
              <w:left w:w="70" w:type="dxa"/>
              <w:bottom w:w="0" w:type="dxa"/>
              <w:right w:w="70" w:type="dxa"/>
            </w:tcMar>
            <w:vAlign w:val="bottom"/>
          </w:tcPr>
          <w:p w14:paraId="3EB9E744" w14:textId="5CB7B219"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0,831</w:t>
            </w:r>
          </w:p>
        </w:tc>
      </w:tr>
      <w:tr w:rsidR="00D36F5E" w:rsidRPr="0067355C" w14:paraId="3CE9DBC1" w14:textId="77777777" w:rsidTr="002A3EA2">
        <w:trPr>
          <w:trHeight w:val="276"/>
        </w:trPr>
        <w:tc>
          <w:tcPr>
            <w:tcW w:w="3788" w:type="dxa"/>
            <w:shd w:val="clear" w:color="auto" w:fill="auto"/>
            <w:tcMar>
              <w:top w:w="0" w:type="dxa"/>
              <w:left w:w="70" w:type="dxa"/>
              <w:bottom w:w="0" w:type="dxa"/>
              <w:right w:w="70" w:type="dxa"/>
            </w:tcMar>
            <w:vAlign w:val="center"/>
          </w:tcPr>
          <w:p w14:paraId="352D564D"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tcMar>
              <w:top w:w="0" w:type="dxa"/>
              <w:left w:w="70" w:type="dxa"/>
              <w:bottom w:w="0" w:type="dxa"/>
              <w:right w:w="70" w:type="dxa"/>
            </w:tcMar>
            <w:vAlign w:val="center"/>
          </w:tcPr>
          <w:p w14:paraId="275490E1" w14:textId="021E112D"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0,079</w:t>
            </w:r>
          </w:p>
        </w:tc>
        <w:tc>
          <w:tcPr>
            <w:tcW w:w="1433" w:type="dxa"/>
            <w:shd w:val="clear" w:color="auto" w:fill="auto"/>
            <w:noWrap/>
            <w:tcMar>
              <w:top w:w="0" w:type="dxa"/>
              <w:left w:w="70" w:type="dxa"/>
              <w:bottom w:w="0" w:type="dxa"/>
              <w:right w:w="70" w:type="dxa"/>
            </w:tcMar>
            <w:vAlign w:val="bottom"/>
          </w:tcPr>
          <w:p w14:paraId="7246D776" w14:textId="092A0322" w:rsidR="00640BFD" w:rsidRPr="0067355C" w:rsidRDefault="00D01CED" w:rsidP="006F7C02">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640BFD" w:rsidRPr="0067355C">
              <w:rPr>
                <w:rFonts w:ascii="Garamond" w:hAnsi="Garamond" w:cs="Calibri"/>
                <w:lang w:val="fr-FR" w:eastAsia="fr-FR"/>
              </w:rPr>
              <w:t>(</w:t>
            </w:r>
            <w:r w:rsidR="006F7C02" w:rsidRPr="006F7C02">
              <w:rPr>
                <w:rFonts w:ascii="Garamond" w:hAnsi="Garamond" w:cs="Calibri"/>
                <w:lang w:val="fr-FR" w:eastAsia="fr-FR"/>
              </w:rPr>
              <w:t>-</w:t>
            </w:r>
            <w:r w:rsidR="006F7C02">
              <w:rPr>
                <w:rFonts w:ascii="Garamond" w:hAnsi="Garamond" w:cs="Calibri"/>
                <w:lang w:val="fr-FR" w:eastAsia="fr-FR"/>
              </w:rPr>
              <w:t>0</w:t>
            </w:r>
            <w:r w:rsidR="006F7C02" w:rsidRPr="006F7C02">
              <w:rPr>
                <w:rFonts w:ascii="Garamond" w:hAnsi="Garamond" w:cs="Calibri"/>
                <w:lang w:val="fr-FR" w:eastAsia="fr-FR"/>
              </w:rPr>
              <w:t>,</w:t>
            </w:r>
            <w:r w:rsidR="006F7C02">
              <w:rPr>
                <w:rFonts w:ascii="Garamond" w:hAnsi="Garamond" w:cs="Calibri"/>
                <w:lang w:val="fr-FR" w:eastAsia="fr-FR"/>
              </w:rPr>
              <w:t>08</w:t>
            </w:r>
            <w:r w:rsidR="00640BFD" w:rsidRPr="0067355C">
              <w:rPr>
                <w:rFonts w:ascii="Garamond" w:hAnsi="Garamond" w:cs="Calibri"/>
                <w:lang w:val="fr-FR" w:eastAsia="fr-FR"/>
              </w:rPr>
              <w:t>;</w:t>
            </w:r>
            <w:r w:rsidR="00267436" w:rsidRPr="00267436">
              <w:rPr>
                <w:rFonts w:ascii="Arial" w:eastAsiaTheme="minorEastAsia" w:hAnsi="Arial" w:cs="Arial"/>
                <w:color w:val="010205"/>
                <w:sz w:val="18"/>
                <w:szCs w:val="18"/>
                <w:lang w:val="fr-FR" w:eastAsia="fr-FR"/>
              </w:rPr>
              <w:t xml:space="preserve"> </w:t>
            </w:r>
            <w:r w:rsidR="006F7C02">
              <w:rPr>
                <w:rFonts w:ascii="Garamond" w:hAnsi="Garamond" w:cs="Calibri"/>
                <w:lang w:val="fr-FR" w:eastAsia="fr-FR"/>
              </w:rPr>
              <w:t>,091</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2C4ADE6" w14:textId="158F79A2"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0,101</w:t>
            </w:r>
          </w:p>
        </w:tc>
        <w:tc>
          <w:tcPr>
            <w:tcW w:w="1375" w:type="dxa"/>
            <w:shd w:val="clear" w:color="auto" w:fill="auto"/>
            <w:noWrap/>
            <w:tcMar>
              <w:top w:w="0" w:type="dxa"/>
              <w:left w:w="70" w:type="dxa"/>
              <w:bottom w:w="0" w:type="dxa"/>
              <w:right w:w="70" w:type="dxa"/>
            </w:tcMar>
            <w:vAlign w:val="bottom"/>
          </w:tcPr>
          <w:p w14:paraId="6E5016E9" w14:textId="3E0017C5"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0,107</w:t>
            </w:r>
          </w:p>
        </w:tc>
        <w:tc>
          <w:tcPr>
            <w:tcW w:w="1375" w:type="dxa"/>
            <w:shd w:val="clear" w:color="auto" w:fill="auto"/>
            <w:noWrap/>
            <w:tcMar>
              <w:top w:w="0" w:type="dxa"/>
              <w:left w:w="70" w:type="dxa"/>
              <w:bottom w:w="0" w:type="dxa"/>
              <w:right w:w="70" w:type="dxa"/>
            </w:tcMar>
            <w:vAlign w:val="bottom"/>
          </w:tcPr>
          <w:p w14:paraId="118BD7FE" w14:textId="0E38611F"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0,432</w:t>
            </w:r>
          </w:p>
        </w:tc>
      </w:tr>
      <w:tr w:rsidR="00D36F5E" w:rsidRPr="0067355C" w14:paraId="3BB4362B" w14:textId="77777777" w:rsidTr="002A3EA2">
        <w:trPr>
          <w:trHeight w:val="371"/>
        </w:trPr>
        <w:tc>
          <w:tcPr>
            <w:tcW w:w="3788" w:type="dxa"/>
            <w:shd w:val="clear" w:color="auto" w:fill="auto"/>
            <w:tcMar>
              <w:top w:w="0" w:type="dxa"/>
              <w:left w:w="70" w:type="dxa"/>
              <w:bottom w:w="0" w:type="dxa"/>
              <w:right w:w="70" w:type="dxa"/>
            </w:tcMar>
            <w:vAlign w:val="center"/>
          </w:tcPr>
          <w:p w14:paraId="72A04298"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51180D50" w14:textId="5685A21F"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0,162</w:t>
            </w:r>
          </w:p>
        </w:tc>
        <w:tc>
          <w:tcPr>
            <w:tcW w:w="1433" w:type="dxa"/>
            <w:shd w:val="clear" w:color="auto" w:fill="auto"/>
            <w:noWrap/>
            <w:tcMar>
              <w:top w:w="0" w:type="dxa"/>
              <w:left w:w="70" w:type="dxa"/>
              <w:bottom w:w="0" w:type="dxa"/>
              <w:right w:w="70" w:type="dxa"/>
            </w:tcMar>
            <w:vAlign w:val="bottom"/>
          </w:tcPr>
          <w:p w14:paraId="22C3A290" w14:textId="4E7BE12E" w:rsidR="00640BFD" w:rsidRPr="0067355C" w:rsidRDefault="006F7C02" w:rsidP="006F7C02">
            <w:pPr>
              <w:autoSpaceDN w:val="0"/>
              <w:spacing w:line="360" w:lineRule="auto"/>
              <w:jc w:val="both"/>
              <w:rPr>
                <w:rFonts w:ascii="Garamond" w:hAnsi="Garamond"/>
                <w:lang w:val="fr-FR" w:eastAsia="fr-FR"/>
              </w:rPr>
            </w:pPr>
            <w:r>
              <w:rPr>
                <w:rFonts w:ascii="Garamond" w:hAnsi="Garamond" w:cs="Calibri"/>
                <w:lang w:val="fr-FR" w:eastAsia="fr-FR"/>
              </w:rPr>
              <w:t>(0</w:t>
            </w:r>
            <w:r w:rsidRPr="006F7C02">
              <w:rPr>
                <w:rFonts w:ascii="Garamond" w:hAnsi="Garamond" w:cs="Calibri"/>
                <w:lang w:val="fr-FR" w:eastAsia="fr-FR"/>
              </w:rPr>
              <w:t>,097</w:t>
            </w:r>
            <w:r w:rsidRPr="0067355C">
              <w:rPr>
                <w:rFonts w:ascii="Garamond" w:hAnsi="Garamond" w:cs="Calibri"/>
                <w:lang w:val="fr-FR" w:eastAsia="fr-FR"/>
              </w:rPr>
              <w:t>;</w:t>
            </w:r>
            <w:r>
              <w:rPr>
                <w:rFonts w:ascii="Garamond" w:hAnsi="Garamond" w:cs="Calibri"/>
                <w:lang w:val="fr-FR" w:eastAsia="fr-FR"/>
              </w:rPr>
              <w:t xml:space="preserve"> 0,087</w:t>
            </w:r>
            <w:r w:rsidR="00640BFD"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46402263" w14:textId="3C39FE2A"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0,215</w:t>
            </w:r>
          </w:p>
        </w:tc>
        <w:tc>
          <w:tcPr>
            <w:tcW w:w="1375" w:type="dxa"/>
            <w:shd w:val="clear" w:color="auto" w:fill="auto"/>
            <w:noWrap/>
            <w:tcMar>
              <w:top w:w="0" w:type="dxa"/>
              <w:left w:w="70" w:type="dxa"/>
              <w:bottom w:w="0" w:type="dxa"/>
              <w:right w:w="70" w:type="dxa"/>
            </w:tcMar>
            <w:vAlign w:val="bottom"/>
          </w:tcPr>
          <w:p w14:paraId="25741306" w14:textId="249CBEFA"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0,084</w:t>
            </w:r>
          </w:p>
        </w:tc>
        <w:tc>
          <w:tcPr>
            <w:tcW w:w="1375" w:type="dxa"/>
            <w:shd w:val="clear" w:color="auto" w:fill="auto"/>
            <w:noWrap/>
            <w:tcMar>
              <w:top w:w="0" w:type="dxa"/>
              <w:left w:w="70" w:type="dxa"/>
              <w:bottom w:w="0" w:type="dxa"/>
              <w:right w:w="70" w:type="dxa"/>
            </w:tcMar>
            <w:vAlign w:val="bottom"/>
          </w:tcPr>
          <w:p w14:paraId="710A8599" w14:textId="23F2954A"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0,453</w:t>
            </w:r>
          </w:p>
        </w:tc>
      </w:tr>
      <w:tr w:rsidR="00D36F5E" w:rsidRPr="0067355C" w14:paraId="476BBB5C" w14:textId="77777777" w:rsidTr="002A3EA2">
        <w:trPr>
          <w:trHeight w:val="344"/>
        </w:trPr>
        <w:tc>
          <w:tcPr>
            <w:tcW w:w="3788" w:type="dxa"/>
            <w:shd w:val="clear" w:color="auto" w:fill="auto"/>
            <w:tcMar>
              <w:top w:w="0" w:type="dxa"/>
              <w:left w:w="70" w:type="dxa"/>
              <w:bottom w:w="0" w:type="dxa"/>
              <w:right w:w="70" w:type="dxa"/>
            </w:tcMar>
            <w:vAlign w:val="center"/>
          </w:tcPr>
          <w:p w14:paraId="06F69A86"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parentale    </w:t>
            </w:r>
          </w:p>
        </w:tc>
        <w:tc>
          <w:tcPr>
            <w:tcW w:w="1021" w:type="dxa"/>
            <w:shd w:val="clear" w:color="auto" w:fill="auto"/>
            <w:tcMar>
              <w:top w:w="0" w:type="dxa"/>
              <w:left w:w="70" w:type="dxa"/>
              <w:bottom w:w="0" w:type="dxa"/>
              <w:right w:w="70" w:type="dxa"/>
            </w:tcMar>
            <w:vAlign w:val="center"/>
          </w:tcPr>
          <w:p w14:paraId="3D92A866" w14:textId="5FA950A2"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-0,019</w:t>
            </w:r>
          </w:p>
        </w:tc>
        <w:tc>
          <w:tcPr>
            <w:tcW w:w="1433" w:type="dxa"/>
            <w:shd w:val="clear" w:color="auto" w:fill="auto"/>
            <w:noWrap/>
            <w:tcMar>
              <w:top w:w="0" w:type="dxa"/>
              <w:left w:w="70" w:type="dxa"/>
              <w:bottom w:w="0" w:type="dxa"/>
              <w:right w:w="70" w:type="dxa"/>
            </w:tcMar>
            <w:vAlign w:val="bottom"/>
          </w:tcPr>
          <w:p w14:paraId="3E5320DB" w14:textId="6A4E381A" w:rsidR="00640BFD" w:rsidRPr="0067355C" w:rsidRDefault="00640BFD" w:rsidP="006F7C02">
            <w:pPr>
              <w:autoSpaceDN w:val="0"/>
              <w:spacing w:line="360" w:lineRule="auto"/>
              <w:jc w:val="both"/>
              <w:rPr>
                <w:rFonts w:ascii="Garamond" w:hAnsi="Garamond"/>
                <w:lang w:val="fr-FR" w:eastAsia="fr-FR"/>
              </w:rPr>
            </w:pPr>
            <w:r w:rsidRPr="0067355C">
              <w:rPr>
                <w:rFonts w:ascii="Garamond" w:hAnsi="Garamond" w:cs="Calibri"/>
                <w:lang w:val="fr-FR" w:eastAsia="fr-FR"/>
              </w:rPr>
              <w:t>(</w:t>
            </w:r>
            <w:r w:rsidR="006F7C02" w:rsidRPr="006F7C02">
              <w:rPr>
                <w:rFonts w:ascii="Garamond" w:hAnsi="Garamond" w:cs="Calibri"/>
                <w:lang w:val="fr-FR" w:eastAsia="fr-FR"/>
              </w:rPr>
              <w:t>-,252</w:t>
            </w:r>
            <w:r w:rsidR="006F7C02">
              <w:rPr>
                <w:rFonts w:ascii="Garamond" w:hAnsi="Garamond" w:cs="Calibri"/>
                <w:lang w:val="fr-FR" w:eastAsia="fr-FR"/>
              </w:rPr>
              <w:t>;-0,</w:t>
            </w:r>
            <w:r w:rsidRPr="0067355C">
              <w:rPr>
                <w:rFonts w:ascii="Garamond" w:hAnsi="Garamond" w:cs="Calibri"/>
                <w:lang w:val="fr-FR" w:eastAsia="fr-FR"/>
              </w:rPr>
              <w:t>2</w:t>
            </w:r>
            <w:r w:rsidR="006F7C02">
              <w:rPr>
                <w:rFonts w:ascii="Garamond" w:hAnsi="Garamond" w:cs="Calibri"/>
                <w:lang w:val="fr-FR" w:eastAsia="fr-FR"/>
              </w:rPr>
              <w:t>59</w:t>
            </w:r>
            <w:r w:rsidRPr="0067355C">
              <w:rPr>
                <w:rFonts w:ascii="Garamond" w:hAnsi="Garamond" w:cs="Calibri"/>
                <w:lang w:val="fr-FR" w:eastAsia="fr-FR"/>
              </w:rPr>
              <w:t xml:space="preserve">)  </w:t>
            </w:r>
          </w:p>
        </w:tc>
        <w:tc>
          <w:tcPr>
            <w:tcW w:w="575" w:type="dxa"/>
            <w:shd w:val="clear" w:color="auto" w:fill="auto"/>
            <w:noWrap/>
            <w:tcMar>
              <w:top w:w="0" w:type="dxa"/>
              <w:left w:w="70" w:type="dxa"/>
              <w:bottom w:w="0" w:type="dxa"/>
              <w:right w:w="70" w:type="dxa"/>
            </w:tcMar>
            <w:vAlign w:val="bottom"/>
          </w:tcPr>
          <w:p w14:paraId="16203632" w14:textId="17D86195"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0,008</w:t>
            </w:r>
          </w:p>
        </w:tc>
        <w:tc>
          <w:tcPr>
            <w:tcW w:w="1375" w:type="dxa"/>
            <w:shd w:val="clear" w:color="auto" w:fill="auto"/>
            <w:noWrap/>
            <w:tcMar>
              <w:top w:w="0" w:type="dxa"/>
              <w:left w:w="70" w:type="dxa"/>
              <w:bottom w:w="0" w:type="dxa"/>
              <w:right w:w="70" w:type="dxa"/>
            </w:tcMar>
            <w:vAlign w:val="bottom"/>
          </w:tcPr>
          <w:p w14:paraId="6CCBDE53" w14:textId="2C575191"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-0,309</w:t>
            </w:r>
          </w:p>
        </w:tc>
        <w:tc>
          <w:tcPr>
            <w:tcW w:w="1375" w:type="dxa"/>
            <w:shd w:val="clear" w:color="auto" w:fill="auto"/>
            <w:noWrap/>
            <w:tcMar>
              <w:top w:w="0" w:type="dxa"/>
              <w:left w:w="70" w:type="dxa"/>
              <w:bottom w:w="0" w:type="dxa"/>
              <w:right w:w="70" w:type="dxa"/>
            </w:tcMar>
            <w:vAlign w:val="bottom"/>
          </w:tcPr>
          <w:p w14:paraId="641CFEE6" w14:textId="2C56061C" w:rsidR="00640BFD" w:rsidRPr="0067355C" w:rsidRDefault="00267436" w:rsidP="00D7109A">
            <w:pPr>
              <w:autoSpaceDN w:val="0"/>
              <w:spacing w:line="360" w:lineRule="auto"/>
              <w:jc w:val="both"/>
              <w:rPr>
                <w:rFonts w:ascii="Garamond" w:hAnsi="Garamond"/>
                <w:lang w:val="fr-FR" w:eastAsia="fr-FR"/>
              </w:rPr>
            </w:pPr>
            <w:r>
              <w:rPr>
                <w:rFonts w:ascii="Arial" w:hAnsi="Arial" w:cs="Arial"/>
                <w:color w:val="010205"/>
                <w:sz w:val="18"/>
                <w:szCs w:val="18"/>
              </w:rPr>
              <w:t>0,023</w:t>
            </w:r>
          </w:p>
        </w:tc>
      </w:tr>
      <w:tr w:rsidR="00D36F5E" w:rsidRPr="0067355C" w14:paraId="74A668AB" w14:textId="77777777" w:rsidTr="002A3EA2">
        <w:trPr>
          <w:trHeight w:val="276"/>
        </w:trPr>
        <w:tc>
          <w:tcPr>
            <w:tcW w:w="3788" w:type="dxa"/>
            <w:shd w:val="clear" w:color="auto" w:fill="auto"/>
            <w:tcMar>
              <w:top w:w="0" w:type="dxa"/>
              <w:left w:w="70" w:type="dxa"/>
              <w:bottom w:w="0" w:type="dxa"/>
              <w:right w:w="70" w:type="dxa"/>
            </w:tcMar>
            <w:vAlign w:val="center"/>
          </w:tcPr>
          <w:p w14:paraId="0AFF914A"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Attachement ambivalent </w:t>
            </w:r>
          </w:p>
        </w:tc>
        <w:tc>
          <w:tcPr>
            <w:tcW w:w="1021" w:type="dxa"/>
            <w:shd w:val="clear" w:color="auto" w:fill="auto"/>
            <w:tcMar>
              <w:top w:w="0" w:type="dxa"/>
              <w:left w:w="70" w:type="dxa"/>
              <w:bottom w:w="0" w:type="dxa"/>
              <w:right w:w="70" w:type="dxa"/>
            </w:tcMar>
            <w:vAlign w:val="center"/>
          </w:tcPr>
          <w:p w14:paraId="097587B2"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7CE379E6"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3DC85C46"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4A88BCAD"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7ABB0B1E"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6B7A5E97" w14:textId="77777777" w:rsidTr="002A3EA2">
        <w:trPr>
          <w:trHeight w:val="224"/>
        </w:trPr>
        <w:tc>
          <w:tcPr>
            <w:tcW w:w="3788" w:type="dxa"/>
            <w:shd w:val="clear" w:color="auto" w:fill="auto"/>
            <w:tcMar>
              <w:top w:w="0" w:type="dxa"/>
              <w:left w:w="70" w:type="dxa"/>
              <w:bottom w:w="0" w:type="dxa"/>
              <w:right w:w="70" w:type="dxa"/>
            </w:tcMar>
            <w:vAlign w:val="center"/>
          </w:tcPr>
          <w:p w14:paraId="2F0A622E"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3C655481" w14:textId="5E0B14BE" w:rsidR="00640BFD" w:rsidRPr="0067355C" w:rsidRDefault="006F7C02" w:rsidP="00D7109A">
            <w:pPr>
              <w:autoSpaceDN w:val="0"/>
              <w:spacing w:line="360" w:lineRule="auto"/>
              <w:jc w:val="both"/>
              <w:rPr>
                <w:rFonts w:ascii="Garamond" w:hAnsi="Garamond"/>
                <w:lang w:val="fr-FR" w:eastAsia="fr-FR"/>
              </w:rPr>
            </w:pPr>
            <w:r w:rsidRPr="006F7C02">
              <w:rPr>
                <w:rFonts w:ascii="Garamond" w:hAnsi="Garamond"/>
                <w:lang w:val="fr-FR" w:eastAsia="fr-FR"/>
              </w:rPr>
              <w:t>-</w:t>
            </w:r>
            <w:r>
              <w:rPr>
                <w:rFonts w:ascii="Garamond" w:hAnsi="Garamond"/>
                <w:lang w:val="fr-FR" w:eastAsia="fr-FR"/>
              </w:rPr>
              <w:t>0</w:t>
            </w:r>
            <w:r w:rsidRPr="006F7C02">
              <w:rPr>
                <w:rFonts w:ascii="Garamond" w:hAnsi="Garamond"/>
                <w:lang w:val="fr-FR" w:eastAsia="fr-FR"/>
              </w:rPr>
              <w:t>,053</w:t>
            </w:r>
          </w:p>
        </w:tc>
        <w:tc>
          <w:tcPr>
            <w:tcW w:w="1433" w:type="dxa"/>
            <w:shd w:val="clear" w:color="auto" w:fill="auto"/>
            <w:noWrap/>
            <w:tcMar>
              <w:top w:w="0" w:type="dxa"/>
              <w:left w:w="70" w:type="dxa"/>
              <w:bottom w:w="0" w:type="dxa"/>
              <w:right w:w="70" w:type="dxa"/>
            </w:tcMar>
            <w:vAlign w:val="bottom"/>
          </w:tcPr>
          <w:p w14:paraId="1667B1E2" w14:textId="51689C72" w:rsidR="00640BFD" w:rsidRPr="0067355C" w:rsidRDefault="00640BFD" w:rsidP="006F7C02">
            <w:pPr>
              <w:autoSpaceDN w:val="0"/>
              <w:spacing w:line="360" w:lineRule="auto"/>
              <w:jc w:val="both"/>
              <w:rPr>
                <w:rFonts w:ascii="Garamond" w:hAnsi="Garamond"/>
                <w:lang w:val="fr-FR" w:eastAsia="fr-FR"/>
              </w:rPr>
            </w:pPr>
            <w:r w:rsidRPr="0067355C">
              <w:rPr>
                <w:rFonts w:ascii="Garamond" w:hAnsi="Garamond" w:cs="Calibri"/>
                <w:lang w:val="fr-FR" w:eastAsia="fr-FR"/>
              </w:rPr>
              <w:t>(</w:t>
            </w:r>
            <w:r w:rsidR="00D01CED" w:rsidRPr="00D01CED">
              <w:rPr>
                <w:rFonts w:ascii="Garamond" w:hAnsi="Garamond" w:cs="Calibri"/>
                <w:lang w:val="fr-FR" w:eastAsia="fr-FR"/>
              </w:rPr>
              <w:t>-</w:t>
            </w:r>
            <w:r w:rsidR="00D01CED">
              <w:rPr>
                <w:rFonts w:ascii="Garamond" w:hAnsi="Garamond" w:cs="Calibri"/>
                <w:lang w:val="fr-FR" w:eastAsia="fr-FR"/>
              </w:rPr>
              <w:t>0</w:t>
            </w:r>
            <w:r w:rsidR="00D01CED" w:rsidRPr="00D01CED">
              <w:rPr>
                <w:rFonts w:ascii="Garamond" w:hAnsi="Garamond" w:cs="Calibri"/>
                <w:lang w:val="fr-FR" w:eastAsia="fr-FR"/>
              </w:rPr>
              <w:t>,097</w:t>
            </w:r>
            <w:r w:rsidRPr="0067355C">
              <w:rPr>
                <w:rFonts w:ascii="Garamond" w:hAnsi="Garamond" w:cs="Calibri"/>
                <w:lang w:val="fr-FR" w:eastAsia="fr-FR"/>
              </w:rPr>
              <w:t>;</w:t>
            </w:r>
            <w:r w:rsidR="00D01CED">
              <w:rPr>
                <w:rFonts w:ascii="Arial" w:hAnsi="Arial" w:cs="Arial"/>
                <w:color w:val="010205"/>
                <w:sz w:val="18"/>
                <w:szCs w:val="18"/>
              </w:rPr>
              <w:t>-</w:t>
            </w:r>
            <w:r w:rsidR="00FE09A6">
              <w:rPr>
                <w:rFonts w:ascii="Arial" w:hAnsi="Arial" w:cs="Arial"/>
                <w:color w:val="010205"/>
                <w:sz w:val="18"/>
                <w:szCs w:val="18"/>
              </w:rPr>
              <w:t>0</w:t>
            </w:r>
            <w:r w:rsidR="00D01CED">
              <w:rPr>
                <w:rFonts w:ascii="Arial" w:hAnsi="Arial" w:cs="Arial"/>
                <w:color w:val="010205"/>
                <w:sz w:val="18"/>
                <w:szCs w:val="18"/>
              </w:rPr>
              <w:t>,113</w:t>
            </w:r>
            <w:r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31FD67D" w14:textId="1A0EF338"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0,054</w:t>
            </w:r>
          </w:p>
        </w:tc>
        <w:tc>
          <w:tcPr>
            <w:tcW w:w="1375" w:type="dxa"/>
            <w:shd w:val="clear" w:color="auto" w:fill="auto"/>
            <w:noWrap/>
            <w:tcMar>
              <w:top w:w="0" w:type="dxa"/>
              <w:left w:w="70" w:type="dxa"/>
              <w:bottom w:w="0" w:type="dxa"/>
              <w:right w:w="70" w:type="dxa"/>
            </w:tcMar>
            <w:vAlign w:val="bottom"/>
          </w:tcPr>
          <w:p w14:paraId="17743368" w14:textId="1DEEBB75"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w:t>
            </w:r>
            <w:r>
              <w:rPr>
                <w:rFonts w:ascii="Garamond" w:hAnsi="Garamond" w:cs="Calibri"/>
                <w:lang w:val="fr-FR" w:eastAsia="fr-FR"/>
              </w:rPr>
              <w:t>0</w:t>
            </w:r>
            <w:r w:rsidRPr="00D01CED">
              <w:rPr>
                <w:rFonts w:ascii="Garamond" w:hAnsi="Garamond" w:cs="Calibri"/>
                <w:lang w:val="fr-FR" w:eastAsia="fr-FR"/>
              </w:rPr>
              <w:t>,115</w:t>
            </w:r>
          </w:p>
        </w:tc>
        <w:tc>
          <w:tcPr>
            <w:tcW w:w="1375" w:type="dxa"/>
            <w:shd w:val="clear" w:color="auto" w:fill="auto"/>
            <w:noWrap/>
            <w:tcMar>
              <w:top w:w="0" w:type="dxa"/>
              <w:left w:w="70" w:type="dxa"/>
              <w:bottom w:w="0" w:type="dxa"/>
              <w:right w:w="70" w:type="dxa"/>
            </w:tcMar>
            <w:vAlign w:val="bottom"/>
          </w:tcPr>
          <w:p w14:paraId="5FE4E6E2" w14:textId="229F1A34"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D01CED">
              <w:rPr>
                <w:rFonts w:ascii="Garamond" w:hAnsi="Garamond" w:cs="Calibri"/>
                <w:lang w:val="fr-FR" w:eastAsia="fr-FR"/>
              </w:rPr>
              <w:t>,326</w:t>
            </w:r>
          </w:p>
        </w:tc>
      </w:tr>
      <w:tr w:rsidR="00D36F5E" w:rsidRPr="0067355C" w14:paraId="3798C7DC" w14:textId="77777777" w:rsidTr="002A3EA2">
        <w:trPr>
          <w:trHeight w:val="317"/>
        </w:trPr>
        <w:tc>
          <w:tcPr>
            <w:tcW w:w="3788" w:type="dxa"/>
            <w:shd w:val="clear" w:color="auto" w:fill="auto"/>
            <w:tcMar>
              <w:top w:w="0" w:type="dxa"/>
              <w:left w:w="70" w:type="dxa"/>
              <w:bottom w:w="0" w:type="dxa"/>
              <w:right w:w="70" w:type="dxa"/>
            </w:tcMar>
            <w:vAlign w:val="center"/>
          </w:tcPr>
          <w:p w14:paraId="508BB5AC"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tcMar>
              <w:top w:w="0" w:type="dxa"/>
              <w:left w:w="70" w:type="dxa"/>
              <w:bottom w:w="0" w:type="dxa"/>
              <w:right w:w="70" w:type="dxa"/>
            </w:tcMar>
            <w:vAlign w:val="center"/>
          </w:tcPr>
          <w:p w14:paraId="1AC57A34" w14:textId="6284E8E0" w:rsidR="00640BFD" w:rsidRPr="0067355C" w:rsidRDefault="006F7C02" w:rsidP="00D7109A">
            <w:pPr>
              <w:autoSpaceDN w:val="0"/>
              <w:spacing w:line="360" w:lineRule="auto"/>
              <w:jc w:val="both"/>
              <w:rPr>
                <w:rFonts w:ascii="Garamond" w:hAnsi="Garamond"/>
                <w:lang w:val="fr-FR" w:eastAsia="fr-FR"/>
              </w:rPr>
            </w:pPr>
            <w:r>
              <w:rPr>
                <w:rFonts w:ascii="Garamond" w:hAnsi="Garamond"/>
                <w:lang w:val="fr-FR" w:eastAsia="fr-FR"/>
              </w:rPr>
              <w:t>0</w:t>
            </w:r>
            <w:r w:rsidRPr="006F7C02">
              <w:rPr>
                <w:rFonts w:ascii="Garamond" w:hAnsi="Garamond"/>
                <w:lang w:val="fr-FR" w:eastAsia="fr-FR"/>
              </w:rPr>
              <w:t>,068</w:t>
            </w:r>
          </w:p>
        </w:tc>
        <w:tc>
          <w:tcPr>
            <w:tcW w:w="1433" w:type="dxa"/>
            <w:shd w:val="clear" w:color="auto" w:fill="auto"/>
            <w:noWrap/>
            <w:tcMar>
              <w:top w:w="0" w:type="dxa"/>
              <w:left w:w="70" w:type="dxa"/>
              <w:bottom w:w="0" w:type="dxa"/>
              <w:right w:w="70" w:type="dxa"/>
            </w:tcMar>
            <w:vAlign w:val="bottom"/>
          </w:tcPr>
          <w:p w14:paraId="24EDD3E4" w14:textId="25CE58DB" w:rsidR="00640BFD" w:rsidRPr="0067355C" w:rsidRDefault="006F7C02" w:rsidP="006F7C02">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D01CED" w:rsidRPr="00D01CED">
              <w:rPr>
                <w:rFonts w:ascii="Garamond" w:hAnsi="Garamond" w:cs="Calibri"/>
                <w:lang w:val="fr-FR" w:eastAsia="fr-FR"/>
              </w:rPr>
              <w:t>,120</w:t>
            </w:r>
            <w:r w:rsidR="00640BFD" w:rsidRPr="0067355C">
              <w:rPr>
                <w:rFonts w:ascii="Garamond" w:hAnsi="Garamond" w:cs="Calibri"/>
                <w:lang w:val="fr-FR" w:eastAsia="fr-FR"/>
              </w:rPr>
              <w:t>;</w:t>
            </w:r>
            <w:r>
              <w:rPr>
                <w:rFonts w:ascii="Arial" w:hAnsi="Arial" w:cs="Arial"/>
                <w:color w:val="010205"/>
                <w:sz w:val="18"/>
                <w:szCs w:val="18"/>
              </w:rPr>
              <w:t xml:space="preserve"> </w:t>
            </w:r>
            <w:r w:rsidR="00D01CED">
              <w:rPr>
                <w:rFonts w:ascii="Arial" w:hAnsi="Arial" w:cs="Arial"/>
                <w:color w:val="010205"/>
                <w:sz w:val="18"/>
                <w:szCs w:val="18"/>
              </w:rPr>
              <w:t>0,089</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52E691BE" w14:textId="39C4766B"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0,088</w:t>
            </w:r>
          </w:p>
        </w:tc>
        <w:tc>
          <w:tcPr>
            <w:tcW w:w="1375" w:type="dxa"/>
            <w:shd w:val="clear" w:color="auto" w:fill="auto"/>
            <w:noWrap/>
            <w:tcMar>
              <w:top w:w="0" w:type="dxa"/>
              <w:left w:w="70" w:type="dxa"/>
              <w:bottom w:w="0" w:type="dxa"/>
              <w:right w:w="70" w:type="dxa"/>
            </w:tcMar>
            <w:vAlign w:val="bottom"/>
          </w:tcPr>
          <w:p w14:paraId="7271FD89" w14:textId="79C61D05"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 xml:space="preserve"> 0</w:t>
            </w:r>
            <w:r w:rsidRPr="00D01CED">
              <w:rPr>
                <w:rFonts w:ascii="Garamond" w:hAnsi="Garamond" w:cs="Calibri"/>
                <w:lang w:val="fr-FR" w:eastAsia="fr-FR"/>
              </w:rPr>
              <w:t>,107</w:t>
            </w:r>
            <w:r>
              <w:rPr>
                <w:rFonts w:ascii="Garamond" w:hAnsi="Garamond" w:cs="Calibri"/>
                <w:lang w:val="fr-FR" w:eastAsia="fr-FR"/>
              </w:rPr>
              <w:t xml:space="preserve"> </w:t>
            </w:r>
          </w:p>
        </w:tc>
        <w:tc>
          <w:tcPr>
            <w:tcW w:w="1375" w:type="dxa"/>
            <w:shd w:val="clear" w:color="auto" w:fill="auto"/>
            <w:noWrap/>
            <w:tcMar>
              <w:top w:w="0" w:type="dxa"/>
              <w:left w:w="70" w:type="dxa"/>
              <w:bottom w:w="0" w:type="dxa"/>
              <w:right w:w="70" w:type="dxa"/>
            </w:tcMar>
            <w:vAlign w:val="bottom"/>
          </w:tcPr>
          <w:p w14:paraId="1A1876F8" w14:textId="4A4DCF0E" w:rsidR="00640BFD" w:rsidRPr="0067355C" w:rsidRDefault="00D01CED" w:rsidP="00D7109A">
            <w:pPr>
              <w:autoSpaceDN w:val="0"/>
              <w:spacing w:line="360" w:lineRule="auto"/>
              <w:jc w:val="both"/>
              <w:rPr>
                <w:rFonts w:ascii="Garamond" w:hAnsi="Garamond"/>
                <w:lang w:val="fr-FR" w:eastAsia="fr-FR"/>
              </w:rPr>
            </w:pPr>
            <w:r>
              <w:rPr>
                <w:rFonts w:ascii="Garamond" w:hAnsi="Garamond"/>
                <w:lang w:val="fr-FR" w:eastAsia="fr-FR"/>
              </w:rPr>
              <w:t>0,</w:t>
            </w:r>
            <w:r w:rsidRPr="00D01CED">
              <w:rPr>
                <w:rFonts w:ascii="Garamond" w:hAnsi="Garamond"/>
                <w:lang w:val="fr-FR" w:eastAsia="fr-FR"/>
              </w:rPr>
              <w:t>442</w:t>
            </w:r>
          </w:p>
        </w:tc>
      </w:tr>
      <w:tr w:rsidR="00D36F5E" w:rsidRPr="0067355C" w14:paraId="53053D24" w14:textId="77777777" w:rsidTr="002A3EA2">
        <w:trPr>
          <w:trHeight w:val="330"/>
        </w:trPr>
        <w:tc>
          <w:tcPr>
            <w:tcW w:w="3788" w:type="dxa"/>
            <w:shd w:val="clear" w:color="auto" w:fill="auto"/>
            <w:tcMar>
              <w:top w:w="0" w:type="dxa"/>
              <w:left w:w="70" w:type="dxa"/>
              <w:bottom w:w="0" w:type="dxa"/>
              <w:right w:w="70" w:type="dxa"/>
            </w:tcMar>
            <w:vAlign w:val="center"/>
          </w:tcPr>
          <w:p w14:paraId="7B380C80"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30447294" w14:textId="1FE6C9B2" w:rsidR="00640BFD" w:rsidRPr="0067355C" w:rsidRDefault="006F7C02" w:rsidP="00D7109A">
            <w:pPr>
              <w:autoSpaceDN w:val="0"/>
              <w:spacing w:line="360" w:lineRule="auto"/>
              <w:jc w:val="both"/>
              <w:rPr>
                <w:rFonts w:ascii="Garamond" w:hAnsi="Garamond"/>
                <w:lang w:val="fr-FR" w:eastAsia="fr-FR"/>
              </w:rPr>
            </w:pPr>
            <w:r>
              <w:rPr>
                <w:rFonts w:ascii="Garamond" w:hAnsi="Garamond"/>
                <w:lang w:val="fr-FR" w:eastAsia="fr-FR"/>
              </w:rPr>
              <w:t>0</w:t>
            </w:r>
            <w:r w:rsidRPr="006F7C02">
              <w:rPr>
                <w:rFonts w:ascii="Garamond" w:hAnsi="Garamond"/>
                <w:lang w:val="fr-FR" w:eastAsia="fr-FR"/>
              </w:rPr>
              <w:t>,034</w:t>
            </w:r>
          </w:p>
        </w:tc>
        <w:tc>
          <w:tcPr>
            <w:tcW w:w="1433" w:type="dxa"/>
            <w:shd w:val="clear" w:color="auto" w:fill="auto"/>
            <w:noWrap/>
            <w:tcMar>
              <w:top w:w="0" w:type="dxa"/>
              <w:left w:w="70" w:type="dxa"/>
              <w:bottom w:w="0" w:type="dxa"/>
              <w:right w:w="70" w:type="dxa"/>
            </w:tcMar>
            <w:vAlign w:val="bottom"/>
          </w:tcPr>
          <w:p w14:paraId="4CEC56C8" w14:textId="24E1BE2A" w:rsidR="00640BFD" w:rsidRPr="0067355C" w:rsidRDefault="006F7C02" w:rsidP="00D7109A">
            <w:pPr>
              <w:autoSpaceDN w:val="0"/>
              <w:spacing w:line="360" w:lineRule="auto"/>
              <w:jc w:val="both"/>
              <w:rPr>
                <w:rFonts w:ascii="Garamond" w:hAnsi="Garamond"/>
                <w:lang w:val="fr-FR" w:eastAsia="fr-FR"/>
              </w:rPr>
            </w:pPr>
            <w:r>
              <w:rPr>
                <w:rFonts w:ascii="Garamond" w:hAnsi="Garamond" w:cs="Calibri"/>
                <w:lang w:val="fr-FR" w:eastAsia="fr-FR"/>
              </w:rPr>
              <w:t>(</w:t>
            </w:r>
            <w:r w:rsidR="00D01CED" w:rsidRPr="00D01CED">
              <w:rPr>
                <w:rFonts w:ascii="Garamond" w:hAnsi="Garamond" w:cs="Calibri"/>
                <w:lang w:val="fr-FR" w:eastAsia="fr-FR"/>
              </w:rPr>
              <w:t>,032</w:t>
            </w:r>
            <w:r w:rsidR="00FE09A6">
              <w:rPr>
                <w:rFonts w:ascii="Garamond" w:hAnsi="Garamond" w:cs="Calibri"/>
                <w:lang w:val="fr-FR" w:eastAsia="fr-FR"/>
              </w:rPr>
              <w:t xml:space="preserve"> ; 0</w:t>
            </w:r>
            <w:r w:rsidR="00FE09A6">
              <w:rPr>
                <w:rFonts w:ascii="Arial" w:hAnsi="Arial" w:cs="Arial"/>
                <w:color w:val="010205"/>
                <w:sz w:val="18"/>
                <w:szCs w:val="18"/>
              </w:rPr>
              <w:t>,021</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21CA0748" w14:textId="56B075D6" w:rsidR="00640BFD" w:rsidRPr="0067355C" w:rsidRDefault="00D01CED" w:rsidP="00D7109A">
            <w:pPr>
              <w:autoSpaceDN w:val="0"/>
              <w:spacing w:line="360" w:lineRule="auto"/>
              <w:jc w:val="both"/>
              <w:rPr>
                <w:rFonts w:ascii="Garamond" w:hAnsi="Garamond"/>
                <w:lang w:val="fr-FR" w:eastAsia="fr-FR"/>
              </w:rPr>
            </w:pPr>
            <w:r w:rsidRPr="00D01CED">
              <w:rPr>
                <w:rFonts w:ascii="Garamond" w:hAnsi="Garamond" w:cs="Calibri"/>
                <w:lang w:val="fr-FR" w:eastAsia="fr-FR"/>
              </w:rPr>
              <w:t>0,188</w:t>
            </w:r>
          </w:p>
        </w:tc>
        <w:tc>
          <w:tcPr>
            <w:tcW w:w="1375" w:type="dxa"/>
            <w:shd w:val="clear" w:color="auto" w:fill="auto"/>
            <w:noWrap/>
            <w:tcMar>
              <w:top w:w="0" w:type="dxa"/>
              <w:left w:w="70" w:type="dxa"/>
              <w:bottom w:w="0" w:type="dxa"/>
              <w:right w:w="70" w:type="dxa"/>
            </w:tcMar>
            <w:vAlign w:val="bottom"/>
          </w:tcPr>
          <w:p w14:paraId="5E8619B7" w14:textId="0FCB8F3D"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 xml:space="preserve"> 0</w:t>
            </w:r>
            <w:r w:rsidRPr="00D01CED">
              <w:rPr>
                <w:rFonts w:ascii="Garamond" w:hAnsi="Garamond" w:cs="Calibri"/>
                <w:lang w:val="fr-FR" w:eastAsia="fr-FR"/>
              </w:rPr>
              <w:t>,021</w:t>
            </w:r>
          </w:p>
        </w:tc>
        <w:tc>
          <w:tcPr>
            <w:tcW w:w="1375" w:type="dxa"/>
            <w:shd w:val="clear" w:color="auto" w:fill="auto"/>
            <w:noWrap/>
            <w:tcMar>
              <w:top w:w="0" w:type="dxa"/>
              <w:left w:w="70" w:type="dxa"/>
              <w:bottom w:w="0" w:type="dxa"/>
              <w:right w:w="70" w:type="dxa"/>
            </w:tcMar>
            <w:vAlign w:val="bottom"/>
          </w:tcPr>
          <w:p w14:paraId="59956309" w14:textId="67F260B7" w:rsidR="00640BFD" w:rsidRPr="0067355C" w:rsidRDefault="00D01CED" w:rsidP="00D7109A">
            <w:pPr>
              <w:autoSpaceDN w:val="0"/>
              <w:spacing w:line="360" w:lineRule="auto"/>
              <w:jc w:val="both"/>
              <w:rPr>
                <w:rFonts w:ascii="Garamond" w:hAnsi="Garamond"/>
                <w:lang w:val="fr-FR" w:eastAsia="fr-FR"/>
              </w:rPr>
            </w:pPr>
            <w:r>
              <w:rPr>
                <w:rFonts w:ascii="Arial" w:hAnsi="Arial" w:cs="Arial"/>
                <w:color w:val="010205"/>
                <w:sz w:val="18"/>
                <w:szCs w:val="18"/>
              </w:rPr>
              <w:t>0,857</w:t>
            </w:r>
          </w:p>
        </w:tc>
      </w:tr>
      <w:tr w:rsidR="00D36F5E" w:rsidRPr="0067355C" w14:paraId="420D8AA0" w14:textId="77777777" w:rsidTr="002A3EA2">
        <w:trPr>
          <w:trHeight w:val="263"/>
        </w:trPr>
        <w:tc>
          <w:tcPr>
            <w:tcW w:w="3788" w:type="dxa"/>
            <w:shd w:val="clear" w:color="auto" w:fill="auto"/>
            <w:tcMar>
              <w:top w:w="0" w:type="dxa"/>
              <w:left w:w="70" w:type="dxa"/>
              <w:bottom w:w="0" w:type="dxa"/>
              <w:right w:w="70" w:type="dxa"/>
            </w:tcMar>
            <w:vAlign w:val="center"/>
          </w:tcPr>
          <w:p w14:paraId="35731CCB"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parentale        </w:t>
            </w:r>
          </w:p>
        </w:tc>
        <w:tc>
          <w:tcPr>
            <w:tcW w:w="1021" w:type="dxa"/>
            <w:shd w:val="clear" w:color="auto" w:fill="auto"/>
            <w:tcMar>
              <w:top w:w="0" w:type="dxa"/>
              <w:left w:w="70" w:type="dxa"/>
              <w:bottom w:w="0" w:type="dxa"/>
              <w:right w:w="70" w:type="dxa"/>
            </w:tcMar>
            <w:vAlign w:val="center"/>
          </w:tcPr>
          <w:p w14:paraId="1C247363" w14:textId="73D46FDA" w:rsidR="00640BFD" w:rsidRPr="0067355C" w:rsidRDefault="006F7C02" w:rsidP="00D7109A">
            <w:pPr>
              <w:autoSpaceDN w:val="0"/>
              <w:spacing w:line="360" w:lineRule="auto"/>
              <w:jc w:val="both"/>
              <w:rPr>
                <w:rFonts w:ascii="Garamond" w:hAnsi="Garamond"/>
                <w:lang w:val="fr-FR" w:eastAsia="fr-FR"/>
              </w:rPr>
            </w:pPr>
            <w:r>
              <w:rPr>
                <w:rFonts w:ascii="Garamond" w:hAnsi="Garamond"/>
                <w:lang w:val="fr-FR" w:eastAsia="fr-FR"/>
              </w:rPr>
              <w:t>0</w:t>
            </w:r>
            <w:r w:rsidRPr="006F7C02">
              <w:rPr>
                <w:rFonts w:ascii="Garamond" w:hAnsi="Garamond"/>
                <w:lang w:val="fr-FR" w:eastAsia="fr-FR"/>
              </w:rPr>
              <w:t>,003</w:t>
            </w:r>
          </w:p>
        </w:tc>
        <w:tc>
          <w:tcPr>
            <w:tcW w:w="1433" w:type="dxa"/>
            <w:shd w:val="clear" w:color="auto" w:fill="auto"/>
            <w:noWrap/>
            <w:tcMar>
              <w:top w:w="0" w:type="dxa"/>
              <w:left w:w="70" w:type="dxa"/>
              <w:bottom w:w="0" w:type="dxa"/>
              <w:right w:w="70" w:type="dxa"/>
            </w:tcMar>
            <w:vAlign w:val="bottom"/>
          </w:tcPr>
          <w:p w14:paraId="3D6B5610" w14:textId="1661678D" w:rsidR="00640BFD" w:rsidRPr="0067355C" w:rsidRDefault="006F7C02"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D01CED" w:rsidRPr="00D01CED">
              <w:rPr>
                <w:rFonts w:ascii="Garamond" w:hAnsi="Garamond" w:cs="Calibri"/>
                <w:lang w:val="fr-FR" w:eastAsia="fr-FR"/>
              </w:rPr>
              <w:t>,113</w:t>
            </w:r>
            <w:r w:rsidR="00FE09A6">
              <w:rPr>
                <w:rFonts w:ascii="Garamond" w:hAnsi="Garamond" w:cs="Calibri"/>
                <w:lang w:val="fr-FR" w:eastAsia="fr-FR"/>
              </w:rPr>
              <w:t>; 0,048</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59D16706" w14:textId="6636E8C5"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D01CED">
              <w:rPr>
                <w:rFonts w:ascii="Garamond" w:hAnsi="Garamond" w:cs="Calibri"/>
                <w:lang w:val="fr-FR" w:eastAsia="fr-FR"/>
              </w:rPr>
              <w:t>,007</w:t>
            </w:r>
          </w:p>
        </w:tc>
        <w:tc>
          <w:tcPr>
            <w:tcW w:w="1375" w:type="dxa"/>
            <w:shd w:val="clear" w:color="auto" w:fill="auto"/>
            <w:noWrap/>
            <w:tcMar>
              <w:top w:w="0" w:type="dxa"/>
              <w:left w:w="70" w:type="dxa"/>
              <w:bottom w:w="0" w:type="dxa"/>
              <w:right w:w="70" w:type="dxa"/>
            </w:tcMar>
            <w:vAlign w:val="bottom"/>
          </w:tcPr>
          <w:p w14:paraId="516A2865" w14:textId="0F42D940" w:rsidR="00640BFD" w:rsidRPr="0067355C" w:rsidRDefault="00D01CED" w:rsidP="00D7109A">
            <w:pPr>
              <w:autoSpaceDN w:val="0"/>
              <w:spacing w:line="360" w:lineRule="auto"/>
              <w:jc w:val="both"/>
              <w:rPr>
                <w:rFonts w:ascii="Garamond" w:hAnsi="Garamond"/>
                <w:lang w:val="fr-FR" w:eastAsia="fr-FR"/>
              </w:rPr>
            </w:pPr>
            <w:r>
              <w:rPr>
                <w:rFonts w:ascii="Garamond" w:hAnsi="Garamond" w:cs="Calibri"/>
                <w:lang w:val="fr-FR" w:eastAsia="fr-FR"/>
              </w:rPr>
              <w:t xml:space="preserve"> 0</w:t>
            </w:r>
            <w:r w:rsidRPr="00D01CED">
              <w:rPr>
                <w:rFonts w:ascii="Garamond" w:hAnsi="Garamond" w:cs="Calibri"/>
                <w:lang w:val="fr-FR" w:eastAsia="fr-FR"/>
              </w:rPr>
              <w:t>,056</w:t>
            </w:r>
          </w:p>
        </w:tc>
        <w:tc>
          <w:tcPr>
            <w:tcW w:w="1375" w:type="dxa"/>
            <w:shd w:val="clear" w:color="auto" w:fill="auto"/>
            <w:noWrap/>
            <w:tcMar>
              <w:top w:w="0" w:type="dxa"/>
              <w:left w:w="70" w:type="dxa"/>
              <w:bottom w:w="0" w:type="dxa"/>
              <w:right w:w="70" w:type="dxa"/>
            </w:tcMar>
            <w:vAlign w:val="bottom"/>
          </w:tcPr>
          <w:p w14:paraId="709C9503" w14:textId="58752F29" w:rsidR="00640BFD" w:rsidRPr="0067355C" w:rsidRDefault="00D01CED" w:rsidP="00D7109A">
            <w:pPr>
              <w:autoSpaceDN w:val="0"/>
              <w:spacing w:line="360" w:lineRule="auto"/>
              <w:jc w:val="both"/>
              <w:rPr>
                <w:rFonts w:ascii="Garamond" w:hAnsi="Garamond"/>
                <w:lang w:val="fr-FR" w:eastAsia="fr-FR"/>
              </w:rPr>
            </w:pPr>
            <w:r>
              <w:rPr>
                <w:rFonts w:ascii="Arial" w:hAnsi="Arial" w:cs="Arial"/>
                <w:color w:val="010205"/>
                <w:sz w:val="18"/>
                <w:szCs w:val="18"/>
              </w:rPr>
              <w:t>0,681</w:t>
            </w:r>
          </w:p>
        </w:tc>
      </w:tr>
      <w:tr w:rsidR="00D36F5E" w:rsidRPr="0067355C" w14:paraId="4193D9C9" w14:textId="77777777" w:rsidTr="002A3EA2">
        <w:trPr>
          <w:trHeight w:val="276"/>
        </w:trPr>
        <w:tc>
          <w:tcPr>
            <w:tcW w:w="3788" w:type="dxa"/>
            <w:shd w:val="clear" w:color="auto" w:fill="auto"/>
            <w:tcMar>
              <w:top w:w="0" w:type="dxa"/>
              <w:left w:w="70" w:type="dxa"/>
              <w:bottom w:w="0" w:type="dxa"/>
              <w:right w:w="70" w:type="dxa"/>
            </w:tcMar>
            <w:vAlign w:val="center"/>
          </w:tcPr>
          <w:p w14:paraId="1C8C03C1"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Attachement désorganisé </w:t>
            </w:r>
          </w:p>
        </w:tc>
        <w:tc>
          <w:tcPr>
            <w:tcW w:w="1021" w:type="dxa"/>
            <w:shd w:val="clear" w:color="auto" w:fill="auto"/>
            <w:tcMar>
              <w:top w:w="0" w:type="dxa"/>
              <w:left w:w="70" w:type="dxa"/>
              <w:bottom w:w="0" w:type="dxa"/>
              <w:right w:w="70" w:type="dxa"/>
            </w:tcMar>
            <w:vAlign w:val="center"/>
          </w:tcPr>
          <w:p w14:paraId="4278BE9B" w14:textId="77777777" w:rsidR="00640BFD" w:rsidRPr="0067355C" w:rsidRDefault="00640BFD" w:rsidP="00D7109A">
            <w:pPr>
              <w:autoSpaceDN w:val="0"/>
              <w:spacing w:line="360" w:lineRule="auto"/>
              <w:jc w:val="both"/>
              <w:rPr>
                <w:rFonts w:ascii="Garamond" w:hAnsi="Garamond"/>
                <w:lang w:val="fr-FR" w:eastAsia="fr-FR"/>
              </w:rPr>
            </w:pPr>
          </w:p>
        </w:tc>
        <w:tc>
          <w:tcPr>
            <w:tcW w:w="1433" w:type="dxa"/>
            <w:shd w:val="clear" w:color="auto" w:fill="auto"/>
            <w:noWrap/>
            <w:tcMar>
              <w:top w:w="0" w:type="dxa"/>
              <w:left w:w="70" w:type="dxa"/>
              <w:bottom w:w="0" w:type="dxa"/>
              <w:right w:w="70" w:type="dxa"/>
            </w:tcMar>
            <w:vAlign w:val="bottom"/>
          </w:tcPr>
          <w:p w14:paraId="2D3522B1" w14:textId="77777777" w:rsidR="00640BFD" w:rsidRPr="0067355C" w:rsidRDefault="00640BFD" w:rsidP="00D7109A">
            <w:pPr>
              <w:autoSpaceDN w:val="0"/>
              <w:spacing w:line="360" w:lineRule="auto"/>
              <w:jc w:val="both"/>
              <w:rPr>
                <w:rFonts w:ascii="Garamond" w:hAnsi="Garamond"/>
                <w:lang w:val="fr-FR" w:eastAsia="fr-FR"/>
              </w:rPr>
            </w:pPr>
          </w:p>
        </w:tc>
        <w:tc>
          <w:tcPr>
            <w:tcW w:w="575" w:type="dxa"/>
            <w:shd w:val="clear" w:color="auto" w:fill="auto"/>
            <w:noWrap/>
            <w:tcMar>
              <w:top w:w="0" w:type="dxa"/>
              <w:left w:w="70" w:type="dxa"/>
              <w:bottom w:w="0" w:type="dxa"/>
              <w:right w:w="70" w:type="dxa"/>
            </w:tcMar>
            <w:vAlign w:val="bottom"/>
          </w:tcPr>
          <w:p w14:paraId="6A80A6BB"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64894A3E" w14:textId="77777777" w:rsidR="00640BFD" w:rsidRPr="0067355C" w:rsidRDefault="00640BFD" w:rsidP="00D7109A">
            <w:pPr>
              <w:autoSpaceDN w:val="0"/>
              <w:spacing w:line="360" w:lineRule="auto"/>
              <w:jc w:val="both"/>
              <w:rPr>
                <w:rFonts w:ascii="Garamond" w:hAnsi="Garamond"/>
                <w:lang w:val="fr-FR" w:eastAsia="fr-FR"/>
              </w:rPr>
            </w:pPr>
          </w:p>
        </w:tc>
        <w:tc>
          <w:tcPr>
            <w:tcW w:w="1375" w:type="dxa"/>
            <w:shd w:val="clear" w:color="auto" w:fill="auto"/>
            <w:noWrap/>
            <w:tcMar>
              <w:top w:w="0" w:type="dxa"/>
              <w:left w:w="70" w:type="dxa"/>
              <w:bottom w:w="0" w:type="dxa"/>
              <w:right w:w="70" w:type="dxa"/>
            </w:tcMar>
            <w:vAlign w:val="bottom"/>
          </w:tcPr>
          <w:p w14:paraId="01F22576" w14:textId="77777777" w:rsidR="00640BFD" w:rsidRPr="0067355C" w:rsidRDefault="00640BFD" w:rsidP="00D7109A">
            <w:pPr>
              <w:autoSpaceDN w:val="0"/>
              <w:spacing w:line="360" w:lineRule="auto"/>
              <w:jc w:val="both"/>
              <w:rPr>
                <w:rFonts w:ascii="Garamond" w:hAnsi="Garamond"/>
                <w:lang w:val="fr-FR" w:eastAsia="fr-FR"/>
              </w:rPr>
            </w:pPr>
          </w:p>
        </w:tc>
      </w:tr>
      <w:tr w:rsidR="00D36F5E" w:rsidRPr="0067355C" w14:paraId="2731DF29" w14:textId="77777777" w:rsidTr="002A3EA2">
        <w:trPr>
          <w:trHeight w:val="263"/>
        </w:trPr>
        <w:tc>
          <w:tcPr>
            <w:tcW w:w="3788" w:type="dxa"/>
            <w:shd w:val="clear" w:color="auto" w:fill="auto"/>
            <w:tcMar>
              <w:top w:w="0" w:type="dxa"/>
              <w:left w:w="70" w:type="dxa"/>
              <w:bottom w:w="0" w:type="dxa"/>
              <w:right w:w="70" w:type="dxa"/>
            </w:tcMar>
            <w:vAlign w:val="center"/>
          </w:tcPr>
          <w:p w14:paraId="6016DD85"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Âge                                                      </w:t>
            </w:r>
          </w:p>
        </w:tc>
        <w:tc>
          <w:tcPr>
            <w:tcW w:w="1021" w:type="dxa"/>
            <w:shd w:val="clear" w:color="auto" w:fill="auto"/>
            <w:tcMar>
              <w:top w:w="0" w:type="dxa"/>
              <w:left w:w="70" w:type="dxa"/>
              <w:bottom w:w="0" w:type="dxa"/>
              <w:right w:w="70" w:type="dxa"/>
            </w:tcMar>
            <w:vAlign w:val="center"/>
          </w:tcPr>
          <w:p w14:paraId="683D1E91" w14:textId="0708EDB4" w:rsidR="00640BFD" w:rsidRPr="0067355C" w:rsidRDefault="00717457" w:rsidP="00D7109A">
            <w:pPr>
              <w:autoSpaceDN w:val="0"/>
              <w:spacing w:line="360" w:lineRule="auto"/>
              <w:jc w:val="both"/>
              <w:rPr>
                <w:rFonts w:ascii="Garamond" w:hAnsi="Garamond"/>
                <w:lang w:val="fr-FR" w:eastAsia="fr-FR"/>
              </w:rPr>
            </w:pPr>
            <w:r>
              <w:rPr>
                <w:rFonts w:ascii="Garamond" w:hAnsi="Garamond"/>
                <w:lang w:val="fr-FR" w:eastAsia="fr-FR"/>
              </w:rPr>
              <w:t>0</w:t>
            </w:r>
            <w:r w:rsidR="00FE09A6" w:rsidRPr="00FE09A6">
              <w:rPr>
                <w:rFonts w:ascii="Garamond" w:hAnsi="Garamond"/>
                <w:lang w:val="fr-FR" w:eastAsia="fr-FR"/>
              </w:rPr>
              <w:t>,969</w:t>
            </w:r>
          </w:p>
        </w:tc>
        <w:tc>
          <w:tcPr>
            <w:tcW w:w="1433" w:type="dxa"/>
            <w:shd w:val="clear" w:color="auto" w:fill="auto"/>
            <w:noWrap/>
            <w:tcMar>
              <w:top w:w="0" w:type="dxa"/>
              <w:left w:w="70" w:type="dxa"/>
              <w:bottom w:w="0" w:type="dxa"/>
              <w:right w:w="70" w:type="dxa"/>
            </w:tcMar>
            <w:vAlign w:val="bottom"/>
          </w:tcPr>
          <w:p w14:paraId="0BCA860F" w14:textId="5D2E1DA5" w:rsidR="00640BFD" w:rsidRPr="0067355C" w:rsidRDefault="00FE09A6" w:rsidP="00D7109A">
            <w:pPr>
              <w:autoSpaceDN w:val="0"/>
              <w:spacing w:line="360" w:lineRule="auto"/>
              <w:jc w:val="both"/>
              <w:rPr>
                <w:rFonts w:ascii="Garamond" w:hAnsi="Garamond"/>
                <w:lang w:val="fr-FR" w:eastAsia="fr-FR"/>
              </w:rPr>
            </w:pPr>
            <w:r>
              <w:rPr>
                <w:rFonts w:ascii="Garamond" w:hAnsi="Garamond" w:cs="Calibri"/>
                <w:lang w:val="fr-FR" w:eastAsia="fr-FR"/>
              </w:rPr>
              <w:t>(0,017;-0</w:t>
            </w:r>
            <w:r w:rsidRPr="00FE09A6">
              <w:rPr>
                <w:rFonts w:ascii="Garamond" w:hAnsi="Garamond" w:cs="Calibri"/>
                <w:lang w:val="fr-FR" w:eastAsia="fr-FR"/>
              </w:rPr>
              <w:t>,005</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738597B5" w14:textId="5323E8CF" w:rsidR="00640BFD" w:rsidRPr="0067355C" w:rsidRDefault="00FE09A6" w:rsidP="00D7109A">
            <w:pPr>
              <w:autoSpaceDN w:val="0"/>
              <w:spacing w:line="360" w:lineRule="auto"/>
              <w:jc w:val="both"/>
              <w:rPr>
                <w:rFonts w:ascii="Garamond" w:hAnsi="Garamond"/>
                <w:lang w:val="fr-FR" w:eastAsia="fr-FR"/>
              </w:rPr>
            </w:pPr>
            <w:r>
              <w:rPr>
                <w:rFonts w:ascii="Arial" w:hAnsi="Arial" w:cs="Arial"/>
                <w:color w:val="010205"/>
                <w:sz w:val="18"/>
                <w:szCs w:val="18"/>
              </w:rPr>
              <w:t>0,059</w:t>
            </w:r>
          </w:p>
        </w:tc>
        <w:tc>
          <w:tcPr>
            <w:tcW w:w="1375" w:type="dxa"/>
            <w:shd w:val="clear" w:color="auto" w:fill="auto"/>
            <w:noWrap/>
            <w:tcMar>
              <w:top w:w="0" w:type="dxa"/>
              <w:left w:w="70" w:type="dxa"/>
              <w:bottom w:w="0" w:type="dxa"/>
              <w:right w:w="70" w:type="dxa"/>
            </w:tcMar>
            <w:vAlign w:val="bottom"/>
          </w:tcPr>
          <w:p w14:paraId="6719E5AD" w14:textId="79A3F066" w:rsidR="00640BFD" w:rsidRPr="0067355C" w:rsidRDefault="003237DE" w:rsidP="00D7109A">
            <w:pPr>
              <w:autoSpaceDN w:val="0"/>
              <w:spacing w:line="360" w:lineRule="auto"/>
              <w:jc w:val="both"/>
              <w:rPr>
                <w:rFonts w:ascii="Garamond" w:hAnsi="Garamond"/>
                <w:lang w:val="fr-FR" w:eastAsia="fr-FR"/>
              </w:rPr>
            </w:pPr>
            <w:r w:rsidRPr="003237DE">
              <w:rPr>
                <w:rFonts w:ascii="Garamond" w:hAnsi="Garamond" w:cs="Calibri"/>
                <w:lang w:val="fr-FR" w:eastAsia="fr-FR"/>
              </w:rPr>
              <w:t>-</w:t>
            </w:r>
            <w:r>
              <w:rPr>
                <w:rFonts w:ascii="Garamond" w:hAnsi="Garamond" w:cs="Calibri"/>
                <w:lang w:val="fr-FR" w:eastAsia="fr-FR"/>
              </w:rPr>
              <w:t>0</w:t>
            </w:r>
            <w:r w:rsidRPr="003237DE">
              <w:rPr>
                <w:rFonts w:ascii="Garamond" w:hAnsi="Garamond" w:cs="Calibri"/>
                <w:lang w:val="fr-FR" w:eastAsia="fr-FR"/>
              </w:rPr>
              <w:t>,005</w:t>
            </w:r>
          </w:p>
        </w:tc>
        <w:tc>
          <w:tcPr>
            <w:tcW w:w="1375" w:type="dxa"/>
            <w:shd w:val="clear" w:color="auto" w:fill="auto"/>
            <w:noWrap/>
            <w:tcMar>
              <w:top w:w="0" w:type="dxa"/>
              <w:left w:w="70" w:type="dxa"/>
              <w:bottom w:w="0" w:type="dxa"/>
              <w:right w:w="70" w:type="dxa"/>
            </w:tcMar>
            <w:vAlign w:val="bottom"/>
          </w:tcPr>
          <w:p w14:paraId="678CFF7A" w14:textId="7EA79B67" w:rsidR="00640BFD" w:rsidRPr="0067355C" w:rsidRDefault="003237DE"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3237DE">
              <w:rPr>
                <w:rFonts w:ascii="Garamond" w:hAnsi="Garamond" w:cs="Calibri"/>
                <w:lang w:val="fr-FR" w:eastAsia="fr-FR"/>
              </w:rPr>
              <w:t>,969</w:t>
            </w:r>
          </w:p>
        </w:tc>
      </w:tr>
      <w:tr w:rsidR="00D36F5E" w:rsidRPr="0067355C" w14:paraId="1ADED70F" w14:textId="77777777" w:rsidTr="002A3EA2">
        <w:trPr>
          <w:trHeight w:val="371"/>
        </w:trPr>
        <w:tc>
          <w:tcPr>
            <w:tcW w:w="3788" w:type="dxa"/>
            <w:shd w:val="clear" w:color="auto" w:fill="auto"/>
            <w:tcMar>
              <w:top w:w="0" w:type="dxa"/>
              <w:left w:w="70" w:type="dxa"/>
              <w:bottom w:w="0" w:type="dxa"/>
              <w:right w:w="70" w:type="dxa"/>
            </w:tcMar>
            <w:vAlign w:val="center"/>
          </w:tcPr>
          <w:p w14:paraId="3F4AFAB1"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Niveau d'éducation des parents             </w:t>
            </w:r>
          </w:p>
        </w:tc>
        <w:tc>
          <w:tcPr>
            <w:tcW w:w="1021" w:type="dxa"/>
            <w:shd w:val="clear" w:color="auto" w:fill="auto"/>
            <w:tcMar>
              <w:top w:w="0" w:type="dxa"/>
              <w:left w:w="70" w:type="dxa"/>
              <w:bottom w:w="0" w:type="dxa"/>
              <w:right w:w="70" w:type="dxa"/>
            </w:tcMar>
            <w:vAlign w:val="center"/>
          </w:tcPr>
          <w:p w14:paraId="6169D3C2" w14:textId="7C93D141" w:rsidR="00640BFD" w:rsidRPr="0067355C" w:rsidRDefault="00717457" w:rsidP="00D7109A">
            <w:pPr>
              <w:autoSpaceDN w:val="0"/>
              <w:spacing w:line="360" w:lineRule="auto"/>
              <w:jc w:val="both"/>
              <w:rPr>
                <w:rFonts w:ascii="Garamond" w:hAnsi="Garamond"/>
                <w:lang w:val="fr-FR" w:eastAsia="fr-FR"/>
              </w:rPr>
            </w:pPr>
            <w:r>
              <w:rPr>
                <w:rFonts w:ascii="Garamond" w:hAnsi="Garamond"/>
                <w:lang w:val="fr-FR" w:eastAsia="fr-FR"/>
              </w:rPr>
              <w:t>0</w:t>
            </w:r>
            <w:r w:rsidR="00FE09A6" w:rsidRPr="00FE09A6">
              <w:rPr>
                <w:rFonts w:ascii="Garamond" w:hAnsi="Garamond"/>
                <w:lang w:val="fr-FR" w:eastAsia="fr-FR"/>
              </w:rPr>
              <w:t>,332</w:t>
            </w:r>
          </w:p>
        </w:tc>
        <w:tc>
          <w:tcPr>
            <w:tcW w:w="1433" w:type="dxa"/>
            <w:shd w:val="clear" w:color="auto" w:fill="auto"/>
            <w:noWrap/>
            <w:tcMar>
              <w:top w:w="0" w:type="dxa"/>
              <w:left w:w="70" w:type="dxa"/>
              <w:bottom w:w="0" w:type="dxa"/>
              <w:right w:w="70" w:type="dxa"/>
            </w:tcMar>
            <w:vAlign w:val="bottom"/>
          </w:tcPr>
          <w:p w14:paraId="33EDB137" w14:textId="4B88D99B" w:rsidR="00640BFD" w:rsidRPr="0067355C" w:rsidRDefault="00FE09A6"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FE09A6">
              <w:rPr>
                <w:rFonts w:ascii="Garamond" w:hAnsi="Garamond" w:cs="Calibri"/>
                <w:lang w:val="fr-FR" w:eastAsia="fr-FR"/>
              </w:rPr>
              <w:t>,195</w:t>
            </w:r>
            <w:r>
              <w:rPr>
                <w:rFonts w:ascii="Garamond" w:hAnsi="Garamond" w:cs="Calibri"/>
                <w:lang w:val="fr-FR" w:eastAsia="fr-FR"/>
              </w:rPr>
              <w:t xml:space="preserve"> ; 0</w:t>
            </w:r>
            <w:r w:rsidRPr="00FE09A6">
              <w:rPr>
                <w:rFonts w:ascii="Garamond" w:hAnsi="Garamond" w:cs="Calibri"/>
                <w:lang w:val="fr-FR" w:eastAsia="fr-FR"/>
              </w:rPr>
              <w:t>,112</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40B4487F" w14:textId="23A727DD" w:rsidR="00640BFD" w:rsidRPr="0067355C" w:rsidRDefault="00FE09A6" w:rsidP="00D7109A">
            <w:pPr>
              <w:autoSpaceDN w:val="0"/>
              <w:spacing w:line="360" w:lineRule="auto"/>
              <w:jc w:val="both"/>
              <w:rPr>
                <w:rFonts w:ascii="Garamond" w:hAnsi="Garamond"/>
                <w:lang w:val="fr-FR" w:eastAsia="fr-FR"/>
              </w:rPr>
            </w:pPr>
            <w:r>
              <w:rPr>
                <w:rFonts w:ascii="Arial" w:hAnsi="Arial" w:cs="Arial"/>
                <w:color w:val="010205"/>
                <w:sz w:val="18"/>
                <w:szCs w:val="18"/>
              </w:rPr>
              <w:t>0,097</w:t>
            </w:r>
          </w:p>
        </w:tc>
        <w:tc>
          <w:tcPr>
            <w:tcW w:w="1375" w:type="dxa"/>
            <w:shd w:val="clear" w:color="auto" w:fill="auto"/>
            <w:noWrap/>
            <w:tcMar>
              <w:top w:w="0" w:type="dxa"/>
              <w:left w:w="70" w:type="dxa"/>
              <w:bottom w:w="0" w:type="dxa"/>
              <w:right w:w="70" w:type="dxa"/>
            </w:tcMar>
            <w:vAlign w:val="bottom"/>
          </w:tcPr>
          <w:p w14:paraId="5F4E0ED8" w14:textId="2F60ADB6" w:rsidR="00640BFD" w:rsidRPr="0067355C" w:rsidRDefault="00717457"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3237DE">
              <w:rPr>
                <w:rFonts w:ascii="Garamond" w:hAnsi="Garamond" w:cs="Calibri"/>
                <w:lang w:val="fr-FR" w:eastAsia="fr-FR"/>
              </w:rPr>
              <w:t>0</w:t>
            </w:r>
            <w:r w:rsidR="003237DE">
              <w:rPr>
                <w:rFonts w:ascii="Arial" w:hAnsi="Arial" w:cs="Arial"/>
                <w:color w:val="010205"/>
                <w:sz w:val="18"/>
                <w:szCs w:val="18"/>
              </w:rPr>
              <w:t>,134</w:t>
            </w:r>
          </w:p>
        </w:tc>
        <w:tc>
          <w:tcPr>
            <w:tcW w:w="1375" w:type="dxa"/>
            <w:shd w:val="clear" w:color="auto" w:fill="auto"/>
            <w:noWrap/>
            <w:tcMar>
              <w:top w:w="0" w:type="dxa"/>
              <w:left w:w="70" w:type="dxa"/>
              <w:bottom w:w="0" w:type="dxa"/>
              <w:right w:w="70" w:type="dxa"/>
            </w:tcMar>
            <w:vAlign w:val="bottom"/>
          </w:tcPr>
          <w:p w14:paraId="509C6516" w14:textId="5308CF89" w:rsidR="00640BFD" w:rsidRPr="0067355C" w:rsidRDefault="003237DE"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3237DE">
              <w:rPr>
                <w:rFonts w:ascii="Garamond" w:hAnsi="Garamond" w:cs="Calibri"/>
                <w:lang w:val="fr-FR" w:eastAsia="fr-FR"/>
              </w:rPr>
              <w:t>,332</w:t>
            </w:r>
          </w:p>
        </w:tc>
      </w:tr>
      <w:tr w:rsidR="00D36F5E" w:rsidRPr="0067355C" w14:paraId="3B328EA6" w14:textId="77777777" w:rsidTr="002A3EA2">
        <w:trPr>
          <w:trHeight w:val="263"/>
        </w:trPr>
        <w:tc>
          <w:tcPr>
            <w:tcW w:w="3788" w:type="dxa"/>
            <w:shd w:val="clear" w:color="auto" w:fill="auto"/>
            <w:tcMar>
              <w:top w:w="0" w:type="dxa"/>
              <w:left w:w="70" w:type="dxa"/>
              <w:bottom w:w="0" w:type="dxa"/>
              <w:right w:w="70" w:type="dxa"/>
            </w:tcMar>
            <w:vAlign w:val="center"/>
          </w:tcPr>
          <w:p w14:paraId="71ED1AA9"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Symptômes de TOC                                </w:t>
            </w:r>
          </w:p>
        </w:tc>
        <w:tc>
          <w:tcPr>
            <w:tcW w:w="1021" w:type="dxa"/>
            <w:shd w:val="clear" w:color="auto" w:fill="auto"/>
            <w:tcMar>
              <w:top w:w="0" w:type="dxa"/>
              <w:left w:w="70" w:type="dxa"/>
              <w:bottom w:w="0" w:type="dxa"/>
              <w:right w:w="70" w:type="dxa"/>
            </w:tcMar>
            <w:vAlign w:val="center"/>
          </w:tcPr>
          <w:p w14:paraId="3024B8C9" w14:textId="4DCF93AA" w:rsidR="00640BFD" w:rsidRPr="0067355C" w:rsidRDefault="00717457" w:rsidP="00D7109A">
            <w:pPr>
              <w:autoSpaceDN w:val="0"/>
              <w:spacing w:line="360" w:lineRule="auto"/>
              <w:jc w:val="both"/>
              <w:rPr>
                <w:rFonts w:ascii="Garamond" w:hAnsi="Garamond"/>
                <w:lang w:val="fr-FR" w:eastAsia="fr-FR"/>
              </w:rPr>
            </w:pPr>
            <w:r>
              <w:rPr>
                <w:rFonts w:ascii="Garamond" w:hAnsi="Garamond"/>
                <w:lang w:val="fr-FR" w:eastAsia="fr-FR"/>
              </w:rPr>
              <w:t>0</w:t>
            </w:r>
            <w:r w:rsidR="00FE09A6" w:rsidRPr="00FE09A6">
              <w:rPr>
                <w:rFonts w:ascii="Garamond" w:hAnsi="Garamond"/>
                <w:lang w:val="fr-FR" w:eastAsia="fr-FR"/>
              </w:rPr>
              <w:t>,713</w:t>
            </w:r>
          </w:p>
        </w:tc>
        <w:tc>
          <w:tcPr>
            <w:tcW w:w="1433" w:type="dxa"/>
            <w:shd w:val="clear" w:color="auto" w:fill="auto"/>
            <w:noWrap/>
            <w:tcMar>
              <w:top w:w="0" w:type="dxa"/>
              <w:left w:w="70" w:type="dxa"/>
              <w:bottom w:w="0" w:type="dxa"/>
              <w:right w:w="70" w:type="dxa"/>
            </w:tcMar>
            <w:vAlign w:val="bottom"/>
          </w:tcPr>
          <w:p w14:paraId="0BD1C65F" w14:textId="22D8A33D" w:rsidR="00640BFD" w:rsidRPr="0067355C" w:rsidRDefault="00FE09A6" w:rsidP="00FE09A6">
            <w:pPr>
              <w:autoSpaceDN w:val="0"/>
              <w:spacing w:line="360" w:lineRule="auto"/>
              <w:jc w:val="both"/>
              <w:rPr>
                <w:rFonts w:ascii="Garamond" w:hAnsi="Garamond"/>
                <w:lang w:val="fr-FR" w:eastAsia="fr-FR"/>
              </w:rPr>
            </w:pPr>
            <w:r>
              <w:rPr>
                <w:rFonts w:ascii="Garamond" w:hAnsi="Garamond" w:cs="Calibri"/>
                <w:lang w:val="fr-FR" w:eastAsia="fr-FR"/>
              </w:rPr>
              <w:t>(0,051;0</w:t>
            </w:r>
            <w:r w:rsidRPr="00FE09A6">
              <w:rPr>
                <w:rFonts w:ascii="Garamond" w:hAnsi="Garamond" w:cs="Calibri"/>
                <w:lang w:val="fr-FR" w:eastAsia="fr-FR"/>
              </w:rPr>
              <w:t>,043</w:t>
            </w:r>
            <w:r w:rsidR="00640BFD" w:rsidRPr="0067355C">
              <w:rPr>
                <w:rFonts w:ascii="Garamond" w:hAnsi="Garamond" w:cs="Calibri"/>
                <w:lang w:val="fr-FR" w:eastAsia="fr-FR"/>
              </w:rPr>
              <w:t>)</w:t>
            </w:r>
          </w:p>
        </w:tc>
        <w:tc>
          <w:tcPr>
            <w:tcW w:w="575" w:type="dxa"/>
            <w:shd w:val="clear" w:color="auto" w:fill="auto"/>
            <w:noWrap/>
            <w:tcMar>
              <w:top w:w="0" w:type="dxa"/>
              <w:left w:w="70" w:type="dxa"/>
              <w:bottom w:w="0" w:type="dxa"/>
              <w:right w:w="70" w:type="dxa"/>
            </w:tcMar>
            <w:vAlign w:val="bottom"/>
          </w:tcPr>
          <w:p w14:paraId="09B3EBB4" w14:textId="015EE089" w:rsidR="00640BFD" w:rsidRPr="0067355C" w:rsidRDefault="006F7C02" w:rsidP="00D7109A">
            <w:pPr>
              <w:autoSpaceDN w:val="0"/>
              <w:spacing w:line="360" w:lineRule="auto"/>
              <w:jc w:val="both"/>
              <w:rPr>
                <w:rFonts w:ascii="Garamond" w:hAnsi="Garamond"/>
                <w:lang w:val="fr-FR" w:eastAsia="fr-FR"/>
              </w:rPr>
            </w:pPr>
            <w:r>
              <w:rPr>
                <w:rFonts w:ascii="Garamond" w:hAnsi="Garamond" w:cs="Calibri"/>
                <w:lang w:val="fr-FR" w:eastAsia="fr-FR"/>
              </w:rPr>
              <w:t>0</w:t>
            </w:r>
            <w:r w:rsidR="00FE09A6">
              <w:rPr>
                <w:rFonts w:ascii="Arial" w:hAnsi="Arial" w:cs="Arial"/>
                <w:color w:val="010205"/>
                <w:sz w:val="18"/>
                <w:szCs w:val="18"/>
              </w:rPr>
              <w:t>,208</w:t>
            </w:r>
          </w:p>
        </w:tc>
        <w:tc>
          <w:tcPr>
            <w:tcW w:w="1375" w:type="dxa"/>
            <w:shd w:val="clear" w:color="auto" w:fill="auto"/>
            <w:noWrap/>
            <w:tcMar>
              <w:top w:w="0" w:type="dxa"/>
              <w:left w:w="70" w:type="dxa"/>
              <w:bottom w:w="0" w:type="dxa"/>
              <w:right w:w="70" w:type="dxa"/>
            </w:tcMar>
            <w:vAlign w:val="bottom"/>
          </w:tcPr>
          <w:p w14:paraId="56660CEA" w14:textId="2AF4E780" w:rsidR="00640BFD" w:rsidRPr="0067355C" w:rsidRDefault="00717457"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3237DE">
              <w:rPr>
                <w:rFonts w:ascii="Garamond" w:hAnsi="Garamond" w:cs="Calibri"/>
                <w:lang w:val="fr-FR" w:eastAsia="fr-FR"/>
              </w:rPr>
              <w:t>0</w:t>
            </w:r>
            <w:r w:rsidR="003237DE" w:rsidRPr="003237DE">
              <w:rPr>
                <w:rFonts w:ascii="Garamond" w:hAnsi="Garamond" w:cs="Calibri"/>
                <w:lang w:val="fr-FR" w:eastAsia="fr-FR"/>
              </w:rPr>
              <w:t>,042</w:t>
            </w:r>
          </w:p>
        </w:tc>
        <w:tc>
          <w:tcPr>
            <w:tcW w:w="1375" w:type="dxa"/>
            <w:shd w:val="clear" w:color="auto" w:fill="auto"/>
            <w:noWrap/>
            <w:tcMar>
              <w:top w:w="0" w:type="dxa"/>
              <w:left w:w="70" w:type="dxa"/>
              <w:bottom w:w="0" w:type="dxa"/>
              <w:right w:w="70" w:type="dxa"/>
            </w:tcMar>
            <w:vAlign w:val="bottom"/>
          </w:tcPr>
          <w:p w14:paraId="240A5383" w14:textId="140EA6AB" w:rsidR="00640BFD" w:rsidRPr="0067355C" w:rsidRDefault="003237DE" w:rsidP="00D7109A">
            <w:pPr>
              <w:autoSpaceDN w:val="0"/>
              <w:spacing w:line="360" w:lineRule="auto"/>
              <w:jc w:val="both"/>
              <w:rPr>
                <w:rFonts w:ascii="Garamond" w:hAnsi="Garamond"/>
                <w:lang w:val="fr-FR" w:eastAsia="fr-FR"/>
              </w:rPr>
            </w:pPr>
            <w:r>
              <w:rPr>
                <w:rFonts w:ascii="Garamond" w:hAnsi="Garamond" w:cs="Calibri"/>
                <w:lang w:val="fr-FR" w:eastAsia="fr-FR"/>
              </w:rPr>
              <w:t>0</w:t>
            </w:r>
            <w:r w:rsidRPr="003237DE">
              <w:rPr>
                <w:rFonts w:ascii="Garamond" w:hAnsi="Garamond" w:cs="Calibri"/>
                <w:lang w:val="fr-FR" w:eastAsia="fr-FR"/>
              </w:rPr>
              <w:t>,713</w:t>
            </w:r>
          </w:p>
        </w:tc>
      </w:tr>
      <w:tr w:rsidR="00D36F5E" w:rsidRPr="0067355C" w14:paraId="169E1D17" w14:textId="77777777" w:rsidTr="002A3EA2">
        <w:trPr>
          <w:trHeight w:val="79"/>
        </w:trPr>
        <w:tc>
          <w:tcPr>
            <w:tcW w:w="3788" w:type="dxa"/>
            <w:tcBorders>
              <w:bottom w:val="single" w:sz="4" w:space="0" w:color="000000"/>
            </w:tcBorders>
            <w:shd w:val="clear" w:color="auto" w:fill="auto"/>
            <w:tcMar>
              <w:top w:w="0" w:type="dxa"/>
              <w:left w:w="70" w:type="dxa"/>
              <w:bottom w:w="0" w:type="dxa"/>
              <w:right w:w="70" w:type="dxa"/>
            </w:tcMar>
            <w:vAlign w:val="center"/>
          </w:tcPr>
          <w:p w14:paraId="0C60C0FB" w14:textId="77777777" w:rsidR="00640BFD" w:rsidRPr="0067355C" w:rsidRDefault="00640BFD" w:rsidP="00D7109A">
            <w:pPr>
              <w:autoSpaceDN w:val="0"/>
              <w:spacing w:line="360" w:lineRule="auto"/>
              <w:jc w:val="both"/>
              <w:rPr>
                <w:rFonts w:ascii="Garamond" w:hAnsi="Garamond"/>
                <w:lang w:val="fr-FR" w:eastAsia="fr-FR"/>
              </w:rPr>
            </w:pPr>
            <w:r w:rsidRPr="0067355C">
              <w:rPr>
                <w:rFonts w:ascii="Garamond" w:hAnsi="Garamond"/>
                <w:lang w:val="fr-FR" w:eastAsia="fr-FR"/>
              </w:rPr>
              <w:t xml:space="preserve">Sentiment de compétence des parents       </w:t>
            </w:r>
          </w:p>
        </w:tc>
        <w:tc>
          <w:tcPr>
            <w:tcW w:w="1021" w:type="dxa"/>
            <w:tcBorders>
              <w:bottom w:val="single" w:sz="4" w:space="0" w:color="000000"/>
            </w:tcBorders>
            <w:shd w:val="clear" w:color="auto" w:fill="auto"/>
            <w:tcMar>
              <w:top w:w="0" w:type="dxa"/>
              <w:left w:w="70" w:type="dxa"/>
              <w:bottom w:w="0" w:type="dxa"/>
              <w:right w:w="70" w:type="dxa"/>
            </w:tcMar>
            <w:vAlign w:val="center"/>
          </w:tcPr>
          <w:p w14:paraId="5AF28A55" w14:textId="5C644D86" w:rsidR="00640BFD" w:rsidRPr="0067355C" w:rsidRDefault="00FE09A6" w:rsidP="00D7109A">
            <w:pPr>
              <w:autoSpaceDN w:val="0"/>
              <w:spacing w:line="360" w:lineRule="auto"/>
              <w:jc w:val="both"/>
              <w:rPr>
                <w:rFonts w:ascii="Garamond" w:hAnsi="Garamond"/>
                <w:lang w:val="fr-FR" w:eastAsia="fr-FR"/>
              </w:rPr>
            </w:pPr>
            <w:r>
              <w:rPr>
                <w:rFonts w:ascii="Garamond" w:hAnsi="Garamond"/>
                <w:lang w:val="fr-FR" w:eastAsia="fr-FR"/>
              </w:rPr>
              <w:t>0,426</w:t>
            </w:r>
          </w:p>
        </w:tc>
        <w:tc>
          <w:tcPr>
            <w:tcW w:w="1433" w:type="dxa"/>
            <w:tcBorders>
              <w:bottom w:val="single" w:sz="4" w:space="0" w:color="000000"/>
            </w:tcBorders>
            <w:shd w:val="clear" w:color="auto" w:fill="auto"/>
            <w:noWrap/>
            <w:tcMar>
              <w:top w:w="0" w:type="dxa"/>
              <w:left w:w="70" w:type="dxa"/>
              <w:bottom w:w="0" w:type="dxa"/>
              <w:right w:w="70" w:type="dxa"/>
            </w:tcMar>
            <w:vAlign w:val="bottom"/>
          </w:tcPr>
          <w:p w14:paraId="25B1BB91" w14:textId="5AAD4296" w:rsidR="00640BFD" w:rsidRPr="0067355C" w:rsidRDefault="00FE09A6" w:rsidP="00D7109A">
            <w:pPr>
              <w:autoSpaceDN w:val="0"/>
              <w:spacing w:line="360" w:lineRule="auto"/>
              <w:jc w:val="both"/>
              <w:rPr>
                <w:rFonts w:ascii="Garamond" w:hAnsi="Garamond"/>
                <w:lang w:val="fr-FR" w:eastAsia="fr-FR"/>
              </w:rPr>
            </w:pPr>
            <w:r>
              <w:rPr>
                <w:rFonts w:ascii="Garamond" w:hAnsi="Garamond" w:cs="Calibri"/>
                <w:lang w:val="fr-FR" w:eastAsia="fr-FR"/>
              </w:rPr>
              <w:t>(0,180; 0,</w:t>
            </w:r>
            <w:r>
              <w:rPr>
                <w:rFonts w:ascii="Arial" w:hAnsi="Arial" w:cs="Arial"/>
                <w:color w:val="010205"/>
                <w:sz w:val="18"/>
                <w:szCs w:val="18"/>
              </w:rPr>
              <w:t>092</w:t>
            </w:r>
            <w:r w:rsidR="00640BFD" w:rsidRPr="0067355C">
              <w:rPr>
                <w:rFonts w:ascii="Garamond" w:hAnsi="Garamond" w:cs="Calibri"/>
                <w:lang w:val="fr-FR" w:eastAsia="fr-FR"/>
              </w:rPr>
              <w:t xml:space="preserve">) </w:t>
            </w:r>
          </w:p>
        </w:tc>
        <w:tc>
          <w:tcPr>
            <w:tcW w:w="575" w:type="dxa"/>
            <w:tcBorders>
              <w:bottom w:val="single" w:sz="4" w:space="0" w:color="000000"/>
            </w:tcBorders>
            <w:shd w:val="clear" w:color="auto" w:fill="auto"/>
            <w:noWrap/>
            <w:tcMar>
              <w:top w:w="0" w:type="dxa"/>
              <w:left w:w="70" w:type="dxa"/>
              <w:bottom w:w="0" w:type="dxa"/>
              <w:right w:w="70" w:type="dxa"/>
            </w:tcMar>
            <w:vAlign w:val="bottom"/>
          </w:tcPr>
          <w:p w14:paraId="2E75779A" w14:textId="5EB11AE1" w:rsidR="00640BFD" w:rsidRPr="0067355C" w:rsidRDefault="00FE09A6" w:rsidP="00D7109A">
            <w:pPr>
              <w:autoSpaceDN w:val="0"/>
              <w:spacing w:line="360" w:lineRule="auto"/>
              <w:jc w:val="both"/>
              <w:rPr>
                <w:rFonts w:ascii="Garamond" w:hAnsi="Garamond"/>
                <w:lang w:val="fr-FR" w:eastAsia="fr-FR"/>
              </w:rPr>
            </w:pPr>
            <w:r>
              <w:rPr>
                <w:rFonts w:ascii="Garamond" w:hAnsi="Garamond"/>
                <w:lang w:val="fr-FR" w:eastAsia="fr-FR"/>
              </w:rPr>
              <w:t>0</w:t>
            </w:r>
            <w:r w:rsidRPr="00FE09A6">
              <w:rPr>
                <w:rFonts w:ascii="Garamond" w:hAnsi="Garamond"/>
                <w:lang w:val="fr-FR" w:eastAsia="fr-FR"/>
              </w:rPr>
              <w:t>,008</w:t>
            </w:r>
          </w:p>
        </w:tc>
        <w:tc>
          <w:tcPr>
            <w:tcW w:w="1375" w:type="dxa"/>
            <w:tcBorders>
              <w:bottom w:val="single" w:sz="4" w:space="0" w:color="000000"/>
            </w:tcBorders>
            <w:shd w:val="clear" w:color="auto" w:fill="auto"/>
            <w:noWrap/>
            <w:tcMar>
              <w:top w:w="0" w:type="dxa"/>
              <w:left w:w="70" w:type="dxa"/>
              <w:bottom w:w="0" w:type="dxa"/>
              <w:right w:w="70" w:type="dxa"/>
            </w:tcMar>
            <w:vAlign w:val="bottom"/>
          </w:tcPr>
          <w:p w14:paraId="6B7A252F" w14:textId="1061DED0" w:rsidR="00640BFD" w:rsidRPr="0067355C" w:rsidRDefault="00717457" w:rsidP="00D7109A">
            <w:pPr>
              <w:autoSpaceDN w:val="0"/>
              <w:spacing w:line="360" w:lineRule="auto"/>
              <w:jc w:val="both"/>
              <w:rPr>
                <w:rFonts w:ascii="Garamond" w:hAnsi="Garamond"/>
                <w:lang w:val="fr-FR" w:eastAsia="fr-FR"/>
              </w:rPr>
            </w:pPr>
            <w:r>
              <w:rPr>
                <w:rFonts w:ascii="Garamond" w:hAnsi="Garamond" w:cs="Calibri"/>
                <w:lang w:val="fr-FR" w:eastAsia="fr-FR"/>
              </w:rPr>
              <w:t xml:space="preserve"> </w:t>
            </w:r>
            <w:r w:rsidR="003237DE">
              <w:rPr>
                <w:rFonts w:ascii="Garamond" w:hAnsi="Garamond" w:cs="Calibri"/>
                <w:lang w:val="fr-FR" w:eastAsia="fr-FR"/>
              </w:rPr>
              <w:t>0</w:t>
            </w:r>
            <w:r w:rsidR="003237DE" w:rsidRPr="003237DE">
              <w:rPr>
                <w:rFonts w:ascii="Garamond" w:hAnsi="Garamond" w:cs="Calibri"/>
                <w:lang w:val="fr-FR" w:eastAsia="fr-FR"/>
              </w:rPr>
              <w:t>,108</w:t>
            </w:r>
          </w:p>
        </w:tc>
        <w:tc>
          <w:tcPr>
            <w:tcW w:w="1375" w:type="dxa"/>
            <w:tcBorders>
              <w:bottom w:val="single" w:sz="4" w:space="0" w:color="000000"/>
            </w:tcBorders>
            <w:shd w:val="clear" w:color="auto" w:fill="auto"/>
            <w:noWrap/>
            <w:tcMar>
              <w:top w:w="0" w:type="dxa"/>
              <w:left w:w="70" w:type="dxa"/>
              <w:bottom w:w="0" w:type="dxa"/>
              <w:right w:w="70" w:type="dxa"/>
            </w:tcMar>
            <w:vAlign w:val="bottom"/>
          </w:tcPr>
          <w:p w14:paraId="47F17EE6" w14:textId="111CB72E" w:rsidR="00640BFD" w:rsidRPr="0067355C" w:rsidRDefault="003237DE" w:rsidP="00D7109A">
            <w:pPr>
              <w:autoSpaceDN w:val="0"/>
              <w:spacing w:line="360" w:lineRule="auto"/>
              <w:jc w:val="both"/>
              <w:rPr>
                <w:rFonts w:ascii="Garamond" w:hAnsi="Garamond"/>
                <w:lang w:val="fr-FR" w:eastAsia="fr-FR"/>
              </w:rPr>
            </w:pPr>
            <w:r>
              <w:rPr>
                <w:rFonts w:ascii="Garamond" w:hAnsi="Garamond"/>
                <w:lang w:val="fr-FR" w:eastAsia="fr-FR"/>
              </w:rPr>
              <w:t>0</w:t>
            </w:r>
            <w:r w:rsidRPr="003237DE">
              <w:rPr>
                <w:rFonts w:ascii="Garamond" w:hAnsi="Garamond"/>
                <w:lang w:val="fr-FR" w:eastAsia="fr-FR"/>
              </w:rPr>
              <w:t>,426</w:t>
            </w:r>
          </w:p>
        </w:tc>
      </w:tr>
    </w:tbl>
    <w:p w14:paraId="42FAE1D3" w14:textId="77777777" w:rsidR="00640BFD" w:rsidRDefault="00640BFD" w:rsidP="00465C3B">
      <w:pPr>
        <w:autoSpaceDN w:val="0"/>
        <w:spacing w:line="360" w:lineRule="auto"/>
        <w:jc w:val="both"/>
        <w:rPr>
          <w:rFonts w:ascii="Garamond" w:hAnsi="Garamond"/>
          <w:lang w:val="fr-FR" w:eastAsia="fr-FR"/>
        </w:rPr>
      </w:pPr>
    </w:p>
    <w:p w14:paraId="3A2B288F" w14:textId="77777777" w:rsidR="00050DDA" w:rsidRDefault="00050DDA" w:rsidP="00465C3B">
      <w:pPr>
        <w:autoSpaceDN w:val="0"/>
        <w:spacing w:line="360" w:lineRule="auto"/>
        <w:jc w:val="both"/>
        <w:rPr>
          <w:rFonts w:ascii="Garamond" w:hAnsi="Garamond"/>
          <w:lang w:val="fr-FR" w:eastAsia="fr-FR"/>
        </w:rPr>
      </w:pPr>
    </w:p>
    <w:p w14:paraId="75698380" w14:textId="77777777" w:rsidR="00050DDA" w:rsidRPr="001745E8" w:rsidRDefault="00050DDA" w:rsidP="00465C3B">
      <w:pPr>
        <w:autoSpaceDN w:val="0"/>
        <w:spacing w:line="360" w:lineRule="auto"/>
        <w:jc w:val="both"/>
        <w:rPr>
          <w:rFonts w:ascii="Garamond" w:hAnsi="Garamond"/>
          <w:lang w:val="fr-FR" w:eastAsia="fr-FR"/>
        </w:rPr>
      </w:pPr>
    </w:p>
    <w:p w14:paraId="2C5830F8" w14:textId="77777777" w:rsidR="00640BFD" w:rsidRPr="001745E8" w:rsidRDefault="00640BFD" w:rsidP="00640BFD">
      <w:pPr>
        <w:autoSpaceDN w:val="0"/>
        <w:spacing w:line="360" w:lineRule="auto"/>
        <w:jc w:val="both"/>
        <w:rPr>
          <w:rFonts w:ascii="Garamond" w:hAnsi="Garamond"/>
          <w:lang w:val="fr-FR" w:eastAsia="fr-FR"/>
        </w:rPr>
      </w:pPr>
      <w:r w:rsidRPr="001745E8">
        <w:rPr>
          <w:rFonts w:ascii="Garamond" w:hAnsi="Garamond"/>
          <w:lang w:val="fr-FR" w:eastAsia="fr-FR"/>
        </w:rPr>
        <w:t>Note : Les variables indépendantes ont été ajoutées hiérarchiquement en trois blocs, ce tableau présente les résultats du dernier bloc contenant toutes les variables prédictives. La colonne b représente les coefficients normalisés ; toutes les autres statistiques proviennent d'analyses bootstrapped.</w:t>
      </w:r>
    </w:p>
    <w:p w14:paraId="6276A8A8" w14:textId="77777777" w:rsidR="00465C3B" w:rsidRPr="00465C3B" w:rsidRDefault="00465C3B" w:rsidP="00575541">
      <w:pPr>
        <w:pStyle w:val="Prrafocomn"/>
        <w:ind w:firstLine="0"/>
        <w:rPr>
          <w:lang w:val="fr-FR"/>
        </w:rPr>
      </w:pPr>
    </w:p>
    <w:p w14:paraId="67FEF24D" w14:textId="77777777" w:rsidR="005E4ED4" w:rsidRDefault="00CE7D65" w:rsidP="005E4ED4">
      <w:pPr>
        <w:pStyle w:val="Ttulosinternos"/>
      </w:pPr>
      <w:r w:rsidRPr="00E25900">
        <w:t>Discussion</w:t>
      </w:r>
    </w:p>
    <w:p w14:paraId="69171847" w14:textId="174EF789" w:rsidR="00003EE6" w:rsidRDefault="00640BFD" w:rsidP="00AF404D">
      <w:pPr>
        <w:spacing w:line="360" w:lineRule="auto"/>
        <w:ind w:firstLine="720"/>
        <w:jc w:val="both"/>
      </w:pPr>
      <w:r w:rsidRPr="00640BFD">
        <w:t>L'objectif de cette étude était de déterminer si les enfants atteints de TDAH avaient des représentations d'attachement plus insécures et/ou désorganisées par rapport à leurs pairs sans TDAH. En utilisant des questionnaires les Gens dans ma vie, nous avons constaté que, conformément à notre hypothèse, les enfants atteints de TDAH avaient des représentations d'attachement moins sécurisées par rapport aux enfants au développement typique. De plus, les enfants atteints du TDAH avaient des représentations d'attachement plus ambivalentes et désorganisées. Ces résultats sont soutenus par l’étude sur les styles d’attachement des enfants selon laquelle les  aspects de la parentalité à travers les yeux de l'enfant  étaient solidement attachés à leurs deux parents.</w:t>
      </w:r>
      <w:r w:rsidR="00FC652A">
        <w:t xml:space="preserve"> </w:t>
      </w:r>
      <w:r w:rsidRPr="00640BFD">
        <w:t xml:space="preserve">Aucune différence entre les groupes n'a été trouvée sur les représentations d'attachement évitant. Nous n'avons constaté aucun effet des symptômes de TOC et de l'éducation des parents sur les représentations d'attachement, ce qui indique que le lien entre l'attachement insécurisant et désorganisé et le TDAH n'est pas expliqué par ces facteurs. Ainsi, une étude menée à Nairobi sur les styles d'attachement d'enfants âgés de 8 à 14 ans a révélé que la sécurité de l'attachement est l'un des facteurs connus pour protéger contre de nombreux types de psychopathologie chez les jeunes. La même étude démontre que les expériences familiales actuelles ont une plus grande influence sur la façon dont les enfants représentent l'attachement dans leurs premières années et plus tard à l'adolescence que leurs relations avec leur principal pourvoyeur de soins </w:t>
      </w:r>
      <w:r w:rsidRPr="00640BFD">
        <w:fldChar w:fldCharType="begin"/>
      </w:r>
      <w:r w:rsidR="0075727F">
        <w:instrText xml:space="preserve"> ADDIN ZOTERO_ITEM CSL_CITATION {"citationID":"a1hm89hc5jm","properties":{"formattedCitation":"(Polkovnikova-Wamoto, 2014)","plainCitation":"(Polkovnikova-Wamoto, 2014)","noteIndex":0},"citationItems":[{"id":251,"uris":["http://zotero.org/users/9196345/items/P8SV3Q4I"],"itemData":{"id":251,"type":"article-journal","note":"publisher: University of Nairobi","title":"A study of attachment styles among children aged from 8 to 14 years in Nairobi, Kenya","author":[{"family":"Polkovnikova-Wamoto","given":"Anastasia"}],"issued":{"date-parts":[["2014"]]}}}],"schema":"https://github.com/citation-style-language/schema/raw/master/csl-citation.json"} </w:instrText>
      </w:r>
      <w:r w:rsidRPr="00640BFD">
        <w:fldChar w:fldCharType="separate"/>
      </w:r>
      <w:r w:rsidRPr="00640BFD">
        <w:t>(Polkovnikova-Wamoto, 2014)</w:t>
      </w:r>
      <w:r w:rsidRPr="00640BFD">
        <w:fldChar w:fldCharType="end"/>
      </w:r>
      <w:r w:rsidRPr="00640BFD">
        <w:t>.</w:t>
      </w:r>
    </w:p>
    <w:p w14:paraId="6E6578A2" w14:textId="5E87CBD4" w:rsidR="00003EE6" w:rsidRDefault="00640BFD" w:rsidP="00AF404D">
      <w:pPr>
        <w:spacing w:line="360" w:lineRule="auto"/>
        <w:jc w:val="both"/>
      </w:pPr>
      <w:r w:rsidRPr="00640BFD">
        <w:t xml:space="preserve">Le lien entre l'attachement insécurisant et désorganisé et le TDAH pourrait s'expliquer par plusieurs mécanismes. </w:t>
      </w:r>
      <w:r w:rsidR="00F77C3B" w:rsidRPr="00F77C3B">
        <w:t xml:space="preserve">Les comportements inattentifs, hyperactifs et impulsifs des enfants atteints de TDAH peuvent augmenter le stress parental, interférer avec un comportement sensible et réactif, et remettre en question la capacité des parents à fournir une base sûre à leur enfant. Les facteurs de risque familiaux (risqué, rejet parental, deuil maternel non résolu, problèmes </w:t>
      </w:r>
      <w:r w:rsidR="00F77C3B" w:rsidRPr="00F77C3B">
        <w:lastRenderedPageBreak/>
        <w:t>relationnels parent-enfant et problèmes d'attachement mère-enfant) augmentent la probabilité de développer un TDAH plus tard</w:t>
      </w:r>
      <w:r w:rsidRPr="001E6ADA">
        <w:fldChar w:fldCharType="begin"/>
      </w:r>
      <w:r w:rsidR="0075727F">
        <w:instrText xml:space="preserve"> ADDIN ZOTERO_ITEM CSL_CITATION {"citationID":"auCopVo2","properties":{"formattedCitation":"(Bosmans et al., 2020; Leblanc &amp; Desbiens, 2008; Thomas et al., 2015)","plainCitation":"(Bosmans et al., 2020; Leblanc &amp; Desbiens, 2008; Thomas et al., 2015)","noteIndex":0},"citationItems":[{"id":279,"uris":["http://zotero.org/users/9196345/items/8DV4V2X8"],"itemData":{"id":279,"type":"article-journal","container-title":"Neuroscience &amp; Biobehavioral Reviews","note":"publisher: Elsevier","page":"287–298","source":"Google Scholar","title":"A learning theory of attachment: Unraveling the black box of attachment development","title-short":"A learning theory of attachment","volume":"113","author":[{"family":"Bosmans","given":"Guy"},{"family":"Bakermans-Kranenburg","given":"Marian J."},{"family":"Vervliet","given":"Bram"},{"family":"Verhees","given":"Martine WFT"},{"family":"IJzendoorn","given":"Marinus H.","non-dropping-particle":"van"}],"issued":{"date-parts":[["2020"]]}},"label":"page"},{"id":505,"uris":["http://zotero.org/users/9196345/items/MGEMXJYL"],"itemData":{"id":505,"type":"article-journal","container-title":"Revue des sciences de l'éducation","issue":"1","note":"publisher: Revue des sciences de l'éducation","page":"107–122","source":"Google Scholar","title":"Milieux à risque, expérience familiale et développement de conduites agressives: une recension des écrits d’un point de vue sociocognitif","title-short":"Milieux à risque, expérience familiale et développement de conduites agressives","volume":"34","author":[{"family":"Leblanc","given":"Stéphanie"},{"family":"Desbiens","given":"Nadia"}],"issued":{"date-parts":[["2008"]]}},"label":"page"},{"id":334,"uris":["http://zotero.org/users/9196345/items/ACFRUD3P"],"itemData":{"id":334,"type":"article-journal","container-title":"Pediatrics","ISSN":"0031-4005","issue":"4","journalAbbreviation":"Pediatrics","note":"publisher: American Academy of Pediatrics Elk Grove Village, IL, USA","page":"e994-e1001","title":"Prevalence of attention-deficit/hyperactivity disorder: a systematic review and meta-analysis","volume":"135","author":[{"family":"Thomas","given":"Rae"},{"family":"Sanders","given":"Sharon"},{"family":"Doust","given":"Jenny"},{"family":"Beller","given":"Elaine"},{"family":"Glasziou","given":"Paul"}],"issued":{"date-parts":[["2015"]]}},"label":"page"}],"schema":"https://github.com/citation-style-language/schema/raw/master/csl-citation.json"} </w:instrText>
      </w:r>
      <w:r w:rsidRPr="001E6ADA">
        <w:fldChar w:fldCharType="separate"/>
      </w:r>
      <w:r w:rsidR="00746373" w:rsidRPr="00746373">
        <w:t>(Bosmans et al., 2020; Leblanc &amp; Desbiens, 2008; Thomas et al., 2015)</w:t>
      </w:r>
      <w:r w:rsidRPr="001E6ADA">
        <w:fldChar w:fldCharType="end"/>
      </w:r>
      <w:r w:rsidRPr="001E6ADA">
        <w:t>.</w:t>
      </w:r>
      <w:r w:rsidR="00F77C3B" w:rsidRPr="00F77C3B">
        <w:t>L'étude sur</w:t>
      </w:r>
      <w:r w:rsidR="001E4542" w:rsidRPr="001E4542">
        <w:t xml:space="preserve"> </w:t>
      </w:r>
      <w:r w:rsidR="001E4542">
        <w:t>chez</w:t>
      </w:r>
      <w:r w:rsidR="00F77C3B" w:rsidRPr="00F77C3B">
        <w:t xml:space="preserve"> enfants</w:t>
      </w:r>
      <w:r w:rsidR="001E4542">
        <w:t xml:space="preserve"> atteints du </w:t>
      </w:r>
      <w:r w:rsidR="001E4542" w:rsidRPr="001E4542">
        <w:t>TDAH</w:t>
      </w:r>
      <w:r w:rsidR="00F77C3B">
        <w:t xml:space="preserve"> en  </w:t>
      </w:r>
      <w:r w:rsidR="00282986">
        <w:t>Angleterre</w:t>
      </w:r>
      <w:r w:rsidR="00F77C3B">
        <w:t xml:space="preserve"> </w:t>
      </w:r>
      <w:r w:rsidR="00F77C3B" w:rsidRPr="00F77C3B">
        <w:t xml:space="preserve">et </w:t>
      </w:r>
      <w:r w:rsidR="00F77C3B">
        <w:t xml:space="preserve"> en </w:t>
      </w:r>
      <w:r w:rsidR="00282986">
        <w:t>Roumanie</w:t>
      </w:r>
      <w:r w:rsidR="00F77C3B">
        <w:t xml:space="preserve"> </w:t>
      </w:r>
      <w:r w:rsidR="00F77C3B" w:rsidRPr="00F77C3B">
        <w:t xml:space="preserve"> a montré que les enfants qui grandissent dans des conditions de privation institutionnelle sévère sont plus susceptibles de </w:t>
      </w:r>
      <w:r w:rsidR="001E4542">
        <w:t>présenter des symptômes de TDAH</w:t>
      </w:r>
      <w:r w:rsidR="00446950" w:rsidRPr="00446950">
        <w:rPr>
          <w:color w:val="FF0000"/>
        </w:rPr>
        <w:t xml:space="preserve"> </w:t>
      </w:r>
      <w:r w:rsidR="00446950" w:rsidRPr="00446950">
        <w:fldChar w:fldCharType="begin"/>
      </w:r>
      <w:r w:rsidR="0075727F">
        <w:instrText xml:space="preserve"> ADDIN ZOTERO_ITEM CSL_CITATION {"citationID":"a1kq6ufthdi","properties":{"formattedCitation":"(Kreppner et al., 2001; Stevens et al., 2008)","plainCitation":"(Kreppner et al., 2001; Stevens et al., 2008)","noteIndex":0},"citationItems":[{"id":286,"uris":["http://zotero.org/users/9196345/items/C64JSA3A"],"itemData":{"id":286,"type":"article-journal","container-title":"Journal of abnormal child psychology","ISSN":"0091-0627","journalAbbreviation":"Journal of abnormal child psychology","note":"publisher: Springer","page":"513-528","title":"Can inattention/overactivity be an institutional deprivation syndrome?","volume":"29","author":[{"family":"Kreppner","given":"Jana M"},{"family":"O'Connor","given":"Thomas G"},{"family":"Rutter","given":"Michael"},{"literal":"English and Romanian Adoptees Study Team"}],"issued":{"date-parts":[["2001"]]}},"label":"page"},{"id":287,"uris":["http://zotero.org/users/9196345/items/92G3K8SW"],"itemData":{"id":287,"type":"article-journal","container-title":"Journal of abnormal child psychology","note":"publisher: Springer","page":"385–398","source":"Google Scholar","title":"Inattention/overactivity following early severe institutional deprivation: presentation and associations in early adolescence","title-short":"Inattention/overactivity following early severe institutional deprivation","volume":"36","author":[{"family":"Stevens","given":"Suzanne E."},{"family":"Sonuga-Barke","given":"Edmund JS"},{"family":"Kreppner","given":"Jana M."},{"family":"Beckett","given":"Celia"},{"family":"Castle","given":"Jenny"},{"family":"Colvert","given":"Emma"},{"family":"Groothues","given":"Christine"},{"family":"Hawkins","given":"Amanda"},{"family":"Rutter","given":"Michael"}],"issued":{"date-parts":[["2008"]]}},"label":"page"}],"schema":"https://github.com/citation-style-language/schema/raw/master/csl-citation.json"} </w:instrText>
      </w:r>
      <w:r w:rsidR="00446950" w:rsidRPr="00446950">
        <w:fldChar w:fldCharType="separate"/>
      </w:r>
      <w:r w:rsidR="00446950" w:rsidRPr="00446950">
        <w:t>(Kreppner et al., 2001; Stevens et al., 2008)</w:t>
      </w:r>
      <w:r w:rsidR="00446950" w:rsidRPr="00446950">
        <w:fldChar w:fldCharType="end"/>
      </w:r>
      <w:r w:rsidR="00446950">
        <w:t>.</w:t>
      </w:r>
      <w:r w:rsidR="00F77C3B" w:rsidRPr="00F77C3B">
        <w:t xml:space="preserve"> Une explication de l'association entre l'attachement insécurisant et le TDAH pourrait être que les enfants ayant une relation d'attachement insécurisante avec leurs parents consacrent une partie de leur attention à leur sécurité et à la personne qui s'occupe d'eux</w:t>
      </w:r>
      <w:r w:rsidR="00446950" w:rsidRPr="00446950">
        <w:fldChar w:fldCharType="begin"/>
      </w:r>
      <w:r w:rsidR="0075727F">
        <w:instrText xml:space="preserve"> ADDIN ZOTERO_ITEM CSL_CITATION {"citationID":"a15hjkkebqt","properties":{"formattedCitation":"(Bosmans et al., 2009)","plainCitation":"(Bosmans et al., 2009)","noteIndex":0},"citationItems":[{"id":285,"uris":["http://zotero.org/users/9196345/items/4YWFX9EM"],"itemData":{"id":285,"type":"article-journal","container-title":"Journal of Clinical Child &amp; Adolescent Psychology","issue":"6","note":"publisher: Taylor &amp; Francis","page":"872–882","source":"Google Scholar","title":"Attachment security and attentional breadth toward the attachment figure in middle childhood","volume":"38","author":[{"family":"Bosmans","given":"Guy"},{"family":"Braet","given":"Caroline"},{"family":"Koster","given":"Ernst"},{"family":"Raedt","given":"Rudi De"}],"issued":{"date-parts":[["2009"]]}}}],"schema":"https://github.com/citation-style-language/schema/raw/master/csl-citation.json"} </w:instrText>
      </w:r>
      <w:r w:rsidR="00446950" w:rsidRPr="00446950">
        <w:fldChar w:fldCharType="separate"/>
      </w:r>
      <w:r w:rsidR="00446950" w:rsidRPr="00446950">
        <w:t>(Bosmans et al., 2009)</w:t>
      </w:r>
      <w:r w:rsidR="00446950" w:rsidRPr="00446950">
        <w:fldChar w:fldCharType="end"/>
      </w:r>
      <w:r w:rsidR="00F77C3B" w:rsidRPr="00F77C3B">
        <w:t xml:space="preserve">. Les comportements difficiles de l'enfant, les problèmes parentaux et le stress du début de la vie interagissent synergique au cours de développement, contribuant à la cooccurrence du TDAH et de l'attachement insécurisant chez les </w:t>
      </w:r>
      <w:r w:rsidR="00F77C3B" w:rsidRPr="001E6ADA">
        <w:t>enfants</w:t>
      </w:r>
      <w:r w:rsidR="00446950" w:rsidRPr="001E6ADA">
        <w:t xml:space="preserve"> </w:t>
      </w:r>
      <w:r w:rsidR="00446950" w:rsidRPr="001E6ADA">
        <w:fldChar w:fldCharType="begin"/>
      </w:r>
      <w:r w:rsidR="0075727F">
        <w:instrText xml:space="preserve"> ADDIN ZOTERO_ITEM CSL_CITATION {"citationID":"a1aaea8uhoh","properties":{"formattedCitation":"(Nordling et al., 2016)","plainCitation":"(Nordling et al., 2016)","noteIndex":0},"citationItems":[{"id":283,"uris":["http://zotero.org/users/9196345/items/WXZ46G9D"],"itemData":{"id":283,"type":"article-journal","container-title":"Social Development","issue":"2","note":"publisher: Wiley Online Library","page":"268–284","source":"Google Scholar","title":"Effortful control mediates relations between children's attachment security and their regard for rules of conduct","volume":"25","author":[{"family":"Nordling","given":"Jamie Koenig"},{"family":"Boldt","given":"Lea J."},{"family":"O'Bleness","given":"Jessica"},{"family":"Kochanska","given":"Grazyna"}],"issued":{"date-parts":[["2016"]]}}}],"schema":"https://github.com/citation-style-language/schema/raw/master/csl-citation.json"} </w:instrText>
      </w:r>
      <w:r w:rsidR="00446950" w:rsidRPr="001E6ADA">
        <w:fldChar w:fldCharType="separate"/>
      </w:r>
      <w:r w:rsidR="00446950" w:rsidRPr="001E6ADA">
        <w:t>(Nordling et al., 2016)</w:t>
      </w:r>
      <w:r w:rsidR="00446950" w:rsidRPr="001E6ADA">
        <w:fldChar w:fldCharType="end"/>
      </w:r>
      <w:r w:rsidR="00E977B7">
        <w:t>.</w:t>
      </w:r>
      <w:r w:rsidR="00282986" w:rsidRPr="00282986">
        <w:t xml:space="preserve">Nous avons étudié quatre mécanismes dont le sentiment de compétence des parents </w:t>
      </w:r>
      <w:r w:rsidR="00282986" w:rsidRPr="00282986">
        <w:fldChar w:fldCharType="begin"/>
      </w:r>
      <w:r w:rsidR="0075727F">
        <w:instrText xml:space="preserve"> ADDIN ZOTERO_ITEM CSL_CITATION {"citationID":"a20ebjah5l5","properties":{"formattedCitation":"(Gelkopf &amp; Jabotaro, 2013)","plainCitation":"(Gelkopf &amp; Jabotaro, 2013)","noteIndex":0},"citationItems":[{"id":281,"uris":["http://zotero.org/users/9196345/items/2QXAKPA7"],"itemData":{"id":281,"type":"article-journal","container-title":"Child &amp; Family Social Work","issue":"4","note":"publisher: Wiley Online Library","page":"496–503","source":"Google Scholar","title":"Parenting style, competence, social network and attachment in mothers with mental illness","volume":"18","author":[{"family":"Gelkopf","given":"Marc"},{"family":"Jabotaro","given":"Suzy Ella"}],"issued":{"date-parts":[["2013"]]}}}],"schema":"https://github.com/citation-style-language/schema/raw/master/csl-citation.json"} </w:instrText>
      </w:r>
      <w:r w:rsidR="00282986" w:rsidRPr="00282986">
        <w:fldChar w:fldCharType="separate"/>
      </w:r>
      <w:r w:rsidR="00282986" w:rsidRPr="00282986">
        <w:t>(Gelkopf &amp; Jabotaro, 2013)</w:t>
      </w:r>
      <w:r w:rsidR="00282986" w:rsidRPr="00282986">
        <w:fldChar w:fldCharType="end"/>
      </w:r>
      <w:r w:rsidR="00282986" w:rsidRPr="00282986">
        <w:t>, le niveau d'éducation des parents</w:t>
      </w:r>
      <w:r w:rsidR="00282986" w:rsidRPr="00282986">
        <w:fldChar w:fldCharType="begin"/>
      </w:r>
      <w:r w:rsidR="0075727F">
        <w:instrText xml:space="preserve"> ADDIN ZOTERO_ITEM CSL_CITATION {"citationID":"a1rd1g35m3u","properties":{"formattedCitation":"(Claes &amp; Lacourse, 2001)","plainCitation":"(Claes &amp; Lacourse, 2001)","noteIndex":0},"citationItems":[{"id":280,"uris":["http://zotero.org/users/9196345/items/QG9P56JD"],"itemData":{"id":280,"type":"article-journal","container-title":"Enfance","ISSN":"0013-7545","issue":"4","journalAbbreviation":"Enfance","note":"publisher: Presses universitaires de France","page":"379-399","title":"Pratiques parentales et comportements déviants à l'adolescence","volume":"53","author":[{"family":"Claes","given":"Michel"},{"family":"Lacourse","given":"Éric"}],"issued":{"date-parts":[["2001"]]}}}],"schema":"https://github.com/citation-style-language/schema/raw/master/csl-citation.json"} </w:instrText>
      </w:r>
      <w:r w:rsidR="00282986" w:rsidRPr="00282986">
        <w:fldChar w:fldCharType="separate"/>
      </w:r>
      <w:r w:rsidR="00282986" w:rsidRPr="00282986">
        <w:t>(Claes &amp; Lacourse, 2001)</w:t>
      </w:r>
      <w:r w:rsidR="00282986" w:rsidRPr="00282986">
        <w:fldChar w:fldCharType="end"/>
      </w:r>
      <w:r w:rsidR="00282986" w:rsidRPr="00282986">
        <w:t xml:space="preserve"> .et les symptômes de TOC des enfants étaient tous des candidats probables potentiellement pertinents au sein du groupe TDAH pour mieux comprendre les caractéristiques des enfants atteints de TDAH. Les résultats ont montré qu'aucune de ces mécanismes n'était particulièrement associée à l'une ou l'autre des représentations de l'attachement au sein de TDAH</w:t>
      </w:r>
      <w:r w:rsidR="00565F26" w:rsidRPr="00565F26">
        <w:fldChar w:fldCharType="begin"/>
      </w:r>
      <w:r w:rsidR="0075727F">
        <w:instrText xml:space="preserve"> ADDIN ZOTERO_ITEM CSL_CITATION {"citationID":"a2c53q2f24e","properties":{"formattedCitation":"(Banaschewski et al., 2010; Faraone et al., 2005; Faraone &amp; Biederman, 1998; Faraone &amp; Mick, 2010)","plainCitation":"(Banaschewski et al., 2010; Faraone et al., 2005; Faraone &amp; Biederman, 1998; Faraone &amp; Mick, 2010)","noteIndex":0},"citationItems":[{"id":271,"uris":["http://zotero.org/users/9196345/items/QJC5337H"],"itemData":{"id":271,"type":"article-journal","container-title":"European child &amp; adolescent psychiatry","ISSN":"1018-8827","journalAbbreviation":"European child &amp; adolescent psychiatry","note":"publisher: Springer","page":"237-257","title":"Molecular genetics of attention-deficit/hyperactivity disorder: an overview","volume":"19","author":[{"family":"Banaschewski","given":"Tobias"},{"family":"Becker","given":"Katja"},{"family":"Scherag","given":"Susann"},{"family":"Franke","given":"Barbara"},{"family":"Coghill","given":"David"}],"issued":{"date-parts":[["2010"]]}},"label":"page"},{"id":276,"uris":["http://zotero.org/users/9196345/items/2CK38H6U"],"itemData":{"id":276,"type":"article-journal","container-title":"Biological psychiatry","issue":"11","note":"publisher: Elsevier","page":"1313–1323","source":"Google Scholar","title":"Molecular genetics of attention-deficit/hyperactivity disorder","volume":"57","author":[{"family":"Faraone","given":"Stephen V."},{"family":"Perlis","given":"Roy H."},{"family":"Doyle","given":"Alysa E."},{"family":"Smoller","given":"Jordan W."},{"family":"Goralnick","given":"Jennifer J."},{"family":"Holmgren","given":"Meredith A."},{"family":"Sklar","given":"Pamela"}],"issued":{"date-parts":[["2005"]]}},"label":"page"},{"id":275,"uris":["http://zotero.org/users/9196345/items/TZKURXFD"],"itemData":{"id":275,"type":"article-journal","container-title":"Biological psychiatry","issue":"10","note":"publisher: Elsevier","page":"951–958","source":"Google Scholar","title":"Neurobiology of attention-deficit hyperactivity disorder","volume":"44","author":[{"family":"Faraone","given":"Stephen V."},{"family":"Biederman","given":"Joseph"}],"issued":{"date-parts":[["1998"]]}},"label":"page"},{"id":274,"uris":["http://zotero.org/users/9196345/items/QS3FL2Q6"],"itemData":{"id":274,"type":"article-journal","container-title":"Psychiatric Clinics","issue":"1","note":"publisher: Elsevier","page":"159–180","source":"Google Scholar","title":"Molecular genetics of attention deficit hyperactivity disorder","volume":"33","author":[{"family":"Faraone","given":"Stephen V."},{"family":"Mick","given":"Eric"}],"issued":{"date-parts":[["2010"]]}},"label":"page"}],"schema":"https://github.com/citation-style-language/schema/raw/master/csl-citation.json"} </w:instrText>
      </w:r>
      <w:r w:rsidR="00565F26" w:rsidRPr="00565F26">
        <w:fldChar w:fldCharType="separate"/>
      </w:r>
      <w:r w:rsidR="00565F26" w:rsidRPr="00565F26">
        <w:t>(Banaschewski et al., 2010; Faraone et al., 2005; Faraone &amp; Biederman, 1998; Faraone &amp; Mick, 2010)</w:t>
      </w:r>
      <w:r w:rsidR="00565F26" w:rsidRPr="00565F26">
        <w:fldChar w:fldCharType="end"/>
      </w:r>
      <w:r w:rsidR="00282986" w:rsidRPr="00282986">
        <w:t xml:space="preserve">. </w:t>
      </w:r>
      <w:r w:rsidR="006131A2" w:rsidRPr="006131A2">
        <w:t>Les enfants atteints de TDAH peuvent être moins capables d'apprendre la contingence des signaux de sécurité des soignants</w:t>
      </w:r>
      <w:r w:rsidR="00565F26" w:rsidRPr="00565F26">
        <w:fldChar w:fldCharType="begin"/>
      </w:r>
      <w:r w:rsidR="0075727F">
        <w:instrText xml:space="preserve"> ADDIN ZOTERO_ITEM CSL_CITATION {"citationID":"a2p149d3jt2","properties":{"formattedCitation":"(Belsky et al., 2007)","plainCitation":"(Belsky et al., 2007)","noteIndex":0},"citationItems":[{"id":269,"uris":["http://zotero.org/users/9196345/items/F7H232B5"],"itemData":{"id":269,"type":"article-journal","container-title":"Current directions in psychological science","ISSN":"0963-7214","issue":"6","journalAbbreviation":"Current directions in psychological science","note":"publisher: SAGE Publications Sage CA: Los Angeles, CA","page":"300-304","title":"For better and for worse: Differential susceptibility to environmental influences","volume":"16","author":[{"family":"Belsky","given":"Jay"},{"family":"Bakermans-Kranenburg","given":"Marian J"},{"family":"Van IJzendoorn","given":"Marinus H"}],"issued":{"date-parts":[["2007"]]}}}],"schema":"https://github.com/citation-style-language/schema/raw/master/csl-citation.json"} </w:instrText>
      </w:r>
      <w:r w:rsidR="00565F26" w:rsidRPr="00565F26">
        <w:fldChar w:fldCharType="separate"/>
      </w:r>
      <w:r w:rsidR="00565F26" w:rsidRPr="00565F26">
        <w:t>(Belsky et al., 2007)</w:t>
      </w:r>
      <w:r w:rsidR="00565F26" w:rsidRPr="00565F26">
        <w:fldChar w:fldCharType="end"/>
      </w:r>
      <w:r w:rsidR="006131A2" w:rsidRPr="006131A2">
        <w:t xml:space="preserve">. Les parents d'enfants atteints peuvent également avoir une moindre capacité à apprendre des signaux de sécurité des soignants. Un mécanisme connexe pour expliquer les problèmes d'attachement chez les enfants atteints de TDAH pourrait provenir de la théorie de la susceptibilité </w:t>
      </w:r>
      <w:r w:rsidR="00144920" w:rsidRPr="006131A2">
        <w:t>différentielle.</w:t>
      </w:r>
      <w:r w:rsidR="00144920" w:rsidRPr="00640BFD">
        <w:t xml:space="preserve"> Cela</w:t>
      </w:r>
      <w:r w:rsidRPr="00640BFD">
        <w:t xml:space="preserve"> suggère provisoirement qu'un sous-groupe d'enfants atteints de TDAH est plus sensible aux influences environnementales, ce qui pourrait expliquer les niveaux accrus d'attachement insécurisant et désorganisé, mais impliquerait également une sensibilité accrue aux interventions comportementales</w:t>
      </w:r>
      <w:r w:rsidRPr="00640BFD">
        <w:fldChar w:fldCharType="begin"/>
      </w:r>
      <w:r w:rsidR="0075727F">
        <w:instrText xml:space="preserve"> ADDIN ZOTERO_ITEM CSL_CITATION {"citationID":"a1mb86fqksn","properties":{"formattedCitation":"(Grosse et al., 2007)","plainCitation":"(Grosse et al., 2007)","noteIndex":0},"citationItems":[{"id":268,"uris":["http://zotero.org/users/9196345/items/B8ZVUW9Y"],"itemData":{"id":268,"type":"paper-conference","event-title":"Annales Médico-psychologiques, revue psychiatrique","ISBN":"0003-4487","note":"issue: 5","page":"378-385","publisher":"Elsevier","title":"Trouble déficitaire de l'attention avec hyperactivité chez l'adulte","volume":"165","author":[{"family":"Grosse","given":"E-M"},{"family":"Da Fonseca","given":"D"},{"family":"Fakra","given":"E"},{"family":"Poinso","given":"F"},{"family":"Samuelian","given":"J-C"}],"issued":{"date-parts":[["2007"]]}}}],"schema":"https://github.com/citation-style-language/schema/raw/master/csl-citation.json"} </w:instrText>
      </w:r>
      <w:r w:rsidRPr="00640BFD">
        <w:fldChar w:fldCharType="separate"/>
      </w:r>
      <w:r w:rsidRPr="00640BFD">
        <w:t>(Grosse et al., 2007)</w:t>
      </w:r>
      <w:r w:rsidRPr="00640BFD">
        <w:fldChar w:fldCharType="end"/>
      </w:r>
      <w:r w:rsidRPr="00640BFD">
        <w:t>. Un intérêt croissant est suscité par les liens entre le TDAH et les premières rencontres, comme en témoigne la qualité de l’attachement et du TDAH.</w:t>
      </w:r>
    </w:p>
    <w:p w14:paraId="51205E9A" w14:textId="3BB5D234" w:rsidR="00446950" w:rsidRDefault="00640BFD" w:rsidP="00AF404D">
      <w:pPr>
        <w:spacing w:line="360" w:lineRule="auto"/>
        <w:jc w:val="both"/>
      </w:pPr>
      <w:r w:rsidRPr="00640BFD">
        <w:t xml:space="preserve"> Plusieurs théories peuvent être avancées concernant les styles d’attachement, la sécurité des interactions familiales, les perturbations graves dans l’établissement des interactions précoces et les problèmes de régulation émotionnelle. Une meilleure compréhension des mécanismes et </w:t>
      </w:r>
      <w:r w:rsidRPr="00640BFD">
        <w:lastRenderedPageBreak/>
        <w:t>l’organisation de mesures préventives plus ciblées devraient être rendues possibles par le développement de la recherche sur les effets à moyen et long terme du stress périnatal.</w:t>
      </w:r>
      <w:r w:rsidR="00446950" w:rsidRPr="00282986">
        <w:t xml:space="preserve">L'étude a adopté un modèle de cas-témoin et a utilisé un </w:t>
      </w:r>
      <w:r w:rsidR="00E977B7">
        <w:t xml:space="preserve">questionnaire auto évaluation </w:t>
      </w:r>
      <w:r w:rsidR="00446950" w:rsidRPr="00282986">
        <w:t xml:space="preserve">pour mesurer les représentations de l'attachement. On a constaté que le lien entre la TDAH et l'attachement insécurisant et désorganisé était indépendant des symptômes du COT et du niveau d'éducation des parents. Cependant, il est probable que les différences entre les groupes en termes de représentations de l'attachement seraient plus importantes si le groupe avait été plus gravement </w:t>
      </w:r>
      <w:r w:rsidR="00003EE6" w:rsidRPr="00282986">
        <w:t>touché.</w:t>
      </w:r>
      <w:r w:rsidR="00003EE6" w:rsidRPr="00446950">
        <w:t xml:space="preserve"> Les</w:t>
      </w:r>
      <w:r w:rsidR="00446950" w:rsidRPr="00446950">
        <w:t xml:space="preserve"> résultats de l'évaluation des enfants présentant des comportements de TDAH et/ou des problèmes liés à l'attachement ont suggéré de prendre en compte à la fois le TDAH et l'attachement. Une méta-analyse sur les éléments efficaces de la formation comportementale des parents chez les enfants atteints de TDAH a suggéré que les </w:t>
      </w:r>
      <w:r w:rsidR="00446950" w:rsidRPr="00282986">
        <w:t>techniques comportementales fondation elles étaient associées à la plus grande efficacité</w:t>
      </w:r>
      <w:r w:rsidR="00282986" w:rsidRPr="00282986">
        <w:fldChar w:fldCharType="begin"/>
      </w:r>
      <w:r w:rsidR="0075727F">
        <w:instrText xml:space="preserve"> ADDIN ZOTERO_ITEM CSL_CITATION {"citationID":"au365nmo40","properties":{"formattedCitation":"(Kerbage, 2022)","plainCitation":"(Kerbage, 2022)","noteIndex":0},"citationItems":[{"id":263,"uris":["http://zotero.org/users/9196345/items/L42IKPP8"],"itemData":{"id":263,"type":"book","ISBN":"2-340-07607-2","publisher":"Editions Ellipses","title":"J'accompagne mon enfant face au traumatisme","author":[{"family":"Kerbage","given":"Hala"}],"issued":{"date-parts":[["2022"]]}}}],"schema":"https://github.com/citation-style-language/schema/raw/master/csl-citation.json"} </w:instrText>
      </w:r>
      <w:r w:rsidR="00282986" w:rsidRPr="00282986">
        <w:fldChar w:fldCharType="separate"/>
      </w:r>
      <w:r w:rsidR="00282986" w:rsidRPr="00282986">
        <w:t>(Kerbage, 2022)</w:t>
      </w:r>
      <w:r w:rsidR="00282986" w:rsidRPr="00282986">
        <w:fldChar w:fldCharType="end"/>
      </w:r>
      <w:r w:rsidR="00446950" w:rsidRPr="00446950">
        <w:t>. Une comparaison directe entre la formation comportementale régulière des parents et les interventions parentales axées sur l'amélioration de la relation est nécessaire pour améliorer l'apprentissage des enfants atteints de TDAH.</w:t>
      </w:r>
      <w:r w:rsidR="00282986" w:rsidRPr="00282986">
        <w:rPr>
          <w:color w:val="FF0000"/>
        </w:rPr>
        <w:t xml:space="preserve"> </w:t>
      </w:r>
      <w:r w:rsidR="00282986" w:rsidRPr="00282986">
        <w:t>Une autre recommandation pour les futures études d'intervention est d'étudier de manière longitudinale si le traitement précoce des symptômes du TDAH est efficace et  favorise le développement de l'attachement sécurisant et, vice versa, si les interventions précoces visant à développer les représentations de l'attachement sécurisant préviennent également le TDAH ultérieur</w:t>
      </w:r>
      <w:r w:rsidR="00003EE6">
        <w:t>.</w:t>
      </w:r>
    </w:p>
    <w:p w14:paraId="5293833C" w14:textId="77777777" w:rsidR="00640BFD" w:rsidRDefault="00640BFD" w:rsidP="00AF404D">
      <w:pPr>
        <w:pStyle w:val="Prrafocomn"/>
        <w:rPr>
          <w:lang w:val="fr-FR"/>
        </w:rPr>
      </w:pPr>
      <w:r w:rsidRPr="00640BFD">
        <w:rPr>
          <w:lang w:val="fr-FR"/>
        </w:rPr>
        <w:t>Nous avons démontré un lien entre le TDAH et les représentations d'attachement insécurisées/désorganisées chez les enfants d'âge scolaire. Cette étude s'ajoute à une littérature restreinte mais importante, et il existe un besoin urgent d'études supplémentaires sur la signification et les implications cliniques de l'association entre le TDAH et les problèmes d'attachement.</w:t>
      </w:r>
    </w:p>
    <w:p w14:paraId="6FD607CB" w14:textId="1A583678" w:rsidR="00102885" w:rsidRDefault="00102885" w:rsidP="00102885">
      <w:pPr>
        <w:pBdr>
          <w:top w:val="nil"/>
          <w:left w:val="nil"/>
          <w:bottom w:val="nil"/>
          <w:right w:val="nil"/>
          <w:between w:val="nil"/>
        </w:pBdr>
        <w:spacing w:after="120"/>
        <w:jc w:val="center"/>
      </w:pPr>
      <w:r>
        <w:t>Réfé</w:t>
      </w:r>
      <w:r w:rsidRPr="00102885">
        <w:t>rences</w:t>
      </w:r>
    </w:p>
    <w:p w14:paraId="21ED2F0C" w14:textId="77777777" w:rsidR="0075727F" w:rsidRPr="0075727F" w:rsidRDefault="00102885" w:rsidP="0075727F">
      <w:pPr>
        <w:pStyle w:val="Bibliographie"/>
      </w:pPr>
      <w:r>
        <w:fldChar w:fldCharType="begin"/>
      </w:r>
      <w:r w:rsidR="0075727F">
        <w:instrText xml:space="preserve"> ADDIN ZOTERO_BIBL {"uncited":[],"omitted":[],"custom":[]} CSL_BIBLIOGRAPHY </w:instrText>
      </w:r>
      <w:r>
        <w:fldChar w:fldCharType="separate"/>
      </w:r>
      <w:r w:rsidR="0075727F" w:rsidRPr="0075727F">
        <w:t xml:space="preserve">Ainsworth, M. D. S., Blehar, M. C., Waters, E., &amp; Wall, S. N. (2015). </w:t>
      </w:r>
      <w:r w:rsidR="0075727F" w:rsidRPr="0075727F">
        <w:rPr>
          <w:i/>
          <w:iCs/>
        </w:rPr>
        <w:t>Patterns of attachment : A psychological study of the strange situation</w:t>
      </w:r>
      <w:r w:rsidR="0075727F" w:rsidRPr="0075727F">
        <w:t>. Psychology Press.</w:t>
      </w:r>
    </w:p>
    <w:p w14:paraId="2332AF29" w14:textId="77777777" w:rsidR="0075727F" w:rsidRPr="0075727F" w:rsidRDefault="0075727F" w:rsidP="0075727F">
      <w:pPr>
        <w:pStyle w:val="Bibliographie"/>
      </w:pPr>
      <w:r w:rsidRPr="0075727F">
        <w:t xml:space="preserve">American Psychiatric Association. (2015). Manuel diagnostique et statistique des troubles mentaux (DSM-5), 5e édition. Elsevier Masson SAS. </w:t>
      </w:r>
      <w:r w:rsidRPr="0075727F">
        <w:rPr>
          <w:i/>
          <w:iCs/>
        </w:rPr>
        <w:t>Issy-les-Moulineaux: APA</w:t>
      </w:r>
      <w:r w:rsidRPr="0075727F">
        <w:t>.</w:t>
      </w:r>
    </w:p>
    <w:p w14:paraId="6A767C87" w14:textId="77777777" w:rsidR="0075727F" w:rsidRPr="0075727F" w:rsidRDefault="0075727F" w:rsidP="0075727F">
      <w:pPr>
        <w:pStyle w:val="Bibliographie"/>
      </w:pPr>
      <w:r w:rsidRPr="0075727F">
        <w:lastRenderedPageBreak/>
        <w:t xml:space="preserve">Banaschewski, T., Becker, K., Scherag, S., Franke, B., &amp; Coghill, D. (2010). Molecular genetics of attention-deficit/hyperactivity disorder : An overview. </w:t>
      </w:r>
      <w:r w:rsidRPr="0075727F">
        <w:rPr>
          <w:i/>
          <w:iCs/>
        </w:rPr>
        <w:t>European child &amp; adolescent psychiatry</w:t>
      </w:r>
      <w:r w:rsidRPr="0075727F">
        <w:t xml:space="preserve">, </w:t>
      </w:r>
      <w:r w:rsidRPr="0075727F">
        <w:rPr>
          <w:i/>
          <w:iCs/>
        </w:rPr>
        <w:t>19</w:t>
      </w:r>
      <w:r w:rsidRPr="0075727F">
        <w:t>, 237‑257.</w:t>
      </w:r>
    </w:p>
    <w:p w14:paraId="5E942F91" w14:textId="77777777" w:rsidR="0075727F" w:rsidRPr="0075727F" w:rsidRDefault="0075727F" w:rsidP="0075727F">
      <w:pPr>
        <w:pStyle w:val="Bibliographie"/>
      </w:pPr>
      <w:r w:rsidRPr="0075727F">
        <w:t xml:space="preserve">Bélanger, S. A., Andrews, D., Gray, C., &amp; Korczak, D. (2018). Le TDAH chez les enfants et les adolescents, partie 1 : L’étiologie, le diagnostic et la comorbidité. </w:t>
      </w:r>
      <w:r w:rsidRPr="0075727F">
        <w:rPr>
          <w:i/>
          <w:iCs/>
        </w:rPr>
        <w:t>Paediatrics &amp; Child Health</w:t>
      </w:r>
      <w:r w:rsidRPr="0075727F">
        <w:t xml:space="preserve">, </w:t>
      </w:r>
      <w:r w:rsidRPr="0075727F">
        <w:rPr>
          <w:i/>
          <w:iCs/>
        </w:rPr>
        <w:t>23</w:t>
      </w:r>
      <w:r w:rsidRPr="0075727F">
        <w:t>(7), 454‑461.</w:t>
      </w:r>
    </w:p>
    <w:p w14:paraId="75F1B66C" w14:textId="77777777" w:rsidR="0075727F" w:rsidRPr="0075727F" w:rsidRDefault="0075727F" w:rsidP="0075727F">
      <w:pPr>
        <w:pStyle w:val="Bibliographie"/>
      </w:pPr>
      <w:r w:rsidRPr="0075727F">
        <w:t xml:space="preserve">Belsky, J., Bakermans-Kranenburg, M. J., &amp; Van IJzendoorn, M. H. (2007). For better and for worse : Differential susceptibility to environmental influences. </w:t>
      </w:r>
      <w:r w:rsidRPr="0075727F">
        <w:rPr>
          <w:i/>
          <w:iCs/>
        </w:rPr>
        <w:t>Current directions in psychological science</w:t>
      </w:r>
      <w:r w:rsidRPr="0075727F">
        <w:t xml:space="preserve">, </w:t>
      </w:r>
      <w:r w:rsidRPr="0075727F">
        <w:rPr>
          <w:i/>
          <w:iCs/>
        </w:rPr>
        <w:t>16</w:t>
      </w:r>
      <w:r w:rsidRPr="0075727F">
        <w:t>(6), 300‑304.</w:t>
      </w:r>
    </w:p>
    <w:p w14:paraId="54F04AE3" w14:textId="77777777" w:rsidR="0075727F" w:rsidRPr="0075727F" w:rsidRDefault="0075727F" w:rsidP="0075727F">
      <w:pPr>
        <w:pStyle w:val="Bibliographie"/>
      </w:pPr>
      <w:r w:rsidRPr="0075727F">
        <w:t xml:space="preserve">Binhas, E. (2008). Questionnaire d’auto-évaluation. </w:t>
      </w:r>
      <w:r w:rsidRPr="0075727F">
        <w:rPr>
          <w:i/>
          <w:iCs/>
        </w:rPr>
        <w:t>Orthod Fr</w:t>
      </w:r>
      <w:r w:rsidRPr="0075727F">
        <w:t xml:space="preserve">, </w:t>
      </w:r>
      <w:r w:rsidRPr="0075727F">
        <w:rPr>
          <w:i/>
          <w:iCs/>
        </w:rPr>
        <w:t>80</w:t>
      </w:r>
      <w:r w:rsidRPr="0075727F">
        <w:t>, 343‑345.</w:t>
      </w:r>
    </w:p>
    <w:p w14:paraId="2175D7D5" w14:textId="77777777" w:rsidR="0075727F" w:rsidRPr="0075727F" w:rsidRDefault="0075727F" w:rsidP="0075727F">
      <w:pPr>
        <w:pStyle w:val="Bibliographie"/>
      </w:pPr>
      <w:r w:rsidRPr="0075727F">
        <w:t xml:space="preserve">Bosmans, G., Bakermans-Kranenburg, M. J., Vervliet, B., Verhees, M. W., &amp; van IJzendoorn, M. H. (2020). A learning theory of attachment : Unraveling the black box of attachment development. </w:t>
      </w:r>
      <w:r w:rsidRPr="0075727F">
        <w:rPr>
          <w:i/>
          <w:iCs/>
        </w:rPr>
        <w:t>Neuroscience &amp; Biobehavioral Reviews</w:t>
      </w:r>
      <w:r w:rsidRPr="0075727F">
        <w:t xml:space="preserve">, </w:t>
      </w:r>
      <w:r w:rsidRPr="0075727F">
        <w:rPr>
          <w:i/>
          <w:iCs/>
        </w:rPr>
        <w:t>113</w:t>
      </w:r>
      <w:r w:rsidRPr="0075727F">
        <w:t>, 287‑298.</w:t>
      </w:r>
    </w:p>
    <w:p w14:paraId="40E5D966" w14:textId="77777777" w:rsidR="0075727F" w:rsidRPr="0075727F" w:rsidRDefault="0075727F" w:rsidP="0075727F">
      <w:pPr>
        <w:pStyle w:val="Bibliographie"/>
      </w:pPr>
      <w:r w:rsidRPr="0075727F">
        <w:t xml:space="preserve">Bosmans, G., Braet, C., Koster, E., &amp; Raedt, R. D. (2009). Attachment security and attentional breadth toward the attachment figure in middle childhood. </w:t>
      </w:r>
      <w:r w:rsidRPr="0075727F">
        <w:rPr>
          <w:i/>
          <w:iCs/>
        </w:rPr>
        <w:t>Journal of Clinical Child &amp; Adolescent Psychology</w:t>
      </w:r>
      <w:r w:rsidRPr="0075727F">
        <w:t xml:space="preserve">, </w:t>
      </w:r>
      <w:r w:rsidRPr="0075727F">
        <w:rPr>
          <w:i/>
          <w:iCs/>
        </w:rPr>
        <w:t>38</w:t>
      </w:r>
      <w:r w:rsidRPr="0075727F">
        <w:t>(6), 872‑882.</w:t>
      </w:r>
    </w:p>
    <w:p w14:paraId="4CD201C9" w14:textId="77777777" w:rsidR="0075727F" w:rsidRPr="0075727F" w:rsidRDefault="0075727F" w:rsidP="0075727F">
      <w:pPr>
        <w:pStyle w:val="Bibliographie"/>
      </w:pPr>
      <w:r w:rsidRPr="0075727F">
        <w:t xml:space="preserve">BOURAS, M. H. (2017). </w:t>
      </w:r>
      <w:r w:rsidRPr="0075727F">
        <w:rPr>
          <w:i/>
          <w:iCs/>
        </w:rPr>
        <w:t>Les caractéristiques diagnostiques et thérapeutiques</w:t>
      </w:r>
      <w:r w:rsidRPr="0075727F">
        <w:t>.</w:t>
      </w:r>
    </w:p>
    <w:p w14:paraId="2F9B4CCB" w14:textId="77777777" w:rsidR="0075727F" w:rsidRPr="0075727F" w:rsidRDefault="0075727F" w:rsidP="0075727F">
      <w:pPr>
        <w:pStyle w:val="Bibliographie"/>
      </w:pPr>
      <w:r w:rsidRPr="0075727F">
        <w:t xml:space="preserve">Bouvard, M. (2019). </w:t>
      </w:r>
      <w:r w:rsidRPr="0075727F">
        <w:rPr>
          <w:i/>
          <w:iCs/>
        </w:rPr>
        <w:t>Savoir pour guérir : Le trouble déficit de l’attention/hyperactivité (TDAH) chez l’enfant et l’adolescent</w:t>
      </w:r>
      <w:r w:rsidRPr="0075727F">
        <w:t>. Editions Ellipses.</w:t>
      </w:r>
    </w:p>
    <w:p w14:paraId="73DDDA3D" w14:textId="77777777" w:rsidR="0075727F" w:rsidRPr="0075727F" w:rsidRDefault="0075727F" w:rsidP="0075727F">
      <w:pPr>
        <w:pStyle w:val="Bibliographie"/>
      </w:pPr>
      <w:r w:rsidRPr="0075727F">
        <w:t xml:space="preserve">Claes, M., &amp; Lacourse, É. (2001). Pratiques parentales et comportements déviants à l’adolescence. </w:t>
      </w:r>
      <w:r w:rsidRPr="0075727F">
        <w:rPr>
          <w:i/>
          <w:iCs/>
        </w:rPr>
        <w:t>Enfance</w:t>
      </w:r>
      <w:r w:rsidRPr="0075727F">
        <w:t xml:space="preserve">, </w:t>
      </w:r>
      <w:r w:rsidRPr="0075727F">
        <w:rPr>
          <w:i/>
          <w:iCs/>
        </w:rPr>
        <w:t>53</w:t>
      </w:r>
      <w:r w:rsidRPr="0075727F">
        <w:t>(4), 379‑399.</w:t>
      </w:r>
    </w:p>
    <w:p w14:paraId="210A55D7" w14:textId="77777777" w:rsidR="0075727F" w:rsidRPr="0075727F" w:rsidRDefault="0075727F" w:rsidP="0075727F">
      <w:pPr>
        <w:pStyle w:val="Bibliographie"/>
      </w:pPr>
      <w:r w:rsidRPr="0075727F">
        <w:lastRenderedPageBreak/>
        <w:t xml:space="preserve">Clark, B., &amp; Bélanger, S. A. (2018). Le TDAH chez les enfants et les adolescents, partie 3 : L’évaluation et le traitement en cas d’association au trouble du spectre de l’autisme, au handicap intellectuel ou à la prématurité. </w:t>
      </w:r>
      <w:r w:rsidRPr="0075727F">
        <w:rPr>
          <w:i/>
          <w:iCs/>
        </w:rPr>
        <w:t>Paediatrics &amp; Child Health</w:t>
      </w:r>
      <w:r w:rsidRPr="0075727F">
        <w:t xml:space="preserve">, </w:t>
      </w:r>
      <w:r w:rsidRPr="0075727F">
        <w:rPr>
          <w:i/>
          <w:iCs/>
        </w:rPr>
        <w:t>23</w:t>
      </w:r>
      <w:r w:rsidRPr="0075727F">
        <w:t>(7), 491‑497.</w:t>
      </w:r>
    </w:p>
    <w:p w14:paraId="248BE05D" w14:textId="77777777" w:rsidR="0075727F" w:rsidRPr="0075727F" w:rsidRDefault="0075727F" w:rsidP="0075727F">
      <w:pPr>
        <w:pStyle w:val="Bibliographie"/>
      </w:pPr>
      <w:r w:rsidRPr="0075727F">
        <w:t xml:space="preserve">De Wolff, M. S., &amp; Van Ijzendoorn, M. H. (1997). Sensitivity and attachment : A meta-analysis on parental antecedents of infant attachment. </w:t>
      </w:r>
      <w:r w:rsidRPr="0075727F">
        <w:rPr>
          <w:i/>
          <w:iCs/>
        </w:rPr>
        <w:t>Child development</w:t>
      </w:r>
      <w:r w:rsidRPr="0075727F">
        <w:t xml:space="preserve">, </w:t>
      </w:r>
      <w:r w:rsidRPr="0075727F">
        <w:rPr>
          <w:i/>
          <w:iCs/>
        </w:rPr>
        <w:t>68</w:t>
      </w:r>
      <w:r w:rsidRPr="0075727F">
        <w:t>(4), 571‑591.</w:t>
      </w:r>
    </w:p>
    <w:p w14:paraId="252B1FA9" w14:textId="77777777" w:rsidR="0075727F" w:rsidRPr="0075727F" w:rsidRDefault="0075727F" w:rsidP="0075727F">
      <w:pPr>
        <w:pStyle w:val="Bibliographie"/>
      </w:pPr>
      <w:r w:rsidRPr="0075727F">
        <w:t xml:space="preserve">Dekkers, T. J., Hornstra, R., van den Hoofdakker, B. J., de Jong, S. R., Schaaf, J. V., Bosmans, G., &amp; Van der Oord, S. (2021). Attachment Representations in Children with and without Attention-Deficit/Hyperactivity Disorder (ADHD). </w:t>
      </w:r>
      <w:r w:rsidRPr="0075727F">
        <w:rPr>
          <w:i/>
          <w:iCs/>
        </w:rPr>
        <w:t>Brain Sciences</w:t>
      </w:r>
      <w:r w:rsidRPr="0075727F">
        <w:t xml:space="preserve">, </w:t>
      </w:r>
      <w:r w:rsidRPr="0075727F">
        <w:rPr>
          <w:i/>
          <w:iCs/>
        </w:rPr>
        <w:t>11</w:t>
      </w:r>
      <w:r w:rsidRPr="0075727F">
        <w:t>(11), 1516.</w:t>
      </w:r>
    </w:p>
    <w:p w14:paraId="026A6200" w14:textId="77777777" w:rsidR="0075727F" w:rsidRPr="0075727F" w:rsidRDefault="0075727F" w:rsidP="0075727F">
      <w:pPr>
        <w:pStyle w:val="Bibliographie"/>
      </w:pPr>
      <w:r w:rsidRPr="0075727F">
        <w:t xml:space="preserve">Djerada, T. (2021). </w:t>
      </w:r>
      <w:r w:rsidRPr="0075727F">
        <w:rPr>
          <w:i/>
          <w:iCs/>
        </w:rPr>
        <w:t>Effet d’un programme proposé en éducation motrice sur la diminution du trouble de déficit d’attention avec hyperactivité (TDAH) chez les enfants algériens âgés de 8 à 10 ans</w:t>
      </w:r>
      <w:r w:rsidRPr="0075727F">
        <w:t>.</w:t>
      </w:r>
    </w:p>
    <w:p w14:paraId="463E580A" w14:textId="77777777" w:rsidR="0075727F" w:rsidRPr="0075727F" w:rsidRDefault="0075727F" w:rsidP="0075727F">
      <w:pPr>
        <w:pStyle w:val="Bibliographie"/>
      </w:pPr>
      <w:r w:rsidRPr="0075727F">
        <w:t xml:space="preserve">Faraone, S. V., &amp; Biederman, J. (1998). Neurobiology of attention-deficit hyperactivity disorder. </w:t>
      </w:r>
      <w:r w:rsidRPr="0075727F">
        <w:rPr>
          <w:i/>
          <w:iCs/>
        </w:rPr>
        <w:t>Biological psychiatry</w:t>
      </w:r>
      <w:r w:rsidRPr="0075727F">
        <w:t xml:space="preserve">, </w:t>
      </w:r>
      <w:r w:rsidRPr="0075727F">
        <w:rPr>
          <w:i/>
          <w:iCs/>
        </w:rPr>
        <w:t>44</w:t>
      </w:r>
      <w:r w:rsidRPr="0075727F">
        <w:t>(10), 951‑958.</w:t>
      </w:r>
    </w:p>
    <w:p w14:paraId="60C460C2" w14:textId="77777777" w:rsidR="0075727F" w:rsidRPr="0075727F" w:rsidRDefault="0075727F" w:rsidP="0075727F">
      <w:pPr>
        <w:pStyle w:val="Bibliographie"/>
      </w:pPr>
      <w:r w:rsidRPr="0075727F">
        <w:t xml:space="preserve">Faraone, S. V., &amp; Mick, E. (2010). Molecular genetics of attention deficit hyperactivity disorder. </w:t>
      </w:r>
      <w:r w:rsidRPr="0075727F">
        <w:rPr>
          <w:i/>
          <w:iCs/>
        </w:rPr>
        <w:t>Psychiatric Clinics</w:t>
      </w:r>
      <w:r w:rsidRPr="0075727F">
        <w:t xml:space="preserve">, </w:t>
      </w:r>
      <w:r w:rsidRPr="0075727F">
        <w:rPr>
          <w:i/>
          <w:iCs/>
        </w:rPr>
        <w:t>33</w:t>
      </w:r>
      <w:r w:rsidRPr="0075727F">
        <w:t>(1), 159‑180.</w:t>
      </w:r>
    </w:p>
    <w:p w14:paraId="68C0DD3F" w14:textId="77777777" w:rsidR="0075727F" w:rsidRPr="0075727F" w:rsidRDefault="0075727F" w:rsidP="0075727F">
      <w:pPr>
        <w:pStyle w:val="Bibliographie"/>
      </w:pPr>
      <w:r w:rsidRPr="0075727F">
        <w:t xml:space="preserve">Faraone, S. V., Perlis, R. H., Doyle, A. E., Smoller, J. W., Goralnick, J. J., Holmgren, M. A., &amp; Sklar, P. (2005). Molecular genetics of attention-deficit/hyperactivity disorder. </w:t>
      </w:r>
      <w:r w:rsidRPr="0075727F">
        <w:rPr>
          <w:i/>
          <w:iCs/>
        </w:rPr>
        <w:t>Biological psychiatry</w:t>
      </w:r>
      <w:r w:rsidRPr="0075727F">
        <w:t xml:space="preserve">, </w:t>
      </w:r>
      <w:r w:rsidRPr="0075727F">
        <w:rPr>
          <w:i/>
          <w:iCs/>
        </w:rPr>
        <w:t>57</w:t>
      </w:r>
      <w:r w:rsidRPr="0075727F">
        <w:t>(11), 1313‑1323.</w:t>
      </w:r>
    </w:p>
    <w:p w14:paraId="49F4B3DF" w14:textId="77777777" w:rsidR="0075727F" w:rsidRPr="0075727F" w:rsidRDefault="0075727F" w:rsidP="0075727F">
      <w:pPr>
        <w:pStyle w:val="Bibliographie"/>
      </w:pPr>
      <w:r w:rsidRPr="0075727F">
        <w:t xml:space="preserve">Gelkopf, M., &amp; Jabotaro, S. E. (2013). Parenting style, competence, social network and attachment in mothers with mental illness. </w:t>
      </w:r>
      <w:r w:rsidRPr="0075727F">
        <w:rPr>
          <w:i/>
          <w:iCs/>
        </w:rPr>
        <w:t>Child &amp; Family Social Work</w:t>
      </w:r>
      <w:r w:rsidRPr="0075727F">
        <w:t xml:space="preserve">, </w:t>
      </w:r>
      <w:r w:rsidRPr="0075727F">
        <w:rPr>
          <w:i/>
          <w:iCs/>
        </w:rPr>
        <w:t>18</w:t>
      </w:r>
      <w:r w:rsidRPr="0075727F">
        <w:t>(4), 496‑503.</w:t>
      </w:r>
    </w:p>
    <w:p w14:paraId="4BA540C3" w14:textId="77777777" w:rsidR="0075727F" w:rsidRPr="0075727F" w:rsidRDefault="0075727F" w:rsidP="0075727F">
      <w:pPr>
        <w:pStyle w:val="Bibliographie"/>
      </w:pPr>
      <w:r w:rsidRPr="0075727F">
        <w:t xml:space="preserve">Grosse, E.-M., Da Fonseca, D., Fakra, E., Poinso, F., &amp; Samuelian, J.-C. (2007). </w:t>
      </w:r>
      <w:r w:rsidRPr="0075727F">
        <w:rPr>
          <w:i/>
          <w:iCs/>
        </w:rPr>
        <w:t>Trouble déficitaire de l’attention avec hyperactivité chez l’adulte</w:t>
      </w:r>
      <w:r w:rsidRPr="0075727F">
        <w:t xml:space="preserve">. </w:t>
      </w:r>
      <w:r w:rsidRPr="0075727F">
        <w:rPr>
          <w:i/>
          <w:iCs/>
        </w:rPr>
        <w:t>165</w:t>
      </w:r>
      <w:r w:rsidRPr="0075727F">
        <w:t>(5), 378‑385.</w:t>
      </w:r>
    </w:p>
    <w:p w14:paraId="1DB24F03" w14:textId="77777777" w:rsidR="0075727F" w:rsidRPr="0075727F" w:rsidRDefault="0075727F" w:rsidP="0075727F">
      <w:pPr>
        <w:pStyle w:val="Bibliographie"/>
      </w:pPr>
      <w:r w:rsidRPr="0075727F">
        <w:lastRenderedPageBreak/>
        <w:t xml:space="preserve">Hooley, J. M. (2007). Expressed emotion and relapse of psychopathology. </w:t>
      </w:r>
      <w:r w:rsidRPr="0075727F">
        <w:rPr>
          <w:i/>
          <w:iCs/>
        </w:rPr>
        <w:t>Annu. Rev. Clin. Psychol.</w:t>
      </w:r>
      <w:r w:rsidRPr="0075727F">
        <w:t xml:space="preserve">, </w:t>
      </w:r>
      <w:r w:rsidRPr="0075727F">
        <w:rPr>
          <w:i/>
          <w:iCs/>
        </w:rPr>
        <w:t>3</w:t>
      </w:r>
      <w:r w:rsidRPr="0075727F">
        <w:t>, 329‑352.</w:t>
      </w:r>
    </w:p>
    <w:p w14:paraId="5C8DD538" w14:textId="77777777" w:rsidR="0075727F" w:rsidRPr="0075727F" w:rsidRDefault="0075727F" w:rsidP="0075727F">
      <w:pPr>
        <w:pStyle w:val="Bibliographie"/>
      </w:pPr>
      <w:r w:rsidRPr="0075727F">
        <w:t xml:space="preserve">Huynh, C., &amp; Mazet, P. (2011). L’estime de soi chez les enfants ayant un trouble déficitaire de l’attention-hyperactivité. </w:t>
      </w:r>
      <w:r w:rsidRPr="0075727F">
        <w:rPr>
          <w:i/>
          <w:iCs/>
        </w:rPr>
        <w:t>Perspectives Psy</w:t>
      </w:r>
      <w:r w:rsidRPr="0075727F">
        <w:t xml:space="preserve">, </w:t>
      </w:r>
      <w:r w:rsidRPr="0075727F">
        <w:rPr>
          <w:i/>
          <w:iCs/>
        </w:rPr>
        <w:t>50</w:t>
      </w:r>
      <w:r w:rsidRPr="0075727F">
        <w:t>(1), 86‑93.</w:t>
      </w:r>
    </w:p>
    <w:p w14:paraId="4839A8D9" w14:textId="77777777" w:rsidR="0075727F" w:rsidRPr="0075727F" w:rsidRDefault="0075727F" w:rsidP="0075727F">
      <w:pPr>
        <w:pStyle w:val="Bibliographie"/>
      </w:pPr>
      <w:r w:rsidRPr="0075727F">
        <w:t xml:space="preserve">Kerbage, H. (2022). </w:t>
      </w:r>
      <w:r w:rsidRPr="0075727F">
        <w:rPr>
          <w:i/>
          <w:iCs/>
        </w:rPr>
        <w:t>J’accompagne mon enfant face au traumatisme</w:t>
      </w:r>
      <w:r w:rsidRPr="0075727F">
        <w:t>. Editions Ellipses.</w:t>
      </w:r>
    </w:p>
    <w:p w14:paraId="670F6F10" w14:textId="77777777" w:rsidR="0075727F" w:rsidRPr="0075727F" w:rsidRDefault="0075727F" w:rsidP="0075727F">
      <w:pPr>
        <w:pStyle w:val="Bibliographie"/>
      </w:pPr>
      <w:r w:rsidRPr="0075727F">
        <w:t xml:space="preserve">Kreppner, J. M., O’Connor, T. G., Rutter, M., &amp; English and Romanian Adoptees Study Team. (2001). Can inattention/overactivity be an institutional deprivation syndrome? </w:t>
      </w:r>
      <w:r w:rsidRPr="0075727F">
        <w:rPr>
          <w:i/>
          <w:iCs/>
        </w:rPr>
        <w:t>Journal of abnormal child psychology</w:t>
      </w:r>
      <w:r w:rsidRPr="0075727F">
        <w:t xml:space="preserve">, </w:t>
      </w:r>
      <w:r w:rsidRPr="0075727F">
        <w:rPr>
          <w:i/>
          <w:iCs/>
        </w:rPr>
        <w:t>29</w:t>
      </w:r>
      <w:r w:rsidRPr="0075727F">
        <w:t>, 513‑528.</w:t>
      </w:r>
    </w:p>
    <w:p w14:paraId="562497AC" w14:textId="77777777" w:rsidR="0075727F" w:rsidRPr="0075727F" w:rsidRDefault="0075727F" w:rsidP="0075727F">
      <w:pPr>
        <w:pStyle w:val="Bibliographie"/>
      </w:pPr>
      <w:r w:rsidRPr="0075727F">
        <w:t xml:space="preserve">La Boissonnière, A.-M. (2016). </w:t>
      </w:r>
      <w:r w:rsidRPr="0075727F">
        <w:rPr>
          <w:i/>
          <w:iCs/>
        </w:rPr>
        <w:t>L’attachement de l’enfant : L’abus sexuel et les indices psychopathologiques</w:t>
      </w:r>
      <w:r w:rsidRPr="0075727F">
        <w:t>.</w:t>
      </w:r>
    </w:p>
    <w:p w14:paraId="54DB79AD" w14:textId="77777777" w:rsidR="0075727F" w:rsidRPr="0075727F" w:rsidRDefault="0075727F" w:rsidP="0075727F">
      <w:pPr>
        <w:pStyle w:val="Bibliographie"/>
      </w:pPr>
      <w:r w:rsidRPr="0075727F">
        <w:t xml:space="preserve">Lapointe, M. (2017). L’attachement des enfants présentant un trouble du spectre de l’autisme : Proposition d’un modèle modérateur de l’insécurité d’attachement sur les comportements et symptômes perturbateurs. </w:t>
      </w:r>
      <w:r w:rsidRPr="0075727F">
        <w:rPr>
          <w:i/>
          <w:iCs/>
        </w:rPr>
        <w:t>Devenir</w:t>
      </w:r>
      <w:r w:rsidRPr="0075727F">
        <w:t xml:space="preserve">, </w:t>
      </w:r>
      <w:r w:rsidRPr="0075727F">
        <w:rPr>
          <w:i/>
          <w:iCs/>
        </w:rPr>
        <w:t>29</w:t>
      </w:r>
      <w:r w:rsidRPr="0075727F">
        <w:t>(3), 153‑169.</w:t>
      </w:r>
    </w:p>
    <w:p w14:paraId="02D7B3AC" w14:textId="77777777" w:rsidR="0075727F" w:rsidRPr="0075727F" w:rsidRDefault="0075727F" w:rsidP="0075727F">
      <w:pPr>
        <w:pStyle w:val="Bibliographie"/>
      </w:pPr>
      <w:r w:rsidRPr="0075727F">
        <w:t xml:space="preserve">Leblanc, S., &amp; Desbiens, N. (2008). Milieux à risque, expérience familiale et développement de conduites agressives : Une recension des écrits d’un point de vue sociocognitif. </w:t>
      </w:r>
      <w:r w:rsidRPr="0075727F">
        <w:rPr>
          <w:i/>
          <w:iCs/>
        </w:rPr>
        <w:t>Revue des sciences de l’éducation</w:t>
      </w:r>
      <w:r w:rsidRPr="0075727F">
        <w:t xml:space="preserve">, </w:t>
      </w:r>
      <w:r w:rsidRPr="0075727F">
        <w:rPr>
          <w:i/>
          <w:iCs/>
        </w:rPr>
        <w:t>34</w:t>
      </w:r>
      <w:r w:rsidRPr="0075727F">
        <w:t>(1), 107‑122.</w:t>
      </w:r>
    </w:p>
    <w:p w14:paraId="28148E73" w14:textId="77777777" w:rsidR="0075727F" w:rsidRPr="0075727F" w:rsidRDefault="0075727F" w:rsidP="0075727F">
      <w:pPr>
        <w:pStyle w:val="Bibliographie"/>
      </w:pPr>
      <w:r w:rsidRPr="0075727F">
        <w:t xml:space="preserve">Madigan, S., Atkinson, L., Laurin, K., &amp; Benoit, D. (2013). Attachment and internalizing behavior in early childhood : A meta-analysis. </w:t>
      </w:r>
      <w:r w:rsidRPr="0075727F">
        <w:rPr>
          <w:i/>
          <w:iCs/>
        </w:rPr>
        <w:t>Developmental psychology</w:t>
      </w:r>
      <w:r w:rsidRPr="0075727F">
        <w:t xml:space="preserve">, </w:t>
      </w:r>
      <w:r w:rsidRPr="0075727F">
        <w:rPr>
          <w:i/>
          <w:iCs/>
        </w:rPr>
        <w:t>49</w:t>
      </w:r>
      <w:r w:rsidRPr="0075727F">
        <w:t>(4), 672.</w:t>
      </w:r>
    </w:p>
    <w:p w14:paraId="37A997C3" w14:textId="77777777" w:rsidR="0075727F" w:rsidRPr="0075727F" w:rsidRDefault="0075727F" w:rsidP="0075727F">
      <w:pPr>
        <w:pStyle w:val="Bibliographie"/>
      </w:pPr>
      <w:r w:rsidRPr="0075727F">
        <w:t xml:space="preserve">Main, M. (1998). De l’attachement à la psychopathologie. </w:t>
      </w:r>
      <w:r w:rsidRPr="0075727F">
        <w:rPr>
          <w:i/>
          <w:iCs/>
        </w:rPr>
        <w:t>Enfance</w:t>
      </w:r>
      <w:r w:rsidRPr="0075727F">
        <w:t xml:space="preserve">, </w:t>
      </w:r>
      <w:r w:rsidRPr="0075727F">
        <w:rPr>
          <w:i/>
          <w:iCs/>
        </w:rPr>
        <w:t>51</w:t>
      </w:r>
      <w:r w:rsidRPr="0075727F">
        <w:t>(3), 13‑27.</w:t>
      </w:r>
    </w:p>
    <w:p w14:paraId="002FF759" w14:textId="77777777" w:rsidR="0075727F" w:rsidRPr="0075727F" w:rsidRDefault="0075727F" w:rsidP="0075727F">
      <w:pPr>
        <w:pStyle w:val="Bibliographie"/>
      </w:pPr>
      <w:r w:rsidRPr="0075727F">
        <w:t xml:space="preserve">Main, M., &amp; Hesse, E. (1990). </w:t>
      </w:r>
      <w:r w:rsidRPr="0075727F">
        <w:rPr>
          <w:i/>
          <w:iCs/>
        </w:rPr>
        <w:t>Parents’ unresolved traumatic experiences are related to infant disorganized attachment status : Is frightened and/or frightening parental behavior the linking mechanism?</w:t>
      </w:r>
    </w:p>
    <w:p w14:paraId="4B30CD33" w14:textId="77777777" w:rsidR="0075727F" w:rsidRPr="0075727F" w:rsidRDefault="0075727F" w:rsidP="0075727F">
      <w:pPr>
        <w:pStyle w:val="Bibliographie"/>
      </w:pPr>
      <w:r w:rsidRPr="0075727F">
        <w:lastRenderedPageBreak/>
        <w:t xml:space="preserve">Main, M., Kaplan, N., &amp; Cassidy, J. (1985). Security in Infancy, Childhood, and Adulthood : A Move to the Level of Representation. </w:t>
      </w:r>
      <w:r w:rsidRPr="0075727F">
        <w:rPr>
          <w:i/>
          <w:iCs/>
        </w:rPr>
        <w:t>Monographs of the Society for Research in Child Development</w:t>
      </w:r>
      <w:r w:rsidRPr="0075727F">
        <w:t xml:space="preserve">, </w:t>
      </w:r>
      <w:r w:rsidRPr="0075727F">
        <w:rPr>
          <w:i/>
          <w:iCs/>
        </w:rPr>
        <w:t>50</w:t>
      </w:r>
      <w:r w:rsidRPr="0075727F">
        <w:t>(1/2), 66‑104. https://doi.org/10.2307/3333827</w:t>
      </w:r>
    </w:p>
    <w:p w14:paraId="2A3CFC64" w14:textId="77777777" w:rsidR="0075727F" w:rsidRPr="0075727F" w:rsidRDefault="0075727F" w:rsidP="0075727F">
      <w:pPr>
        <w:pStyle w:val="Bibliographie"/>
      </w:pPr>
      <w:r w:rsidRPr="0075727F">
        <w:t xml:space="preserve">Main, M., &amp; Morgan, H. (1996). Disorganization and disorientation in infant strange situation behavior : Phenotypic resemblance to dissociative states. </w:t>
      </w:r>
      <w:r w:rsidRPr="0075727F">
        <w:rPr>
          <w:i/>
          <w:iCs/>
        </w:rPr>
        <w:t>Handbook of dissociation: Theoretical, empirical, and clinical perspectives</w:t>
      </w:r>
      <w:r w:rsidRPr="0075727F">
        <w:t>, 107‑138.</w:t>
      </w:r>
    </w:p>
    <w:p w14:paraId="00AB488C" w14:textId="77777777" w:rsidR="0075727F" w:rsidRPr="0075727F" w:rsidRDefault="0075727F" w:rsidP="0075727F">
      <w:pPr>
        <w:pStyle w:val="Bibliographie"/>
      </w:pPr>
      <w:r w:rsidRPr="0075727F">
        <w:t xml:space="preserve">Moss, E., Smolla, N., Guerra, I., Mazzarello, T., Chayer, D., &amp; Berthiaume, C. (2006). Attachement et problèmes de comportements intériorisés et extérioriśs auto-rapportés à la période scolaire. </w:t>
      </w:r>
      <w:r w:rsidRPr="0075727F">
        <w:rPr>
          <w:i/>
          <w:iCs/>
        </w:rPr>
        <w:t>Canadian Journal of Behavioural Science/Revue canadienne des sciences du comportement</w:t>
      </w:r>
      <w:r w:rsidRPr="0075727F">
        <w:t xml:space="preserve">, </w:t>
      </w:r>
      <w:r w:rsidRPr="0075727F">
        <w:rPr>
          <w:i/>
          <w:iCs/>
        </w:rPr>
        <w:t>38</w:t>
      </w:r>
      <w:r w:rsidRPr="0075727F">
        <w:t>(2), 142.</w:t>
      </w:r>
    </w:p>
    <w:p w14:paraId="460AC986" w14:textId="77777777" w:rsidR="0075727F" w:rsidRPr="0075727F" w:rsidRDefault="0075727F" w:rsidP="0075727F">
      <w:pPr>
        <w:pStyle w:val="Bibliographie"/>
      </w:pPr>
      <w:r w:rsidRPr="0075727F">
        <w:t xml:space="preserve">Nahas, N., Normandeau, S., &amp; Girard Lapointe, J. (2017). Liens entre les pratiques éducatives, le style d’attachement du parent et les comportements d’inattention et d’hyperactivité/impulsivité. </w:t>
      </w:r>
      <w:r w:rsidRPr="0075727F">
        <w:rPr>
          <w:i/>
          <w:iCs/>
        </w:rPr>
        <w:t>La psychiatrie de l’enfant</w:t>
      </w:r>
      <w:r w:rsidRPr="0075727F">
        <w:t xml:space="preserve">, </w:t>
      </w:r>
      <w:r w:rsidRPr="0075727F">
        <w:rPr>
          <w:i/>
          <w:iCs/>
        </w:rPr>
        <w:t>61</w:t>
      </w:r>
      <w:r w:rsidRPr="0075727F">
        <w:t>(2), 329‑350.</w:t>
      </w:r>
    </w:p>
    <w:p w14:paraId="26E1E908" w14:textId="77777777" w:rsidR="0075727F" w:rsidRPr="0075727F" w:rsidRDefault="0075727F" w:rsidP="0075727F">
      <w:pPr>
        <w:pStyle w:val="Bibliographie"/>
      </w:pPr>
      <w:r w:rsidRPr="0075727F">
        <w:t xml:space="preserve">Nordling, J. K., Boldt, L. J., O’Bleness, J., &amp; Kochanska, G. (2016). Effortful control mediates relations between children’s attachment security and their regard for rules of conduct. </w:t>
      </w:r>
      <w:r w:rsidRPr="0075727F">
        <w:rPr>
          <w:i/>
          <w:iCs/>
        </w:rPr>
        <w:t>Social Development</w:t>
      </w:r>
      <w:r w:rsidRPr="0075727F">
        <w:t xml:space="preserve">, </w:t>
      </w:r>
      <w:r w:rsidRPr="0075727F">
        <w:rPr>
          <w:i/>
          <w:iCs/>
        </w:rPr>
        <w:t>25</w:t>
      </w:r>
      <w:r w:rsidRPr="0075727F">
        <w:t>(2), 268‑284.</w:t>
      </w:r>
    </w:p>
    <w:p w14:paraId="43B5A48F" w14:textId="77777777" w:rsidR="0075727F" w:rsidRPr="0075727F" w:rsidRDefault="0075727F" w:rsidP="0075727F">
      <w:pPr>
        <w:pStyle w:val="Bibliographie"/>
      </w:pPr>
      <w:r w:rsidRPr="0075727F">
        <w:t xml:space="preserve">Ohan, J. L., Leung, D. W., &amp; Johnston, C. (2000). The Parenting Sense of Competence scale : Evidence of a stable factor structure and validity. </w:t>
      </w:r>
      <w:r w:rsidRPr="0075727F">
        <w:rPr>
          <w:i/>
          <w:iCs/>
        </w:rPr>
        <w:t>Canadian Journal of Behavioural Science / Revue Canadienne Des Sciences Du Comportement</w:t>
      </w:r>
      <w:r w:rsidRPr="0075727F">
        <w:t xml:space="preserve">, </w:t>
      </w:r>
      <w:r w:rsidRPr="0075727F">
        <w:rPr>
          <w:i/>
          <w:iCs/>
        </w:rPr>
        <w:t>32</w:t>
      </w:r>
      <w:r w:rsidRPr="0075727F">
        <w:t>(4), 251‑261. https://doi.org/10.1037/h0087122</w:t>
      </w:r>
    </w:p>
    <w:p w14:paraId="2A76D4D2" w14:textId="77777777" w:rsidR="0075727F" w:rsidRPr="0075727F" w:rsidRDefault="0075727F" w:rsidP="0075727F">
      <w:pPr>
        <w:pStyle w:val="Bibliographie"/>
      </w:pPr>
      <w:r w:rsidRPr="0075727F">
        <w:t xml:space="preserve">Perrault, A.-C., Parent, V., &amp; Guay, M.-C. (2019). Utilité des tests cognitifs pour prédire le diagnostic de TDAH présentation mixte chez des jeunes âgés de 8 à 15 ans. </w:t>
      </w:r>
      <w:r w:rsidRPr="0075727F">
        <w:rPr>
          <w:i/>
          <w:iCs/>
        </w:rPr>
        <w:t xml:space="preserve">Canadian </w:t>
      </w:r>
      <w:r w:rsidRPr="0075727F">
        <w:rPr>
          <w:i/>
          <w:iCs/>
        </w:rPr>
        <w:lastRenderedPageBreak/>
        <w:t>Journal of Behavioural Science/Revue canadienne des sciences du comportement</w:t>
      </w:r>
      <w:r w:rsidRPr="0075727F">
        <w:t xml:space="preserve">, </w:t>
      </w:r>
      <w:r w:rsidRPr="0075727F">
        <w:rPr>
          <w:i/>
          <w:iCs/>
        </w:rPr>
        <w:t>51</w:t>
      </w:r>
      <w:r w:rsidRPr="0075727F">
        <w:t>(1), 61.</w:t>
      </w:r>
    </w:p>
    <w:p w14:paraId="2BCF5215" w14:textId="77777777" w:rsidR="0075727F" w:rsidRPr="0075727F" w:rsidRDefault="0075727F" w:rsidP="0075727F">
      <w:pPr>
        <w:pStyle w:val="Bibliographie"/>
      </w:pPr>
      <w:r w:rsidRPr="0075727F">
        <w:t xml:space="preserve">Pineda, D., Ardila, A., Rosselli, M., Arias, B. E., Henao, G. C., Gomez, L. F., Mejia, S. E., &amp; Miranda, M. L. (1999). Prevalence of attention-deficit/hyperactivity disorder symptoms in 4-to 17-year-old children in the general population. </w:t>
      </w:r>
      <w:r w:rsidRPr="0075727F">
        <w:rPr>
          <w:i/>
          <w:iCs/>
        </w:rPr>
        <w:t>Journal of abnormal child psychology</w:t>
      </w:r>
      <w:r w:rsidRPr="0075727F">
        <w:t xml:space="preserve">, </w:t>
      </w:r>
      <w:r w:rsidRPr="0075727F">
        <w:rPr>
          <w:i/>
          <w:iCs/>
        </w:rPr>
        <w:t>27</w:t>
      </w:r>
      <w:r w:rsidRPr="0075727F">
        <w:t>, 455‑462.</w:t>
      </w:r>
    </w:p>
    <w:p w14:paraId="4B8CC8A5" w14:textId="77777777" w:rsidR="0075727F" w:rsidRPr="0075727F" w:rsidRDefault="0075727F" w:rsidP="0075727F">
      <w:pPr>
        <w:pStyle w:val="Bibliographie"/>
      </w:pPr>
      <w:r w:rsidRPr="0075727F">
        <w:t xml:space="preserve">Polanczyk, G. V., Willcutt, E. G., Salum, G. A., Kieling, C., &amp; Rohde, L. A. (2014). ADHD prevalence estimates across three decades : An updated systematic review and meta-regression analysis. </w:t>
      </w:r>
      <w:r w:rsidRPr="0075727F">
        <w:rPr>
          <w:i/>
          <w:iCs/>
        </w:rPr>
        <w:t>International journal of epidemiology</w:t>
      </w:r>
      <w:r w:rsidRPr="0075727F">
        <w:t xml:space="preserve">, </w:t>
      </w:r>
      <w:r w:rsidRPr="0075727F">
        <w:rPr>
          <w:i/>
          <w:iCs/>
        </w:rPr>
        <w:t>43</w:t>
      </w:r>
      <w:r w:rsidRPr="0075727F">
        <w:t>(2), 434‑442.</w:t>
      </w:r>
    </w:p>
    <w:p w14:paraId="72FA33AF" w14:textId="77777777" w:rsidR="0075727F" w:rsidRPr="0075727F" w:rsidRDefault="0075727F" w:rsidP="0075727F">
      <w:pPr>
        <w:pStyle w:val="Bibliographie"/>
      </w:pPr>
      <w:r w:rsidRPr="0075727F">
        <w:t xml:space="preserve">Polkovnikova-Wamoto, A. (2014). </w:t>
      </w:r>
      <w:r w:rsidRPr="0075727F">
        <w:rPr>
          <w:i/>
          <w:iCs/>
        </w:rPr>
        <w:t>A study of attachment styles among children aged from 8 to 14 years in Nairobi, Kenya</w:t>
      </w:r>
      <w:r w:rsidRPr="0075727F">
        <w:t>.</w:t>
      </w:r>
    </w:p>
    <w:p w14:paraId="039DC74D" w14:textId="77777777" w:rsidR="0075727F" w:rsidRPr="0075727F" w:rsidRDefault="0075727F" w:rsidP="0075727F">
      <w:pPr>
        <w:pStyle w:val="Bibliographie"/>
      </w:pPr>
      <w:r w:rsidRPr="0075727F">
        <w:t xml:space="preserve">Ponnou, S. (2022). Prévalence, diagnostic et médication de l’hyperactivité/TDAH en France. </w:t>
      </w:r>
      <w:r w:rsidRPr="0075727F">
        <w:rPr>
          <w:i/>
          <w:iCs/>
        </w:rPr>
        <w:t>Annales Médico-psychologiques, revue psychiatrique</w:t>
      </w:r>
      <w:r w:rsidRPr="0075727F">
        <w:t xml:space="preserve">, </w:t>
      </w:r>
      <w:r w:rsidRPr="0075727F">
        <w:rPr>
          <w:i/>
          <w:iCs/>
        </w:rPr>
        <w:t>180</w:t>
      </w:r>
      <w:r w:rsidRPr="0075727F">
        <w:t>(10), 995‑999. https://doi.org/10.1016/j.amp.2020.08.018</w:t>
      </w:r>
    </w:p>
    <w:p w14:paraId="56F378DD" w14:textId="77777777" w:rsidR="0075727F" w:rsidRPr="0075727F" w:rsidRDefault="0075727F" w:rsidP="0075727F">
      <w:pPr>
        <w:pStyle w:val="Bibliographie"/>
      </w:pPr>
      <w:r w:rsidRPr="0075727F">
        <w:t xml:space="preserve">Ponnou, S., Kohout-Diaz, M., &amp; Gonon, F. (2015). Le trouble déficitaire de l’attention avec hyperactivité dans la presse spécialisée destinée aux travailleurs sociaux : Évolution des discours psychanalytiques et biomédicaux. </w:t>
      </w:r>
      <w:r w:rsidRPr="0075727F">
        <w:rPr>
          <w:i/>
          <w:iCs/>
        </w:rPr>
        <w:t>Les dossiers des sciences de l’éducation</w:t>
      </w:r>
      <w:r w:rsidRPr="0075727F">
        <w:t xml:space="preserve">, </w:t>
      </w:r>
      <w:r w:rsidRPr="0075727F">
        <w:rPr>
          <w:i/>
          <w:iCs/>
        </w:rPr>
        <w:t>34</w:t>
      </w:r>
      <w:r w:rsidRPr="0075727F">
        <w:t>, 139‑154.</w:t>
      </w:r>
    </w:p>
    <w:p w14:paraId="55709059" w14:textId="77777777" w:rsidR="0075727F" w:rsidRPr="0075727F" w:rsidRDefault="0075727F" w:rsidP="0075727F">
      <w:pPr>
        <w:pStyle w:val="Bibliographie"/>
      </w:pPr>
      <w:r w:rsidRPr="0075727F">
        <w:t xml:space="preserve">Purper-Ouakil, D., Wohl, M., Cortese, S., Michel, G., &amp; Mouren, M.-C. (2006a). Le trouble déficitaire de l’attention–hyperactivité (TDAH) de l’enfant et de l’adolescent. </w:t>
      </w:r>
      <w:r w:rsidRPr="0075727F">
        <w:rPr>
          <w:i/>
          <w:iCs/>
        </w:rPr>
        <w:t>Annales Médico-psychologiques, revue psychiatrique</w:t>
      </w:r>
      <w:r w:rsidRPr="0075727F">
        <w:t xml:space="preserve">, </w:t>
      </w:r>
      <w:r w:rsidRPr="0075727F">
        <w:rPr>
          <w:i/>
          <w:iCs/>
        </w:rPr>
        <w:t>164</w:t>
      </w:r>
      <w:r w:rsidRPr="0075727F">
        <w:t>(1), 63‑72.</w:t>
      </w:r>
    </w:p>
    <w:p w14:paraId="5A5E8CE8" w14:textId="77777777" w:rsidR="0075727F" w:rsidRPr="0075727F" w:rsidRDefault="0075727F" w:rsidP="0075727F">
      <w:pPr>
        <w:pStyle w:val="Bibliographie"/>
      </w:pPr>
      <w:r w:rsidRPr="0075727F">
        <w:t xml:space="preserve">Purper-Ouakil, D., Wohl, M., Cortese, S., Michel, G., &amp; Mouren, M.-C. (2006b). Le trouble déficitaire de l’attention–hyperactivité (TDAH) de l’enfant et de l’adolescent. </w:t>
      </w:r>
      <w:r w:rsidRPr="0075727F">
        <w:rPr>
          <w:i/>
          <w:iCs/>
        </w:rPr>
        <w:t xml:space="preserve">Annales </w:t>
      </w:r>
      <w:r w:rsidRPr="0075727F">
        <w:rPr>
          <w:i/>
          <w:iCs/>
        </w:rPr>
        <w:lastRenderedPageBreak/>
        <w:t>Medico-psychologiques - ANN MEDICO-PSYCHOL</w:t>
      </w:r>
      <w:r w:rsidRPr="0075727F">
        <w:t xml:space="preserve">, </w:t>
      </w:r>
      <w:r w:rsidRPr="0075727F">
        <w:rPr>
          <w:i/>
          <w:iCs/>
        </w:rPr>
        <w:t>164</w:t>
      </w:r>
      <w:r w:rsidRPr="0075727F">
        <w:t>, 63‑72. https://doi.org/10.1016/j.amp.2005.11.003</w:t>
      </w:r>
    </w:p>
    <w:p w14:paraId="785093AB" w14:textId="77777777" w:rsidR="0075727F" w:rsidRPr="0075727F" w:rsidRDefault="0075727F" w:rsidP="0075727F">
      <w:pPr>
        <w:pStyle w:val="Bibliographie"/>
      </w:pPr>
      <w:r w:rsidRPr="0075727F">
        <w:t xml:space="preserve">Shaffer, D., Fisher, P., Lucas, C. P., Dulcan, M. K., &amp; Schwab-Stone, M. E. (2000). NIMH Diagnostic Interview Schedule for Children Version IV (NIMH DISC-IV) : Description, differences from previous versions, and reliability of some common diagnoses. </w:t>
      </w:r>
      <w:r w:rsidRPr="0075727F">
        <w:rPr>
          <w:i/>
          <w:iCs/>
        </w:rPr>
        <w:t>Journal of the American Academy of Child &amp; Adolescent Psychiatry</w:t>
      </w:r>
      <w:r w:rsidRPr="0075727F">
        <w:t xml:space="preserve">, </w:t>
      </w:r>
      <w:r w:rsidRPr="0075727F">
        <w:rPr>
          <w:i/>
          <w:iCs/>
        </w:rPr>
        <w:t>39</w:t>
      </w:r>
      <w:r w:rsidRPr="0075727F">
        <w:t>(1), 28‑38.</w:t>
      </w:r>
    </w:p>
    <w:p w14:paraId="463DFCD5" w14:textId="77777777" w:rsidR="0075727F" w:rsidRPr="0075727F" w:rsidRDefault="0075727F" w:rsidP="0075727F">
      <w:pPr>
        <w:pStyle w:val="Bibliographie"/>
      </w:pPr>
      <w:r w:rsidRPr="0075727F">
        <w:t xml:space="preserve">Stevens, S. E., Sonuga-Barke, E. J., Kreppner, J. M., Beckett, C., Castle, J., Colvert, E., Groothues, C., Hawkins, A., &amp; Rutter, M. (2008). Inattention/overactivity following early severe institutional deprivation : Presentation and associations in early adolescence. </w:t>
      </w:r>
      <w:r w:rsidRPr="0075727F">
        <w:rPr>
          <w:i/>
          <w:iCs/>
        </w:rPr>
        <w:t>Journal of abnormal child psychology</w:t>
      </w:r>
      <w:r w:rsidRPr="0075727F">
        <w:t xml:space="preserve">, </w:t>
      </w:r>
      <w:r w:rsidRPr="0075727F">
        <w:rPr>
          <w:i/>
          <w:iCs/>
        </w:rPr>
        <w:t>36</w:t>
      </w:r>
      <w:r w:rsidRPr="0075727F">
        <w:t>, 385‑398.</w:t>
      </w:r>
    </w:p>
    <w:p w14:paraId="53195F01" w14:textId="77777777" w:rsidR="0075727F" w:rsidRPr="0075727F" w:rsidRDefault="0075727F" w:rsidP="0075727F">
      <w:pPr>
        <w:pStyle w:val="Bibliographie"/>
      </w:pPr>
      <w:r w:rsidRPr="0075727F">
        <w:t xml:space="preserve">Thomas, R., Sanders, S., Doust, J., Beller, E., &amp; Glasziou, P. (2015). Prevalence of attention-deficit/hyperactivity disorder : A systematic review and meta-analysis. </w:t>
      </w:r>
      <w:r w:rsidRPr="0075727F">
        <w:rPr>
          <w:i/>
          <w:iCs/>
        </w:rPr>
        <w:t>Pediatrics</w:t>
      </w:r>
      <w:r w:rsidRPr="0075727F">
        <w:t xml:space="preserve">, </w:t>
      </w:r>
      <w:r w:rsidRPr="0075727F">
        <w:rPr>
          <w:i/>
          <w:iCs/>
        </w:rPr>
        <w:t>135</w:t>
      </w:r>
      <w:r w:rsidRPr="0075727F">
        <w:t>(4), e994‑e1001.</w:t>
      </w:r>
    </w:p>
    <w:p w14:paraId="0F5E8B39" w14:textId="77777777" w:rsidR="0075727F" w:rsidRPr="0075727F" w:rsidRDefault="0075727F" w:rsidP="0075727F">
      <w:pPr>
        <w:pStyle w:val="Bibliographie"/>
      </w:pPr>
      <w:r w:rsidRPr="0075727F">
        <w:t xml:space="preserve">Wearden, A. J., Tarrier, N., Barrowclough, C., Zastowny, T. R., &amp; Rahill, A. A. (2000). A review of expressed emotion research in health care. </w:t>
      </w:r>
      <w:r w:rsidRPr="0075727F">
        <w:rPr>
          <w:i/>
          <w:iCs/>
        </w:rPr>
        <w:t>Clinical psychology review</w:t>
      </w:r>
      <w:r w:rsidRPr="0075727F">
        <w:t xml:space="preserve">, </w:t>
      </w:r>
      <w:r w:rsidRPr="0075727F">
        <w:rPr>
          <w:i/>
          <w:iCs/>
        </w:rPr>
        <w:t>20</w:t>
      </w:r>
      <w:r w:rsidRPr="0075727F">
        <w:t>(5), 633‑666.</w:t>
      </w:r>
    </w:p>
    <w:p w14:paraId="390FC5BA" w14:textId="77777777" w:rsidR="0075727F" w:rsidRPr="0075727F" w:rsidRDefault="0075727F" w:rsidP="0075727F">
      <w:pPr>
        <w:pStyle w:val="Bibliographie"/>
      </w:pPr>
      <w:r w:rsidRPr="0075727F">
        <w:t xml:space="preserve">Wodon, I. (2013). </w:t>
      </w:r>
      <w:r w:rsidRPr="0075727F">
        <w:rPr>
          <w:i/>
          <w:iCs/>
        </w:rPr>
        <w:t>Déficit de l’attention et hyperactivité chez l’enfant et l’adolescent : Comprendre et soigner le TDAH chez les jeunes</w:t>
      </w:r>
      <w:r w:rsidRPr="0075727F">
        <w:t>. Primento.</w:t>
      </w:r>
    </w:p>
    <w:p w14:paraId="56D0A756" w14:textId="2D213701" w:rsidR="00102885" w:rsidRPr="00102885" w:rsidRDefault="00102885" w:rsidP="00102885">
      <w:pPr>
        <w:pBdr>
          <w:top w:val="nil"/>
          <w:left w:val="nil"/>
          <w:bottom w:val="nil"/>
          <w:right w:val="nil"/>
          <w:between w:val="nil"/>
        </w:pBdr>
        <w:spacing w:after="120"/>
        <w:jc w:val="center"/>
      </w:pPr>
      <w:r>
        <w:fldChar w:fldCharType="end"/>
      </w:r>
    </w:p>
    <w:p w14:paraId="3531E427" w14:textId="77777777" w:rsidR="00102885" w:rsidRPr="00102885" w:rsidRDefault="00102885" w:rsidP="00003EE6">
      <w:pPr>
        <w:pStyle w:val="Prrafocomn"/>
      </w:pPr>
    </w:p>
    <w:p w14:paraId="2E2DA350" w14:textId="77777777" w:rsidR="002B644E" w:rsidRPr="002B644E" w:rsidRDefault="002B644E" w:rsidP="002B644E">
      <w:pPr>
        <w:pStyle w:val="Prrafocomn"/>
      </w:pPr>
    </w:p>
    <w:sectPr w:rsidR="002B644E" w:rsidRPr="002B644E" w:rsidSect="005E4ED4">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C72AE" w14:textId="77777777" w:rsidR="008117AD" w:rsidRDefault="008117AD" w:rsidP="00C413D4">
      <w:r>
        <w:separator/>
      </w:r>
    </w:p>
  </w:endnote>
  <w:endnote w:type="continuationSeparator" w:id="0">
    <w:p w14:paraId="525ABA9C" w14:textId="77777777" w:rsidR="008117AD" w:rsidRDefault="008117A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0000000000000000000"/>
    <w:charset w:val="80"/>
    <w:family w:val="roman"/>
    <w:notTrueType/>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Times" w:hAnsi="Times"/>
        <w:sz w:val="16"/>
        <w:szCs w:val="16"/>
      </w:rPr>
      <w:id w:val="1406568728"/>
      <w:docPartObj>
        <w:docPartGallery w:val="Page Numbers (Bottom of Page)"/>
        <w:docPartUnique/>
      </w:docPartObj>
    </w:sdtPr>
    <w:sdtEndPr>
      <w:rPr>
        <w:rStyle w:val="Numrodepage"/>
        <w:rFonts w:asciiTheme="minorHAnsi" w:hAnsiTheme="minorHAnsi"/>
        <w:sz w:val="24"/>
        <w:szCs w:val="24"/>
      </w:rPr>
    </w:sdtEndPr>
    <w:sdtContent>
      <w:p w14:paraId="4EBE6B2B" w14:textId="77777777" w:rsidR="00050DDA" w:rsidRDefault="00050DDA" w:rsidP="0059034C">
        <w:pPr>
          <w:pStyle w:val="Pieddepage"/>
          <w:ind w:left="3960" w:firstLine="3960"/>
          <w:rPr>
            <w:rStyle w:val="Numrodepage"/>
          </w:rPr>
        </w:pPr>
        <w:r w:rsidRPr="007F5913">
          <w:rPr>
            <w:rFonts w:ascii="Times" w:hAnsi="Times" w:cs="Times"/>
            <w:sz w:val="16"/>
            <w:szCs w:val="16"/>
          </w:rPr>
          <w:t xml:space="preserve">ARTICLE | </w:t>
        </w:r>
        <w:r w:rsidRPr="007F5913">
          <w:rPr>
            <w:rStyle w:val="Numrodepage"/>
            <w:rFonts w:ascii="Times" w:hAnsi="Times"/>
            <w:sz w:val="16"/>
            <w:szCs w:val="16"/>
          </w:rPr>
          <w:fldChar w:fldCharType="begin"/>
        </w:r>
        <w:r w:rsidRPr="007F5913">
          <w:rPr>
            <w:rStyle w:val="Numrodepage"/>
            <w:rFonts w:ascii="Times" w:hAnsi="Times"/>
            <w:sz w:val="16"/>
            <w:szCs w:val="16"/>
          </w:rPr>
          <w:instrText xml:space="preserve"> PAGE </w:instrText>
        </w:r>
        <w:r w:rsidRPr="007F5913">
          <w:rPr>
            <w:rStyle w:val="Numrodepage"/>
            <w:rFonts w:ascii="Times" w:hAnsi="Times"/>
            <w:sz w:val="16"/>
            <w:szCs w:val="16"/>
          </w:rPr>
          <w:fldChar w:fldCharType="separate"/>
        </w:r>
        <w:r w:rsidR="00B1622C">
          <w:rPr>
            <w:rStyle w:val="Numrodepage"/>
            <w:rFonts w:ascii="Times" w:hAnsi="Times"/>
            <w:noProof/>
            <w:sz w:val="16"/>
            <w:szCs w:val="16"/>
          </w:rPr>
          <w:t>18</w:t>
        </w:r>
        <w:r w:rsidRPr="007F5913">
          <w:rPr>
            <w:rStyle w:val="Numrodepage"/>
            <w:rFonts w:ascii="Times" w:hAnsi="Times"/>
            <w:sz w:val="16"/>
            <w:szCs w:val="16"/>
          </w:rPr>
          <w:fldChar w:fldCharType="end"/>
        </w:r>
      </w:p>
    </w:sdtContent>
  </w:sdt>
  <w:p w14:paraId="7A222F7A" w14:textId="77777777" w:rsidR="00050DDA" w:rsidRDefault="00050D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Times" w:hAnsi="Times"/>
        <w:sz w:val="16"/>
        <w:szCs w:val="16"/>
      </w:rPr>
      <w:id w:val="1722862390"/>
      <w:docPartObj>
        <w:docPartGallery w:val="Page Numbers (Bottom of Page)"/>
        <w:docPartUnique/>
      </w:docPartObj>
    </w:sdtPr>
    <w:sdtEndPr>
      <w:rPr>
        <w:rStyle w:val="Numrodepage"/>
        <w:rFonts w:asciiTheme="minorHAnsi" w:hAnsiTheme="minorHAnsi"/>
        <w:sz w:val="24"/>
        <w:szCs w:val="24"/>
      </w:rPr>
    </w:sdtEndPr>
    <w:sdtContent>
      <w:p w14:paraId="4C78B845" w14:textId="77777777" w:rsidR="00050DDA" w:rsidRDefault="00050DDA" w:rsidP="00C413D4">
        <w:pPr>
          <w:pStyle w:val="Pieddepage"/>
          <w:rPr>
            <w:rStyle w:val="Numrodepage"/>
          </w:rPr>
        </w:pPr>
        <w:r w:rsidRPr="007F5913">
          <w:rPr>
            <w:rFonts w:ascii="Times" w:hAnsi="Times" w:cs="Times"/>
            <w:sz w:val="16"/>
            <w:szCs w:val="16"/>
          </w:rPr>
          <w:t xml:space="preserve">ARTICLE | </w:t>
        </w:r>
        <w:r w:rsidRPr="007F5913">
          <w:rPr>
            <w:rStyle w:val="Numrodepage"/>
            <w:rFonts w:ascii="Times" w:hAnsi="Times"/>
            <w:sz w:val="16"/>
            <w:szCs w:val="16"/>
          </w:rPr>
          <w:fldChar w:fldCharType="begin"/>
        </w:r>
        <w:r w:rsidRPr="007F5913">
          <w:rPr>
            <w:rStyle w:val="Numrodepage"/>
            <w:rFonts w:ascii="Times" w:hAnsi="Times"/>
            <w:sz w:val="16"/>
            <w:szCs w:val="16"/>
          </w:rPr>
          <w:instrText xml:space="preserve"> PAGE </w:instrText>
        </w:r>
        <w:r w:rsidRPr="007F5913">
          <w:rPr>
            <w:rStyle w:val="Numrodepage"/>
            <w:rFonts w:ascii="Times" w:hAnsi="Times"/>
            <w:sz w:val="16"/>
            <w:szCs w:val="16"/>
          </w:rPr>
          <w:fldChar w:fldCharType="separate"/>
        </w:r>
        <w:r w:rsidR="00B1622C">
          <w:rPr>
            <w:rStyle w:val="Numrodepage"/>
            <w:rFonts w:ascii="Times" w:hAnsi="Times"/>
            <w:noProof/>
            <w:sz w:val="16"/>
            <w:szCs w:val="16"/>
          </w:rPr>
          <w:t>1</w:t>
        </w:r>
        <w:r w:rsidRPr="007F5913">
          <w:rPr>
            <w:rStyle w:val="Numrodepage"/>
            <w:rFonts w:ascii="Times" w:hAnsi="Times"/>
            <w:sz w:val="16"/>
            <w:szCs w:val="16"/>
          </w:rPr>
          <w:fldChar w:fldCharType="end"/>
        </w:r>
      </w:p>
    </w:sdtContent>
  </w:sdt>
  <w:p w14:paraId="4E421D5C" w14:textId="77777777" w:rsidR="00050DDA" w:rsidRDefault="00050D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2BE40" w14:textId="77777777" w:rsidR="008117AD" w:rsidRDefault="008117AD" w:rsidP="00C413D4">
      <w:r>
        <w:separator/>
      </w:r>
    </w:p>
  </w:footnote>
  <w:footnote w:type="continuationSeparator" w:id="0">
    <w:p w14:paraId="287B9F0C" w14:textId="77777777" w:rsidR="008117AD" w:rsidRDefault="008117AD"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0193" w14:textId="23941C5B" w:rsidR="00050DDA" w:rsidRPr="00B02133" w:rsidRDefault="00050DDA" w:rsidP="0059034C">
    <w:pPr>
      <w:pStyle w:val="En-tte"/>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050DDA" w:rsidRDefault="00050DDA" w:rsidP="00C413D4">
    <w:pPr>
      <w:pStyle w:val="En-tte"/>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050DDA" w:rsidRDefault="00050DDA" w:rsidP="00977250">
    <w:pPr>
      <w:pStyle w:val="En-tte"/>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936786E"/>
    <w:lvl w:ilvl="0">
      <w:start w:val="1"/>
      <w:numFmt w:val="decimal"/>
      <w:lvlText w:val="%1."/>
      <w:lvlJc w:val="left"/>
      <w:pPr>
        <w:tabs>
          <w:tab w:val="num" w:pos="1492"/>
        </w:tabs>
        <w:ind w:left="1492" w:hanging="360"/>
      </w:pPr>
    </w:lvl>
  </w:abstractNum>
  <w:abstractNum w:abstractNumId="1">
    <w:nsid w:val="FFFFFF7D"/>
    <w:multiLevelType w:val="singleLevel"/>
    <w:tmpl w:val="885EFE12"/>
    <w:lvl w:ilvl="0">
      <w:start w:val="1"/>
      <w:numFmt w:val="decimal"/>
      <w:lvlText w:val="%1."/>
      <w:lvlJc w:val="left"/>
      <w:pPr>
        <w:tabs>
          <w:tab w:val="num" w:pos="1209"/>
        </w:tabs>
        <w:ind w:left="1209" w:hanging="360"/>
      </w:pPr>
    </w:lvl>
  </w:abstractNum>
  <w:abstractNum w:abstractNumId="2">
    <w:nsid w:val="FFFFFF7E"/>
    <w:multiLevelType w:val="singleLevel"/>
    <w:tmpl w:val="E0969C12"/>
    <w:lvl w:ilvl="0">
      <w:start w:val="1"/>
      <w:numFmt w:val="decimal"/>
      <w:lvlText w:val="%1."/>
      <w:lvlJc w:val="left"/>
      <w:pPr>
        <w:tabs>
          <w:tab w:val="num" w:pos="926"/>
        </w:tabs>
        <w:ind w:left="926" w:hanging="360"/>
      </w:pPr>
    </w:lvl>
  </w:abstractNum>
  <w:abstractNum w:abstractNumId="3">
    <w:nsid w:val="FFFFFF7F"/>
    <w:multiLevelType w:val="singleLevel"/>
    <w:tmpl w:val="08807A5A"/>
    <w:lvl w:ilvl="0">
      <w:start w:val="1"/>
      <w:numFmt w:val="decimal"/>
      <w:lvlText w:val="%1."/>
      <w:lvlJc w:val="left"/>
      <w:pPr>
        <w:tabs>
          <w:tab w:val="num" w:pos="643"/>
        </w:tabs>
        <w:ind w:left="643" w:hanging="360"/>
      </w:pPr>
    </w:lvl>
  </w:abstractNum>
  <w:abstractNum w:abstractNumId="4">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F2DA5C"/>
    <w:lvl w:ilvl="0">
      <w:start w:val="1"/>
      <w:numFmt w:val="decimal"/>
      <w:lvlText w:val="%1."/>
      <w:lvlJc w:val="left"/>
      <w:pPr>
        <w:tabs>
          <w:tab w:val="num" w:pos="360"/>
        </w:tabs>
        <w:ind w:left="360" w:hanging="360"/>
      </w:pPr>
    </w:lvl>
  </w:abstractNum>
  <w:abstractNum w:abstractNumId="9">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03EE6"/>
    <w:rsid w:val="000100CE"/>
    <w:rsid w:val="000365CA"/>
    <w:rsid w:val="00047DFF"/>
    <w:rsid w:val="00050DDA"/>
    <w:rsid w:val="00074267"/>
    <w:rsid w:val="00076F0A"/>
    <w:rsid w:val="000B1B5F"/>
    <w:rsid w:val="000B23D0"/>
    <w:rsid w:val="000B675D"/>
    <w:rsid w:val="000B7D00"/>
    <w:rsid w:val="000C4DD2"/>
    <w:rsid w:val="000D0487"/>
    <w:rsid w:val="000D4F3C"/>
    <w:rsid w:val="00102885"/>
    <w:rsid w:val="001064AE"/>
    <w:rsid w:val="001163BC"/>
    <w:rsid w:val="001178E6"/>
    <w:rsid w:val="001253E7"/>
    <w:rsid w:val="00127870"/>
    <w:rsid w:val="00135E7A"/>
    <w:rsid w:val="001437CF"/>
    <w:rsid w:val="00144920"/>
    <w:rsid w:val="001516ED"/>
    <w:rsid w:val="00153DC5"/>
    <w:rsid w:val="0015691C"/>
    <w:rsid w:val="001934A0"/>
    <w:rsid w:val="001969F3"/>
    <w:rsid w:val="001976AB"/>
    <w:rsid w:val="001A6607"/>
    <w:rsid w:val="001B0C09"/>
    <w:rsid w:val="001C6615"/>
    <w:rsid w:val="001C7E72"/>
    <w:rsid w:val="001D699F"/>
    <w:rsid w:val="001E4542"/>
    <w:rsid w:val="001E6ADA"/>
    <w:rsid w:val="001F13D5"/>
    <w:rsid w:val="001F1478"/>
    <w:rsid w:val="001F7509"/>
    <w:rsid w:val="00205C88"/>
    <w:rsid w:val="002144C1"/>
    <w:rsid w:val="00234E5C"/>
    <w:rsid w:val="00241FE7"/>
    <w:rsid w:val="00245A82"/>
    <w:rsid w:val="00246D04"/>
    <w:rsid w:val="00261FB6"/>
    <w:rsid w:val="002624E0"/>
    <w:rsid w:val="00267436"/>
    <w:rsid w:val="00271502"/>
    <w:rsid w:val="00282986"/>
    <w:rsid w:val="00294547"/>
    <w:rsid w:val="00297AFB"/>
    <w:rsid w:val="002A33A8"/>
    <w:rsid w:val="002A3EA2"/>
    <w:rsid w:val="002A764C"/>
    <w:rsid w:val="002B2297"/>
    <w:rsid w:val="002B644E"/>
    <w:rsid w:val="002C009C"/>
    <w:rsid w:val="002C1EB1"/>
    <w:rsid w:val="002C3A8D"/>
    <w:rsid w:val="002C7C6D"/>
    <w:rsid w:val="002C7DF0"/>
    <w:rsid w:val="002D1053"/>
    <w:rsid w:val="002E0320"/>
    <w:rsid w:val="002F070D"/>
    <w:rsid w:val="002F257B"/>
    <w:rsid w:val="002F38C8"/>
    <w:rsid w:val="002F6B47"/>
    <w:rsid w:val="003004CB"/>
    <w:rsid w:val="0030125E"/>
    <w:rsid w:val="00302C5C"/>
    <w:rsid w:val="00315286"/>
    <w:rsid w:val="003237DE"/>
    <w:rsid w:val="00340A21"/>
    <w:rsid w:val="0034704D"/>
    <w:rsid w:val="00362FC8"/>
    <w:rsid w:val="003909A7"/>
    <w:rsid w:val="003B4FEB"/>
    <w:rsid w:val="003B5EF6"/>
    <w:rsid w:val="003C4AA4"/>
    <w:rsid w:val="003E4B06"/>
    <w:rsid w:val="00402E32"/>
    <w:rsid w:val="004113FD"/>
    <w:rsid w:val="0042142D"/>
    <w:rsid w:val="00430C97"/>
    <w:rsid w:val="00433219"/>
    <w:rsid w:val="00446950"/>
    <w:rsid w:val="00447E89"/>
    <w:rsid w:val="004509A6"/>
    <w:rsid w:val="00465C3B"/>
    <w:rsid w:val="00475FC0"/>
    <w:rsid w:val="00483D6B"/>
    <w:rsid w:val="0048651A"/>
    <w:rsid w:val="00491E9A"/>
    <w:rsid w:val="004B1D1B"/>
    <w:rsid w:val="004B74D6"/>
    <w:rsid w:val="004C0823"/>
    <w:rsid w:val="004C1FD8"/>
    <w:rsid w:val="004C2A6E"/>
    <w:rsid w:val="004D5719"/>
    <w:rsid w:val="00503B9E"/>
    <w:rsid w:val="00507B29"/>
    <w:rsid w:val="00515CD1"/>
    <w:rsid w:val="00530BD4"/>
    <w:rsid w:val="0053145D"/>
    <w:rsid w:val="00542090"/>
    <w:rsid w:val="00545C0F"/>
    <w:rsid w:val="0055616B"/>
    <w:rsid w:val="00565F26"/>
    <w:rsid w:val="00575541"/>
    <w:rsid w:val="00576894"/>
    <w:rsid w:val="0057771A"/>
    <w:rsid w:val="005813E0"/>
    <w:rsid w:val="0059034C"/>
    <w:rsid w:val="00594317"/>
    <w:rsid w:val="005A01AE"/>
    <w:rsid w:val="005A7A36"/>
    <w:rsid w:val="005B5614"/>
    <w:rsid w:val="005C5C3B"/>
    <w:rsid w:val="005E4ED4"/>
    <w:rsid w:val="006061F7"/>
    <w:rsid w:val="0061199D"/>
    <w:rsid w:val="006131A2"/>
    <w:rsid w:val="00626D92"/>
    <w:rsid w:val="00634597"/>
    <w:rsid w:val="00640BFD"/>
    <w:rsid w:val="00655C6D"/>
    <w:rsid w:val="0067355C"/>
    <w:rsid w:val="00685E37"/>
    <w:rsid w:val="006937D3"/>
    <w:rsid w:val="006A1BA2"/>
    <w:rsid w:val="006B0812"/>
    <w:rsid w:val="006B088F"/>
    <w:rsid w:val="006C21BC"/>
    <w:rsid w:val="006D01F2"/>
    <w:rsid w:val="006E3340"/>
    <w:rsid w:val="006F6924"/>
    <w:rsid w:val="006F7C02"/>
    <w:rsid w:val="006F7E7E"/>
    <w:rsid w:val="00700F77"/>
    <w:rsid w:val="00704ECD"/>
    <w:rsid w:val="00717457"/>
    <w:rsid w:val="00724F5C"/>
    <w:rsid w:val="007252F5"/>
    <w:rsid w:val="00731E63"/>
    <w:rsid w:val="0074104F"/>
    <w:rsid w:val="00741CF9"/>
    <w:rsid w:val="0074214E"/>
    <w:rsid w:val="00742E4A"/>
    <w:rsid w:val="00746373"/>
    <w:rsid w:val="0075727F"/>
    <w:rsid w:val="00770AE4"/>
    <w:rsid w:val="007825AC"/>
    <w:rsid w:val="0078702D"/>
    <w:rsid w:val="007948E1"/>
    <w:rsid w:val="00795D57"/>
    <w:rsid w:val="007A160D"/>
    <w:rsid w:val="007A45EF"/>
    <w:rsid w:val="007A7C7C"/>
    <w:rsid w:val="007A7CDC"/>
    <w:rsid w:val="007C29A6"/>
    <w:rsid w:val="007C3C14"/>
    <w:rsid w:val="007C41F2"/>
    <w:rsid w:val="007E34D6"/>
    <w:rsid w:val="007E3B8D"/>
    <w:rsid w:val="008114AC"/>
    <w:rsid w:val="008117AD"/>
    <w:rsid w:val="008151AB"/>
    <w:rsid w:val="00816268"/>
    <w:rsid w:val="00817396"/>
    <w:rsid w:val="00824D3A"/>
    <w:rsid w:val="00862338"/>
    <w:rsid w:val="00863414"/>
    <w:rsid w:val="00872EFD"/>
    <w:rsid w:val="00880120"/>
    <w:rsid w:val="00886318"/>
    <w:rsid w:val="008B0F10"/>
    <w:rsid w:val="008C409A"/>
    <w:rsid w:val="008C775E"/>
    <w:rsid w:val="008D509E"/>
    <w:rsid w:val="008D7D34"/>
    <w:rsid w:val="009032D5"/>
    <w:rsid w:val="00903DEB"/>
    <w:rsid w:val="00925AAC"/>
    <w:rsid w:val="00937B77"/>
    <w:rsid w:val="009424BF"/>
    <w:rsid w:val="00942F46"/>
    <w:rsid w:val="00951A2D"/>
    <w:rsid w:val="00964254"/>
    <w:rsid w:val="00972D0C"/>
    <w:rsid w:val="0097517B"/>
    <w:rsid w:val="00976083"/>
    <w:rsid w:val="00977250"/>
    <w:rsid w:val="009850BE"/>
    <w:rsid w:val="00990F13"/>
    <w:rsid w:val="00993241"/>
    <w:rsid w:val="0099755D"/>
    <w:rsid w:val="009A583F"/>
    <w:rsid w:val="009B3EF3"/>
    <w:rsid w:val="009B7E16"/>
    <w:rsid w:val="009D2551"/>
    <w:rsid w:val="009D7878"/>
    <w:rsid w:val="009E37BF"/>
    <w:rsid w:val="00A30790"/>
    <w:rsid w:val="00A457D0"/>
    <w:rsid w:val="00A516C7"/>
    <w:rsid w:val="00A54DF8"/>
    <w:rsid w:val="00A62218"/>
    <w:rsid w:val="00A741BB"/>
    <w:rsid w:val="00A850EE"/>
    <w:rsid w:val="00A871FB"/>
    <w:rsid w:val="00A90868"/>
    <w:rsid w:val="00A93146"/>
    <w:rsid w:val="00A96141"/>
    <w:rsid w:val="00AA7D0D"/>
    <w:rsid w:val="00AC0DFD"/>
    <w:rsid w:val="00AD3238"/>
    <w:rsid w:val="00AE3077"/>
    <w:rsid w:val="00AE48D4"/>
    <w:rsid w:val="00AF404D"/>
    <w:rsid w:val="00AF5B9A"/>
    <w:rsid w:val="00B02133"/>
    <w:rsid w:val="00B06283"/>
    <w:rsid w:val="00B1622C"/>
    <w:rsid w:val="00B35042"/>
    <w:rsid w:val="00B35B61"/>
    <w:rsid w:val="00B511FB"/>
    <w:rsid w:val="00B60E75"/>
    <w:rsid w:val="00B6475A"/>
    <w:rsid w:val="00B6522A"/>
    <w:rsid w:val="00B74D71"/>
    <w:rsid w:val="00B83A6E"/>
    <w:rsid w:val="00B845A1"/>
    <w:rsid w:val="00B9678D"/>
    <w:rsid w:val="00BB4236"/>
    <w:rsid w:val="00BB4CA3"/>
    <w:rsid w:val="00BC0E26"/>
    <w:rsid w:val="00BC2AFB"/>
    <w:rsid w:val="00BC7AB3"/>
    <w:rsid w:val="00BD26F5"/>
    <w:rsid w:val="00BF59E7"/>
    <w:rsid w:val="00C06AF8"/>
    <w:rsid w:val="00C07D76"/>
    <w:rsid w:val="00C12E57"/>
    <w:rsid w:val="00C30DDE"/>
    <w:rsid w:val="00C34AEB"/>
    <w:rsid w:val="00C35B1F"/>
    <w:rsid w:val="00C36E80"/>
    <w:rsid w:val="00C413D4"/>
    <w:rsid w:val="00C43335"/>
    <w:rsid w:val="00C64ECF"/>
    <w:rsid w:val="00C730C3"/>
    <w:rsid w:val="00C84812"/>
    <w:rsid w:val="00C86614"/>
    <w:rsid w:val="00CA3BFF"/>
    <w:rsid w:val="00CA3C92"/>
    <w:rsid w:val="00CB631E"/>
    <w:rsid w:val="00CC3F09"/>
    <w:rsid w:val="00CE12C2"/>
    <w:rsid w:val="00CE7D65"/>
    <w:rsid w:val="00CF41BC"/>
    <w:rsid w:val="00CF4E1F"/>
    <w:rsid w:val="00CF5D21"/>
    <w:rsid w:val="00D01CED"/>
    <w:rsid w:val="00D10086"/>
    <w:rsid w:val="00D36F5E"/>
    <w:rsid w:val="00D410F3"/>
    <w:rsid w:val="00D57CA5"/>
    <w:rsid w:val="00D609BB"/>
    <w:rsid w:val="00D60AD8"/>
    <w:rsid w:val="00D7109A"/>
    <w:rsid w:val="00D8555F"/>
    <w:rsid w:val="00D94A3F"/>
    <w:rsid w:val="00DB4A71"/>
    <w:rsid w:val="00DB4E12"/>
    <w:rsid w:val="00DB6400"/>
    <w:rsid w:val="00DD05A1"/>
    <w:rsid w:val="00DD3E1B"/>
    <w:rsid w:val="00DE1119"/>
    <w:rsid w:val="00DF6196"/>
    <w:rsid w:val="00E01C67"/>
    <w:rsid w:val="00E108AD"/>
    <w:rsid w:val="00E25900"/>
    <w:rsid w:val="00E26883"/>
    <w:rsid w:val="00E3671F"/>
    <w:rsid w:val="00E416F6"/>
    <w:rsid w:val="00E449A9"/>
    <w:rsid w:val="00E44BBA"/>
    <w:rsid w:val="00E55124"/>
    <w:rsid w:val="00E66A8E"/>
    <w:rsid w:val="00E95803"/>
    <w:rsid w:val="00E977B7"/>
    <w:rsid w:val="00E97D42"/>
    <w:rsid w:val="00EA6646"/>
    <w:rsid w:val="00EB213C"/>
    <w:rsid w:val="00ED2663"/>
    <w:rsid w:val="00EF31FC"/>
    <w:rsid w:val="00EF4243"/>
    <w:rsid w:val="00F21272"/>
    <w:rsid w:val="00F44FAE"/>
    <w:rsid w:val="00F77C3B"/>
    <w:rsid w:val="00F90FB9"/>
    <w:rsid w:val="00FA2FFD"/>
    <w:rsid w:val="00FA7305"/>
    <w:rsid w:val="00FB0419"/>
    <w:rsid w:val="00FC4497"/>
    <w:rsid w:val="00FC5C57"/>
    <w:rsid w:val="00FC652A"/>
    <w:rsid w:val="00FD2D27"/>
    <w:rsid w:val="00FE09A6"/>
    <w:rsid w:val="00FE2AFA"/>
    <w:rsid w:val="00FF1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5CC8CA9D-4262-422B-AA85-E1516C8C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885"/>
    <w:rPr>
      <w:rFonts w:ascii="Times New Roman" w:eastAsia="Times New Roman" w:hAnsi="Times New Roman" w:cs="Times New Roman"/>
      <w:lang w:val="es-AR" w:eastAsia="es-ES_tradnl"/>
    </w:rPr>
  </w:style>
  <w:style w:type="paragraph" w:styleId="Titre2">
    <w:name w:val="heading 2"/>
    <w:basedOn w:val="Normal"/>
    <w:next w:val="Normal"/>
    <w:link w:val="Titre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tteCar">
    <w:name w:val="En-tête Car"/>
    <w:basedOn w:val="Policepardfaut"/>
    <w:link w:val="En-tte"/>
    <w:uiPriority w:val="99"/>
    <w:rsid w:val="00C413D4"/>
  </w:style>
  <w:style w:type="paragraph" w:styleId="Pieddepage">
    <w:name w:val="footer"/>
    <w:basedOn w:val="Normal"/>
    <w:link w:val="Pieddepage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depageCar">
    <w:name w:val="Pied de page Car"/>
    <w:basedOn w:val="Policepardfaut"/>
    <w:link w:val="Pieddepage"/>
    <w:uiPriority w:val="99"/>
    <w:rsid w:val="00C413D4"/>
  </w:style>
  <w:style w:type="character" w:customStyle="1" w:styleId="label3">
    <w:name w:val="label3"/>
    <w:basedOn w:val="Policepardfaut"/>
    <w:rsid w:val="00C413D4"/>
  </w:style>
  <w:style w:type="paragraph" w:styleId="Notedebasdepage">
    <w:name w:val="footnote text"/>
    <w:basedOn w:val="Normal"/>
    <w:link w:val="NotedebasdepageCar"/>
    <w:uiPriority w:val="99"/>
    <w:semiHidden/>
    <w:unhideWhenUsed/>
    <w:rsid w:val="00C413D4"/>
    <w:rPr>
      <w:sz w:val="20"/>
      <w:szCs w:val="20"/>
    </w:rPr>
  </w:style>
  <w:style w:type="character" w:customStyle="1" w:styleId="NotedebasdepageCar">
    <w:name w:val="Note de bas de page Car"/>
    <w:basedOn w:val="Policepardfaut"/>
    <w:link w:val="Notedebasdepage"/>
    <w:uiPriority w:val="99"/>
    <w:semiHidden/>
    <w:rsid w:val="00C413D4"/>
    <w:rPr>
      <w:rFonts w:ascii="Times New Roman" w:eastAsia="Times New Roman" w:hAnsi="Times New Roman" w:cs="Times New Roman"/>
      <w:sz w:val="20"/>
      <w:szCs w:val="20"/>
      <w:lang w:val="es-ES_tradnl" w:eastAsia="es-ES_tradnl"/>
    </w:rPr>
  </w:style>
  <w:style w:type="character" w:styleId="Appelnotedebasdep">
    <w:name w:val="footnote reference"/>
    <w:basedOn w:val="Policepardfaut"/>
    <w:uiPriority w:val="99"/>
    <w:semiHidden/>
    <w:unhideWhenUsed/>
    <w:rsid w:val="00C413D4"/>
    <w:rPr>
      <w:vertAlign w:val="superscript"/>
    </w:rPr>
  </w:style>
  <w:style w:type="character" w:styleId="Numrodepage">
    <w:name w:val="page number"/>
    <w:basedOn w:val="Policepardfaut"/>
    <w:uiPriority w:val="99"/>
    <w:semiHidden/>
    <w:unhideWhenUsed/>
    <w:rsid w:val="00C413D4"/>
  </w:style>
  <w:style w:type="paragraph" w:styleId="Corpsdetexte">
    <w:name w:val="Body Text"/>
    <w:basedOn w:val="Normal"/>
    <w:link w:val="CorpsdetexteCar"/>
    <w:rsid w:val="006F7E7E"/>
    <w:pPr>
      <w:spacing w:line="480" w:lineRule="auto"/>
      <w:ind w:firstLine="540"/>
    </w:pPr>
    <w:rPr>
      <w:szCs w:val="20"/>
      <w:lang w:val="en-US" w:eastAsia="en-US"/>
    </w:rPr>
  </w:style>
  <w:style w:type="character" w:customStyle="1" w:styleId="CorpsdetexteCar">
    <w:name w:val="Corps de texte Car"/>
    <w:basedOn w:val="Policepardfaut"/>
    <w:link w:val="Corpsdetex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Notedefin">
    <w:name w:val="endnote text"/>
    <w:basedOn w:val="Normal"/>
    <w:link w:val="NotedefinCar"/>
    <w:uiPriority w:val="99"/>
    <w:semiHidden/>
    <w:unhideWhenUsed/>
    <w:rsid w:val="007A7C7C"/>
    <w:rPr>
      <w:sz w:val="20"/>
      <w:szCs w:val="20"/>
    </w:rPr>
  </w:style>
  <w:style w:type="character" w:customStyle="1" w:styleId="NotedefinCar">
    <w:name w:val="Note de fin Car"/>
    <w:basedOn w:val="Policepardfaut"/>
    <w:link w:val="Notedefin"/>
    <w:uiPriority w:val="99"/>
    <w:semiHidden/>
    <w:rsid w:val="007A7C7C"/>
    <w:rPr>
      <w:rFonts w:ascii="Times New Roman" w:eastAsia="Times New Roman" w:hAnsi="Times New Roman" w:cs="Times New Roman"/>
      <w:sz w:val="20"/>
      <w:szCs w:val="20"/>
      <w:lang w:val="es-ES_tradnl" w:eastAsia="es-ES_tradnl"/>
    </w:rPr>
  </w:style>
  <w:style w:type="character" w:styleId="Appeldenotedefin">
    <w:name w:val="endnote reference"/>
    <w:basedOn w:val="Policepardfaut"/>
    <w:uiPriority w:val="99"/>
    <w:semiHidden/>
    <w:unhideWhenUsed/>
    <w:rsid w:val="007A7C7C"/>
    <w:rPr>
      <w:vertAlign w:val="superscript"/>
    </w:rPr>
  </w:style>
  <w:style w:type="character" w:styleId="Lienhypertexte">
    <w:name w:val="Hyperlink"/>
    <w:basedOn w:val="Policepardfaut"/>
    <w:uiPriority w:val="99"/>
    <w:unhideWhenUsed/>
    <w:rsid w:val="00B6522A"/>
    <w:rPr>
      <w:color w:val="0000FF"/>
      <w:u w:val="single"/>
    </w:rPr>
  </w:style>
  <w:style w:type="paragraph" w:styleId="Textedebulles">
    <w:name w:val="Balloon Text"/>
    <w:basedOn w:val="Normal"/>
    <w:link w:val="TextedebullesCar"/>
    <w:uiPriority w:val="99"/>
    <w:semiHidden/>
    <w:unhideWhenUsed/>
    <w:rsid w:val="00FB0419"/>
    <w:rPr>
      <w:sz w:val="18"/>
      <w:szCs w:val="18"/>
    </w:rPr>
  </w:style>
  <w:style w:type="character" w:customStyle="1" w:styleId="TextedebullesCar">
    <w:name w:val="Texte de bulles Car"/>
    <w:basedOn w:val="Policepardfaut"/>
    <w:link w:val="Textedebulles"/>
    <w:uiPriority w:val="99"/>
    <w:semiHidden/>
    <w:rsid w:val="00FB0419"/>
    <w:rPr>
      <w:rFonts w:ascii="Times New Roman" w:eastAsia="Times New Roman" w:hAnsi="Times New Roman" w:cs="Times New Roman"/>
      <w:sz w:val="18"/>
      <w:szCs w:val="18"/>
      <w:lang w:val="es-ES_tradnl" w:eastAsia="es-ES_tradnl"/>
    </w:rPr>
  </w:style>
  <w:style w:type="table" w:styleId="Grilledutableau">
    <w:name w:val="Table Grid"/>
    <w:basedOn w:val="Tableau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5E4ED4"/>
    <w:pPr>
      <w:spacing w:before="100" w:beforeAutospacing="1" w:after="100" w:afterAutospacing="1" w:line="360" w:lineRule="auto"/>
      <w:jc w:val="center"/>
      <w:outlineLvl w:val="0"/>
    </w:pPr>
    <w:rPr>
      <w:lang w:val="fr-FR" w:eastAsia="en-US"/>
    </w:rPr>
  </w:style>
  <w:style w:type="paragraph" w:customStyle="1" w:styleId="SubtituloInterno">
    <w:name w:val="Subtitulo Interno"/>
    <w:basedOn w:val="Normal"/>
    <w:autoRedefine/>
    <w:qFormat/>
    <w:rsid w:val="00FC652A"/>
    <w:pPr>
      <w:spacing w:before="100" w:beforeAutospacing="1" w:after="100" w:afterAutospacing="1" w:line="360" w:lineRule="auto"/>
      <w:contextualSpacing/>
      <w:jc w:val="both"/>
      <w:outlineLvl w:val="1"/>
    </w:pPr>
    <w:rPr>
      <w:rFonts w:ascii="Garamond" w:eastAsia="Calibri" w:hAnsi="Garamond"/>
      <w:lang w:val="fr-FR" w:eastAsia="fr-F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Policepardfaut"/>
    <w:link w:val="Ttulosinternos"/>
    <w:rsid w:val="005E4ED4"/>
    <w:rPr>
      <w:rFonts w:ascii="Times New Roman" w:eastAsia="Times New Roman" w:hAnsi="Times New Roman" w:cs="Times New Roman"/>
      <w:lang w:val="fr-FR"/>
    </w:rPr>
  </w:style>
  <w:style w:type="character" w:customStyle="1" w:styleId="Titre2Car">
    <w:name w:val="Titre 2 Car"/>
    <w:basedOn w:val="Policepardfaut"/>
    <w:link w:val="Titre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Policepardfau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Policepardfau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Policepardfaut"/>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Policepardfau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eastAsia="en-US"/>
    </w:rPr>
  </w:style>
  <w:style w:type="character" w:customStyle="1" w:styleId="SubtituloInterno1Car">
    <w:name w:val="Subtitulo Interno 1 Car"/>
    <w:basedOn w:val="Policepardfaut"/>
    <w:link w:val="SubtituloInterno1"/>
    <w:rsid w:val="0078702D"/>
    <w:rPr>
      <w:rFonts w:ascii="Times New Roman" w:eastAsia="Times New Roman" w:hAnsi="Times New Roman" w:cs="Times New Roman"/>
      <w:i/>
      <w:lang w:val="es-AR"/>
    </w:rPr>
  </w:style>
  <w:style w:type="paragraph" w:styleId="Bibliographie">
    <w:name w:val="Bibliography"/>
    <w:basedOn w:val="Normal"/>
    <w:next w:val="Normal"/>
    <w:uiPriority w:val="37"/>
    <w:unhideWhenUsed/>
    <w:rsid w:val="00102885"/>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76261540">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927036373">
      <w:bodyDiv w:val="1"/>
      <w:marLeft w:val="0"/>
      <w:marRight w:val="0"/>
      <w:marTop w:val="0"/>
      <w:marBottom w:val="0"/>
      <w:divBdr>
        <w:top w:val="none" w:sz="0" w:space="0" w:color="auto"/>
        <w:left w:val="none" w:sz="0" w:space="0" w:color="auto"/>
        <w:bottom w:val="none" w:sz="0" w:space="0" w:color="auto"/>
        <w:right w:val="none" w:sz="0" w:space="0" w:color="auto"/>
      </w:divBdr>
    </w:div>
    <w:div w:id="1028063786">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8177217">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06481369">
      <w:bodyDiv w:val="1"/>
      <w:marLeft w:val="0"/>
      <w:marRight w:val="0"/>
      <w:marTop w:val="0"/>
      <w:marBottom w:val="0"/>
      <w:divBdr>
        <w:top w:val="none" w:sz="0" w:space="0" w:color="auto"/>
        <w:left w:val="none" w:sz="0" w:space="0" w:color="auto"/>
        <w:bottom w:val="none" w:sz="0" w:space="0" w:color="auto"/>
        <w:right w:val="none" w:sz="0" w:space="0" w:color="auto"/>
      </w:divBdr>
    </w:div>
    <w:div w:id="1578902750">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61506440">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02080650">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Roaming\Microsoft\Templates\Zote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1A03-5CF7-4C85-8890-62504E91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Zotero</Template>
  <TotalTime>1</TotalTime>
  <Pages>19</Pages>
  <Words>13626</Words>
  <Characters>77672</Characters>
  <Application>Microsoft Office Word</Application>
  <DocSecurity>0</DocSecurity>
  <Lines>647</Lines>
  <Paragraphs>182</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91116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TOSHIBA</cp:lastModifiedBy>
  <cp:revision>2</cp:revision>
  <cp:lastPrinted>2020-04-16T16:22:00Z</cp:lastPrinted>
  <dcterms:created xsi:type="dcterms:W3CDTF">2023-09-25T19:57:00Z</dcterms:created>
  <dcterms:modified xsi:type="dcterms:W3CDTF">2023-09-25T19:57:00Z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id="f83f0GYF"/&gt;&lt;style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