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BC8CE" w14:textId="730AEC50" w:rsidR="00742E4A" w:rsidRPr="00E25900" w:rsidRDefault="00153DC5" w:rsidP="00977250">
      <w:pPr>
        <w:pStyle w:val="Titulodeartculo"/>
        <w:rPr>
          <w:lang w:val="en-US" w:eastAsia="pt-BR"/>
        </w:rPr>
      </w:pPr>
      <w:r w:rsidRPr="002B2297">
        <w:rPr>
          <w:lang w:val="en-US"/>
        </w:rPr>
        <w:t xml:space="preserve"> </w:t>
      </w:r>
      <w:r w:rsidR="0066144A" w:rsidRPr="0066144A">
        <w:rPr>
          <w:lang w:val="en-US"/>
        </w:rPr>
        <w:t>Health care and risk behaviors in the family</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MX" w:eastAsia="es-MX"/>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6107AB39" w:rsidR="00C413D4" w:rsidRPr="0027261B" w:rsidRDefault="006A4C58" w:rsidP="00C413D4">
      <w:pPr>
        <w:rPr>
          <w:sz w:val="20"/>
          <w:szCs w:val="20"/>
          <w:lang w:val="es-AR"/>
        </w:rPr>
      </w:pPr>
      <w:r w:rsidRPr="006A4C58">
        <w:rPr>
          <w:sz w:val="20"/>
          <w:szCs w:val="20"/>
          <w:lang w:val="es-AR"/>
        </w:rPr>
        <w:t>In the family, health care turns out to be an important aspect of upbringing, both health promotion and risk behaviors have a direct influence on the perception and actions that sons and daughters adopt throughout his life. The objective was to describe the health care and risk behaviors of university students and their parents. 566 Psychology students participated, who answered a questionnaire that evaluated health care in families. Among the results, it was found that in general the students assure that both they and their parents carry out behaviors that promote health care such as having an adequate diet, as well as some negative behaviors such as self-medication and smoking, however, for young people these behaviors that harm their health are not considered by them as risk factors. It is worth highlighting the importance of the family in the promotion and prevention of health, as well as the recognition of the increase in risk behaviors in young people, intending that research on the subject promote the implementation of different risk behavior prevention programs that improve their style and quality of life.</w:t>
      </w:r>
    </w:p>
    <w:p w14:paraId="0EB33005" w14:textId="77777777" w:rsidR="00C413D4" w:rsidRPr="00E25900" w:rsidRDefault="00C413D4" w:rsidP="00C413D4">
      <w:pPr>
        <w:rPr>
          <w:b/>
          <w:sz w:val="20"/>
          <w:szCs w:val="20"/>
          <w:lang w:val="en-US"/>
        </w:rPr>
      </w:pPr>
      <w:r w:rsidRPr="00E25900">
        <w:rPr>
          <w:b/>
          <w:sz w:val="20"/>
          <w:szCs w:val="20"/>
          <w:lang w:val="en-US"/>
        </w:rPr>
        <w:t>Keywords</w:t>
      </w:r>
    </w:p>
    <w:p w14:paraId="0567AC8C" w14:textId="7E704C91" w:rsidR="0066144A" w:rsidRPr="00E25900" w:rsidRDefault="0066144A" w:rsidP="007A7C7C">
      <w:pPr>
        <w:jc w:val="both"/>
        <w:rPr>
          <w:bCs/>
          <w:sz w:val="20"/>
          <w:szCs w:val="20"/>
          <w:lang w:val="en-US"/>
        </w:rPr>
      </w:pPr>
      <w:r w:rsidRPr="0066144A">
        <w:rPr>
          <w:bCs/>
          <w:sz w:val="20"/>
          <w:szCs w:val="20"/>
          <w:lang w:val="en-US"/>
        </w:rPr>
        <w:t xml:space="preserve">Family; Health Care; Risk behaviors; </w:t>
      </w:r>
      <w:r w:rsidR="006A4C58" w:rsidRPr="006A4C58">
        <w:rPr>
          <w:bCs/>
          <w:sz w:val="20"/>
          <w:szCs w:val="20"/>
          <w:lang w:val="en-US"/>
        </w:rPr>
        <w:t>Young people</w:t>
      </w:r>
      <w:r w:rsidR="006A4C58">
        <w:rPr>
          <w:bCs/>
          <w:sz w:val="20"/>
          <w:szCs w:val="20"/>
          <w:lang w:val="en-US"/>
        </w:rPr>
        <w:t xml:space="preserve">; </w:t>
      </w:r>
      <w:r w:rsidRPr="0066144A">
        <w:rPr>
          <w:bCs/>
          <w:sz w:val="20"/>
          <w:szCs w:val="20"/>
          <w:lang w:val="en-US"/>
        </w:rPr>
        <w:t>University students</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5369CE6B" w:rsidR="00153DC5" w:rsidRDefault="006A4C58" w:rsidP="005B5614">
      <w:pPr>
        <w:jc w:val="both"/>
        <w:rPr>
          <w:sz w:val="20"/>
          <w:szCs w:val="20"/>
          <w:lang w:val="es-AR"/>
        </w:rPr>
      </w:pPr>
      <w:r w:rsidRPr="006A4C58">
        <w:rPr>
          <w:sz w:val="20"/>
          <w:szCs w:val="20"/>
          <w:lang w:val="es-AR"/>
        </w:rPr>
        <w:t>En la familia</w:t>
      </w:r>
      <w:r w:rsidR="00016544">
        <w:rPr>
          <w:sz w:val="20"/>
          <w:szCs w:val="20"/>
          <w:lang w:val="es-AR"/>
        </w:rPr>
        <w:t>,</w:t>
      </w:r>
      <w:r w:rsidRPr="006A4C58">
        <w:rPr>
          <w:sz w:val="20"/>
          <w:szCs w:val="20"/>
          <w:lang w:val="es-AR"/>
        </w:rPr>
        <w:t xml:space="preserve"> el cuidado de la salud es un aspecto importante en la crianza, puesto que, tanto la promoción de la salud como las conductas de riesgo que se tengan, influyen en la percepción y en las conductas que los hijos e hijas adopten a lo largo de su vida. El objetivo fue describir el cuidado de la salud y las conductas de riesgo que tienen jóvenes universitarios y sus padres. Participaron 566 estudiantes de la carrera de Psicología, quienes contestaron un cuestionario sobre el cuidado de la salud en las familias. Los resultados muestran que en general los estudiantes aseguran que tanto ellos como sus padres realizan conductas que fomentan el cuidado de su salud, como una adecuada alimentación, así como algunas conductas de riesgo como  automedicarse y fumar. Sin embargo, para los jóvenes estas conductas que perjudican su sa</w:t>
      </w:r>
      <w:r w:rsidR="00016544">
        <w:rPr>
          <w:sz w:val="20"/>
          <w:szCs w:val="20"/>
          <w:lang w:val="es-AR"/>
        </w:rPr>
        <w:t xml:space="preserve">lud no son factores de riesgo. </w:t>
      </w:r>
      <w:r w:rsidRPr="006A4C58">
        <w:rPr>
          <w:sz w:val="20"/>
          <w:szCs w:val="20"/>
          <w:lang w:val="es-AR"/>
        </w:rPr>
        <w:t xml:space="preserve">Se resalta la importancia que tiene la familia en la promoción y prevención de la salud, así como, el aumento de conductas de riesgo en los jóvenes, pretendiendo que las investigaciones sobre el tema promuevan la realización de distintos programas de prevención de conductas de riesgo mejorando su estilo y calidad de vida.         </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103992DF" w:rsidR="00E55124" w:rsidRPr="00E25900" w:rsidRDefault="006A4C58" w:rsidP="007A7C7C">
      <w:pPr>
        <w:jc w:val="both"/>
        <w:rPr>
          <w:bCs/>
          <w:sz w:val="20"/>
          <w:szCs w:val="20"/>
          <w:lang w:val="es-AR"/>
        </w:rPr>
      </w:pPr>
      <w:r w:rsidRPr="006A4C58">
        <w:rPr>
          <w:bCs/>
          <w:sz w:val="20"/>
          <w:szCs w:val="20"/>
          <w:lang w:val="es-AR"/>
        </w:rPr>
        <w:t>Familia, Cuidado de la Salud, Conductas de riesgo, Jóvenes</w:t>
      </w:r>
      <w:r>
        <w:rPr>
          <w:bCs/>
          <w:sz w:val="20"/>
          <w:szCs w:val="20"/>
          <w:lang w:val="es-AR"/>
        </w:rPr>
        <w:t>; Estudiantes u</w:t>
      </w:r>
      <w:r w:rsidRPr="006A4C58">
        <w:rPr>
          <w:bCs/>
          <w:sz w:val="20"/>
          <w:szCs w:val="20"/>
          <w:lang w:val="es-AR"/>
        </w:rPr>
        <w:t xml:space="preserve">niversitarios </w:t>
      </w:r>
      <w:r w:rsidR="00E55124" w:rsidRPr="00E25900">
        <w:rPr>
          <w:bCs/>
          <w:noProof/>
          <w:sz w:val="20"/>
          <w:szCs w:val="20"/>
          <w:lang w:val="es-MX" w:eastAsia="es-MX"/>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59448C73" w:rsidR="00153DC5" w:rsidRPr="00E25900" w:rsidRDefault="0059034C" w:rsidP="007A7CDC">
      <w:pPr>
        <w:pStyle w:val="Ttuloprincipiodeartculo"/>
        <w:rPr>
          <w:lang w:val="es-AR"/>
        </w:rPr>
      </w:pPr>
      <w:r w:rsidRPr="00E25900">
        <w:rPr>
          <w:lang w:val="es-AR"/>
        </w:rPr>
        <w:br w:type="page"/>
      </w:r>
      <w:r w:rsidR="00016544" w:rsidRPr="00016544">
        <w:rPr>
          <w:lang w:val="es-AR"/>
        </w:rPr>
        <w:lastRenderedPageBreak/>
        <w:t>Cuidado de la salud y conductas de riesgo en la familia</w:t>
      </w:r>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33C84067" w14:textId="77777777" w:rsidR="00016544" w:rsidRPr="00016544" w:rsidRDefault="00016544" w:rsidP="00016544">
      <w:pPr>
        <w:pStyle w:val="Prrafocomn"/>
        <w:rPr>
          <w:lang w:val="es-AR"/>
        </w:rPr>
      </w:pPr>
      <w:r w:rsidRPr="00016544">
        <w:rPr>
          <w:lang w:val="es-AR"/>
        </w:rPr>
        <w:t xml:space="preserve">La educación informal es un proceso constante a lo largo de toda la vida de los seres humanos, en el que se apropian de conocimientos, actitudes, habilidades y percepciones producto de la influencia de diferentes  ambientes educativos y sociales, entre los que destacan principalmente la familia, los iguales, los medios de comunicación y las tecnologías (Valdemoros et al., 2012). </w:t>
      </w:r>
    </w:p>
    <w:p w14:paraId="245B78DA" w14:textId="77777777" w:rsidR="00016544" w:rsidRPr="00016544" w:rsidRDefault="00016544" w:rsidP="00016544">
      <w:pPr>
        <w:pStyle w:val="Prrafocomn"/>
        <w:rPr>
          <w:lang w:val="es-AR"/>
        </w:rPr>
      </w:pPr>
      <w:r w:rsidRPr="00016544">
        <w:rPr>
          <w:lang w:val="es-AR"/>
        </w:rPr>
        <w:t>Dentro del ambiente familiar, las creencias que ambos padres tiene acerca de su participación en la educación de sus hijos es de suma importancia, Pozo (2006); Valdez &amp; Urias (2011) coinciden en expresar que la manera en que las personas interpretan y dan significado al  mundo influye en cómo lo comprenden, sienten y actúan en él, y para cambiar algún tipo de creencia o práctica es necesario que los principales actores del proceso educativo, que son los padres y madres de familia, cambiaran dichas concepciones y prácticas, lo cual, no siempre es fácil, ya que involucra no solo cuestionar lo aprendido sino muchas veces ir en contra de lo establecido socialmente.</w:t>
      </w:r>
    </w:p>
    <w:p w14:paraId="6437F6F8" w14:textId="77777777" w:rsidR="00016544" w:rsidRPr="00016544" w:rsidRDefault="00016544" w:rsidP="00016544">
      <w:pPr>
        <w:pStyle w:val="Prrafocomn"/>
        <w:rPr>
          <w:b/>
          <w:lang w:val="es-AR"/>
        </w:rPr>
      </w:pPr>
      <w:r w:rsidRPr="00016544">
        <w:rPr>
          <w:b/>
          <w:lang w:val="es-AR"/>
        </w:rPr>
        <w:t>Familia y salud</w:t>
      </w:r>
    </w:p>
    <w:p w14:paraId="520A75A3" w14:textId="77777777" w:rsidR="00016544" w:rsidRPr="00016544" w:rsidRDefault="00016544" w:rsidP="00016544">
      <w:pPr>
        <w:pStyle w:val="Prrafocomn"/>
        <w:rPr>
          <w:lang w:val="es-AR"/>
        </w:rPr>
      </w:pPr>
      <w:r w:rsidRPr="00016544">
        <w:rPr>
          <w:lang w:val="es-AR"/>
        </w:rPr>
        <w:t>La familia es el contexto más deseable de crianza y educación de niños y de adolescentes, donde se espera que se pueda promover de una mejor manera el desarrollo personal, social e intelectual de los hijos e hijas y, además se convierte en un espacio en donde se debe proteger ante las diversas situaciones de riesgo y sobre todo fomentar conductas de autocuidado. (Rodrigo &amp; Palacios, 1998; Ulate, 2013), por lo que la familia al ser este primer escenario de cuidado y socialización,  tendría que ser la responsable de trabajar en la promoción y prevención de la salud de los hijos e hijas. Para Borrás et al. (2017) los factores familiares se convierten en determinantes de la salud que se aprenden y se van reproduciendo a lo largo de la vida.</w:t>
      </w:r>
    </w:p>
    <w:p w14:paraId="764FDD7B" w14:textId="77777777" w:rsidR="00016544" w:rsidRPr="00016544" w:rsidRDefault="00016544" w:rsidP="00016544">
      <w:pPr>
        <w:pStyle w:val="Prrafocomn"/>
        <w:rPr>
          <w:lang w:val="es-AR"/>
        </w:rPr>
      </w:pPr>
      <w:r w:rsidRPr="00016544">
        <w:rPr>
          <w:lang w:val="es-AR"/>
        </w:rPr>
        <w:t>Es por ello que la  salud es un tema que compete a todas las personas, desde antes de nacer hasta su muerte, y dentro de este proceso se encuentra vinculada la enfermedad, la cual es producto de complicaciones orgánicas que no siempre son causadas por el desarrollo o evolución del ser humano, sino consecuencia de prácticas, hábitos y comportamientos no saludables, que conforman lo que llamamos nuestro estilo de vida, el cual por supuesto puede ser de cuidado o no (Espinoza &amp; Venegas, 2017).</w:t>
      </w:r>
    </w:p>
    <w:p w14:paraId="70F0ADC5" w14:textId="77777777" w:rsidR="00016544" w:rsidRPr="00016544" w:rsidRDefault="00016544" w:rsidP="00016544">
      <w:pPr>
        <w:pStyle w:val="Prrafocomn"/>
        <w:rPr>
          <w:lang w:val="es-AR"/>
        </w:rPr>
      </w:pPr>
      <w:r w:rsidRPr="00016544">
        <w:rPr>
          <w:lang w:val="es-AR"/>
        </w:rPr>
        <w:lastRenderedPageBreak/>
        <w:t>Considerando lo anterior, resulta importante definir el término salud para abrir un panorama general sobre el tema. La Organización Mundial de la Salud (OMS, 1948) la define como “el estado de completo bienestar físico, mental y social, y no solamente la ausencia de afecciones o enfermedades” (p.1). Sin embargo esta definición se ha cuestionado mucho, ya que la salud no puede ser considerada como un estado, como tampoco lo es la enfermedad. Ambas son parte de un proceso multidimensional, un proceso que podría llamarse de bienestar físico, mental y social.</w:t>
      </w:r>
    </w:p>
    <w:p w14:paraId="5C474298" w14:textId="77777777" w:rsidR="00016544" w:rsidRPr="00016544" w:rsidRDefault="00016544" w:rsidP="00016544">
      <w:pPr>
        <w:pStyle w:val="Prrafocomn"/>
        <w:rPr>
          <w:lang w:val="es-AR"/>
        </w:rPr>
      </w:pPr>
      <w:r w:rsidRPr="00016544">
        <w:rPr>
          <w:lang w:val="es-AR"/>
        </w:rPr>
        <w:t>Ahora bien, si pensamos en los comportamientos relacionados a la salud y a la enfermedad como consecuencia de un sistema de creencias que influyen sobre nuestra interpretación, entonces se puede pensar que los significados que damos a la salud y a la enfermedad dan sentido y explican las conductas que tenemos para afrontar una enfermedad o para cuidar nuestra salud (Kornblit &amp; Mendes, 2000).</w:t>
      </w:r>
    </w:p>
    <w:p w14:paraId="34D2ADF1" w14:textId="77777777" w:rsidR="00016544" w:rsidRPr="00016544" w:rsidRDefault="00016544" w:rsidP="00016544">
      <w:pPr>
        <w:pStyle w:val="Prrafocomn"/>
        <w:rPr>
          <w:lang w:val="es-AR"/>
        </w:rPr>
      </w:pPr>
      <w:r w:rsidRPr="00016544">
        <w:rPr>
          <w:lang w:val="es-AR"/>
        </w:rPr>
        <w:t xml:space="preserve">La salud, es un componente esencial en la vida de las personas por lo que la promoción de la salud en el contexto familiar facilita estos procesos de empoderamiento y brinda los recursos necesarios a sus integrantes para lograr un mayor desarrollo de conductas saludables, es decir, la familia al ser el primer sistema encargado de influir sobre las costumbres y hábitos de los hijos e hijas se vuelve responsable y determinante para generar conductas de cuidado (Calpa et al., 2019). </w:t>
      </w:r>
    </w:p>
    <w:p w14:paraId="1167BF89" w14:textId="77777777" w:rsidR="00016544" w:rsidRPr="00016544" w:rsidRDefault="00016544" w:rsidP="00016544">
      <w:pPr>
        <w:pStyle w:val="Prrafocomn"/>
        <w:rPr>
          <w:lang w:val="es-AR"/>
        </w:rPr>
      </w:pPr>
      <w:r w:rsidRPr="00016544">
        <w:rPr>
          <w:lang w:val="es-AR"/>
        </w:rPr>
        <w:t xml:space="preserve">En este sentido, Digurnay et al.  (2019) dan importancia a la familia y mencionan: </w:t>
      </w:r>
    </w:p>
    <w:p w14:paraId="542B9B19" w14:textId="77777777" w:rsidR="00016544" w:rsidRPr="00016544" w:rsidRDefault="00016544" w:rsidP="00016544">
      <w:pPr>
        <w:pStyle w:val="Prrafocomn"/>
        <w:rPr>
          <w:lang w:val="es-AR"/>
        </w:rPr>
      </w:pPr>
      <w:r w:rsidRPr="00016544">
        <w:rPr>
          <w:lang w:val="es-AR"/>
        </w:rPr>
        <w:t>El papel de la familia en la promoción de la salud debe considerarse desde dos perspectivas: la prevención dirigida a educar y dotar a sus miembros de los conocimientos para el control de las situaciones de riesgo y de sus posibles consecuencias a través de la capacitación y la de promoción encaminada a fortalecer las capacidades de sus miembros para transformar su realidad y mejorar su estado de salud. (p.487)</w:t>
      </w:r>
    </w:p>
    <w:p w14:paraId="66106250" w14:textId="65FA4757" w:rsidR="00016544" w:rsidRPr="00016544" w:rsidRDefault="00016544" w:rsidP="00016544">
      <w:pPr>
        <w:pStyle w:val="Prrafocomn"/>
        <w:rPr>
          <w:lang w:val="es-AR"/>
        </w:rPr>
      </w:pPr>
      <w:r w:rsidRPr="00016544">
        <w:rPr>
          <w:lang w:val="es-AR"/>
        </w:rPr>
        <w:t>Ahora bien, si la familia contribuye a educar y propiciar el cuidado de la salud de los hijos e hijas, entonces resulta importante que posea estrategias de afrontamiento efectivas que le permitan identificar y actuar ante los posibles factores amenazantes a la salud tanto física como mental  y así, mantener un mejor funcionamiento no solo familiar sino también de salud familiar (Martínez et al., 2017).</w:t>
      </w:r>
    </w:p>
    <w:p w14:paraId="1D9883A3" w14:textId="77777777" w:rsidR="00016544" w:rsidRPr="00016544" w:rsidRDefault="00016544" w:rsidP="00016544">
      <w:pPr>
        <w:pStyle w:val="Prrafocomn"/>
        <w:rPr>
          <w:b/>
          <w:i/>
          <w:lang w:val="es-AR"/>
        </w:rPr>
      </w:pPr>
      <w:r w:rsidRPr="00016544">
        <w:rPr>
          <w:b/>
          <w:i/>
          <w:lang w:val="es-AR"/>
        </w:rPr>
        <w:t>Estilos de vida en la salud</w:t>
      </w:r>
    </w:p>
    <w:p w14:paraId="7EFEBF41" w14:textId="77777777" w:rsidR="00016544" w:rsidRPr="00016544" w:rsidRDefault="00016544" w:rsidP="00016544">
      <w:pPr>
        <w:pStyle w:val="Prrafocomn"/>
        <w:rPr>
          <w:lang w:val="es-AR"/>
        </w:rPr>
      </w:pPr>
      <w:r w:rsidRPr="00016544">
        <w:rPr>
          <w:lang w:val="es-AR"/>
        </w:rPr>
        <w:t xml:space="preserve">La vida cotidiana incorpora una serie de actividades que las personas realizan de manera continua día a día y de forma rutinaria, así es como se forja el estilo de vida de cada una. Los </w:t>
      </w:r>
      <w:r w:rsidRPr="00016544">
        <w:rPr>
          <w:lang w:val="es-AR"/>
        </w:rPr>
        <w:lastRenderedPageBreak/>
        <w:t>estilos de vida de las personas son importantes y necesarios ya que están relacionados con la salud y la enfermedad, e incluyen conductas, valores, normas, patrones de conducta, creencias, conocimientos, hábitos y acciones de las personas para mantener, restablecer y mejorar su salud o por el contrario, afectar la misma. Son también producto de dimensiones personales, ambientales y sociales, que emergen no sólo del presente, sino también de la historia personal del individuo (Sánchez et al., 2022; García et al., 2012; Ahlstrand et al., 2022).</w:t>
      </w:r>
    </w:p>
    <w:p w14:paraId="0DFC25EA" w14:textId="77777777" w:rsidR="00016544" w:rsidRPr="00016544" w:rsidRDefault="00016544" w:rsidP="00016544">
      <w:pPr>
        <w:pStyle w:val="Prrafocomn"/>
        <w:rPr>
          <w:lang w:val="es-AR"/>
        </w:rPr>
      </w:pPr>
      <w:r w:rsidRPr="00016544">
        <w:rPr>
          <w:lang w:val="es-AR"/>
        </w:rPr>
        <w:t>Al hablar de estilos de vida, Sanabria et al. (2007) y  Gómez et al. (2016) expresan que un estilo de vida saludable se encuentra relacionado con aspectos importantes como: una dieta equilibrada, el mantenimiento del peso corporal, la práctica habitual de actividad física y la abstención del consumo de alcohol y tabaco, así mismo autores como Sánchez et al. (2022) describen algunas prácticas vinculadas con el estilo de vida, por ejemplo: actividad física, alimentación saludable, descanso, el tiempo de ocio, autocuidado y cuidado médico, sexualidad responsable, relaciones interpersonales y apoyo social, estrategias de afrontamiento.</w:t>
      </w:r>
    </w:p>
    <w:p w14:paraId="1D473AE1" w14:textId="77777777" w:rsidR="00016544" w:rsidRPr="00016544" w:rsidRDefault="00016544" w:rsidP="00016544">
      <w:pPr>
        <w:pStyle w:val="Prrafocomn"/>
        <w:rPr>
          <w:lang w:val="es-AR"/>
        </w:rPr>
      </w:pPr>
      <w:r w:rsidRPr="00016544">
        <w:rPr>
          <w:lang w:val="es-AR"/>
        </w:rPr>
        <w:t>No hay duda de que el estilo de vida saludable ha ido cambiado con la globalización. La alimentación incorrecta basada en alimentos procesados, la falta de ejercicio y descanso, así como los avances tecnológicos que han propiciado un mayor uso de dispositivos electrónicos han establecido una nueva realidad que se puede reflejar no solo en el incremento de diversas enfermedades sino también, en las conductas de riesgo que se van aprendiendo e incorporando en la vida diaria de las personas (Jiménez et al., 2021).</w:t>
      </w:r>
    </w:p>
    <w:p w14:paraId="50AA9E68" w14:textId="77777777" w:rsidR="00016544" w:rsidRPr="00016544" w:rsidRDefault="00016544" w:rsidP="00016544">
      <w:pPr>
        <w:pStyle w:val="Prrafocomn"/>
        <w:rPr>
          <w:b/>
          <w:i/>
          <w:lang w:val="es-AR"/>
        </w:rPr>
      </w:pPr>
      <w:r w:rsidRPr="00016544">
        <w:rPr>
          <w:b/>
          <w:i/>
          <w:lang w:val="es-AR"/>
        </w:rPr>
        <w:t>Conductas de Riesgo en los Jóvenes</w:t>
      </w:r>
    </w:p>
    <w:p w14:paraId="3C8BDF5D" w14:textId="77777777" w:rsidR="00016544" w:rsidRPr="00016544" w:rsidRDefault="00016544" w:rsidP="00016544">
      <w:pPr>
        <w:pStyle w:val="Prrafocomn"/>
        <w:rPr>
          <w:lang w:val="es-AR"/>
        </w:rPr>
      </w:pPr>
      <w:r w:rsidRPr="00016544">
        <w:rPr>
          <w:lang w:val="es-AR"/>
        </w:rPr>
        <w:t>Si bien la familia puede ser considerada como un factor protector en la vida de los hijos refiriéndonos al cuidado de la salud, también se puede convertir en un espacio perjudicial que fomente conductas de riesgo, Abidina et al. (2019) mencionan que el entorno familiar también resulta ser un desencadenante de problemas de salud promoviendo diferentes conductas de riesgo entre los integrantes, en este sentido la Secretaría de Seguridad Pública (SSP, 2011, p.11) define la conducta de riesgo como “todo comportamiento contrario a mantener la integridad física, emocional o espiritual de las personas y que puede incluso atentar contra su vida”.</w:t>
      </w:r>
    </w:p>
    <w:p w14:paraId="5D04B59F" w14:textId="77777777" w:rsidR="00016544" w:rsidRPr="00016544" w:rsidRDefault="00016544" w:rsidP="00016544">
      <w:pPr>
        <w:pStyle w:val="Prrafocomn"/>
        <w:rPr>
          <w:lang w:val="es-AR"/>
        </w:rPr>
      </w:pPr>
      <w:r w:rsidRPr="00016544">
        <w:rPr>
          <w:lang w:val="es-AR"/>
        </w:rPr>
        <w:t xml:space="preserve">Dado que entre la adolescencia y la juventud las estructuras cerebrales responsables de regular las emociones, el juicio y el autocontrol, aún no están totalmente maduras, los jóvenes se muestran más vulnerables a realizar conductas de riesgo, muchos de ellos influenciados por la presión social o necesidad de formar parte de un grupo; los medios de comunicación que </w:t>
      </w:r>
      <w:r w:rsidRPr="00016544">
        <w:rPr>
          <w:lang w:val="es-AR"/>
        </w:rPr>
        <w:lastRenderedPageBreak/>
        <w:t>constantemente promueven estereotipos de género y por la dificultad madurativa para regular tanto sus emociones como sus actos (Papalia et al., 2012), es decir, son distintos los factores que influyen en el surgimiento de conductas de riesgo de tipo social, económico y culturales que repercuten a nivel personal, familiar, comunitario y social.</w:t>
      </w:r>
    </w:p>
    <w:p w14:paraId="18B86F81" w14:textId="77777777" w:rsidR="00016544" w:rsidRPr="00016544" w:rsidRDefault="00016544" w:rsidP="00016544">
      <w:pPr>
        <w:pStyle w:val="Prrafocomn"/>
        <w:rPr>
          <w:lang w:val="es-AR"/>
        </w:rPr>
      </w:pPr>
      <w:r w:rsidRPr="00016544">
        <w:rPr>
          <w:lang w:val="es-AR"/>
        </w:rPr>
        <w:t>En este sentido, García &amp; González (2018); Moreno et al. (2022) mencionan factores de riesgo a nivel familiar y social una escasa comunicación, vínculos afectivos y apego, violencia intrafamiliar, ingreso económico bajo, nivel educativo bajo de los padres, baja autoestima; pertenecer a un grupo con conductas de riesgo, deserción escolar, proyecto de vida débil, bajo nivel de resiliencia. Mientras que los factores de riesgo específico más comunes es el consumo de bebidas alcohólicas y abuso de drogas, el hábito de fumar, portar un arma, la delincuencia, conducta sexual de riesgo, la conducta suicida, violencia, el papel del temperamento, depresión, etc. (Borrás et al., 2017; Goldfarb et al., 2014; Cornellà et al., 2019; Páramo, 2011).</w:t>
      </w:r>
    </w:p>
    <w:p w14:paraId="769A5A10" w14:textId="77777777" w:rsidR="00016544" w:rsidRPr="00016544" w:rsidRDefault="00016544" w:rsidP="00016544">
      <w:pPr>
        <w:pStyle w:val="Prrafocomn"/>
        <w:rPr>
          <w:lang w:val="es-AR"/>
        </w:rPr>
      </w:pPr>
      <w:r w:rsidRPr="00016544">
        <w:rPr>
          <w:lang w:val="es-AR"/>
        </w:rPr>
        <w:t>El origen de las conductas de riesgo en adolescentes y jóvenes puede ser multifactorial, es decir que existe una gran cantidad de elementos conocidos como factores de riesgo, que giran alrededor de la vida de los jóvenes y que fomentan  llevar a cabo comportamientos que atenten contra su integridad y la de los demás. Un factor de riesgo es una característica que está presente de manera interna o externa en la persona, y que puede incrementar las probabilidades de daños o resultados negativos. Los factores de riesgo se convierten en el escenario donde se desarrollan las conductas problema o conductas de riesgo (Díaz &amp; González, 2014).</w:t>
      </w:r>
    </w:p>
    <w:p w14:paraId="46672F1C" w14:textId="4B10FE58" w:rsidR="00DE7EB8" w:rsidRPr="00016544" w:rsidRDefault="00016544" w:rsidP="00016544">
      <w:pPr>
        <w:pStyle w:val="Prrafocomn"/>
        <w:rPr>
          <w:lang w:val="es-AR"/>
        </w:rPr>
      </w:pPr>
      <w:r w:rsidRPr="00016544">
        <w:rPr>
          <w:lang w:val="es-AR"/>
        </w:rPr>
        <w:t xml:space="preserve">Una vez considerado lo anterior, vale la pena retomar la importancia que la familia representa en la promoción y el cuidado de salud que se transmite a los hijos e hijas, así como las conductas de riesgo que se adopten, por lo cual el objetivo de esta investigación fue describir el cuidado de salud y conductas de riesgo que tienen jóvenes universitarios y sus padres. </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4EAF82B4" w14:textId="77777777" w:rsidR="00730C7C" w:rsidRDefault="00730C7C" w:rsidP="00CE7D65">
      <w:pPr>
        <w:pStyle w:val="Prrafocomn"/>
        <w:rPr>
          <w:lang w:val="es-AR" w:eastAsia="en-US"/>
        </w:rPr>
      </w:pPr>
      <w:r w:rsidRPr="00730C7C">
        <w:rPr>
          <w:lang w:val="es-AR" w:eastAsia="en-US"/>
        </w:rPr>
        <w:t>Participaron 566 alumnos universitarios de la Facultad de Estudios Superiores Iztacala, 345 mujeres y 221 hombres, con una edad promedio de 20 años, estudiantes de todos los semestres de la carrera de Psicología. Su participación fue voluntaria, previa firma de su consentimiento informado.</w:t>
      </w:r>
    </w:p>
    <w:p w14:paraId="0FA29A56" w14:textId="6E9160E4" w:rsidR="006F7E7E" w:rsidRPr="005B24FF" w:rsidRDefault="00730C7C" w:rsidP="007E3B8D">
      <w:pPr>
        <w:pStyle w:val="SubtituloInterno"/>
        <w:rPr>
          <w:lang w:val="es-AR"/>
        </w:rPr>
      </w:pPr>
      <w:r>
        <w:rPr>
          <w:lang w:val="es-AR"/>
        </w:rPr>
        <w:lastRenderedPageBreak/>
        <w:t>Tipo de Estudio</w:t>
      </w:r>
    </w:p>
    <w:p w14:paraId="7B36C86E" w14:textId="4CEE50FF" w:rsidR="006F7E7E" w:rsidRDefault="00730C7C" w:rsidP="005B24FF">
      <w:pPr>
        <w:pStyle w:val="Prrafocomn"/>
        <w:rPr>
          <w:iCs/>
          <w:lang w:val="es-AR"/>
        </w:rPr>
      </w:pPr>
      <w:r>
        <w:rPr>
          <w:iCs/>
          <w:lang w:val="es-AR"/>
        </w:rPr>
        <w:t>Esta investigación se trabajó siguiendo una</w:t>
      </w:r>
      <w:r w:rsidRPr="00730C7C">
        <w:rPr>
          <w:iCs/>
          <w:lang w:val="es-AR"/>
        </w:rPr>
        <w:t xml:space="preserve"> metodología cuantitativa, </w:t>
      </w:r>
      <w:r>
        <w:rPr>
          <w:iCs/>
          <w:lang w:val="es-AR"/>
        </w:rPr>
        <w:t xml:space="preserve">con un diseño </w:t>
      </w:r>
      <w:r w:rsidRPr="00730C7C">
        <w:rPr>
          <w:iCs/>
          <w:lang w:val="es-AR"/>
        </w:rPr>
        <w:t xml:space="preserve">no experimental, </w:t>
      </w:r>
      <w:r>
        <w:rPr>
          <w:iCs/>
          <w:lang w:val="es-AR"/>
        </w:rPr>
        <w:t>de corte transversal, teniendo un alcance descriptivo (Hernández–Sampieri et al., 2014)</w:t>
      </w:r>
    </w:p>
    <w:p w14:paraId="42256443" w14:textId="07731DB8" w:rsidR="005B24FF" w:rsidRDefault="00A615E6" w:rsidP="005B24FF">
      <w:pPr>
        <w:pStyle w:val="SubtituloInterno"/>
      </w:pPr>
      <w:r>
        <w:t>Instrumento</w:t>
      </w:r>
    </w:p>
    <w:p w14:paraId="7BEB0B38" w14:textId="777ABDA0" w:rsidR="005B24FF" w:rsidRPr="005B24FF" w:rsidRDefault="00A615E6" w:rsidP="005B24FF">
      <w:pPr>
        <w:pStyle w:val="Prrafocomn"/>
        <w:rPr>
          <w:lang w:val="es-AR" w:eastAsia="en-US"/>
        </w:rPr>
      </w:pPr>
      <w:r w:rsidRPr="00A615E6">
        <w:rPr>
          <w:lang w:val="es-AR" w:eastAsia="en-US"/>
        </w:rPr>
        <w:t xml:space="preserve">Se utilizó un cuestionario </w:t>
      </w:r>
      <w:r w:rsidR="00C448A6" w:rsidRPr="00C448A6">
        <w:rPr>
          <w:i/>
          <w:lang w:val="es-AR" w:eastAsia="en-US"/>
        </w:rPr>
        <w:t>ad hoc</w:t>
      </w:r>
      <w:r w:rsidR="00C448A6">
        <w:rPr>
          <w:lang w:val="es-AR" w:eastAsia="en-US"/>
        </w:rPr>
        <w:t xml:space="preserve"> </w:t>
      </w:r>
      <w:r w:rsidRPr="00A615E6">
        <w:rPr>
          <w:lang w:val="es-AR" w:eastAsia="en-US"/>
        </w:rPr>
        <w:t>de 21 preguntas con respuesta dicotómica relacionadas al cuidado de la  salud de los jóvenes y conductas de riesgo, así como la percepción de salud que tenían de sus pa</w:t>
      </w:r>
      <w:r w:rsidR="00C448A6">
        <w:rPr>
          <w:lang w:val="es-AR" w:eastAsia="en-US"/>
        </w:rPr>
        <w:t>dres y sus conductas de riesgo, incluyendo datos sociodemográficos.</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5AEE9308" w:rsidR="005B24FF" w:rsidRPr="005B24FF" w:rsidRDefault="00A615E6" w:rsidP="005B24FF">
      <w:pPr>
        <w:pStyle w:val="Prrafocomn"/>
        <w:rPr>
          <w:lang w:val="es-AR"/>
        </w:rPr>
      </w:pPr>
      <w:r w:rsidRPr="00A615E6">
        <w:rPr>
          <w:lang w:val="es-AR"/>
        </w:rPr>
        <w:t>La aplicación de estos cuestionarios, se realizó dentro de las instalaciones de la Facultad de Estudios Superiores Iztacala, en los edificios destinados a la carrera de Psicología, se invitó a los estudiantes de dicha carrera a contestar el instrumento explicándoles los propósitos de la investigación, con previo consentimiento informado. Posteriormente los datos fueron analizados.</w:t>
      </w:r>
    </w:p>
    <w:p w14:paraId="0F4ED851" w14:textId="4BC03188" w:rsidR="007C3C14" w:rsidRPr="005B24FF" w:rsidRDefault="005B24FF" w:rsidP="007C3C14">
      <w:pPr>
        <w:pStyle w:val="SubtituloInterno"/>
        <w:rPr>
          <w:lang w:val="es-AR"/>
        </w:rPr>
      </w:pPr>
      <w:r>
        <w:rPr>
          <w:lang w:val="es-AR"/>
        </w:rPr>
        <w:t>Análisis de los datos</w:t>
      </w:r>
    </w:p>
    <w:p w14:paraId="7627EC2D" w14:textId="23C8E92A" w:rsidR="00076F0A" w:rsidRPr="005B24FF" w:rsidRDefault="00A615E6" w:rsidP="005B24FF">
      <w:pPr>
        <w:pStyle w:val="Prrafocomn"/>
        <w:rPr>
          <w:lang w:val="es-AR"/>
        </w:rPr>
      </w:pPr>
      <w:r>
        <w:rPr>
          <w:lang w:val="es-AR"/>
        </w:rPr>
        <w:t>Se elaboró una base de datos en una hoja de Excel en formato csv</w:t>
      </w:r>
      <w:r w:rsidR="00C448A6">
        <w:rPr>
          <w:lang w:val="es-AR"/>
        </w:rPr>
        <w:t>,</w:t>
      </w:r>
      <w:r>
        <w:rPr>
          <w:lang w:val="es-AR"/>
        </w:rPr>
        <w:t xml:space="preserve"> para</w:t>
      </w:r>
      <w:r w:rsidR="00C448A6">
        <w:rPr>
          <w:lang w:val="es-AR"/>
        </w:rPr>
        <w:t xml:space="preserve"> utilizar</w:t>
      </w:r>
      <w:r>
        <w:rPr>
          <w:lang w:val="es-AR"/>
        </w:rPr>
        <w:t xml:space="preserve"> el program</w:t>
      </w:r>
      <w:r w:rsidR="00C448A6">
        <w:rPr>
          <w:lang w:val="es-AR"/>
        </w:rPr>
        <w:t>a estadístico</w:t>
      </w:r>
      <w:r>
        <w:rPr>
          <w:lang w:val="es-AR"/>
        </w:rPr>
        <w:t xml:space="preserve"> JASP</w:t>
      </w:r>
      <w:r w:rsidR="00C448A6">
        <w:rPr>
          <w:lang w:val="es-AR"/>
        </w:rPr>
        <w:t>.</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5225F1F7" w:rsidR="00076F0A" w:rsidRPr="005B24FF" w:rsidRDefault="00C448A6" w:rsidP="005B24FF">
      <w:pPr>
        <w:pStyle w:val="Prrafocomn"/>
        <w:rPr>
          <w:lang w:val="es-AR"/>
        </w:rPr>
      </w:pPr>
      <w:r>
        <w:rPr>
          <w:lang w:val="es-ES_tradnl"/>
        </w:rPr>
        <w:t>Esta investigación fue avalada por la Comisión de É</w:t>
      </w:r>
      <w:r w:rsidRPr="00C448A6">
        <w:rPr>
          <w:lang w:val="es-ES_tradnl"/>
        </w:rPr>
        <w:t>tica de la Facultad de Estudios Superiores Iztacala, UNAM</w:t>
      </w:r>
      <w:r>
        <w:rPr>
          <w:lang w:val="es-ES_tradnl"/>
        </w:rPr>
        <w:t xml:space="preserve">, siguiendo todos los procedimientos que establece el código ético. </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474BF574" w14:textId="1064C687" w:rsidR="004A52DF" w:rsidRPr="004A52DF" w:rsidRDefault="004A52DF" w:rsidP="004A52DF">
      <w:pPr>
        <w:pStyle w:val="Prrafocomn"/>
        <w:rPr>
          <w:lang w:val="es-AR"/>
        </w:rPr>
      </w:pPr>
      <w:r w:rsidRPr="004A52DF">
        <w:rPr>
          <w:lang w:val="es-AR"/>
        </w:rPr>
        <w:t>En este apartado se describe en primer lugar el cuidado general de salud que los participantes perciben de ellos y de la salud de sus padres, posteriormente se muestran las prácticas de autocuidado y las conductas de riesgo de los universitarios, y finalmente se describen las conductas de cuidado y de riesgo que perciben los hijos e hijas de sus padres.</w:t>
      </w:r>
    </w:p>
    <w:p w14:paraId="040A146F" w14:textId="48142DFE" w:rsidR="006B294A" w:rsidRDefault="004A52DF" w:rsidP="004A52DF">
      <w:pPr>
        <w:pStyle w:val="Prrafocomn"/>
        <w:rPr>
          <w:lang w:val="es-AR"/>
        </w:rPr>
      </w:pPr>
      <w:r w:rsidRPr="004A52DF">
        <w:rPr>
          <w:lang w:val="es-AR"/>
        </w:rPr>
        <w:lastRenderedPageBreak/>
        <w:t>Considerando el cuidado general de la salud (que incluye conductas de autocuidado y de cuidado familiar) vemos en la figura 1 que el 61.9% de estos jóvenes aseguran contar con conductas de cuidado personal y familiar en un nivel medio, mientras que el 35.7 % considera que tanto ellos como sus padres cuidan su salud en un nivel alto y solo el 2.3% respondieron que tanto ellos como la percepción que tienen del cuidado de salud de sus padres es bajo.</w:t>
      </w:r>
    </w:p>
    <w:p w14:paraId="4043E7C9" w14:textId="4C49CB83" w:rsidR="004A52DF" w:rsidRPr="004A52DF" w:rsidRDefault="004A52DF" w:rsidP="004A52DF">
      <w:pPr>
        <w:pStyle w:val="Prrafocomn"/>
        <w:spacing w:line="240" w:lineRule="auto"/>
        <w:rPr>
          <w:b/>
          <w:lang w:val="es-AR"/>
        </w:rPr>
      </w:pPr>
      <w:r w:rsidRPr="004A52DF">
        <w:rPr>
          <w:b/>
          <w:lang w:val="es-AR"/>
        </w:rPr>
        <w:t>Figura 1</w:t>
      </w:r>
    </w:p>
    <w:p w14:paraId="081FF013" w14:textId="20BB9FF3" w:rsidR="004A52DF" w:rsidRPr="004A52DF" w:rsidRDefault="004A52DF" w:rsidP="004A52DF">
      <w:pPr>
        <w:pStyle w:val="Prrafocomn"/>
        <w:spacing w:line="240" w:lineRule="auto"/>
        <w:rPr>
          <w:i/>
          <w:lang w:val="es-AR"/>
        </w:rPr>
      </w:pPr>
      <w:r w:rsidRPr="004A52DF">
        <w:rPr>
          <w:i/>
          <w:lang w:val="es-AR"/>
        </w:rPr>
        <w:t>Cuidado general de la salud</w:t>
      </w:r>
    </w:p>
    <w:p w14:paraId="71A58782" w14:textId="45923F94" w:rsidR="004A52DF" w:rsidRDefault="004A52DF" w:rsidP="004A52DF">
      <w:pPr>
        <w:pStyle w:val="Prrafocomn"/>
        <w:rPr>
          <w:lang w:val="es-AR"/>
        </w:rPr>
      </w:pPr>
      <w:r w:rsidRPr="00A57B1A">
        <w:rPr>
          <w:rFonts w:eastAsia="Calibri"/>
          <w:noProof/>
          <w:lang w:eastAsia="es-MX"/>
        </w:rPr>
        <w:drawing>
          <wp:inline distT="0" distB="0" distL="0" distR="0" wp14:anchorId="169DE344" wp14:editId="7095E4E2">
            <wp:extent cx="4657725" cy="23145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7AAE42" w14:textId="5613F101" w:rsidR="004A52DF" w:rsidRDefault="004A52DF" w:rsidP="004A52DF">
      <w:pPr>
        <w:pStyle w:val="Prrafocomn"/>
        <w:spacing w:line="240" w:lineRule="auto"/>
        <w:rPr>
          <w:lang w:val="es-AR"/>
        </w:rPr>
      </w:pPr>
      <w:r w:rsidRPr="004A52DF">
        <w:rPr>
          <w:lang w:val="es-AR"/>
        </w:rPr>
        <w:t>Nota. Se muestra el porcentaje del cuidado general de salud de los jóvenes el cual incluye conductas de autocuidado y cuidado de sus padres.</w:t>
      </w:r>
    </w:p>
    <w:p w14:paraId="6592DA93" w14:textId="77777777" w:rsidR="004A52DF" w:rsidRDefault="004A52DF" w:rsidP="004A52DF">
      <w:pPr>
        <w:pStyle w:val="Prrafocomn"/>
        <w:spacing w:line="240" w:lineRule="auto"/>
        <w:rPr>
          <w:lang w:val="es-AR"/>
        </w:rPr>
      </w:pPr>
    </w:p>
    <w:p w14:paraId="6F5DD394" w14:textId="77777777" w:rsidR="004A52DF" w:rsidRPr="004A52DF" w:rsidRDefault="004A52DF" w:rsidP="002024C2">
      <w:pPr>
        <w:pStyle w:val="Prrafocomn"/>
        <w:rPr>
          <w:lang w:val="es-AR"/>
        </w:rPr>
      </w:pPr>
      <w:r w:rsidRPr="004A52DF">
        <w:rPr>
          <w:lang w:val="es-AR"/>
        </w:rPr>
        <w:t>Los datos anteriores nos indican que la mayoría de los jóvenes reconoce el cuidado de su salud como algo importante y llevan a cabo, tanto ellos como sus padres, prácticas que la favorecen.</w:t>
      </w:r>
    </w:p>
    <w:p w14:paraId="4DD82E84" w14:textId="7D8AD5B7" w:rsidR="004A52DF" w:rsidRDefault="004A52DF" w:rsidP="002024C2">
      <w:pPr>
        <w:pStyle w:val="Prrafocomn"/>
        <w:rPr>
          <w:lang w:val="es-AR"/>
        </w:rPr>
      </w:pPr>
      <w:r w:rsidRPr="004A52DF">
        <w:rPr>
          <w:lang w:val="es-AR"/>
        </w:rPr>
        <w:t>En la figura 2 se muestran las respuestas a las cuatro conductas de autocuidado que fueron evaluadas en los jóvenes, en donde la conducta relacionada a la alimentación es la más alta con un 69% mientras que la conducta enfocada al descanso tiene el porcentaje más bajo de 33%.</w:t>
      </w:r>
    </w:p>
    <w:p w14:paraId="7D8E346A" w14:textId="1D2B6F9F" w:rsidR="002024C2" w:rsidRPr="002024C2" w:rsidRDefault="002024C2" w:rsidP="002024C2">
      <w:pPr>
        <w:pStyle w:val="Prrafocomn"/>
        <w:rPr>
          <w:b/>
          <w:lang w:val="es-AR"/>
        </w:rPr>
      </w:pPr>
      <w:r w:rsidRPr="002024C2">
        <w:rPr>
          <w:b/>
          <w:lang w:val="es-AR"/>
        </w:rPr>
        <w:t>Figura 2</w:t>
      </w:r>
    </w:p>
    <w:p w14:paraId="537DD399" w14:textId="55EFB693" w:rsidR="002024C2" w:rsidRPr="002024C2" w:rsidRDefault="002024C2" w:rsidP="002024C2">
      <w:pPr>
        <w:pStyle w:val="Prrafocomn"/>
        <w:rPr>
          <w:i/>
          <w:lang w:val="es-AR"/>
        </w:rPr>
      </w:pPr>
      <w:r w:rsidRPr="002024C2">
        <w:rPr>
          <w:i/>
          <w:lang w:val="es-AR"/>
        </w:rPr>
        <w:t>Conductas de autocuidado</w:t>
      </w:r>
    </w:p>
    <w:p w14:paraId="351A8867" w14:textId="61E78049" w:rsidR="002024C2" w:rsidRDefault="002024C2" w:rsidP="002024C2">
      <w:pPr>
        <w:pStyle w:val="Prrafocomn"/>
        <w:rPr>
          <w:lang w:val="es-AR"/>
        </w:rPr>
      </w:pPr>
      <w:r w:rsidRPr="00A57B1A">
        <w:rPr>
          <w:rFonts w:eastAsia="Calibri"/>
          <w:noProof/>
          <w:lang w:eastAsia="es-MX"/>
        </w:rPr>
        <w:lastRenderedPageBreak/>
        <w:drawing>
          <wp:inline distT="0" distB="0" distL="0" distR="0" wp14:anchorId="09314EC8" wp14:editId="505C84BD">
            <wp:extent cx="4505325" cy="257175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119DC3" w14:textId="640412AF" w:rsidR="004A52DF" w:rsidRDefault="002024C2" w:rsidP="002024C2">
      <w:pPr>
        <w:pStyle w:val="Prrafocomn"/>
        <w:spacing w:line="240" w:lineRule="auto"/>
        <w:rPr>
          <w:lang w:val="es-AR"/>
        </w:rPr>
      </w:pPr>
      <w:r w:rsidRPr="002024C2">
        <w:rPr>
          <w:lang w:val="es-AR"/>
        </w:rPr>
        <w:t>Nota. Se muestra el porcentaje de percepción que tienen los y las jóvenes sobre las conductas del cuidado de su salud</w:t>
      </w:r>
      <w:r>
        <w:rPr>
          <w:lang w:val="es-AR"/>
        </w:rPr>
        <w:t>.</w:t>
      </w:r>
    </w:p>
    <w:p w14:paraId="3DDD7B0D" w14:textId="77777777" w:rsidR="002024C2" w:rsidRDefault="002024C2" w:rsidP="002024C2">
      <w:pPr>
        <w:pStyle w:val="Prrafocomn"/>
        <w:spacing w:line="240" w:lineRule="auto"/>
        <w:rPr>
          <w:lang w:val="es-AR"/>
        </w:rPr>
      </w:pPr>
    </w:p>
    <w:p w14:paraId="6C268823" w14:textId="5909D239" w:rsidR="002024C2" w:rsidRDefault="002024C2" w:rsidP="002024C2">
      <w:pPr>
        <w:pStyle w:val="Prrafocomn"/>
        <w:rPr>
          <w:lang w:val="es-AR"/>
        </w:rPr>
      </w:pPr>
      <w:r w:rsidRPr="002024C2">
        <w:rPr>
          <w:lang w:val="es-AR"/>
        </w:rPr>
        <w:t>Al evaluar las conductas de riesgo que presentan los universitarios, la automedicación es la conducta a la que más recurren con un 64%, seguido de fumar e ingerir bebidas alcohólicas (Ver figura 3).</w:t>
      </w:r>
    </w:p>
    <w:p w14:paraId="16A27327" w14:textId="361391CA" w:rsidR="002024C2" w:rsidRPr="002024C2" w:rsidRDefault="002024C2" w:rsidP="002024C2">
      <w:pPr>
        <w:pStyle w:val="Prrafocomn"/>
        <w:spacing w:line="240" w:lineRule="auto"/>
        <w:rPr>
          <w:b/>
          <w:lang w:val="es-AR"/>
        </w:rPr>
      </w:pPr>
      <w:r w:rsidRPr="002024C2">
        <w:rPr>
          <w:b/>
          <w:lang w:val="es-AR"/>
        </w:rPr>
        <w:t>Figura 3</w:t>
      </w:r>
    </w:p>
    <w:p w14:paraId="71286765" w14:textId="56E86944" w:rsidR="002024C2" w:rsidRPr="002024C2" w:rsidRDefault="002024C2" w:rsidP="002024C2">
      <w:pPr>
        <w:pStyle w:val="Prrafocomn"/>
        <w:spacing w:line="240" w:lineRule="auto"/>
        <w:rPr>
          <w:i/>
          <w:lang w:val="es-AR"/>
        </w:rPr>
      </w:pPr>
      <w:r w:rsidRPr="002024C2">
        <w:rPr>
          <w:i/>
          <w:lang w:val="es-AR"/>
        </w:rPr>
        <w:t>Conductas de riesgo</w:t>
      </w:r>
    </w:p>
    <w:p w14:paraId="4763B375" w14:textId="0B3FBA1F" w:rsidR="002024C2" w:rsidRDefault="002024C2" w:rsidP="002024C2">
      <w:pPr>
        <w:pStyle w:val="Prrafocomn"/>
        <w:rPr>
          <w:lang w:val="es-AR"/>
        </w:rPr>
      </w:pPr>
      <w:r w:rsidRPr="00A57B1A">
        <w:rPr>
          <w:rFonts w:eastAsia="Calibri"/>
          <w:noProof/>
          <w:lang w:eastAsia="es-MX"/>
        </w:rPr>
        <w:drawing>
          <wp:inline distT="0" distB="0" distL="0" distR="0" wp14:anchorId="26D3E02D" wp14:editId="089EC44B">
            <wp:extent cx="4410075" cy="220027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C67F15" w14:textId="42134D76" w:rsidR="002024C2" w:rsidRDefault="002024C2" w:rsidP="002024C2">
      <w:pPr>
        <w:pStyle w:val="Prrafocomn"/>
        <w:spacing w:line="240" w:lineRule="auto"/>
        <w:rPr>
          <w:lang w:val="es-AR"/>
        </w:rPr>
      </w:pPr>
      <w:r w:rsidRPr="002024C2">
        <w:rPr>
          <w:lang w:val="es-AR"/>
        </w:rPr>
        <w:t>Nota. Representa el porcentaje de las conductas de riesgo que tienen los y las jóvenes sobre su salud.</w:t>
      </w:r>
    </w:p>
    <w:p w14:paraId="798F7231" w14:textId="77777777" w:rsidR="002024C2" w:rsidRDefault="002024C2" w:rsidP="002024C2">
      <w:pPr>
        <w:pStyle w:val="Prrafocomn"/>
        <w:spacing w:line="240" w:lineRule="auto"/>
        <w:rPr>
          <w:lang w:val="es-AR"/>
        </w:rPr>
      </w:pPr>
    </w:p>
    <w:p w14:paraId="0F1CC933" w14:textId="56EB8613" w:rsidR="002024C2" w:rsidRDefault="002024C2" w:rsidP="002024C2">
      <w:pPr>
        <w:pStyle w:val="Prrafocomn"/>
        <w:rPr>
          <w:lang w:val="es-AR"/>
        </w:rPr>
      </w:pPr>
      <w:r w:rsidRPr="002024C2">
        <w:rPr>
          <w:lang w:val="es-AR"/>
        </w:rPr>
        <w:t xml:space="preserve">Respecto a  la percepción que tienen los jóvenes sobre las conductas de salud de sus padres, se encontró que las dos conductas con mayor porcentaje son el uso de lentes si son necesarios (86%) y mantener una alimentación balanceada (82%), mientras que la conducta de hacerse un </w:t>
      </w:r>
      <w:r w:rsidRPr="002024C2">
        <w:rPr>
          <w:lang w:val="es-AR"/>
        </w:rPr>
        <w:lastRenderedPageBreak/>
        <w:t>chequeo general es la conducta que menos se lleva a cabo por los padres, como lo muestra la figura 4.</w:t>
      </w:r>
    </w:p>
    <w:p w14:paraId="0C395453" w14:textId="49E695F9" w:rsidR="002024C2" w:rsidRPr="002024C2" w:rsidRDefault="002024C2" w:rsidP="002024C2">
      <w:pPr>
        <w:pStyle w:val="Prrafocomn"/>
        <w:spacing w:line="240" w:lineRule="auto"/>
        <w:rPr>
          <w:b/>
          <w:lang w:val="es-AR"/>
        </w:rPr>
      </w:pPr>
      <w:r w:rsidRPr="002024C2">
        <w:rPr>
          <w:b/>
          <w:lang w:val="es-AR"/>
        </w:rPr>
        <w:t>Figura 4</w:t>
      </w:r>
    </w:p>
    <w:p w14:paraId="0E64BE56" w14:textId="224C04D5" w:rsidR="002024C2" w:rsidRPr="002024C2" w:rsidRDefault="002024C2" w:rsidP="002024C2">
      <w:pPr>
        <w:pStyle w:val="Prrafocomn"/>
        <w:spacing w:line="240" w:lineRule="auto"/>
        <w:rPr>
          <w:i/>
          <w:lang w:val="es-AR"/>
        </w:rPr>
      </w:pPr>
      <w:r w:rsidRPr="002024C2">
        <w:rPr>
          <w:i/>
          <w:lang w:val="es-AR"/>
        </w:rPr>
        <w:t>Conductas de la salud de los padres</w:t>
      </w:r>
    </w:p>
    <w:p w14:paraId="637B3FF4" w14:textId="4D387A3B" w:rsidR="002024C2" w:rsidRDefault="002024C2" w:rsidP="002024C2">
      <w:pPr>
        <w:pStyle w:val="Prrafocomn"/>
        <w:rPr>
          <w:lang w:val="es-AR"/>
        </w:rPr>
      </w:pPr>
      <w:r w:rsidRPr="00A57B1A">
        <w:rPr>
          <w:rFonts w:eastAsia="Calibri"/>
          <w:noProof/>
          <w:lang w:eastAsia="es-MX"/>
        </w:rPr>
        <w:drawing>
          <wp:inline distT="0" distB="0" distL="0" distR="0" wp14:anchorId="0AB60274" wp14:editId="156B1FB1">
            <wp:extent cx="4552950" cy="28289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FB8129" w14:textId="77777777" w:rsidR="002024C2" w:rsidRPr="002024C2" w:rsidRDefault="002024C2" w:rsidP="002024C2">
      <w:pPr>
        <w:pStyle w:val="Prrafocomn"/>
        <w:spacing w:line="240" w:lineRule="auto"/>
        <w:rPr>
          <w:lang w:val="es-AR"/>
        </w:rPr>
      </w:pPr>
      <w:r w:rsidRPr="002024C2">
        <w:rPr>
          <w:lang w:val="es-AR"/>
        </w:rPr>
        <w:t>Nota. Se presenta el porcentaje de la percepción que tienen los y las jóvenes sobre el cuidado de salud de sus padres.</w:t>
      </w:r>
    </w:p>
    <w:p w14:paraId="0196BF91" w14:textId="77777777" w:rsidR="002024C2" w:rsidRPr="002024C2" w:rsidRDefault="002024C2" w:rsidP="002024C2">
      <w:pPr>
        <w:pStyle w:val="Prrafocomn"/>
        <w:rPr>
          <w:lang w:val="es-AR"/>
        </w:rPr>
      </w:pPr>
    </w:p>
    <w:p w14:paraId="0F3FBD99" w14:textId="77777777" w:rsidR="002024C2" w:rsidRPr="002024C2" w:rsidRDefault="002024C2" w:rsidP="002024C2">
      <w:pPr>
        <w:pStyle w:val="Prrafocomn"/>
        <w:rPr>
          <w:lang w:val="es-AR"/>
        </w:rPr>
      </w:pPr>
      <w:r w:rsidRPr="002024C2">
        <w:rPr>
          <w:lang w:val="es-AR"/>
        </w:rPr>
        <w:t>Un aspecto importante que vale la pena mencionar es que desde la percepción de los jóvenes, sus padres si van al médico pero siempre y cuando estén enfermos o necesiten algún tipo de aparato auxiliar como son los lentes, ya que el realizarse algún chequeo médico general sin estar enfermos, seguido de la falta de actividad física, resultan ser conductas de los padres poco frecuentes, mostrando así que no existe una cultura de prevención en la salud, y el servicio médico sólo es necesario cuando se está enfermo físicamente y/o cuando los síntomas de alguna enfermedad se han hecho evidentes en el organismo, de lo contrario la automedicación ante algún pequeño o leve síntoma es la “mejor” opción para los padres y madres, que como lo vimos anteriormente dicha conducta está presente también en los hijos e hijas.</w:t>
      </w:r>
    </w:p>
    <w:p w14:paraId="1B595899" w14:textId="77777777" w:rsidR="002024C2" w:rsidRPr="002024C2" w:rsidRDefault="002024C2" w:rsidP="002024C2">
      <w:pPr>
        <w:pStyle w:val="Prrafocomn"/>
        <w:rPr>
          <w:lang w:val="es-AR"/>
        </w:rPr>
      </w:pPr>
      <w:r w:rsidRPr="002024C2">
        <w:rPr>
          <w:lang w:val="es-AR"/>
        </w:rPr>
        <w:t xml:space="preserve">Con respecto a la realización de actividades físicas, tanto en padres como en hijos los porcentajes fueron similares, mostrando que la práctica de hacer ejercicio o activación física no resulta ser tan importante en su vida cotidiana. </w:t>
      </w:r>
    </w:p>
    <w:p w14:paraId="0B4DBA1D" w14:textId="4DA8A588" w:rsidR="002024C2" w:rsidRDefault="002024C2" w:rsidP="002024C2">
      <w:pPr>
        <w:pStyle w:val="Prrafocomn"/>
        <w:rPr>
          <w:lang w:val="es-AR"/>
        </w:rPr>
      </w:pPr>
      <w:r w:rsidRPr="002024C2">
        <w:rPr>
          <w:lang w:val="es-AR"/>
        </w:rPr>
        <w:t>Ahora bien, al preguntar a los jóvenes sobre las conductas de riesgo de sus padres, la figura 5 muestra que fumar, con un porcentaje de 31%, es la conducta más realizada por ambos padres.</w:t>
      </w:r>
    </w:p>
    <w:p w14:paraId="057391DB" w14:textId="03C66477" w:rsidR="002024C2" w:rsidRPr="002024C2" w:rsidRDefault="002024C2" w:rsidP="002024C2">
      <w:pPr>
        <w:pStyle w:val="Prrafocomn"/>
        <w:spacing w:line="240" w:lineRule="auto"/>
        <w:rPr>
          <w:b/>
          <w:lang w:val="es-AR"/>
        </w:rPr>
      </w:pPr>
      <w:r w:rsidRPr="002024C2">
        <w:rPr>
          <w:b/>
          <w:lang w:val="es-AR"/>
        </w:rPr>
        <w:lastRenderedPageBreak/>
        <w:t>Figura 5</w:t>
      </w:r>
    </w:p>
    <w:p w14:paraId="3DAF290B" w14:textId="283CB348" w:rsidR="002024C2" w:rsidRPr="002024C2" w:rsidRDefault="002024C2" w:rsidP="002024C2">
      <w:pPr>
        <w:pStyle w:val="Prrafocomn"/>
        <w:spacing w:line="240" w:lineRule="auto"/>
        <w:rPr>
          <w:i/>
          <w:lang w:val="es-AR"/>
        </w:rPr>
      </w:pPr>
      <w:r w:rsidRPr="002024C2">
        <w:rPr>
          <w:i/>
          <w:lang w:val="es-AR"/>
        </w:rPr>
        <w:t>Conductas de riesgo de los padres</w:t>
      </w:r>
    </w:p>
    <w:p w14:paraId="6D08D80F" w14:textId="038928BE" w:rsidR="002024C2" w:rsidRDefault="002024C2" w:rsidP="002024C2">
      <w:pPr>
        <w:pStyle w:val="Prrafocomn"/>
        <w:rPr>
          <w:lang w:val="es-AR"/>
        </w:rPr>
      </w:pPr>
      <w:r w:rsidRPr="00A57B1A">
        <w:rPr>
          <w:rFonts w:eastAsia="Calibri"/>
          <w:noProof/>
          <w:lang w:eastAsia="es-MX"/>
        </w:rPr>
        <w:drawing>
          <wp:inline distT="0" distB="0" distL="0" distR="0" wp14:anchorId="3FECC030" wp14:editId="6B4305C0">
            <wp:extent cx="4429125" cy="20859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01D91" w14:textId="77777777" w:rsidR="006D523F" w:rsidRPr="006D523F" w:rsidRDefault="006D523F" w:rsidP="006D523F">
      <w:pPr>
        <w:pStyle w:val="Prrafocomn"/>
        <w:spacing w:line="240" w:lineRule="auto"/>
        <w:rPr>
          <w:lang w:val="es-AR"/>
        </w:rPr>
      </w:pPr>
      <w:r w:rsidRPr="006D523F">
        <w:rPr>
          <w:lang w:val="es-AR"/>
        </w:rPr>
        <w:t>Nota. La gráfica muestra la percepción que tienen los y las jóvenes sobre las conductas de riesgo de sus padres.</w:t>
      </w:r>
    </w:p>
    <w:p w14:paraId="2A6B180C" w14:textId="77777777" w:rsidR="006D523F" w:rsidRPr="006D523F" w:rsidRDefault="006D523F" w:rsidP="006D523F">
      <w:pPr>
        <w:pStyle w:val="Prrafocomn"/>
        <w:rPr>
          <w:lang w:val="es-AR"/>
        </w:rPr>
      </w:pPr>
    </w:p>
    <w:p w14:paraId="73C0520D" w14:textId="494A1987" w:rsidR="004A52DF" w:rsidRPr="006B294A" w:rsidRDefault="006D523F" w:rsidP="006D523F">
      <w:pPr>
        <w:pStyle w:val="Prrafocomn"/>
        <w:rPr>
          <w:lang w:val="es-AR"/>
        </w:rPr>
      </w:pPr>
      <w:r w:rsidRPr="006D523F">
        <w:rPr>
          <w:lang w:val="es-AR"/>
        </w:rPr>
        <w:t>En este sentido, vale la pena insistir en la promoción y prevención de la salud, ya que dentro de esta investigación se pudo reflejar que un rango importante de la población no genera conductas de cuidado y sí tienen conductas de riesgo, las cuales están relacionadas con distintos factores individuales y sociales que han hecho que la salud sea considerada como algo secundario en la vida de las personas.</w:t>
      </w:r>
    </w:p>
    <w:p w14:paraId="220C813D" w14:textId="3AC22430"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r w:rsidR="006D523F">
        <w:rPr>
          <w:lang w:val="es-ES_tradnl"/>
        </w:rPr>
        <w:t xml:space="preserve"> y Conclusiones</w:t>
      </w:r>
    </w:p>
    <w:p w14:paraId="1BDAFA52" w14:textId="77777777" w:rsidR="006D523F" w:rsidRPr="006D523F" w:rsidRDefault="006D523F" w:rsidP="006D523F">
      <w:pPr>
        <w:pStyle w:val="Prrafocomn"/>
        <w:rPr>
          <w:lang w:val="es-ES_tradnl"/>
        </w:rPr>
      </w:pPr>
      <w:r w:rsidRPr="006D523F">
        <w:rPr>
          <w:lang w:val="es-ES_tradnl"/>
        </w:rPr>
        <w:t xml:space="preserve">Retomando el objetivo de esta investigación, se reflexiona en primer lugar sobre la importancia de la familia en la educación y transmisión de creencias, actitudes y comportamientos a los hijos/as en torno al cuidado o no de la salud, ya que ésta se vuelve indispensable en el desarrollo humano e influye constantemente en todos los ámbitos (personal, familiar, educativo, laboral y social) que rodean a las personas, coincidiendo con Abidina et al. (2019) quien habla del papel tan importante que desempeña la familia en promover la salud y reducir los factores de riesgo, ya que las familias cuando están capacitadas, informadas y orientadas pueden lograr esta promoción implementado diferentes tareas de salud familiar, resolver problemas de salud, conocer cómo aplicar la atención médica y saber utilizar los servicios sanitarios adecuados. Ahlstrand et al. (2022) va más allá del contexto familiar y expresan que también los ambientes educativos se consideran importantes para fortalecer el estado de salud de los estudiantes y conocimientos, que </w:t>
      </w:r>
      <w:r w:rsidRPr="006D523F">
        <w:rPr>
          <w:lang w:val="es-ES_tradnl"/>
        </w:rPr>
        <w:lastRenderedPageBreak/>
        <w:t xml:space="preserve">se asocian no sólo con la apropiación de conductas saludables sino con buenos resultados educativos. </w:t>
      </w:r>
    </w:p>
    <w:p w14:paraId="3AC1DE7A" w14:textId="77777777" w:rsidR="006D523F" w:rsidRPr="006D523F" w:rsidRDefault="006D523F" w:rsidP="006D523F">
      <w:pPr>
        <w:pStyle w:val="Prrafocomn"/>
        <w:rPr>
          <w:lang w:val="es-ES_tradnl"/>
        </w:rPr>
      </w:pPr>
      <w:r w:rsidRPr="006D523F">
        <w:rPr>
          <w:lang w:val="es-ES_tradnl"/>
        </w:rPr>
        <w:t>Una situación interesante a resaltar dentro de esta investigación es que la salud de los estudiantes no es considerada como factor de riesgo por ellos, a pesar de recurrir a ciertas conductas que afectan su salud como la automedicación, el fumar, ingerir bebidas alcohólicas, y la falta de descanso, lo cual nos lleva a pensar en aquellas circunstancias que impide a los jóvenes cambiar sus estilos de vida, por ejemplo, estrés y ansiedad constante, largas horas en el celular y/o redes sociales, acumulación de tareas e incluso problemas familiares y /o violencia que se tengan, esto permite reflexionar sobre lo que representa la salud específicamente en esa etapa de la vida y todo lo que implica ser estudiante; coincidiendo con Jiménez &amp; Ojeda (2017); Espinoza &amp; Venegas, (2017) quienes expresan que durante los estudios universitarios se puede llegar a presentar una etapa de vulnerabilidad en los jóvenes, que repercute en la salud al presentarse algunos factores como:</w:t>
      </w:r>
    </w:p>
    <w:p w14:paraId="3A80BB1F" w14:textId="77777777" w:rsidR="006D523F" w:rsidRPr="006D523F" w:rsidRDefault="006D523F" w:rsidP="006D523F">
      <w:pPr>
        <w:pStyle w:val="Prrafocomn"/>
        <w:rPr>
          <w:lang w:val="es-ES_tradnl"/>
        </w:rPr>
      </w:pPr>
      <w:r w:rsidRPr="006D523F">
        <w:rPr>
          <w:lang w:val="es-ES_tradnl"/>
        </w:rPr>
        <w:t>1) Encontrarse en un proceso formativo que les requiere de largas jornadas de clases</w:t>
      </w:r>
    </w:p>
    <w:p w14:paraId="77977511" w14:textId="77777777" w:rsidR="006D523F" w:rsidRPr="006D523F" w:rsidRDefault="006D523F" w:rsidP="006D523F">
      <w:pPr>
        <w:pStyle w:val="Prrafocomn"/>
        <w:rPr>
          <w:lang w:val="es-ES_tradnl"/>
        </w:rPr>
      </w:pPr>
      <w:r w:rsidRPr="006D523F">
        <w:rPr>
          <w:lang w:val="es-ES_tradnl"/>
        </w:rPr>
        <w:t>2) Largas horas de trayecto de ida a la escuela y regreso a casa</w:t>
      </w:r>
    </w:p>
    <w:p w14:paraId="08730118" w14:textId="77777777" w:rsidR="006D523F" w:rsidRPr="006D523F" w:rsidRDefault="006D523F" w:rsidP="006D523F">
      <w:pPr>
        <w:pStyle w:val="Prrafocomn"/>
        <w:rPr>
          <w:lang w:val="es-ES_tradnl"/>
        </w:rPr>
      </w:pPr>
      <w:r w:rsidRPr="006D523F">
        <w:rPr>
          <w:lang w:val="es-ES_tradnl"/>
        </w:rPr>
        <w:t>3) Falta de tiempo y dinero</w:t>
      </w:r>
    </w:p>
    <w:p w14:paraId="3EFDA932" w14:textId="77777777" w:rsidR="006D523F" w:rsidRPr="006D523F" w:rsidRDefault="006D523F" w:rsidP="006D523F">
      <w:pPr>
        <w:pStyle w:val="Prrafocomn"/>
        <w:rPr>
          <w:lang w:val="es-ES_tradnl"/>
        </w:rPr>
      </w:pPr>
      <w:r w:rsidRPr="006D523F">
        <w:rPr>
          <w:lang w:val="es-ES_tradnl"/>
        </w:rPr>
        <w:t xml:space="preserve">4) La presión constante e influencia de los medios de comunicación y publicidad de productos no sanos, la idea de delgadez extrema, disponibilidad próxima de alimentos chatarra o comida rápida de bajo contenido nutricional </w:t>
      </w:r>
    </w:p>
    <w:p w14:paraId="2450B4D7" w14:textId="77777777" w:rsidR="006D523F" w:rsidRPr="006D523F" w:rsidRDefault="006D523F" w:rsidP="006D523F">
      <w:pPr>
        <w:pStyle w:val="Prrafocomn"/>
        <w:rPr>
          <w:lang w:val="es-ES_tradnl"/>
        </w:rPr>
      </w:pPr>
      <w:r w:rsidRPr="006D523F">
        <w:rPr>
          <w:lang w:val="es-ES_tradnl"/>
        </w:rPr>
        <w:t>5) Vivir un estado de estrés y ansiedad fluctuante por las presiones que puedan estar atravesando en los diferentes contextos de sus vidas.</w:t>
      </w:r>
    </w:p>
    <w:p w14:paraId="47364F22" w14:textId="77777777" w:rsidR="006D523F" w:rsidRPr="006D523F" w:rsidRDefault="006D523F" w:rsidP="006D523F">
      <w:pPr>
        <w:pStyle w:val="Prrafocomn"/>
        <w:rPr>
          <w:lang w:val="es-ES_tradnl"/>
        </w:rPr>
      </w:pPr>
      <w:r w:rsidRPr="006D523F">
        <w:rPr>
          <w:lang w:val="es-ES_tradnl"/>
        </w:rPr>
        <w:t>Dentro de esta investigación, es interesante notar cómo la automedicación es la conducta de riesgo que se lleva a cabo con mayor frecuencia en los jóvenes, resultaría importante conocer los motivos que los llevan a adoptar dicha práctica, podría pensarse que es el ritmo de vida tan acelerado que se ha ido adquiriendo y  no se tiene el tiempo para preocuparse por cuestiones de salud e ir al médico, además de la situación económica donde resulta  más barato automedicarse que pagar el servicio médico, también puede ser rechazo que se tiene a los servicios de salud por el trato tan ineficiente que se brindan en dichas instituciones, sobre todo públicas, o incluso cuestiones de género donde el ser hombre o ser mujer y lo que s</w:t>
      </w:r>
      <w:bookmarkStart w:id="0" w:name="_GoBack"/>
      <w:bookmarkEnd w:id="0"/>
      <w:r w:rsidRPr="006D523F">
        <w:rPr>
          <w:lang w:val="es-ES_tradnl"/>
        </w:rPr>
        <w:t>ocialmente implica influye en la práctica de automedicación y asistencia al servicio médico.</w:t>
      </w:r>
    </w:p>
    <w:p w14:paraId="09869995" w14:textId="77777777" w:rsidR="006D523F" w:rsidRPr="006D523F" w:rsidRDefault="006D523F" w:rsidP="006D523F">
      <w:pPr>
        <w:pStyle w:val="Prrafocomn"/>
        <w:rPr>
          <w:lang w:val="es-ES_tradnl"/>
        </w:rPr>
      </w:pPr>
      <w:r w:rsidRPr="006D523F">
        <w:rPr>
          <w:lang w:val="es-ES_tradnl"/>
        </w:rPr>
        <w:lastRenderedPageBreak/>
        <w:t>Otra conducta de riesgo muy común en la vida cotidiana de muchas personas es fumar, y, en este caso, es una práctica no sólo de los padres sino también de los hijos, evidenciando que el cuidado o no de la salud forma parte de esta educación que se va transmitiendo de una generación a otra, lo que coincide con Borrás et al. (2017); García et al. (2012); Gómez et al. (2026); Sánchez et al. (2022).</w:t>
      </w:r>
    </w:p>
    <w:p w14:paraId="0BBE8E86" w14:textId="77777777" w:rsidR="006D523F" w:rsidRPr="006D523F" w:rsidRDefault="006D523F" w:rsidP="006D523F">
      <w:pPr>
        <w:pStyle w:val="Prrafocomn"/>
        <w:rPr>
          <w:lang w:val="es-ES_tradnl"/>
        </w:rPr>
      </w:pPr>
      <w:r w:rsidRPr="006D523F">
        <w:rPr>
          <w:lang w:val="es-ES_tradnl"/>
        </w:rPr>
        <w:t>En cuanto a la ingesta de alcohol que los jóvenes perciben de sus padres también resulta  un dato sobresaliente ya que al ser una práctica “socialmente aceptada” suele incrementarse durante la etapa de adolescencia y la juventud, las estadísticas reflejan que los accidentes automovilísticos provocados por el consumo de alcohol en jóvenes son hoy en día una de las principales causas de muerte.  En México tres de cada 10 personas que son atendidas en hospitales pierden la vida por algún tipo de traumatismo provocado por accidentes automovilísticos relacionados con el consumo de alcohol (Prensa UdeG, 2018).</w:t>
      </w:r>
    </w:p>
    <w:p w14:paraId="286E504C" w14:textId="77777777" w:rsidR="006D523F" w:rsidRPr="006D523F" w:rsidRDefault="006D523F" w:rsidP="006D523F">
      <w:pPr>
        <w:pStyle w:val="Prrafocomn"/>
        <w:rPr>
          <w:lang w:val="es-ES_tradnl"/>
        </w:rPr>
      </w:pPr>
      <w:r w:rsidRPr="006D523F">
        <w:rPr>
          <w:lang w:val="es-ES_tradnl"/>
        </w:rPr>
        <w:t xml:space="preserve">Además, pareciera ser que las conductas de riesgo que perjudican la salud de los jóvenes y en gran parte de la población, hoy en día se han ido naturalizando, de tal modo que difícilmente se pueden reconocer como factores o conductas de riesgo y por lo tanto no se cree que puedan repercutir en la salud. En este sentido, no sólo la educación familiar sino la influencia del contexto cultural como los medios de comunicación o los supuestos consejos de gente no profesional de la salud, hacen que se atribuyan significados erróneos a ciertas prácticas sobre el cuidado de la salud. Kornblit &amp; Mendes (2000), expresan que la resistencia a seguir las indicaciones de los profesionales de la salud, la automedicación y la incapacidad de asumir comportamientos preventivos son factores que no pueden ser explicados y comprendidos sólo en términos de eficacia o no eficacia del sistema de salud, sino que todos ellos constituyen aspectos parciales de una problemática mayor que se relaciona con todas las ideas y creencias que tienen las personas y que a su vez se traducen en comportamientos, sobre lo que hay que hacer o evitar para mantenerse “sano” o para curar las enfermedades, en definitiva sobre lo que es importante respecto de su salud. </w:t>
      </w:r>
    </w:p>
    <w:p w14:paraId="2B0B2E21" w14:textId="77777777" w:rsidR="006D523F" w:rsidRPr="006D523F" w:rsidRDefault="006D523F" w:rsidP="006D523F">
      <w:pPr>
        <w:pStyle w:val="Prrafocomn"/>
        <w:rPr>
          <w:lang w:val="es-ES_tradnl"/>
        </w:rPr>
      </w:pPr>
      <w:r w:rsidRPr="006D523F">
        <w:rPr>
          <w:lang w:val="es-ES_tradnl"/>
        </w:rPr>
        <w:t xml:space="preserve">Así mismo, este estudio nos permitió dar cuenta que nuestros participantes al ser  una población que estudia una carrera relacionada con el cuidado de la salud, esto no se ve reflejado en su comportamiento. En un estudios realizado por Sánchez &amp; De Luna (2015) encontraron que muchos de los universitarios relacionados con ciencias de la salud no precisamente aplican sus conocimientos, por ejemplo, quienes estudian nutrición muestran malos hábitos alimenticios con altos consumos calóricos y una ingesta desequilibrada, aunado al consumo de alcohol y tabaco. </w:t>
      </w:r>
    </w:p>
    <w:p w14:paraId="66F57C81" w14:textId="77777777" w:rsidR="006D523F" w:rsidRPr="006D523F" w:rsidRDefault="006D523F" w:rsidP="006D523F">
      <w:pPr>
        <w:pStyle w:val="Prrafocomn"/>
        <w:rPr>
          <w:lang w:val="es-ES_tradnl"/>
        </w:rPr>
      </w:pPr>
      <w:r w:rsidRPr="006D523F">
        <w:rPr>
          <w:lang w:val="es-ES_tradnl"/>
        </w:rPr>
        <w:lastRenderedPageBreak/>
        <w:t xml:space="preserve">De esta forma, podemos concluir mencionando la importancia que tiene hoy en día la promoción y prevención de la salud en etapas tempranas y desde el contexto familiar, que sirvan como elementos de protección ante los constantes factores de riesgo que se presentan a lo largo de la vida, involucrando la participación de una sociedad que ha ido dejando de lado el papel que juega la salud en cada uno de los contextos sociales que nos rodean, priorizando otras cuestiones que han perjudicado la salud física y mental de las personas. En este sentido, vale la pena pensar en dirigir las intervenciones no sólo a los jóvenes sino priorizar la educación a los padres quienes son promotores de salud a los hijos/as y/o quienes son en gran medida los que también propician conductas de riesgo, esto coincide con Jiménez et al. (2021) quienes aseguran que la mayor oportunidad de mejora se encuentra en la orientación  dirigida a educar a los padres y sensibilizarlos sobre los importantes beneficios para la salud de mejorar sus estilos de vida. </w:t>
      </w:r>
    </w:p>
    <w:p w14:paraId="72B65CDE" w14:textId="77777777" w:rsidR="006D523F" w:rsidRPr="006D523F" w:rsidRDefault="006D523F" w:rsidP="006D523F">
      <w:pPr>
        <w:pStyle w:val="Prrafocomn"/>
        <w:rPr>
          <w:lang w:val="es-ES_tradnl"/>
        </w:rPr>
      </w:pPr>
      <w:r w:rsidRPr="006D523F">
        <w:rPr>
          <w:lang w:val="es-ES_tradnl"/>
        </w:rPr>
        <w:t>Es por ello necesario seguir fomentando el autocuidado como parte de la educación que los padres van transmitiendo a los hijos, teniendo como objetivo aprender y desarrollar conductas que favorezcan nuestra salud, así como reconocer posibles factores y conductas de riesgo. La salud es una condición de vida que implica un estilo con conductas saludables muchas de ellas desde el núcleo familiar, pero en ocasiones  los padres nos son promotores de ellas.</w:t>
      </w:r>
    </w:p>
    <w:p w14:paraId="5915A217" w14:textId="77777777" w:rsidR="006D523F" w:rsidRPr="006D523F" w:rsidRDefault="006D523F" w:rsidP="006D523F">
      <w:pPr>
        <w:pStyle w:val="Prrafocomn"/>
        <w:rPr>
          <w:lang w:val="es-ES_tradnl"/>
        </w:rPr>
      </w:pPr>
      <w:r w:rsidRPr="006D523F">
        <w:rPr>
          <w:lang w:val="es-ES_tradnl"/>
        </w:rPr>
        <w:t>Ante esto, Páramo (2011) habla sobre el aumento de conductas de riesgo en los jóvenes como un signo de alarma que merece atención inmediata, concreta y viable. Mencionando que muchos de los programas exitosos en la prevención en conductas de riesgo coinciden en:</w:t>
      </w:r>
    </w:p>
    <w:p w14:paraId="2DF8267F" w14:textId="77777777" w:rsidR="006D523F" w:rsidRPr="006D523F" w:rsidRDefault="006D523F" w:rsidP="006D523F">
      <w:pPr>
        <w:pStyle w:val="Prrafocomn"/>
        <w:rPr>
          <w:lang w:val="es-ES_tradnl"/>
        </w:rPr>
      </w:pPr>
      <w:r w:rsidRPr="006D523F">
        <w:rPr>
          <w:lang w:val="es-ES_tradnl"/>
        </w:rPr>
        <w:t>Atención individualizada e intensiva; programas colaborativos comunitarios; identificación y tratamiento precoces; atención a los sistemas escolares; provisión de programas comunitarios para los adolescentes fuera del sector formal de educación; necesidad de capacitación de los profesionales; entrenamiento en habilidades sociales; incorporación de los pares y de la familia en la prevención; conexión con el mundo laboral. Entonces, la mayoría de las evaluaciones muestran que los programas intensivos, integrales y flexibles son los que más sirven para prevenir las conductas de riesgo de los adolescentes y sus consecuencias. (p. 93)</w:t>
      </w:r>
    </w:p>
    <w:p w14:paraId="13FA8237" w14:textId="7A444B62" w:rsidR="007E3B8D" w:rsidRPr="006D523F" w:rsidRDefault="006D523F" w:rsidP="006D523F">
      <w:pPr>
        <w:pStyle w:val="Prrafocomn"/>
        <w:rPr>
          <w:lang w:val="es-ES_tradnl"/>
        </w:rPr>
      </w:pPr>
      <w:r w:rsidRPr="006D523F">
        <w:rPr>
          <w:lang w:val="es-ES_tradnl"/>
        </w:rPr>
        <w:t>Finalmente, se sugiere la realización de investigaciones en temas de salud que involucren también las nuevas tecnologías e incorporando la perspectiva de género, con la finalidad de reconocer las diferencias que existen en hombres y mujeres en temas de salud, atendiendo a sus necesidades e impulsando nuevas políticas públicas en torno a la salud que beneficiarían tanto a hombres como mujeres, fomentando conductas de autocuidado y reduciendo conductas de riesgo.</w:t>
      </w:r>
      <w:r w:rsidR="007E3B8D" w:rsidRPr="00E25900">
        <w:br w:type="page"/>
      </w:r>
    </w:p>
    <w:p w14:paraId="6CD8B4A8" w14:textId="3D7FF6F6" w:rsidR="006F7E7E" w:rsidRPr="00E25900" w:rsidRDefault="00CE7D65" w:rsidP="007A7CDC">
      <w:pPr>
        <w:pStyle w:val="Ttulosinternos"/>
      </w:pPr>
      <w:r w:rsidRPr="00DE7EB8">
        <w:rPr>
          <w:lang w:val="es-ES_tradnl"/>
        </w:rPr>
        <w:lastRenderedPageBreak/>
        <w:t>Referenc</w:t>
      </w:r>
      <w:r w:rsidR="00E23C9E" w:rsidRPr="00DE7EB8">
        <w:rPr>
          <w:lang w:val="es-ES_tradnl"/>
        </w:rPr>
        <w:t>ias</w:t>
      </w:r>
    </w:p>
    <w:p w14:paraId="6A986E7C"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Abidina, L.S., Fitriyania, P. &amp; Setiawa, A. (2019). </w:t>
      </w:r>
      <w:r w:rsidRPr="006D523F">
        <w:rPr>
          <w:rFonts w:eastAsia="Calibri"/>
          <w:lang w:val="en-US" w:eastAsia="en-US"/>
        </w:rPr>
        <w:t>Correlations between adolescents’ perceptions of family health tasks and adolescents’ smoking behaviors in Indonesia.</w:t>
      </w:r>
      <w:r w:rsidRPr="006D523F">
        <w:rPr>
          <w:rFonts w:eastAsia="Calibri"/>
          <w:i/>
          <w:lang w:val="en-US" w:eastAsia="en-US"/>
        </w:rPr>
        <w:t xml:space="preserve"> </w:t>
      </w:r>
      <w:r w:rsidRPr="006D523F">
        <w:rPr>
          <w:rFonts w:eastAsia="Calibri"/>
          <w:i/>
          <w:lang w:val="es-MX" w:eastAsia="en-US"/>
        </w:rPr>
        <w:t>Enfermería clínica</w:t>
      </w:r>
      <w:r w:rsidRPr="006D523F">
        <w:rPr>
          <w:rFonts w:eastAsia="Calibri"/>
          <w:lang w:val="es-MX" w:eastAsia="en-US"/>
        </w:rPr>
        <w:t xml:space="preserve">, 29 (52), 367 - 372. </w:t>
      </w:r>
      <w:hyperlink r:id="rId16" w:history="1">
        <w:r w:rsidRPr="006D523F">
          <w:rPr>
            <w:rFonts w:eastAsia="Calibri"/>
            <w:color w:val="0563C1"/>
            <w:u w:val="single"/>
            <w:lang w:val="es-MX" w:eastAsia="en-US"/>
          </w:rPr>
          <w:t>https://www.elsevier.es/es-revista-enfermeria-clinica-35-articulo-correlations-between-adolescents-perceptions-family-S1130862119301469</w:t>
        </w:r>
      </w:hyperlink>
    </w:p>
    <w:p w14:paraId="74D3888D"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n-US" w:eastAsia="en-US"/>
        </w:rPr>
        <w:t>Ahlstrand, I., Larsson, I., Larsson, M., Ekman, A., Hedén, L., Laakso, K., Lindmark, U., Nunstedt, H., Oxelmark, L., Pennbrant, S., Sundler, A. &amp; Hallgren, J. (2022). Health-promoting factors among students in higher education within health care and social work: a cross-sectional analysis of baseline data in a multicentre longitudinal study</w:t>
      </w:r>
      <w:r w:rsidRPr="006D523F">
        <w:rPr>
          <w:rFonts w:eastAsia="Calibri"/>
          <w:i/>
          <w:lang w:val="en-US" w:eastAsia="en-US"/>
        </w:rPr>
        <w:t xml:space="preserve">. </w:t>
      </w:r>
      <w:r w:rsidRPr="006D523F">
        <w:rPr>
          <w:rFonts w:eastAsia="Calibri"/>
          <w:i/>
          <w:lang w:val="es-MX" w:eastAsia="en-US"/>
        </w:rPr>
        <w:t xml:space="preserve">BMC Public Health, </w:t>
      </w:r>
      <w:r w:rsidRPr="006D523F">
        <w:rPr>
          <w:rFonts w:eastAsia="Calibri"/>
          <w:lang w:val="es-MX" w:eastAsia="en-US"/>
        </w:rPr>
        <w:t xml:space="preserve">22 (1), 1314. </w:t>
      </w:r>
      <w:hyperlink r:id="rId17" w:history="1">
        <w:r w:rsidRPr="006D523F">
          <w:rPr>
            <w:rFonts w:eastAsia="Calibri"/>
            <w:color w:val="0563C1"/>
            <w:u w:val="single"/>
            <w:lang w:val="es-MX" w:eastAsia="en-US"/>
          </w:rPr>
          <w:t>https://doi.org/10.1186/s12889-022-13690-z</w:t>
        </w:r>
      </w:hyperlink>
    </w:p>
    <w:p w14:paraId="722A6C93"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Borrás, T.,  Reynaldo, A. &amp; López, M. (2017). Adolescentes: razones para su atención. </w:t>
      </w:r>
      <w:r w:rsidRPr="006D523F">
        <w:rPr>
          <w:rFonts w:eastAsia="Calibri"/>
          <w:i/>
          <w:lang w:val="es-MX" w:eastAsia="en-US"/>
        </w:rPr>
        <w:t>Correo Científico Medico</w:t>
      </w:r>
      <w:r w:rsidRPr="006D523F">
        <w:rPr>
          <w:rFonts w:eastAsia="Calibri"/>
          <w:lang w:val="es-MX" w:eastAsia="en-US"/>
        </w:rPr>
        <w:t xml:space="preserve">, </w:t>
      </w:r>
      <w:r w:rsidRPr="006D523F">
        <w:rPr>
          <w:rFonts w:eastAsia="Calibri"/>
          <w:i/>
          <w:lang w:val="es-MX" w:eastAsia="en-US"/>
        </w:rPr>
        <w:t>21</w:t>
      </w:r>
      <w:r w:rsidRPr="006D523F">
        <w:rPr>
          <w:rFonts w:eastAsia="Calibri"/>
          <w:lang w:val="es-MX" w:eastAsia="en-US"/>
        </w:rPr>
        <w:t xml:space="preserve"> (3), 858 – 875. </w:t>
      </w:r>
      <w:hyperlink r:id="rId18" w:history="1">
        <w:r w:rsidRPr="006D523F">
          <w:rPr>
            <w:rFonts w:eastAsia="Calibri"/>
            <w:color w:val="0563C1"/>
            <w:u w:val="single"/>
            <w:lang w:val="es-MX" w:eastAsia="en-US"/>
          </w:rPr>
          <w:t>http://scielo.sld.cu/scielo.php?script=sci_arttext&amp;pid=S1560-43812017000300020</w:t>
        </w:r>
      </w:hyperlink>
    </w:p>
    <w:p w14:paraId="60943E35"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Calpa, A., Santacruz, G., Álvarez, M., Zambrano, C., Hernández, E. &amp; Matabanchoy, S. (2019).  Promoción de estilos de vida saludables: estrategias y escenarios</w:t>
      </w:r>
      <w:r w:rsidRPr="006D523F">
        <w:rPr>
          <w:rFonts w:eastAsia="Calibri"/>
          <w:i/>
          <w:lang w:val="es-MX" w:eastAsia="en-US"/>
        </w:rPr>
        <w:t>. Hacia la Promoción de la Salud.</w:t>
      </w:r>
      <w:r w:rsidRPr="006D523F">
        <w:rPr>
          <w:rFonts w:eastAsia="Calibri"/>
          <w:lang w:val="es-MX" w:eastAsia="en-US"/>
        </w:rPr>
        <w:t xml:space="preserve"> 24 (2): 139-155.  </w:t>
      </w:r>
      <w:hyperlink r:id="rId19" w:history="1">
        <w:r w:rsidRPr="006D523F">
          <w:rPr>
            <w:rFonts w:eastAsia="Calibri"/>
            <w:color w:val="0563C1"/>
            <w:u w:val="single"/>
            <w:lang w:val="es-MX" w:eastAsia="en-US"/>
          </w:rPr>
          <w:t>https://doi.org/10.17151/hpsal.2019.24.2.11</w:t>
        </w:r>
      </w:hyperlink>
    </w:p>
    <w:p w14:paraId="32236C5E"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Cornellà, M., Viñas, F., Juárez, J.,  Martín, M. &amp; Malo, S. (2019). </w:t>
      </w:r>
      <w:r w:rsidRPr="006D523F">
        <w:rPr>
          <w:rFonts w:eastAsia="Calibri"/>
          <w:lang w:val="en-US" w:eastAsia="en-US"/>
        </w:rPr>
        <w:t xml:space="preserve">Temperament and attachment as predictive factors for the risk of addiction to substances in adolescents. </w:t>
      </w:r>
      <w:r w:rsidRPr="006D523F">
        <w:rPr>
          <w:rFonts w:eastAsia="Calibri"/>
          <w:i/>
          <w:lang w:val="es-MX" w:eastAsia="en-US"/>
        </w:rPr>
        <w:t>Revista De Psicopatología Y Psicología Clínica</w:t>
      </w:r>
      <w:r w:rsidRPr="006D523F">
        <w:rPr>
          <w:rFonts w:eastAsia="Calibri"/>
          <w:lang w:val="es-MX" w:eastAsia="en-US"/>
        </w:rPr>
        <w:t xml:space="preserve">, 23 (3), 179–187. </w:t>
      </w:r>
      <w:hyperlink r:id="rId20" w:history="1">
        <w:r w:rsidRPr="006D523F">
          <w:rPr>
            <w:rFonts w:eastAsia="Calibri"/>
            <w:color w:val="0563C1"/>
            <w:u w:val="single"/>
            <w:lang w:val="es-MX" w:eastAsia="en-US"/>
          </w:rPr>
          <w:t>https://revistas.uned.es/index.php/RPPC/article/view/21423</w:t>
        </w:r>
      </w:hyperlink>
    </w:p>
    <w:p w14:paraId="14012852" w14:textId="77777777" w:rsidR="006D523F" w:rsidRPr="006D523F" w:rsidRDefault="006D523F" w:rsidP="006D523F">
      <w:pPr>
        <w:autoSpaceDE w:val="0"/>
        <w:autoSpaceDN w:val="0"/>
        <w:adjustRightInd w:val="0"/>
        <w:spacing w:line="360" w:lineRule="auto"/>
        <w:ind w:left="709" w:hanging="709"/>
        <w:rPr>
          <w:bCs/>
          <w:color w:val="000000"/>
          <w:lang w:val="es-MX" w:eastAsia="es-MX"/>
        </w:rPr>
      </w:pPr>
      <w:r w:rsidRPr="006D523F">
        <w:rPr>
          <w:bCs/>
          <w:color w:val="000000"/>
          <w:lang w:val="es-MX" w:eastAsia="es-MX"/>
        </w:rPr>
        <w:t xml:space="preserve">Díaz, C. &amp; González, M. (2014). Conductas problema en adolescentes en la ciudad de Monterrey, México. </w:t>
      </w:r>
      <w:r w:rsidRPr="006D523F">
        <w:rPr>
          <w:bCs/>
          <w:i/>
          <w:color w:val="000000"/>
          <w:lang w:val="es-MX" w:eastAsia="es-MX"/>
        </w:rPr>
        <w:t>Enfermería Global</w:t>
      </w:r>
      <w:r w:rsidRPr="006D523F">
        <w:rPr>
          <w:bCs/>
          <w:color w:val="000000"/>
          <w:lang w:val="es-MX" w:eastAsia="es-MX"/>
        </w:rPr>
        <w:t xml:space="preserve">, 13 (1), 1-16. </w:t>
      </w:r>
      <w:hyperlink r:id="rId21" w:history="1">
        <w:r w:rsidRPr="006D523F">
          <w:rPr>
            <w:bCs/>
            <w:color w:val="0000FF"/>
            <w:u w:val="single"/>
            <w:lang w:val="es-MX" w:eastAsia="es-MX"/>
          </w:rPr>
          <w:t>https://doi.org/10.6018/eglobal.13.1.184861</w:t>
        </w:r>
      </w:hyperlink>
    </w:p>
    <w:p w14:paraId="0B7480EC"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Digurnay, I., Fong, Y.,  Lecourtois, l., Rodríguez, E. &amp; Montero, D.  (2019). Relación familia - promoción de salud en el área del Policlínico Universitario “Mártires del 4 de Agosto”, 2019. </w:t>
      </w:r>
      <w:r w:rsidRPr="006D523F">
        <w:rPr>
          <w:rFonts w:eastAsia="Calibri"/>
          <w:i/>
          <w:lang w:val="es-MX" w:eastAsia="en-US"/>
        </w:rPr>
        <w:t>Revista Información Científica</w:t>
      </w:r>
      <w:r w:rsidRPr="006D523F">
        <w:rPr>
          <w:rFonts w:eastAsia="Calibri"/>
          <w:lang w:val="es-MX" w:eastAsia="en-US"/>
        </w:rPr>
        <w:t xml:space="preserve">, 98 (4), 481-490. </w:t>
      </w:r>
      <w:hyperlink r:id="rId22" w:history="1">
        <w:r w:rsidRPr="006D523F">
          <w:rPr>
            <w:rFonts w:eastAsia="Calibri"/>
            <w:color w:val="0563C1"/>
            <w:u w:val="single"/>
            <w:lang w:val="es-MX" w:eastAsia="en-US"/>
          </w:rPr>
          <w:t>http://scielo.sld.cu/scielo.php?script=sci_arttext&amp;pid=S102899332019000400481&amp;lng=es&amp;tlng=es</w:t>
        </w:r>
      </w:hyperlink>
    </w:p>
    <w:p w14:paraId="0F829AE1"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 xml:space="preserve">Espinoza, L. &amp; Venegas, L. (2017). Una revisión de los estilos de vida en estudiantes universitarios. </w:t>
      </w:r>
      <w:r w:rsidRPr="006D523F">
        <w:rPr>
          <w:rFonts w:eastAsia="Calibri"/>
          <w:i/>
          <w:lang w:val="es-MX" w:eastAsia="en-US"/>
        </w:rPr>
        <w:t>Revista Torreón Universitario,</w:t>
      </w:r>
      <w:r w:rsidRPr="006D523F">
        <w:rPr>
          <w:rFonts w:eastAsia="Calibri"/>
          <w:lang w:val="es-MX" w:eastAsia="en-US"/>
        </w:rPr>
        <w:t xml:space="preserve"> 6 (19, 14 - 22. </w:t>
      </w:r>
      <w:hyperlink r:id="rId23" w:history="1">
        <w:r w:rsidRPr="006D523F">
          <w:rPr>
            <w:rFonts w:eastAsia="Calibri"/>
            <w:color w:val="0000FF"/>
            <w:u w:val="single"/>
            <w:lang w:val="es-MX" w:eastAsia="en-US"/>
          </w:rPr>
          <w:t>https://www.faremcrazo.unan.edu.ni/e-ISSN2313-7215</w:t>
        </w:r>
      </w:hyperlink>
    </w:p>
    <w:p w14:paraId="207C659C"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lastRenderedPageBreak/>
        <w:t xml:space="preserve">García, A. &amp; González, M. (2018). Factores de riesgo asociados a embarazadas adolescente. </w:t>
      </w:r>
      <w:r w:rsidRPr="006D523F">
        <w:rPr>
          <w:rFonts w:eastAsia="Calibri"/>
          <w:i/>
          <w:lang w:val="es-MX" w:eastAsia="en-US"/>
        </w:rPr>
        <w:t>Revista de Ciencias Médicas de Pinar del Río</w:t>
      </w:r>
      <w:r w:rsidRPr="006D523F">
        <w:rPr>
          <w:rFonts w:eastAsia="Calibri"/>
          <w:lang w:val="es-MX" w:eastAsia="en-US"/>
        </w:rPr>
        <w:t xml:space="preserve">, 22 (3), 416-427. </w:t>
      </w:r>
      <w:hyperlink r:id="rId24" w:history="1">
        <w:r w:rsidRPr="006D523F">
          <w:rPr>
            <w:rFonts w:eastAsia="Calibri"/>
            <w:color w:val="0563C1"/>
            <w:u w:val="single"/>
            <w:lang w:val="es-MX" w:eastAsia="en-US"/>
          </w:rPr>
          <w:t>http://scielo.sld.cu/scielo.php?script=sci_arttext&amp;pid=S1561-31942018000300002</w:t>
        </w:r>
      </w:hyperlink>
    </w:p>
    <w:p w14:paraId="5F52CA2B" w14:textId="77777777" w:rsidR="006D523F" w:rsidRPr="006D523F" w:rsidRDefault="006D523F" w:rsidP="006D523F">
      <w:pPr>
        <w:autoSpaceDE w:val="0"/>
        <w:autoSpaceDN w:val="0"/>
        <w:adjustRightInd w:val="0"/>
        <w:spacing w:line="360" w:lineRule="auto"/>
        <w:ind w:left="709" w:hanging="709"/>
        <w:rPr>
          <w:bCs/>
          <w:color w:val="0000FF"/>
          <w:u w:val="single"/>
          <w:lang w:val="es-MX" w:eastAsia="es-MX"/>
        </w:rPr>
      </w:pPr>
      <w:r w:rsidRPr="006D523F">
        <w:rPr>
          <w:bCs/>
          <w:color w:val="000000"/>
          <w:lang w:val="es-MX" w:eastAsia="es-MX"/>
        </w:rPr>
        <w:t xml:space="preserve">García, D., García, G., Tapiero, Y. &amp; Ramos, D. (2012). Determinantes de los estilos de vida y su implicación en la salud de jóvenes universitarios. </w:t>
      </w:r>
      <w:r w:rsidRPr="006D523F">
        <w:rPr>
          <w:bCs/>
          <w:i/>
          <w:color w:val="000000"/>
          <w:lang w:val="es-MX" w:eastAsia="es-MX"/>
        </w:rPr>
        <w:t>Revista Hacia la Promoción de la Salud</w:t>
      </w:r>
      <w:r w:rsidRPr="006D523F">
        <w:rPr>
          <w:bCs/>
          <w:color w:val="000000"/>
          <w:lang w:val="es-MX" w:eastAsia="es-MX"/>
        </w:rPr>
        <w:t xml:space="preserve">, 17 (2), 169-185. </w:t>
      </w:r>
      <w:hyperlink r:id="rId25" w:history="1">
        <w:r w:rsidRPr="006D523F">
          <w:rPr>
            <w:bCs/>
            <w:color w:val="0000FF"/>
            <w:u w:val="single"/>
            <w:lang w:val="es-MX" w:eastAsia="es-MX"/>
          </w:rPr>
          <w:t>https://www.redalyc.org/articulo.oa?id=309126826012</w:t>
        </w:r>
      </w:hyperlink>
    </w:p>
    <w:p w14:paraId="0622ABD1" w14:textId="77777777" w:rsidR="006D523F" w:rsidRPr="006D523F" w:rsidRDefault="006D523F" w:rsidP="006D523F">
      <w:pPr>
        <w:spacing w:line="360" w:lineRule="auto"/>
        <w:ind w:left="709" w:hanging="709"/>
        <w:rPr>
          <w:rFonts w:eastAsia="Calibri"/>
          <w:lang w:val="en-US" w:eastAsia="en-US"/>
        </w:rPr>
      </w:pPr>
      <w:r w:rsidRPr="006D523F">
        <w:rPr>
          <w:rFonts w:eastAsia="Calibri"/>
          <w:lang w:val="en-US" w:eastAsia="en-US"/>
        </w:rPr>
        <w:t xml:space="preserve">Goldfarb, S., Tarver, W. &amp; Sen, B. (2014). Family structure and risk behaviors: the role of the family meal in assessing likelihood  of adolescent risk behaviors. </w:t>
      </w:r>
      <w:r w:rsidRPr="006D523F">
        <w:rPr>
          <w:rFonts w:eastAsia="Calibri"/>
          <w:i/>
          <w:lang w:val="en-US" w:eastAsia="en-US"/>
        </w:rPr>
        <w:t>Psychology Research and Behavior Management,</w:t>
      </w:r>
      <w:r w:rsidRPr="006D523F">
        <w:rPr>
          <w:rFonts w:eastAsia="Calibri"/>
          <w:lang w:val="en-US" w:eastAsia="en-US"/>
        </w:rPr>
        <w:t xml:space="preserve"> 7, 53–66. </w:t>
      </w:r>
      <w:hyperlink r:id="rId26" w:history="1">
        <w:r w:rsidRPr="006D523F">
          <w:rPr>
            <w:rFonts w:eastAsia="Calibri"/>
            <w:color w:val="0563C1"/>
            <w:u w:val="single"/>
            <w:lang w:val="en-US" w:eastAsia="en-US"/>
          </w:rPr>
          <w:t>https://www.ncbi.nlm.nih.gov/pmc/articles/PMC3931580/</w:t>
        </w:r>
      </w:hyperlink>
    </w:p>
    <w:p w14:paraId="7B261C62" w14:textId="77777777" w:rsidR="006D523F" w:rsidRPr="006D523F" w:rsidRDefault="006D523F" w:rsidP="006D523F">
      <w:pPr>
        <w:spacing w:line="360" w:lineRule="auto"/>
        <w:ind w:left="709" w:hanging="709"/>
        <w:rPr>
          <w:rFonts w:eastAsia="Calibri"/>
          <w:color w:val="0563C1"/>
          <w:u w:val="single"/>
          <w:lang w:val="es-MX" w:eastAsia="en-US"/>
        </w:rPr>
      </w:pPr>
      <w:r w:rsidRPr="006D523F">
        <w:rPr>
          <w:rFonts w:eastAsia="Calibri"/>
          <w:lang w:val="es-MX" w:eastAsia="en-US"/>
        </w:rPr>
        <w:t xml:space="preserve">Gómez, Z., Landeros, P., Romero, E. &amp; Troyo, R. (2016). Estilos de vida y riesgos para la salud en una población universitaria. </w:t>
      </w:r>
      <w:r w:rsidRPr="006D523F">
        <w:rPr>
          <w:rFonts w:eastAsia="Calibri"/>
          <w:i/>
          <w:lang w:val="es-MX" w:eastAsia="en-US"/>
        </w:rPr>
        <w:t>Revista Salud Pública y Nutrición,</w:t>
      </w:r>
      <w:r w:rsidRPr="006D523F">
        <w:rPr>
          <w:rFonts w:eastAsia="Calibri"/>
          <w:lang w:val="es-MX" w:eastAsia="en-US"/>
        </w:rPr>
        <w:t xml:space="preserve"> 15 (2), 15 – 21. </w:t>
      </w:r>
      <w:hyperlink r:id="rId27" w:history="1">
        <w:r w:rsidRPr="006D523F">
          <w:rPr>
            <w:rFonts w:eastAsia="Calibri"/>
            <w:color w:val="0563C1"/>
            <w:u w:val="single"/>
            <w:lang w:val="es-MX" w:eastAsia="en-US"/>
          </w:rPr>
          <w:t>https://respyn.uanl.mx/index.php/respyn/article/view/11</w:t>
        </w:r>
      </w:hyperlink>
    </w:p>
    <w:p w14:paraId="001BC2EF"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Hernán</w:t>
      </w:r>
      <w:r w:rsidRPr="006D523F">
        <w:rPr>
          <w:rFonts w:eastAsia="Calibri"/>
          <w:color w:val="0563C1"/>
          <w:u w:val="single"/>
          <w:lang w:val="es-MX" w:eastAsia="en-US"/>
        </w:rPr>
        <w:t>dez-Sampieri, R., Fernández, C &amp;</w:t>
      </w:r>
      <w:r w:rsidRPr="006D523F">
        <w:rPr>
          <w:rFonts w:eastAsia="Calibri"/>
          <w:lang w:val="es-MX" w:eastAsia="en-US"/>
        </w:rPr>
        <w:t xml:space="preserve"> Baptista, P. (2014). </w:t>
      </w:r>
      <w:r w:rsidRPr="006D523F">
        <w:rPr>
          <w:rFonts w:eastAsia="Calibri"/>
          <w:i/>
          <w:lang w:val="es-MX" w:eastAsia="en-US"/>
        </w:rPr>
        <w:t>Metodología de la investigación</w:t>
      </w:r>
      <w:r w:rsidRPr="006D523F">
        <w:rPr>
          <w:rFonts w:eastAsia="Calibri"/>
          <w:lang w:val="es-MX" w:eastAsia="en-US"/>
        </w:rPr>
        <w:t>. Mc Graw Hill Education</w:t>
      </w:r>
    </w:p>
    <w:p w14:paraId="4411EA85" w14:textId="77777777" w:rsidR="006D523F" w:rsidRPr="006D523F" w:rsidRDefault="006D523F" w:rsidP="006D523F">
      <w:pPr>
        <w:autoSpaceDE w:val="0"/>
        <w:autoSpaceDN w:val="0"/>
        <w:adjustRightInd w:val="0"/>
        <w:spacing w:line="360" w:lineRule="auto"/>
        <w:ind w:left="709" w:hanging="709"/>
        <w:rPr>
          <w:bCs/>
          <w:color w:val="000000"/>
          <w:lang w:val="es-MX" w:eastAsia="es-MX"/>
        </w:rPr>
      </w:pPr>
      <w:r w:rsidRPr="006D523F">
        <w:rPr>
          <w:rFonts w:eastAsia="Calibri"/>
          <w:lang w:val="es-MX" w:eastAsia="en-US"/>
        </w:rPr>
        <w:t xml:space="preserve">              </w:t>
      </w:r>
      <w:hyperlink r:id="rId28" w:history="1">
        <w:r w:rsidRPr="006D523F">
          <w:rPr>
            <w:bCs/>
            <w:color w:val="0000FF"/>
            <w:u w:val="single"/>
            <w:lang w:val="es-MX" w:eastAsia="es-MX"/>
          </w:rPr>
          <w:t>https://www.binasss.sa.cr/adolescencia/Adolescenciayjuventud.pdf</w:t>
        </w:r>
      </w:hyperlink>
    </w:p>
    <w:p w14:paraId="7E5EC3C9"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 xml:space="preserve">Jiménez, D.  &amp; Ojeda, L. (2017). Estudiantes universitarios y el estilo de </w:t>
      </w:r>
      <w:r w:rsidRPr="006D523F">
        <w:rPr>
          <w:rFonts w:eastAsia="Calibri"/>
          <w:lang w:val="es-MX" w:eastAsia="en-US"/>
        </w:rPr>
        <w:tab/>
        <w:t xml:space="preserve">vida. </w:t>
      </w:r>
      <w:r w:rsidRPr="006D523F">
        <w:rPr>
          <w:rFonts w:eastAsia="Calibri"/>
          <w:i/>
          <w:lang w:val="es-MX" w:eastAsia="en-US"/>
        </w:rPr>
        <w:t xml:space="preserve">Revista Iberoamericana de producción académica y gestión educativa, </w:t>
      </w:r>
      <w:r w:rsidRPr="006D523F">
        <w:rPr>
          <w:rFonts w:eastAsia="Calibri"/>
          <w:lang w:val="es-MX" w:eastAsia="en-US"/>
        </w:rPr>
        <w:t xml:space="preserve">4(8). </w:t>
      </w:r>
      <w:hyperlink r:id="rId29" w:history="1">
        <w:r w:rsidRPr="006D523F">
          <w:rPr>
            <w:rFonts w:eastAsia="Calibri"/>
            <w:color w:val="0000FF"/>
            <w:u w:val="single"/>
            <w:lang w:val="es-MX" w:eastAsia="en-US"/>
          </w:rPr>
          <w:t>http://www.pag.org.mx/index.php/PAG/article/view/723/1009</w:t>
        </w:r>
      </w:hyperlink>
    </w:p>
    <w:p w14:paraId="1489EB96"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Jiménez, M., Carpena, P., Ceballos, G., Mondéjar, J., Monreal, A. &amp; Lozano, V. (2021). </w:t>
      </w:r>
      <w:r w:rsidRPr="006D523F">
        <w:rPr>
          <w:rFonts w:eastAsia="Calibri"/>
          <w:lang w:val="en-US" w:eastAsia="en-US"/>
        </w:rPr>
        <w:t xml:space="preserve">Relationship between modifiable risk factors and overweight in adolescents aged 12-14 years. </w:t>
      </w:r>
      <w:r w:rsidRPr="006D523F">
        <w:rPr>
          <w:rFonts w:eastAsia="Calibri"/>
          <w:i/>
          <w:lang w:val="es-MX" w:eastAsia="en-US"/>
        </w:rPr>
        <w:t>Anales de pediatria,</w:t>
      </w:r>
      <w:r w:rsidRPr="006D523F">
        <w:rPr>
          <w:rFonts w:eastAsia="Calibri"/>
          <w:lang w:val="es-MX" w:eastAsia="en-US"/>
        </w:rPr>
        <w:t xml:space="preserve"> 95 (3), 159–166. </w:t>
      </w:r>
      <w:hyperlink r:id="rId30" w:history="1">
        <w:r w:rsidRPr="006D523F">
          <w:rPr>
            <w:rFonts w:eastAsia="Calibri"/>
            <w:color w:val="0563C1"/>
            <w:u w:val="single"/>
            <w:lang w:val="es-MX" w:eastAsia="en-US"/>
          </w:rPr>
          <w:t>https://doi.org/10.1016/j.anpede.2020.08.008</w:t>
        </w:r>
      </w:hyperlink>
    </w:p>
    <w:p w14:paraId="0A1F8CD2"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 xml:space="preserve">Kornblit, A. &amp; Mendes, A. (2000). </w:t>
      </w:r>
      <w:r w:rsidRPr="006D523F">
        <w:rPr>
          <w:rFonts w:eastAsia="Calibri"/>
          <w:i/>
          <w:lang w:val="es-MX" w:eastAsia="en-US"/>
        </w:rPr>
        <w:t>La salud y la Enfermedad: Aspectos biológicos y sociales</w:t>
      </w:r>
      <w:r w:rsidRPr="006D523F">
        <w:rPr>
          <w:rFonts w:eastAsia="Calibri"/>
          <w:lang w:val="es-MX" w:eastAsia="en-US"/>
        </w:rPr>
        <w:t>. Argentina: Aique Grupo Editor.</w:t>
      </w:r>
    </w:p>
    <w:p w14:paraId="776A1805"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Martínez, J. M., Amador, B. &amp; Guerra, M. D. (2017). Estrategias de afrontamiento familiar y repercusiones en la salud familiar: Una revisión de la literatura. </w:t>
      </w:r>
      <w:r w:rsidRPr="006D523F">
        <w:rPr>
          <w:rFonts w:eastAsia="Calibri"/>
          <w:i/>
          <w:lang w:val="es-MX" w:eastAsia="en-US"/>
        </w:rPr>
        <w:t>Enfermería Global,</w:t>
      </w:r>
      <w:r w:rsidRPr="006D523F">
        <w:rPr>
          <w:rFonts w:eastAsia="Calibri"/>
          <w:lang w:val="es-MX" w:eastAsia="en-US"/>
        </w:rPr>
        <w:t xml:space="preserve"> 16 (47), 576-604. </w:t>
      </w:r>
      <w:hyperlink r:id="rId31" w:history="1">
        <w:r w:rsidRPr="006D523F">
          <w:rPr>
            <w:rFonts w:eastAsia="Calibri"/>
            <w:color w:val="0563C1"/>
            <w:u w:val="single"/>
            <w:lang w:val="es-MX" w:eastAsia="en-US"/>
          </w:rPr>
          <w:t>https://dx.doi.org/10.6018/eglobal.16.3.255721</w:t>
        </w:r>
      </w:hyperlink>
    </w:p>
    <w:p w14:paraId="3C287FD0"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Moreno, E., Peña, S. &amp; Mesa, I (2022). </w:t>
      </w:r>
      <w:r w:rsidRPr="006D523F">
        <w:rPr>
          <w:rFonts w:eastAsia="Calibri"/>
          <w:lang w:val="en-US" w:eastAsia="en-US"/>
        </w:rPr>
        <w:t xml:space="preserve">Mortality rate and risk factors in adolescent pregnancy systemic review. </w:t>
      </w:r>
      <w:r w:rsidRPr="006D523F">
        <w:rPr>
          <w:rFonts w:eastAsia="Calibri"/>
          <w:i/>
          <w:lang w:val="es-MX" w:eastAsia="en-US"/>
        </w:rPr>
        <w:t>Pro Sciences: Revista De Producción, Ciencias E Investigación</w:t>
      </w:r>
      <w:r w:rsidRPr="006D523F">
        <w:rPr>
          <w:rFonts w:eastAsia="Calibri"/>
          <w:lang w:val="es-MX" w:eastAsia="en-US"/>
        </w:rPr>
        <w:t xml:space="preserve">, 6(42), 291–300. </w:t>
      </w:r>
      <w:hyperlink r:id="rId32" w:history="1">
        <w:r w:rsidRPr="006D523F">
          <w:rPr>
            <w:rFonts w:eastAsia="Calibri"/>
            <w:color w:val="0563C1"/>
            <w:u w:val="single"/>
            <w:lang w:val="es-MX" w:eastAsia="en-US"/>
          </w:rPr>
          <w:t>https://doi.org/10.29018/issn.2588-1000vol6iss42.2022pp291-300</w:t>
        </w:r>
      </w:hyperlink>
    </w:p>
    <w:p w14:paraId="78BC1C1C" w14:textId="77777777" w:rsidR="006D523F" w:rsidRPr="006D523F" w:rsidRDefault="006D523F" w:rsidP="006D523F">
      <w:pPr>
        <w:autoSpaceDE w:val="0"/>
        <w:autoSpaceDN w:val="0"/>
        <w:adjustRightInd w:val="0"/>
        <w:spacing w:line="360" w:lineRule="auto"/>
        <w:ind w:left="766" w:hanging="709"/>
        <w:rPr>
          <w:rFonts w:eastAsia="Calibri"/>
          <w:lang w:val="es-MX" w:eastAsia="en-US"/>
        </w:rPr>
      </w:pPr>
      <w:r w:rsidRPr="006D523F">
        <w:rPr>
          <w:rFonts w:eastAsia="Calibri"/>
          <w:lang w:val="es-MX" w:eastAsia="en-US"/>
        </w:rPr>
        <w:lastRenderedPageBreak/>
        <w:t xml:space="preserve">Organización Mundial de la Salud (1948). Constitución de la Organización Mundial de la Salud [Documento en línea] </w:t>
      </w:r>
      <w:hyperlink r:id="rId33" w:history="1">
        <w:r w:rsidRPr="006D523F">
          <w:rPr>
            <w:rFonts w:eastAsia="Calibri"/>
            <w:color w:val="0000FF"/>
            <w:u w:val="single"/>
            <w:lang w:val="es-MX" w:eastAsia="en-US"/>
          </w:rPr>
          <w:t>http://www.who.int/gb/bd/PDF/bd46/s-bd46_p2.pdf</w:t>
        </w:r>
      </w:hyperlink>
    </w:p>
    <w:p w14:paraId="638F5E4C"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 xml:space="preserve">Papalia, D., Feldman, R. &amp; Martorell, G. (2012). </w:t>
      </w:r>
      <w:r w:rsidRPr="006D523F">
        <w:rPr>
          <w:rFonts w:eastAsia="Calibri"/>
          <w:i/>
          <w:lang w:val="es-MX" w:eastAsia="en-US"/>
        </w:rPr>
        <w:t>Desarrollo Humano.</w:t>
      </w:r>
      <w:r w:rsidRPr="006D523F">
        <w:rPr>
          <w:rFonts w:eastAsia="Calibri"/>
          <w:lang w:val="es-MX" w:eastAsia="en-US"/>
        </w:rPr>
        <w:t xml:space="preserve"> México: Mc Graw Hill.</w:t>
      </w:r>
    </w:p>
    <w:p w14:paraId="0E217AD4" w14:textId="77777777" w:rsidR="006D523F" w:rsidRPr="006D523F" w:rsidRDefault="006D523F" w:rsidP="006D523F">
      <w:pPr>
        <w:autoSpaceDE w:val="0"/>
        <w:autoSpaceDN w:val="0"/>
        <w:adjustRightInd w:val="0"/>
        <w:spacing w:line="360" w:lineRule="auto"/>
        <w:ind w:left="709" w:hanging="709"/>
        <w:rPr>
          <w:rFonts w:eastAsia="Calibri"/>
          <w:color w:val="211D1E"/>
          <w:lang w:val="es-MX" w:eastAsia="en-US"/>
        </w:rPr>
      </w:pPr>
      <w:r w:rsidRPr="006D523F">
        <w:rPr>
          <w:rFonts w:eastAsia="Calibri"/>
          <w:color w:val="211D1E"/>
          <w:lang w:val="es-MX" w:eastAsia="en-US"/>
        </w:rPr>
        <w:t>Páramo, M. (2011). Factores de Riesgo y Factores de protección en la adolescencia: Análisis de Contenido a través de Grupos de Discusión.</w:t>
      </w:r>
      <w:r w:rsidRPr="006D523F">
        <w:rPr>
          <w:rFonts w:eastAsia="Calibri"/>
          <w:i/>
          <w:color w:val="211D1E"/>
          <w:lang w:val="es-MX" w:eastAsia="en-US"/>
        </w:rPr>
        <w:t xml:space="preserve"> Terapia psicológica</w:t>
      </w:r>
      <w:r w:rsidRPr="006D523F">
        <w:rPr>
          <w:rFonts w:eastAsia="Calibri"/>
          <w:color w:val="211D1E"/>
          <w:lang w:val="es-MX" w:eastAsia="en-US"/>
        </w:rPr>
        <w:t xml:space="preserve">, 29 (1), 85-95. </w:t>
      </w:r>
      <w:hyperlink r:id="rId34" w:history="1">
        <w:r w:rsidRPr="006D523F">
          <w:rPr>
            <w:rFonts w:eastAsia="Calibri"/>
            <w:color w:val="0000FF"/>
            <w:u w:val="single"/>
            <w:lang w:val="es-MX" w:eastAsia="en-US"/>
          </w:rPr>
          <w:t>https://www.redalyc.org/articulo.oa?id=78518428010</w:t>
        </w:r>
      </w:hyperlink>
    </w:p>
    <w:p w14:paraId="3571DC1A" w14:textId="77777777" w:rsidR="006D523F" w:rsidRPr="006D523F" w:rsidRDefault="006D523F" w:rsidP="006D523F">
      <w:pPr>
        <w:autoSpaceDE w:val="0"/>
        <w:autoSpaceDN w:val="0"/>
        <w:adjustRightInd w:val="0"/>
        <w:spacing w:line="360" w:lineRule="auto"/>
        <w:ind w:left="709" w:hanging="709"/>
        <w:rPr>
          <w:rFonts w:eastAsia="Calibri"/>
          <w:color w:val="211D1E"/>
          <w:lang w:val="es-MX" w:eastAsia="en-US"/>
        </w:rPr>
      </w:pPr>
      <w:r w:rsidRPr="006D523F">
        <w:rPr>
          <w:rFonts w:eastAsia="Calibri"/>
          <w:color w:val="211D1E"/>
          <w:lang w:val="es-MX" w:eastAsia="en-US"/>
        </w:rPr>
        <w:t xml:space="preserve">Pozo, J. (2006), La nueva cultura del aprendizaje en la sociedad del conocimiento, en J. Pozo, N. Scheuer, M. Pérez, M. Mateos, E. Martin y M. de la Cruz (eds.), </w:t>
      </w:r>
      <w:r w:rsidRPr="006D523F">
        <w:rPr>
          <w:rFonts w:eastAsia="Calibri"/>
          <w:i/>
          <w:iCs/>
          <w:color w:val="211D1E"/>
          <w:lang w:val="es-MX" w:eastAsia="en-US"/>
        </w:rPr>
        <w:t>Nuevas formas de pen</w:t>
      </w:r>
      <w:r w:rsidRPr="006D523F">
        <w:rPr>
          <w:rFonts w:eastAsia="Calibri"/>
          <w:i/>
          <w:iCs/>
          <w:color w:val="211D1E"/>
          <w:lang w:val="es-MX" w:eastAsia="en-US"/>
        </w:rPr>
        <w:softHyphen/>
        <w:t>sar la enseñanza y el aprendizaje</w:t>
      </w:r>
      <w:r w:rsidRPr="006D523F">
        <w:rPr>
          <w:rFonts w:eastAsia="Calibri"/>
          <w:color w:val="211D1E"/>
          <w:lang w:val="es-MX" w:eastAsia="en-US"/>
        </w:rPr>
        <w:t>, Barcelona: Graó, pp. 29-53.</w:t>
      </w:r>
    </w:p>
    <w:p w14:paraId="6C15970D"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color w:val="211D1E"/>
          <w:lang w:val="es-MX" w:eastAsia="en-US"/>
        </w:rPr>
        <w:t xml:space="preserve">Prensa UdeG. (22 de marzo del 2018). </w:t>
      </w:r>
      <w:r w:rsidRPr="006D523F">
        <w:rPr>
          <w:rFonts w:eastAsia="Calibri"/>
          <w:i/>
          <w:color w:val="211D1E"/>
          <w:lang w:val="es-MX" w:eastAsia="en-US"/>
        </w:rPr>
        <w:t>RP: Aumento en hospitales de pacientes traumatizados por consumo de sustancias nocivas</w:t>
      </w:r>
      <w:r w:rsidRPr="006D523F">
        <w:rPr>
          <w:rFonts w:eastAsia="Calibri"/>
          <w:color w:val="211D1E"/>
          <w:lang w:val="es-MX" w:eastAsia="en-US"/>
        </w:rPr>
        <w:t xml:space="preserve"> [Archivo de vídeo]. YouTube. </w:t>
      </w:r>
      <w:hyperlink r:id="rId35" w:history="1">
        <w:r w:rsidRPr="006D523F">
          <w:rPr>
            <w:rFonts w:eastAsia="Calibri"/>
            <w:color w:val="0000FF"/>
            <w:u w:val="single"/>
            <w:lang w:val="es-MX" w:eastAsia="en-US"/>
          </w:rPr>
          <w:t>https://youtu.be/e6excm3x2T8</w:t>
        </w:r>
      </w:hyperlink>
    </w:p>
    <w:p w14:paraId="1350C41D"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snapToGrid w:val="0"/>
          <w:lang w:val="es-MX" w:eastAsia="en-US"/>
        </w:rPr>
        <w:t xml:space="preserve">Rodrigo, M. J. &amp; Palacios, J. (1998). </w:t>
      </w:r>
      <w:r w:rsidRPr="006D523F">
        <w:rPr>
          <w:rFonts w:eastAsia="Calibri"/>
          <w:i/>
          <w:snapToGrid w:val="0"/>
          <w:lang w:val="es-MX" w:eastAsia="en-US"/>
        </w:rPr>
        <w:t>Familia y Desarrollo Humano</w:t>
      </w:r>
      <w:r w:rsidRPr="006D523F">
        <w:rPr>
          <w:rFonts w:eastAsia="Calibri"/>
          <w:snapToGrid w:val="0"/>
          <w:lang w:val="es-MX" w:eastAsia="en-US"/>
        </w:rPr>
        <w:t>. Madrid: Alianza.</w:t>
      </w:r>
    </w:p>
    <w:p w14:paraId="1C803FB7"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 xml:space="preserve">Sanabria, P., González, I. &amp; Urrego, D. (2007). Estilos de vida saludable en profesionales de la salud colombianos. Estudio exploratorio. </w:t>
      </w:r>
      <w:r w:rsidRPr="006D523F">
        <w:rPr>
          <w:rFonts w:eastAsia="Calibri"/>
          <w:i/>
          <w:lang w:val="es-MX" w:eastAsia="en-US"/>
        </w:rPr>
        <w:t>Revista Médica,</w:t>
      </w:r>
      <w:r w:rsidRPr="006D523F">
        <w:rPr>
          <w:rFonts w:eastAsia="Calibri"/>
          <w:lang w:val="es-MX" w:eastAsia="en-US"/>
        </w:rPr>
        <w:t xml:space="preserve"> 15 (2), 207-217. </w:t>
      </w:r>
    </w:p>
    <w:p w14:paraId="7F190547" w14:textId="77777777" w:rsidR="006D523F" w:rsidRPr="006D523F" w:rsidRDefault="006D523F" w:rsidP="006D523F">
      <w:pPr>
        <w:autoSpaceDE w:val="0"/>
        <w:autoSpaceDN w:val="0"/>
        <w:adjustRightInd w:val="0"/>
        <w:spacing w:line="360" w:lineRule="auto"/>
        <w:ind w:left="709" w:hanging="709"/>
        <w:rPr>
          <w:rFonts w:eastAsia="Calibri"/>
          <w:lang w:val="es-MX" w:eastAsia="en-US"/>
        </w:rPr>
      </w:pPr>
      <w:r w:rsidRPr="006D523F">
        <w:rPr>
          <w:rFonts w:eastAsia="Calibri"/>
          <w:lang w:val="es-MX" w:eastAsia="en-US"/>
        </w:rPr>
        <w:t xml:space="preserve">Sánchez, M. &amp; De Luna, E. (2015) Hábitos de vida saludable en la población universitaria. </w:t>
      </w:r>
      <w:r w:rsidRPr="006D523F">
        <w:rPr>
          <w:rFonts w:eastAsia="Calibri"/>
          <w:i/>
          <w:lang w:val="es-MX" w:eastAsia="en-US"/>
        </w:rPr>
        <w:t>Nutrición hospitalaria,</w:t>
      </w:r>
      <w:r w:rsidRPr="006D523F">
        <w:rPr>
          <w:rFonts w:eastAsia="Calibri"/>
          <w:lang w:val="es-MX" w:eastAsia="en-US"/>
        </w:rPr>
        <w:t xml:space="preserve"> 31(5), 1910 - 1919. </w:t>
      </w:r>
      <w:hyperlink r:id="rId36" w:history="1">
        <w:r w:rsidRPr="006D523F">
          <w:rPr>
            <w:rFonts w:eastAsia="Calibri"/>
            <w:color w:val="0000FF"/>
            <w:u w:val="single"/>
            <w:lang w:val="es-MX" w:eastAsia="en-US"/>
          </w:rPr>
          <w:t>http://www.aulamedica.es/nh/pdf/8608.pdf</w:t>
        </w:r>
      </w:hyperlink>
      <w:r w:rsidRPr="006D523F">
        <w:rPr>
          <w:rFonts w:eastAsia="Calibri"/>
          <w:lang w:val="es-MX" w:eastAsia="en-US"/>
        </w:rPr>
        <w:t>.</w:t>
      </w:r>
    </w:p>
    <w:p w14:paraId="7DEC5EAA"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Sánchez, O., Bautista, E. &amp; Muñoz, J. (2022). Cambios en los estilos de vida de los jóvenes universitarios durante la pandemia de COVID 19. </w:t>
      </w:r>
      <w:r w:rsidRPr="006D523F">
        <w:rPr>
          <w:rFonts w:eastAsia="Calibri"/>
          <w:i/>
          <w:lang w:val="es-MX" w:eastAsia="en-US"/>
        </w:rPr>
        <w:t xml:space="preserve">Topofilia, Revista de Arquitectura, Urbanismo y Territorios, </w:t>
      </w:r>
      <w:r w:rsidRPr="006D523F">
        <w:rPr>
          <w:rFonts w:eastAsia="Calibri"/>
          <w:lang w:val="es-MX" w:eastAsia="en-US"/>
        </w:rPr>
        <w:t>(24), 312 – 329.</w:t>
      </w:r>
      <w:hyperlink r:id="rId37" w:history="1">
        <w:r w:rsidRPr="006D523F">
          <w:rPr>
            <w:rFonts w:eastAsia="Calibri"/>
            <w:color w:val="0563C1"/>
            <w:u w:val="single"/>
            <w:lang w:val="es-MX" w:eastAsia="en-US"/>
          </w:rPr>
          <w:t>http://cathi.uacj.mx/handle/20.500.11961/22240</w:t>
        </w:r>
      </w:hyperlink>
    </w:p>
    <w:p w14:paraId="6FF892EC"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Secretaria de Seguridad Pública. (2011). Deserción escolar y conductas de riesgo en adolescentes. México: Secretaría de Seguridad Pública. </w:t>
      </w:r>
      <w:hyperlink r:id="rId38" w:history="1">
        <w:r w:rsidRPr="006D523F">
          <w:rPr>
            <w:rFonts w:eastAsia="Calibri"/>
            <w:color w:val="0000FF"/>
            <w:u w:val="single"/>
            <w:lang w:val="es-MX" w:eastAsia="en-US"/>
          </w:rPr>
          <w:t>https://www.uv.mx/dgdaie/files/2013/09/Embarazo-en-Adolescentes-del-Sureste-de-Mexico-2.pdf</w:t>
        </w:r>
      </w:hyperlink>
      <w:r w:rsidRPr="006D523F">
        <w:rPr>
          <w:rFonts w:eastAsia="Calibri"/>
          <w:lang w:val="es-MX" w:eastAsia="en-US"/>
        </w:rPr>
        <w:t xml:space="preserve">                                                                      </w:t>
      </w:r>
    </w:p>
    <w:p w14:paraId="2E29489E"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t xml:space="preserve">Ulate, D. (2013). Riesgo biopsicosocial y percepción de la función familiar de las personas adolescentes de sexto grado en la Escuela Jesús Jiménez. </w:t>
      </w:r>
      <w:r w:rsidRPr="006D523F">
        <w:rPr>
          <w:rFonts w:eastAsia="Calibri"/>
          <w:i/>
          <w:lang w:val="es-MX" w:eastAsia="en-US"/>
        </w:rPr>
        <w:t>Revista Acta Médica Costarricense,</w:t>
      </w:r>
      <w:r w:rsidRPr="006D523F">
        <w:rPr>
          <w:rFonts w:eastAsia="Calibri"/>
          <w:lang w:val="es-MX" w:eastAsia="en-US"/>
        </w:rPr>
        <w:t xml:space="preserve"> 55 (1), 18-23. </w:t>
      </w:r>
      <w:hyperlink r:id="rId39" w:history="1">
        <w:r w:rsidRPr="006D523F">
          <w:rPr>
            <w:rFonts w:eastAsia="Calibri"/>
            <w:color w:val="0563C1"/>
            <w:u w:val="single"/>
            <w:lang w:val="es-MX" w:eastAsia="en-US"/>
          </w:rPr>
          <w:t>https://www.scielo.sa.cr/scielo.php?pid=S0001-60022013000100004&amp;script=sci_abstract&amp;tlng=es</w:t>
        </w:r>
      </w:hyperlink>
    </w:p>
    <w:p w14:paraId="00D3A9FF" w14:textId="77777777" w:rsidR="006D523F" w:rsidRPr="006D523F" w:rsidRDefault="006D523F" w:rsidP="006D523F">
      <w:pPr>
        <w:spacing w:line="360" w:lineRule="auto"/>
        <w:ind w:left="709" w:hanging="709"/>
        <w:rPr>
          <w:rFonts w:eastAsia="Calibri"/>
          <w:lang w:val="es-MX" w:eastAsia="en-US"/>
        </w:rPr>
      </w:pPr>
      <w:r w:rsidRPr="006D523F">
        <w:rPr>
          <w:bCs/>
          <w:color w:val="000000"/>
          <w:lang w:val="es-MX" w:eastAsia="es-MX"/>
        </w:rPr>
        <w:t xml:space="preserve">Valdemoros, M. Á., Sanz, E. &amp; Ponce de León, A. (2012). Educación informal y ocio juvenil. El influjo de los amigos en el abandono de la práctica físico-deportiva. </w:t>
      </w:r>
      <w:r w:rsidRPr="006D523F">
        <w:rPr>
          <w:bCs/>
          <w:i/>
          <w:color w:val="000000"/>
          <w:lang w:val="es-MX" w:eastAsia="es-MX"/>
        </w:rPr>
        <w:t>Revista Interuniversitaria,</w:t>
      </w:r>
      <w:r w:rsidRPr="006D523F">
        <w:rPr>
          <w:bCs/>
          <w:color w:val="000000"/>
          <w:lang w:val="es-MX" w:eastAsia="es-MX"/>
        </w:rPr>
        <w:t xml:space="preserve"> 20, 203 – 221.</w:t>
      </w:r>
      <w:r w:rsidRPr="006D523F">
        <w:rPr>
          <w:rFonts w:eastAsia="Calibri"/>
          <w:lang w:val="es-MX" w:eastAsia="en-US"/>
        </w:rPr>
        <w:t xml:space="preserve">                                                                          </w:t>
      </w:r>
    </w:p>
    <w:p w14:paraId="532D51E2" w14:textId="77777777" w:rsidR="006D523F" w:rsidRPr="006D523F" w:rsidRDefault="006D523F" w:rsidP="006D523F">
      <w:pPr>
        <w:spacing w:line="360" w:lineRule="auto"/>
        <w:ind w:left="709" w:hanging="709"/>
        <w:rPr>
          <w:rFonts w:eastAsia="Calibri"/>
          <w:lang w:val="es-MX" w:eastAsia="en-US"/>
        </w:rPr>
      </w:pPr>
      <w:r w:rsidRPr="006D523F">
        <w:rPr>
          <w:rFonts w:eastAsia="Calibri"/>
          <w:lang w:val="es-MX" w:eastAsia="en-US"/>
        </w:rPr>
        <w:lastRenderedPageBreak/>
        <w:t xml:space="preserve">Valdés, A. &amp; Urías, M. (2011). Creencias de padres y madres acerca de la participación en la educación de sus hijos. </w:t>
      </w:r>
      <w:r w:rsidRPr="006D523F">
        <w:rPr>
          <w:rFonts w:eastAsia="Calibri"/>
          <w:i/>
          <w:lang w:val="es-MX" w:eastAsia="en-US"/>
        </w:rPr>
        <w:t>Perfiles Educativos, 33</w:t>
      </w:r>
      <w:r w:rsidRPr="006D523F">
        <w:rPr>
          <w:rFonts w:eastAsia="Calibri"/>
          <w:lang w:val="es-MX" w:eastAsia="en-US"/>
        </w:rPr>
        <w:t xml:space="preserve"> (134), 99 – 114.                                         </w:t>
      </w: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6884D2E1" w:rsidR="003D21B8" w:rsidRDefault="003D21B8">
      <w:pPr>
        <w:rPr>
          <w:i/>
          <w:sz w:val="28"/>
          <w:szCs w:val="28"/>
          <w:lang w:val="pt-BR"/>
        </w:rPr>
      </w:pPr>
    </w:p>
    <w:sectPr w:rsidR="003D21B8" w:rsidSect="0059034C">
      <w:headerReference w:type="even" r:id="rId40"/>
      <w:headerReference w:type="default" r:id="rId41"/>
      <w:footerReference w:type="even"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7A5F7" w14:textId="77777777" w:rsidR="00326E58" w:rsidRDefault="00326E58" w:rsidP="00C413D4">
      <w:r>
        <w:separator/>
      </w:r>
    </w:p>
  </w:endnote>
  <w:endnote w:type="continuationSeparator" w:id="0">
    <w:p w14:paraId="7D729417" w14:textId="77777777" w:rsidR="00326E58" w:rsidRDefault="00326E5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D523F">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D523F">
          <w:rPr>
            <w:rStyle w:val="Nmerodepgina"/>
            <w:rFonts w:ascii="Times" w:hAnsi="Times"/>
            <w:noProof/>
            <w:sz w:val="16"/>
            <w:szCs w:val="16"/>
          </w:rPr>
          <w:t>13</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D58E5" w14:textId="77777777" w:rsidR="00326E58" w:rsidRDefault="00326E58" w:rsidP="00C413D4">
      <w:r>
        <w:separator/>
      </w:r>
    </w:p>
  </w:footnote>
  <w:footnote w:type="continuationSeparator" w:id="0">
    <w:p w14:paraId="4D3C15D1" w14:textId="77777777" w:rsidR="00326E58" w:rsidRDefault="00326E58"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7C3C14" w:rsidRDefault="007C3C14" w:rsidP="00C413D4">
    <w:pPr>
      <w:pStyle w:val="Encabezado"/>
      <w:jc w:val="right"/>
      <w:rPr>
        <w:rFonts w:ascii="Times" w:hAnsi="Times"/>
        <w:i/>
        <w:sz w:val="18"/>
        <w:szCs w:val="18"/>
        <w:lang w:val="es-ES"/>
      </w:rPr>
    </w:pPr>
    <w:r>
      <w:rPr>
        <w:noProof/>
        <w:lang w:val="es-MX" w:eastAsia="es-MX"/>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16544"/>
    <w:rsid w:val="000365CA"/>
    <w:rsid w:val="00076F0A"/>
    <w:rsid w:val="000D35CD"/>
    <w:rsid w:val="000E3B16"/>
    <w:rsid w:val="00107993"/>
    <w:rsid w:val="001253E7"/>
    <w:rsid w:val="00127870"/>
    <w:rsid w:val="001516ED"/>
    <w:rsid w:val="00153DC5"/>
    <w:rsid w:val="001566F6"/>
    <w:rsid w:val="001F7509"/>
    <w:rsid w:val="002024C2"/>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26E58"/>
    <w:rsid w:val="003909A7"/>
    <w:rsid w:val="003C4AA4"/>
    <w:rsid w:val="003D21B8"/>
    <w:rsid w:val="003E438F"/>
    <w:rsid w:val="003E4B06"/>
    <w:rsid w:val="0042142D"/>
    <w:rsid w:val="00430C97"/>
    <w:rsid w:val="00447E89"/>
    <w:rsid w:val="00475FC0"/>
    <w:rsid w:val="00483D6B"/>
    <w:rsid w:val="0048651A"/>
    <w:rsid w:val="004A52DF"/>
    <w:rsid w:val="004C0823"/>
    <w:rsid w:val="004D5719"/>
    <w:rsid w:val="00510E52"/>
    <w:rsid w:val="00542090"/>
    <w:rsid w:val="00576894"/>
    <w:rsid w:val="0059034C"/>
    <w:rsid w:val="00594317"/>
    <w:rsid w:val="005B24FF"/>
    <w:rsid w:val="005B5614"/>
    <w:rsid w:val="0061199D"/>
    <w:rsid w:val="0066144A"/>
    <w:rsid w:val="006937D3"/>
    <w:rsid w:val="006A1BA2"/>
    <w:rsid w:val="006A4C58"/>
    <w:rsid w:val="006B0812"/>
    <w:rsid w:val="006B088F"/>
    <w:rsid w:val="006B294A"/>
    <w:rsid w:val="006C21BC"/>
    <w:rsid w:val="006D523F"/>
    <w:rsid w:val="006F6924"/>
    <w:rsid w:val="006F7E7E"/>
    <w:rsid w:val="00700F77"/>
    <w:rsid w:val="00704ECD"/>
    <w:rsid w:val="00724F5C"/>
    <w:rsid w:val="00730C7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457D0"/>
    <w:rsid w:val="00A516C7"/>
    <w:rsid w:val="00A615E6"/>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448A6"/>
    <w:rsid w:val="00C64ECF"/>
    <w:rsid w:val="00C84812"/>
    <w:rsid w:val="00CA3BFF"/>
    <w:rsid w:val="00CA3C9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cielo.sld.cu/scielo.php?script=sci_arttext&amp;pid=S1560-43812017000300020" TargetMode="External"/><Relationship Id="rId26" Type="http://schemas.openxmlformats.org/officeDocument/2006/relationships/hyperlink" Target="https://www.ncbi.nlm.nih.gov/pmc/articles/PMC3931580/" TargetMode="External"/><Relationship Id="rId39" Type="http://schemas.openxmlformats.org/officeDocument/2006/relationships/hyperlink" Target="https://www.scielo.sa.cr/scielo.php?pid=S0001-60022013000100004&amp;script=sci_abstract&amp;tlng=es" TargetMode="External"/><Relationship Id="rId21" Type="http://schemas.openxmlformats.org/officeDocument/2006/relationships/hyperlink" Target="https://doi.org/10.6018/eglobal.13.1.184861" TargetMode="External"/><Relationship Id="rId34" Type="http://schemas.openxmlformats.org/officeDocument/2006/relationships/hyperlink" Target="https://www.redalyc.org/articulo.oa?id=7851842801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lsevier.es/es-revista-enfermeria-clinica-35-articulo-correlations-between-adolescents-perceptions-family-S1130862119301469" TargetMode="External"/><Relationship Id="rId29" Type="http://schemas.openxmlformats.org/officeDocument/2006/relationships/hyperlink" Target="http://www.pag.org.mx/index.php/PAG/article/view/723/1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cielo.sld.cu/scielo.php?script=sci_arttext&amp;pid=S1561-31942018000300002" TargetMode="External"/><Relationship Id="rId32" Type="http://schemas.openxmlformats.org/officeDocument/2006/relationships/hyperlink" Target="https://doi.org/10.29018/issn.2588-1000vol6iss42.2022pp291-300" TargetMode="External"/><Relationship Id="rId37" Type="http://schemas.openxmlformats.org/officeDocument/2006/relationships/hyperlink" Target="http://cathi.uacj.mx/handle/20.500.11961/22240"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www.faremcrazo.unan.edu.ni/e-ISSN2313-7215" TargetMode="External"/><Relationship Id="rId28" Type="http://schemas.openxmlformats.org/officeDocument/2006/relationships/hyperlink" Target="https://www.binasss.sa.cr/adolescencia/Adolescenciayjuventud.pdf" TargetMode="External"/><Relationship Id="rId36" Type="http://schemas.openxmlformats.org/officeDocument/2006/relationships/hyperlink" Target="http://www.aulamedica.es/nh/pdf/8608.pdf" TargetMode="External"/><Relationship Id="rId10" Type="http://schemas.openxmlformats.org/officeDocument/2006/relationships/image" Target="media/image2.svg"/><Relationship Id="rId19" Type="http://schemas.openxmlformats.org/officeDocument/2006/relationships/hyperlink" Target="https://doi.org/10.17151/hpsal.2019.24.2.11" TargetMode="External"/><Relationship Id="rId31" Type="http://schemas.openxmlformats.org/officeDocument/2006/relationships/hyperlink" Target="https://dx.doi.org/10.6018/eglobal.16.3.2557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scielo.sld.cu/scielo.php?script=sci_arttext&amp;pid=S102899332019000400481&amp;lng=es&amp;tlng=es" TargetMode="External"/><Relationship Id="rId27" Type="http://schemas.openxmlformats.org/officeDocument/2006/relationships/hyperlink" Target="https://respyn.uanl.mx/index.php/respyn/article/view/11" TargetMode="External"/><Relationship Id="rId30" Type="http://schemas.openxmlformats.org/officeDocument/2006/relationships/hyperlink" Target="https://doi.org/10.1016/j.anpede.2020.08.008" TargetMode="External"/><Relationship Id="rId35" Type="http://schemas.openxmlformats.org/officeDocument/2006/relationships/hyperlink" Target="https://youtu.be/e6excm3x2T8" TargetMode="External"/><Relationship Id="rId43" Type="http://schemas.openxmlformats.org/officeDocument/2006/relationships/footer" Target="footer2.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1186/s12889-022-13690-z" TargetMode="External"/><Relationship Id="rId25" Type="http://schemas.openxmlformats.org/officeDocument/2006/relationships/hyperlink" Target="https://www.redalyc.org/articulo.oa?id=309126826012" TargetMode="External"/><Relationship Id="rId33" Type="http://schemas.openxmlformats.org/officeDocument/2006/relationships/hyperlink" Target="http://www.who.int/gb/bd/PDF/bd46/s-bd46_p2.pdf" TargetMode="External"/><Relationship Id="rId38" Type="http://schemas.openxmlformats.org/officeDocument/2006/relationships/hyperlink" Target="https://www.uv.mx/dgdaie/files/2013/09/Embarazo-en-Adolescentes-del-Sureste-de-Mexico-2.pdf" TargetMode="External"/><Relationship Id="rId20" Type="http://schemas.openxmlformats.org/officeDocument/2006/relationships/hyperlink" Target="https://revistas.uned.es/index.php/RPPC/article/view/21423"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spPr>
            <a:solidFill>
              <a:srgbClr val="30DAEC"/>
            </a:solidFill>
          </c:spPr>
          <c:invertIfNegative val="0"/>
          <c:dLbls>
            <c:dLbl>
              <c:idx val="0"/>
              <c:layout>
                <c:manualLayout>
                  <c:x val="5.1301782736950111E-3"/>
                  <c:y val="-2.20264317180616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DF8-4BAF-9B3C-AFD7FD138D70}"/>
                </c:ext>
                <c:ext xmlns:c15="http://schemas.microsoft.com/office/drawing/2012/chart" uri="{CE6537A1-D6FC-4f65-9D91-7224C49458BB}"/>
              </c:extLst>
            </c:dLbl>
            <c:dLbl>
              <c:idx val="1"/>
              <c:layout>
                <c:manualLayout>
                  <c:x val="1.2776470776518788E-2"/>
                  <c:y val="-5.08780714546481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DF8-4BAF-9B3C-AFD7FD138D70}"/>
                </c:ext>
                <c:ext xmlns:c15="http://schemas.microsoft.com/office/drawing/2012/chart" uri="{CE6537A1-D6FC-4f65-9D91-7224C49458BB}"/>
              </c:extLst>
            </c:dLbl>
            <c:dLbl>
              <c:idx val="2"/>
              <c:layout>
                <c:manualLayout>
                  <c:x val="1.5603994622623485E-2"/>
                  <c:y val="-3.66916765249796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D8E-482A-87D6-83A36F7EA1AB}"/>
                </c:ext>
                <c:ext xmlns:c15="http://schemas.microsoft.com/office/drawing/2012/chart" uri="{CE6537A1-D6FC-4f65-9D91-7224C49458BB}"/>
              </c:extLst>
            </c:dLbl>
            <c:spPr>
              <a:noFill/>
              <a:ln>
                <a:noFill/>
              </a:ln>
              <a:effectLst/>
            </c:spPr>
            <c:txPr>
              <a:bodyPr/>
              <a:lstStyle/>
              <a:p>
                <a:pPr>
                  <a:defRPr sz="1400" b="1"/>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Hoja1!$B$62:$B$64</c:f>
              <c:strCache>
                <c:ptCount val="3"/>
                <c:pt idx="0">
                  <c:v>Bajo</c:v>
                </c:pt>
                <c:pt idx="1">
                  <c:v>Medio</c:v>
                </c:pt>
                <c:pt idx="2">
                  <c:v>Alto</c:v>
                </c:pt>
              </c:strCache>
            </c:strRef>
          </c:cat>
          <c:val>
            <c:numRef>
              <c:f>Hoja1!$C$62:$C$64</c:f>
              <c:numCache>
                <c:formatCode>General</c:formatCode>
                <c:ptCount val="3"/>
                <c:pt idx="0">
                  <c:v>2.2999999999999998</c:v>
                </c:pt>
                <c:pt idx="1">
                  <c:v>61.9</c:v>
                </c:pt>
                <c:pt idx="2">
                  <c:v>35.700000000000003</c:v>
                </c:pt>
              </c:numCache>
            </c:numRef>
          </c:val>
          <c:extLst xmlns:c16r2="http://schemas.microsoft.com/office/drawing/2015/06/chart">
            <c:ext xmlns:c16="http://schemas.microsoft.com/office/drawing/2014/chart" uri="{C3380CC4-5D6E-409C-BE32-E72D297353CC}">
              <c16:uniqueId val="{00000001-6D8E-482A-87D6-83A36F7EA1AB}"/>
            </c:ext>
          </c:extLst>
        </c:ser>
        <c:dLbls>
          <c:showLegendKey val="0"/>
          <c:showVal val="0"/>
          <c:showCatName val="0"/>
          <c:showSerName val="0"/>
          <c:showPercent val="0"/>
          <c:showBubbleSize val="0"/>
        </c:dLbls>
        <c:gapWidth val="150"/>
        <c:shape val="cylinder"/>
        <c:axId val="1153214224"/>
        <c:axId val="1153216944"/>
        <c:axId val="0"/>
      </c:bar3DChart>
      <c:catAx>
        <c:axId val="1153214224"/>
        <c:scaling>
          <c:orientation val="minMax"/>
        </c:scaling>
        <c:delete val="0"/>
        <c:axPos val="b"/>
        <c:numFmt formatCode="General" sourceLinked="0"/>
        <c:majorTickMark val="none"/>
        <c:minorTickMark val="none"/>
        <c:tickLblPos val="nextTo"/>
        <c:crossAx val="1153216944"/>
        <c:crosses val="autoZero"/>
        <c:auto val="1"/>
        <c:lblAlgn val="ctr"/>
        <c:lblOffset val="100"/>
        <c:noMultiLvlLbl val="0"/>
      </c:catAx>
      <c:valAx>
        <c:axId val="1153216944"/>
        <c:scaling>
          <c:orientation val="minMax"/>
          <c:max val="80"/>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1153214224"/>
        <c:crosses val="autoZero"/>
        <c:crossBetween val="between"/>
        <c:majorUnit val="20"/>
        <c:minorUnit val="10"/>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92D050"/>
            </a:solidFill>
          </c:spPr>
          <c:invertIfNegative val="0"/>
          <c:dLbls>
            <c:dLbl>
              <c:idx val="0"/>
              <c:layout>
                <c:manualLayout>
                  <c:x val="5.72973989913402E-3"/>
                  <c:y val="-3.05346238247690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60-4178-97F7-D18F7E52C91B}"/>
                </c:ext>
                <c:ext xmlns:c15="http://schemas.microsoft.com/office/drawing/2012/chart" uri="{CE6537A1-D6FC-4f65-9D91-7224C49458BB}"/>
              </c:extLst>
            </c:dLbl>
            <c:dLbl>
              <c:idx val="3"/>
              <c:layout>
                <c:manualLayout>
                  <c:x val="5.72973989913402E-3"/>
                  <c:y val="-4.36208911782414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60-4178-97F7-D18F7E52C91B}"/>
                </c:ext>
                <c:ext xmlns:c15="http://schemas.microsoft.com/office/drawing/2012/chart" uri="{CE6537A1-D6FC-4f65-9D91-7224C49458BB}"/>
              </c:extLst>
            </c:dLbl>
            <c:spPr>
              <a:noFill/>
              <a:ln>
                <a:noFill/>
              </a:ln>
              <a:effectLst/>
            </c:spPr>
            <c:txPr>
              <a:bodyPr/>
              <a:lstStyle/>
              <a:p>
                <a:pPr>
                  <a:defRPr sz="1400" b="1"/>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Hoja1!$B$43:$B$46</c:f>
              <c:strCache>
                <c:ptCount val="4"/>
                <c:pt idx="0">
                  <c:v>Visitas al dentista</c:v>
                </c:pt>
                <c:pt idx="1">
                  <c:v>Desayunar, comer y cenar</c:v>
                </c:pt>
                <c:pt idx="2">
                  <c:v>Descanso de 8 hrs.</c:v>
                </c:pt>
                <c:pt idx="3">
                  <c:v>Actividades deportivas</c:v>
                </c:pt>
              </c:strCache>
            </c:strRef>
          </c:cat>
          <c:val>
            <c:numRef>
              <c:f>Hoja1!$C$43:$C$46</c:f>
              <c:numCache>
                <c:formatCode>General</c:formatCode>
                <c:ptCount val="4"/>
                <c:pt idx="0">
                  <c:v>39</c:v>
                </c:pt>
                <c:pt idx="1">
                  <c:v>69</c:v>
                </c:pt>
                <c:pt idx="2">
                  <c:v>33</c:v>
                </c:pt>
                <c:pt idx="3">
                  <c:v>39</c:v>
                </c:pt>
              </c:numCache>
            </c:numRef>
          </c:val>
          <c:extLst xmlns:c16r2="http://schemas.microsoft.com/office/drawing/2015/06/chart">
            <c:ext xmlns:c16="http://schemas.microsoft.com/office/drawing/2014/chart" uri="{C3380CC4-5D6E-409C-BE32-E72D297353CC}">
              <c16:uniqueId val="{00000002-0160-4178-97F7-D18F7E52C91B}"/>
            </c:ext>
          </c:extLst>
        </c:ser>
        <c:dLbls>
          <c:showLegendKey val="0"/>
          <c:showVal val="0"/>
          <c:showCatName val="0"/>
          <c:showSerName val="0"/>
          <c:showPercent val="0"/>
          <c:showBubbleSize val="0"/>
        </c:dLbls>
        <c:gapWidth val="150"/>
        <c:shape val="cylinder"/>
        <c:axId val="1276344448"/>
        <c:axId val="1276342272"/>
        <c:axId val="0"/>
      </c:bar3DChart>
      <c:catAx>
        <c:axId val="1276344448"/>
        <c:scaling>
          <c:orientation val="minMax"/>
        </c:scaling>
        <c:delete val="0"/>
        <c:axPos val="b"/>
        <c:numFmt formatCode="General" sourceLinked="0"/>
        <c:majorTickMark val="none"/>
        <c:minorTickMark val="none"/>
        <c:tickLblPos val="nextTo"/>
        <c:txPr>
          <a:bodyPr/>
          <a:lstStyle/>
          <a:p>
            <a:pPr>
              <a:defRPr sz="1050"/>
            </a:pPr>
            <a:endParaRPr lang="es-MX"/>
          </a:p>
        </c:txPr>
        <c:crossAx val="1276342272"/>
        <c:crosses val="autoZero"/>
        <c:auto val="1"/>
        <c:lblAlgn val="ctr"/>
        <c:lblOffset val="100"/>
        <c:noMultiLvlLbl val="0"/>
      </c:catAx>
      <c:valAx>
        <c:axId val="1276342272"/>
        <c:scaling>
          <c:orientation val="minMax"/>
          <c:max val="80"/>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1276344448"/>
        <c:crosses val="autoZero"/>
        <c:crossBetween val="between"/>
        <c:majorUnit val="20"/>
        <c:minorUnit val="20"/>
      </c:valAx>
    </c:plotArea>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753C8"/>
            </a:solidFill>
          </c:spPr>
          <c:invertIfNegative val="0"/>
          <c:dLbls>
            <c:dLbl>
              <c:idx val="2"/>
              <c:layout>
                <c:manualLayout>
                  <c:x val="2.8275430298615261E-3"/>
                  <c:y val="-3.0306181063239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D8E-482A-87D6-83A36F7EA1AB}"/>
                </c:ext>
                <c:ext xmlns:c15="http://schemas.microsoft.com/office/drawing/2012/chart" uri="{CE6537A1-D6FC-4f65-9D91-7224C49458BB}"/>
              </c:extLst>
            </c:dLbl>
            <c:spPr>
              <a:noFill/>
              <a:ln>
                <a:noFill/>
              </a:ln>
              <a:effectLst/>
            </c:spPr>
            <c:txPr>
              <a:bodyPr/>
              <a:lstStyle/>
              <a:p>
                <a:pPr>
                  <a:defRPr sz="1400" b="1"/>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Hoja1!$B$62:$B$64</c:f>
              <c:strCache>
                <c:ptCount val="3"/>
                <c:pt idx="0">
                  <c:v>Automedicación</c:v>
                </c:pt>
                <c:pt idx="1">
                  <c:v>Fumar</c:v>
                </c:pt>
                <c:pt idx="2">
                  <c:v>Ingerir bebidas alcoholicas</c:v>
                </c:pt>
              </c:strCache>
            </c:strRef>
          </c:cat>
          <c:val>
            <c:numRef>
              <c:f>Hoja1!$C$62:$C$64</c:f>
              <c:numCache>
                <c:formatCode>General</c:formatCode>
                <c:ptCount val="3"/>
                <c:pt idx="0">
                  <c:v>64</c:v>
                </c:pt>
                <c:pt idx="1">
                  <c:v>27</c:v>
                </c:pt>
                <c:pt idx="2">
                  <c:v>21</c:v>
                </c:pt>
              </c:numCache>
            </c:numRef>
          </c:val>
          <c:extLst xmlns:c16r2="http://schemas.microsoft.com/office/drawing/2015/06/chart">
            <c:ext xmlns:c16="http://schemas.microsoft.com/office/drawing/2014/chart" uri="{C3380CC4-5D6E-409C-BE32-E72D297353CC}">
              <c16:uniqueId val="{00000001-6D8E-482A-87D6-83A36F7EA1AB}"/>
            </c:ext>
          </c:extLst>
        </c:ser>
        <c:dLbls>
          <c:showLegendKey val="0"/>
          <c:showVal val="0"/>
          <c:showCatName val="0"/>
          <c:showSerName val="0"/>
          <c:showPercent val="0"/>
          <c:showBubbleSize val="0"/>
        </c:dLbls>
        <c:gapWidth val="150"/>
        <c:shape val="cylinder"/>
        <c:axId val="1276346624"/>
        <c:axId val="1276347168"/>
        <c:axId val="0"/>
      </c:bar3DChart>
      <c:catAx>
        <c:axId val="1276346624"/>
        <c:scaling>
          <c:orientation val="minMax"/>
        </c:scaling>
        <c:delete val="0"/>
        <c:axPos val="b"/>
        <c:numFmt formatCode="General" sourceLinked="0"/>
        <c:majorTickMark val="none"/>
        <c:minorTickMark val="none"/>
        <c:tickLblPos val="nextTo"/>
        <c:crossAx val="1276347168"/>
        <c:crosses val="autoZero"/>
        <c:auto val="1"/>
        <c:lblAlgn val="ctr"/>
        <c:lblOffset val="100"/>
        <c:noMultiLvlLbl val="0"/>
      </c:catAx>
      <c:valAx>
        <c:axId val="1276347168"/>
        <c:scaling>
          <c:orientation val="minMax"/>
          <c:max val="80"/>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1276346624"/>
        <c:crosses val="autoZero"/>
        <c:crossBetween val="between"/>
        <c:majorUnit val="20"/>
        <c:minorUnit val="20"/>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8671924832925296"/>
          <c:y val="0.15911476974469102"/>
          <c:w val="0.79580911164730372"/>
          <c:h val="0.4135045989248976"/>
        </c:manualLayout>
      </c:layout>
      <c:bar3DChart>
        <c:barDir val="col"/>
        <c:grouping val="clustered"/>
        <c:varyColors val="0"/>
        <c:ser>
          <c:idx val="0"/>
          <c:order val="0"/>
          <c:spPr>
            <a:solidFill>
              <a:srgbClr val="7030A0"/>
            </a:solidFill>
          </c:spPr>
          <c:invertIfNegative val="0"/>
          <c:dLbls>
            <c:spPr>
              <a:noFill/>
              <a:ln>
                <a:noFill/>
              </a:ln>
              <a:effectLst/>
            </c:spPr>
            <c:txPr>
              <a:bodyPr/>
              <a:lstStyle/>
              <a:p>
                <a:pPr>
                  <a:defRPr sz="1400" b="1"/>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Hoja1!$B$5:$B$10</c:f>
              <c:strCache>
                <c:ptCount val="6"/>
                <c:pt idx="0">
                  <c:v>Chequeo médico general</c:v>
                </c:pt>
                <c:pt idx="1">
                  <c:v>Ir al médico si enferman</c:v>
                </c:pt>
                <c:pt idx="2">
                  <c:v>Alimentación balanceada</c:v>
                </c:pt>
                <c:pt idx="3">
                  <c:v>Horarios de alimentación</c:v>
                </c:pt>
                <c:pt idx="4">
                  <c:v>Actividades físicas</c:v>
                </c:pt>
                <c:pt idx="5">
                  <c:v>Uso de lentes si se necesitan</c:v>
                </c:pt>
              </c:strCache>
            </c:strRef>
          </c:cat>
          <c:val>
            <c:numRef>
              <c:f>Hoja1!$C$5:$C$10</c:f>
              <c:numCache>
                <c:formatCode>General</c:formatCode>
                <c:ptCount val="6"/>
                <c:pt idx="0">
                  <c:v>24</c:v>
                </c:pt>
                <c:pt idx="1">
                  <c:v>78</c:v>
                </c:pt>
                <c:pt idx="2">
                  <c:v>82</c:v>
                </c:pt>
                <c:pt idx="3">
                  <c:v>55</c:v>
                </c:pt>
                <c:pt idx="4">
                  <c:v>27</c:v>
                </c:pt>
                <c:pt idx="5">
                  <c:v>86</c:v>
                </c:pt>
              </c:numCache>
            </c:numRef>
          </c:val>
          <c:extLst xmlns:c16r2="http://schemas.microsoft.com/office/drawing/2015/06/chart">
            <c:ext xmlns:c16="http://schemas.microsoft.com/office/drawing/2014/chart" uri="{C3380CC4-5D6E-409C-BE32-E72D297353CC}">
              <c16:uniqueId val="{00000000-320E-4EEC-B35C-0AEA1F58CFA3}"/>
            </c:ext>
          </c:extLst>
        </c:ser>
        <c:dLbls>
          <c:showLegendKey val="0"/>
          <c:showVal val="0"/>
          <c:showCatName val="0"/>
          <c:showSerName val="0"/>
          <c:showPercent val="0"/>
          <c:showBubbleSize val="0"/>
        </c:dLbls>
        <c:gapWidth val="150"/>
        <c:shape val="cylinder"/>
        <c:axId val="1209347456"/>
        <c:axId val="1209349632"/>
        <c:axId val="0"/>
      </c:bar3DChart>
      <c:catAx>
        <c:axId val="1209347456"/>
        <c:scaling>
          <c:orientation val="minMax"/>
        </c:scaling>
        <c:delete val="0"/>
        <c:axPos val="b"/>
        <c:numFmt formatCode="General" sourceLinked="0"/>
        <c:majorTickMark val="none"/>
        <c:minorTickMark val="none"/>
        <c:tickLblPos val="nextTo"/>
        <c:txPr>
          <a:bodyPr/>
          <a:lstStyle/>
          <a:p>
            <a:pPr>
              <a:defRPr sz="1000"/>
            </a:pPr>
            <a:endParaRPr lang="es-MX"/>
          </a:p>
        </c:txPr>
        <c:crossAx val="1209349632"/>
        <c:crosses val="autoZero"/>
        <c:auto val="1"/>
        <c:lblAlgn val="ctr"/>
        <c:lblOffset val="100"/>
        <c:noMultiLvlLbl val="0"/>
      </c:catAx>
      <c:valAx>
        <c:axId val="1209349632"/>
        <c:scaling>
          <c:orientation val="minMax"/>
          <c:max val="100"/>
        </c:scaling>
        <c:delete val="0"/>
        <c:axPos val="l"/>
        <c:majorGridlines/>
        <c:title>
          <c:tx>
            <c:rich>
              <a:bodyPr/>
              <a:lstStyle/>
              <a:p>
                <a:pPr>
                  <a:defRPr/>
                </a:pPr>
                <a:r>
                  <a:rPr lang="en-US"/>
                  <a:t>Porcentanje</a:t>
                </a:r>
              </a:p>
            </c:rich>
          </c:tx>
          <c:overlay val="0"/>
        </c:title>
        <c:numFmt formatCode="General" sourceLinked="1"/>
        <c:majorTickMark val="out"/>
        <c:minorTickMark val="none"/>
        <c:tickLblPos val="nextTo"/>
        <c:crossAx val="1209347456"/>
        <c:crosses val="autoZero"/>
        <c:crossBetween val="between"/>
        <c:majorUnit val="20"/>
        <c:minorUnit val="20"/>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backWall>
    <c:plotArea>
      <c:layout/>
      <c:bar3DChart>
        <c:barDir val="col"/>
        <c:grouping val="clustered"/>
        <c:varyColors val="0"/>
        <c:ser>
          <c:idx val="0"/>
          <c:order val="0"/>
          <c:spPr>
            <a:solidFill>
              <a:srgbClr val="FF0000"/>
            </a:solidFill>
          </c:spPr>
          <c:invertIfNegative val="0"/>
          <c:dLbls>
            <c:spPr>
              <a:noFill/>
              <a:ln>
                <a:noFill/>
              </a:ln>
              <a:effectLst/>
            </c:spPr>
            <c:txPr>
              <a:bodyPr/>
              <a:lstStyle/>
              <a:p>
                <a:pPr>
                  <a:defRPr sz="1400" b="1"/>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Hoja1!$B$23:$B$25</c:f>
              <c:strCache>
                <c:ptCount val="3"/>
                <c:pt idx="0">
                  <c:v>Fumar</c:v>
                </c:pt>
                <c:pt idx="1">
                  <c:v>Ingerir bebidas alcoholicas</c:v>
                </c:pt>
                <c:pt idx="2">
                  <c:v>Consumo de drogas</c:v>
                </c:pt>
              </c:strCache>
            </c:strRef>
          </c:cat>
          <c:val>
            <c:numRef>
              <c:f>Hoja1!$C$23:$C$25</c:f>
              <c:numCache>
                <c:formatCode>General</c:formatCode>
                <c:ptCount val="3"/>
                <c:pt idx="0">
                  <c:v>31</c:v>
                </c:pt>
                <c:pt idx="1">
                  <c:v>12</c:v>
                </c:pt>
                <c:pt idx="2">
                  <c:v>9</c:v>
                </c:pt>
              </c:numCache>
            </c:numRef>
          </c:val>
          <c:extLst xmlns:c16r2="http://schemas.microsoft.com/office/drawing/2015/06/chart">
            <c:ext xmlns:c16="http://schemas.microsoft.com/office/drawing/2014/chart" uri="{C3380CC4-5D6E-409C-BE32-E72D297353CC}">
              <c16:uniqueId val="{00000000-6941-4A47-B7F0-BFCCB75EAA89}"/>
            </c:ext>
          </c:extLst>
        </c:ser>
        <c:dLbls>
          <c:showLegendKey val="0"/>
          <c:showVal val="0"/>
          <c:showCatName val="0"/>
          <c:showSerName val="0"/>
          <c:showPercent val="0"/>
          <c:showBubbleSize val="0"/>
        </c:dLbls>
        <c:gapWidth val="150"/>
        <c:shape val="cylinder"/>
        <c:axId val="1209351808"/>
        <c:axId val="1209352896"/>
        <c:axId val="0"/>
      </c:bar3DChart>
      <c:catAx>
        <c:axId val="1209351808"/>
        <c:scaling>
          <c:orientation val="minMax"/>
        </c:scaling>
        <c:delete val="0"/>
        <c:axPos val="b"/>
        <c:numFmt formatCode="General" sourceLinked="0"/>
        <c:majorTickMark val="none"/>
        <c:minorTickMark val="none"/>
        <c:tickLblPos val="nextTo"/>
        <c:crossAx val="1209352896"/>
        <c:crosses val="autoZero"/>
        <c:auto val="1"/>
        <c:lblAlgn val="ctr"/>
        <c:lblOffset val="100"/>
        <c:noMultiLvlLbl val="0"/>
      </c:catAx>
      <c:valAx>
        <c:axId val="1209352896"/>
        <c:scaling>
          <c:orientation val="minMax"/>
          <c:max val="50"/>
          <c:min val="0"/>
        </c:scaling>
        <c:delete val="0"/>
        <c:axPos val="l"/>
        <c:majorGridlines/>
        <c:title>
          <c:tx>
            <c:rich>
              <a:bodyPr/>
              <a:lstStyle/>
              <a:p>
                <a:pPr>
                  <a:defRPr/>
                </a:pPr>
                <a:r>
                  <a:rPr lang="en-US"/>
                  <a:t>Porcentaje</a:t>
                </a:r>
              </a:p>
            </c:rich>
          </c:tx>
          <c:overlay val="0"/>
        </c:title>
        <c:numFmt formatCode="General" sourceLinked="1"/>
        <c:majorTickMark val="out"/>
        <c:minorTickMark val="none"/>
        <c:tickLblPos val="nextTo"/>
        <c:crossAx val="1209351808"/>
        <c:crosses val="autoZero"/>
        <c:crossBetween val="between"/>
        <c:majorUnit val="20"/>
        <c:minorUnit val="20"/>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AB0B-E7B5-4F6C-864E-291889CF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5620</Words>
  <Characters>30912</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Uriel Go</cp:lastModifiedBy>
  <cp:revision>2</cp:revision>
  <cp:lastPrinted>2020-04-16T16:22:00Z</cp:lastPrinted>
  <dcterms:created xsi:type="dcterms:W3CDTF">2023-10-31T05:38:00Z</dcterms:created>
  <dcterms:modified xsi:type="dcterms:W3CDTF">2023-10-31T05:38:00Z</dcterms:modified>
</cp:coreProperties>
</file>