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6A48DF34" w:rsidR="00C413D4" w:rsidRPr="00574766" w:rsidRDefault="00210875" w:rsidP="00C43D8B">
      <w:pPr>
        <w:jc w:val="center"/>
        <w:rPr>
          <w:b/>
          <w:lang w:val="en-US"/>
        </w:rPr>
      </w:pPr>
      <w:r w:rsidRPr="00574766">
        <w:rPr>
          <w:b/>
          <w:noProof/>
          <w:sz w:val="36"/>
          <w:szCs w:val="36"/>
          <w:lang w:val="en-US"/>
        </w:rPr>
        <w:t>Knowledge and social representations of suicide, from the perspective of the communities of Montes de Oca and Heredia, Costa Rica.</w:t>
      </w:r>
      <w:r w:rsidR="00EE5B24" w:rsidRPr="00574766">
        <w:rPr>
          <w:b/>
          <w:noProof/>
          <w:sz w:val="36"/>
          <w:szCs w:val="36"/>
          <w:lang w:val="en-US"/>
        </w:rPr>
        <w:t xml:space="preserve"> </w:t>
      </w:r>
    </w:p>
    <w:p w14:paraId="6C942DCA" w14:textId="77777777" w:rsidR="00B845A1" w:rsidRPr="00574766" w:rsidRDefault="00B845A1" w:rsidP="00C413D4">
      <w:pPr>
        <w:rPr>
          <w:i/>
          <w:sz w:val="28"/>
          <w:szCs w:val="28"/>
          <w:lang w:val="en-US"/>
        </w:rPr>
      </w:pPr>
    </w:p>
    <w:p w14:paraId="0BAD9FA3" w14:textId="098C1666" w:rsidR="00C413D4" w:rsidRPr="00574766" w:rsidRDefault="00C413D4" w:rsidP="00C413D4">
      <w:pPr>
        <w:rPr>
          <w:rFonts w:ascii="Times" w:hAnsi="Times"/>
          <w:i/>
          <w:sz w:val="28"/>
          <w:szCs w:val="28"/>
          <w:lang w:val="en-US"/>
        </w:rPr>
      </w:pPr>
      <w:r w:rsidRPr="00584FFB">
        <w:rPr>
          <w:noProof/>
          <w:lang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AAF407"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1B312314" w14:textId="77777777" w:rsidR="00C413D4" w:rsidRPr="00574766" w:rsidRDefault="00C413D4" w:rsidP="00C413D4">
      <w:pPr>
        <w:rPr>
          <w:b/>
          <w:sz w:val="20"/>
          <w:szCs w:val="20"/>
          <w:lang w:val="en-US"/>
        </w:rPr>
      </w:pPr>
    </w:p>
    <w:p w14:paraId="61F0B918" w14:textId="7AB7DCB9" w:rsidR="00C43335" w:rsidRPr="008C0767" w:rsidRDefault="00C413D4" w:rsidP="00C43335">
      <w:pPr>
        <w:pStyle w:val="TtuloResumen"/>
        <w:rPr>
          <w:lang w:val="en-US"/>
        </w:rPr>
      </w:pPr>
      <w:r w:rsidRPr="008C0767">
        <w:rPr>
          <w:lang w:val="en-US"/>
        </w:rPr>
        <w:t>Abstract</w:t>
      </w:r>
    </w:p>
    <w:p w14:paraId="560CE38A" w14:textId="77777777" w:rsidR="001903AE" w:rsidRPr="008C0767" w:rsidRDefault="001903AE" w:rsidP="001903AE">
      <w:pPr>
        <w:jc w:val="both"/>
        <w:rPr>
          <w:sz w:val="20"/>
          <w:szCs w:val="20"/>
          <w:lang w:val="en-US"/>
        </w:rPr>
      </w:pPr>
    </w:p>
    <w:p w14:paraId="547103FF" w14:textId="7F534E6B" w:rsidR="00C413D4" w:rsidRPr="00C45394" w:rsidRDefault="0035333D" w:rsidP="0035333D">
      <w:pPr>
        <w:jc w:val="both"/>
        <w:rPr>
          <w:sz w:val="20"/>
          <w:szCs w:val="20"/>
          <w:lang w:val="en-US"/>
        </w:rPr>
      </w:pPr>
      <w:r w:rsidRPr="00C45394">
        <w:rPr>
          <w:sz w:val="20"/>
          <w:szCs w:val="20"/>
          <w:lang w:val="en-US"/>
        </w:rPr>
        <w:t xml:space="preserve">In 2003, the World Health Organization declared suicide as a mental health problem that affects the general population.  The objective of this non-experimental-descriptive quantitative study was to analyze the knowledge and believes related to suicide in a sample of 526 participants (229 female and 293 male) with an average age of 28,23 (SD=11,60), residents of the cantons of Heredia and Montes de Oca. An </w:t>
      </w:r>
      <w:r w:rsidR="00A93FDF" w:rsidRPr="00A93FDF">
        <w:rPr>
          <w:i/>
          <w:iCs/>
          <w:sz w:val="20"/>
          <w:szCs w:val="20"/>
          <w:lang w:val="en-US"/>
        </w:rPr>
        <w:t>a</w:t>
      </w:r>
      <w:r w:rsidRPr="00A93FDF">
        <w:rPr>
          <w:i/>
          <w:iCs/>
          <w:sz w:val="20"/>
          <w:szCs w:val="20"/>
          <w:lang w:val="en-US"/>
        </w:rPr>
        <w:t>d</w:t>
      </w:r>
      <w:r w:rsidR="00A93FDF">
        <w:rPr>
          <w:i/>
          <w:iCs/>
          <w:sz w:val="20"/>
          <w:szCs w:val="20"/>
          <w:lang w:val="en-US"/>
        </w:rPr>
        <w:t xml:space="preserve"> </w:t>
      </w:r>
      <w:r w:rsidRPr="00A93FDF">
        <w:rPr>
          <w:i/>
          <w:iCs/>
          <w:sz w:val="20"/>
          <w:szCs w:val="20"/>
          <w:lang w:val="en-US"/>
        </w:rPr>
        <w:t>hoc</w:t>
      </w:r>
      <w:r w:rsidRPr="00C45394">
        <w:rPr>
          <w:sz w:val="20"/>
          <w:szCs w:val="20"/>
          <w:lang w:val="en-US"/>
        </w:rPr>
        <w:t xml:space="preserve"> questionnaire on social representations and knowledge of suicide was used. Results revealed that the participants consider that suicide is preventable and that having support networks, as well as receiving psychological therapy, can be protective factors; while depression, lack of motivation and family conflicts are the main triggers for consummating it. It was observed that men, in a greater proportion than women, consider that whoever commits suicide does not say it and that suicides occur without warning. The inputs generated in this research will help design psychoeducational actions </w:t>
      </w:r>
      <w:proofErr w:type="gramStart"/>
      <w:r w:rsidRPr="00C45394">
        <w:rPr>
          <w:sz w:val="20"/>
          <w:szCs w:val="20"/>
          <w:lang w:val="en-US"/>
        </w:rPr>
        <w:t>in order to</w:t>
      </w:r>
      <w:proofErr w:type="gramEnd"/>
      <w:r w:rsidRPr="00C45394">
        <w:rPr>
          <w:sz w:val="20"/>
          <w:szCs w:val="20"/>
          <w:lang w:val="en-US"/>
        </w:rPr>
        <w:t xml:space="preserve"> correct myths and distortions present in the participating population and therefore, strengthen their ability to detect risk signals and serve as mental health promoting agents.</w:t>
      </w:r>
    </w:p>
    <w:p w14:paraId="5AD69C3F" w14:textId="77777777" w:rsidR="0035333D" w:rsidRPr="00C45394" w:rsidRDefault="0035333D" w:rsidP="0035333D">
      <w:pPr>
        <w:jc w:val="both"/>
        <w:rPr>
          <w:sz w:val="20"/>
          <w:szCs w:val="20"/>
          <w:lang w:val="en-US"/>
        </w:rPr>
      </w:pPr>
    </w:p>
    <w:p w14:paraId="685775D6" w14:textId="77777777" w:rsidR="0035333D" w:rsidRPr="00C45394" w:rsidRDefault="0035333D" w:rsidP="0035333D">
      <w:pPr>
        <w:jc w:val="both"/>
        <w:rPr>
          <w:sz w:val="20"/>
          <w:szCs w:val="20"/>
          <w:lang w:val="en-US"/>
        </w:rPr>
      </w:pPr>
    </w:p>
    <w:p w14:paraId="0EB33005" w14:textId="77777777" w:rsidR="00C413D4" w:rsidRPr="001903AE" w:rsidRDefault="00C413D4" w:rsidP="00C413D4">
      <w:pPr>
        <w:rPr>
          <w:b/>
          <w:sz w:val="20"/>
          <w:szCs w:val="20"/>
          <w:lang w:val="en-US"/>
        </w:rPr>
      </w:pPr>
      <w:r w:rsidRPr="001903AE">
        <w:rPr>
          <w:b/>
          <w:sz w:val="20"/>
          <w:szCs w:val="20"/>
          <w:lang w:val="en-US"/>
        </w:rPr>
        <w:t>Keywords</w:t>
      </w:r>
    </w:p>
    <w:p w14:paraId="120FF658" w14:textId="34CBF890" w:rsidR="00153DC5" w:rsidRPr="001903AE" w:rsidRDefault="001903AE" w:rsidP="007A7C7C">
      <w:pPr>
        <w:jc w:val="both"/>
        <w:rPr>
          <w:bCs/>
          <w:sz w:val="20"/>
          <w:szCs w:val="20"/>
          <w:lang w:val="en-US"/>
        </w:rPr>
      </w:pPr>
      <w:r w:rsidRPr="001903AE">
        <w:rPr>
          <w:bCs/>
          <w:sz w:val="20"/>
          <w:szCs w:val="20"/>
          <w:lang w:val="en-US"/>
        </w:rPr>
        <w:t>cognition</w:t>
      </w:r>
      <w:r w:rsidR="00B02133" w:rsidRPr="001903AE">
        <w:rPr>
          <w:bCs/>
          <w:sz w:val="20"/>
          <w:szCs w:val="20"/>
          <w:lang w:val="en-US"/>
        </w:rPr>
        <w:t xml:space="preserve">; </w:t>
      </w:r>
      <w:r w:rsidRPr="001903AE">
        <w:rPr>
          <w:bCs/>
          <w:sz w:val="20"/>
          <w:szCs w:val="20"/>
          <w:lang w:val="en-US"/>
        </w:rPr>
        <w:t>social problem</w:t>
      </w:r>
      <w:r w:rsidR="00B02133" w:rsidRPr="001903AE">
        <w:rPr>
          <w:bCs/>
          <w:sz w:val="20"/>
          <w:szCs w:val="20"/>
          <w:lang w:val="en-US"/>
        </w:rPr>
        <w:t xml:space="preserve">; </w:t>
      </w:r>
      <w:r w:rsidRPr="001903AE">
        <w:rPr>
          <w:bCs/>
          <w:sz w:val="20"/>
          <w:szCs w:val="20"/>
          <w:lang w:val="en-US"/>
        </w:rPr>
        <w:t>suicide</w:t>
      </w:r>
      <w:r w:rsidR="00B02133" w:rsidRPr="001903AE">
        <w:rPr>
          <w:bCs/>
          <w:sz w:val="20"/>
          <w:szCs w:val="20"/>
          <w:lang w:val="en-US"/>
        </w:rPr>
        <w:t xml:space="preserve">; </w:t>
      </w:r>
      <w:r w:rsidRPr="001903AE">
        <w:rPr>
          <w:bCs/>
          <w:sz w:val="20"/>
          <w:szCs w:val="20"/>
          <w:lang w:val="en-US"/>
        </w:rPr>
        <w:t>mental health</w:t>
      </w:r>
    </w:p>
    <w:p w14:paraId="3C2A8692" w14:textId="46796CA0" w:rsidR="00153DC5" w:rsidRPr="00574766" w:rsidRDefault="00153DC5" w:rsidP="007A7C7C">
      <w:pPr>
        <w:jc w:val="both"/>
        <w:rPr>
          <w:bCs/>
          <w:sz w:val="20"/>
          <w:szCs w:val="20"/>
          <w:lang w:val="en-US"/>
        </w:rPr>
      </w:pPr>
    </w:p>
    <w:p w14:paraId="7C35B110" w14:textId="65566B47" w:rsidR="00153DC5" w:rsidRPr="00584FFB" w:rsidRDefault="00153DC5" w:rsidP="006B088F">
      <w:pPr>
        <w:pStyle w:val="TtuloResumen"/>
        <w:rPr>
          <w:lang w:val="es-CR"/>
        </w:rPr>
      </w:pPr>
      <w:r w:rsidRPr="00584FFB">
        <w:rPr>
          <w:lang w:val="es-CR"/>
        </w:rPr>
        <w:t>Resum</w:t>
      </w:r>
      <w:r w:rsidR="009A583F" w:rsidRPr="00584FFB">
        <w:rPr>
          <w:lang w:val="es-CR"/>
        </w:rPr>
        <w:t>en</w:t>
      </w:r>
    </w:p>
    <w:p w14:paraId="32D6BA22" w14:textId="34785643" w:rsidR="00153DC5" w:rsidRDefault="00153DC5" w:rsidP="005B5614">
      <w:pPr>
        <w:jc w:val="both"/>
        <w:rPr>
          <w:sz w:val="20"/>
          <w:szCs w:val="20"/>
        </w:rPr>
      </w:pPr>
    </w:p>
    <w:p w14:paraId="1DF426B6" w14:textId="2BE35314" w:rsidR="00A34033" w:rsidRDefault="0035333D" w:rsidP="005B5614">
      <w:pPr>
        <w:jc w:val="both"/>
        <w:rPr>
          <w:sz w:val="20"/>
          <w:szCs w:val="20"/>
        </w:rPr>
      </w:pPr>
      <w:r w:rsidRPr="0035333D">
        <w:rPr>
          <w:sz w:val="20"/>
          <w:szCs w:val="20"/>
        </w:rPr>
        <w:t xml:space="preserve">En el 2003, la Organización Mundial de la Salud declaró el suicidio como un problema de salud mental que aqueja a la población en general. El presente estudio, de enfoque cuantitativo no experimental-descriptivo, tuvo como objetivo analizar el conocimiento y las creencias asociadas al suicidio por parte de 526 personas (229 mujeres y 293 hombres) con una media de 28,23 años (DE=11,60), residentes de los cantones de Heredia y Montes de Oca.  Se utilizó un cuestionario </w:t>
      </w:r>
      <w:r w:rsidRPr="00A93FDF">
        <w:rPr>
          <w:i/>
          <w:iCs/>
          <w:sz w:val="20"/>
          <w:szCs w:val="20"/>
        </w:rPr>
        <w:t>ad</w:t>
      </w:r>
      <w:r w:rsidR="00A93FDF">
        <w:rPr>
          <w:i/>
          <w:iCs/>
          <w:sz w:val="20"/>
          <w:szCs w:val="20"/>
        </w:rPr>
        <w:t xml:space="preserve"> </w:t>
      </w:r>
      <w:r w:rsidRPr="00A93FDF">
        <w:rPr>
          <w:i/>
          <w:iCs/>
          <w:sz w:val="20"/>
          <w:szCs w:val="20"/>
        </w:rPr>
        <w:t>hoc</w:t>
      </w:r>
      <w:r w:rsidRPr="0035333D">
        <w:rPr>
          <w:sz w:val="20"/>
          <w:szCs w:val="20"/>
        </w:rPr>
        <w:t xml:space="preserve"> sobre representaciones sociales y conocimientos del suicidio. Los resultados revelaron que los participantes consideran que el suicidio es prevenible y que contar redes de apoyo, así como recibir terapia psicológica, pueden ser factores protectores; mientras que, la depresión, la falta de motivación y los conflictos familiares son los principales detonantes para consumarlo. Se observó que, los hombres, en mayor proporción que las mujeres, consideran que quien comete suicidio no lo dice y que los suicidios ocurren sin advertencia. Los insumos generados en esta investigación permitirán diseñar acciones psicoeducativas con el fin de corregir mitos y distorsiones presentes en la población participante y, por tanto, fortalecer su capacidad para detectar señales de alarma y fungir como agentes promotores de la salud mental.</w:t>
      </w:r>
    </w:p>
    <w:p w14:paraId="6FAC1C5D" w14:textId="77777777" w:rsidR="0027261B" w:rsidRPr="00584FFB" w:rsidRDefault="0027261B" w:rsidP="005B5614">
      <w:pPr>
        <w:jc w:val="both"/>
        <w:rPr>
          <w:i/>
          <w:sz w:val="20"/>
          <w:szCs w:val="20"/>
        </w:rPr>
      </w:pPr>
    </w:p>
    <w:p w14:paraId="72AF85FC" w14:textId="58A3DFE5" w:rsidR="00153DC5" w:rsidRPr="00584FFB" w:rsidRDefault="00153DC5" w:rsidP="00153DC5">
      <w:pPr>
        <w:rPr>
          <w:sz w:val="20"/>
          <w:szCs w:val="20"/>
        </w:rPr>
      </w:pPr>
    </w:p>
    <w:p w14:paraId="52B41A5E" w14:textId="174EFA85" w:rsidR="00153DC5" w:rsidRPr="001903AE" w:rsidRDefault="00153DC5" w:rsidP="00153DC5">
      <w:pPr>
        <w:jc w:val="both"/>
        <w:rPr>
          <w:b/>
          <w:sz w:val="20"/>
          <w:szCs w:val="20"/>
        </w:rPr>
      </w:pPr>
      <w:r w:rsidRPr="001903AE">
        <w:rPr>
          <w:b/>
          <w:sz w:val="20"/>
          <w:szCs w:val="20"/>
        </w:rPr>
        <w:t>Pala</w:t>
      </w:r>
      <w:r w:rsidR="009A583F" w:rsidRPr="001903AE">
        <w:rPr>
          <w:b/>
          <w:sz w:val="20"/>
          <w:szCs w:val="20"/>
        </w:rPr>
        <w:t>bras clave</w:t>
      </w:r>
    </w:p>
    <w:p w14:paraId="3B490AF2" w14:textId="05BF4FCE" w:rsidR="00153DC5" w:rsidRPr="001903AE" w:rsidRDefault="001903AE" w:rsidP="007A7C7C">
      <w:pPr>
        <w:jc w:val="both"/>
        <w:rPr>
          <w:bCs/>
          <w:sz w:val="20"/>
          <w:szCs w:val="20"/>
        </w:rPr>
      </w:pPr>
      <w:r w:rsidRPr="001903AE">
        <w:rPr>
          <w:bCs/>
          <w:sz w:val="20"/>
          <w:szCs w:val="20"/>
        </w:rPr>
        <w:t>cognición</w:t>
      </w:r>
      <w:r w:rsidR="009A583F" w:rsidRPr="001903AE">
        <w:rPr>
          <w:bCs/>
          <w:sz w:val="20"/>
          <w:szCs w:val="20"/>
        </w:rPr>
        <w:t xml:space="preserve">; </w:t>
      </w:r>
      <w:r w:rsidRPr="001903AE">
        <w:rPr>
          <w:bCs/>
          <w:sz w:val="20"/>
          <w:szCs w:val="20"/>
        </w:rPr>
        <w:t>problema social</w:t>
      </w:r>
      <w:r w:rsidR="009A583F" w:rsidRPr="001903AE">
        <w:rPr>
          <w:bCs/>
          <w:sz w:val="20"/>
          <w:szCs w:val="20"/>
        </w:rPr>
        <w:t xml:space="preserve">; </w:t>
      </w:r>
      <w:r w:rsidRPr="001903AE">
        <w:rPr>
          <w:bCs/>
          <w:sz w:val="20"/>
          <w:szCs w:val="20"/>
        </w:rPr>
        <w:t>suicidio</w:t>
      </w:r>
      <w:r w:rsidR="009A583F" w:rsidRPr="001903AE">
        <w:rPr>
          <w:bCs/>
          <w:sz w:val="20"/>
          <w:szCs w:val="20"/>
        </w:rPr>
        <w:t xml:space="preserve">; </w:t>
      </w:r>
      <w:r w:rsidRPr="001903AE">
        <w:rPr>
          <w:bCs/>
          <w:sz w:val="20"/>
          <w:szCs w:val="20"/>
        </w:rPr>
        <w:t>salud mental</w:t>
      </w:r>
    </w:p>
    <w:p w14:paraId="7189B82D" w14:textId="752BA2A1" w:rsidR="00E55124" w:rsidRPr="00584FFB" w:rsidRDefault="00E55124" w:rsidP="007A7C7C">
      <w:pPr>
        <w:jc w:val="both"/>
        <w:rPr>
          <w:bCs/>
          <w:sz w:val="20"/>
          <w:szCs w:val="20"/>
        </w:rPr>
      </w:pPr>
      <w:r w:rsidRPr="00584FFB">
        <w:rPr>
          <w:bCs/>
          <w:noProof/>
          <w:sz w:val="20"/>
          <w:szCs w:val="20"/>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28FA96CC" w:rsidR="00483D6B" w:rsidRPr="00584FFB" w:rsidRDefault="00483D6B" w:rsidP="00B6522A">
      <w:pPr>
        <w:rPr>
          <w:b/>
        </w:rPr>
      </w:pPr>
    </w:p>
    <w:p w14:paraId="3077E29B" w14:textId="023D2DA1" w:rsidR="00C43D8B" w:rsidRDefault="00C43D8B" w:rsidP="00B6522A">
      <w:pPr>
        <w:rPr>
          <w:b/>
        </w:rPr>
      </w:pPr>
    </w:p>
    <w:p w14:paraId="631E1462" w14:textId="77777777" w:rsidR="00784209" w:rsidRDefault="00784209" w:rsidP="00B6522A">
      <w:pPr>
        <w:rPr>
          <w:b/>
        </w:rPr>
      </w:pPr>
    </w:p>
    <w:p w14:paraId="02CCC091" w14:textId="77777777" w:rsidR="00784209" w:rsidRDefault="00784209" w:rsidP="00B6522A">
      <w:pPr>
        <w:rPr>
          <w:b/>
        </w:rPr>
      </w:pPr>
    </w:p>
    <w:p w14:paraId="2C97006F" w14:textId="77777777" w:rsidR="00784209" w:rsidRDefault="00784209" w:rsidP="00B6522A">
      <w:pPr>
        <w:rPr>
          <w:b/>
        </w:rPr>
      </w:pPr>
    </w:p>
    <w:p w14:paraId="50C8C396" w14:textId="77777777" w:rsidR="00784209" w:rsidRPr="00584FFB" w:rsidRDefault="00784209" w:rsidP="00B6522A">
      <w:pPr>
        <w:rPr>
          <w:b/>
        </w:rPr>
      </w:pPr>
    </w:p>
    <w:p w14:paraId="7BC7C447" w14:textId="77777777" w:rsidR="00210875" w:rsidRPr="00C45394" w:rsidRDefault="00210875" w:rsidP="00784209">
      <w:pPr>
        <w:pStyle w:val="Ttulosinternos"/>
        <w:rPr>
          <w:lang w:val="es-419"/>
        </w:rPr>
      </w:pPr>
      <w:r w:rsidRPr="00C45394">
        <w:rPr>
          <w:lang w:val="es-419"/>
        </w:rPr>
        <w:lastRenderedPageBreak/>
        <w:t>Conocimientos y representaciones sociales del suicidio, a partir de la perspectiva de las comunidades de Montes de Oca y Heredia, Costa Rica</w:t>
      </w:r>
    </w:p>
    <w:p w14:paraId="2E3C00F9" w14:textId="77777777" w:rsidR="00115125" w:rsidRPr="00C45394" w:rsidRDefault="00115125" w:rsidP="00784209">
      <w:pPr>
        <w:pStyle w:val="Ttulosinternos"/>
        <w:rPr>
          <w:lang w:val="es-419"/>
        </w:rPr>
      </w:pPr>
    </w:p>
    <w:p w14:paraId="4FA726CB" w14:textId="758EA11D" w:rsidR="006A1BA2" w:rsidRPr="00C45394" w:rsidRDefault="00153DC5" w:rsidP="00784209">
      <w:pPr>
        <w:pStyle w:val="Ttulosinternos"/>
        <w:rPr>
          <w:lang w:val="es-419"/>
        </w:rPr>
      </w:pPr>
      <w:r w:rsidRPr="00C45394">
        <w:rPr>
          <w:lang w:val="es-419"/>
        </w:rPr>
        <w:t>Introduc</w:t>
      </w:r>
      <w:r w:rsidR="00107993" w:rsidRPr="00C45394">
        <w:rPr>
          <w:lang w:val="es-419"/>
        </w:rPr>
        <w:t>ción</w:t>
      </w:r>
    </w:p>
    <w:p w14:paraId="067E84BC" w14:textId="77777777" w:rsidR="00115125" w:rsidRPr="00C45394" w:rsidRDefault="00115125" w:rsidP="00784209">
      <w:pPr>
        <w:pStyle w:val="Ttulosinternos"/>
        <w:rPr>
          <w:lang w:val="es-419"/>
        </w:rPr>
      </w:pPr>
    </w:p>
    <w:p w14:paraId="6464C20C" w14:textId="1992E18D" w:rsidR="00541B6F" w:rsidRPr="00584FFB" w:rsidRDefault="00C43D8B" w:rsidP="00784209">
      <w:pPr>
        <w:pStyle w:val="Prrafocomn"/>
        <w:rPr>
          <w:lang w:val="es-CR"/>
        </w:rPr>
      </w:pPr>
      <w:r w:rsidRPr="00584FFB">
        <w:rPr>
          <w:lang w:val="es-CR"/>
        </w:rPr>
        <w:t>El comportamiento suicida se ha convertido en un tema de atención prioritaria tanto a nivel internacional como a nivel nacional</w:t>
      </w:r>
      <w:r w:rsidR="00877157" w:rsidRPr="00584FFB">
        <w:rPr>
          <w:lang w:val="es-CR"/>
        </w:rPr>
        <w:t xml:space="preserve">. Por esta razón, </w:t>
      </w:r>
      <w:r w:rsidRPr="00584FFB">
        <w:rPr>
          <w:lang w:val="es-CR"/>
        </w:rPr>
        <w:t>Costa Rica diseñó la Política Nacional de Salud Mental 2012-202</w:t>
      </w:r>
      <w:r w:rsidR="00DD0855">
        <w:rPr>
          <w:lang w:val="es-CR"/>
        </w:rPr>
        <w:t>1</w:t>
      </w:r>
      <w:r w:rsidRPr="00584FFB">
        <w:rPr>
          <w:lang w:val="es-CR"/>
        </w:rPr>
        <w:t xml:space="preserve">, </w:t>
      </w:r>
      <w:r w:rsidR="00877157" w:rsidRPr="00584FFB">
        <w:rPr>
          <w:lang w:val="es-CR"/>
        </w:rPr>
        <w:t>donde</w:t>
      </w:r>
      <w:r w:rsidRPr="00584FFB">
        <w:rPr>
          <w:lang w:val="es-CR"/>
        </w:rPr>
        <w:t xml:space="preserve"> se establece la formulación e implementación de políticas y acciones de salud mental dirigidas a las personas en riesgo suicida, con instancias de coordinación y articulación de actores sociales (Ministerio de Salud, 2012</w:t>
      </w:r>
      <w:r w:rsidR="00465C2D">
        <w:rPr>
          <w:lang w:val="es-CR"/>
        </w:rPr>
        <w:t xml:space="preserve">). </w:t>
      </w:r>
    </w:p>
    <w:p w14:paraId="71B46140" w14:textId="36A60619" w:rsidR="00766AB5" w:rsidRPr="00584FFB" w:rsidRDefault="00C43D8B" w:rsidP="00784209">
      <w:pPr>
        <w:pStyle w:val="Prrafocomn"/>
        <w:rPr>
          <w:lang w:val="es-CR"/>
        </w:rPr>
      </w:pPr>
      <w:r w:rsidRPr="00584FFB">
        <w:rPr>
          <w:lang w:val="es-CR"/>
        </w:rPr>
        <w:t>Adicionalmente, la Estrategia Nacional para el Abordaje Integral del Comportamiento Suicida 2016-202</w:t>
      </w:r>
      <w:r w:rsidR="00DD0855">
        <w:rPr>
          <w:lang w:val="es-CR"/>
        </w:rPr>
        <w:t>1</w:t>
      </w:r>
      <w:r w:rsidRPr="00584FFB">
        <w:rPr>
          <w:lang w:val="es-CR"/>
        </w:rPr>
        <w:t>, promueve el desarrollo de investigaciones relacionadas con la temática, que ofrecen los insumos necesarios para generar acciones pertinentes para el manejo integral del suicidio y los intentos de suicidio.</w:t>
      </w:r>
      <w:r w:rsidR="00EE5B24" w:rsidRPr="00584FFB">
        <w:rPr>
          <w:lang w:val="es-CR"/>
        </w:rPr>
        <w:t xml:space="preserve"> </w:t>
      </w:r>
      <w:r w:rsidR="00766AB5" w:rsidRPr="00584FFB">
        <w:rPr>
          <w:lang w:val="es-CR"/>
        </w:rPr>
        <w:t>Este mismo documento propone desarrollar estrategias interdisciplinarias, interinstitucionales e intersectoriales para la promoción de factores protectores y la prevención de factores de riesgo asociados al suicidio, con el fin de reducir el comportamiento suicida (Hernández, Rodríguez y Valenciano, 2021)</w:t>
      </w:r>
      <w:r w:rsidR="009429C3" w:rsidRPr="00584FFB">
        <w:rPr>
          <w:lang w:val="es-CR"/>
        </w:rPr>
        <w:t xml:space="preserve">. </w:t>
      </w:r>
    </w:p>
    <w:p w14:paraId="79F1D137" w14:textId="4BE48981" w:rsidR="00C43D8B" w:rsidRPr="00584FFB" w:rsidRDefault="00C43D8B" w:rsidP="00115125">
      <w:pPr>
        <w:pStyle w:val="Prrafocomn"/>
        <w:rPr>
          <w:lang w:val="es-CR"/>
        </w:rPr>
      </w:pPr>
      <w:r w:rsidRPr="00584FFB">
        <w:rPr>
          <w:lang w:val="es-CR"/>
        </w:rPr>
        <w:t>Como parte de estas propuestas, en el 2018 se aprobó el decreto 40881- S que oficializa la normativa nacional para la articulación interinstitucional del abordaje integral del comportamiento suicida. Esta normativa es de aplicación obligatoria para los distintos agentes involucrados en la prevención y atención de los comportamientos suicidas</w:t>
      </w:r>
      <w:r w:rsidR="00D06BCA" w:rsidRPr="00584FFB">
        <w:rPr>
          <w:lang w:val="es-CR"/>
        </w:rPr>
        <w:t xml:space="preserve"> (Millán-González, Córdoba-López y Moreno-Salas, 2020)</w:t>
      </w:r>
      <w:r w:rsidRPr="00584FFB">
        <w:rPr>
          <w:lang w:val="es-CR"/>
        </w:rPr>
        <w:t>. Asimismo, establece la conformación de Instancias Regionales para el Abordaje Integral del Comportamiento Suicida (IRAIS) y a nivel cantonal, la conformación de Instancias Locales para el Abordaje Integral del Comportamiento Suicida (ILAIS) ambas coordinadas por el Ministerio de Salud (Ministerio de Salud, 201</w:t>
      </w:r>
      <w:r w:rsidR="006512A1" w:rsidRPr="00584FFB">
        <w:rPr>
          <w:lang w:val="es-CR"/>
        </w:rPr>
        <w:t>9</w:t>
      </w:r>
      <w:r w:rsidRPr="00584FFB">
        <w:rPr>
          <w:lang w:val="es-CR"/>
        </w:rPr>
        <w:t xml:space="preserve">). </w:t>
      </w:r>
    </w:p>
    <w:p w14:paraId="4522FBCB" w14:textId="42F36143" w:rsidR="00210875" w:rsidRPr="00584FFB" w:rsidRDefault="00C43D8B" w:rsidP="00115125">
      <w:pPr>
        <w:pStyle w:val="Prrafocomn"/>
        <w:rPr>
          <w:lang w:val="es-CR"/>
        </w:rPr>
      </w:pPr>
      <w:r w:rsidRPr="00584FFB">
        <w:rPr>
          <w:lang w:val="es-CR"/>
        </w:rPr>
        <w:t xml:space="preserve">Tanto las IRAIS como las ILAIS están integradas por el Ministerio de Salud, Caja Costarricense de Seguro Social, Patronato Nacional de la Infancia, Ministerio de Educación Pública, Organismo de Investigación Judicial y Ministerio Público, Ministerio de Seguridad Pública, Ministerio de Cultura y Juventud, Instituto de Alcoholismo y Farmacodependencia, Instituto Mixto de Ayuda Social, Municipalidades, Comité de la Persona Joven, Cruz Roja, Universidades Públicas, Organizaciones No Gubernamentales y Organizaciones Comunitarias </w:t>
      </w:r>
      <w:r w:rsidRPr="00584FFB">
        <w:rPr>
          <w:lang w:val="es-CR"/>
        </w:rPr>
        <w:lastRenderedPageBreak/>
        <w:t>locales, afines a la temática, así como todas aquellas instancias con responsabilidad de velar por el abordaje integral del riesgo suicida y el suicidio a nivel local. Estas instancias locales tienen como función la articulación de acciones conjuntas que promuevan los factores protectores de la salud mental y a la vez se enfoquen en la prevención, atención y seguimiento de los comportamientos suicidas (Ministerio de Salud, 201</w:t>
      </w:r>
      <w:r w:rsidR="00E716EF">
        <w:rPr>
          <w:lang w:val="es-CR"/>
        </w:rPr>
        <w:t>8</w:t>
      </w:r>
      <w:r w:rsidRPr="00584FFB">
        <w:rPr>
          <w:lang w:val="es-CR"/>
        </w:rPr>
        <w:t xml:space="preserve">). </w:t>
      </w:r>
    </w:p>
    <w:p w14:paraId="289FDA76" w14:textId="77777777" w:rsidR="00D660A0" w:rsidRDefault="00210875" w:rsidP="00115125">
      <w:pPr>
        <w:pStyle w:val="Prrafocomn"/>
        <w:rPr>
          <w:lang w:val="es-CR"/>
        </w:rPr>
      </w:pPr>
      <w:r w:rsidRPr="00584FFB">
        <w:rPr>
          <w:lang w:val="es-CR"/>
        </w:rPr>
        <w:t>En marzo del 202</w:t>
      </w:r>
      <w:r w:rsidR="002E5415">
        <w:rPr>
          <w:lang w:val="es-CR"/>
        </w:rPr>
        <w:t>0</w:t>
      </w:r>
      <w:r w:rsidRPr="00584FFB">
        <w:rPr>
          <w:lang w:val="es-CR"/>
        </w:rPr>
        <w:t>, la Escuela de Psicología</w:t>
      </w:r>
      <w:r w:rsidR="007D3A02" w:rsidRPr="00584FFB">
        <w:rPr>
          <w:lang w:val="es-CR"/>
        </w:rPr>
        <w:t xml:space="preserve"> de la Universidad Latina de Costa Rica</w:t>
      </w:r>
      <w:r w:rsidR="00A1455E">
        <w:rPr>
          <w:lang w:val="es-CR"/>
        </w:rPr>
        <w:t>, sede San Pedro</w:t>
      </w:r>
      <w:r w:rsidR="007D3A02" w:rsidRPr="00584FFB">
        <w:rPr>
          <w:lang w:val="es-CR"/>
        </w:rPr>
        <w:t>,</w:t>
      </w:r>
      <w:r w:rsidRPr="00584FFB">
        <w:rPr>
          <w:lang w:val="es-CR"/>
        </w:rPr>
        <w:t xml:space="preserve"> </w:t>
      </w:r>
      <w:r w:rsidR="00CB031B">
        <w:rPr>
          <w:lang w:val="es-CR"/>
        </w:rPr>
        <w:t>fue convocada a</w:t>
      </w:r>
      <w:r w:rsidRPr="00584FFB">
        <w:rPr>
          <w:lang w:val="es-CR"/>
        </w:rPr>
        <w:t xml:space="preserve"> formar parte de la ILAIS de Montes de Oca</w:t>
      </w:r>
      <w:r w:rsidR="00CB031B">
        <w:rPr>
          <w:lang w:val="es-CR"/>
        </w:rPr>
        <w:t xml:space="preserve"> y p</w:t>
      </w:r>
      <w:r w:rsidRPr="00584FFB">
        <w:rPr>
          <w:lang w:val="es-CR"/>
        </w:rPr>
        <w:t>osteriormente, se estableció comunicación con la ILAIS de Heredia, para incluir también a la Sede de Heredia</w:t>
      </w:r>
      <w:r w:rsidR="00A1455E">
        <w:rPr>
          <w:lang w:val="es-CR"/>
        </w:rPr>
        <w:t>.</w:t>
      </w:r>
    </w:p>
    <w:p w14:paraId="3234CCF8" w14:textId="14F00C91" w:rsidR="00210875" w:rsidRPr="00584FFB" w:rsidRDefault="00210875" w:rsidP="00115125">
      <w:pPr>
        <w:pStyle w:val="Prrafocomn"/>
        <w:rPr>
          <w:lang w:val="es-CR"/>
        </w:rPr>
      </w:pPr>
      <w:r w:rsidRPr="00584FFB">
        <w:rPr>
          <w:lang w:val="es-CR"/>
        </w:rPr>
        <w:t>El proyecto de investigación surge en respuesta a dicha convocatoria y tiene como objeto de estudio, el conocimiento y las representaciones sociales del suicidio desde la perspectiva de los habitantes de l</w:t>
      </w:r>
      <w:r w:rsidR="00A1455E">
        <w:rPr>
          <w:lang w:val="es-CR"/>
        </w:rPr>
        <w:t>o</w:t>
      </w:r>
      <w:r w:rsidRPr="00584FFB">
        <w:rPr>
          <w:lang w:val="es-CR"/>
        </w:rPr>
        <w:t xml:space="preserve">s </w:t>
      </w:r>
      <w:r w:rsidR="00A1455E">
        <w:rPr>
          <w:lang w:val="es-CR"/>
        </w:rPr>
        <w:t>cantones</w:t>
      </w:r>
      <w:r w:rsidR="00A1455E" w:rsidRPr="00584FFB">
        <w:rPr>
          <w:lang w:val="es-CR"/>
        </w:rPr>
        <w:t xml:space="preserve"> </w:t>
      </w:r>
      <w:r w:rsidRPr="00584FFB">
        <w:rPr>
          <w:lang w:val="es-CR"/>
        </w:rPr>
        <w:t>de Montes de Oca y Heredia</w:t>
      </w:r>
      <w:r w:rsidR="002E7DCE" w:rsidRPr="00584FFB">
        <w:rPr>
          <w:lang w:val="es-CR"/>
        </w:rPr>
        <w:t>,</w:t>
      </w:r>
      <w:r w:rsidRPr="00584FFB">
        <w:rPr>
          <w:lang w:val="es-CR"/>
        </w:rPr>
        <w:t xml:space="preserve"> </w:t>
      </w:r>
      <w:r w:rsidR="00A1455E" w:rsidRPr="00584FFB">
        <w:rPr>
          <w:lang w:val="es-CR"/>
        </w:rPr>
        <w:t>comunidades en las cuales se ubican dos de las sedes con mayor población educativa en la Universidad Latina</w:t>
      </w:r>
      <w:r w:rsidR="00A1455E">
        <w:rPr>
          <w:lang w:val="es-CR"/>
        </w:rPr>
        <w:t xml:space="preserve">.  El propósito del estudio </w:t>
      </w:r>
      <w:r w:rsidR="00EE601C">
        <w:rPr>
          <w:lang w:val="es-CR"/>
        </w:rPr>
        <w:t xml:space="preserve">es </w:t>
      </w:r>
      <w:r w:rsidR="00EE601C" w:rsidRPr="00584FFB">
        <w:rPr>
          <w:lang w:val="es-CR"/>
        </w:rPr>
        <w:t>generar</w:t>
      </w:r>
      <w:r w:rsidRPr="00584FFB">
        <w:rPr>
          <w:lang w:val="es-CR"/>
        </w:rPr>
        <w:t xml:space="preserve"> insumos que </w:t>
      </w:r>
      <w:bookmarkStart w:id="0" w:name="_Hlk149036318"/>
      <w:r w:rsidRPr="00584FFB">
        <w:rPr>
          <w:lang w:val="es-CR"/>
        </w:rPr>
        <w:t>faciliten el diseño de estrategias específicas de prevención, abordaje y seguimiento de las conductas suicidas</w:t>
      </w:r>
      <w:bookmarkEnd w:id="0"/>
      <w:r w:rsidRPr="00584FFB">
        <w:rPr>
          <w:lang w:val="es-CR"/>
        </w:rPr>
        <w:t xml:space="preserve">, enfocadas en las necesidades específicas de la población de </w:t>
      </w:r>
      <w:r w:rsidR="00CB031B">
        <w:rPr>
          <w:lang w:val="es-CR"/>
        </w:rPr>
        <w:t>ambas</w:t>
      </w:r>
      <w:r w:rsidR="00CB031B" w:rsidRPr="00584FFB">
        <w:rPr>
          <w:lang w:val="es-CR"/>
        </w:rPr>
        <w:t xml:space="preserve"> </w:t>
      </w:r>
      <w:r w:rsidRPr="00584FFB">
        <w:rPr>
          <w:lang w:val="es-CR"/>
        </w:rPr>
        <w:t>comunidad</w:t>
      </w:r>
      <w:r w:rsidR="00CB031B">
        <w:rPr>
          <w:lang w:val="es-CR"/>
        </w:rPr>
        <w:t>es</w:t>
      </w:r>
      <w:r w:rsidRPr="00584FFB">
        <w:rPr>
          <w:lang w:val="es-CR"/>
        </w:rPr>
        <w:t>.</w:t>
      </w:r>
    </w:p>
    <w:p w14:paraId="2EA8148C" w14:textId="77777777" w:rsidR="00210875" w:rsidRPr="00584FFB" w:rsidRDefault="00210875" w:rsidP="00115125">
      <w:pPr>
        <w:pStyle w:val="Prrafocomn"/>
        <w:rPr>
          <w:lang w:val="es-CR"/>
        </w:rPr>
      </w:pPr>
      <w:r w:rsidRPr="00584FFB">
        <w:rPr>
          <w:lang w:val="es-CR"/>
        </w:rPr>
        <w:t xml:space="preserve">El estudio se plantea tomando en consideración el modelo con enfoque comunitario y de participación social que promueve el Ministerio de Salud en Costa Rica, según el Decreto Ejecutivo N°37306 (Ministerio de Salud, 2012). </w:t>
      </w:r>
    </w:p>
    <w:p w14:paraId="2EE63BF6" w14:textId="569208CF" w:rsidR="004941F8" w:rsidRPr="00584FFB" w:rsidRDefault="004941F8" w:rsidP="00115125">
      <w:pPr>
        <w:pStyle w:val="Prrafocomn"/>
        <w:rPr>
          <w:lang w:val="es-CR"/>
        </w:rPr>
      </w:pPr>
      <w:r w:rsidRPr="00584FFB">
        <w:rPr>
          <w:lang w:val="es-CR"/>
        </w:rPr>
        <w:t xml:space="preserve">En el recuento de investigaciones desarrolladas en el reconocimiento del suicidio, es posible enunciar al estudio desarrollado por </w:t>
      </w:r>
      <w:bookmarkStart w:id="1" w:name="_Hlk139355938"/>
      <w:r w:rsidRPr="00584FFB">
        <w:rPr>
          <w:lang w:val="es-CR"/>
        </w:rPr>
        <w:t xml:space="preserve">Araneda, </w:t>
      </w:r>
      <w:r w:rsidR="002645A7">
        <w:rPr>
          <w:lang w:val="es-CR"/>
        </w:rPr>
        <w:t>et al,</w:t>
      </w:r>
      <w:r w:rsidR="00AD59BC">
        <w:rPr>
          <w:lang w:val="es-CR"/>
        </w:rPr>
        <w:t xml:space="preserve"> (</w:t>
      </w:r>
      <w:r w:rsidRPr="00584FFB">
        <w:rPr>
          <w:lang w:val="es-CR"/>
        </w:rPr>
        <w:t xml:space="preserve">2021) </w:t>
      </w:r>
      <w:bookmarkEnd w:id="1"/>
      <w:r w:rsidRPr="00584FFB">
        <w:rPr>
          <w:lang w:val="es-CR"/>
        </w:rPr>
        <w:t>el cual remarca la existencia de prejuicios que orientan las actitudes de pacientes con pensamientos negativos. Asimismo, la variable sociodemográfica fue un elemento que incidió</w:t>
      </w:r>
      <w:r w:rsidR="002E5415">
        <w:rPr>
          <w:lang w:val="es-CR"/>
        </w:rPr>
        <w:t xml:space="preserve"> </w:t>
      </w:r>
      <w:r w:rsidR="002E5415" w:rsidRPr="00584FFB">
        <w:rPr>
          <w:lang w:val="es-CR"/>
        </w:rPr>
        <w:t>de forma favorable</w:t>
      </w:r>
      <w:r w:rsidRPr="00584FFB">
        <w:rPr>
          <w:lang w:val="es-CR"/>
        </w:rPr>
        <w:t xml:space="preserve"> en los casos resilientes. Además, se constató que los hombres registraron mayores sentimientos negativos respecto a las mujeres</w:t>
      </w:r>
      <w:r w:rsidR="002E5415">
        <w:rPr>
          <w:lang w:val="es-CR"/>
        </w:rPr>
        <w:t>,</w:t>
      </w:r>
      <w:r w:rsidRPr="00584FFB">
        <w:rPr>
          <w:lang w:val="es-CR"/>
        </w:rPr>
        <w:t xml:space="preserve"> que presentaron una mayor incidencia de conductas y gestos suicidas. </w:t>
      </w:r>
    </w:p>
    <w:p w14:paraId="1BEB3326" w14:textId="6807DCF2" w:rsidR="00210875" w:rsidRPr="00584FFB" w:rsidRDefault="00210875" w:rsidP="00115125">
      <w:pPr>
        <w:pStyle w:val="Prrafocomn"/>
        <w:ind w:firstLine="709"/>
        <w:rPr>
          <w:lang w:val="es-CR"/>
        </w:rPr>
      </w:pPr>
      <w:r w:rsidRPr="00584FFB">
        <w:rPr>
          <w:lang w:val="es-CR"/>
        </w:rPr>
        <w:t>Las creencias relacionadas con el suicidio han sido igualmente consideradas, para comprender el marco social en el cual se sitúa este problema de salud mental</w:t>
      </w:r>
      <w:r w:rsidR="002E5415">
        <w:rPr>
          <w:lang w:val="es-CR"/>
        </w:rPr>
        <w:t>.</w:t>
      </w:r>
      <w:r w:rsidRPr="00584FFB">
        <w:rPr>
          <w:lang w:val="es-CR"/>
        </w:rPr>
        <w:t xml:space="preserve"> Álvarez, Ayala y Bascuñán (2019) demostraron que las creencias irracionales tienen relación con el riesgo suicida en adolescentes chilenos y colombianos y que las distorsiones, pueden ser de cuatro tipos: filtraje, interpretación del pensamiento, pensamiento polarizado y sobregeneralización</w:t>
      </w:r>
      <w:r w:rsidR="00B01660">
        <w:rPr>
          <w:lang w:val="es-CR"/>
        </w:rPr>
        <w:t xml:space="preserve">. </w:t>
      </w:r>
      <w:r w:rsidR="00B01660" w:rsidRPr="00584FFB">
        <w:rPr>
          <w:lang w:val="es-CR"/>
        </w:rPr>
        <w:t xml:space="preserve"> </w:t>
      </w:r>
    </w:p>
    <w:p w14:paraId="1C311CC8" w14:textId="3EC8B61D" w:rsidR="000610E3" w:rsidRPr="00584FFB" w:rsidRDefault="00210875" w:rsidP="00115125">
      <w:pPr>
        <w:pStyle w:val="Prrafocomn"/>
        <w:ind w:firstLine="709"/>
        <w:rPr>
          <w:lang w:val="es-CR"/>
        </w:rPr>
      </w:pPr>
      <w:r w:rsidRPr="00584FFB">
        <w:rPr>
          <w:lang w:val="es-CR"/>
        </w:rPr>
        <w:t xml:space="preserve">Existen otros componentes sociales asociados al suicidio, entre ellos se encuentra el consumo de sustancias lícitas e ilícitas, al verse conducida la conducta suicida por sentimientos de </w:t>
      </w:r>
      <w:r w:rsidRPr="00584FFB">
        <w:rPr>
          <w:lang w:val="es-CR"/>
        </w:rPr>
        <w:lastRenderedPageBreak/>
        <w:t xml:space="preserve">desesperación, descrédito personal, trastornos mentales, abandono de la familia y a la falta de fe </w:t>
      </w:r>
      <w:r w:rsidR="000610E3" w:rsidRPr="00584FFB">
        <w:rPr>
          <w:lang w:val="es-CR"/>
        </w:rPr>
        <w:t xml:space="preserve">(Campo-Arias, Suárez-Colorado y Caballero-Domínguez, 2020). </w:t>
      </w:r>
    </w:p>
    <w:p w14:paraId="5396E2BA" w14:textId="77777777" w:rsidR="008304BC" w:rsidRDefault="004D188E" w:rsidP="00115125">
      <w:pPr>
        <w:pStyle w:val="Prrafocomn"/>
        <w:ind w:firstLine="709"/>
        <w:rPr>
          <w:lang w:val="es-CR"/>
        </w:rPr>
      </w:pPr>
      <w:r w:rsidRPr="00584FFB">
        <w:rPr>
          <w:lang w:val="es-CR"/>
        </w:rPr>
        <w:t>En el caso de Costa Rica, el perfil de las personas que acabaron con su vida a causa del suicidio</w:t>
      </w:r>
      <w:r w:rsidR="00D1192A">
        <w:rPr>
          <w:lang w:val="es-CR"/>
        </w:rPr>
        <w:t xml:space="preserve"> en el 2014</w:t>
      </w:r>
      <w:r w:rsidRPr="00584FFB">
        <w:rPr>
          <w:lang w:val="es-CR"/>
        </w:rPr>
        <w:t>, lo conformaron en su mayoría hombres</w:t>
      </w:r>
      <w:r w:rsidR="00AD20FD">
        <w:rPr>
          <w:lang w:val="es-CR"/>
        </w:rPr>
        <w:t xml:space="preserve"> que residen en la provincia de Guanacaste</w:t>
      </w:r>
      <w:r w:rsidR="00D1192A">
        <w:rPr>
          <w:lang w:val="es-CR"/>
        </w:rPr>
        <w:t xml:space="preserve"> (</w:t>
      </w:r>
      <w:r w:rsidR="008304BC">
        <w:rPr>
          <w:lang w:val="es-CR"/>
        </w:rPr>
        <w:t>Campos, Alemán y Torres, 2021).</w:t>
      </w:r>
    </w:p>
    <w:p w14:paraId="6EE88BA2" w14:textId="6F53B057" w:rsidR="00210875" w:rsidRPr="00584FFB" w:rsidRDefault="008304BC" w:rsidP="00115125">
      <w:pPr>
        <w:pStyle w:val="Prrafocomn"/>
        <w:ind w:firstLine="709"/>
        <w:rPr>
          <w:lang w:val="es-CR"/>
        </w:rPr>
      </w:pPr>
      <w:r>
        <w:rPr>
          <w:lang w:val="es-CR"/>
        </w:rPr>
        <w:t>A su vez,</w:t>
      </w:r>
      <w:r w:rsidR="004D188E" w:rsidRPr="00584FFB">
        <w:rPr>
          <w:lang w:val="es-CR"/>
        </w:rPr>
        <w:t xml:space="preserve"> el rango de la edad tanto para hombres </w:t>
      </w:r>
      <w:r w:rsidR="002E5415">
        <w:rPr>
          <w:lang w:val="es-CR"/>
        </w:rPr>
        <w:t>como para</w:t>
      </w:r>
      <w:r w:rsidR="004D188E" w:rsidRPr="00584FFB">
        <w:rPr>
          <w:lang w:val="es-CR"/>
        </w:rPr>
        <w:t xml:space="preserve"> mujeres se encontró entre los 21 a los 30 años y entre los principales métodos para consumar el suicidio, se registró </w:t>
      </w:r>
      <w:bookmarkStart w:id="2" w:name="_Hlk148982665"/>
      <w:r w:rsidR="004D188E" w:rsidRPr="00584FFB">
        <w:rPr>
          <w:lang w:val="es-CR"/>
        </w:rPr>
        <w:t xml:space="preserve">asfixia por ahorcadura, intoxicación con plaguicidas y herida por arma de fuego </w:t>
      </w:r>
      <w:bookmarkEnd w:id="2"/>
      <w:r w:rsidR="00210875" w:rsidRPr="00584FFB">
        <w:rPr>
          <w:lang w:val="es-CR"/>
        </w:rPr>
        <w:t xml:space="preserve">A su vez, para el 2015 y el 2017 los meses con mayores celebraciones festivas, fueron </w:t>
      </w:r>
      <w:r w:rsidR="002E5415">
        <w:rPr>
          <w:lang w:val="es-CR"/>
        </w:rPr>
        <w:t xml:space="preserve">en </w:t>
      </w:r>
      <w:r w:rsidR="00210875" w:rsidRPr="00584FFB">
        <w:rPr>
          <w:lang w:val="es-CR"/>
        </w:rPr>
        <w:t xml:space="preserve">los que se ubicaron la mayor cantidad de casos </w:t>
      </w:r>
      <w:r w:rsidR="00BA6BB2" w:rsidRPr="00584FFB">
        <w:rPr>
          <w:lang w:val="es-CR"/>
        </w:rPr>
        <w:t xml:space="preserve">(Pino, 2021). </w:t>
      </w:r>
    </w:p>
    <w:p w14:paraId="179D3669" w14:textId="424B4D7B" w:rsidR="00901E7E" w:rsidRPr="00584FFB" w:rsidRDefault="007F139E" w:rsidP="00115125">
      <w:pPr>
        <w:pStyle w:val="Prrafocomn"/>
        <w:ind w:firstLine="709"/>
        <w:rPr>
          <w:lang w:val="es-CR"/>
        </w:rPr>
      </w:pPr>
      <w:r w:rsidRPr="00584FFB">
        <w:rPr>
          <w:lang w:val="es-CR"/>
        </w:rPr>
        <w:t xml:space="preserve">Otras investigaciones se han enfocado en diagnósticos comunitarios, como es el caso del estudio realizado en la Universidad Mayor y Universidad de Los Lagos, Chile por Soto, </w:t>
      </w:r>
      <w:bookmarkStart w:id="3" w:name="_Hlk148982280"/>
      <w:r w:rsidRPr="00584FFB">
        <w:rPr>
          <w:lang w:val="es-CR"/>
        </w:rPr>
        <w:t>Villarroel y Véliz (2020)</w:t>
      </w:r>
      <w:bookmarkEnd w:id="3"/>
      <w:r w:rsidR="002E5415">
        <w:rPr>
          <w:lang w:val="es-CR"/>
        </w:rPr>
        <w:t>.</w:t>
      </w:r>
      <w:r w:rsidRPr="00584FFB">
        <w:rPr>
          <w:lang w:val="es-CR"/>
        </w:rPr>
        <w:t xml:space="preserve"> </w:t>
      </w:r>
      <w:r w:rsidR="002E5415">
        <w:rPr>
          <w:lang w:val="es-CR"/>
        </w:rPr>
        <w:t>D</w:t>
      </w:r>
      <w:r w:rsidRPr="00584FFB">
        <w:rPr>
          <w:lang w:val="es-CR"/>
        </w:rPr>
        <w:t xml:space="preserve">entro del sustento teórico resaltan distintas investigaciones </w:t>
      </w:r>
      <w:proofErr w:type="gramStart"/>
      <w:r w:rsidRPr="00584FFB">
        <w:rPr>
          <w:lang w:val="es-CR"/>
        </w:rPr>
        <w:t>en relación a</w:t>
      </w:r>
      <w:proofErr w:type="gramEnd"/>
      <w:r w:rsidRPr="00584FFB">
        <w:rPr>
          <w:lang w:val="es-CR"/>
        </w:rPr>
        <w:t xml:space="preserve"> los factores de riesgo del suicidio, haciendo énfasis en que el suicidio no se vincula con algún trastorno mental, sino que se aproxima más a </w:t>
      </w:r>
      <w:r w:rsidR="00EE601C" w:rsidRPr="00584FFB">
        <w:rPr>
          <w:lang w:val="es-CR"/>
        </w:rPr>
        <w:t>variables sociodemográficas</w:t>
      </w:r>
      <w:r w:rsidRPr="00584FFB">
        <w:rPr>
          <w:lang w:val="es-CR"/>
        </w:rPr>
        <w:t xml:space="preserve">, familiares, </w:t>
      </w:r>
      <w:r w:rsidR="005568F6" w:rsidRPr="00584FFB">
        <w:rPr>
          <w:lang w:val="es-CR"/>
        </w:rPr>
        <w:t>abuso de</w:t>
      </w:r>
      <w:r w:rsidR="00C74C47">
        <w:rPr>
          <w:lang w:val="es-CR"/>
        </w:rPr>
        <w:t xml:space="preserve"> </w:t>
      </w:r>
      <w:r w:rsidRPr="00584FFB">
        <w:rPr>
          <w:lang w:val="es-CR"/>
        </w:rPr>
        <w:t xml:space="preserve">sustancias, autoestima, depresión, desesperanza, funcionalidad familiar, impulsividad y acontecimientos vitales. </w:t>
      </w:r>
    </w:p>
    <w:p w14:paraId="35EC8720" w14:textId="5FA3DAED" w:rsidR="007F139E" w:rsidRPr="00584FFB" w:rsidRDefault="00901E7E" w:rsidP="00115125">
      <w:pPr>
        <w:pStyle w:val="Prrafocomn"/>
        <w:ind w:firstLine="709"/>
        <w:rPr>
          <w:lang w:val="es-CR"/>
        </w:rPr>
      </w:pPr>
      <w:r w:rsidRPr="00584FFB">
        <w:rPr>
          <w:lang w:val="es-CR"/>
        </w:rPr>
        <w:t>De forma análoga</w:t>
      </w:r>
      <w:r w:rsidR="007F139E" w:rsidRPr="00584FFB">
        <w:rPr>
          <w:lang w:val="es-CR"/>
        </w:rPr>
        <w:t xml:space="preserve"> </w:t>
      </w:r>
      <w:r w:rsidRPr="00584FFB">
        <w:rPr>
          <w:lang w:val="es-CR"/>
        </w:rPr>
        <w:t xml:space="preserve">Soto, Villaroel y Véliz (2020) </w:t>
      </w:r>
      <w:r w:rsidR="007F139E" w:rsidRPr="00584FFB">
        <w:rPr>
          <w:lang w:val="es-CR"/>
        </w:rPr>
        <w:t xml:space="preserve">enfatizan en que </w:t>
      </w:r>
      <w:r w:rsidR="007F139E" w:rsidRPr="00584FFB">
        <w:rPr>
          <w:i/>
          <w:iCs/>
          <w:lang w:val="es-CR"/>
        </w:rPr>
        <w:t>U.S. Office of the Surgeon General, National Action Alliance for Suicide Prevention</w:t>
      </w:r>
      <w:r w:rsidR="007F139E" w:rsidRPr="00584FFB">
        <w:rPr>
          <w:lang w:val="es-CR"/>
        </w:rPr>
        <w:t xml:space="preserve"> (2012) </w:t>
      </w:r>
      <w:r w:rsidR="007F139E" w:rsidRPr="00584FFB">
        <w:rPr>
          <w:i/>
          <w:iCs/>
          <w:lang w:val="es-CR"/>
        </w:rPr>
        <w:t>y la World Health Organization</w:t>
      </w:r>
      <w:r w:rsidR="007F139E" w:rsidRPr="00584FFB">
        <w:rPr>
          <w:lang w:val="es-CR"/>
        </w:rPr>
        <w:t xml:space="preserve"> (2014) categoriz</w:t>
      </w:r>
      <w:r w:rsidR="00DE4C0D">
        <w:rPr>
          <w:lang w:val="es-CR"/>
        </w:rPr>
        <w:t>aron</w:t>
      </w:r>
      <w:r w:rsidR="007F139E" w:rsidRPr="00584FFB">
        <w:rPr>
          <w:lang w:val="es-CR"/>
        </w:rPr>
        <w:t xml:space="preserve"> los factores de riesgo en cuatro niveles: (1) a nivel individual</w:t>
      </w:r>
      <w:r w:rsidR="00DE4C0D">
        <w:rPr>
          <w:lang w:val="es-CR"/>
        </w:rPr>
        <w:t>:</w:t>
      </w:r>
      <w:r w:rsidR="007F139E" w:rsidRPr="00584FFB">
        <w:rPr>
          <w:lang w:val="es-CR"/>
        </w:rPr>
        <w:t xml:space="preserve"> antecedentes de depresión, desesperanza, abuso de sustancias, ser víctima o perpetrador de violencia, y determinantes genéticos y biológicos; (2) </w:t>
      </w:r>
      <w:r w:rsidR="00DE4C0D">
        <w:rPr>
          <w:lang w:val="es-CR"/>
        </w:rPr>
        <w:t xml:space="preserve">a </w:t>
      </w:r>
      <w:r w:rsidR="007F139E" w:rsidRPr="00584FFB">
        <w:rPr>
          <w:lang w:val="es-CR"/>
        </w:rPr>
        <w:t xml:space="preserve">nivel relacional señalan las relaciones altamente conflictivas o violentas, sensación de aislamiento y de falta de apoyo social, antecedentes de suicidio de un familiar o ser querido, estrés financiero o laboral; (3) </w:t>
      </w:r>
      <w:r w:rsidR="00C94249">
        <w:rPr>
          <w:lang w:val="es-CR"/>
        </w:rPr>
        <w:t xml:space="preserve">a </w:t>
      </w:r>
      <w:r w:rsidR="007F139E" w:rsidRPr="00584FFB">
        <w:rPr>
          <w:lang w:val="es-CR"/>
        </w:rPr>
        <w:t>nivel comunitario</w:t>
      </w:r>
      <w:r w:rsidR="00C94249">
        <w:rPr>
          <w:lang w:val="es-CR"/>
        </w:rPr>
        <w:t xml:space="preserve">, </w:t>
      </w:r>
      <w:r w:rsidR="007F139E" w:rsidRPr="00584FFB">
        <w:rPr>
          <w:lang w:val="es-CR"/>
        </w:rPr>
        <w:t xml:space="preserve">la inadecuada conexión con la comunidad; (4) </w:t>
      </w:r>
      <w:r w:rsidR="00C94249">
        <w:rPr>
          <w:lang w:val="es-CR"/>
        </w:rPr>
        <w:t xml:space="preserve">a </w:t>
      </w:r>
      <w:r w:rsidR="007F139E" w:rsidRPr="00584FFB">
        <w:rPr>
          <w:lang w:val="es-CR"/>
        </w:rPr>
        <w:t>nivel social, el estigma relacionado con buscar ayuda y con la enfermedad mental</w:t>
      </w:r>
      <w:r w:rsidR="00A36E42" w:rsidRPr="00584FFB">
        <w:rPr>
          <w:lang w:val="es-CR"/>
        </w:rPr>
        <w:t xml:space="preserve">. </w:t>
      </w:r>
    </w:p>
    <w:p w14:paraId="0731223A" w14:textId="3AC0AD2D" w:rsidR="00272987" w:rsidRPr="00584FFB" w:rsidRDefault="00272987" w:rsidP="00115125">
      <w:pPr>
        <w:pStyle w:val="Prrafocomn"/>
        <w:ind w:firstLine="709"/>
        <w:rPr>
          <w:lang w:val="es-CR"/>
        </w:rPr>
      </w:pPr>
      <w:r w:rsidRPr="00584FFB">
        <w:rPr>
          <w:lang w:val="es-CR"/>
        </w:rPr>
        <w:t xml:space="preserve">En el plano internacional se ha dictaminado el suicido como una de las principales causas de muerte entre adolescentes y personas adultas en el mundo actual. Según la Organización Mundial de la Salud, el suicidio es la tercera causa de muerte en el grupo de edad de 15-29 años </w:t>
      </w:r>
      <w:bookmarkStart w:id="4" w:name="_Hlk139368397"/>
      <w:r w:rsidRPr="00584FFB">
        <w:rPr>
          <w:lang w:val="es-CR"/>
        </w:rPr>
        <w:t>(Dávila y Pardo, 2020, p. 2)</w:t>
      </w:r>
      <w:bookmarkEnd w:id="4"/>
    </w:p>
    <w:p w14:paraId="31F89A22" w14:textId="24F755EA" w:rsidR="00151476" w:rsidRPr="00584FFB" w:rsidRDefault="00151476" w:rsidP="00115125">
      <w:pPr>
        <w:pStyle w:val="Prrafocomn"/>
        <w:ind w:firstLine="709"/>
        <w:rPr>
          <w:lang w:val="es-CR"/>
        </w:rPr>
      </w:pPr>
      <w:r w:rsidRPr="00584FFB">
        <w:rPr>
          <w:lang w:val="es-CR"/>
        </w:rPr>
        <w:lastRenderedPageBreak/>
        <w:t>Los suicidios no solo ocurren en los países de altos ingresos, sino que es un fenómeno que afecta a todas las regiones del mundo. De hecho, más del 77% de los suicidios ocurridos en 2019</w:t>
      </w:r>
      <w:r w:rsidR="00C94249">
        <w:rPr>
          <w:lang w:val="es-CR"/>
        </w:rPr>
        <w:t>,</w:t>
      </w:r>
      <w:r w:rsidRPr="00584FFB">
        <w:rPr>
          <w:lang w:val="es-CR"/>
        </w:rPr>
        <w:t xml:space="preserve"> tuvieron lugar en países de ingresos bajos y medianos, por otro lado, en estos países los métodos de suicidio más comunes </w:t>
      </w:r>
      <w:r w:rsidR="00AD59BC" w:rsidRPr="00584FFB">
        <w:rPr>
          <w:lang w:val="es-CR"/>
        </w:rPr>
        <w:t xml:space="preserve">en el mundo </w:t>
      </w:r>
      <w:r w:rsidRPr="00584FFB">
        <w:rPr>
          <w:lang w:val="es-CR"/>
        </w:rPr>
        <w:t>corresponden a: la ingestión de plaguicidas, el ahorcamiento y el disparo con armas de fuego</w:t>
      </w:r>
      <w:bookmarkStart w:id="5" w:name="_Hlk139378083"/>
      <w:r w:rsidR="00AD59BC">
        <w:rPr>
          <w:lang w:val="es-CR"/>
        </w:rPr>
        <w:t xml:space="preserve"> </w:t>
      </w:r>
      <w:r w:rsidRPr="00584FFB">
        <w:rPr>
          <w:lang w:val="es-CR"/>
        </w:rPr>
        <w:t>(Organización Mundial de la Salud, 2021)</w:t>
      </w:r>
      <w:bookmarkEnd w:id="5"/>
      <w:r w:rsidR="00AD59BC">
        <w:rPr>
          <w:lang w:val="es-CR"/>
        </w:rPr>
        <w:t xml:space="preserve">. </w:t>
      </w:r>
    </w:p>
    <w:p w14:paraId="7B65B080" w14:textId="5FD999E9" w:rsidR="00272987" w:rsidRPr="00584FFB" w:rsidRDefault="00151476" w:rsidP="00115125">
      <w:pPr>
        <w:pStyle w:val="Prrafocomn"/>
        <w:ind w:firstLine="709"/>
        <w:rPr>
          <w:lang w:val="es-CR"/>
        </w:rPr>
      </w:pPr>
      <w:r w:rsidRPr="00584FFB">
        <w:rPr>
          <w:lang w:val="es-CR"/>
        </w:rPr>
        <w:t>En Costa Rica el suicidio es la tercera causa de muerte en los adolescentes desde el año 2005. Aunado a lo anterior, según el Ministerio de Salud de Costa Rica (2023), del año 2019 y hasta el 2021, se contabilizan 1147 fallecimientos por suicidio, siendo que: “el 83% (950) han sido hombres y el 17% (197) mujeres. Solo en el 2021 se registran un total de 377 fallecimientos por suicidio y 2156 intentos de suicidio (755 hombres; 1401 mujeres)”. (párr. 12).</w:t>
      </w:r>
    </w:p>
    <w:p w14:paraId="369B4E6F" w14:textId="36F5AA0F" w:rsidR="00210875" w:rsidRPr="00584FFB" w:rsidRDefault="00210875" w:rsidP="00115125">
      <w:pPr>
        <w:pStyle w:val="Prrafocomn"/>
        <w:rPr>
          <w:lang w:val="es-CR"/>
        </w:rPr>
      </w:pPr>
      <w:r w:rsidRPr="00584FFB">
        <w:rPr>
          <w:lang w:val="es-CR"/>
        </w:rPr>
        <w:t xml:space="preserve">El comportamiento suicida es un fenómeno social que cada vez va en aumento y que en Costa Rica se visualiza como una de las principales problemáticas que aqueja a la salud pública. Para el año 2015, se registraron en </w:t>
      </w:r>
      <w:r w:rsidR="00C94249">
        <w:rPr>
          <w:lang w:val="es-CR"/>
        </w:rPr>
        <w:t>el país</w:t>
      </w:r>
      <w:r w:rsidRPr="00584FFB">
        <w:rPr>
          <w:lang w:val="es-CR"/>
        </w:rPr>
        <w:t>, 1408 intentos de suicidio, realizados principalmente por mujeres entre 15 y 19 años. En ese mismo año, el número de suicidios consumados fue de 295, de los cuales, el 84% correspondió a hombres</w:t>
      </w:r>
      <w:r w:rsidR="00BC4B7D">
        <w:rPr>
          <w:lang w:val="es-CR"/>
        </w:rPr>
        <w:t xml:space="preserve"> </w:t>
      </w:r>
      <w:r w:rsidRPr="00584FFB">
        <w:rPr>
          <w:lang w:val="es-CR"/>
        </w:rPr>
        <w:t>(Instituto Nacional de Estadísticas y Censos</w:t>
      </w:r>
      <w:r w:rsidR="00BC4B7D">
        <w:rPr>
          <w:lang w:val="es-CR"/>
        </w:rPr>
        <w:t xml:space="preserve">, </w:t>
      </w:r>
      <w:r w:rsidRPr="00584FFB">
        <w:rPr>
          <w:lang w:val="es-CR"/>
        </w:rPr>
        <w:t>2015). Para el año 2019 la cifra de muertes por suicidio aumentó a 342 (88% hombres) (</w:t>
      </w:r>
      <w:r w:rsidR="00BC4B7D" w:rsidRPr="00584FFB">
        <w:rPr>
          <w:lang w:val="es-CR"/>
        </w:rPr>
        <w:t>Instituto Nacional de Estadísticas y Censos</w:t>
      </w:r>
      <w:r w:rsidR="00BC4B7D">
        <w:rPr>
          <w:lang w:val="es-CR"/>
        </w:rPr>
        <w:t xml:space="preserve">, </w:t>
      </w:r>
      <w:r w:rsidR="00BC4B7D" w:rsidRPr="00584FFB">
        <w:rPr>
          <w:lang w:val="es-CR"/>
        </w:rPr>
        <w:t>201</w:t>
      </w:r>
      <w:r w:rsidR="00BC4B7D">
        <w:rPr>
          <w:lang w:val="es-CR"/>
        </w:rPr>
        <w:t>9</w:t>
      </w:r>
      <w:r w:rsidRPr="00584FFB">
        <w:rPr>
          <w:lang w:val="es-CR"/>
        </w:rPr>
        <w:t>).</w:t>
      </w:r>
    </w:p>
    <w:p w14:paraId="00203C4F" w14:textId="278E5B1C" w:rsidR="009C3B38" w:rsidRPr="00584FFB" w:rsidRDefault="009C3B38" w:rsidP="00115125">
      <w:pPr>
        <w:pStyle w:val="Prrafocomn"/>
        <w:rPr>
          <w:lang w:val="es-CR"/>
        </w:rPr>
      </w:pPr>
      <w:r w:rsidRPr="00584FFB">
        <w:rPr>
          <w:lang w:val="es-CR"/>
        </w:rPr>
        <w:t>Para comprender mejor esta problemática, interesa la construcción de los marcos conceptuales que han mediado en los conocimientos y creencias con relación al suicidio, razón por la cual se postula</w:t>
      </w:r>
      <w:r w:rsidR="00422243">
        <w:rPr>
          <w:lang w:val="es-CR"/>
        </w:rPr>
        <w:t>n</w:t>
      </w:r>
      <w:r w:rsidRPr="00584FFB">
        <w:rPr>
          <w:lang w:val="es-CR"/>
        </w:rPr>
        <w:t xml:space="preserve"> como objeto de estudio los esquemas sociales, al considerarse las siguientes premisas (Rojas, 2021):</w:t>
      </w:r>
    </w:p>
    <w:p w14:paraId="401219A9" w14:textId="77777777" w:rsidR="009C3B38" w:rsidRPr="00584FFB" w:rsidRDefault="009C3B38" w:rsidP="00115125">
      <w:pPr>
        <w:pStyle w:val="Prrafocomn"/>
        <w:rPr>
          <w:lang w:val="es-CR"/>
        </w:rPr>
      </w:pPr>
      <w:r w:rsidRPr="00584FFB">
        <w:rPr>
          <w:lang w:val="es-CR"/>
        </w:rPr>
        <w:t>1. Las personas actúan según el significado atribuido a los objetos y situaciones que los rodean.</w:t>
      </w:r>
    </w:p>
    <w:p w14:paraId="116F4370" w14:textId="77777777" w:rsidR="009C3B38" w:rsidRPr="00584FFB" w:rsidRDefault="009C3B38" w:rsidP="00115125">
      <w:pPr>
        <w:pStyle w:val="Prrafocomn"/>
        <w:rPr>
          <w:lang w:val="es-CR"/>
        </w:rPr>
      </w:pPr>
      <w:r w:rsidRPr="00584FFB">
        <w:rPr>
          <w:lang w:val="es-CR"/>
        </w:rPr>
        <w:t>2. La importancia de las cosas surge de la interacción social que un individuo tiene con otros actores.</w:t>
      </w:r>
    </w:p>
    <w:p w14:paraId="2DF0B747" w14:textId="39F27B80" w:rsidR="00723F21" w:rsidRPr="00584FFB" w:rsidRDefault="009C3B38" w:rsidP="00115125">
      <w:pPr>
        <w:pStyle w:val="Prrafocomn"/>
        <w:rPr>
          <w:lang w:val="es-CR"/>
        </w:rPr>
      </w:pPr>
      <w:r w:rsidRPr="00584FFB">
        <w:rPr>
          <w:lang w:val="es-CR"/>
        </w:rPr>
        <w:t>3. Estos significados se utilizan como un proceso de interpretación realizado por la persona en su relación con las cosas que encuentra y se modifican a través de dicho proceso.</w:t>
      </w:r>
    </w:p>
    <w:p w14:paraId="29A2EA85" w14:textId="2E787FCF" w:rsidR="00210875" w:rsidRPr="00584FFB" w:rsidRDefault="00210875" w:rsidP="00115125">
      <w:pPr>
        <w:pStyle w:val="Prrafocomn"/>
        <w:rPr>
          <w:lang w:val="es-CR"/>
        </w:rPr>
      </w:pPr>
      <w:r w:rsidRPr="00584FFB">
        <w:rPr>
          <w:lang w:val="es-CR"/>
        </w:rPr>
        <w:t xml:space="preserve">De acuerdo con la </w:t>
      </w:r>
      <w:r w:rsidR="00BC4B7D" w:rsidRPr="00584FFB">
        <w:rPr>
          <w:lang w:val="es-CR"/>
        </w:rPr>
        <w:t>Organización Mundial de la Salud</w:t>
      </w:r>
      <w:r w:rsidRPr="00584FFB">
        <w:rPr>
          <w:lang w:val="es-CR"/>
        </w:rPr>
        <w:t xml:space="preserve"> (2000), el impacto a nivel psicológico, social y financiero de cada suicidio consumado afecta al menos a otras seis personas. Esto evidencia la necesidad de entender el comportamiento suicida como un fenómeno social, que debe ser abordado no solo a nivel individual, sino también a nivel social y comunitario.</w:t>
      </w:r>
    </w:p>
    <w:p w14:paraId="13E75AEC" w14:textId="6AC6A673" w:rsidR="00210875" w:rsidRPr="00584FFB" w:rsidRDefault="00210875" w:rsidP="00115125">
      <w:pPr>
        <w:pStyle w:val="Prrafocomn"/>
        <w:rPr>
          <w:lang w:val="es-CR"/>
        </w:rPr>
      </w:pPr>
      <w:r w:rsidRPr="00584FFB">
        <w:rPr>
          <w:lang w:val="es-CR"/>
        </w:rPr>
        <w:lastRenderedPageBreak/>
        <w:t>El logro de los objetivos de este proyecto permit</w:t>
      </w:r>
      <w:r w:rsidR="00C74C47">
        <w:rPr>
          <w:lang w:val="es-CR"/>
        </w:rPr>
        <w:t>e</w:t>
      </w:r>
      <w:r w:rsidRPr="00584FFB">
        <w:rPr>
          <w:lang w:val="es-CR"/>
        </w:rPr>
        <w:t xml:space="preserve"> generar datos iniciales de las </w:t>
      </w:r>
      <w:r w:rsidR="00C74C47">
        <w:rPr>
          <w:lang w:val="es-CR"/>
        </w:rPr>
        <w:t>c</w:t>
      </w:r>
      <w:r w:rsidRPr="00584FFB">
        <w:rPr>
          <w:lang w:val="es-CR"/>
        </w:rPr>
        <w:t>aracterísticas sociodemográficas de las comunidades de interés, los conceptos y las cogniciones de un grupo de personas en relación del suicidio</w:t>
      </w:r>
      <w:r w:rsidR="00422243">
        <w:rPr>
          <w:lang w:val="es-CR"/>
        </w:rPr>
        <w:t>,</w:t>
      </w:r>
      <w:r w:rsidRPr="00584FFB">
        <w:rPr>
          <w:lang w:val="es-CR"/>
        </w:rPr>
        <w:t xml:space="preserve"> para en un primer momento, adquirir todos los recursos necesarios para comprender la problemática del suicidio y en un segundo momento, poder desarrollar acciones que sean atinentes y según las necesidades de la población de estudio.</w:t>
      </w:r>
    </w:p>
    <w:p w14:paraId="35A09C4E" w14:textId="77777777" w:rsidR="00083DAE" w:rsidRPr="00C45394" w:rsidRDefault="00083DAE" w:rsidP="003E0397">
      <w:pPr>
        <w:pStyle w:val="Ttulosinternos"/>
        <w:rPr>
          <w:lang w:val="es-419"/>
        </w:rPr>
      </w:pPr>
    </w:p>
    <w:p w14:paraId="2254AC27" w14:textId="65D4F3FA" w:rsidR="006F7E7E" w:rsidRPr="00C45394" w:rsidRDefault="001516ED" w:rsidP="003E0397">
      <w:pPr>
        <w:pStyle w:val="Ttulosinternos"/>
        <w:rPr>
          <w:lang w:val="es-419"/>
        </w:rPr>
      </w:pPr>
      <w:r w:rsidRPr="00C45394">
        <w:rPr>
          <w:lang w:val="es-419"/>
        </w:rPr>
        <w:t>M</w:t>
      </w:r>
      <w:r w:rsidR="00107993" w:rsidRPr="00C45394">
        <w:rPr>
          <w:lang w:val="es-419"/>
        </w:rPr>
        <w:t>étodo</w:t>
      </w:r>
    </w:p>
    <w:p w14:paraId="464EA3C8" w14:textId="77777777" w:rsidR="00C74C47" w:rsidRDefault="00C74C47" w:rsidP="00115125">
      <w:pPr>
        <w:pStyle w:val="Prrafocomn"/>
        <w:rPr>
          <w:rFonts w:eastAsia="Calibri"/>
          <w:lang w:val="es-CR"/>
        </w:rPr>
      </w:pPr>
    </w:p>
    <w:p w14:paraId="07A7A816" w14:textId="61EC6E41" w:rsidR="00083DAE" w:rsidRPr="00584FFB" w:rsidRDefault="00F24EB3" w:rsidP="00115125">
      <w:pPr>
        <w:pStyle w:val="Prrafocomn"/>
        <w:rPr>
          <w:rFonts w:eastAsia="Calibri"/>
          <w:lang w:val="es-CR"/>
        </w:rPr>
      </w:pPr>
      <w:r w:rsidRPr="00584FFB">
        <w:rPr>
          <w:rFonts w:eastAsia="Calibri"/>
          <w:lang w:val="es-CR"/>
        </w:rPr>
        <w:t xml:space="preserve">El estudio </w:t>
      </w:r>
      <w:r w:rsidR="009A6DF2" w:rsidRPr="00584FFB">
        <w:rPr>
          <w:rFonts w:eastAsia="Calibri"/>
          <w:lang w:val="es-CR"/>
        </w:rPr>
        <w:t>se desarrolló bajo</w:t>
      </w:r>
      <w:r w:rsidRPr="00584FFB">
        <w:rPr>
          <w:rFonts w:eastAsia="Calibri"/>
          <w:lang w:val="es-CR"/>
        </w:rPr>
        <w:t xml:space="preserve"> un enfoque cuantitativo, no experimental-descriptivo (Jiménez, 2020). </w:t>
      </w:r>
    </w:p>
    <w:p w14:paraId="0FF30507" w14:textId="77777777" w:rsidR="00C42A4E" w:rsidRPr="00584FFB" w:rsidRDefault="00C42A4E" w:rsidP="00AA4B7B">
      <w:pPr>
        <w:pStyle w:val="Prrafocomn"/>
        <w:jc w:val="left"/>
        <w:rPr>
          <w:rFonts w:eastAsia="Calibri"/>
          <w:lang w:val="es-CR"/>
        </w:rPr>
      </w:pPr>
    </w:p>
    <w:p w14:paraId="2F19162A" w14:textId="2620F75F" w:rsidR="006F7E7E" w:rsidRPr="0057139C" w:rsidRDefault="005B24FF" w:rsidP="00AA4B7B">
      <w:pPr>
        <w:pStyle w:val="SubtituloInterno"/>
        <w:rPr>
          <w:rFonts w:eastAsia="Calibri"/>
          <w:lang w:val="es-CR"/>
        </w:rPr>
      </w:pPr>
      <w:r w:rsidRPr="0057139C">
        <w:rPr>
          <w:rFonts w:eastAsia="Calibri"/>
          <w:lang w:val="es-CR"/>
        </w:rPr>
        <w:t>Participantes</w:t>
      </w:r>
      <w:r w:rsidR="000138CD" w:rsidRPr="0057139C">
        <w:rPr>
          <w:rFonts w:eastAsia="Calibri"/>
          <w:lang w:val="es-CR"/>
        </w:rPr>
        <w:t xml:space="preserve"> y procedimiento</w:t>
      </w:r>
    </w:p>
    <w:p w14:paraId="31C76622" w14:textId="77777777" w:rsidR="00CF4C18" w:rsidRPr="0057139C" w:rsidRDefault="00CF4C18" w:rsidP="00AA4B7B">
      <w:pPr>
        <w:pStyle w:val="SubtituloInterno"/>
        <w:rPr>
          <w:rFonts w:eastAsia="Calibri"/>
          <w:lang w:val="es-CR"/>
        </w:rPr>
      </w:pPr>
    </w:p>
    <w:p w14:paraId="301BA75D" w14:textId="2FF0572E" w:rsidR="005568F6" w:rsidRPr="005568F6" w:rsidRDefault="005568F6" w:rsidP="00115125">
      <w:pPr>
        <w:pStyle w:val="Prrafocomn"/>
        <w:rPr>
          <w:rFonts w:eastAsia="Calibri"/>
          <w:lang w:val="es-CR"/>
        </w:rPr>
      </w:pPr>
      <w:r w:rsidRPr="00584FFB">
        <w:rPr>
          <w:rFonts w:eastAsia="Calibri"/>
          <w:lang w:val="es-CR"/>
        </w:rPr>
        <w:t>Durante los meses de febrero a junio del 2022, en coordinación con la ILAIS de Montes de Oca, se contactó a la población registrada en las bases de datos del Ministerio de Salud, vía correo electrónico y redes sociales de la Municipalidad de Montes de Oca y del Área de Salud Carmen Montes de Oca, para la aplicación del cuestionario. Inicialmente, se registraron 600 respuestas en la base de datos y luego de depurar y limpiar la misma, se eliminaron 74 casos que no correspondían a las zonas de interés, presentaban errores de digitación o datos incompletos.</w:t>
      </w:r>
    </w:p>
    <w:p w14:paraId="791E1285" w14:textId="7AC4DB2B" w:rsidR="009A6DF2" w:rsidRPr="00584FFB" w:rsidRDefault="009A6DF2" w:rsidP="00115125">
      <w:pPr>
        <w:pStyle w:val="Prrafocomn"/>
        <w:rPr>
          <w:rFonts w:eastAsia="Calibri"/>
          <w:lang w:val="es-CR"/>
        </w:rPr>
      </w:pPr>
      <w:r w:rsidRPr="00584FFB">
        <w:rPr>
          <w:rFonts w:eastAsia="Calibri"/>
          <w:lang w:val="es-CR"/>
        </w:rPr>
        <w:t xml:space="preserve">Se trabajó con una muestra voluntaria </w:t>
      </w:r>
      <w:r w:rsidR="00185389" w:rsidRPr="00584FFB">
        <w:rPr>
          <w:rFonts w:eastAsia="Calibri"/>
          <w:lang w:val="es-CR"/>
        </w:rPr>
        <w:t>de 526 personas con edades entre los 15 a los 70 años (M=28</w:t>
      </w:r>
      <w:r w:rsidR="00F40EB5" w:rsidRPr="00584FFB">
        <w:rPr>
          <w:rFonts w:eastAsia="Calibri"/>
          <w:lang w:val="es-CR"/>
        </w:rPr>
        <w:t>,</w:t>
      </w:r>
      <w:r w:rsidR="00185389" w:rsidRPr="00584FFB">
        <w:rPr>
          <w:rFonts w:eastAsia="Calibri"/>
          <w:lang w:val="es-CR"/>
        </w:rPr>
        <w:t>23; DE=11</w:t>
      </w:r>
      <w:r w:rsidR="00F40EB5" w:rsidRPr="00584FFB">
        <w:rPr>
          <w:rFonts w:eastAsia="Calibri"/>
          <w:lang w:val="es-CR"/>
        </w:rPr>
        <w:t>,</w:t>
      </w:r>
      <w:r w:rsidR="00185389" w:rsidRPr="00584FFB">
        <w:rPr>
          <w:rFonts w:eastAsia="Calibri"/>
          <w:lang w:val="es-CR"/>
        </w:rPr>
        <w:t xml:space="preserve">60) de los cuales 229 son mujeres y 293 hombres (2 personas afirmaron no identificarse con estos sexos y 2 personas prefirieron no responder). Los participantes fueron </w:t>
      </w:r>
      <w:r w:rsidRPr="00584FFB">
        <w:rPr>
          <w:rFonts w:eastAsia="Calibri"/>
          <w:lang w:val="es-CR"/>
        </w:rPr>
        <w:t>residente</w:t>
      </w:r>
      <w:r w:rsidR="00185389" w:rsidRPr="00584FFB">
        <w:rPr>
          <w:rFonts w:eastAsia="Calibri"/>
          <w:lang w:val="es-CR"/>
        </w:rPr>
        <w:t>s</w:t>
      </w:r>
      <w:r w:rsidRPr="00584FFB">
        <w:rPr>
          <w:rFonts w:eastAsia="Calibri"/>
          <w:lang w:val="es-CR"/>
        </w:rPr>
        <w:t xml:space="preserve"> de las comunidades de Montes de Oca y Heredia, Costa Rica</w:t>
      </w:r>
      <w:r w:rsidR="00185389" w:rsidRPr="00584FFB">
        <w:rPr>
          <w:rFonts w:eastAsia="Calibri"/>
          <w:lang w:val="es-CR"/>
        </w:rPr>
        <w:t xml:space="preserve">. </w:t>
      </w:r>
    </w:p>
    <w:p w14:paraId="7207506F" w14:textId="2FA676E4" w:rsidR="00CF6542" w:rsidRDefault="000058B5" w:rsidP="00115125">
      <w:pPr>
        <w:pStyle w:val="Prrafocomn"/>
        <w:rPr>
          <w:rFonts w:eastAsia="Calibri"/>
          <w:lang w:val="es-CR"/>
        </w:rPr>
      </w:pPr>
      <w:r w:rsidRPr="00584FFB">
        <w:rPr>
          <w:rFonts w:eastAsia="Calibri"/>
          <w:lang w:val="es-CR"/>
        </w:rPr>
        <w:t>En cuanto a la ocupación de los participantes, se obtuv</w:t>
      </w:r>
      <w:r w:rsidR="00CF6542" w:rsidRPr="00584FFB">
        <w:rPr>
          <w:rFonts w:eastAsia="Calibri"/>
          <w:lang w:val="es-CR"/>
        </w:rPr>
        <w:t>ieron respuestas muy variadas</w:t>
      </w:r>
      <w:r w:rsidR="008D4930" w:rsidRPr="00584FFB">
        <w:rPr>
          <w:rFonts w:eastAsia="Calibri"/>
          <w:lang w:val="es-CR"/>
        </w:rPr>
        <w:t xml:space="preserve"> (Tabla 1)</w:t>
      </w:r>
      <w:r w:rsidR="002A08E8" w:rsidRPr="00584FFB">
        <w:rPr>
          <w:rFonts w:eastAsia="Calibri"/>
          <w:lang w:val="es-CR"/>
        </w:rPr>
        <w:t>. No obstante, el grupo de encuestados que predominó fueron los estudiantes universitarios (n=</w:t>
      </w:r>
      <w:r w:rsidR="0060456E" w:rsidRPr="00584FFB">
        <w:rPr>
          <w:rFonts w:eastAsia="Calibri"/>
          <w:lang w:val="es-CR"/>
        </w:rPr>
        <w:t>231</w:t>
      </w:r>
      <w:r w:rsidR="002F1F94" w:rsidRPr="00584FFB">
        <w:rPr>
          <w:rFonts w:eastAsia="Calibri"/>
          <w:lang w:val="es-CR"/>
        </w:rPr>
        <w:t>)</w:t>
      </w:r>
      <w:r w:rsidR="00577890" w:rsidRPr="00584FFB">
        <w:rPr>
          <w:rFonts w:eastAsia="Calibri"/>
          <w:lang w:val="es-CR"/>
        </w:rPr>
        <w:t>, seguido por los profesionales especializados (n=166)</w:t>
      </w:r>
      <w:r w:rsidR="00C85647" w:rsidRPr="00584FFB">
        <w:rPr>
          <w:rFonts w:eastAsia="Calibri"/>
          <w:lang w:val="es-CR"/>
        </w:rPr>
        <w:t xml:space="preserve"> y los trabajadores en ocupación calificada (n=101). </w:t>
      </w:r>
    </w:p>
    <w:p w14:paraId="7BDE705A" w14:textId="77777777" w:rsidR="005568F6" w:rsidRDefault="005568F6" w:rsidP="00AA4B7B">
      <w:pPr>
        <w:pStyle w:val="Prrafocomn"/>
        <w:jc w:val="left"/>
        <w:rPr>
          <w:rFonts w:eastAsia="Calibri"/>
          <w:lang w:val="es-CR"/>
        </w:rPr>
      </w:pPr>
    </w:p>
    <w:p w14:paraId="6CB4837D" w14:textId="77777777" w:rsidR="005568F6" w:rsidRDefault="005568F6" w:rsidP="00AA4B7B">
      <w:pPr>
        <w:pStyle w:val="Prrafocomn"/>
        <w:jc w:val="left"/>
        <w:rPr>
          <w:rFonts w:eastAsia="Calibri"/>
          <w:lang w:val="es-CR"/>
        </w:rPr>
      </w:pPr>
    </w:p>
    <w:p w14:paraId="482D062B" w14:textId="77777777" w:rsidR="00DC4322" w:rsidRDefault="00DC4322" w:rsidP="00AA4B7B">
      <w:pPr>
        <w:pStyle w:val="Prrafocomn"/>
        <w:jc w:val="left"/>
        <w:rPr>
          <w:rFonts w:eastAsia="Calibri"/>
          <w:lang w:val="es-CR"/>
        </w:rPr>
      </w:pPr>
    </w:p>
    <w:p w14:paraId="213FF102" w14:textId="089E0D4F" w:rsidR="006D2864" w:rsidRPr="00584FFB" w:rsidRDefault="006D2864" w:rsidP="006D2864">
      <w:pPr>
        <w:keepNext/>
        <w:pBdr>
          <w:top w:val="nil"/>
          <w:left w:val="nil"/>
          <w:bottom w:val="nil"/>
          <w:right w:val="nil"/>
          <w:between w:val="nil"/>
          <w:bar w:val="nil"/>
        </w:pBdr>
        <w:suppressAutoHyphens/>
        <w:spacing w:line="0" w:lineRule="atLeast"/>
        <w:rPr>
          <w:color w:val="00000A"/>
          <w:sz w:val="20"/>
          <w:szCs w:val="20"/>
          <w:u w:color="00000A"/>
          <w:bdr w:val="nil"/>
          <w14:textOutline w14:w="0" w14:cap="flat" w14:cmpd="sng" w14:algn="ctr">
            <w14:noFill/>
            <w14:prstDash w14:val="solid"/>
            <w14:bevel/>
          </w14:textOutline>
        </w:rPr>
      </w:pPr>
      <w:r w:rsidRPr="00584FFB">
        <w:rPr>
          <w:color w:val="00000A"/>
          <w:sz w:val="20"/>
          <w:szCs w:val="20"/>
          <w:u w:color="00000A"/>
          <w:bdr w:val="nil"/>
          <w14:textOutline w14:w="0" w14:cap="flat" w14:cmpd="sng" w14:algn="ctr">
            <w14:noFill/>
            <w14:prstDash w14:val="solid"/>
            <w14:bevel/>
          </w14:textOutline>
        </w:rPr>
        <w:lastRenderedPageBreak/>
        <w:t>Tabla 1</w:t>
      </w:r>
      <w:r w:rsidRPr="00584FFB">
        <w:rPr>
          <w:color w:val="00000A"/>
          <w:sz w:val="20"/>
          <w:szCs w:val="20"/>
          <w:u w:color="00000A"/>
          <w:bdr w:val="nil"/>
          <w14:textOutline w14:w="0" w14:cap="flat" w14:cmpd="sng" w14:algn="ctr">
            <w14:noFill/>
            <w14:prstDash w14:val="solid"/>
            <w14:bevel/>
          </w14:textOutline>
        </w:rPr>
        <w:br/>
      </w:r>
      <w:r w:rsidRPr="00584FFB">
        <w:rPr>
          <w:i/>
          <w:iCs/>
          <w:color w:val="00000A"/>
          <w:sz w:val="20"/>
          <w:szCs w:val="20"/>
          <w:u w:color="00000A"/>
          <w:bdr w:val="nil"/>
          <w14:textOutline w14:w="0" w14:cap="flat" w14:cmpd="sng" w14:algn="ctr">
            <w14:noFill/>
            <w14:prstDash w14:val="solid"/>
            <w14:bevel/>
          </w14:textOutline>
        </w:rPr>
        <w:t>Distribución de los participantes según su ocupación</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6262"/>
        <w:gridCol w:w="1570"/>
        <w:gridCol w:w="1572"/>
      </w:tblGrid>
      <w:tr w:rsidR="00A53DCF" w:rsidRPr="00584FFB" w14:paraId="5DEA88FB" w14:textId="77777777" w:rsidTr="000D2492">
        <w:trPr>
          <w:trHeight w:val="222"/>
        </w:trPr>
        <w:tc>
          <w:tcPr>
            <w:tcW w:w="3329" w:type="pct"/>
            <w:tcBorders>
              <w:top w:val="single" w:sz="4" w:space="0" w:color="auto"/>
              <w:left w:val="nil"/>
              <w:bottom w:val="single" w:sz="4" w:space="0" w:color="000000"/>
              <w:right w:val="nil"/>
            </w:tcBorders>
            <w:shd w:val="clear" w:color="auto" w:fill="auto"/>
            <w:tcMar>
              <w:top w:w="80" w:type="dxa"/>
              <w:left w:w="80" w:type="dxa"/>
              <w:bottom w:w="80" w:type="dxa"/>
              <w:right w:w="80" w:type="dxa"/>
            </w:tcMar>
          </w:tcPr>
          <w:p w14:paraId="2E488306" w14:textId="77777777" w:rsidR="00A53DCF" w:rsidRPr="00584FFB" w:rsidRDefault="00A53DCF" w:rsidP="00C3223F">
            <w:pPr>
              <w:rPr>
                <w:rFonts w:eastAsia="Arial Unicode MS"/>
                <w:lang w:eastAsia="en-US"/>
              </w:rPr>
            </w:pPr>
          </w:p>
        </w:tc>
        <w:tc>
          <w:tcPr>
            <w:tcW w:w="835" w:type="pct"/>
            <w:tcBorders>
              <w:top w:val="single" w:sz="4" w:space="0" w:color="auto"/>
              <w:left w:val="nil"/>
              <w:bottom w:val="single" w:sz="4" w:space="0" w:color="000000"/>
              <w:right w:val="nil"/>
            </w:tcBorders>
            <w:shd w:val="clear" w:color="auto" w:fill="auto"/>
            <w:tcMar>
              <w:top w:w="80" w:type="dxa"/>
              <w:left w:w="80" w:type="dxa"/>
              <w:bottom w:w="80" w:type="dxa"/>
              <w:right w:w="80" w:type="dxa"/>
            </w:tcMar>
          </w:tcPr>
          <w:p w14:paraId="2ED74B42" w14:textId="7C4E6305" w:rsidR="00A53DCF" w:rsidRPr="00584FFB" w:rsidRDefault="00A53DCF" w:rsidP="00C3223F">
            <w:pPr>
              <w:suppressAutoHyphens/>
              <w:spacing w:line="100" w:lineRule="atLeast"/>
              <w:jc w:val="center"/>
              <w:rPr>
                <w:i/>
                <w:iCs/>
                <w:color w:val="000000"/>
                <w:u w:color="000000"/>
                <w14:textOutline w14:w="0" w14:cap="flat" w14:cmpd="sng" w14:algn="ctr">
                  <w14:noFill/>
                  <w14:prstDash w14:val="solid"/>
                  <w14:bevel/>
                </w14:textOutline>
              </w:rPr>
            </w:pPr>
            <w:r w:rsidRPr="00584FFB">
              <w:rPr>
                <w:i/>
                <w:iCs/>
                <w:color w:val="000000"/>
                <w:u w:color="000000"/>
                <w14:textOutline w14:w="0" w14:cap="flat" w14:cmpd="sng" w14:algn="ctr">
                  <w14:noFill/>
                  <w14:prstDash w14:val="solid"/>
                  <w14:bevel/>
                </w14:textOutline>
              </w:rPr>
              <w:t>f</w:t>
            </w:r>
          </w:p>
        </w:tc>
        <w:tc>
          <w:tcPr>
            <w:tcW w:w="836" w:type="pct"/>
            <w:tcBorders>
              <w:top w:val="single" w:sz="4" w:space="0" w:color="auto"/>
              <w:left w:val="nil"/>
              <w:bottom w:val="single" w:sz="4" w:space="0" w:color="000000"/>
              <w:right w:val="nil"/>
            </w:tcBorders>
            <w:shd w:val="clear" w:color="auto" w:fill="auto"/>
            <w:tcMar>
              <w:top w:w="80" w:type="dxa"/>
              <w:left w:w="80" w:type="dxa"/>
              <w:bottom w:w="80" w:type="dxa"/>
              <w:right w:w="80" w:type="dxa"/>
            </w:tcMar>
          </w:tcPr>
          <w:p w14:paraId="146EE0CC" w14:textId="4BBC9431" w:rsidR="00A53DCF" w:rsidRPr="00584FFB" w:rsidRDefault="00A53DCF" w:rsidP="00C3223F">
            <w:pPr>
              <w:suppressAutoHyphens/>
              <w:spacing w:line="100" w:lineRule="atLeast"/>
              <w:jc w:val="center"/>
              <w:rPr>
                <w:i/>
                <w:iCs/>
                <w:color w:val="000000"/>
                <w:u w:color="000000"/>
                <w14:textOutline w14:w="0" w14:cap="flat" w14:cmpd="sng" w14:algn="ctr">
                  <w14:noFill/>
                  <w14:prstDash w14:val="solid"/>
                  <w14:bevel/>
                </w14:textOutline>
              </w:rPr>
            </w:pPr>
            <w:r w:rsidRPr="00584FFB">
              <w:rPr>
                <w:i/>
                <w:iCs/>
                <w:color w:val="000000"/>
                <w:u w:color="000000"/>
                <w14:textOutline w14:w="0" w14:cap="flat" w14:cmpd="sng" w14:algn="ctr">
                  <w14:noFill/>
                  <w14:prstDash w14:val="solid"/>
                  <w14:bevel/>
                </w14:textOutline>
              </w:rPr>
              <w:t>%</w:t>
            </w:r>
          </w:p>
        </w:tc>
      </w:tr>
      <w:tr w:rsidR="00A53DCF" w:rsidRPr="00584FFB" w14:paraId="1CD5E715" w14:textId="77777777" w:rsidTr="00A53DCF">
        <w:trPr>
          <w:trHeight w:val="217"/>
        </w:trPr>
        <w:tc>
          <w:tcPr>
            <w:tcW w:w="3329" w:type="pct"/>
            <w:tcBorders>
              <w:top w:val="single" w:sz="4" w:space="0" w:color="000000"/>
              <w:left w:val="nil"/>
              <w:bottom w:val="nil"/>
              <w:right w:val="nil"/>
            </w:tcBorders>
            <w:shd w:val="clear" w:color="auto" w:fill="auto"/>
            <w:tcMar>
              <w:top w:w="80" w:type="dxa"/>
              <w:left w:w="80" w:type="dxa"/>
              <w:bottom w:w="80" w:type="dxa"/>
              <w:right w:w="80" w:type="dxa"/>
            </w:tcMar>
          </w:tcPr>
          <w:p w14:paraId="0995EFE3" w14:textId="46F78F88" w:rsidR="00A53DCF" w:rsidRPr="00584FFB" w:rsidRDefault="00861F1D" w:rsidP="00C3223F">
            <w:pPr>
              <w:suppressAutoHyphens/>
              <w:spacing w:line="100" w:lineRule="atLeast"/>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Pensionado</w:t>
            </w:r>
          </w:p>
        </w:tc>
        <w:tc>
          <w:tcPr>
            <w:tcW w:w="835"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8207DC1" w14:textId="71EBB6C7" w:rsidR="00A53DCF" w:rsidRPr="00584FFB" w:rsidRDefault="00A47014" w:rsidP="00C3223F">
            <w:pPr>
              <w:suppressAutoHyphens/>
              <w:spacing w:line="100" w:lineRule="atLeast"/>
              <w:jc w:val="center"/>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3</w:t>
            </w:r>
          </w:p>
        </w:tc>
        <w:tc>
          <w:tcPr>
            <w:tcW w:w="836"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18527FB" w14:textId="0BF77CC0" w:rsidR="00A53DCF" w:rsidRPr="00584FFB" w:rsidRDefault="00A47014" w:rsidP="00C3223F">
            <w:pPr>
              <w:suppressAutoHyphens/>
              <w:spacing w:line="100" w:lineRule="atLeast"/>
              <w:jc w:val="center"/>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0,57</w:t>
            </w:r>
          </w:p>
        </w:tc>
      </w:tr>
      <w:tr w:rsidR="00A53DCF" w:rsidRPr="00584FFB" w14:paraId="4DFE5E65" w14:textId="77777777" w:rsidTr="00485484">
        <w:trPr>
          <w:trHeight w:val="212"/>
        </w:trPr>
        <w:tc>
          <w:tcPr>
            <w:tcW w:w="3329" w:type="pct"/>
            <w:tcBorders>
              <w:top w:val="nil"/>
              <w:left w:val="nil"/>
              <w:bottom w:val="nil"/>
              <w:right w:val="nil"/>
            </w:tcBorders>
            <w:shd w:val="clear" w:color="auto" w:fill="auto"/>
            <w:tcMar>
              <w:top w:w="80" w:type="dxa"/>
              <w:left w:w="80" w:type="dxa"/>
              <w:bottom w:w="80" w:type="dxa"/>
              <w:right w:w="80" w:type="dxa"/>
            </w:tcMar>
          </w:tcPr>
          <w:p w14:paraId="550EC47A" w14:textId="65F69FAE" w:rsidR="00A53DCF" w:rsidRPr="00584FFB" w:rsidRDefault="00A47014" w:rsidP="00C3223F">
            <w:pPr>
              <w:suppressAutoHyphens/>
              <w:spacing w:line="100" w:lineRule="atLeast"/>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Desempleado</w:t>
            </w:r>
          </w:p>
        </w:tc>
        <w:tc>
          <w:tcPr>
            <w:tcW w:w="835" w:type="pct"/>
            <w:tcBorders>
              <w:top w:val="nil"/>
              <w:left w:val="nil"/>
              <w:bottom w:val="nil"/>
              <w:right w:val="nil"/>
            </w:tcBorders>
            <w:shd w:val="clear" w:color="auto" w:fill="auto"/>
            <w:tcMar>
              <w:top w:w="80" w:type="dxa"/>
              <w:left w:w="80" w:type="dxa"/>
              <w:bottom w:w="80" w:type="dxa"/>
              <w:right w:w="80" w:type="dxa"/>
            </w:tcMar>
            <w:vAlign w:val="center"/>
          </w:tcPr>
          <w:p w14:paraId="329470D6" w14:textId="04A59A89" w:rsidR="00A53DCF" w:rsidRPr="00584FFB" w:rsidRDefault="00A47014" w:rsidP="00C3223F">
            <w:pPr>
              <w:suppressAutoHyphens/>
              <w:spacing w:line="100" w:lineRule="atLeast"/>
              <w:jc w:val="center"/>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25</w:t>
            </w:r>
          </w:p>
        </w:tc>
        <w:tc>
          <w:tcPr>
            <w:tcW w:w="836" w:type="pct"/>
            <w:tcBorders>
              <w:top w:val="nil"/>
              <w:left w:val="nil"/>
              <w:bottom w:val="nil"/>
              <w:right w:val="nil"/>
            </w:tcBorders>
            <w:shd w:val="clear" w:color="auto" w:fill="auto"/>
            <w:tcMar>
              <w:top w:w="80" w:type="dxa"/>
              <w:left w:w="80" w:type="dxa"/>
              <w:bottom w:w="80" w:type="dxa"/>
              <w:right w:w="80" w:type="dxa"/>
            </w:tcMar>
            <w:vAlign w:val="center"/>
          </w:tcPr>
          <w:p w14:paraId="03B98688" w14:textId="037AC255" w:rsidR="00A53DCF" w:rsidRPr="00584FFB" w:rsidRDefault="00A47014" w:rsidP="00C3223F">
            <w:pPr>
              <w:suppressAutoHyphens/>
              <w:spacing w:line="100" w:lineRule="atLeast"/>
              <w:jc w:val="center"/>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4,75</w:t>
            </w:r>
          </w:p>
        </w:tc>
      </w:tr>
      <w:tr w:rsidR="00A53DCF" w:rsidRPr="00584FFB" w14:paraId="06D42525" w14:textId="77777777" w:rsidTr="00485484">
        <w:trPr>
          <w:trHeight w:val="217"/>
        </w:trPr>
        <w:tc>
          <w:tcPr>
            <w:tcW w:w="3329" w:type="pct"/>
            <w:tcBorders>
              <w:top w:val="nil"/>
              <w:left w:val="nil"/>
              <w:bottom w:val="nil"/>
              <w:right w:val="nil"/>
            </w:tcBorders>
            <w:shd w:val="clear" w:color="auto" w:fill="auto"/>
            <w:tcMar>
              <w:top w:w="80" w:type="dxa"/>
              <w:left w:w="80" w:type="dxa"/>
              <w:bottom w:w="80" w:type="dxa"/>
              <w:right w:w="80" w:type="dxa"/>
            </w:tcMar>
          </w:tcPr>
          <w:p w14:paraId="32781C3D" w14:textId="385C1714" w:rsidR="00A53DCF" w:rsidRPr="00584FFB" w:rsidRDefault="00F06AA2" w:rsidP="00C3223F">
            <w:pPr>
              <w:suppressAutoHyphens/>
              <w:spacing w:line="100" w:lineRule="atLeast"/>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Trabajador en ocupación calificada (</w:t>
            </w:r>
            <w:r w:rsidR="00AD59BC" w:rsidRPr="00584FFB">
              <w:rPr>
                <w:color w:val="000000"/>
                <w:u w:color="000000"/>
                <w14:textOutline w14:w="0" w14:cap="flat" w14:cmpd="sng" w14:algn="ctr">
                  <w14:noFill/>
                  <w14:prstDash w14:val="solid"/>
                  <w14:bevel/>
                </w14:textOutline>
              </w:rPr>
              <w:t>bodeguero</w:t>
            </w:r>
            <w:r w:rsidRPr="00584FFB">
              <w:rPr>
                <w:color w:val="000000"/>
                <w:u w:color="000000"/>
                <w14:textOutline w14:w="0" w14:cap="flat" w14:cmpd="sng" w14:algn="ctr">
                  <w14:noFill/>
                  <w14:prstDash w14:val="solid"/>
                  <w14:bevel/>
                </w14:textOutline>
              </w:rPr>
              <w:t xml:space="preserve">, manicurista, </w:t>
            </w:r>
            <w:r w:rsidR="00040616" w:rsidRPr="00584FFB">
              <w:rPr>
                <w:color w:val="000000"/>
                <w:u w:color="000000"/>
                <w14:textOutline w14:w="0" w14:cap="flat" w14:cmpd="sng" w14:algn="ctr">
                  <w14:noFill/>
                  <w14:prstDash w14:val="solid"/>
                  <w14:bevel/>
                </w14:textOutline>
              </w:rPr>
              <w:t>barbero, estilista</w:t>
            </w:r>
            <w:r w:rsidR="00485484" w:rsidRPr="00584FFB">
              <w:rPr>
                <w:color w:val="000000"/>
                <w:u w:color="000000"/>
                <w14:textOutline w14:w="0" w14:cap="flat" w14:cmpd="sng" w14:algn="ctr">
                  <w14:noFill/>
                  <w14:prstDash w14:val="solid"/>
                  <w14:bevel/>
                </w14:textOutline>
              </w:rPr>
              <w:t>, entre otros).</w:t>
            </w:r>
          </w:p>
        </w:tc>
        <w:tc>
          <w:tcPr>
            <w:tcW w:w="835" w:type="pct"/>
            <w:tcBorders>
              <w:top w:val="nil"/>
              <w:left w:val="nil"/>
              <w:bottom w:val="nil"/>
              <w:right w:val="nil"/>
            </w:tcBorders>
            <w:shd w:val="clear" w:color="auto" w:fill="auto"/>
            <w:tcMar>
              <w:top w:w="80" w:type="dxa"/>
              <w:left w:w="80" w:type="dxa"/>
              <w:bottom w:w="80" w:type="dxa"/>
              <w:right w:w="80" w:type="dxa"/>
            </w:tcMar>
            <w:vAlign w:val="center"/>
          </w:tcPr>
          <w:p w14:paraId="44E017F1" w14:textId="2215B66A" w:rsidR="00A53DCF" w:rsidRPr="00584FFB" w:rsidRDefault="00485484" w:rsidP="00C3223F">
            <w:pPr>
              <w:suppressAutoHyphens/>
              <w:spacing w:line="100" w:lineRule="atLeast"/>
              <w:jc w:val="center"/>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101</w:t>
            </w:r>
          </w:p>
        </w:tc>
        <w:tc>
          <w:tcPr>
            <w:tcW w:w="836" w:type="pct"/>
            <w:tcBorders>
              <w:top w:val="nil"/>
              <w:left w:val="nil"/>
              <w:bottom w:val="nil"/>
              <w:right w:val="nil"/>
            </w:tcBorders>
            <w:shd w:val="clear" w:color="auto" w:fill="auto"/>
            <w:tcMar>
              <w:top w:w="80" w:type="dxa"/>
              <w:left w:w="80" w:type="dxa"/>
              <w:bottom w:w="80" w:type="dxa"/>
              <w:right w:w="80" w:type="dxa"/>
            </w:tcMar>
            <w:vAlign w:val="center"/>
          </w:tcPr>
          <w:p w14:paraId="640352D6" w14:textId="22A04EAE" w:rsidR="00A53DCF" w:rsidRPr="00584FFB" w:rsidRDefault="00485484" w:rsidP="00C3223F">
            <w:pPr>
              <w:suppressAutoHyphens/>
              <w:spacing w:line="100" w:lineRule="atLeast"/>
              <w:jc w:val="center"/>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19,20</w:t>
            </w:r>
          </w:p>
        </w:tc>
      </w:tr>
      <w:tr w:rsidR="00A53DCF" w:rsidRPr="00584FFB" w14:paraId="57EA159D" w14:textId="77777777" w:rsidTr="006B7A3F">
        <w:trPr>
          <w:trHeight w:val="217"/>
        </w:trPr>
        <w:tc>
          <w:tcPr>
            <w:tcW w:w="3329" w:type="pct"/>
            <w:tcBorders>
              <w:top w:val="nil"/>
              <w:left w:val="nil"/>
              <w:bottom w:val="nil"/>
              <w:right w:val="nil"/>
            </w:tcBorders>
            <w:shd w:val="clear" w:color="auto" w:fill="auto"/>
            <w:tcMar>
              <w:top w:w="80" w:type="dxa"/>
              <w:left w:w="80" w:type="dxa"/>
              <w:bottom w:w="80" w:type="dxa"/>
              <w:right w:w="80" w:type="dxa"/>
            </w:tcMar>
          </w:tcPr>
          <w:p w14:paraId="35C9CBB9" w14:textId="0B26846E" w:rsidR="00A53DCF" w:rsidRPr="00584FFB" w:rsidRDefault="00CF02C4" w:rsidP="00C3223F">
            <w:pPr>
              <w:suppressAutoHyphens/>
              <w:spacing w:line="100" w:lineRule="atLeast"/>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 xml:space="preserve">Profesional especializado (gerencia, médico, odontólogo, psicólogo, ingeniero, entre otros). </w:t>
            </w:r>
          </w:p>
        </w:tc>
        <w:tc>
          <w:tcPr>
            <w:tcW w:w="835" w:type="pct"/>
            <w:tcBorders>
              <w:top w:val="nil"/>
              <w:left w:val="nil"/>
              <w:bottom w:val="nil"/>
              <w:right w:val="nil"/>
            </w:tcBorders>
            <w:shd w:val="clear" w:color="auto" w:fill="auto"/>
            <w:tcMar>
              <w:top w:w="80" w:type="dxa"/>
              <w:left w:w="80" w:type="dxa"/>
              <w:bottom w:w="80" w:type="dxa"/>
              <w:right w:w="80" w:type="dxa"/>
            </w:tcMar>
            <w:vAlign w:val="center"/>
          </w:tcPr>
          <w:p w14:paraId="1999423D" w14:textId="6E7832A9" w:rsidR="00A53DCF" w:rsidRPr="00584FFB" w:rsidRDefault="00CF02C4" w:rsidP="00C3223F">
            <w:pPr>
              <w:suppressAutoHyphens/>
              <w:spacing w:line="100" w:lineRule="atLeast"/>
              <w:jc w:val="center"/>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166</w:t>
            </w:r>
          </w:p>
        </w:tc>
        <w:tc>
          <w:tcPr>
            <w:tcW w:w="836" w:type="pct"/>
            <w:tcBorders>
              <w:top w:val="nil"/>
              <w:left w:val="nil"/>
              <w:bottom w:val="nil"/>
              <w:right w:val="nil"/>
            </w:tcBorders>
            <w:shd w:val="clear" w:color="auto" w:fill="auto"/>
            <w:tcMar>
              <w:top w:w="80" w:type="dxa"/>
              <w:left w:w="80" w:type="dxa"/>
              <w:bottom w:w="80" w:type="dxa"/>
              <w:right w:w="80" w:type="dxa"/>
            </w:tcMar>
            <w:vAlign w:val="center"/>
          </w:tcPr>
          <w:p w14:paraId="278EE352" w14:textId="0B5BF2F4" w:rsidR="00A53DCF" w:rsidRPr="00584FFB" w:rsidRDefault="00A86A61" w:rsidP="00C3223F">
            <w:pPr>
              <w:suppressAutoHyphens/>
              <w:spacing w:line="100" w:lineRule="atLeast"/>
              <w:jc w:val="center"/>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31,56</w:t>
            </w:r>
          </w:p>
        </w:tc>
      </w:tr>
      <w:tr w:rsidR="00A53DCF" w:rsidRPr="00584FFB" w14:paraId="052E7E19" w14:textId="77777777" w:rsidTr="006B7A3F">
        <w:trPr>
          <w:trHeight w:val="217"/>
        </w:trPr>
        <w:tc>
          <w:tcPr>
            <w:tcW w:w="3329" w:type="pct"/>
            <w:tcBorders>
              <w:top w:val="nil"/>
              <w:left w:val="nil"/>
              <w:bottom w:val="single" w:sz="4" w:space="0" w:color="auto"/>
              <w:right w:val="nil"/>
            </w:tcBorders>
            <w:shd w:val="clear" w:color="auto" w:fill="auto"/>
            <w:tcMar>
              <w:top w:w="80" w:type="dxa"/>
              <w:left w:w="80" w:type="dxa"/>
              <w:bottom w:w="80" w:type="dxa"/>
              <w:right w:w="80" w:type="dxa"/>
            </w:tcMar>
          </w:tcPr>
          <w:p w14:paraId="4A4C16B4" w14:textId="126551FC" w:rsidR="00A53DCF" w:rsidRPr="00584FFB" w:rsidRDefault="00A86A61" w:rsidP="00C3223F">
            <w:pPr>
              <w:suppressAutoHyphens/>
              <w:spacing w:line="100" w:lineRule="atLeast"/>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Estudiante universitario</w:t>
            </w:r>
          </w:p>
        </w:tc>
        <w:tc>
          <w:tcPr>
            <w:tcW w:w="835"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640FDC18" w14:textId="2196274A" w:rsidR="00A53DCF" w:rsidRPr="00584FFB" w:rsidRDefault="00A86A61" w:rsidP="00C3223F">
            <w:pPr>
              <w:suppressAutoHyphens/>
              <w:spacing w:line="100" w:lineRule="atLeast"/>
              <w:jc w:val="center"/>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231</w:t>
            </w:r>
          </w:p>
        </w:tc>
        <w:tc>
          <w:tcPr>
            <w:tcW w:w="836" w:type="pct"/>
            <w:tcBorders>
              <w:top w:val="nil"/>
              <w:left w:val="nil"/>
              <w:bottom w:val="single" w:sz="4" w:space="0" w:color="auto"/>
              <w:right w:val="nil"/>
            </w:tcBorders>
            <w:shd w:val="clear" w:color="auto" w:fill="auto"/>
            <w:tcMar>
              <w:top w:w="80" w:type="dxa"/>
              <w:left w:w="80" w:type="dxa"/>
              <w:bottom w:w="80" w:type="dxa"/>
              <w:right w:w="80" w:type="dxa"/>
            </w:tcMar>
            <w:vAlign w:val="center"/>
          </w:tcPr>
          <w:p w14:paraId="4F7B635A" w14:textId="0BBE0198" w:rsidR="00A53DCF" w:rsidRPr="00584FFB" w:rsidRDefault="00A86A61" w:rsidP="00C3223F">
            <w:pPr>
              <w:suppressAutoHyphens/>
              <w:spacing w:line="100" w:lineRule="atLeast"/>
              <w:jc w:val="center"/>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43,92</w:t>
            </w:r>
          </w:p>
        </w:tc>
      </w:tr>
      <w:tr w:rsidR="00A86A61" w:rsidRPr="00584FFB" w14:paraId="541B56D1" w14:textId="77777777" w:rsidTr="006B7A3F">
        <w:trPr>
          <w:trHeight w:val="217"/>
        </w:trPr>
        <w:tc>
          <w:tcPr>
            <w:tcW w:w="3329" w:type="pct"/>
            <w:tcBorders>
              <w:top w:val="single" w:sz="4" w:space="0" w:color="auto"/>
              <w:left w:val="nil"/>
              <w:bottom w:val="single" w:sz="4" w:space="0" w:color="auto"/>
              <w:right w:val="nil"/>
            </w:tcBorders>
            <w:shd w:val="clear" w:color="auto" w:fill="auto"/>
            <w:tcMar>
              <w:top w:w="80" w:type="dxa"/>
              <w:left w:w="80" w:type="dxa"/>
              <w:bottom w:w="80" w:type="dxa"/>
              <w:right w:w="80" w:type="dxa"/>
            </w:tcMar>
          </w:tcPr>
          <w:p w14:paraId="4E16E340" w14:textId="484F950A" w:rsidR="00A86A61" w:rsidRPr="00584FFB" w:rsidRDefault="00A86A61" w:rsidP="00C3223F">
            <w:pPr>
              <w:suppressAutoHyphens/>
              <w:spacing w:line="100" w:lineRule="atLeast"/>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Total</w:t>
            </w:r>
          </w:p>
        </w:tc>
        <w:tc>
          <w:tcPr>
            <w:tcW w:w="835" w:type="pc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5F18FAAB" w14:textId="0198E44C" w:rsidR="00A86A61" w:rsidRPr="00584FFB" w:rsidRDefault="009117A4" w:rsidP="00C3223F">
            <w:pPr>
              <w:suppressAutoHyphens/>
              <w:spacing w:line="100" w:lineRule="atLeast"/>
              <w:jc w:val="center"/>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526</w:t>
            </w:r>
          </w:p>
        </w:tc>
        <w:tc>
          <w:tcPr>
            <w:tcW w:w="836" w:type="pct"/>
            <w:tcBorders>
              <w:top w:val="single" w:sz="4" w:space="0" w:color="auto"/>
              <w:left w:val="nil"/>
              <w:bottom w:val="single" w:sz="4" w:space="0" w:color="auto"/>
              <w:right w:val="nil"/>
            </w:tcBorders>
            <w:shd w:val="clear" w:color="auto" w:fill="auto"/>
            <w:tcMar>
              <w:top w:w="80" w:type="dxa"/>
              <w:left w:w="80" w:type="dxa"/>
              <w:bottom w:w="80" w:type="dxa"/>
              <w:right w:w="80" w:type="dxa"/>
            </w:tcMar>
            <w:vAlign w:val="center"/>
          </w:tcPr>
          <w:p w14:paraId="5C556BF4" w14:textId="6B360E3A" w:rsidR="00A86A61" w:rsidRPr="00584FFB" w:rsidRDefault="006B7A3F" w:rsidP="00C3223F">
            <w:pPr>
              <w:suppressAutoHyphens/>
              <w:spacing w:line="100" w:lineRule="atLeast"/>
              <w:jc w:val="center"/>
              <w:rPr>
                <w:color w:val="000000"/>
                <w:u w:color="000000"/>
                <w14:textOutline w14:w="0" w14:cap="flat" w14:cmpd="sng" w14:algn="ctr">
                  <w14:noFill/>
                  <w14:prstDash w14:val="solid"/>
                  <w14:bevel/>
                </w14:textOutline>
              </w:rPr>
            </w:pPr>
            <w:r w:rsidRPr="00584FFB">
              <w:rPr>
                <w:color w:val="000000"/>
                <w:u w:color="000000"/>
                <w14:textOutline w14:w="0" w14:cap="flat" w14:cmpd="sng" w14:algn="ctr">
                  <w14:noFill/>
                  <w14:prstDash w14:val="solid"/>
                  <w14:bevel/>
                </w14:textOutline>
              </w:rPr>
              <w:t>100</w:t>
            </w:r>
          </w:p>
        </w:tc>
      </w:tr>
    </w:tbl>
    <w:p w14:paraId="6A01C85A" w14:textId="77777777" w:rsidR="00EA5D05" w:rsidRPr="00584FFB" w:rsidRDefault="00EA5D05" w:rsidP="00CF4C18">
      <w:pPr>
        <w:pStyle w:val="Prrafocomn"/>
        <w:rPr>
          <w:rFonts w:eastAsia="Calibri"/>
          <w:lang w:val="es-CR"/>
        </w:rPr>
      </w:pPr>
    </w:p>
    <w:p w14:paraId="33F9FA68" w14:textId="1808472B" w:rsidR="00C74C47" w:rsidRDefault="000138CD" w:rsidP="00115125">
      <w:pPr>
        <w:pStyle w:val="SubtituloInterno"/>
        <w:rPr>
          <w:rFonts w:eastAsia="Calibri"/>
        </w:rPr>
      </w:pPr>
      <w:r w:rsidRPr="00D6093C">
        <w:rPr>
          <w:rFonts w:eastAsia="Calibri"/>
        </w:rPr>
        <w:t xml:space="preserve">Instrumentos </w:t>
      </w:r>
    </w:p>
    <w:p w14:paraId="3F183E0B" w14:textId="77777777" w:rsidR="003E0397" w:rsidRPr="00D6093C" w:rsidRDefault="003E0397" w:rsidP="00115125">
      <w:pPr>
        <w:pStyle w:val="SubtituloInterno"/>
        <w:rPr>
          <w:rFonts w:eastAsia="Calibri"/>
        </w:rPr>
      </w:pPr>
    </w:p>
    <w:p w14:paraId="4438D08D" w14:textId="1271FA6A" w:rsidR="0087621A" w:rsidRPr="00584FFB" w:rsidRDefault="0087621A" w:rsidP="00115125">
      <w:pPr>
        <w:pStyle w:val="Prrafocomn"/>
        <w:rPr>
          <w:rFonts w:eastAsia="Calibri"/>
          <w:lang w:val="es-CR"/>
        </w:rPr>
      </w:pPr>
      <w:r w:rsidRPr="00584FFB">
        <w:rPr>
          <w:rFonts w:eastAsia="Calibri"/>
          <w:lang w:val="es-CR"/>
        </w:rPr>
        <w:t xml:space="preserve">Se aplicó un cuestionario sociodemográfico </w:t>
      </w:r>
      <w:r w:rsidR="00784209">
        <w:rPr>
          <w:rFonts w:eastAsia="Calibri"/>
          <w:i/>
          <w:iCs/>
          <w:lang w:val="es-CR"/>
        </w:rPr>
        <w:t>a</w:t>
      </w:r>
      <w:r w:rsidRPr="00584FFB">
        <w:rPr>
          <w:rFonts w:eastAsia="Calibri"/>
          <w:i/>
          <w:iCs/>
          <w:lang w:val="es-CR"/>
        </w:rPr>
        <w:t>d-hoc</w:t>
      </w:r>
      <w:r w:rsidRPr="00584FFB">
        <w:rPr>
          <w:rFonts w:eastAsia="Calibri"/>
          <w:lang w:val="es-CR"/>
        </w:rPr>
        <w:t>, para indagar el sexo, edad, lugar de residencia y ocupación</w:t>
      </w:r>
      <w:r w:rsidR="00443911" w:rsidRPr="00584FFB">
        <w:rPr>
          <w:rFonts w:eastAsia="Calibri"/>
          <w:lang w:val="es-CR"/>
        </w:rPr>
        <w:t xml:space="preserve"> de los participantes. </w:t>
      </w:r>
    </w:p>
    <w:p w14:paraId="7C36A7B5" w14:textId="5BC768F0" w:rsidR="0087621A" w:rsidRPr="00584FFB" w:rsidRDefault="00443911" w:rsidP="00115125">
      <w:pPr>
        <w:pStyle w:val="Prrafocomn"/>
        <w:rPr>
          <w:rFonts w:eastAsia="Calibri"/>
          <w:lang w:val="es-CR"/>
        </w:rPr>
      </w:pPr>
      <w:r w:rsidRPr="00584FFB">
        <w:rPr>
          <w:rFonts w:eastAsia="Calibri"/>
          <w:lang w:val="es-CR"/>
        </w:rPr>
        <w:t>A su vez, el</w:t>
      </w:r>
      <w:r w:rsidR="0087621A" w:rsidRPr="00584FFB">
        <w:rPr>
          <w:rFonts w:eastAsia="Calibri"/>
          <w:lang w:val="es-CR"/>
        </w:rPr>
        <w:t xml:space="preserve"> cuestionario </w:t>
      </w:r>
      <w:r w:rsidRPr="00584FFB">
        <w:rPr>
          <w:rFonts w:eastAsia="Calibri"/>
          <w:lang w:val="es-CR"/>
        </w:rPr>
        <w:t xml:space="preserve">de representaciones sociales y conocimientos acerca del suicidio </w:t>
      </w:r>
      <w:r w:rsidR="00784209">
        <w:rPr>
          <w:rFonts w:eastAsia="Calibri"/>
          <w:i/>
          <w:iCs/>
          <w:lang w:val="es-CR"/>
        </w:rPr>
        <w:t>a</w:t>
      </w:r>
      <w:r w:rsidRPr="00584FFB">
        <w:rPr>
          <w:rFonts w:eastAsia="Calibri"/>
          <w:i/>
          <w:iCs/>
          <w:lang w:val="es-CR"/>
        </w:rPr>
        <w:t>d-hoc</w:t>
      </w:r>
      <w:r w:rsidRPr="00584FFB">
        <w:rPr>
          <w:rFonts w:eastAsia="Calibri"/>
          <w:lang w:val="es-CR"/>
        </w:rPr>
        <w:t xml:space="preserve">, incluyó las variables representaciones sociales </w:t>
      </w:r>
      <w:r w:rsidR="00C74C47">
        <w:rPr>
          <w:rFonts w:eastAsia="Calibri"/>
          <w:lang w:val="es-CR"/>
        </w:rPr>
        <w:t>acerca</w:t>
      </w:r>
      <w:r w:rsidRPr="00584FFB">
        <w:rPr>
          <w:rFonts w:eastAsia="Calibri"/>
          <w:lang w:val="es-CR"/>
        </w:rPr>
        <w:t xml:space="preserve"> </w:t>
      </w:r>
      <w:r w:rsidR="00C74C47">
        <w:rPr>
          <w:rFonts w:eastAsia="Calibri"/>
          <w:lang w:val="es-CR"/>
        </w:rPr>
        <w:t>d</w:t>
      </w:r>
      <w:r w:rsidRPr="00584FFB">
        <w:rPr>
          <w:rFonts w:eastAsia="Calibri"/>
          <w:lang w:val="es-CR"/>
        </w:rPr>
        <w:t>el suicidio</w:t>
      </w:r>
      <w:r w:rsidR="00B45208" w:rsidRPr="00584FFB">
        <w:rPr>
          <w:rFonts w:eastAsia="Calibri"/>
          <w:lang w:val="es-CR"/>
        </w:rPr>
        <w:t xml:space="preserve"> y</w:t>
      </w:r>
      <w:r w:rsidRPr="00584FFB">
        <w:rPr>
          <w:rFonts w:eastAsia="Calibri"/>
          <w:lang w:val="es-CR"/>
        </w:rPr>
        <w:t xml:space="preserve"> creencias distorsionadas que se perfilan como factores de riesgo frente al suicidio.</w:t>
      </w:r>
    </w:p>
    <w:p w14:paraId="546FF082" w14:textId="6BCCF8E3" w:rsidR="006742B0" w:rsidRPr="00584FFB" w:rsidRDefault="006742B0" w:rsidP="00115125">
      <w:pPr>
        <w:pStyle w:val="Prrafocomn"/>
        <w:rPr>
          <w:rFonts w:eastAsia="Calibri"/>
          <w:lang w:val="es-CR"/>
        </w:rPr>
      </w:pPr>
      <w:r w:rsidRPr="00584FFB">
        <w:rPr>
          <w:rFonts w:eastAsia="Calibri"/>
          <w:lang w:val="es-CR"/>
        </w:rPr>
        <w:t xml:space="preserve">Los indicadores de la variable representaciones sociales del suicidio </w:t>
      </w:r>
      <w:r w:rsidR="000F3F54" w:rsidRPr="00584FFB">
        <w:rPr>
          <w:rFonts w:eastAsia="Calibri"/>
          <w:lang w:val="es-CR"/>
        </w:rPr>
        <w:t>fueron</w:t>
      </w:r>
      <w:r w:rsidR="001C76E1" w:rsidRPr="00584FFB">
        <w:rPr>
          <w:rFonts w:eastAsia="Calibri"/>
          <w:lang w:val="es-CR"/>
        </w:rPr>
        <w:t xml:space="preserve">: </w:t>
      </w:r>
      <w:r w:rsidR="006C62C9" w:rsidRPr="00584FFB">
        <w:rPr>
          <w:rFonts w:eastAsia="Calibri"/>
          <w:lang w:val="es-CR"/>
        </w:rPr>
        <w:t>causas</w:t>
      </w:r>
      <w:r w:rsidR="001C76E1" w:rsidRPr="00584FFB">
        <w:rPr>
          <w:rFonts w:eastAsia="Calibri"/>
          <w:lang w:val="es-CR"/>
        </w:rPr>
        <w:t xml:space="preserve"> del suicidio</w:t>
      </w:r>
      <w:r w:rsidR="006C62C9" w:rsidRPr="00584FFB">
        <w:rPr>
          <w:rFonts w:eastAsia="Calibri"/>
          <w:lang w:val="es-CR"/>
        </w:rPr>
        <w:t xml:space="preserve">, </w:t>
      </w:r>
      <w:r w:rsidR="001C76E1" w:rsidRPr="00584FFB">
        <w:rPr>
          <w:rFonts w:eastAsia="Calibri"/>
          <w:lang w:val="es-CR"/>
        </w:rPr>
        <w:t>intención del acto suicida</w:t>
      </w:r>
      <w:r w:rsidR="006C62C9" w:rsidRPr="00584FFB">
        <w:rPr>
          <w:rFonts w:eastAsia="Calibri"/>
          <w:lang w:val="es-CR"/>
        </w:rPr>
        <w:t xml:space="preserve">, edad, sexo, métodos para cometer suicidio, </w:t>
      </w:r>
      <w:r w:rsidR="00545573" w:rsidRPr="00584FFB">
        <w:rPr>
          <w:rFonts w:eastAsia="Calibri"/>
          <w:lang w:val="es-CR"/>
        </w:rPr>
        <w:t xml:space="preserve">redes de apoyo y creencias religiosas. </w:t>
      </w:r>
      <w:r w:rsidR="00545573" w:rsidRPr="00C74C47">
        <w:rPr>
          <w:rFonts w:eastAsia="Calibri"/>
          <w:lang w:val="es-CR"/>
        </w:rPr>
        <w:t xml:space="preserve">Para la variable creencias distorsionadas del suicidio, </w:t>
      </w:r>
      <w:r w:rsidR="00EE41C2" w:rsidRPr="00C74C47">
        <w:rPr>
          <w:rFonts w:eastAsia="Calibri"/>
          <w:lang w:val="es-CR"/>
        </w:rPr>
        <w:t xml:space="preserve">algunos de los indicadores fueron: </w:t>
      </w:r>
      <w:r w:rsidR="00B2356B" w:rsidRPr="00C74C47">
        <w:rPr>
          <w:rFonts w:eastAsia="Calibri"/>
          <w:lang w:val="es-CR"/>
        </w:rPr>
        <w:t xml:space="preserve">intento de suicidio, suicidio consumado, </w:t>
      </w:r>
      <w:r w:rsidR="00CF6B96" w:rsidRPr="00C74C47">
        <w:rPr>
          <w:rFonts w:eastAsia="Calibri"/>
          <w:lang w:val="es-CR"/>
        </w:rPr>
        <w:t xml:space="preserve">afectación a familiares, amigos y comunidad, influencia del género, relación con otros trastornos, indicadores de depresión y consumo de sustancias lícitas </w:t>
      </w:r>
      <w:r w:rsidR="00352A0D" w:rsidRPr="00C74C47">
        <w:rPr>
          <w:rFonts w:eastAsia="Calibri"/>
          <w:lang w:val="es-CR"/>
        </w:rPr>
        <w:t>e ilícitas.</w:t>
      </w:r>
      <w:r w:rsidR="00EE5B24" w:rsidRPr="00584FFB">
        <w:rPr>
          <w:rFonts w:eastAsia="Calibri"/>
          <w:lang w:val="es-CR"/>
        </w:rPr>
        <w:t xml:space="preserve"> </w:t>
      </w:r>
    </w:p>
    <w:p w14:paraId="70F8CD05" w14:textId="72AD1E2B" w:rsidR="00443911" w:rsidRPr="00584FFB" w:rsidRDefault="00443911" w:rsidP="00115125">
      <w:pPr>
        <w:pStyle w:val="Prrafocomn"/>
        <w:rPr>
          <w:rFonts w:eastAsia="Calibri"/>
          <w:lang w:val="es-CR"/>
        </w:rPr>
      </w:pPr>
      <w:r w:rsidRPr="00584FFB">
        <w:rPr>
          <w:rFonts w:eastAsia="Calibri"/>
          <w:lang w:val="es-CR"/>
        </w:rPr>
        <w:t>El instrumento se revisó y mejoró mediante la validación cualitativa efectuada con 37 informantes</w:t>
      </w:r>
      <w:r w:rsidR="00AF78E7" w:rsidRPr="00584FFB">
        <w:rPr>
          <w:rFonts w:eastAsia="Calibri"/>
          <w:lang w:val="es-CR"/>
        </w:rPr>
        <w:t xml:space="preserve">, </w:t>
      </w:r>
      <w:r w:rsidRPr="00584FFB">
        <w:rPr>
          <w:rFonts w:eastAsia="Calibri"/>
          <w:lang w:val="es-CR"/>
        </w:rPr>
        <w:t xml:space="preserve">con características de la población de interés y </w:t>
      </w:r>
      <w:r w:rsidR="00AF78E7" w:rsidRPr="00584FFB">
        <w:rPr>
          <w:rFonts w:eastAsia="Calibri"/>
          <w:lang w:val="es-CR"/>
        </w:rPr>
        <w:t>dos</w:t>
      </w:r>
      <w:r w:rsidRPr="00584FFB">
        <w:rPr>
          <w:rFonts w:eastAsia="Calibri"/>
          <w:lang w:val="es-CR"/>
        </w:rPr>
        <w:t xml:space="preserve"> expertas profesionales en psicología, donde se modificaron </w:t>
      </w:r>
      <w:r w:rsidR="00BC4E34" w:rsidRPr="00584FFB">
        <w:rPr>
          <w:rFonts w:eastAsia="Calibri"/>
          <w:lang w:val="es-CR"/>
        </w:rPr>
        <w:t>algunos ítems</w:t>
      </w:r>
      <w:r w:rsidRPr="00584FFB">
        <w:rPr>
          <w:rFonts w:eastAsia="Calibri"/>
          <w:lang w:val="es-CR"/>
        </w:rPr>
        <w:t xml:space="preserve"> para aclarar instrucciones</w:t>
      </w:r>
      <w:r w:rsidR="00BC4E34" w:rsidRPr="00584FFB">
        <w:rPr>
          <w:rFonts w:eastAsia="Calibri"/>
          <w:lang w:val="es-CR"/>
        </w:rPr>
        <w:t xml:space="preserve">, mejorar redacción y </w:t>
      </w:r>
      <w:r w:rsidRPr="00584FFB">
        <w:rPr>
          <w:rFonts w:eastAsia="Calibri"/>
          <w:lang w:val="es-CR"/>
        </w:rPr>
        <w:t>visualizar de manera más ágil las opciones de respuesta</w:t>
      </w:r>
      <w:r w:rsidR="00BC4E34" w:rsidRPr="00584FFB">
        <w:rPr>
          <w:rFonts w:eastAsia="Calibri"/>
          <w:lang w:val="es-CR"/>
        </w:rPr>
        <w:t>.</w:t>
      </w:r>
    </w:p>
    <w:p w14:paraId="44BE3B15" w14:textId="77777777" w:rsidR="003E0397" w:rsidRDefault="003E0397" w:rsidP="00115125">
      <w:pPr>
        <w:pStyle w:val="SubtituloInterno"/>
        <w:rPr>
          <w:lang w:val="es-CR"/>
        </w:rPr>
      </w:pPr>
    </w:p>
    <w:p w14:paraId="4051DC27" w14:textId="77777777" w:rsidR="003E0397" w:rsidRDefault="003E0397" w:rsidP="00115125">
      <w:pPr>
        <w:pStyle w:val="SubtituloInterno"/>
        <w:rPr>
          <w:lang w:val="es-CR"/>
        </w:rPr>
      </w:pPr>
    </w:p>
    <w:p w14:paraId="4B6B5F18" w14:textId="77777777" w:rsidR="003E0397" w:rsidRDefault="003E0397" w:rsidP="00115125">
      <w:pPr>
        <w:pStyle w:val="SubtituloInterno"/>
        <w:rPr>
          <w:lang w:val="es-CR"/>
        </w:rPr>
      </w:pPr>
    </w:p>
    <w:p w14:paraId="41D3B9F4" w14:textId="77777777" w:rsidR="003E0397" w:rsidRDefault="003E0397" w:rsidP="00115125">
      <w:pPr>
        <w:pStyle w:val="SubtituloInterno"/>
        <w:rPr>
          <w:lang w:val="es-CR"/>
        </w:rPr>
      </w:pPr>
    </w:p>
    <w:p w14:paraId="0F4ED851" w14:textId="712C0BF5" w:rsidR="007C3C14" w:rsidRPr="0057139C" w:rsidRDefault="005B24FF" w:rsidP="00115125">
      <w:pPr>
        <w:pStyle w:val="SubtituloInterno"/>
        <w:rPr>
          <w:lang w:val="es-CR"/>
        </w:rPr>
      </w:pPr>
      <w:r w:rsidRPr="0057139C">
        <w:rPr>
          <w:lang w:val="es-CR"/>
        </w:rPr>
        <w:lastRenderedPageBreak/>
        <w:t>Análisis de los datos</w:t>
      </w:r>
    </w:p>
    <w:p w14:paraId="51C9925A" w14:textId="77777777" w:rsidR="00EA5D05" w:rsidRPr="0057139C" w:rsidRDefault="00EA5D05" w:rsidP="00115125">
      <w:pPr>
        <w:pStyle w:val="SubtituloInterno"/>
        <w:rPr>
          <w:lang w:val="es-CR"/>
        </w:rPr>
      </w:pPr>
    </w:p>
    <w:p w14:paraId="3494497E" w14:textId="5E4829D2" w:rsidR="00B57538" w:rsidRPr="00584FFB" w:rsidRDefault="00DC199A" w:rsidP="00115125">
      <w:pPr>
        <w:pStyle w:val="Prrafocomn"/>
        <w:rPr>
          <w:rFonts w:eastAsia="Calibri"/>
          <w:lang w:val="es-CR"/>
        </w:rPr>
      </w:pPr>
      <w:r w:rsidRPr="00584FFB">
        <w:rPr>
          <w:rFonts w:eastAsia="Calibri"/>
          <w:lang w:val="es-CR"/>
        </w:rPr>
        <w:t>Para el análisis de datos se utiliz</w:t>
      </w:r>
      <w:r w:rsidR="00263B0C" w:rsidRPr="00584FFB">
        <w:rPr>
          <w:rFonts w:eastAsia="Calibri"/>
          <w:lang w:val="es-CR"/>
        </w:rPr>
        <w:t>ó el Paquete</w:t>
      </w:r>
      <w:r w:rsidR="002F238A" w:rsidRPr="00584FFB">
        <w:rPr>
          <w:rFonts w:eastAsia="Calibri"/>
          <w:lang w:val="es-CR"/>
        </w:rPr>
        <w:t xml:space="preserve"> </w:t>
      </w:r>
      <w:r w:rsidR="00263B0C" w:rsidRPr="00584FFB">
        <w:rPr>
          <w:rFonts w:eastAsia="Calibri"/>
          <w:lang w:val="es-CR"/>
        </w:rPr>
        <w:t>E</w:t>
      </w:r>
      <w:r w:rsidR="002F238A" w:rsidRPr="00584FFB">
        <w:rPr>
          <w:rFonts w:eastAsia="Calibri"/>
          <w:lang w:val="es-CR"/>
        </w:rPr>
        <w:t>stadístico</w:t>
      </w:r>
      <w:r w:rsidR="00263B0C" w:rsidRPr="00584FFB">
        <w:rPr>
          <w:rFonts w:eastAsia="Calibri"/>
          <w:lang w:val="es-CR"/>
        </w:rPr>
        <w:t xml:space="preserve"> para Ciencias Sociales</w:t>
      </w:r>
      <w:r w:rsidR="002F238A" w:rsidRPr="00584FFB">
        <w:rPr>
          <w:rFonts w:eastAsia="Calibri"/>
          <w:lang w:val="es-CR"/>
        </w:rPr>
        <w:t xml:space="preserve"> </w:t>
      </w:r>
      <w:r w:rsidR="00263B0C" w:rsidRPr="00584FFB">
        <w:rPr>
          <w:rFonts w:eastAsia="Calibri"/>
          <w:lang w:val="es-CR"/>
        </w:rPr>
        <w:t>(SPSS v.2</w:t>
      </w:r>
      <w:r w:rsidR="00FB0A5B">
        <w:rPr>
          <w:rFonts w:eastAsia="Calibri"/>
          <w:lang w:val="es-CR"/>
        </w:rPr>
        <w:t>5</w:t>
      </w:r>
      <w:r w:rsidR="00263B0C" w:rsidRPr="00584FFB">
        <w:rPr>
          <w:rFonts w:eastAsia="Calibri"/>
          <w:lang w:val="es-CR"/>
        </w:rPr>
        <w:t>),</w:t>
      </w:r>
      <w:r w:rsidR="003F7405">
        <w:rPr>
          <w:rFonts w:eastAsia="Calibri"/>
          <w:lang w:val="es-CR"/>
        </w:rPr>
        <w:t xml:space="preserve"> para efectuar los reportes de análisis descriptivos de las variables, así como</w:t>
      </w:r>
      <w:r w:rsidR="00263B0C" w:rsidRPr="00584FFB">
        <w:rPr>
          <w:rFonts w:eastAsia="Calibri"/>
          <w:lang w:val="es-CR"/>
        </w:rPr>
        <w:t xml:space="preserve"> </w:t>
      </w:r>
      <w:r w:rsidR="00821E17" w:rsidRPr="00584FFB">
        <w:rPr>
          <w:rFonts w:eastAsia="Calibri"/>
          <w:lang w:val="es-CR"/>
        </w:rPr>
        <w:t>para la creación y análisis de</w:t>
      </w:r>
      <w:r w:rsidR="00B57538" w:rsidRPr="00584FFB">
        <w:rPr>
          <w:rFonts w:eastAsia="Calibri"/>
          <w:lang w:val="es-CR"/>
        </w:rPr>
        <w:t xml:space="preserve"> cuadros, gráficos,</w:t>
      </w:r>
      <w:r w:rsidR="003F7405">
        <w:rPr>
          <w:rFonts w:eastAsia="Calibri"/>
          <w:lang w:val="es-CR"/>
        </w:rPr>
        <w:t xml:space="preserve"> ejecutar</w:t>
      </w:r>
      <w:r w:rsidR="00B57538" w:rsidRPr="00584FFB">
        <w:rPr>
          <w:rFonts w:eastAsia="Calibri"/>
          <w:lang w:val="es-CR"/>
        </w:rPr>
        <w:t xml:space="preserve"> pruebas de normalidad, </w:t>
      </w:r>
      <w:r w:rsidR="003F7405">
        <w:rPr>
          <w:rFonts w:eastAsia="Calibri"/>
          <w:lang w:val="es-CR"/>
        </w:rPr>
        <w:t xml:space="preserve">y dado la ausencia de está, se implementaron pruebas no paramétricas como chi cuadro </w:t>
      </w:r>
      <w:r w:rsidR="00C74C47">
        <w:rPr>
          <w:rFonts w:eastAsia="Calibri"/>
          <w:lang w:val="es-CR"/>
        </w:rPr>
        <w:t>(</w:t>
      </w:r>
      <w:r w:rsidR="00C74C47" w:rsidRPr="00C74C47">
        <w:rPr>
          <w:rFonts w:eastAsia="Calibri"/>
          <w:i/>
          <w:iCs/>
          <w:lang w:val="es-CR"/>
        </w:rPr>
        <w:t>x</w:t>
      </w:r>
      <w:r w:rsidR="00C74C47">
        <w:rPr>
          <w:rFonts w:eastAsia="Calibri"/>
          <w:vertAlign w:val="superscript"/>
          <w:lang w:val="es-CR"/>
        </w:rPr>
        <w:t>2</w:t>
      </w:r>
      <w:r w:rsidR="00C74C47">
        <w:rPr>
          <w:rFonts w:eastAsia="Calibri"/>
          <w:lang w:val="es-CR"/>
        </w:rPr>
        <w:t>)</w:t>
      </w:r>
      <w:r w:rsidR="00FB0A5B">
        <w:rPr>
          <w:rFonts w:eastAsia="Calibri"/>
          <w:lang w:val="es-CR"/>
        </w:rPr>
        <w:t xml:space="preserve"> y</w:t>
      </w:r>
      <w:r w:rsidR="00B57538" w:rsidRPr="00584FFB">
        <w:rPr>
          <w:rFonts w:eastAsia="Calibri"/>
          <w:lang w:val="es-CR"/>
        </w:rPr>
        <w:t xml:space="preserve"> la prueba de Kruskal Wallis</w:t>
      </w:r>
      <w:r w:rsidR="00FB0A5B">
        <w:rPr>
          <w:rFonts w:eastAsia="Calibri"/>
          <w:lang w:val="es-CR"/>
        </w:rPr>
        <w:t xml:space="preserve">. </w:t>
      </w:r>
    </w:p>
    <w:p w14:paraId="51CF2197" w14:textId="77777777" w:rsidR="00EA5D05" w:rsidRPr="00584FFB" w:rsidRDefault="00EA5D05" w:rsidP="00115125">
      <w:pPr>
        <w:pStyle w:val="Prrafocomn"/>
        <w:rPr>
          <w:rFonts w:eastAsia="Calibri"/>
          <w:lang w:val="es-CR"/>
        </w:rPr>
      </w:pPr>
    </w:p>
    <w:p w14:paraId="4E1AE28B" w14:textId="77777777" w:rsidR="005B24FF" w:rsidRPr="0057139C" w:rsidRDefault="005B24FF" w:rsidP="00115125">
      <w:pPr>
        <w:pStyle w:val="SubtituloInterno"/>
        <w:rPr>
          <w:lang w:val="es-CR"/>
        </w:rPr>
      </w:pPr>
      <w:r w:rsidRPr="0057139C">
        <w:rPr>
          <w:lang w:val="es-CR"/>
        </w:rPr>
        <w:t>Consideraciones éticas</w:t>
      </w:r>
    </w:p>
    <w:p w14:paraId="7FBD6980" w14:textId="77777777" w:rsidR="00EA5D05" w:rsidRPr="0057139C" w:rsidRDefault="00EA5D05" w:rsidP="00115125">
      <w:pPr>
        <w:pStyle w:val="SubtituloInterno"/>
        <w:rPr>
          <w:lang w:val="es-CR"/>
        </w:rPr>
      </w:pPr>
    </w:p>
    <w:p w14:paraId="336975B6" w14:textId="5909079E" w:rsidR="00076F0A" w:rsidRPr="00584FFB" w:rsidRDefault="00AE4E1F" w:rsidP="00115125">
      <w:pPr>
        <w:pStyle w:val="Prrafocomn"/>
        <w:rPr>
          <w:lang w:val="es-CR"/>
        </w:rPr>
      </w:pPr>
      <w:r w:rsidRPr="00584FFB">
        <w:rPr>
          <w:lang w:val="es-CR"/>
        </w:rPr>
        <w:t>En la aplicación del instrumento se empleó el consentimiento informado que incluyó información del proyecto</w:t>
      </w:r>
      <w:r w:rsidR="00FF78A7" w:rsidRPr="00584FFB">
        <w:rPr>
          <w:lang w:val="es-CR"/>
        </w:rPr>
        <w:t xml:space="preserve"> tales como: objetivo, duración, población meta, actividades a desarrollar y la confidencialidad y anonimato de las respuestas. Se les indicó a los participantes que su participación </w:t>
      </w:r>
      <w:r w:rsidR="00D6093C">
        <w:rPr>
          <w:lang w:val="es-CR"/>
        </w:rPr>
        <w:t>era</w:t>
      </w:r>
      <w:r w:rsidR="00D6093C" w:rsidRPr="00584FFB">
        <w:rPr>
          <w:lang w:val="es-CR"/>
        </w:rPr>
        <w:t xml:space="preserve"> </w:t>
      </w:r>
      <w:r w:rsidR="00FF78A7" w:rsidRPr="00584FFB">
        <w:rPr>
          <w:lang w:val="es-CR"/>
        </w:rPr>
        <w:t xml:space="preserve">voluntaria y que podían retirarse del estudio, cuando así lo desearan. </w:t>
      </w:r>
    </w:p>
    <w:p w14:paraId="19C6BB90" w14:textId="77777777" w:rsidR="00C42A4E" w:rsidRPr="00C45394" w:rsidRDefault="00C42A4E" w:rsidP="003E0397">
      <w:pPr>
        <w:pStyle w:val="Ttulosinternos"/>
        <w:rPr>
          <w:lang w:val="es-419"/>
        </w:rPr>
      </w:pPr>
    </w:p>
    <w:p w14:paraId="61754C2A" w14:textId="3D8B0835" w:rsidR="006F7E7E" w:rsidRPr="00C45394" w:rsidRDefault="005B5614" w:rsidP="003E0397">
      <w:pPr>
        <w:pStyle w:val="Ttulosinternos"/>
        <w:rPr>
          <w:lang w:val="es-419"/>
        </w:rPr>
      </w:pPr>
      <w:r w:rsidRPr="00C45394">
        <w:rPr>
          <w:lang w:val="es-419"/>
        </w:rPr>
        <w:t>Result</w:t>
      </w:r>
      <w:r w:rsidR="005B24FF" w:rsidRPr="00C45394">
        <w:rPr>
          <w:lang w:val="es-419"/>
        </w:rPr>
        <w:t>ados</w:t>
      </w:r>
    </w:p>
    <w:p w14:paraId="0D02E4AB" w14:textId="77777777" w:rsidR="003E0397" w:rsidRDefault="003E0397" w:rsidP="00115125">
      <w:pPr>
        <w:pStyle w:val="Prrafocomn"/>
        <w:rPr>
          <w:lang w:val="es-CR"/>
        </w:rPr>
      </w:pPr>
    </w:p>
    <w:p w14:paraId="2A0235F5" w14:textId="23444474" w:rsidR="00D610F0" w:rsidRPr="00584FFB" w:rsidRDefault="000E41C1" w:rsidP="00115125">
      <w:pPr>
        <w:pStyle w:val="Prrafocomn"/>
        <w:rPr>
          <w:lang w:val="es-CR"/>
        </w:rPr>
      </w:pPr>
      <w:r w:rsidRPr="00584FFB">
        <w:rPr>
          <w:lang w:val="es-CR"/>
        </w:rPr>
        <w:t xml:space="preserve">Fue de interés para el estudio, conocer los pensamientos asociados </w:t>
      </w:r>
      <w:r w:rsidR="00D6093C">
        <w:rPr>
          <w:lang w:val="es-CR"/>
        </w:rPr>
        <w:t>a la manera en que los participantes perciben e</w:t>
      </w:r>
      <w:r w:rsidRPr="00584FFB">
        <w:rPr>
          <w:lang w:val="es-CR"/>
        </w:rPr>
        <w:t>l suicidio</w:t>
      </w:r>
      <w:r w:rsidR="003F5645" w:rsidRPr="00584FFB">
        <w:rPr>
          <w:lang w:val="es-CR"/>
        </w:rPr>
        <w:t xml:space="preserve">. En los enunciados de mayor frecuencia </w:t>
      </w:r>
      <w:r w:rsidR="00F55108" w:rsidRPr="00584FFB">
        <w:rPr>
          <w:lang w:val="es-CR"/>
        </w:rPr>
        <w:t>se encuentra</w:t>
      </w:r>
      <w:r w:rsidR="00276105" w:rsidRPr="00584FFB">
        <w:rPr>
          <w:lang w:val="es-CR"/>
        </w:rPr>
        <w:t>n que</w:t>
      </w:r>
      <w:r w:rsidR="00F55108" w:rsidRPr="00584FFB">
        <w:rPr>
          <w:lang w:val="es-CR"/>
        </w:rPr>
        <w:t xml:space="preserve">: “Es una decisión </w:t>
      </w:r>
      <w:r w:rsidR="00D610F0" w:rsidRPr="00584FFB">
        <w:rPr>
          <w:lang w:val="es-CR"/>
        </w:rPr>
        <w:t xml:space="preserve">que hay que respetar” (n=176), “Es un </w:t>
      </w:r>
      <w:r w:rsidR="00276105" w:rsidRPr="00584FFB">
        <w:rPr>
          <w:lang w:val="es-CR"/>
        </w:rPr>
        <w:t>pensamiento que toda persona ha tenido</w:t>
      </w:r>
      <w:r w:rsidR="00D610F0" w:rsidRPr="00584FFB">
        <w:rPr>
          <w:lang w:val="es-CR"/>
        </w:rPr>
        <w:t>” (n=1</w:t>
      </w:r>
      <w:r w:rsidR="00276105" w:rsidRPr="00584FFB">
        <w:rPr>
          <w:lang w:val="es-CR"/>
        </w:rPr>
        <w:t>47</w:t>
      </w:r>
      <w:r w:rsidR="00D610F0" w:rsidRPr="00584FFB">
        <w:rPr>
          <w:lang w:val="es-CR"/>
        </w:rPr>
        <w:t>) “Es una salida fácil” (n=140), “Es una solución a los problemas” (n=102)</w:t>
      </w:r>
      <w:r w:rsidR="00276105" w:rsidRPr="00584FFB">
        <w:rPr>
          <w:lang w:val="es-CR"/>
        </w:rPr>
        <w:t xml:space="preserve"> y “</w:t>
      </w:r>
      <w:r w:rsidR="00067CA2" w:rsidRPr="00584FFB">
        <w:rPr>
          <w:lang w:val="es-CR"/>
        </w:rPr>
        <w:t>Es ir contra Dios</w:t>
      </w:r>
      <w:r w:rsidR="00276105" w:rsidRPr="00584FFB">
        <w:rPr>
          <w:lang w:val="es-CR"/>
        </w:rPr>
        <w:t>” (n=</w:t>
      </w:r>
      <w:r w:rsidR="00067CA2" w:rsidRPr="00584FFB">
        <w:rPr>
          <w:lang w:val="es-CR"/>
        </w:rPr>
        <w:t>71</w:t>
      </w:r>
      <w:r w:rsidR="00276105" w:rsidRPr="00584FFB">
        <w:rPr>
          <w:lang w:val="es-CR"/>
        </w:rPr>
        <w:t>)</w:t>
      </w:r>
      <w:r w:rsidR="00067CA2" w:rsidRPr="00584FFB">
        <w:rPr>
          <w:lang w:val="es-CR"/>
        </w:rPr>
        <w:t xml:space="preserve">. </w:t>
      </w:r>
    </w:p>
    <w:p w14:paraId="703EF04A" w14:textId="347426EE" w:rsidR="00D75D85" w:rsidRPr="00584FFB" w:rsidRDefault="00D75D85" w:rsidP="00115125">
      <w:pPr>
        <w:pStyle w:val="Prrafocomn"/>
        <w:rPr>
          <w:lang w:val="es-CR"/>
        </w:rPr>
      </w:pPr>
      <w:r w:rsidRPr="00584FFB">
        <w:rPr>
          <w:lang w:val="es-CR"/>
        </w:rPr>
        <w:t xml:space="preserve">Los motivos </w:t>
      </w:r>
      <w:r w:rsidR="000D677F" w:rsidRPr="00584FFB">
        <w:rPr>
          <w:lang w:val="es-CR"/>
        </w:rPr>
        <w:t xml:space="preserve">principales </w:t>
      </w:r>
      <w:r w:rsidRPr="00584FFB">
        <w:rPr>
          <w:lang w:val="es-CR"/>
        </w:rPr>
        <w:t xml:space="preserve">para cometer suicidio </w:t>
      </w:r>
      <w:r w:rsidR="00AD59BC">
        <w:rPr>
          <w:lang w:val="es-CR"/>
        </w:rPr>
        <w:t xml:space="preserve">según la opinión de los encuestados </w:t>
      </w:r>
      <w:r w:rsidRPr="00584FFB">
        <w:rPr>
          <w:lang w:val="es-CR"/>
        </w:rPr>
        <w:t>son</w:t>
      </w:r>
      <w:r w:rsidR="00295422" w:rsidRPr="00584FFB">
        <w:rPr>
          <w:lang w:val="es-CR"/>
        </w:rPr>
        <w:t xml:space="preserve">: </w:t>
      </w:r>
      <w:r w:rsidR="00CE725B" w:rsidRPr="00584FFB">
        <w:rPr>
          <w:lang w:val="es-CR"/>
        </w:rPr>
        <w:t xml:space="preserve">problemas </w:t>
      </w:r>
      <w:r w:rsidR="00D304AB" w:rsidRPr="00584FFB">
        <w:rPr>
          <w:lang w:val="es-CR"/>
        </w:rPr>
        <w:t>familiares</w:t>
      </w:r>
      <w:r w:rsidR="00CE725B" w:rsidRPr="00584FFB">
        <w:rPr>
          <w:lang w:val="es-CR"/>
        </w:rPr>
        <w:t xml:space="preserve"> (</w:t>
      </w:r>
      <w:r w:rsidR="003D39E8" w:rsidRPr="00584FFB">
        <w:rPr>
          <w:lang w:val="es-CR"/>
        </w:rPr>
        <w:t>75%</w:t>
      </w:r>
      <w:r w:rsidR="00CE725B" w:rsidRPr="00584FFB">
        <w:rPr>
          <w:lang w:val="es-CR"/>
        </w:rPr>
        <w:t>)</w:t>
      </w:r>
      <w:r w:rsidR="00E26E3E" w:rsidRPr="00584FFB">
        <w:rPr>
          <w:lang w:val="es-CR"/>
        </w:rPr>
        <w:t xml:space="preserve">, </w:t>
      </w:r>
      <w:r w:rsidR="006B6F61" w:rsidRPr="00584FFB">
        <w:rPr>
          <w:lang w:val="es-CR"/>
        </w:rPr>
        <w:t xml:space="preserve">problemas </w:t>
      </w:r>
      <w:r w:rsidR="00D304AB" w:rsidRPr="00584FFB">
        <w:rPr>
          <w:lang w:val="es-CR"/>
        </w:rPr>
        <w:t>económicos</w:t>
      </w:r>
      <w:r w:rsidR="006B6F61" w:rsidRPr="00584FFB">
        <w:rPr>
          <w:lang w:val="es-CR"/>
        </w:rPr>
        <w:t xml:space="preserve"> (</w:t>
      </w:r>
      <w:r w:rsidR="006D5879" w:rsidRPr="00584FFB">
        <w:rPr>
          <w:lang w:val="es-CR"/>
        </w:rPr>
        <w:t>75%</w:t>
      </w:r>
      <w:r w:rsidR="006B6F61" w:rsidRPr="00584FFB">
        <w:rPr>
          <w:lang w:val="es-CR"/>
        </w:rPr>
        <w:t xml:space="preserve">), </w:t>
      </w:r>
      <w:r w:rsidR="00F31100" w:rsidRPr="00584FFB">
        <w:rPr>
          <w:lang w:val="es-CR"/>
        </w:rPr>
        <w:t>por una crisis de una enfermedad mental (</w:t>
      </w:r>
      <w:r w:rsidR="006D5879" w:rsidRPr="00584FFB">
        <w:rPr>
          <w:lang w:val="es-CR"/>
        </w:rPr>
        <w:t>71%</w:t>
      </w:r>
      <w:r w:rsidR="00F31100" w:rsidRPr="00584FFB">
        <w:rPr>
          <w:lang w:val="es-CR"/>
        </w:rPr>
        <w:t xml:space="preserve">), </w:t>
      </w:r>
      <w:r w:rsidR="00F3056C" w:rsidRPr="00584FFB">
        <w:rPr>
          <w:lang w:val="es-CR"/>
        </w:rPr>
        <w:t>incapacidad de enfrentar una situación (</w:t>
      </w:r>
      <w:r w:rsidR="00A66C82" w:rsidRPr="00584FFB">
        <w:rPr>
          <w:lang w:val="es-CR"/>
        </w:rPr>
        <w:t>71%</w:t>
      </w:r>
      <w:r w:rsidR="00F3056C" w:rsidRPr="00584FFB">
        <w:rPr>
          <w:lang w:val="es-CR"/>
        </w:rPr>
        <w:t>)</w:t>
      </w:r>
      <w:r w:rsidR="007C196E" w:rsidRPr="00584FFB">
        <w:rPr>
          <w:lang w:val="es-CR"/>
        </w:rPr>
        <w:t>, porque no</w:t>
      </w:r>
      <w:r w:rsidR="00EE5B24" w:rsidRPr="00584FFB">
        <w:rPr>
          <w:lang w:val="es-CR"/>
        </w:rPr>
        <w:t xml:space="preserve"> ve</w:t>
      </w:r>
      <w:r w:rsidR="007C196E" w:rsidRPr="00584FFB">
        <w:rPr>
          <w:lang w:val="es-CR"/>
        </w:rPr>
        <w:t xml:space="preserve"> salida (</w:t>
      </w:r>
      <w:r w:rsidR="00A66C82" w:rsidRPr="00584FFB">
        <w:rPr>
          <w:lang w:val="es-CR"/>
        </w:rPr>
        <w:t>67%</w:t>
      </w:r>
      <w:r w:rsidR="007C196E" w:rsidRPr="00584FFB">
        <w:rPr>
          <w:lang w:val="es-CR"/>
        </w:rPr>
        <w:t>)</w:t>
      </w:r>
      <w:r w:rsidR="00D304AB" w:rsidRPr="00584FFB">
        <w:rPr>
          <w:lang w:val="es-CR"/>
        </w:rPr>
        <w:t xml:space="preserve">, </w:t>
      </w:r>
      <w:r w:rsidR="005A2402" w:rsidRPr="00584FFB">
        <w:rPr>
          <w:lang w:val="es-CR"/>
        </w:rPr>
        <w:t>por insatisfacción personal (</w:t>
      </w:r>
      <w:r w:rsidR="00A66C82" w:rsidRPr="00584FFB">
        <w:rPr>
          <w:lang w:val="es-CR"/>
        </w:rPr>
        <w:t>61%</w:t>
      </w:r>
      <w:r w:rsidR="005A2402" w:rsidRPr="00584FFB">
        <w:rPr>
          <w:lang w:val="es-CR"/>
        </w:rPr>
        <w:t>)</w:t>
      </w:r>
      <w:r w:rsidR="003D39E8" w:rsidRPr="00584FFB">
        <w:rPr>
          <w:lang w:val="es-CR"/>
        </w:rPr>
        <w:t xml:space="preserve"> y por una ruptura amorosa (56%)</w:t>
      </w:r>
      <w:r w:rsidR="005A2402" w:rsidRPr="00584FFB">
        <w:rPr>
          <w:lang w:val="es-CR"/>
        </w:rPr>
        <w:t xml:space="preserve"> (Tabla 2). </w:t>
      </w:r>
    </w:p>
    <w:p w14:paraId="3AD971C3" w14:textId="77777777" w:rsidR="00D75D85" w:rsidRDefault="00D75D85" w:rsidP="00CF4C18">
      <w:pPr>
        <w:pStyle w:val="Prrafocomn"/>
        <w:rPr>
          <w:lang w:val="es-CR"/>
        </w:rPr>
      </w:pPr>
    </w:p>
    <w:p w14:paraId="200BD276" w14:textId="77777777" w:rsidR="003E0397" w:rsidRDefault="003E0397" w:rsidP="00CF4C18">
      <w:pPr>
        <w:pStyle w:val="Prrafocomn"/>
        <w:rPr>
          <w:lang w:val="es-CR"/>
        </w:rPr>
      </w:pPr>
    </w:p>
    <w:p w14:paraId="0A492EE7" w14:textId="77777777" w:rsidR="003E0397" w:rsidRDefault="003E0397" w:rsidP="00CF4C18">
      <w:pPr>
        <w:pStyle w:val="Prrafocomn"/>
        <w:rPr>
          <w:lang w:val="es-CR"/>
        </w:rPr>
      </w:pPr>
    </w:p>
    <w:p w14:paraId="6C421BEF" w14:textId="77777777" w:rsidR="003E0397" w:rsidRPr="00584FFB" w:rsidRDefault="003E0397" w:rsidP="00CF4C18">
      <w:pPr>
        <w:pStyle w:val="Prrafocomn"/>
        <w:rPr>
          <w:lang w:val="es-CR"/>
        </w:rPr>
      </w:pPr>
    </w:p>
    <w:p w14:paraId="4209017D" w14:textId="75CB7D4B" w:rsidR="00D75D85" w:rsidRPr="00584FFB" w:rsidRDefault="00395708" w:rsidP="00395708">
      <w:pPr>
        <w:keepNext/>
        <w:pBdr>
          <w:top w:val="nil"/>
          <w:left w:val="nil"/>
          <w:bottom w:val="nil"/>
          <w:right w:val="nil"/>
          <w:between w:val="nil"/>
          <w:bar w:val="nil"/>
        </w:pBdr>
        <w:suppressAutoHyphens/>
        <w:spacing w:line="0" w:lineRule="atLeast"/>
        <w:rPr>
          <w:color w:val="00000A"/>
          <w:sz w:val="20"/>
          <w:szCs w:val="20"/>
          <w:u w:color="00000A"/>
          <w:bdr w:val="nil"/>
          <w14:textOutline w14:w="0" w14:cap="flat" w14:cmpd="sng" w14:algn="ctr">
            <w14:noFill/>
            <w14:prstDash w14:val="solid"/>
            <w14:bevel/>
          </w14:textOutline>
        </w:rPr>
      </w:pPr>
      <w:r w:rsidRPr="00584FFB">
        <w:rPr>
          <w:color w:val="00000A"/>
          <w:sz w:val="20"/>
          <w:szCs w:val="20"/>
          <w:u w:color="00000A"/>
          <w:bdr w:val="nil"/>
          <w14:textOutline w14:w="0" w14:cap="flat" w14:cmpd="sng" w14:algn="ctr">
            <w14:noFill/>
            <w14:prstDash w14:val="solid"/>
            <w14:bevel/>
          </w14:textOutline>
        </w:rPr>
        <w:lastRenderedPageBreak/>
        <w:t>Tabl</w:t>
      </w:r>
      <w:r w:rsidR="00205645" w:rsidRPr="00584FFB">
        <w:rPr>
          <w:color w:val="00000A"/>
          <w:sz w:val="20"/>
          <w:szCs w:val="20"/>
          <w:u w:color="00000A"/>
          <w:bdr w:val="nil"/>
          <w14:textOutline w14:w="0" w14:cap="flat" w14:cmpd="sng" w14:algn="ctr">
            <w14:noFill/>
            <w14:prstDash w14:val="solid"/>
            <w14:bevel/>
          </w14:textOutline>
        </w:rPr>
        <w:t>a</w:t>
      </w:r>
      <w:r w:rsidRPr="00584FFB">
        <w:rPr>
          <w:color w:val="00000A"/>
          <w:sz w:val="20"/>
          <w:szCs w:val="20"/>
          <w:u w:color="00000A"/>
          <w:bdr w:val="nil"/>
          <w14:textOutline w14:w="0" w14:cap="flat" w14:cmpd="sng" w14:algn="ctr">
            <w14:noFill/>
            <w14:prstDash w14:val="solid"/>
            <w14:bevel/>
          </w14:textOutline>
        </w:rPr>
        <w:t xml:space="preserve"> 2</w:t>
      </w:r>
      <w:r w:rsidRPr="00584FFB">
        <w:rPr>
          <w:color w:val="00000A"/>
          <w:sz w:val="20"/>
          <w:szCs w:val="20"/>
          <w:u w:color="00000A"/>
          <w:bdr w:val="nil"/>
          <w14:textOutline w14:w="0" w14:cap="flat" w14:cmpd="sng" w14:algn="ctr">
            <w14:noFill/>
            <w14:prstDash w14:val="solid"/>
            <w14:bevel/>
          </w14:textOutline>
        </w:rPr>
        <w:br/>
      </w:r>
      <w:r w:rsidR="000D677F" w:rsidRPr="00584FFB">
        <w:rPr>
          <w:i/>
          <w:iCs/>
          <w:color w:val="00000A"/>
          <w:sz w:val="20"/>
          <w:szCs w:val="20"/>
          <w:bdr w:val="nil"/>
          <w14:textOutline w14:w="0" w14:cap="flat" w14:cmpd="sng" w14:algn="ctr">
            <w14:noFill/>
            <w14:prstDash w14:val="solid"/>
            <w14:bevel/>
          </w14:textOutline>
        </w:rPr>
        <w:t>Motivos para cometer suicidio</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6474"/>
        <w:gridCol w:w="1465"/>
        <w:gridCol w:w="1465"/>
      </w:tblGrid>
      <w:tr w:rsidR="00395708" w:rsidRPr="00584FFB" w14:paraId="7BAED2FF" w14:textId="77777777" w:rsidTr="003E0397">
        <w:trPr>
          <w:trHeight w:val="300"/>
          <w:tblHeader/>
        </w:trPr>
        <w:tc>
          <w:tcPr>
            <w:tcW w:w="3442" w:type="pct"/>
            <w:tcBorders>
              <w:top w:val="single" w:sz="4" w:space="0" w:color="auto"/>
              <w:bottom w:val="single" w:sz="4" w:space="0" w:color="auto"/>
            </w:tcBorders>
            <w:shd w:val="clear" w:color="auto" w:fill="auto"/>
            <w:noWrap/>
            <w:vAlign w:val="bottom"/>
            <w:hideMark/>
          </w:tcPr>
          <w:p w14:paraId="031B1074" w14:textId="77777777" w:rsidR="00395708" w:rsidRPr="00584FFB" w:rsidRDefault="00395708" w:rsidP="006D5879">
            <w:pPr>
              <w:rPr>
                <w:sz w:val="20"/>
                <w:szCs w:val="20"/>
                <w:lang w:eastAsia="es-419"/>
              </w:rPr>
            </w:pPr>
          </w:p>
        </w:tc>
        <w:tc>
          <w:tcPr>
            <w:tcW w:w="779" w:type="pct"/>
            <w:tcBorders>
              <w:top w:val="single" w:sz="4" w:space="0" w:color="auto"/>
              <w:bottom w:val="single" w:sz="4" w:space="0" w:color="auto"/>
            </w:tcBorders>
            <w:shd w:val="clear" w:color="auto" w:fill="auto"/>
            <w:noWrap/>
            <w:vAlign w:val="bottom"/>
            <w:hideMark/>
          </w:tcPr>
          <w:p w14:paraId="4052D103" w14:textId="77777777" w:rsidR="00395708" w:rsidRPr="00584FFB" w:rsidRDefault="00395708" w:rsidP="006D5879">
            <w:pPr>
              <w:jc w:val="center"/>
              <w:rPr>
                <w:i/>
                <w:iCs/>
                <w:color w:val="000000"/>
                <w:sz w:val="20"/>
                <w:szCs w:val="20"/>
                <w:lang w:eastAsia="es-419"/>
              </w:rPr>
            </w:pPr>
            <w:r w:rsidRPr="00584FFB">
              <w:rPr>
                <w:i/>
                <w:iCs/>
                <w:color w:val="000000"/>
                <w:sz w:val="20"/>
                <w:szCs w:val="20"/>
                <w:lang w:eastAsia="es-419"/>
              </w:rPr>
              <w:t>f</w:t>
            </w:r>
          </w:p>
        </w:tc>
        <w:tc>
          <w:tcPr>
            <w:tcW w:w="779" w:type="pct"/>
            <w:tcBorders>
              <w:top w:val="single" w:sz="4" w:space="0" w:color="auto"/>
              <w:bottom w:val="single" w:sz="4" w:space="0" w:color="auto"/>
            </w:tcBorders>
            <w:shd w:val="clear" w:color="auto" w:fill="auto"/>
            <w:noWrap/>
            <w:vAlign w:val="bottom"/>
            <w:hideMark/>
          </w:tcPr>
          <w:p w14:paraId="442933A3" w14:textId="77777777" w:rsidR="00395708" w:rsidRPr="00584FFB" w:rsidRDefault="00395708" w:rsidP="006D5879">
            <w:pPr>
              <w:jc w:val="center"/>
              <w:rPr>
                <w:color w:val="000000"/>
                <w:sz w:val="20"/>
                <w:szCs w:val="20"/>
                <w:lang w:eastAsia="es-419"/>
              </w:rPr>
            </w:pPr>
            <w:r w:rsidRPr="00584FFB">
              <w:rPr>
                <w:i/>
                <w:iCs/>
                <w:color w:val="000000"/>
                <w:sz w:val="20"/>
                <w:szCs w:val="20"/>
                <w:lang w:eastAsia="es-419"/>
              </w:rPr>
              <w:t>%</w:t>
            </w:r>
            <w:r w:rsidRPr="00584FFB">
              <w:rPr>
                <w:color w:val="000000"/>
                <w:sz w:val="20"/>
                <w:szCs w:val="20"/>
                <w:lang w:eastAsia="es-419"/>
              </w:rPr>
              <w:t xml:space="preserve"> del total</w:t>
            </w:r>
          </w:p>
        </w:tc>
      </w:tr>
      <w:tr w:rsidR="00395708" w:rsidRPr="00584FFB" w14:paraId="3D2C906D" w14:textId="77777777" w:rsidTr="00EE5B24">
        <w:trPr>
          <w:trHeight w:val="300"/>
        </w:trPr>
        <w:tc>
          <w:tcPr>
            <w:tcW w:w="3442" w:type="pct"/>
            <w:tcBorders>
              <w:top w:val="single" w:sz="4" w:space="0" w:color="auto"/>
            </w:tcBorders>
            <w:shd w:val="clear" w:color="auto" w:fill="F2F2F2" w:themeFill="background1" w:themeFillShade="F2"/>
            <w:noWrap/>
            <w:vAlign w:val="bottom"/>
            <w:hideMark/>
          </w:tcPr>
          <w:p w14:paraId="7CE17838" w14:textId="77777777" w:rsidR="00395708" w:rsidRPr="00584FFB" w:rsidRDefault="00395708" w:rsidP="00725C15">
            <w:pPr>
              <w:pStyle w:val="Prrafodelista"/>
              <w:numPr>
                <w:ilvl w:val="0"/>
                <w:numId w:val="15"/>
              </w:numPr>
              <w:spacing w:line="240" w:lineRule="auto"/>
              <w:rPr>
                <w:rFonts w:ascii="Times New Roman" w:hAnsi="Times New Roman" w:cs="Times New Roman"/>
                <w:color w:val="000000"/>
                <w:sz w:val="20"/>
                <w:szCs w:val="20"/>
                <w:lang w:val="es-CR" w:eastAsia="es-419"/>
              </w:rPr>
            </w:pPr>
            <w:r w:rsidRPr="00584FFB">
              <w:rPr>
                <w:rFonts w:ascii="Times New Roman" w:hAnsi="Times New Roman" w:cs="Times New Roman"/>
                <w:color w:val="000000"/>
                <w:sz w:val="20"/>
                <w:szCs w:val="20"/>
                <w:lang w:val="es-CR" w:eastAsia="es-419"/>
              </w:rPr>
              <w:t>Por problemas familiares</w:t>
            </w:r>
          </w:p>
        </w:tc>
        <w:tc>
          <w:tcPr>
            <w:tcW w:w="779" w:type="pct"/>
            <w:tcBorders>
              <w:top w:val="single" w:sz="4" w:space="0" w:color="auto"/>
            </w:tcBorders>
            <w:shd w:val="clear" w:color="auto" w:fill="F2F2F2" w:themeFill="background1" w:themeFillShade="F2"/>
            <w:noWrap/>
            <w:vAlign w:val="bottom"/>
            <w:hideMark/>
          </w:tcPr>
          <w:p w14:paraId="70CDF8A6"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395</w:t>
            </w:r>
          </w:p>
        </w:tc>
        <w:tc>
          <w:tcPr>
            <w:tcW w:w="779" w:type="pct"/>
            <w:tcBorders>
              <w:top w:val="single" w:sz="4" w:space="0" w:color="auto"/>
            </w:tcBorders>
            <w:shd w:val="clear" w:color="auto" w:fill="F2F2F2" w:themeFill="background1" w:themeFillShade="F2"/>
            <w:noWrap/>
            <w:vAlign w:val="bottom"/>
            <w:hideMark/>
          </w:tcPr>
          <w:p w14:paraId="28C8DF55"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75.10</w:t>
            </w:r>
          </w:p>
        </w:tc>
      </w:tr>
      <w:tr w:rsidR="00395708" w:rsidRPr="00584FFB" w14:paraId="20B16409" w14:textId="77777777" w:rsidTr="00EE5B24">
        <w:trPr>
          <w:trHeight w:val="300"/>
        </w:trPr>
        <w:tc>
          <w:tcPr>
            <w:tcW w:w="3442" w:type="pct"/>
            <w:shd w:val="clear" w:color="auto" w:fill="F2F2F2" w:themeFill="background1" w:themeFillShade="F2"/>
            <w:noWrap/>
            <w:vAlign w:val="bottom"/>
            <w:hideMark/>
          </w:tcPr>
          <w:p w14:paraId="71AD898D" w14:textId="77777777" w:rsidR="00395708" w:rsidRPr="00584FFB" w:rsidRDefault="00395708" w:rsidP="00725C15">
            <w:pPr>
              <w:pStyle w:val="Prrafodelista"/>
              <w:numPr>
                <w:ilvl w:val="0"/>
                <w:numId w:val="15"/>
              </w:numPr>
              <w:spacing w:line="240" w:lineRule="auto"/>
              <w:rPr>
                <w:rFonts w:ascii="Times New Roman" w:hAnsi="Times New Roman" w:cs="Times New Roman"/>
                <w:color w:val="000000"/>
                <w:sz w:val="20"/>
                <w:szCs w:val="20"/>
                <w:lang w:val="es-CR" w:eastAsia="es-419"/>
              </w:rPr>
            </w:pPr>
            <w:r w:rsidRPr="00584FFB">
              <w:rPr>
                <w:rFonts w:ascii="Times New Roman" w:hAnsi="Times New Roman" w:cs="Times New Roman"/>
                <w:color w:val="000000"/>
                <w:sz w:val="20"/>
                <w:szCs w:val="20"/>
                <w:lang w:val="es-CR" w:eastAsia="es-419"/>
              </w:rPr>
              <w:t>Por problemas económicos</w:t>
            </w:r>
          </w:p>
        </w:tc>
        <w:tc>
          <w:tcPr>
            <w:tcW w:w="779" w:type="pct"/>
            <w:shd w:val="clear" w:color="auto" w:fill="F2F2F2" w:themeFill="background1" w:themeFillShade="F2"/>
            <w:noWrap/>
            <w:vAlign w:val="bottom"/>
            <w:hideMark/>
          </w:tcPr>
          <w:p w14:paraId="2982CBE7"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394</w:t>
            </w:r>
          </w:p>
        </w:tc>
        <w:tc>
          <w:tcPr>
            <w:tcW w:w="779" w:type="pct"/>
            <w:shd w:val="clear" w:color="auto" w:fill="F2F2F2" w:themeFill="background1" w:themeFillShade="F2"/>
            <w:noWrap/>
            <w:vAlign w:val="bottom"/>
            <w:hideMark/>
          </w:tcPr>
          <w:p w14:paraId="19D52321"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74.90</w:t>
            </w:r>
          </w:p>
        </w:tc>
      </w:tr>
      <w:tr w:rsidR="00395708" w:rsidRPr="00584FFB" w14:paraId="3D29A51F" w14:textId="77777777" w:rsidTr="00EE5B24">
        <w:trPr>
          <w:trHeight w:val="300"/>
        </w:trPr>
        <w:tc>
          <w:tcPr>
            <w:tcW w:w="3442" w:type="pct"/>
            <w:shd w:val="clear" w:color="auto" w:fill="F2F2F2" w:themeFill="background1" w:themeFillShade="F2"/>
            <w:noWrap/>
            <w:vAlign w:val="bottom"/>
            <w:hideMark/>
          </w:tcPr>
          <w:p w14:paraId="505765D7" w14:textId="77777777" w:rsidR="00395708" w:rsidRPr="00584FFB" w:rsidRDefault="00395708" w:rsidP="00725C15">
            <w:pPr>
              <w:pStyle w:val="Prrafodelista"/>
              <w:numPr>
                <w:ilvl w:val="0"/>
                <w:numId w:val="15"/>
              </w:numPr>
              <w:spacing w:line="240" w:lineRule="auto"/>
              <w:rPr>
                <w:rFonts w:ascii="Times New Roman" w:hAnsi="Times New Roman" w:cs="Times New Roman"/>
                <w:color w:val="000000"/>
                <w:sz w:val="20"/>
                <w:szCs w:val="20"/>
                <w:lang w:val="es-CR" w:eastAsia="es-419"/>
              </w:rPr>
            </w:pPr>
            <w:r w:rsidRPr="00584FFB">
              <w:rPr>
                <w:rFonts w:ascii="Times New Roman" w:hAnsi="Times New Roman" w:cs="Times New Roman"/>
                <w:color w:val="000000"/>
                <w:sz w:val="20"/>
                <w:szCs w:val="20"/>
                <w:lang w:val="es-CR" w:eastAsia="es-419"/>
              </w:rPr>
              <w:t>Por una crisis de una enfermedad mental que padece</w:t>
            </w:r>
          </w:p>
        </w:tc>
        <w:tc>
          <w:tcPr>
            <w:tcW w:w="779" w:type="pct"/>
            <w:shd w:val="clear" w:color="auto" w:fill="F2F2F2" w:themeFill="background1" w:themeFillShade="F2"/>
            <w:noWrap/>
            <w:vAlign w:val="bottom"/>
            <w:hideMark/>
          </w:tcPr>
          <w:p w14:paraId="43EAC844"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375</w:t>
            </w:r>
          </w:p>
        </w:tc>
        <w:tc>
          <w:tcPr>
            <w:tcW w:w="779" w:type="pct"/>
            <w:shd w:val="clear" w:color="auto" w:fill="F2F2F2" w:themeFill="background1" w:themeFillShade="F2"/>
            <w:noWrap/>
            <w:vAlign w:val="bottom"/>
            <w:hideMark/>
          </w:tcPr>
          <w:p w14:paraId="2111A668"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71.29</w:t>
            </w:r>
          </w:p>
        </w:tc>
      </w:tr>
      <w:tr w:rsidR="00395708" w:rsidRPr="00584FFB" w14:paraId="4EA013D9" w14:textId="77777777" w:rsidTr="00EE5B24">
        <w:trPr>
          <w:trHeight w:val="300"/>
        </w:trPr>
        <w:tc>
          <w:tcPr>
            <w:tcW w:w="3442" w:type="pct"/>
            <w:shd w:val="clear" w:color="auto" w:fill="F2F2F2" w:themeFill="background1" w:themeFillShade="F2"/>
            <w:noWrap/>
            <w:vAlign w:val="bottom"/>
            <w:hideMark/>
          </w:tcPr>
          <w:p w14:paraId="01B058BA" w14:textId="77777777" w:rsidR="00395708" w:rsidRPr="00584FFB" w:rsidRDefault="00395708" w:rsidP="00725C15">
            <w:pPr>
              <w:pStyle w:val="Prrafodelista"/>
              <w:numPr>
                <w:ilvl w:val="0"/>
                <w:numId w:val="15"/>
              </w:numPr>
              <w:spacing w:line="240" w:lineRule="auto"/>
              <w:rPr>
                <w:rFonts w:ascii="Times New Roman" w:hAnsi="Times New Roman" w:cs="Times New Roman"/>
                <w:color w:val="000000"/>
                <w:sz w:val="20"/>
                <w:szCs w:val="20"/>
                <w:lang w:val="es-CR" w:eastAsia="es-419"/>
              </w:rPr>
            </w:pPr>
            <w:r w:rsidRPr="00584FFB">
              <w:rPr>
                <w:rFonts w:ascii="Times New Roman" w:hAnsi="Times New Roman" w:cs="Times New Roman"/>
                <w:color w:val="000000"/>
                <w:sz w:val="20"/>
                <w:szCs w:val="20"/>
                <w:lang w:val="es-CR" w:eastAsia="es-419"/>
              </w:rPr>
              <w:t>Por la incapacidad de enfrentar una situación</w:t>
            </w:r>
          </w:p>
        </w:tc>
        <w:tc>
          <w:tcPr>
            <w:tcW w:w="779" w:type="pct"/>
            <w:shd w:val="clear" w:color="auto" w:fill="F2F2F2" w:themeFill="background1" w:themeFillShade="F2"/>
            <w:noWrap/>
            <w:vAlign w:val="bottom"/>
            <w:hideMark/>
          </w:tcPr>
          <w:p w14:paraId="65488F77"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374</w:t>
            </w:r>
          </w:p>
        </w:tc>
        <w:tc>
          <w:tcPr>
            <w:tcW w:w="779" w:type="pct"/>
            <w:shd w:val="clear" w:color="auto" w:fill="F2F2F2" w:themeFill="background1" w:themeFillShade="F2"/>
            <w:noWrap/>
            <w:vAlign w:val="bottom"/>
            <w:hideMark/>
          </w:tcPr>
          <w:p w14:paraId="2BB4B568"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71.10</w:t>
            </w:r>
          </w:p>
        </w:tc>
      </w:tr>
      <w:tr w:rsidR="00395708" w:rsidRPr="00584FFB" w14:paraId="1ECBCBAF" w14:textId="77777777" w:rsidTr="00EE5B24">
        <w:trPr>
          <w:trHeight w:val="300"/>
        </w:trPr>
        <w:tc>
          <w:tcPr>
            <w:tcW w:w="3442" w:type="pct"/>
            <w:shd w:val="clear" w:color="auto" w:fill="F2F2F2" w:themeFill="background1" w:themeFillShade="F2"/>
            <w:noWrap/>
            <w:vAlign w:val="bottom"/>
            <w:hideMark/>
          </w:tcPr>
          <w:p w14:paraId="6E264718" w14:textId="77777777" w:rsidR="00395708" w:rsidRPr="00584FFB" w:rsidRDefault="00395708" w:rsidP="00725C15">
            <w:pPr>
              <w:pStyle w:val="Prrafodelista"/>
              <w:numPr>
                <w:ilvl w:val="0"/>
                <w:numId w:val="15"/>
              </w:numPr>
              <w:spacing w:line="240" w:lineRule="auto"/>
              <w:rPr>
                <w:rFonts w:ascii="Times New Roman" w:hAnsi="Times New Roman" w:cs="Times New Roman"/>
                <w:color w:val="000000"/>
                <w:sz w:val="20"/>
                <w:szCs w:val="20"/>
                <w:lang w:val="es-CR" w:eastAsia="es-419"/>
              </w:rPr>
            </w:pPr>
            <w:r w:rsidRPr="00584FFB">
              <w:rPr>
                <w:rFonts w:ascii="Times New Roman" w:hAnsi="Times New Roman" w:cs="Times New Roman"/>
                <w:color w:val="000000"/>
                <w:sz w:val="20"/>
                <w:szCs w:val="20"/>
                <w:lang w:val="es-CR" w:eastAsia="es-419"/>
              </w:rPr>
              <w:t>Porque no ve salida</w:t>
            </w:r>
          </w:p>
        </w:tc>
        <w:tc>
          <w:tcPr>
            <w:tcW w:w="779" w:type="pct"/>
            <w:shd w:val="clear" w:color="auto" w:fill="F2F2F2" w:themeFill="background1" w:themeFillShade="F2"/>
            <w:noWrap/>
            <w:vAlign w:val="bottom"/>
            <w:hideMark/>
          </w:tcPr>
          <w:p w14:paraId="4D8246B3"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354</w:t>
            </w:r>
          </w:p>
        </w:tc>
        <w:tc>
          <w:tcPr>
            <w:tcW w:w="779" w:type="pct"/>
            <w:shd w:val="clear" w:color="auto" w:fill="F2F2F2" w:themeFill="background1" w:themeFillShade="F2"/>
            <w:noWrap/>
            <w:vAlign w:val="bottom"/>
            <w:hideMark/>
          </w:tcPr>
          <w:p w14:paraId="19DF18EC"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67.30</w:t>
            </w:r>
          </w:p>
        </w:tc>
      </w:tr>
      <w:tr w:rsidR="00395708" w:rsidRPr="00584FFB" w14:paraId="6F2410F5" w14:textId="77777777" w:rsidTr="00EE5B24">
        <w:trPr>
          <w:trHeight w:val="300"/>
        </w:trPr>
        <w:tc>
          <w:tcPr>
            <w:tcW w:w="3442" w:type="pct"/>
            <w:shd w:val="clear" w:color="auto" w:fill="F2F2F2" w:themeFill="background1" w:themeFillShade="F2"/>
            <w:noWrap/>
            <w:vAlign w:val="bottom"/>
            <w:hideMark/>
          </w:tcPr>
          <w:p w14:paraId="0B51CA06" w14:textId="77777777" w:rsidR="00395708" w:rsidRPr="00584FFB" w:rsidRDefault="00395708" w:rsidP="00725C15">
            <w:pPr>
              <w:pStyle w:val="Prrafodelista"/>
              <w:numPr>
                <w:ilvl w:val="0"/>
                <w:numId w:val="15"/>
              </w:numPr>
              <w:spacing w:line="240" w:lineRule="auto"/>
              <w:rPr>
                <w:rFonts w:ascii="Times New Roman" w:hAnsi="Times New Roman" w:cs="Times New Roman"/>
                <w:color w:val="000000"/>
                <w:sz w:val="20"/>
                <w:szCs w:val="20"/>
                <w:lang w:val="es-CR" w:eastAsia="es-419"/>
              </w:rPr>
            </w:pPr>
            <w:r w:rsidRPr="00584FFB">
              <w:rPr>
                <w:rFonts w:ascii="Times New Roman" w:hAnsi="Times New Roman" w:cs="Times New Roman"/>
                <w:color w:val="000000"/>
                <w:sz w:val="20"/>
                <w:szCs w:val="20"/>
                <w:lang w:val="es-CR" w:eastAsia="es-419"/>
              </w:rPr>
              <w:t>Por insatisfacción personal</w:t>
            </w:r>
          </w:p>
        </w:tc>
        <w:tc>
          <w:tcPr>
            <w:tcW w:w="779" w:type="pct"/>
            <w:shd w:val="clear" w:color="auto" w:fill="F2F2F2" w:themeFill="background1" w:themeFillShade="F2"/>
            <w:noWrap/>
            <w:vAlign w:val="bottom"/>
            <w:hideMark/>
          </w:tcPr>
          <w:p w14:paraId="5BC00CAA"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323</w:t>
            </w:r>
          </w:p>
        </w:tc>
        <w:tc>
          <w:tcPr>
            <w:tcW w:w="779" w:type="pct"/>
            <w:shd w:val="clear" w:color="auto" w:fill="F2F2F2" w:themeFill="background1" w:themeFillShade="F2"/>
            <w:noWrap/>
            <w:vAlign w:val="bottom"/>
            <w:hideMark/>
          </w:tcPr>
          <w:p w14:paraId="71B2B058"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61.41</w:t>
            </w:r>
          </w:p>
        </w:tc>
      </w:tr>
      <w:tr w:rsidR="00395708" w:rsidRPr="00584FFB" w14:paraId="4DFFE89B" w14:textId="77777777" w:rsidTr="00EE5B24">
        <w:trPr>
          <w:trHeight w:val="300"/>
        </w:trPr>
        <w:tc>
          <w:tcPr>
            <w:tcW w:w="3442" w:type="pct"/>
            <w:shd w:val="clear" w:color="auto" w:fill="F2F2F2" w:themeFill="background1" w:themeFillShade="F2"/>
            <w:noWrap/>
            <w:vAlign w:val="bottom"/>
            <w:hideMark/>
          </w:tcPr>
          <w:p w14:paraId="55AB83E9" w14:textId="77777777" w:rsidR="00395708" w:rsidRPr="00584FFB" w:rsidRDefault="00395708" w:rsidP="00725C15">
            <w:pPr>
              <w:pStyle w:val="Prrafodelista"/>
              <w:numPr>
                <w:ilvl w:val="0"/>
                <w:numId w:val="15"/>
              </w:numPr>
              <w:spacing w:line="240" w:lineRule="auto"/>
              <w:rPr>
                <w:rFonts w:ascii="Times New Roman" w:hAnsi="Times New Roman" w:cs="Times New Roman"/>
                <w:color w:val="000000"/>
                <w:sz w:val="20"/>
                <w:szCs w:val="20"/>
                <w:lang w:val="es-CR" w:eastAsia="es-419"/>
              </w:rPr>
            </w:pPr>
            <w:r w:rsidRPr="00584FFB">
              <w:rPr>
                <w:rFonts w:ascii="Times New Roman" w:hAnsi="Times New Roman" w:cs="Times New Roman"/>
                <w:color w:val="000000"/>
                <w:sz w:val="20"/>
                <w:szCs w:val="20"/>
                <w:lang w:val="es-CR" w:eastAsia="es-419"/>
              </w:rPr>
              <w:t>Por una ruptura amorosa</w:t>
            </w:r>
          </w:p>
        </w:tc>
        <w:tc>
          <w:tcPr>
            <w:tcW w:w="779" w:type="pct"/>
            <w:shd w:val="clear" w:color="auto" w:fill="F2F2F2" w:themeFill="background1" w:themeFillShade="F2"/>
            <w:noWrap/>
            <w:vAlign w:val="bottom"/>
            <w:hideMark/>
          </w:tcPr>
          <w:p w14:paraId="2FF053B1"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297</w:t>
            </w:r>
          </w:p>
        </w:tc>
        <w:tc>
          <w:tcPr>
            <w:tcW w:w="779" w:type="pct"/>
            <w:shd w:val="clear" w:color="auto" w:fill="F2F2F2" w:themeFill="background1" w:themeFillShade="F2"/>
            <w:noWrap/>
            <w:vAlign w:val="bottom"/>
            <w:hideMark/>
          </w:tcPr>
          <w:p w14:paraId="31C7832B"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56.46</w:t>
            </w:r>
          </w:p>
        </w:tc>
      </w:tr>
      <w:tr w:rsidR="00395708" w:rsidRPr="00584FFB" w14:paraId="7BA18729" w14:textId="77777777" w:rsidTr="00256048">
        <w:trPr>
          <w:trHeight w:val="300"/>
        </w:trPr>
        <w:tc>
          <w:tcPr>
            <w:tcW w:w="3442" w:type="pct"/>
            <w:shd w:val="clear" w:color="auto" w:fill="auto"/>
            <w:noWrap/>
            <w:vAlign w:val="bottom"/>
            <w:hideMark/>
          </w:tcPr>
          <w:p w14:paraId="6D8B4FEF" w14:textId="67064170" w:rsidR="00395708" w:rsidRPr="00584FFB" w:rsidRDefault="00395708" w:rsidP="00725C15">
            <w:pPr>
              <w:pStyle w:val="Prrafodelista"/>
              <w:numPr>
                <w:ilvl w:val="0"/>
                <w:numId w:val="15"/>
              </w:numPr>
              <w:spacing w:line="240" w:lineRule="auto"/>
              <w:rPr>
                <w:rFonts w:ascii="Times New Roman" w:hAnsi="Times New Roman" w:cs="Times New Roman"/>
                <w:color w:val="000000"/>
                <w:sz w:val="20"/>
                <w:szCs w:val="20"/>
                <w:lang w:val="es-CR" w:eastAsia="es-419"/>
              </w:rPr>
            </w:pPr>
            <w:r w:rsidRPr="00584FFB">
              <w:rPr>
                <w:rFonts w:ascii="Times New Roman" w:hAnsi="Times New Roman" w:cs="Times New Roman"/>
                <w:color w:val="000000"/>
                <w:sz w:val="20"/>
                <w:szCs w:val="20"/>
                <w:lang w:val="es-CR" w:eastAsia="es-419"/>
              </w:rPr>
              <w:t xml:space="preserve">Por una enfermedad terminal </w:t>
            </w:r>
          </w:p>
        </w:tc>
        <w:tc>
          <w:tcPr>
            <w:tcW w:w="779" w:type="pct"/>
            <w:shd w:val="clear" w:color="auto" w:fill="auto"/>
            <w:noWrap/>
            <w:vAlign w:val="bottom"/>
            <w:hideMark/>
          </w:tcPr>
          <w:p w14:paraId="1486648F"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249</w:t>
            </w:r>
          </w:p>
        </w:tc>
        <w:tc>
          <w:tcPr>
            <w:tcW w:w="779" w:type="pct"/>
            <w:shd w:val="clear" w:color="auto" w:fill="auto"/>
            <w:noWrap/>
            <w:vAlign w:val="bottom"/>
            <w:hideMark/>
          </w:tcPr>
          <w:p w14:paraId="02CC889C"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47.34</w:t>
            </w:r>
          </w:p>
        </w:tc>
      </w:tr>
      <w:tr w:rsidR="00395708" w:rsidRPr="00584FFB" w14:paraId="3CAD7B45" w14:textId="77777777" w:rsidTr="00256048">
        <w:trPr>
          <w:trHeight w:val="300"/>
        </w:trPr>
        <w:tc>
          <w:tcPr>
            <w:tcW w:w="3442" w:type="pct"/>
            <w:shd w:val="clear" w:color="auto" w:fill="auto"/>
            <w:noWrap/>
            <w:vAlign w:val="bottom"/>
            <w:hideMark/>
          </w:tcPr>
          <w:p w14:paraId="7ECB1C77" w14:textId="3933D1F6" w:rsidR="00395708" w:rsidRPr="00584FFB" w:rsidRDefault="00395708" w:rsidP="00725C15">
            <w:pPr>
              <w:pStyle w:val="Prrafodelista"/>
              <w:numPr>
                <w:ilvl w:val="0"/>
                <w:numId w:val="15"/>
              </w:numPr>
              <w:spacing w:line="240" w:lineRule="auto"/>
              <w:rPr>
                <w:rFonts w:ascii="Times New Roman" w:hAnsi="Times New Roman" w:cs="Times New Roman"/>
                <w:color w:val="000000"/>
                <w:sz w:val="20"/>
                <w:szCs w:val="20"/>
                <w:lang w:val="es-CR" w:eastAsia="es-419"/>
              </w:rPr>
            </w:pPr>
            <w:r w:rsidRPr="00584FFB">
              <w:rPr>
                <w:rFonts w:ascii="Times New Roman" w:hAnsi="Times New Roman" w:cs="Times New Roman"/>
                <w:color w:val="000000"/>
                <w:sz w:val="20"/>
                <w:szCs w:val="20"/>
                <w:lang w:val="es-CR" w:eastAsia="es-419"/>
              </w:rPr>
              <w:t>Por haber cometido malas acciones</w:t>
            </w:r>
          </w:p>
        </w:tc>
        <w:tc>
          <w:tcPr>
            <w:tcW w:w="779" w:type="pct"/>
            <w:shd w:val="clear" w:color="auto" w:fill="auto"/>
            <w:noWrap/>
            <w:vAlign w:val="bottom"/>
            <w:hideMark/>
          </w:tcPr>
          <w:p w14:paraId="510FF9A4"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239</w:t>
            </w:r>
          </w:p>
        </w:tc>
        <w:tc>
          <w:tcPr>
            <w:tcW w:w="779" w:type="pct"/>
            <w:shd w:val="clear" w:color="auto" w:fill="auto"/>
            <w:noWrap/>
            <w:vAlign w:val="bottom"/>
            <w:hideMark/>
          </w:tcPr>
          <w:p w14:paraId="6CE8DE85"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45.44</w:t>
            </w:r>
          </w:p>
        </w:tc>
      </w:tr>
      <w:tr w:rsidR="00395708" w:rsidRPr="00584FFB" w14:paraId="18C92F56" w14:textId="77777777" w:rsidTr="00256048">
        <w:trPr>
          <w:trHeight w:val="300"/>
        </w:trPr>
        <w:tc>
          <w:tcPr>
            <w:tcW w:w="3442" w:type="pct"/>
            <w:shd w:val="clear" w:color="auto" w:fill="auto"/>
            <w:noWrap/>
            <w:vAlign w:val="bottom"/>
            <w:hideMark/>
          </w:tcPr>
          <w:p w14:paraId="665ECFB8" w14:textId="77777777" w:rsidR="00395708" w:rsidRPr="00584FFB" w:rsidRDefault="00395708" w:rsidP="00725C15">
            <w:pPr>
              <w:pStyle w:val="Prrafodelista"/>
              <w:numPr>
                <w:ilvl w:val="0"/>
                <w:numId w:val="15"/>
              </w:numPr>
              <w:spacing w:line="240" w:lineRule="auto"/>
              <w:rPr>
                <w:rFonts w:ascii="Times New Roman" w:hAnsi="Times New Roman" w:cs="Times New Roman"/>
                <w:color w:val="000000"/>
                <w:sz w:val="20"/>
                <w:szCs w:val="20"/>
                <w:lang w:val="es-CR" w:eastAsia="es-419"/>
              </w:rPr>
            </w:pPr>
            <w:r w:rsidRPr="00584FFB">
              <w:rPr>
                <w:rFonts w:ascii="Times New Roman" w:hAnsi="Times New Roman" w:cs="Times New Roman"/>
                <w:color w:val="000000"/>
                <w:sz w:val="20"/>
                <w:szCs w:val="20"/>
                <w:lang w:val="es-CR" w:eastAsia="es-419"/>
              </w:rPr>
              <w:t>Por falta de Dios</w:t>
            </w:r>
          </w:p>
        </w:tc>
        <w:tc>
          <w:tcPr>
            <w:tcW w:w="779" w:type="pct"/>
            <w:shd w:val="clear" w:color="auto" w:fill="auto"/>
            <w:noWrap/>
            <w:vAlign w:val="bottom"/>
            <w:hideMark/>
          </w:tcPr>
          <w:p w14:paraId="5E53B4E3"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113</w:t>
            </w:r>
          </w:p>
        </w:tc>
        <w:tc>
          <w:tcPr>
            <w:tcW w:w="779" w:type="pct"/>
            <w:shd w:val="clear" w:color="auto" w:fill="auto"/>
            <w:noWrap/>
            <w:vAlign w:val="bottom"/>
            <w:hideMark/>
          </w:tcPr>
          <w:p w14:paraId="4C4F49A5"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21.48</w:t>
            </w:r>
          </w:p>
        </w:tc>
      </w:tr>
      <w:tr w:rsidR="00395708" w:rsidRPr="00584FFB" w14:paraId="4D9CFBCA" w14:textId="77777777" w:rsidTr="00256048">
        <w:trPr>
          <w:trHeight w:val="300"/>
        </w:trPr>
        <w:tc>
          <w:tcPr>
            <w:tcW w:w="3442" w:type="pct"/>
            <w:shd w:val="clear" w:color="auto" w:fill="auto"/>
            <w:noWrap/>
            <w:vAlign w:val="bottom"/>
            <w:hideMark/>
          </w:tcPr>
          <w:p w14:paraId="7929BB66" w14:textId="77777777" w:rsidR="00395708" w:rsidRPr="00584FFB" w:rsidRDefault="00395708" w:rsidP="00725C15">
            <w:pPr>
              <w:pStyle w:val="Prrafodelista"/>
              <w:numPr>
                <w:ilvl w:val="0"/>
                <w:numId w:val="15"/>
              </w:numPr>
              <w:spacing w:line="240" w:lineRule="auto"/>
              <w:rPr>
                <w:rFonts w:ascii="Times New Roman" w:hAnsi="Times New Roman" w:cs="Times New Roman"/>
                <w:color w:val="000000"/>
                <w:sz w:val="20"/>
                <w:szCs w:val="20"/>
                <w:lang w:val="es-CR" w:eastAsia="es-419"/>
              </w:rPr>
            </w:pPr>
            <w:r w:rsidRPr="00584FFB">
              <w:rPr>
                <w:rFonts w:ascii="Times New Roman" w:hAnsi="Times New Roman" w:cs="Times New Roman"/>
                <w:color w:val="000000"/>
                <w:sz w:val="20"/>
                <w:szCs w:val="20"/>
                <w:lang w:val="es-CR" w:eastAsia="es-419"/>
              </w:rPr>
              <w:t>Para hacer sufrir a alguien</w:t>
            </w:r>
          </w:p>
        </w:tc>
        <w:tc>
          <w:tcPr>
            <w:tcW w:w="779" w:type="pct"/>
            <w:shd w:val="clear" w:color="auto" w:fill="auto"/>
            <w:noWrap/>
            <w:vAlign w:val="bottom"/>
            <w:hideMark/>
          </w:tcPr>
          <w:p w14:paraId="51072AFE"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89</w:t>
            </w:r>
          </w:p>
        </w:tc>
        <w:tc>
          <w:tcPr>
            <w:tcW w:w="779" w:type="pct"/>
            <w:shd w:val="clear" w:color="auto" w:fill="auto"/>
            <w:noWrap/>
            <w:vAlign w:val="bottom"/>
            <w:hideMark/>
          </w:tcPr>
          <w:p w14:paraId="1B0944B1"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16.92</w:t>
            </w:r>
          </w:p>
        </w:tc>
      </w:tr>
      <w:tr w:rsidR="00395708" w:rsidRPr="00584FFB" w14:paraId="3CFAD13E" w14:textId="77777777" w:rsidTr="00256048">
        <w:trPr>
          <w:trHeight w:val="300"/>
        </w:trPr>
        <w:tc>
          <w:tcPr>
            <w:tcW w:w="3442" w:type="pct"/>
            <w:shd w:val="clear" w:color="auto" w:fill="auto"/>
            <w:noWrap/>
            <w:vAlign w:val="bottom"/>
            <w:hideMark/>
          </w:tcPr>
          <w:p w14:paraId="1A7444C9" w14:textId="77777777" w:rsidR="00395708" w:rsidRPr="00584FFB" w:rsidRDefault="00395708" w:rsidP="00725C15">
            <w:pPr>
              <w:pStyle w:val="Prrafodelista"/>
              <w:numPr>
                <w:ilvl w:val="0"/>
                <w:numId w:val="15"/>
              </w:numPr>
              <w:spacing w:line="240" w:lineRule="auto"/>
              <w:rPr>
                <w:rFonts w:ascii="Times New Roman" w:hAnsi="Times New Roman" w:cs="Times New Roman"/>
                <w:color w:val="000000"/>
                <w:sz w:val="20"/>
                <w:szCs w:val="20"/>
                <w:lang w:val="es-CR" w:eastAsia="es-419"/>
              </w:rPr>
            </w:pPr>
            <w:r w:rsidRPr="00584FFB">
              <w:rPr>
                <w:rFonts w:ascii="Times New Roman" w:hAnsi="Times New Roman" w:cs="Times New Roman"/>
                <w:color w:val="000000"/>
                <w:sz w:val="20"/>
                <w:szCs w:val="20"/>
                <w:lang w:val="es-CR" w:eastAsia="es-419"/>
              </w:rPr>
              <w:t>Por cobardía</w:t>
            </w:r>
          </w:p>
        </w:tc>
        <w:tc>
          <w:tcPr>
            <w:tcW w:w="779" w:type="pct"/>
            <w:shd w:val="clear" w:color="auto" w:fill="auto"/>
            <w:noWrap/>
            <w:vAlign w:val="bottom"/>
            <w:hideMark/>
          </w:tcPr>
          <w:p w14:paraId="797F82AC"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73</w:t>
            </w:r>
          </w:p>
        </w:tc>
        <w:tc>
          <w:tcPr>
            <w:tcW w:w="779" w:type="pct"/>
            <w:shd w:val="clear" w:color="auto" w:fill="auto"/>
            <w:noWrap/>
            <w:vAlign w:val="bottom"/>
            <w:hideMark/>
          </w:tcPr>
          <w:p w14:paraId="2BC4EE68" w14:textId="77777777" w:rsidR="00395708" w:rsidRPr="00584FFB" w:rsidRDefault="00395708" w:rsidP="00725C15">
            <w:pPr>
              <w:jc w:val="center"/>
              <w:rPr>
                <w:color w:val="000000"/>
                <w:sz w:val="20"/>
                <w:szCs w:val="20"/>
                <w:lang w:eastAsia="es-419"/>
              </w:rPr>
            </w:pPr>
            <w:r w:rsidRPr="00584FFB">
              <w:rPr>
                <w:color w:val="000000"/>
                <w:sz w:val="20"/>
                <w:szCs w:val="20"/>
                <w:lang w:eastAsia="es-419"/>
              </w:rPr>
              <w:t>13.88</w:t>
            </w:r>
          </w:p>
        </w:tc>
      </w:tr>
    </w:tbl>
    <w:p w14:paraId="4D8309B9" w14:textId="0E81C4DB" w:rsidR="00395708" w:rsidRPr="00584FFB" w:rsidRDefault="00B97094" w:rsidP="00B97094">
      <w:pPr>
        <w:pBdr>
          <w:top w:val="nil"/>
          <w:left w:val="nil"/>
          <w:bottom w:val="nil"/>
          <w:right w:val="nil"/>
          <w:between w:val="nil"/>
          <w:bar w:val="nil"/>
        </w:pBdr>
        <w:suppressAutoHyphens/>
        <w:spacing w:line="100" w:lineRule="atLeast"/>
        <w:rPr>
          <w:rFonts w:eastAsia="Calibri" w:cs="Calibri"/>
          <w:color w:val="000000"/>
          <w:sz w:val="20"/>
          <w:szCs w:val="20"/>
          <w:u w:color="000000"/>
          <w:bdr w:val="nil"/>
          <w14:textOutline w14:w="0" w14:cap="flat" w14:cmpd="sng" w14:algn="ctr">
            <w14:noFill/>
            <w14:prstDash w14:val="solid"/>
            <w14:bevel/>
          </w14:textOutline>
        </w:rPr>
      </w:pPr>
      <w:r w:rsidRPr="00584FFB">
        <w:rPr>
          <w:rFonts w:eastAsia="Calibri" w:cs="Calibri"/>
          <w:color w:val="000000"/>
          <w:sz w:val="20"/>
          <w:szCs w:val="20"/>
          <w:u w:color="000000"/>
          <w:bdr w:val="nil"/>
          <w14:textOutline w14:w="0" w14:cap="flat" w14:cmpd="sng" w14:algn="ctr">
            <w14:noFill/>
            <w14:prstDash w14:val="solid"/>
            <w14:bevel/>
          </w14:textOutline>
        </w:rPr>
        <w:t xml:space="preserve">Nota. </w:t>
      </w:r>
      <w:r w:rsidR="002B594D" w:rsidRPr="00584FFB">
        <w:rPr>
          <w:rFonts w:eastAsia="Calibri" w:cs="Calibri"/>
          <w:color w:val="000000"/>
          <w:sz w:val="20"/>
          <w:szCs w:val="20"/>
          <w:u w:color="000000"/>
          <w:bdr w:val="nil"/>
          <w14:textOutline w14:w="0" w14:cap="flat" w14:cmpd="sng" w14:algn="ctr">
            <w14:noFill/>
            <w14:prstDash w14:val="solid"/>
            <w14:bevel/>
          </w14:textOutline>
        </w:rPr>
        <w:t>El % del total</w:t>
      </w:r>
      <w:r w:rsidRPr="00584FFB">
        <w:rPr>
          <w:rFonts w:eastAsia="Calibri" w:cs="Calibri"/>
          <w:color w:val="000000"/>
          <w:sz w:val="20"/>
          <w:szCs w:val="20"/>
          <w:u w:color="000000"/>
          <w:bdr w:val="nil"/>
          <w14:textOutline w14:w="0" w14:cap="flat" w14:cmpd="sng" w14:algn="ctr">
            <w14:noFill/>
            <w14:prstDash w14:val="solid"/>
            <w14:bevel/>
          </w14:textOutline>
        </w:rPr>
        <w:t xml:space="preserve"> para cada aspecto,</w:t>
      </w:r>
      <w:r w:rsidR="002B594D" w:rsidRPr="00584FFB">
        <w:rPr>
          <w:rFonts w:eastAsia="Calibri" w:cs="Calibri"/>
          <w:color w:val="000000"/>
          <w:sz w:val="20"/>
          <w:szCs w:val="20"/>
          <w:u w:color="000000"/>
          <w:bdr w:val="nil"/>
          <w14:textOutline w14:w="0" w14:cap="flat" w14:cmpd="sng" w14:algn="ctr">
            <w14:noFill/>
            <w14:prstDash w14:val="solid"/>
            <w14:bevel/>
          </w14:textOutline>
        </w:rPr>
        <w:t xml:space="preserve"> se calculó </w:t>
      </w:r>
      <w:r w:rsidRPr="00584FFB">
        <w:rPr>
          <w:rFonts w:eastAsia="Calibri" w:cs="Calibri"/>
          <w:color w:val="000000"/>
          <w:sz w:val="20"/>
          <w:szCs w:val="20"/>
          <w:u w:color="000000"/>
          <w:bdr w:val="nil"/>
          <w14:textOutline w14:w="0" w14:cap="flat" w14:cmpd="sng" w14:algn="ctr">
            <w14:noFill/>
            <w14:prstDash w14:val="solid"/>
            <w14:bevel/>
          </w14:textOutline>
        </w:rPr>
        <w:t xml:space="preserve">tomando el valor de N=526. </w:t>
      </w:r>
    </w:p>
    <w:p w14:paraId="27F77773" w14:textId="77777777" w:rsidR="00C42A4E" w:rsidRPr="00C45394" w:rsidRDefault="00C42A4E" w:rsidP="003E0397">
      <w:pPr>
        <w:pStyle w:val="Ttulosinternos"/>
        <w:rPr>
          <w:lang w:val="es-419"/>
        </w:rPr>
      </w:pPr>
    </w:p>
    <w:p w14:paraId="01233009" w14:textId="0A5EF5DB" w:rsidR="00EB5314" w:rsidRPr="00584FFB" w:rsidRDefault="0079107B" w:rsidP="00115125">
      <w:pPr>
        <w:pStyle w:val="Prrafocomn"/>
        <w:rPr>
          <w:lang w:val="es-CR"/>
        </w:rPr>
      </w:pPr>
      <w:r w:rsidRPr="00584FFB">
        <w:rPr>
          <w:lang w:val="es-CR"/>
        </w:rPr>
        <w:t xml:space="preserve">De acuerdo con los participantes, el grupo que posee la mayor probabilidad de cometer suicidio son </w:t>
      </w:r>
      <w:r w:rsidR="00AC0FBD" w:rsidRPr="00584FFB">
        <w:rPr>
          <w:lang w:val="es-CR"/>
        </w:rPr>
        <w:t>los adolescent</w:t>
      </w:r>
      <w:r w:rsidR="00967A30" w:rsidRPr="00584FFB">
        <w:rPr>
          <w:lang w:val="es-CR"/>
        </w:rPr>
        <w:t>e</w:t>
      </w:r>
      <w:r w:rsidR="00AC0FBD" w:rsidRPr="00584FFB">
        <w:rPr>
          <w:lang w:val="es-CR"/>
        </w:rPr>
        <w:t>s (6</w:t>
      </w:r>
      <w:r w:rsidR="00AD59BC">
        <w:rPr>
          <w:lang w:val="es-CR"/>
        </w:rPr>
        <w:t>1</w:t>
      </w:r>
      <w:r w:rsidR="00AC0FBD" w:rsidRPr="00584FFB">
        <w:rPr>
          <w:lang w:val="es-CR"/>
        </w:rPr>
        <w:t>%), seguido por los adultos (3</w:t>
      </w:r>
      <w:r w:rsidR="00AD59BC">
        <w:rPr>
          <w:lang w:val="es-CR"/>
        </w:rPr>
        <w:t>9</w:t>
      </w:r>
      <w:r w:rsidR="00AC0FBD" w:rsidRPr="00584FFB">
        <w:rPr>
          <w:lang w:val="es-CR"/>
        </w:rPr>
        <w:t>%) y</w:t>
      </w:r>
      <w:r w:rsidR="00CF0621" w:rsidRPr="00584FFB">
        <w:rPr>
          <w:lang w:val="es-CR"/>
        </w:rPr>
        <w:t xml:space="preserve"> en menor medida los</w:t>
      </w:r>
      <w:r w:rsidR="00AC0FBD" w:rsidRPr="00584FFB">
        <w:rPr>
          <w:lang w:val="es-CR"/>
        </w:rPr>
        <w:t xml:space="preserve"> </w:t>
      </w:r>
      <w:r w:rsidR="00C0727F" w:rsidRPr="00584FFB">
        <w:rPr>
          <w:lang w:val="es-CR"/>
        </w:rPr>
        <w:t>adultos mayores y niños (0,57%)</w:t>
      </w:r>
      <w:r w:rsidR="00A77694" w:rsidRPr="00584FFB">
        <w:rPr>
          <w:lang w:val="es-CR"/>
        </w:rPr>
        <w:t xml:space="preserve">. </w:t>
      </w:r>
      <w:r w:rsidR="00ED5791" w:rsidRPr="00584FFB">
        <w:rPr>
          <w:lang w:val="es-CR"/>
        </w:rPr>
        <w:t>Ahora bien, si considera el sexo biológico</w:t>
      </w:r>
      <w:r w:rsidR="007640BB" w:rsidRPr="00584FFB">
        <w:rPr>
          <w:lang w:val="es-CR"/>
        </w:rPr>
        <w:t>,</w:t>
      </w:r>
      <w:r w:rsidR="00ED5791" w:rsidRPr="00584FFB">
        <w:rPr>
          <w:lang w:val="es-CR"/>
        </w:rPr>
        <w:t xml:space="preserve"> las personas que </w:t>
      </w:r>
      <w:r w:rsidR="007640BB" w:rsidRPr="00584FFB">
        <w:rPr>
          <w:lang w:val="es-CR"/>
        </w:rPr>
        <w:t>suicidan con mayor frecuencia según la percepción de los participantes, son los hombres (</w:t>
      </w:r>
      <w:r w:rsidR="005100A7" w:rsidRPr="00584FFB">
        <w:rPr>
          <w:lang w:val="es-CR"/>
        </w:rPr>
        <w:t xml:space="preserve">82%). </w:t>
      </w:r>
    </w:p>
    <w:p w14:paraId="6FA827F8" w14:textId="136F87E5" w:rsidR="001E49F8" w:rsidRPr="00584FFB" w:rsidRDefault="001E49F8" w:rsidP="00115125">
      <w:pPr>
        <w:pStyle w:val="Prrafocomn"/>
        <w:rPr>
          <w:lang w:val="es-CR"/>
        </w:rPr>
      </w:pPr>
      <w:r w:rsidRPr="00584FFB">
        <w:rPr>
          <w:lang w:val="es-CR"/>
        </w:rPr>
        <w:t xml:space="preserve">El método que </w:t>
      </w:r>
      <w:r w:rsidR="00306817" w:rsidRPr="00584FFB">
        <w:rPr>
          <w:lang w:val="es-CR"/>
        </w:rPr>
        <w:t xml:space="preserve">se enlista en primer lugar para cometer suicidio es </w:t>
      </w:r>
      <w:r w:rsidR="00753003" w:rsidRPr="00584FFB">
        <w:rPr>
          <w:lang w:val="es-CR"/>
        </w:rPr>
        <w:t xml:space="preserve">la sobredosis de medicamentos (80,23%), seguido por </w:t>
      </w:r>
      <w:r w:rsidR="0038265E" w:rsidRPr="00584FFB">
        <w:rPr>
          <w:lang w:val="es-CR"/>
        </w:rPr>
        <w:t xml:space="preserve">lanzarse de un puente o edificio elevado (73,38%) y ahorcamientos </w:t>
      </w:r>
      <w:r w:rsidR="003E158C" w:rsidRPr="00584FFB">
        <w:rPr>
          <w:lang w:val="es-CR"/>
        </w:rPr>
        <w:t xml:space="preserve">(72,62%) (Tabla 3). </w:t>
      </w:r>
    </w:p>
    <w:p w14:paraId="747895E1" w14:textId="77777777" w:rsidR="00C42A4E" w:rsidRPr="00584FFB" w:rsidRDefault="00C42A4E" w:rsidP="00E369C3">
      <w:pPr>
        <w:pStyle w:val="Prrafocomn"/>
        <w:ind w:firstLine="0"/>
        <w:jc w:val="left"/>
        <w:rPr>
          <w:lang w:val="es-CR"/>
        </w:rPr>
      </w:pPr>
    </w:p>
    <w:p w14:paraId="112DF287" w14:textId="194D5E2C" w:rsidR="00165DC9" w:rsidRPr="00584FFB" w:rsidRDefault="00165DC9" w:rsidP="00165DC9">
      <w:pPr>
        <w:keepNext/>
        <w:pBdr>
          <w:top w:val="nil"/>
          <w:left w:val="nil"/>
          <w:bottom w:val="nil"/>
          <w:right w:val="nil"/>
          <w:between w:val="nil"/>
          <w:bar w:val="nil"/>
        </w:pBdr>
        <w:suppressAutoHyphens/>
        <w:spacing w:line="0" w:lineRule="atLeast"/>
        <w:rPr>
          <w:color w:val="00000A"/>
          <w:sz w:val="20"/>
          <w:szCs w:val="20"/>
          <w:u w:color="00000A"/>
          <w:bdr w:val="nil"/>
          <w14:textOutline w14:w="0" w14:cap="flat" w14:cmpd="sng" w14:algn="ctr">
            <w14:noFill/>
            <w14:prstDash w14:val="solid"/>
            <w14:bevel/>
          </w14:textOutline>
        </w:rPr>
      </w:pPr>
      <w:r w:rsidRPr="00584FFB">
        <w:rPr>
          <w:color w:val="00000A"/>
          <w:sz w:val="20"/>
          <w:szCs w:val="20"/>
          <w:u w:color="00000A"/>
          <w:bdr w:val="nil"/>
          <w14:textOutline w14:w="0" w14:cap="flat" w14:cmpd="sng" w14:algn="ctr">
            <w14:noFill/>
            <w14:prstDash w14:val="solid"/>
            <w14:bevel/>
          </w14:textOutline>
        </w:rPr>
        <w:t xml:space="preserve">Tabla </w:t>
      </w:r>
      <w:r w:rsidR="008E00CA" w:rsidRPr="00584FFB">
        <w:rPr>
          <w:color w:val="00000A"/>
          <w:sz w:val="20"/>
          <w:szCs w:val="20"/>
          <w:u w:color="00000A"/>
          <w:bdr w:val="nil"/>
          <w14:textOutline w14:w="0" w14:cap="flat" w14:cmpd="sng" w14:algn="ctr">
            <w14:noFill/>
            <w14:prstDash w14:val="solid"/>
            <w14:bevel/>
          </w14:textOutline>
        </w:rPr>
        <w:t>3</w:t>
      </w:r>
      <w:r w:rsidRPr="00584FFB">
        <w:rPr>
          <w:color w:val="00000A"/>
          <w:sz w:val="20"/>
          <w:szCs w:val="20"/>
          <w:u w:color="00000A"/>
          <w:bdr w:val="nil"/>
          <w14:textOutline w14:w="0" w14:cap="flat" w14:cmpd="sng" w14:algn="ctr">
            <w14:noFill/>
            <w14:prstDash w14:val="solid"/>
            <w14:bevel/>
          </w14:textOutline>
        </w:rPr>
        <w:br/>
      </w:r>
      <w:r w:rsidRPr="00584FFB">
        <w:rPr>
          <w:i/>
          <w:iCs/>
          <w:color w:val="00000A"/>
          <w:sz w:val="20"/>
          <w:szCs w:val="20"/>
          <w:u w:color="00000A"/>
          <w:bdr w:val="nil"/>
          <w14:textOutline w14:w="0" w14:cap="flat" w14:cmpd="sng" w14:algn="ctr">
            <w14:noFill/>
            <w14:prstDash w14:val="solid"/>
            <w14:bevel/>
          </w14:textOutline>
        </w:rPr>
        <w:t>Métodos utilizados para cometer suicidio</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154"/>
        <w:gridCol w:w="1625"/>
        <w:gridCol w:w="1625"/>
      </w:tblGrid>
      <w:tr w:rsidR="00C75A77" w:rsidRPr="00584FFB" w14:paraId="541C0CE5" w14:textId="77777777" w:rsidTr="008E00CA">
        <w:trPr>
          <w:trHeight w:val="300"/>
        </w:trPr>
        <w:tc>
          <w:tcPr>
            <w:tcW w:w="3272" w:type="pct"/>
            <w:tcBorders>
              <w:bottom w:val="single" w:sz="4" w:space="0" w:color="auto"/>
            </w:tcBorders>
            <w:shd w:val="clear" w:color="auto" w:fill="auto"/>
            <w:noWrap/>
            <w:vAlign w:val="bottom"/>
          </w:tcPr>
          <w:p w14:paraId="2F077D56" w14:textId="77777777" w:rsidR="00C75A77" w:rsidRPr="00584FFB" w:rsidRDefault="00C75A77" w:rsidP="00C75A77">
            <w:pPr>
              <w:rPr>
                <w:sz w:val="20"/>
                <w:szCs w:val="20"/>
                <w:lang w:eastAsia="es-419"/>
              </w:rPr>
            </w:pPr>
          </w:p>
        </w:tc>
        <w:tc>
          <w:tcPr>
            <w:tcW w:w="864" w:type="pct"/>
            <w:tcBorders>
              <w:bottom w:val="single" w:sz="4" w:space="0" w:color="auto"/>
            </w:tcBorders>
            <w:shd w:val="clear" w:color="auto" w:fill="auto"/>
            <w:noWrap/>
            <w:vAlign w:val="bottom"/>
          </w:tcPr>
          <w:p w14:paraId="4D6008EF" w14:textId="346339BE" w:rsidR="00C75A77" w:rsidRPr="00584FFB" w:rsidRDefault="00C75A77" w:rsidP="00C75A77">
            <w:pPr>
              <w:jc w:val="center"/>
              <w:rPr>
                <w:sz w:val="20"/>
                <w:szCs w:val="20"/>
                <w:lang w:eastAsia="es-419"/>
              </w:rPr>
            </w:pPr>
            <w:r w:rsidRPr="00584FFB">
              <w:rPr>
                <w:i/>
                <w:iCs/>
                <w:color w:val="000000"/>
                <w:sz w:val="20"/>
                <w:szCs w:val="20"/>
                <w:lang w:eastAsia="es-419"/>
              </w:rPr>
              <w:t>f</w:t>
            </w:r>
          </w:p>
        </w:tc>
        <w:tc>
          <w:tcPr>
            <w:tcW w:w="864" w:type="pct"/>
            <w:tcBorders>
              <w:bottom w:val="single" w:sz="4" w:space="0" w:color="auto"/>
            </w:tcBorders>
            <w:vAlign w:val="bottom"/>
          </w:tcPr>
          <w:p w14:paraId="7843979B" w14:textId="0317B4F5" w:rsidR="00C75A77" w:rsidRPr="00584FFB" w:rsidRDefault="00C75A77" w:rsidP="00C75A77">
            <w:pPr>
              <w:jc w:val="center"/>
              <w:rPr>
                <w:sz w:val="20"/>
                <w:szCs w:val="20"/>
                <w:lang w:eastAsia="es-419"/>
              </w:rPr>
            </w:pPr>
            <w:r w:rsidRPr="00584FFB">
              <w:rPr>
                <w:i/>
                <w:iCs/>
                <w:color w:val="000000"/>
                <w:sz w:val="20"/>
                <w:szCs w:val="20"/>
                <w:lang w:eastAsia="es-419"/>
              </w:rPr>
              <w:t>%</w:t>
            </w:r>
            <w:r w:rsidRPr="00584FFB">
              <w:rPr>
                <w:color w:val="000000"/>
                <w:sz w:val="20"/>
                <w:szCs w:val="20"/>
                <w:lang w:eastAsia="es-419"/>
              </w:rPr>
              <w:t xml:space="preserve"> del total</w:t>
            </w:r>
          </w:p>
        </w:tc>
      </w:tr>
      <w:tr w:rsidR="008E00CA" w:rsidRPr="00584FFB" w14:paraId="14466CBD" w14:textId="1D47C1DA" w:rsidTr="008E00CA">
        <w:trPr>
          <w:trHeight w:val="300"/>
        </w:trPr>
        <w:tc>
          <w:tcPr>
            <w:tcW w:w="3272" w:type="pct"/>
            <w:tcBorders>
              <w:bottom w:val="nil"/>
            </w:tcBorders>
            <w:shd w:val="clear" w:color="auto" w:fill="F2F2F2" w:themeFill="background1" w:themeFillShade="F2"/>
            <w:noWrap/>
            <w:vAlign w:val="bottom"/>
            <w:hideMark/>
          </w:tcPr>
          <w:p w14:paraId="39A59D30" w14:textId="77777777" w:rsidR="008E00CA" w:rsidRPr="00584FFB" w:rsidRDefault="008E00CA" w:rsidP="00725C15">
            <w:pPr>
              <w:rPr>
                <w:sz w:val="20"/>
                <w:szCs w:val="20"/>
                <w:lang w:eastAsia="es-419"/>
              </w:rPr>
            </w:pPr>
            <w:r w:rsidRPr="00584FFB">
              <w:rPr>
                <w:sz w:val="20"/>
                <w:szCs w:val="20"/>
                <w:lang w:eastAsia="es-419"/>
              </w:rPr>
              <w:t>Sobredosis de medicamentos</w:t>
            </w:r>
          </w:p>
        </w:tc>
        <w:tc>
          <w:tcPr>
            <w:tcW w:w="864" w:type="pct"/>
            <w:tcBorders>
              <w:bottom w:val="nil"/>
            </w:tcBorders>
            <w:shd w:val="clear" w:color="auto" w:fill="F2F2F2" w:themeFill="background1" w:themeFillShade="F2"/>
            <w:noWrap/>
            <w:vAlign w:val="bottom"/>
            <w:hideMark/>
          </w:tcPr>
          <w:p w14:paraId="218C091D" w14:textId="5F0C8771" w:rsidR="008E00CA" w:rsidRPr="00584FFB" w:rsidRDefault="008E00CA" w:rsidP="00725C15">
            <w:pPr>
              <w:jc w:val="center"/>
              <w:rPr>
                <w:color w:val="000000"/>
                <w:sz w:val="20"/>
                <w:szCs w:val="20"/>
                <w:lang w:eastAsia="es-419"/>
              </w:rPr>
            </w:pPr>
            <w:r w:rsidRPr="00584FFB">
              <w:rPr>
                <w:color w:val="000000"/>
                <w:sz w:val="20"/>
                <w:szCs w:val="20"/>
                <w:lang w:eastAsia="es-419"/>
              </w:rPr>
              <w:t>422</w:t>
            </w:r>
          </w:p>
        </w:tc>
        <w:tc>
          <w:tcPr>
            <w:tcW w:w="864" w:type="pct"/>
            <w:tcBorders>
              <w:bottom w:val="nil"/>
            </w:tcBorders>
            <w:shd w:val="clear" w:color="auto" w:fill="F2F2F2" w:themeFill="background1" w:themeFillShade="F2"/>
            <w:vAlign w:val="bottom"/>
          </w:tcPr>
          <w:p w14:paraId="64E48CE7" w14:textId="7EB4E0A0" w:rsidR="008E00CA" w:rsidRPr="00584FFB" w:rsidRDefault="008E00CA" w:rsidP="00725C15">
            <w:pPr>
              <w:jc w:val="center"/>
              <w:rPr>
                <w:color w:val="000000"/>
                <w:sz w:val="20"/>
                <w:szCs w:val="20"/>
                <w:lang w:eastAsia="es-419"/>
              </w:rPr>
            </w:pPr>
            <w:r w:rsidRPr="00584FFB">
              <w:rPr>
                <w:color w:val="000000"/>
                <w:sz w:val="20"/>
                <w:szCs w:val="20"/>
                <w:lang w:eastAsia="es-419"/>
              </w:rPr>
              <w:t>80.23</w:t>
            </w:r>
          </w:p>
        </w:tc>
      </w:tr>
      <w:tr w:rsidR="008E00CA" w:rsidRPr="00584FFB" w14:paraId="589C13C2" w14:textId="44961499" w:rsidTr="008E00CA">
        <w:trPr>
          <w:trHeight w:val="300"/>
        </w:trPr>
        <w:tc>
          <w:tcPr>
            <w:tcW w:w="3272" w:type="pct"/>
            <w:tcBorders>
              <w:top w:val="nil"/>
              <w:bottom w:val="nil"/>
            </w:tcBorders>
            <w:shd w:val="clear" w:color="auto" w:fill="F2F2F2" w:themeFill="background1" w:themeFillShade="F2"/>
            <w:noWrap/>
            <w:vAlign w:val="bottom"/>
            <w:hideMark/>
          </w:tcPr>
          <w:p w14:paraId="6CC641E9" w14:textId="77777777" w:rsidR="008E00CA" w:rsidRPr="00584FFB" w:rsidRDefault="008E00CA" w:rsidP="00725C15">
            <w:pPr>
              <w:rPr>
                <w:sz w:val="20"/>
                <w:szCs w:val="20"/>
                <w:lang w:eastAsia="es-419"/>
              </w:rPr>
            </w:pPr>
            <w:r w:rsidRPr="00584FFB">
              <w:rPr>
                <w:sz w:val="20"/>
                <w:szCs w:val="20"/>
                <w:lang w:eastAsia="es-419"/>
              </w:rPr>
              <w:t>Lanzándose de un puente o un edificio elevado</w:t>
            </w:r>
          </w:p>
        </w:tc>
        <w:tc>
          <w:tcPr>
            <w:tcW w:w="864" w:type="pct"/>
            <w:tcBorders>
              <w:top w:val="nil"/>
              <w:bottom w:val="nil"/>
            </w:tcBorders>
            <w:shd w:val="clear" w:color="auto" w:fill="F2F2F2" w:themeFill="background1" w:themeFillShade="F2"/>
            <w:noWrap/>
            <w:vAlign w:val="bottom"/>
            <w:hideMark/>
          </w:tcPr>
          <w:p w14:paraId="0CDB6AC7" w14:textId="181C904E" w:rsidR="008E00CA" w:rsidRPr="00584FFB" w:rsidRDefault="008E00CA" w:rsidP="00725C15">
            <w:pPr>
              <w:jc w:val="center"/>
              <w:rPr>
                <w:color w:val="000000"/>
                <w:sz w:val="20"/>
                <w:szCs w:val="20"/>
                <w:lang w:eastAsia="es-419"/>
              </w:rPr>
            </w:pPr>
            <w:r w:rsidRPr="00584FFB">
              <w:rPr>
                <w:color w:val="000000"/>
                <w:sz w:val="20"/>
                <w:szCs w:val="20"/>
                <w:lang w:eastAsia="es-419"/>
              </w:rPr>
              <w:t>386</w:t>
            </w:r>
          </w:p>
        </w:tc>
        <w:tc>
          <w:tcPr>
            <w:tcW w:w="864" w:type="pct"/>
            <w:tcBorders>
              <w:top w:val="nil"/>
              <w:bottom w:val="nil"/>
            </w:tcBorders>
            <w:shd w:val="clear" w:color="auto" w:fill="F2F2F2" w:themeFill="background1" w:themeFillShade="F2"/>
            <w:vAlign w:val="bottom"/>
          </w:tcPr>
          <w:p w14:paraId="4CA0F923" w14:textId="1AD8C19A" w:rsidR="008E00CA" w:rsidRPr="00584FFB" w:rsidRDefault="008E00CA" w:rsidP="00725C15">
            <w:pPr>
              <w:jc w:val="center"/>
              <w:rPr>
                <w:color w:val="000000"/>
                <w:sz w:val="20"/>
                <w:szCs w:val="20"/>
                <w:lang w:eastAsia="es-419"/>
              </w:rPr>
            </w:pPr>
            <w:r w:rsidRPr="00584FFB">
              <w:rPr>
                <w:color w:val="000000"/>
                <w:sz w:val="20"/>
                <w:szCs w:val="20"/>
                <w:lang w:eastAsia="es-419"/>
              </w:rPr>
              <w:t>73.38</w:t>
            </w:r>
          </w:p>
        </w:tc>
      </w:tr>
      <w:tr w:rsidR="008E00CA" w:rsidRPr="00584FFB" w14:paraId="2A5C6AF8" w14:textId="7B86633B" w:rsidTr="008E00CA">
        <w:trPr>
          <w:trHeight w:val="300"/>
        </w:trPr>
        <w:tc>
          <w:tcPr>
            <w:tcW w:w="3272" w:type="pct"/>
            <w:tcBorders>
              <w:top w:val="nil"/>
              <w:bottom w:val="nil"/>
            </w:tcBorders>
            <w:shd w:val="clear" w:color="auto" w:fill="F2F2F2" w:themeFill="background1" w:themeFillShade="F2"/>
            <w:noWrap/>
            <w:vAlign w:val="bottom"/>
            <w:hideMark/>
          </w:tcPr>
          <w:p w14:paraId="76AECD8B" w14:textId="77777777" w:rsidR="008E00CA" w:rsidRPr="00584FFB" w:rsidRDefault="008E00CA" w:rsidP="00725C15">
            <w:pPr>
              <w:rPr>
                <w:sz w:val="20"/>
                <w:szCs w:val="20"/>
                <w:lang w:eastAsia="es-419"/>
              </w:rPr>
            </w:pPr>
            <w:r w:rsidRPr="00584FFB">
              <w:rPr>
                <w:sz w:val="20"/>
                <w:szCs w:val="20"/>
                <w:lang w:eastAsia="es-419"/>
              </w:rPr>
              <w:t>Ahorcamientos</w:t>
            </w:r>
          </w:p>
        </w:tc>
        <w:tc>
          <w:tcPr>
            <w:tcW w:w="864" w:type="pct"/>
            <w:tcBorders>
              <w:top w:val="nil"/>
              <w:bottom w:val="nil"/>
            </w:tcBorders>
            <w:shd w:val="clear" w:color="auto" w:fill="F2F2F2" w:themeFill="background1" w:themeFillShade="F2"/>
            <w:noWrap/>
            <w:vAlign w:val="bottom"/>
            <w:hideMark/>
          </w:tcPr>
          <w:p w14:paraId="2B10460F" w14:textId="61866711" w:rsidR="008E00CA" w:rsidRPr="00584FFB" w:rsidRDefault="008E00CA" w:rsidP="00725C15">
            <w:pPr>
              <w:jc w:val="center"/>
              <w:rPr>
                <w:color w:val="000000"/>
                <w:sz w:val="20"/>
                <w:szCs w:val="20"/>
                <w:lang w:eastAsia="es-419"/>
              </w:rPr>
            </w:pPr>
            <w:r w:rsidRPr="00584FFB">
              <w:rPr>
                <w:color w:val="000000"/>
                <w:sz w:val="20"/>
                <w:szCs w:val="20"/>
                <w:lang w:eastAsia="es-419"/>
              </w:rPr>
              <w:t>382</w:t>
            </w:r>
          </w:p>
        </w:tc>
        <w:tc>
          <w:tcPr>
            <w:tcW w:w="864" w:type="pct"/>
            <w:tcBorders>
              <w:top w:val="nil"/>
              <w:bottom w:val="nil"/>
            </w:tcBorders>
            <w:shd w:val="clear" w:color="auto" w:fill="F2F2F2" w:themeFill="background1" w:themeFillShade="F2"/>
            <w:vAlign w:val="bottom"/>
          </w:tcPr>
          <w:p w14:paraId="6D99CFD5" w14:textId="7C2CE3F8" w:rsidR="008E00CA" w:rsidRPr="00584FFB" w:rsidRDefault="008E00CA" w:rsidP="00725C15">
            <w:pPr>
              <w:jc w:val="center"/>
              <w:rPr>
                <w:color w:val="000000"/>
                <w:sz w:val="20"/>
                <w:szCs w:val="20"/>
                <w:lang w:eastAsia="es-419"/>
              </w:rPr>
            </w:pPr>
            <w:r w:rsidRPr="00584FFB">
              <w:rPr>
                <w:color w:val="000000"/>
                <w:sz w:val="20"/>
                <w:szCs w:val="20"/>
                <w:lang w:eastAsia="es-419"/>
              </w:rPr>
              <w:t>72.62</w:t>
            </w:r>
          </w:p>
        </w:tc>
      </w:tr>
      <w:tr w:rsidR="008E00CA" w:rsidRPr="00584FFB" w14:paraId="0EFD4367" w14:textId="3B04E9CA" w:rsidTr="008E00CA">
        <w:trPr>
          <w:trHeight w:val="300"/>
        </w:trPr>
        <w:tc>
          <w:tcPr>
            <w:tcW w:w="3272" w:type="pct"/>
            <w:tcBorders>
              <w:top w:val="nil"/>
              <w:bottom w:val="nil"/>
            </w:tcBorders>
            <w:shd w:val="clear" w:color="auto" w:fill="auto"/>
            <w:noWrap/>
            <w:vAlign w:val="bottom"/>
            <w:hideMark/>
          </w:tcPr>
          <w:p w14:paraId="36806471" w14:textId="77777777" w:rsidR="008E00CA" w:rsidRPr="00584FFB" w:rsidRDefault="008E00CA" w:rsidP="00725C15">
            <w:pPr>
              <w:rPr>
                <w:sz w:val="20"/>
                <w:szCs w:val="20"/>
                <w:lang w:eastAsia="es-419"/>
              </w:rPr>
            </w:pPr>
            <w:r w:rsidRPr="00584FFB">
              <w:rPr>
                <w:sz w:val="20"/>
                <w:szCs w:val="20"/>
                <w:lang w:eastAsia="es-419"/>
              </w:rPr>
              <w:t>Sustancias tóxicas</w:t>
            </w:r>
          </w:p>
        </w:tc>
        <w:tc>
          <w:tcPr>
            <w:tcW w:w="864" w:type="pct"/>
            <w:tcBorders>
              <w:top w:val="nil"/>
              <w:bottom w:val="nil"/>
            </w:tcBorders>
            <w:shd w:val="clear" w:color="auto" w:fill="auto"/>
            <w:noWrap/>
            <w:vAlign w:val="bottom"/>
            <w:hideMark/>
          </w:tcPr>
          <w:p w14:paraId="769A0D4D" w14:textId="6CE7436D" w:rsidR="008E00CA" w:rsidRPr="00584FFB" w:rsidRDefault="008E00CA" w:rsidP="00725C15">
            <w:pPr>
              <w:jc w:val="center"/>
              <w:rPr>
                <w:color w:val="000000"/>
                <w:sz w:val="20"/>
                <w:szCs w:val="20"/>
                <w:lang w:eastAsia="es-419"/>
              </w:rPr>
            </w:pPr>
            <w:r w:rsidRPr="00584FFB">
              <w:rPr>
                <w:color w:val="000000"/>
                <w:sz w:val="20"/>
                <w:szCs w:val="20"/>
                <w:lang w:eastAsia="es-419"/>
              </w:rPr>
              <w:t>249</w:t>
            </w:r>
          </w:p>
        </w:tc>
        <w:tc>
          <w:tcPr>
            <w:tcW w:w="864" w:type="pct"/>
            <w:tcBorders>
              <w:top w:val="nil"/>
              <w:bottom w:val="nil"/>
            </w:tcBorders>
            <w:vAlign w:val="bottom"/>
          </w:tcPr>
          <w:p w14:paraId="4689C6C5" w14:textId="7F1293D8" w:rsidR="008E00CA" w:rsidRPr="00584FFB" w:rsidRDefault="008E00CA" w:rsidP="00725C15">
            <w:pPr>
              <w:jc w:val="center"/>
              <w:rPr>
                <w:color w:val="000000"/>
                <w:sz w:val="20"/>
                <w:szCs w:val="20"/>
                <w:lang w:eastAsia="es-419"/>
              </w:rPr>
            </w:pPr>
            <w:r w:rsidRPr="00584FFB">
              <w:rPr>
                <w:color w:val="000000"/>
                <w:sz w:val="20"/>
                <w:szCs w:val="20"/>
                <w:lang w:eastAsia="es-419"/>
              </w:rPr>
              <w:t>47.34</w:t>
            </w:r>
          </w:p>
        </w:tc>
      </w:tr>
      <w:tr w:rsidR="008E00CA" w:rsidRPr="00584FFB" w14:paraId="5E2377DE" w14:textId="2F483F9C" w:rsidTr="008E00CA">
        <w:trPr>
          <w:trHeight w:val="300"/>
        </w:trPr>
        <w:tc>
          <w:tcPr>
            <w:tcW w:w="3272" w:type="pct"/>
            <w:tcBorders>
              <w:top w:val="nil"/>
              <w:bottom w:val="nil"/>
            </w:tcBorders>
            <w:shd w:val="clear" w:color="auto" w:fill="auto"/>
            <w:noWrap/>
            <w:vAlign w:val="bottom"/>
            <w:hideMark/>
          </w:tcPr>
          <w:p w14:paraId="250F86C9" w14:textId="569C5EAC" w:rsidR="008E00CA" w:rsidRPr="00584FFB" w:rsidRDefault="0012722E" w:rsidP="00725C15">
            <w:pPr>
              <w:rPr>
                <w:sz w:val="20"/>
                <w:szCs w:val="20"/>
                <w:lang w:eastAsia="es-419"/>
              </w:rPr>
            </w:pPr>
            <w:r w:rsidRPr="00584FFB">
              <w:rPr>
                <w:sz w:val="20"/>
                <w:szCs w:val="20"/>
                <w:lang w:eastAsia="es-419"/>
              </w:rPr>
              <w:t>P</w:t>
            </w:r>
            <w:r w:rsidR="008E00CA" w:rsidRPr="00584FFB">
              <w:rPr>
                <w:sz w:val="20"/>
                <w:szCs w:val="20"/>
                <w:lang w:eastAsia="es-419"/>
              </w:rPr>
              <w:t>laguicidas</w:t>
            </w:r>
          </w:p>
        </w:tc>
        <w:tc>
          <w:tcPr>
            <w:tcW w:w="864" w:type="pct"/>
            <w:tcBorders>
              <w:top w:val="nil"/>
              <w:bottom w:val="nil"/>
            </w:tcBorders>
            <w:shd w:val="clear" w:color="auto" w:fill="auto"/>
            <w:noWrap/>
            <w:vAlign w:val="bottom"/>
            <w:hideMark/>
          </w:tcPr>
          <w:p w14:paraId="5FB2819E" w14:textId="6172950E" w:rsidR="008E00CA" w:rsidRPr="00584FFB" w:rsidRDefault="008E00CA" w:rsidP="00725C15">
            <w:pPr>
              <w:jc w:val="center"/>
              <w:rPr>
                <w:color w:val="000000"/>
                <w:sz w:val="20"/>
                <w:szCs w:val="20"/>
                <w:lang w:eastAsia="es-419"/>
              </w:rPr>
            </w:pPr>
            <w:r w:rsidRPr="00584FFB">
              <w:rPr>
                <w:color w:val="000000"/>
                <w:sz w:val="20"/>
                <w:szCs w:val="20"/>
                <w:lang w:eastAsia="es-419"/>
              </w:rPr>
              <w:t>249</w:t>
            </w:r>
          </w:p>
        </w:tc>
        <w:tc>
          <w:tcPr>
            <w:tcW w:w="864" w:type="pct"/>
            <w:tcBorders>
              <w:top w:val="nil"/>
              <w:bottom w:val="nil"/>
            </w:tcBorders>
            <w:vAlign w:val="bottom"/>
          </w:tcPr>
          <w:p w14:paraId="01BD0AC8" w14:textId="03CD23BD" w:rsidR="008E00CA" w:rsidRPr="00584FFB" w:rsidRDefault="008E00CA" w:rsidP="00725C15">
            <w:pPr>
              <w:jc w:val="center"/>
              <w:rPr>
                <w:color w:val="000000"/>
                <w:sz w:val="20"/>
                <w:szCs w:val="20"/>
                <w:lang w:eastAsia="es-419"/>
              </w:rPr>
            </w:pPr>
            <w:r w:rsidRPr="00584FFB">
              <w:rPr>
                <w:color w:val="000000"/>
                <w:sz w:val="20"/>
                <w:szCs w:val="20"/>
                <w:lang w:eastAsia="es-419"/>
              </w:rPr>
              <w:t>47.34</w:t>
            </w:r>
          </w:p>
        </w:tc>
      </w:tr>
      <w:tr w:rsidR="008E00CA" w:rsidRPr="00584FFB" w14:paraId="2D8EEDEB" w14:textId="5C5FEB78" w:rsidTr="008E00CA">
        <w:trPr>
          <w:trHeight w:val="300"/>
        </w:trPr>
        <w:tc>
          <w:tcPr>
            <w:tcW w:w="3272" w:type="pct"/>
            <w:tcBorders>
              <w:top w:val="nil"/>
              <w:bottom w:val="nil"/>
            </w:tcBorders>
            <w:shd w:val="clear" w:color="auto" w:fill="auto"/>
            <w:noWrap/>
            <w:vAlign w:val="bottom"/>
            <w:hideMark/>
          </w:tcPr>
          <w:p w14:paraId="11BA67F4" w14:textId="77777777" w:rsidR="008E00CA" w:rsidRPr="00584FFB" w:rsidRDefault="008E00CA" w:rsidP="00725C15">
            <w:pPr>
              <w:rPr>
                <w:sz w:val="20"/>
                <w:szCs w:val="20"/>
                <w:lang w:eastAsia="es-419"/>
              </w:rPr>
            </w:pPr>
            <w:r w:rsidRPr="00584FFB">
              <w:rPr>
                <w:sz w:val="20"/>
                <w:szCs w:val="20"/>
                <w:lang w:eastAsia="es-419"/>
              </w:rPr>
              <w:t>Arma de fuego</w:t>
            </w:r>
          </w:p>
        </w:tc>
        <w:tc>
          <w:tcPr>
            <w:tcW w:w="864" w:type="pct"/>
            <w:tcBorders>
              <w:top w:val="nil"/>
              <w:bottom w:val="nil"/>
            </w:tcBorders>
            <w:shd w:val="clear" w:color="auto" w:fill="auto"/>
            <w:noWrap/>
            <w:vAlign w:val="bottom"/>
            <w:hideMark/>
          </w:tcPr>
          <w:p w14:paraId="3732A91F" w14:textId="1C6B71E3" w:rsidR="008E00CA" w:rsidRPr="00584FFB" w:rsidRDefault="008E00CA" w:rsidP="00725C15">
            <w:pPr>
              <w:jc w:val="center"/>
              <w:rPr>
                <w:color w:val="000000"/>
                <w:sz w:val="20"/>
                <w:szCs w:val="20"/>
                <w:lang w:eastAsia="es-419"/>
              </w:rPr>
            </w:pPr>
            <w:r w:rsidRPr="00584FFB">
              <w:rPr>
                <w:color w:val="000000"/>
                <w:sz w:val="20"/>
                <w:szCs w:val="20"/>
                <w:lang w:eastAsia="es-419"/>
              </w:rPr>
              <w:t>203</w:t>
            </w:r>
          </w:p>
        </w:tc>
        <w:tc>
          <w:tcPr>
            <w:tcW w:w="864" w:type="pct"/>
            <w:tcBorders>
              <w:top w:val="nil"/>
              <w:bottom w:val="nil"/>
            </w:tcBorders>
            <w:vAlign w:val="bottom"/>
          </w:tcPr>
          <w:p w14:paraId="66D941B1" w14:textId="60FCE203" w:rsidR="008E00CA" w:rsidRPr="00584FFB" w:rsidRDefault="008E00CA" w:rsidP="00725C15">
            <w:pPr>
              <w:jc w:val="center"/>
              <w:rPr>
                <w:color w:val="000000"/>
                <w:sz w:val="20"/>
                <w:szCs w:val="20"/>
                <w:lang w:eastAsia="es-419"/>
              </w:rPr>
            </w:pPr>
            <w:r w:rsidRPr="00584FFB">
              <w:rPr>
                <w:color w:val="000000"/>
                <w:sz w:val="20"/>
                <w:szCs w:val="20"/>
                <w:lang w:eastAsia="es-419"/>
              </w:rPr>
              <w:t>38.59</w:t>
            </w:r>
          </w:p>
        </w:tc>
      </w:tr>
      <w:tr w:rsidR="008E00CA" w:rsidRPr="00584FFB" w14:paraId="45A70AAC" w14:textId="3CA26DA9" w:rsidTr="008E00CA">
        <w:trPr>
          <w:trHeight w:val="300"/>
        </w:trPr>
        <w:tc>
          <w:tcPr>
            <w:tcW w:w="3272" w:type="pct"/>
            <w:tcBorders>
              <w:top w:val="nil"/>
              <w:bottom w:val="nil"/>
            </w:tcBorders>
            <w:shd w:val="clear" w:color="auto" w:fill="auto"/>
            <w:noWrap/>
            <w:vAlign w:val="bottom"/>
            <w:hideMark/>
          </w:tcPr>
          <w:p w14:paraId="5F4A1A2D" w14:textId="77777777" w:rsidR="008E00CA" w:rsidRPr="00584FFB" w:rsidRDefault="008E00CA" w:rsidP="00725C15">
            <w:pPr>
              <w:rPr>
                <w:sz w:val="20"/>
                <w:szCs w:val="20"/>
                <w:lang w:eastAsia="es-419"/>
              </w:rPr>
            </w:pPr>
            <w:r w:rsidRPr="00584FFB">
              <w:rPr>
                <w:sz w:val="20"/>
                <w:szCs w:val="20"/>
                <w:lang w:eastAsia="es-419"/>
              </w:rPr>
              <w:t>Arma blanca</w:t>
            </w:r>
          </w:p>
        </w:tc>
        <w:tc>
          <w:tcPr>
            <w:tcW w:w="864" w:type="pct"/>
            <w:tcBorders>
              <w:top w:val="nil"/>
              <w:bottom w:val="nil"/>
            </w:tcBorders>
            <w:shd w:val="clear" w:color="auto" w:fill="auto"/>
            <w:noWrap/>
            <w:vAlign w:val="bottom"/>
            <w:hideMark/>
          </w:tcPr>
          <w:p w14:paraId="38DB06F7" w14:textId="613898AC" w:rsidR="008E00CA" w:rsidRPr="00584FFB" w:rsidRDefault="008E00CA" w:rsidP="00725C15">
            <w:pPr>
              <w:jc w:val="center"/>
              <w:rPr>
                <w:color w:val="000000"/>
                <w:sz w:val="20"/>
                <w:szCs w:val="20"/>
                <w:lang w:eastAsia="es-419"/>
              </w:rPr>
            </w:pPr>
            <w:r w:rsidRPr="00584FFB">
              <w:rPr>
                <w:color w:val="000000"/>
                <w:sz w:val="20"/>
                <w:szCs w:val="20"/>
                <w:lang w:eastAsia="es-419"/>
              </w:rPr>
              <w:t>114</w:t>
            </w:r>
          </w:p>
        </w:tc>
        <w:tc>
          <w:tcPr>
            <w:tcW w:w="864" w:type="pct"/>
            <w:tcBorders>
              <w:top w:val="nil"/>
              <w:bottom w:val="nil"/>
            </w:tcBorders>
            <w:vAlign w:val="bottom"/>
          </w:tcPr>
          <w:p w14:paraId="3E55AEB5" w14:textId="5345EAFB" w:rsidR="008E00CA" w:rsidRPr="00584FFB" w:rsidRDefault="008E00CA" w:rsidP="00725C15">
            <w:pPr>
              <w:jc w:val="center"/>
              <w:rPr>
                <w:color w:val="000000"/>
                <w:sz w:val="20"/>
                <w:szCs w:val="20"/>
                <w:lang w:eastAsia="es-419"/>
              </w:rPr>
            </w:pPr>
            <w:r w:rsidRPr="00584FFB">
              <w:rPr>
                <w:color w:val="000000"/>
                <w:sz w:val="20"/>
                <w:szCs w:val="20"/>
                <w:lang w:eastAsia="es-419"/>
              </w:rPr>
              <w:t>21.67</w:t>
            </w:r>
          </w:p>
        </w:tc>
      </w:tr>
      <w:tr w:rsidR="008E00CA" w:rsidRPr="00584FFB" w14:paraId="6D3CC304" w14:textId="38929B2E" w:rsidTr="008E00CA">
        <w:trPr>
          <w:trHeight w:val="300"/>
        </w:trPr>
        <w:tc>
          <w:tcPr>
            <w:tcW w:w="3272" w:type="pct"/>
            <w:tcBorders>
              <w:top w:val="nil"/>
            </w:tcBorders>
            <w:shd w:val="clear" w:color="auto" w:fill="auto"/>
            <w:noWrap/>
            <w:vAlign w:val="bottom"/>
            <w:hideMark/>
          </w:tcPr>
          <w:p w14:paraId="34513344" w14:textId="77777777" w:rsidR="008E00CA" w:rsidRPr="00584FFB" w:rsidRDefault="008E00CA" w:rsidP="00725C15">
            <w:pPr>
              <w:rPr>
                <w:sz w:val="20"/>
                <w:szCs w:val="20"/>
                <w:lang w:eastAsia="es-419"/>
              </w:rPr>
            </w:pPr>
            <w:r w:rsidRPr="00584FFB">
              <w:rPr>
                <w:sz w:val="20"/>
                <w:szCs w:val="20"/>
                <w:lang w:eastAsia="es-419"/>
              </w:rPr>
              <w:t>Accidente de tránsito intencional</w:t>
            </w:r>
          </w:p>
        </w:tc>
        <w:tc>
          <w:tcPr>
            <w:tcW w:w="864" w:type="pct"/>
            <w:tcBorders>
              <w:top w:val="nil"/>
            </w:tcBorders>
            <w:shd w:val="clear" w:color="auto" w:fill="auto"/>
            <w:noWrap/>
            <w:vAlign w:val="bottom"/>
            <w:hideMark/>
          </w:tcPr>
          <w:p w14:paraId="2A2875D2" w14:textId="0FCAABD2" w:rsidR="008E00CA" w:rsidRPr="00584FFB" w:rsidRDefault="008E00CA" w:rsidP="00725C15">
            <w:pPr>
              <w:jc w:val="center"/>
              <w:rPr>
                <w:color w:val="000000"/>
                <w:sz w:val="20"/>
                <w:szCs w:val="20"/>
                <w:lang w:eastAsia="es-419"/>
              </w:rPr>
            </w:pPr>
            <w:r w:rsidRPr="00584FFB">
              <w:rPr>
                <w:color w:val="000000"/>
                <w:sz w:val="20"/>
                <w:szCs w:val="20"/>
                <w:lang w:eastAsia="es-419"/>
              </w:rPr>
              <w:t>70</w:t>
            </w:r>
          </w:p>
        </w:tc>
        <w:tc>
          <w:tcPr>
            <w:tcW w:w="864" w:type="pct"/>
            <w:tcBorders>
              <w:top w:val="nil"/>
            </w:tcBorders>
            <w:vAlign w:val="bottom"/>
          </w:tcPr>
          <w:p w14:paraId="6B57FFC3" w14:textId="6D2E4FB5" w:rsidR="008E00CA" w:rsidRPr="00584FFB" w:rsidRDefault="008E00CA" w:rsidP="00725C15">
            <w:pPr>
              <w:jc w:val="center"/>
              <w:rPr>
                <w:color w:val="000000"/>
                <w:sz w:val="20"/>
                <w:szCs w:val="20"/>
                <w:lang w:eastAsia="es-419"/>
              </w:rPr>
            </w:pPr>
            <w:r w:rsidRPr="00584FFB">
              <w:rPr>
                <w:color w:val="000000"/>
                <w:sz w:val="20"/>
                <w:szCs w:val="20"/>
                <w:lang w:eastAsia="es-419"/>
              </w:rPr>
              <w:t>13.31</w:t>
            </w:r>
          </w:p>
        </w:tc>
      </w:tr>
    </w:tbl>
    <w:p w14:paraId="25CB009A" w14:textId="77777777" w:rsidR="00165DC9" w:rsidRPr="00584FFB" w:rsidRDefault="00165DC9" w:rsidP="00165DC9">
      <w:pPr>
        <w:pBdr>
          <w:top w:val="nil"/>
          <w:left w:val="nil"/>
          <w:bottom w:val="nil"/>
          <w:right w:val="nil"/>
          <w:between w:val="nil"/>
          <w:bar w:val="nil"/>
        </w:pBdr>
        <w:suppressAutoHyphens/>
        <w:spacing w:line="100" w:lineRule="atLeast"/>
        <w:rPr>
          <w:rFonts w:eastAsia="Calibri" w:cs="Calibri"/>
          <w:color w:val="000000"/>
          <w:sz w:val="20"/>
          <w:szCs w:val="20"/>
          <w:u w:color="000000"/>
          <w:bdr w:val="nil"/>
          <w14:textOutline w14:w="0" w14:cap="flat" w14:cmpd="sng" w14:algn="ctr">
            <w14:noFill/>
            <w14:prstDash w14:val="solid"/>
            <w14:bevel/>
          </w14:textOutline>
        </w:rPr>
      </w:pPr>
      <w:r w:rsidRPr="00584FFB">
        <w:rPr>
          <w:rFonts w:eastAsia="Calibri" w:cs="Calibri"/>
          <w:color w:val="000000"/>
          <w:sz w:val="20"/>
          <w:szCs w:val="20"/>
          <w:u w:color="000000"/>
          <w:bdr w:val="nil"/>
          <w14:textOutline w14:w="0" w14:cap="flat" w14:cmpd="sng" w14:algn="ctr">
            <w14:noFill/>
            <w14:prstDash w14:val="solid"/>
            <w14:bevel/>
          </w14:textOutline>
        </w:rPr>
        <w:t xml:space="preserve">Nota. El % del total para cada aspecto, se calculó tomando el valor de N=526. </w:t>
      </w:r>
    </w:p>
    <w:p w14:paraId="46BCDEF5" w14:textId="7C519E00" w:rsidR="0012722E" w:rsidRPr="00584FFB" w:rsidRDefault="0012722E" w:rsidP="00115125">
      <w:pPr>
        <w:pStyle w:val="Prrafocomn"/>
        <w:rPr>
          <w:lang w:val="es-CR"/>
        </w:rPr>
      </w:pPr>
      <w:r w:rsidRPr="00584FFB">
        <w:rPr>
          <w:lang w:val="es-CR"/>
        </w:rPr>
        <w:lastRenderedPageBreak/>
        <w:t>Entre los detonantes que los participantes consideran como los de mayor frecuencia</w:t>
      </w:r>
      <w:r w:rsidR="00285A4B" w:rsidRPr="00584FFB">
        <w:rPr>
          <w:lang w:val="es-CR"/>
        </w:rPr>
        <w:t xml:space="preserve"> ante un acto de suicidio</w:t>
      </w:r>
      <w:r w:rsidRPr="00584FFB">
        <w:rPr>
          <w:lang w:val="es-CR"/>
        </w:rPr>
        <w:t>, se ubica</w:t>
      </w:r>
      <w:r w:rsidR="00CB2C27" w:rsidRPr="00584FFB">
        <w:rPr>
          <w:lang w:val="es-CR"/>
        </w:rPr>
        <w:t xml:space="preserve">n: </w:t>
      </w:r>
      <w:r w:rsidR="00D70265" w:rsidRPr="00584FFB">
        <w:rPr>
          <w:lang w:val="es-CR"/>
        </w:rPr>
        <w:t>depresión (94,11%), sentirse solo (</w:t>
      </w:r>
      <w:r w:rsidR="00602D73" w:rsidRPr="00584FFB">
        <w:rPr>
          <w:lang w:val="es-CR"/>
        </w:rPr>
        <w:t>80,99%), tener problemas económicos (74,14%), ser víctima de violencia (</w:t>
      </w:r>
      <w:r w:rsidR="00420797" w:rsidRPr="00584FFB">
        <w:rPr>
          <w:lang w:val="es-CR"/>
        </w:rPr>
        <w:t>física, psicológica, sexual y patrimonial) (72%), baja autoestima (</w:t>
      </w:r>
      <w:r w:rsidR="00DF2482" w:rsidRPr="00584FFB">
        <w:rPr>
          <w:lang w:val="es-CR"/>
        </w:rPr>
        <w:t>65,78%), relacion</w:t>
      </w:r>
      <w:r w:rsidR="00A7512F" w:rsidRPr="00584FFB">
        <w:rPr>
          <w:lang w:val="es-CR"/>
        </w:rPr>
        <w:t>es familiares conflictivas (</w:t>
      </w:r>
      <w:r w:rsidR="00160A13" w:rsidRPr="00584FFB">
        <w:rPr>
          <w:lang w:val="es-CR"/>
        </w:rPr>
        <w:t>64,26%), sufrir una pérdida</w:t>
      </w:r>
      <w:r w:rsidR="00DB2108" w:rsidRPr="00584FFB">
        <w:rPr>
          <w:lang w:val="es-CR"/>
        </w:rPr>
        <w:t xml:space="preserve"> importante (58,56%), </w:t>
      </w:r>
      <w:r w:rsidR="00D46582" w:rsidRPr="00584FFB">
        <w:rPr>
          <w:lang w:val="es-CR"/>
        </w:rPr>
        <w:t>falta de comunicación (55</w:t>
      </w:r>
      <w:r w:rsidR="008B5D1D" w:rsidRPr="00584FFB">
        <w:rPr>
          <w:lang w:val="es-CR"/>
        </w:rPr>
        <w:t>,32%), falta de motivación (53,23%)</w:t>
      </w:r>
      <w:r w:rsidR="00E37863" w:rsidRPr="00584FFB">
        <w:rPr>
          <w:lang w:val="es-CR"/>
        </w:rPr>
        <w:t>, estar desempleado (52,85%) y consumo de alcohol o drogas (</w:t>
      </w:r>
      <w:r w:rsidR="001516DA" w:rsidRPr="00584FFB">
        <w:rPr>
          <w:lang w:val="es-CR"/>
        </w:rPr>
        <w:t>50%)</w:t>
      </w:r>
      <w:r w:rsidR="004C4776" w:rsidRPr="00584FFB">
        <w:rPr>
          <w:lang w:val="es-CR"/>
        </w:rPr>
        <w:t>. Poseer un nivel bajo educativo, se perfila como el último detonante para ejecutar suicidio</w:t>
      </w:r>
      <w:r w:rsidR="001516DA" w:rsidRPr="00584FFB">
        <w:rPr>
          <w:lang w:val="es-CR"/>
        </w:rPr>
        <w:t xml:space="preserve"> (Tabla 3). </w:t>
      </w:r>
    </w:p>
    <w:p w14:paraId="33BAB78C" w14:textId="77777777" w:rsidR="001516DA" w:rsidRPr="00584FFB" w:rsidRDefault="001516DA" w:rsidP="00115125">
      <w:pPr>
        <w:pStyle w:val="Prrafocomn"/>
        <w:rPr>
          <w:lang w:val="es-CR"/>
        </w:rPr>
      </w:pPr>
    </w:p>
    <w:p w14:paraId="2CB51A9E" w14:textId="3BE81607" w:rsidR="004004A2" w:rsidRPr="00584FFB" w:rsidRDefault="004004A2" w:rsidP="004004A2">
      <w:pPr>
        <w:keepNext/>
        <w:pBdr>
          <w:top w:val="nil"/>
          <w:left w:val="nil"/>
          <w:bottom w:val="nil"/>
          <w:right w:val="nil"/>
          <w:between w:val="nil"/>
          <w:bar w:val="nil"/>
        </w:pBdr>
        <w:suppressAutoHyphens/>
        <w:spacing w:line="0" w:lineRule="atLeast"/>
        <w:rPr>
          <w:color w:val="00000A"/>
          <w:sz w:val="20"/>
          <w:szCs w:val="20"/>
          <w:u w:color="00000A"/>
          <w:bdr w:val="nil"/>
          <w14:textOutline w14:w="0" w14:cap="flat" w14:cmpd="sng" w14:algn="ctr">
            <w14:noFill/>
            <w14:prstDash w14:val="solid"/>
            <w14:bevel/>
          </w14:textOutline>
        </w:rPr>
      </w:pPr>
      <w:r w:rsidRPr="00584FFB">
        <w:rPr>
          <w:color w:val="00000A"/>
          <w:sz w:val="20"/>
          <w:szCs w:val="20"/>
          <w:u w:color="00000A"/>
          <w:bdr w:val="nil"/>
          <w14:textOutline w14:w="0" w14:cap="flat" w14:cmpd="sng" w14:algn="ctr">
            <w14:noFill/>
            <w14:prstDash w14:val="solid"/>
            <w14:bevel/>
          </w14:textOutline>
        </w:rPr>
        <w:t xml:space="preserve">Tabla </w:t>
      </w:r>
      <w:r w:rsidR="00741D9D" w:rsidRPr="00584FFB">
        <w:rPr>
          <w:color w:val="00000A"/>
          <w:sz w:val="20"/>
          <w:szCs w:val="20"/>
          <w:u w:color="00000A"/>
          <w:bdr w:val="nil"/>
          <w14:textOutline w14:w="0" w14:cap="flat" w14:cmpd="sng" w14:algn="ctr">
            <w14:noFill/>
            <w14:prstDash w14:val="solid"/>
            <w14:bevel/>
          </w14:textOutline>
        </w:rPr>
        <w:t>4</w:t>
      </w:r>
      <w:r w:rsidRPr="00584FFB">
        <w:rPr>
          <w:color w:val="00000A"/>
          <w:sz w:val="20"/>
          <w:szCs w:val="20"/>
          <w:u w:color="00000A"/>
          <w:bdr w:val="nil"/>
          <w14:textOutline w14:w="0" w14:cap="flat" w14:cmpd="sng" w14:algn="ctr">
            <w14:noFill/>
            <w14:prstDash w14:val="solid"/>
            <w14:bevel/>
          </w14:textOutline>
        </w:rPr>
        <w:br/>
      </w:r>
      <w:r w:rsidR="004E09B1" w:rsidRPr="00584FFB">
        <w:rPr>
          <w:i/>
          <w:iCs/>
          <w:color w:val="00000A"/>
          <w:sz w:val="20"/>
          <w:szCs w:val="20"/>
          <w:u w:color="00000A"/>
          <w:bdr w:val="nil"/>
          <w14:textOutline w14:w="0" w14:cap="flat" w14:cmpd="sng" w14:algn="ctr">
            <w14:noFill/>
            <w14:prstDash w14:val="solid"/>
            <w14:bevel/>
          </w14:textOutline>
        </w:rPr>
        <w:t>Detonantes</w:t>
      </w:r>
      <w:r w:rsidRPr="00584FFB">
        <w:rPr>
          <w:i/>
          <w:iCs/>
          <w:color w:val="00000A"/>
          <w:sz w:val="20"/>
          <w:szCs w:val="20"/>
          <w:u w:color="00000A"/>
          <w:bdr w:val="nil"/>
          <w14:textOutline w14:w="0" w14:cap="flat" w14:cmpd="sng" w14:algn="ctr">
            <w14:noFill/>
            <w14:prstDash w14:val="solid"/>
            <w14:bevel/>
          </w14:textOutline>
        </w:rPr>
        <w:t xml:space="preserve"> para cometer suicidio</w:t>
      </w:r>
    </w:p>
    <w:tbl>
      <w:tblPr>
        <w:tblW w:w="5000" w:type="pct"/>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474"/>
        <w:gridCol w:w="1465"/>
        <w:gridCol w:w="1465"/>
      </w:tblGrid>
      <w:tr w:rsidR="004004A2" w:rsidRPr="00584FFB" w14:paraId="4852DE2A" w14:textId="77777777" w:rsidTr="00B706C6">
        <w:trPr>
          <w:trHeight w:val="255"/>
          <w:tblHeader/>
        </w:trPr>
        <w:tc>
          <w:tcPr>
            <w:tcW w:w="3442" w:type="pct"/>
            <w:tcBorders>
              <w:bottom w:val="single" w:sz="4" w:space="0" w:color="auto"/>
            </w:tcBorders>
            <w:shd w:val="clear" w:color="auto" w:fill="auto"/>
            <w:noWrap/>
            <w:vAlign w:val="bottom"/>
            <w:hideMark/>
          </w:tcPr>
          <w:p w14:paraId="69F8A866" w14:textId="04F1C56A" w:rsidR="004004A2" w:rsidRPr="00584FFB" w:rsidRDefault="004004A2" w:rsidP="004004A2">
            <w:pPr>
              <w:rPr>
                <w:color w:val="000000"/>
                <w:sz w:val="20"/>
                <w:szCs w:val="20"/>
                <w:lang w:eastAsia="es-419"/>
              </w:rPr>
            </w:pPr>
          </w:p>
        </w:tc>
        <w:tc>
          <w:tcPr>
            <w:tcW w:w="779" w:type="pct"/>
            <w:tcBorders>
              <w:bottom w:val="single" w:sz="4" w:space="0" w:color="auto"/>
            </w:tcBorders>
            <w:shd w:val="clear" w:color="auto" w:fill="auto"/>
            <w:noWrap/>
            <w:vAlign w:val="bottom"/>
            <w:hideMark/>
          </w:tcPr>
          <w:p w14:paraId="0361524F" w14:textId="53269991" w:rsidR="004004A2" w:rsidRPr="00584FFB" w:rsidRDefault="004004A2" w:rsidP="0041779F">
            <w:pPr>
              <w:jc w:val="center"/>
              <w:rPr>
                <w:color w:val="000000"/>
                <w:sz w:val="20"/>
                <w:szCs w:val="20"/>
                <w:lang w:eastAsia="es-419"/>
              </w:rPr>
            </w:pPr>
            <w:r w:rsidRPr="00584FFB">
              <w:rPr>
                <w:i/>
                <w:iCs/>
                <w:color w:val="000000"/>
                <w:sz w:val="20"/>
                <w:szCs w:val="20"/>
                <w:lang w:eastAsia="es-419"/>
              </w:rPr>
              <w:t>f</w:t>
            </w:r>
          </w:p>
        </w:tc>
        <w:tc>
          <w:tcPr>
            <w:tcW w:w="779" w:type="pct"/>
            <w:tcBorders>
              <w:bottom w:val="single" w:sz="4" w:space="0" w:color="auto"/>
            </w:tcBorders>
            <w:shd w:val="clear" w:color="auto" w:fill="auto"/>
            <w:noWrap/>
            <w:vAlign w:val="bottom"/>
            <w:hideMark/>
          </w:tcPr>
          <w:p w14:paraId="479F60D6" w14:textId="0ADE2519" w:rsidR="004004A2" w:rsidRPr="00584FFB" w:rsidRDefault="004004A2" w:rsidP="0041779F">
            <w:pPr>
              <w:jc w:val="center"/>
              <w:rPr>
                <w:color w:val="000000"/>
                <w:sz w:val="20"/>
                <w:szCs w:val="20"/>
                <w:lang w:eastAsia="es-419"/>
              </w:rPr>
            </w:pPr>
            <w:r w:rsidRPr="00584FFB">
              <w:rPr>
                <w:i/>
                <w:iCs/>
                <w:color w:val="000000"/>
                <w:sz w:val="20"/>
                <w:szCs w:val="20"/>
                <w:lang w:eastAsia="es-419"/>
              </w:rPr>
              <w:t>%</w:t>
            </w:r>
            <w:r w:rsidRPr="00584FFB">
              <w:rPr>
                <w:color w:val="000000"/>
                <w:sz w:val="20"/>
                <w:szCs w:val="20"/>
                <w:lang w:eastAsia="es-419"/>
              </w:rPr>
              <w:t xml:space="preserve"> del total</w:t>
            </w:r>
          </w:p>
        </w:tc>
      </w:tr>
      <w:tr w:rsidR="004004A2" w:rsidRPr="00AD59BC" w14:paraId="1CC619DB" w14:textId="77777777" w:rsidTr="00661E08">
        <w:trPr>
          <w:trHeight w:val="255"/>
        </w:trPr>
        <w:tc>
          <w:tcPr>
            <w:tcW w:w="3442" w:type="pct"/>
            <w:tcBorders>
              <w:bottom w:val="nil"/>
            </w:tcBorders>
            <w:shd w:val="clear" w:color="auto" w:fill="F2F2F2" w:themeFill="background1" w:themeFillShade="F2"/>
            <w:noWrap/>
            <w:vAlign w:val="bottom"/>
            <w:hideMark/>
          </w:tcPr>
          <w:p w14:paraId="2E21C4BB" w14:textId="655818F9" w:rsidR="004004A2" w:rsidRPr="00AD59BC" w:rsidRDefault="004004A2" w:rsidP="004004A2">
            <w:pPr>
              <w:rPr>
                <w:color w:val="000000"/>
                <w:sz w:val="20"/>
                <w:szCs w:val="20"/>
                <w:lang w:eastAsia="es-419"/>
              </w:rPr>
            </w:pPr>
            <w:r w:rsidRPr="00AD59BC">
              <w:rPr>
                <w:color w:val="000000"/>
                <w:sz w:val="20"/>
                <w:szCs w:val="20"/>
                <w:lang w:eastAsia="es-419"/>
              </w:rPr>
              <w:t>Depresión</w:t>
            </w:r>
            <w:r w:rsidR="005C7762" w:rsidRPr="00AD59BC">
              <w:rPr>
                <w:color w:val="000000"/>
                <w:sz w:val="20"/>
                <w:szCs w:val="20"/>
                <w:lang w:eastAsia="es-419"/>
              </w:rPr>
              <w:t>.</w:t>
            </w:r>
          </w:p>
        </w:tc>
        <w:tc>
          <w:tcPr>
            <w:tcW w:w="779" w:type="pct"/>
            <w:tcBorders>
              <w:bottom w:val="nil"/>
            </w:tcBorders>
            <w:shd w:val="clear" w:color="auto" w:fill="F2F2F2" w:themeFill="background1" w:themeFillShade="F2"/>
            <w:noWrap/>
            <w:vAlign w:val="bottom"/>
            <w:hideMark/>
          </w:tcPr>
          <w:p w14:paraId="6084FABF" w14:textId="77777777" w:rsidR="004004A2" w:rsidRPr="00AD59BC" w:rsidRDefault="004004A2" w:rsidP="0041779F">
            <w:pPr>
              <w:jc w:val="center"/>
              <w:rPr>
                <w:color w:val="000000"/>
                <w:sz w:val="20"/>
                <w:szCs w:val="20"/>
                <w:lang w:eastAsia="es-419"/>
              </w:rPr>
            </w:pPr>
            <w:r w:rsidRPr="00AD59BC">
              <w:rPr>
                <w:color w:val="000000"/>
                <w:sz w:val="20"/>
                <w:szCs w:val="20"/>
                <w:lang w:eastAsia="es-419"/>
              </w:rPr>
              <w:t>495</w:t>
            </w:r>
          </w:p>
        </w:tc>
        <w:tc>
          <w:tcPr>
            <w:tcW w:w="779" w:type="pct"/>
            <w:tcBorders>
              <w:bottom w:val="nil"/>
            </w:tcBorders>
            <w:shd w:val="clear" w:color="auto" w:fill="F2F2F2" w:themeFill="background1" w:themeFillShade="F2"/>
            <w:noWrap/>
            <w:vAlign w:val="bottom"/>
            <w:hideMark/>
          </w:tcPr>
          <w:p w14:paraId="68944FCB" w14:textId="77777777" w:rsidR="004004A2" w:rsidRPr="00AD59BC" w:rsidRDefault="004004A2" w:rsidP="0041779F">
            <w:pPr>
              <w:jc w:val="center"/>
              <w:rPr>
                <w:color w:val="000000"/>
                <w:sz w:val="20"/>
                <w:szCs w:val="20"/>
                <w:lang w:eastAsia="es-419"/>
              </w:rPr>
            </w:pPr>
            <w:r w:rsidRPr="00AD59BC">
              <w:rPr>
                <w:color w:val="000000"/>
                <w:sz w:val="20"/>
                <w:szCs w:val="20"/>
                <w:lang w:eastAsia="es-419"/>
              </w:rPr>
              <w:t>94.11</w:t>
            </w:r>
          </w:p>
        </w:tc>
      </w:tr>
      <w:tr w:rsidR="00AD59BC" w:rsidRPr="00584FFB" w14:paraId="6EDFD456" w14:textId="77777777" w:rsidTr="00AD59BC">
        <w:trPr>
          <w:trHeight w:val="255"/>
        </w:trPr>
        <w:tc>
          <w:tcPr>
            <w:tcW w:w="3442" w:type="pct"/>
            <w:tcBorders>
              <w:top w:val="nil"/>
              <w:bottom w:val="nil"/>
            </w:tcBorders>
            <w:shd w:val="clear" w:color="auto" w:fill="F2F2F2" w:themeFill="background1" w:themeFillShade="F2"/>
            <w:noWrap/>
            <w:vAlign w:val="bottom"/>
          </w:tcPr>
          <w:p w14:paraId="11C9E72F" w14:textId="59BBC39D" w:rsidR="00AD59BC" w:rsidRPr="00AD59BC" w:rsidRDefault="00AD59BC" w:rsidP="004004A2">
            <w:pPr>
              <w:rPr>
                <w:color w:val="000000"/>
                <w:sz w:val="20"/>
                <w:szCs w:val="20"/>
                <w:lang w:eastAsia="es-419"/>
              </w:rPr>
            </w:pPr>
            <w:r w:rsidRPr="00AD59BC">
              <w:rPr>
                <w:color w:val="000000"/>
                <w:sz w:val="20"/>
                <w:szCs w:val="20"/>
                <w:lang w:eastAsia="es-419"/>
              </w:rPr>
              <w:t>Falta de motivación</w:t>
            </w:r>
          </w:p>
        </w:tc>
        <w:tc>
          <w:tcPr>
            <w:tcW w:w="779" w:type="pct"/>
            <w:tcBorders>
              <w:top w:val="nil"/>
              <w:bottom w:val="nil"/>
            </w:tcBorders>
            <w:shd w:val="clear" w:color="auto" w:fill="F2F2F2" w:themeFill="background1" w:themeFillShade="F2"/>
            <w:noWrap/>
            <w:vAlign w:val="bottom"/>
          </w:tcPr>
          <w:p w14:paraId="09B6ABE1" w14:textId="7DC7448F" w:rsidR="00AD59BC" w:rsidRPr="00AD59BC" w:rsidRDefault="00AD59BC" w:rsidP="0041779F">
            <w:pPr>
              <w:jc w:val="center"/>
              <w:rPr>
                <w:color w:val="000000"/>
                <w:sz w:val="20"/>
                <w:szCs w:val="20"/>
                <w:lang w:eastAsia="es-419"/>
              </w:rPr>
            </w:pPr>
            <w:r w:rsidRPr="00AD59BC">
              <w:rPr>
                <w:color w:val="000000"/>
                <w:sz w:val="20"/>
                <w:szCs w:val="20"/>
                <w:lang w:eastAsia="es-419"/>
              </w:rPr>
              <w:t>489</w:t>
            </w:r>
          </w:p>
        </w:tc>
        <w:tc>
          <w:tcPr>
            <w:tcW w:w="779" w:type="pct"/>
            <w:tcBorders>
              <w:top w:val="nil"/>
              <w:bottom w:val="nil"/>
            </w:tcBorders>
            <w:shd w:val="clear" w:color="auto" w:fill="F2F2F2" w:themeFill="background1" w:themeFillShade="F2"/>
            <w:noWrap/>
            <w:vAlign w:val="bottom"/>
          </w:tcPr>
          <w:p w14:paraId="3FEC7F63" w14:textId="04D516A4" w:rsidR="00AD59BC" w:rsidRPr="00584FFB" w:rsidRDefault="00AD59BC" w:rsidP="0041779F">
            <w:pPr>
              <w:jc w:val="center"/>
              <w:rPr>
                <w:color w:val="000000"/>
                <w:sz w:val="20"/>
                <w:szCs w:val="20"/>
                <w:lang w:eastAsia="es-419"/>
              </w:rPr>
            </w:pPr>
            <w:r w:rsidRPr="00AD59BC">
              <w:rPr>
                <w:color w:val="000000"/>
                <w:sz w:val="20"/>
                <w:szCs w:val="20"/>
                <w:lang w:eastAsia="es-419"/>
              </w:rPr>
              <w:t>93</w:t>
            </w:r>
            <w:r>
              <w:rPr>
                <w:color w:val="000000"/>
                <w:sz w:val="20"/>
                <w:szCs w:val="20"/>
                <w:lang w:eastAsia="es-419"/>
              </w:rPr>
              <w:t>.96</w:t>
            </w:r>
          </w:p>
        </w:tc>
      </w:tr>
      <w:tr w:rsidR="004004A2" w:rsidRPr="00584FFB" w14:paraId="31B102DD" w14:textId="77777777" w:rsidTr="00661E08">
        <w:trPr>
          <w:trHeight w:val="255"/>
        </w:trPr>
        <w:tc>
          <w:tcPr>
            <w:tcW w:w="3442" w:type="pct"/>
            <w:tcBorders>
              <w:top w:val="nil"/>
              <w:bottom w:val="nil"/>
            </w:tcBorders>
            <w:shd w:val="clear" w:color="auto" w:fill="F2F2F2" w:themeFill="background1" w:themeFillShade="F2"/>
            <w:noWrap/>
            <w:vAlign w:val="bottom"/>
            <w:hideMark/>
          </w:tcPr>
          <w:p w14:paraId="76DAAABE" w14:textId="7FC2F639" w:rsidR="004004A2" w:rsidRPr="00584FFB" w:rsidRDefault="004004A2" w:rsidP="004004A2">
            <w:pPr>
              <w:rPr>
                <w:color w:val="000000"/>
                <w:sz w:val="20"/>
                <w:szCs w:val="20"/>
                <w:lang w:eastAsia="es-419"/>
              </w:rPr>
            </w:pPr>
            <w:r w:rsidRPr="00584FFB">
              <w:rPr>
                <w:color w:val="000000"/>
                <w:sz w:val="20"/>
                <w:szCs w:val="20"/>
                <w:lang w:eastAsia="es-419"/>
              </w:rPr>
              <w:t>Sentirse sólo</w:t>
            </w:r>
            <w:r w:rsidR="005C7762" w:rsidRPr="00584FFB">
              <w:rPr>
                <w:color w:val="000000"/>
                <w:sz w:val="20"/>
                <w:szCs w:val="20"/>
                <w:lang w:eastAsia="es-419"/>
              </w:rPr>
              <w:t>.</w:t>
            </w:r>
          </w:p>
        </w:tc>
        <w:tc>
          <w:tcPr>
            <w:tcW w:w="779" w:type="pct"/>
            <w:tcBorders>
              <w:top w:val="nil"/>
              <w:bottom w:val="nil"/>
            </w:tcBorders>
            <w:shd w:val="clear" w:color="auto" w:fill="F2F2F2" w:themeFill="background1" w:themeFillShade="F2"/>
            <w:noWrap/>
            <w:vAlign w:val="bottom"/>
            <w:hideMark/>
          </w:tcPr>
          <w:p w14:paraId="3DD5201A"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426</w:t>
            </w:r>
          </w:p>
        </w:tc>
        <w:tc>
          <w:tcPr>
            <w:tcW w:w="779" w:type="pct"/>
            <w:tcBorders>
              <w:top w:val="nil"/>
              <w:bottom w:val="nil"/>
            </w:tcBorders>
            <w:shd w:val="clear" w:color="auto" w:fill="F2F2F2" w:themeFill="background1" w:themeFillShade="F2"/>
            <w:noWrap/>
            <w:vAlign w:val="bottom"/>
            <w:hideMark/>
          </w:tcPr>
          <w:p w14:paraId="343D60A2"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80.99</w:t>
            </w:r>
          </w:p>
        </w:tc>
      </w:tr>
      <w:tr w:rsidR="004004A2" w:rsidRPr="00584FFB" w14:paraId="2FFB3BB8" w14:textId="77777777" w:rsidTr="00661E08">
        <w:trPr>
          <w:trHeight w:val="255"/>
        </w:trPr>
        <w:tc>
          <w:tcPr>
            <w:tcW w:w="3442" w:type="pct"/>
            <w:tcBorders>
              <w:top w:val="nil"/>
              <w:bottom w:val="nil"/>
            </w:tcBorders>
            <w:shd w:val="clear" w:color="auto" w:fill="F2F2F2" w:themeFill="background1" w:themeFillShade="F2"/>
            <w:noWrap/>
            <w:vAlign w:val="bottom"/>
            <w:hideMark/>
          </w:tcPr>
          <w:p w14:paraId="6EC7B438" w14:textId="6EC85D76" w:rsidR="004004A2" w:rsidRPr="00584FFB" w:rsidRDefault="004004A2" w:rsidP="004004A2">
            <w:pPr>
              <w:rPr>
                <w:color w:val="000000"/>
                <w:sz w:val="20"/>
                <w:szCs w:val="20"/>
                <w:lang w:eastAsia="es-419"/>
              </w:rPr>
            </w:pPr>
            <w:r w:rsidRPr="00584FFB">
              <w:rPr>
                <w:color w:val="000000"/>
                <w:sz w:val="20"/>
                <w:szCs w:val="20"/>
                <w:lang w:eastAsia="es-419"/>
              </w:rPr>
              <w:t>Tener problemas económicos.</w:t>
            </w:r>
          </w:p>
        </w:tc>
        <w:tc>
          <w:tcPr>
            <w:tcW w:w="779" w:type="pct"/>
            <w:tcBorders>
              <w:top w:val="nil"/>
              <w:bottom w:val="nil"/>
            </w:tcBorders>
            <w:shd w:val="clear" w:color="auto" w:fill="F2F2F2" w:themeFill="background1" w:themeFillShade="F2"/>
            <w:noWrap/>
            <w:vAlign w:val="bottom"/>
            <w:hideMark/>
          </w:tcPr>
          <w:p w14:paraId="7E59C3AC"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390</w:t>
            </w:r>
          </w:p>
        </w:tc>
        <w:tc>
          <w:tcPr>
            <w:tcW w:w="779" w:type="pct"/>
            <w:tcBorders>
              <w:top w:val="nil"/>
              <w:bottom w:val="nil"/>
            </w:tcBorders>
            <w:shd w:val="clear" w:color="auto" w:fill="F2F2F2" w:themeFill="background1" w:themeFillShade="F2"/>
            <w:noWrap/>
            <w:vAlign w:val="bottom"/>
            <w:hideMark/>
          </w:tcPr>
          <w:p w14:paraId="54B49D16"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74.14</w:t>
            </w:r>
          </w:p>
        </w:tc>
      </w:tr>
      <w:tr w:rsidR="004004A2" w:rsidRPr="00584FFB" w14:paraId="0D6DF110" w14:textId="77777777" w:rsidTr="00661E08">
        <w:trPr>
          <w:trHeight w:val="255"/>
        </w:trPr>
        <w:tc>
          <w:tcPr>
            <w:tcW w:w="3442" w:type="pct"/>
            <w:tcBorders>
              <w:top w:val="nil"/>
              <w:bottom w:val="nil"/>
            </w:tcBorders>
            <w:shd w:val="clear" w:color="auto" w:fill="F2F2F2" w:themeFill="background1" w:themeFillShade="F2"/>
            <w:noWrap/>
            <w:vAlign w:val="bottom"/>
            <w:hideMark/>
          </w:tcPr>
          <w:p w14:paraId="542EDCCE" w14:textId="5D6A4D1C" w:rsidR="004004A2" w:rsidRPr="00584FFB" w:rsidRDefault="0041779F" w:rsidP="004004A2">
            <w:pPr>
              <w:rPr>
                <w:color w:val="000000"/>
                <w:sz w:val="20"/>
                <w:szCs w:val="20"/>
                <w:lang w:eastAsia="es-419"/>
              </w:rPr>
            </w:pPr>
            <w:r w:rsidRPr="00584FFB">
              <w:rPr>
                <w:color w:val="000000"/>
                <w:sz w:val="20"/>
                <w:szCs w:val="20"/>
                <w:lang w:eastAsia="es-419"/>
              </w:rPr>
              <w:t>Ser víctima de violencia (física, psicológica, sexual, patrimonial).</w:t>
            </w:r>
          </w:p>
        </w:tc>
        <w:tc>
          <w:tcPr>
            <w:tcW w:w="779" w:type="pct"/>
            <w:tcBorders>
              <w:top w:val="nil"/>
              <w:bottom w:val="nil"/>
            </w:tcBorders>
            <w:shd w:val="clear" w:color="auto" w:fill="F2F2F2" w:themeFill="background1" w:themeFillShade="F2"/>
            <w:noWrap/>
            <w:vAlign w:val="bottom"/>
            <w:hideMark/>
          </w:tcPr>
          <w:p w14:paraId="24D9B84F"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379</w:t>
            </w:r>
          </w:p>
        </w:tc>
        <w:tc>
          <w:tcPr>
            <w:tcW w:w="779" w:type="pct"/>
            <w:tcBorders>
              <w:top w:val="nil"/>
              <w:bottom w:val="nil"/>
            </w:tcBorders>
            <w:shd w:val="clear" w:color="auto" w:fill="F2F2F2" w:themeFill="background1" w:themeFillShade="F2"/>
            <w:noWrap/>
            <w:vAlign w:val="bottom"/>
            <w:hideMark/>
          </w:tcPr>
          <w:p w14:paraId="4F8070A3"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72.05</w:t>
            </w:r>
          </w:p>
        </w:tc>
      </w:tr>
      <w:tr w:rsidR="004004A2" w:rsidRPr="00584FFB" w14:paraId="7BFE559B" w14:textId="77777777" w:rsidTr="00661E08">
        <w:trPr>
          <w:trHeight w:val="255"/>
        </w:trPr>
        <w:tc>
          <w:tcPr>
            <w:tcW w:w="3442" w:type="pct"/>
            <w:tcBorders>
              <w:top w:val="nil"/>
              <w:bottom w:val="nil"/>
            </w:tcBorders>
            <w:shd w:val="clear" w:color="auto" w:fill="F2F2F2" w:themeFill="background1" w:themeFillShade="F2"/>
            <w:noWrap/>
            <w:vAlign w:val="bottom"/>
            <w:hideMark/>
          </w:tcPr>
          <w:p w14:paraId="4DC5B01A" w14:textId="16A34E89" w:rsidR="004004A2" w:rsidRPr="00584FFB" w:rsidRDefault="004004A2" w:rsidP="004004A2">
            <w:pPr>
              <w:rPr>
                <w:color w:val="000000"/>
                <w:sz w:val="20"/>
                <w:szCs w:val="20"/>
                <w:lang w:eastAsia="es-419"/>
              </w:rPr>
            </w:pPr>
            <w:r w:rsidRPr="00584FFB">
              <w:rPr>
                <w:color w:val="000000"/>
                <w:sz w:val="20"/>
                <w:szCs w:val="20"/>
                <w:lang w:eastAsia="es-419"/>
              </w:rPr>
              <w:t>Baja autoestima</w:t>
            </w:r>
            <w:r w:rsidR="0041779F" w:rsidRPr="00584FFB">
              <w:rPr>
                <w:color w:val="000000"/>
                <w:sz w:val="20"/>
                <w:szCs w:val="20"/>
                <w:lang w:eastAsia="es-419"/>
              </w:rPr>
              <w:t>.</w:t>
            </w:r>
          </w:p>
        </w:tc>
        <w:tc>
          <w:tcPr>
            <w:tcW w:w="779" w:type="pct"/>
            <w:tcBorders>
              <w:top w:val="nil"/>
              <w:bottom w:val="nil"/>
            </w:tcBorders>
            <w:shd w:val="clear" w:color="auto" w:fill="F2F2F2" w:themeFill="background1" w:themeFillShade="F2"/>
            <w:noWrap/>
            <w:vAlign w:val="bottom"/>
            <w:hideMark/>
          </w:tcPr>
          <w:p w14:paraId="3401C59D"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346</w:t>
            </w:r>
          </w:p>
        </w:tc>
        <w:tc>
          <w:tcPr>
            <w:tcW w:w="779" w:type="pct"/>
            <w:tcBorders>
              <w:top w:val="nil"/>
              <w:bottom w:val="nil"/>
            </w:tcBorders>
            <w:shd w:val="clear" w:color="auto" w:fill="F2F2F2" w:themeFill="background1" w:themeFillShade="F2"/>
            <w:noWrap/>
            <w:vAlign w:val="bottom"/>
            <w:hideMark/>
          </w:tcPr>
          <w:p w14:paraId="4306EEA7"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65.78</w:t>
            </w:r>
          </w:p>
        </w:tc>
      </w:tr>
      <w:tr w:rsidR="004004A2" w:rsidRPr="00584FFB" w14:paraId="7E09F82E" w14:textId="77777777" w:rsidTr="00661E08">
        <w:trPr>
          <w:trHeight w:val="255"/>
        </w:trPr>
        <w:tc>
          <w:tcPr>
            <w:tcW w:w="3442" w:type="pct"/>
            <w:tcBorders>
              <w:top w:val="nil"/>
              <w:bottom w:val="nil"/>
            </w:tcBorders>
            <w:shd w:val="clear" w:color="auto" w:fill="F2F2F2" w:themeFill="background1" w:themeFillShade="F2"/>
            <w:noWrap/>
            <w:vAlign w:val="bottom"/>
            <w:hideMark/>
          </w:tcPr>
          <w:p w14:paraId="67270C73" w14:textId="120899DD" w:rsidR="004004A2" w:rsidRPr="00584FFB" w:rsidRDefault="004004A2" w:rsidP="004004A2">
            <w:pPr>
              <w:rPr>
                <w:color w:val="000000"/>
                <w:sz w:val="20"/>
                <w:szCs w:val="20"/>
                <w:lang w:eastAsia="es-419"/>
              </w:rPr>
            </w:pPr>
            <w:r w:rsidRPr="00584FFB">
              <w:rPr>
                <w:color w:val="000000"/>
                <w:sz w:val="20"/>
                <w:szCs w:val="20"/>
                <w:lang w:eastAsia="es-419"/>
              </w:rPr>
              <w:t>Relaciones familiares conflictivas</w:t>
            </w:r>
            <w:r w:rsidR="0041779F" w:rsidRPr="00584FFB">
              <w:rPr>
                <w:color w:val="000000"/>
                <w:sz w:val="20"/>
                <w:szCs w:val="20"/>
                <w:lang w:eastAsia="es-419"/>
              </w:rPr>
              <w:t>.</w:t>
            </w:r>
          </w:p>
        </w:tc>
        <w:tc>
          <w:tcPr>
            <w:tcW w:w="779" w:type="pct"/>
            <w:tcBorders>
              <w:top w:val="nil"/>
              <w:bottom w:val="nil"/>
            </w:tcBorders>
            <w:shd w:val="clear" w:color="auto" w:fill="F2F2F2" w:themeFill="background1" w:themeFillShade="F2"/>
            <w:noWrap/>
            <w:vAlign w:val="bottom"/>
            <w:hideMark/>
          </w:tcPr>
          <w:p w14:paraId="60157C68"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338</w:t>
            </w:r>
          </w:p>
        </w:tc>
        <w:tc>
          <w:tcPr>
            <w:tcW w:w="779" w:type="pct"/>
            <w:tcBorders>
              <w:top w:val="nil"/>
              <w:bottom w:val="nil"/>
            </w:tcBorders>
            <w:shd w:val="clear" w:color="auto" w:fill="F2F2F2" w:themeFill="background1" w:themeFillShade="F2"/>
            <w:noWrap/>
            <w:vAlign w:val="bottom"/>
            <w:hideMark/>
          </w:tcPr>
          <w:p w14:paraId="33527973"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64.26</w:t>
            </w:r>
          </w:p>
        </w:tc>
      </w:tr>
      <w:tr w:rsidR="004004A2" w:rsidRPr="00584FFB" w14:paraId="24FD96EB" w14:textId="77777777" w:rsidTr="00661E08">
        <w:trPr>
          <w:trHeight w:val="255"/>
        </w:trPr>
        <w:tc>
          <w:tcPr>
            <w:tcW w:w="3442" w:type="pct"/>
            <w:tcBorders>
              <w:top w:val="nil"/>
              <w:bottom w:val="nil"/>
            </w:tcBorders>
            <w:shd w:val="clear" w:color="auto" w:fill="F2F2F2" w:themeFill="background1" w:themeFillShade="F2"/>
            <w:noWrap/>
            <w:vAlign w:val="bottom"/>
            <w:hideMark/>
          </w:tcPr>
          <w:p w14:paraId="5F8300E2" w14:textId="176402FD" w:rsidR="004004A2" w:rsidRPr="00584FFB" w:rsidRDefault="004004A2" w:rsidP="004004A2">
            <w:pPr>
              <w:rPr>
                <w:color w:val="000000"/>
                <w:sz w:val="20"/>
                <w:szCs w:val="20"/>
                <w:lang w:eastAsia="es-419"/>
              </w:rPr>
            </w:pPr>
            <w:r w:rsidRPr="00584FFB">
              <w:rPr>
                <w:color w:val="000000"/>
                <w:sz w:val="20"/>
                <w:szCs w:val="20"/>
                <w:lang w:eastAsia="es-419"/>
              </w:rPr>
              <w:t>Sufrir una pérdida importante</w:t>
            </w:r>
            <w:r w:rsidR="0041779F" w:rsidRPr="00584FFB">
              <w:rPr>
                <w:color w:val="000000"/>
                <w:sz w:val="20"/>
                <w:szCs w:val="20"/>
                <w:lang w:eastAsia="es-419"/>
              </w:rPr>
              <w:t>.</w:t>
            </w:r>
          </w:p>
        </w:tc>
        <w:tc>
          <w:tcPr>
            <w:tcW w:w="779" w:type="pct"/>
            <w:tcBorders>
              <w:top w:val="nil"/>
              <w:bottom w:val="nil"/>
            </w:tcBorders>
            <w:shd w:val="clear" w:color="auto" w:fill="F2F2F2" w:themeFill="background1" w:themeFillShade="F2"/>
            <w:noWrap/>
            <w:vAlign w:val="bottom"/>
            <w:hideMark/>
          </w:tcPr>
          <w:p w14:paraId="3FC5C7D3"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308</w:t>
            </w:r>
          </w:p>
        </w:tc>
        <w:tc>
          <w:tcPr>
            <w:tcW w:w="779" w:type="pct"/>
            <w:tcBorders>
              <w:top w:val="nil"/>
              <w:bottom w:val="nil"/>
            </w:tcBorders>
            <w:shd w:val="clear" w:color="auto" w:fill="F2F2F2" w:themeFill="background1" w:themeFillShade="F2"/>
            <w:noWrap/>
            <w:vAlign w:val="bottom"/>
            <w:hideMark/>
          </w:tcPr>
          <w:p w14:paraId="218FCECF"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58.56</w:t>
            </w:r>
          </w:p>
        </w:tc>
      </w:tr>
      <w:tr w:rsidR="004004A2" w:rsidRPr="00584FFB" w14:paraId="14F9EF87" w14:textId="77777777" w:rsidTr="00661E08">
        <w:trPr>
          <w:trHeight w:val="255"/>
        </w:trPr>
        <w:tc>
          <w:tcPr>
            <w:tcW w:w="3442" w:type="pct"/>
            <w:tcBorders>
              <w:top w:val="nil"/>
              <w:bottom w:val="nil"/>
            </w:tcBorders>
            <w:shd w:val="clear" w:color="auto" w:fill="F2F2F2" w:themeFill="background1" w:themeFillShade="F2"/>
            <w:noWrap/>
            <w:vAlign w:val="bottom"/>
            <w:hideMark/>
          </w:tcPr>
          <w:p w14:paraId="2F93864C" w14:textId="746CABC3" w:rsidR="004004A2" w:rsidRPr="00584FFB" w:rsidRDefault="004004A2" w:rsidP="004004A2">
            <w:pPr>
              <w:rPr>
                <w:color w:val="000000"/>
                <w:sz w:val="20"/>
                <w:szCs w:val="20"/>
                <w:lang w:eastAsia="es-419"/>
              </w:rPr>
            </w:pPr>
            <w:r w:rsidRPr="00584FFB">
              <w:rPr>
                <w:color w:val="000000"/>
                <w:sz w:val="20"/>
                <w:szCs w:val="20"/>
                <w:lang w:eastAsia="es-419"/>
              </w:rPr>
              <w:t>Falta de comunicación</w:t>
            </w:r>
            <w:r w:rsidR="0041779F" w:rsidRPr="00584FFB">
              <w:rPr>
                <w:color w:val="000000"/>
                <w:sz w:val="20"/>
                <w:szCs w:val="20"/>
                <w:lang w:eastAsia="es-419"/>
              </w:rPr>
              <w:t>.</w:t>
            </w:r>
          </w:p>
        </w:tc>
        <w:tc>
          <w:tcPr>
            <w:tcW w:w="779" w:type="pct"/>
            <w:tcBorders>
              <w:top w:val="nil"/>
              <w:bottom w:val="nil"/>
            </w:tcBorders>
            <w:shd w:val="clear" w:color="auto" w:fill="F2F2F2" w:themeFill="background1" w:themeFillShade="F2"/>
            <w:noWrap/>
            <w:vAlign w:val="bottom"/>
            <w:hideMark/>
          </w:tcPr>
          <w:p w14:paraId="4993CBAE"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291</w:t>
            </w:r>
          </w:p>
        </w:tc>
        <w:tc>
          <w:tcPr>
            <w:tcW w:w="779" w:type="pct"/>
            <w:tcBorders>
              <w:top w:val="nil"/>
              <w:bottom w:val="nil"/>
            </w:tcBorders>
            <w:shd w:val="clear" w:color="auto" w:fill="F2F2F2" w:themeFill="background1" w:themeFillShade="F2"/>
            <w:noWrap/>
            <w:vAlign w:val="bottom"/>
            <w:hideMark/>
          </w:tcPr>
          <w:p w14:paraId="45F9A349"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55.32</w:t>
            </w:r>
          </w:p>
        </w:tc>
      </w:tr>
      <w:tr w:rsidR="004004A2" w:rsidRPr="00584FFB" w14:paraId="0A55EBAF" w14:textId="77777777" w:rsidTr="00661E08">
        <w:trPr>
          <w:trHeight w:val="255"/>
        </w:trPr>
        <w:tc>
          <w:tcPr>
            <w:tcW w:w="3442" w:type="pct"/>
            <w:tcBorders>
              <w:top w:val="nil"/>
              <w:bottom w:val="nil"/>
            </w:tcBorders>
            <w:shd w:val="clear" w:color="auto" w:fill="F2F2F2" w:themeFill="background1" w:themeFillShade="F2"/>
            <w:noWrap/>
            <w:vAlign w:val="bottom"/>
            <w:hideMark/>
          </w:tcPr>
          <w:p w14:paraId="5B449384" w14:textId="72D365EB" w:rsidR="004004A2" w:rsidRPr="00584FFB" w:rsidRDefault="004004A2" w:rsidP="004004A2">
            <w:pPr>
              <w:rPr>
                <w:color w:val="000000"/>
                <w:sz w:val="20"/>
                <w:szCs w:val="20"/>
                <w:lang w:eastAsia="es-419"/>
              </w:rPr>
            </w:pPr>
            <w:r w:rsidRPr="00584FFB">
              <w:rPr>
                <w:color w:val="000000"/>
                <w:sz w:val="20"/>
                <w:szCs w:val="20"/>
                <w:lang w:eastAsia="es-419"/>
              </w:rPr>
              <w:t>Estar desempleado.</w:t>
            </w:r>
          </w:p>
        </w:tc>
        <w:tc>
          <w:tcPr>
            <w:tcW w:w="779" w:type="pct"/>
            <w:tcBorders>
              <w:top w:val="nil"/>
              <w:bottom w:val="nil"/>
            </w:tcBorders>
            <w:shd w:val="clear" w:color="auto" w:fill="F2F2F2" w:themeFill="background1" w:themeFillShade="F2"/>
            <w:noWrap/>
            <w:vAlign w:val="bottom"/>
            <w:hideMark/>
          </w:tcPr>
          <w:p w14:paraId="70DC2556"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278</w:t>
            </w:r>
          </w:p>
        </w:tc>
        <w:tc>
          <w:tcPr>
            <w:tcW w:w="779" w:type="pct"/>
            <w:tcBorders>
              <w:top w:val="nil"/>
              <w:bottom w:val="nil"/>
            </w:tcBorders>
            <w:shd w:val="clear" w:color="auto" w:fill="F2F2F2" w:themeFill="background1" w:themeFillShade="F2"/>
            <w:noWrap/>
            <w:vAlign w:val="bottom"/>
            <w:hideMark/>
          </w:tcPr>
          <w:p w14:paraId="48915425"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52.85</w:t>
            </w:r>
          </w:p>
        </w:tc>
      </w:tr>
      <w:tr w:rsidR="004004A2" w:rsidRPr="00584FFB" w14:paraId="026EA64A" w14:textId="77777777" w:rsidTr="00661E08">
        <w:trPr>
          <w:trHeight w:val="255"/>
        </w:trPr>
        <w:tc>
          <w:tcPr>
            <w:tcW w:w="3442" w:type="pct"/>
            <w:tcBorders>
              <w:top w:val="nil"/>
              <w:bottom w:val="nil"/>
            </w:tcBorders>
            <w:shd w:val="clear" w:color="auto" w:fill="F2F2F2" w:themeFill="background1" w:themeFillShade="F2"/>
            <w:noWrap/>
            <w:vAlign w:val="bottom"/>
            <w:hideMark/>
          </w:tcPr>
          <w:p w14:paraId="1D3F3CB1" w14:textId="6B5346AC" w:rsidR="004004A2" w:rsidRPr="00584FFB" w:rsidRDefault="004004A2" w:rsidP="004004A2">
            <w:pPr>
              <w:rPr>
                <w:color w:val="000000"/>
                <w:sz w:val="20"/>
                <w:szCs w:val="20"/>
                <w:lang w:eastAsia="es-419"/>
              </w:rPr>
            </w:pPr>
            <w:r w:rsidRPr="00584FFB">
              <w:rPr>
                <w:color w:val="000000"/>
                <w:sz w:val="20"/>
                <w:szCs w:val="20"/>
                <w:lang w:eastAsia="es-419"/>
              </w:rPr>
              <w:t>Consumo de alcohol o drogas</w:t>
            </w:r>
            <w:r w:rsidR="0041779F" w:rsidRPr="00584FFB">
              <w:rPr>
                <w:color w:val="000000"/>
                <w:sz w:val="20"/>
                <w:szCs w:val="20"/>
                <w:lang w:eastAsia="es-419"/>
              </w:rPr>
              <w:t>.</w:t>
            </w:r>
          </w:p>
        </w:tc>
        <w:tc>
          <w:tcPr>
            <w:tcW w:w="779" w:type="pct"/>
            <w:tcBorders>
              <w:top w:val="nil"/>
              <w:bottom w:val="nil"/>
            </w:tcBorders>
            <w:shd w:val="clear" w:color="auto" w:fill="F2F2F2" w:themeFill="background1" w:themeFillShade="F2"/>
            <w:noWrap/>
            <w:vAlign w:val="bottom"/>
            <w:hideMark/>
          </w:tcPr>
          <w:p w14:paraId="1E081AE9"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263</w:t>
            </w:r>
          </w:p>
        </w:tc>
        <w:tc>
          <w:tcPr>
            <w:tcW w:w="779" w:type="pct"/>
            <w:tcBorders>
              <w:top w:val="nil"/>
              <w:bottom w:val="nil"/>
            </w:tcBorders>
            <w:shd w:val="clear" w:color="auto" w:fill="F2F2F2" w:themeFill="background1" w:themeFillShade="F2"/>
            <w:noWrap/>
            <w:vAlign w:val="bottom"/>
            <w:hideMark/>
          </w:tcPr>
          <w:p w14:paraId="37FD107F"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50.00</w:t>
            </w:r>
          </w:p>
        </w:tc>
      </w:tr>
      <w:tr w:rsidR="004004A2" w:rsidRPr="00584FFB" w14:paraId="4BFE6C9C" w14:textId="77777777" w:rsidTr="00390829">
        <w:trPr>
          <w:trHeight w:val="255"/>
        </w:trPr>
        <w:tc>
          <w:tcPr>
            <w:tcW w:w="3442" w:type="pct"/>
            <w:tcBorders>
              <w:top w:val="nil"/>
              <w:bottom w:val="nil"/>
            </w:tcBorders>
            <w:shd w:val="clear" w:color="auto" w:fill="auto"/>
            <w:noWrap/>
            <w:vAlign w:val="bottom"/>
            <w:hideMark/>
          </w:tcPr>
          <w:p w14:paraId="69EE29AA" w14:textId="32F9E98C" w:rsidR="004004A2" w:rsidRPr="00584FFB" w:rsidRDefault="004004A2" w:rsidP="004004A2">
            <w:pPr>
              <w:rPr>
                <w:color w:val="000000"/>
                <w:sz w:val="20"/>
                <w:szCs w:val="20"/>
                <w:lang w:eastAsia="es-419"/>
              </w:rPr>
            </w:pPr>
            <w:r w:rsidRPr="00584FFB">
              <w:rPr>
                <w:color w:val="000000"/>
                <w:sz w:val="20"/>
                <w:szCs w:val="20"/>
                <w:lang w:eastAsia="es-419"/>
              </w:rPr>
              <w:t>No recibir atención de sus seres queridos.</w:t>
            </w:r>
          </w:p>
        </w:tc>
        <w:tc>
          <w:tcPr>
            <w:tcW w:w="779" w:type="pct"/>
            <w:tcBorders>
              <w:top w:val="nil"/>
              <w:bottom w:val="nil"/>
            </w:tcBorders>
            <w:shd w:val="clear" w:color="auto" w:fill="auto"/>
            <w:noWrap/>
            <w:vAlign w:val="bottom"/>
            <w:hideMark/>
          </w:tcPr>
          <w:p w14:paraId="70C15538"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218</w:t>
            </w:r>
          </w:p>
        </w:tc>
        <w:tc>
          <w:tcPr>
            <w:tcW w:w="779" w:type="pct"/>
            <w:tcBorders>
              <w:top w:val="nil"/>
              <w:bottom w:val="nil"/>
            </w:tcBorders>
            <w:shd w:val="clear" w:color="auto" w:fill="auto"/>
            <w:noWrap/>
            <w:vAlign w:val="bottom"/>
            <w:hideMark/>
          </w:tcPr>
          <w:p w14:paraId="43EF3CDB"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41.44</w:t>
            </w:r>
          </w:p>
        </w:tc>
      </w:tr>
      <w:tr w:rsidR="004004A2" w:rsidRPr="00584FFB" w14:paraId="02678DB6" w14:textId="77777777" w:rsidTr="00390829">
        <w:trPr>
          <w:trHeight w:val="255"/>
        </w:trPr>
        <w:tc>
          <w:tcPr>
            <w:tcW w:w="3442" w:type="pct"/>
            <w:tcBorders>
              <w:top w:val="nil"/>
              <w:bottom w:val="nil"/>
            </w:tcBorders>
            <w:shd w:val="clear" w:color="auto" w:fill="auto"/>
            <w:noWrap/>
            <w:vAlign w:val="bottom"/>
            <w:hideMark/>
          </w:tcPr>
          <w:p w14:paraId="7A996859" w14:textId="05187C44" w:rsidR="004004A2" w:rsidRPr="00584FFB" w:rsidRDefault="004004A2" w:rsidP="004004A2">
            <w:pPr>
              <w:rPr>
                <w:color w:val="000000"/>
                <w:sz w:val="20"/>
                <w:szCs w:val="20"/>
                <w:lang w:eastAsia="es-419"/>
              </w:rPr>
            </w:pPr>
            <w:r w:rsidRPr="00584FFB">
              <w:rPr>
                <w:color w:val="000000"/>
                <w:sz w:val="20"/>
                <w:szCs w:val="20"/>
                <w:lang w:eastAsia="es-419"/>
              </w:rPr>
              <w:t>Falta de motivación</w:t>
            </w:r>
            <w:r w:rsidR="0041779F" w:rsidRPr="00584FFB">
              <w:rPr>
                <w:color w:val="000000"/>
                <w:sz w:val="20"/>
                <w:szCs w:val="20"/>
                <w:lang w:eastAsia="es-419"/>
              </w:rPr>
              <w:t>.</w:t>
            </w:r>
          </w:p>
        </w:tc>
        <w:tc>
          <w:tcPr>
            <w:tcW w:w="779" w:type="pct"/>
            <w:tcBorders>
              <w:top w:val="nil"/>
              <w:bottom w:val="nil"/>
            </w:tcBorders>
            <w:shd w:val="clear" w:color="auto" w:fill="auto"/>
            <w:noWrap/>
            <w:vAlign w:val="bottom"/>
            <w:hideMark/>
          </w:tcPr>
          <w:p w14:paraId="6A4509B4"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209</w:t>
            </w:r>
          </w:p>
        </w:tc>
        <w:tc>
          <w:tcPr>
            <w:tcW w:w="779" w:type="pct"/>
            <w:tcBorders>
              <w:top w:val="nil"/>
              <w:bottom w:val="nil"/>
            </w:tcBorders>
            <w:shd w:val="clear" w:color="auto" w:fill="auto"/>
            <w:noWrap/>
            <w:vAlign w:val="bottom"/>
            <w:hideMark/>
          </w:tcPr>
          <w:p w14:paraId="75922377"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39.73</w:t>
            </w:r>
          </w:p>
        </w:tc>
      </w:tr>
      <w:tr w:rsidR="004004A2" w:rsidRPr="00584FFB" w14:paraId="61DF63E3" w14:textId="77777777" w:rsidTr="00390829">
        <w:trPr>
          <w:trHeight w:val="255"/>
        </w:trPr>
        <w:tc>
          <w:tcPr>
            <w:tcW w:w="3442" w:type="pct"/>
            <w:tcBorders>
              <w:top w:val="nil"/>
              <w:bottom w:val="nil"/>
            </w:tcBorders>
            <w:shd w:val="clear" w:color="auto" w:fill="auto"/>
            <w:noWrap/>
            <w:vAlign w:val="bottom"/>
            <w:hideMark/>
          </w:tcPr>
          <w:p w14:paraId="59B42DCC" w14:textId="40407D6C" w:rsidR="004004A2" w:rsidRPr="00584FFB" w:rsidRDefault="004004A2" w:rsidP="004004A2">
            <w:pPr>
              <w:rPr>
                <w:color w:val="000000"/>
                <w:sz w:val="20"/>
                <w:szCs w:val="20"/>
                <w:lang w:eastAsia="es-419"/>
              </w:rPr>
            </w:pPr>
            <w:r w:rsidRPr="00584FFB">
              <w:rPr>
                <w:color w:val="000000"/>
                <w:sz w:val="20"/>
                <w:szCs w:val="20"/>
                <w:lang w:eastAsia="es-419"/>
              </w:rPr>
              <w:t xml:space="preserve">Tener problemas con su </w:t>
            </w:r>
            <w:r w:rsidR="005C7762" w:rsidRPr="00584FFB">
              <w:rPr>
                <w:color w:val="000000"/>
                <w:sz w:val="20"/>
                <w:szCs w:val="20"/>
                <w:lang w:eastAsia="es-419"/>
              </w:rPr>
              <w:t>identidad</w:t>
            </w:r>
            <w:r w:rsidR="0041779F" w:rsidRPr="00584FFB">
              <w:rPr>
                <w:color w:val="000000"/>
                <w:sz w:val="20"/>
                <w:szCs w:val="20"/>
                <w:lang w:eastAsia="es-419"/>
              </w:rPr>
              <w:t>.</w:t>
            </w:r>
          </w:p>
        </w:tc>
        <w:tc>
          <w:tcPr>
            <w:tcW w:w="779" w:type="pct"/>
            <w:tcBorders>
              <w:top w:val="nil"/>
              <w:bottom w:val="nil"/>
            </w:tcBorders>
            <w:shd w:val="clear" w:color="auto" w:fill="auto"/>
            <w:noWrap/>
            <w:vAlign w:val="bottom"/>
            <w:hideMark/>
          </w:tcPr>
          <w:p w14:paraId="704DCB2B"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190</w:t>
            </w:r>
          </w:p>
        </w:tc>
        <w:tc>
          <w:tcPr>
            <w:tcW w:w="779" w:type="pct"/>
            <w:tcBorders>
              <w:top w:val="nil"/>
              <w:bottom w:val="nil"/>
            </w:tcBorders>
            <w:shd w:val="clear" w:color="auto" w:fill="auto"/>
            <w:noWrap/>
            <w:vAlign w:val="bottom"/>
            <w:hideMark/>
          </w:tcPr>
          <w:p w14:paraId="73781C37"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36.12</w:t>
            </w:r>
          </w:p>
        </w:tc>
      </w:tr>
      <w:tr w:rsidR="004004A2" w:rsidRPr="00584FFB" w14:paraId="07588D48" w14:textId="77777777" w:rsidTr="00390829">
        <w:trPr>
          <w:trHeight w:val="255"/>
        </w:trPr>
        <w:tc>
          <w:tcPr>
            <w:tcW w:w="3442" w:type="pct"/>
            <w:tcBorders>
              <w:top w:val="nil"/>
              <w:bottom w:val="nil"/>
            </w:tcBorders>
            <w:shd w:val="clear" w:color="auto" w:fill="auto"/>
            <w:noWrap/>
            <w:vAlign w:val="bottom"/>
            <w:hideMark/>
          </w:tcPr>
          <w:p w14:paraId="5207E9AF" w14:textId="6ABBC34E" w:rsidR="004004A2" w:rsidRPr="00584FFB" w:rsidRDefault="004004A2" w:rsidP="004004A2">
            <w:pPr>
              <w:rPr>
                <w:color w:val="000000"/>
                <w:sz w:val="20"/>
                <w:szCs w:val="20"/>
                <w:lang w:eastAsia="es-419"/>
              </w:rPr>
            </w:pPr>
            <w:r w:rsidRPr="00584FFB">
              <w:rPr>
                <w:color w:val="000000"/>
                <w:sz w:val="20"/>
                <w:szCs w:val="20"/>
                <w:lang w:eastAsia="es-419"/>
              </w:rPr>
              <w:t>Tener problemas laborales.</w:t>
            </w:r>
          </w:p>
        </w:tc>
        <w:tc>
          <w:tcPr>
            <w:tcW w:w="779" w:type="pct"/>
            <w:tcBorders>
              <w:top w:val="nil"/>
              <w:bottom w:val="nil"/>
            </w:tcBorders>
            <w:shd w:val="clear" w:color="auto" w:fill="auto"/>
            <w:noWrap/>
            <w:vAlign w:val="bottom"/>
            <w:hideMark/>
          </w:tcPr>
          <w:p w14:paraId="149CBFD6"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182</w:t>
            </w:r>
          </w:p>
        </w:tc>
        <w:tc>
          <w:tcPr>
            <w:tcW w:w="779" w:type="pct"/>
            <w:tcBorders>
              <w:top w:val="nil"/>
              <w:bottom w:val="nil"/>
            </w:tcBorders>
            <w:shd w:val="clear" w:color="auto" w:fill="auto"/>
            <w:noWrap/>
            <w:vAlign w:val="bottom"/>
            <w:hideMark/>
          </w:tcPr>
          <w:p w14:paraId="5C781F60"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34.60</w:t>
            </w:r>
          </w:p>
        </w:tc>
      </w:tr>
      <w:tr w:rsidR="004004A2" w:rsidRPr="00584FFB" w14:paraId="651539A1" w14:textId="77777777" w:rsidTr="00390829">
        <w:trPr>
          <w:trHeight w:val="255"/>
        </w:trPr>
        <w:tc>
          <w:tcPr>
            <w:tcW w:w="3442" w:type="pct"/>
            <w:tcBorders>
              <w:top w:val="nil"/>
              <w:bottom w:val="nil"/>
            </w:tcBorders>
            <w:shd w:val="clear" w:color="auto" w:fill="auto"/>
            <w:noWrap/>
            <w:vAlign w:val="bottom"/>
            <w:hideMark/>
          </w:tcPr>
          <w:p w14:paraId="6B30A9BE" w14:textId="77777777" w:rsidR="004004A2" w:rsidRPr="00584FFB" w:rsidRDefault="004004A2" w:rsidP="004004A2">
            <w:pPr>
              <w:rPr>
                <w:color w:val="000000"/>
                <w:sz w:val="20"/>
                <w:szCs w:val="20"/>
                <w:lang w:eastAsia="es-419"/>
              </w:rPr>
            </w:pPr>
            <w:r w:rsidRPr="00584FFB">
              <w:rPr>
                <w:color w:val="000000"/>
                <w:sz w:val="20"/>
                <w:szCs w:val="20"/>
                <w:lang w:eastAsia="es-419"/>
              </w:rPr>
              <w:t>Experimentar dolor físico por periodos prolongados.</w:t>
            </w:r>
          </w:p>
        </w:tc>
        <w:tc>
          <w:tcPr>
            <w:tcW w:w="779" w:type="pct"/>
            <w:tcBorders>
              <w:top w:val="nil"/>
              <w:bottom w:val="nil"/>
            </w:tcBorders>
            <w:shd w:val="clear" w:color="auto" w:fill="auto"/>
            <w:noWrap/>
            <w:vAlign w:val="bottom"/>
            <w:hideMark/>
          </w:tcPr>
          <w:p w14:paraId="44ECCCC4"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161</w:t>
            </w:r>
          </w:p>
        </w:tc>
        <w:tc>
          <w:tcPr>
            <w:tcW w:w="779" w:type="pct"/>
            <w:tcBorders>
              <w:top w:val="nil"/>
              <w:bottom w:val="nil"/>
            </w:tcBorders>
            <w:shd w:val="clear" w:color="auto" w:fill="auto"/>
            <w:noWrap/>
            <w:vAlign w:val="bottom"/>
            <w:hideMark/>
          </w:tcPr>
          <w:p w14:paraId="4B786706"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30.61</w:t>
            </w:r>
          </w:p>
        </w:tc>
      </w:tr>
      <w:tr w:rsidR="004004A2" w:rsidRPr="00584FFB" w14:paraId="128F7DBD" w14:textId="77777777" w:rsidTr="00390829">
        <w:trPr>
          <w:trHeight w:val="255"/>
        </w:trPr>
        <w:tc>
          <w:tcPr>
            <w:tcW w:w="3442" w:type="pct"/>
            <w:tcBorders>
              <w:top w:val="nil"/>
              <w:bottom w:val="nil"/>
            </w:tcBorders>
            <w:shd w:val="clear" w:color="auto" w:fill="auto"/>
            <w:noWrap/>
            <w:vAlign w:val="bottom"/>
            <w:hideMark/>
          </w:tcPr>
          <w:p w14:paraId="7A50B744" w14:textId="4A278F92" w:rsidR="004004A2" w:rsidRPr="00584FFB" w:rsidRDefault="004004A2" w:rsidP="004004A2">
            <w:pPr>
              <w:rPr>
                <w:color w:val="000000"/>
                <w:sz w:val="20"/>
                <w:szCs w:val="20"/>
                <w:lang w:eastAsia="es-419"/>
              </w:rPr>
            </w:pPr>
            <w:r w:rsidRPr="00584FFB">
              <w:rPr>
                <w:color w:val="000000"/>
                <w:sz w:val="20"/>
                <w:szCs w:val="20"/>
                <w:lang w:eastAsia="es-419"/>
              </w:rPr>
              <w:t>Ser impulsivo.</w:t>
            </w:r>
          </w:p>
        </w:tc>
        <w:tc>
          <w:tcPr>
            <w:tcW w:w="779" w:type="pct"/>
            <w:tcBorders>
              <w:top w:val="nil"/>
              <w:bottom w:val="nil"/>
            </w:tcBorders>
            <w:shd w:val="clear" w:color="auto" w:fill="auto"/>
            <w:noWrap/>
            <w:vAlign w:val="bottom"/>
            <w:hideMark/>
          </w:tcPr>
          <w:p w14:paraId="0593AD7C"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152</w:t>
            </w:r>
          </w:p>
        </w:tc>
        <w:tc>
          <w:tcPr>
            <w:tcW w:w="779" w:type="pct"/>
            <w:tcBorders>
              <w:top w:val="nil"/>
              <w:bottom w:val="nil"/>
            </w:tcBorders>
            <w:shd w:val="clear" w:color="auto" w:fill="auto"/>
            <w:noWrap/>
            <w:vAlign w:val="bottom"/>
            <w:hideMark/>
          </w:tcPr>
          <w:p w14:paraId="0D73123E"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28.90</w:t>
            </w:r>
          </w:p>
        </w:tc>
      </w:tr>
      <w:tr w:rsidR="004004A2" w:rsidRPr="00584FFB" w14:paraId="7B271524" w14:textId="77777777" w:rsidTr="00390829">
        <w:trPr>
          <w:trHeight w:val="255"/>
        </w:trPr>
        <w:tc>
          <w:tcPr>
            <w:tcW w:w="3442" w:type="pct"/>
            <w:tcBorders>
              <w:top w:val="nil"/>
              <w:bottom w:val="nil"/>
            </w:tcBorders>
            <w:shd w:val="clear" w:color="auto" w:fill="auto"/>
            <w:noWrap/>
            <w:vAlign w:val="bottom"/>
            <w:hideMark/>
          </w:tcPr>
          <w:p w14:paraId="25D76B64" w14:textId="4ED7F538" w:rsidR="004004A2" w:rsidRPr="00584FFB" w:rsidRDefault="004004A2" w:rsidP="004004A2">
            <w:pPr>
              <w:rPr>
                <w:color w:val="000000"/>
                <w:sz w:val="20"/>
                <w:szCs w:val="20"/>
                <w:lang w:eastAsia="es-419"/>
              </w:rPr>
            </w:pPr>
            <w:r w:rsidRPr="00584FFB">
              <w:rPr>
                <w:color w:val="000000"/>
                <w:sz w:val="20"/>
                <w:szCs w:val="20"/>
                <w:lang w:eastAsia="es-419"/>
              </w:rPr>
              <w:t>Tener problemas con la ley</w:t>
            </w:r>
            <w:r w:rsidR="0041779F" w:rsidRPr="00584FFB">
              <w:rPr>
                <w:color w:val="000000"/>
                <w:sz w:val="20"/>
                <w:szCs w:val="20"/>
                <w:lang w:eastAsia="es-419"/>
              </w:rPr>
              <w:t>.</w:t>
            </w:r>
          </w:p>
        </w:tc>
        <w:tc>
          <w:tcPr>
            <w:tcW w:w="779" w:type="pct"/>
            <w:tcBorders>
              <w:top w:val="nil"/>
              <w:bottom w:val="nil"/>
            </w:tcBorders>
            <w:shd w:val="clear" w:color="auto" w:fill="auto"/>
            <w:noWrap/>
            <w:vAlign w:val="bottom"/>
            <w:hideMark/>
          </w:tcPr>
          <w:p w14:paraId="543FA9DA"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121</w:t>
            </w:r>
          </w:p>
        </w:tc>
        <w:tc>
          <w:tcPr>
            <w:tcW w:w="779" w:type="pct"/>
            <w:tcBorders>
              <w:top w:val="nil"/>
              <w:bottom w:val="nil"/>
            </w:tcBorders>
            <w:shd w:val="clear" w:color="auto" w:fill="auto"/>
            <w:noWrap/>
            <w:vAlign w:val="bottom"/>
            <w:hideMark/>
          </w:tcPr>
          <w:p w14:paraId="2963F7D3"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23.00</w:t>
            </w:r>
          </w:p>
        </w:tc>
      </w:tr>
      <w:tr w:rsidR="004004A2" w:rsidRPr="00584FFB" w14:paraId="619EBC03" w14:textId="77777777" w:rsidTr="00390829">
        <w:trPr>
          <w:trHeight w:val="255"/>
        </w:trPr>
        <w:tc>
          <w:tcPr>
            <w:tcW w:w="3442" w:type="pct"/>
            <w:tcBorders>
              <w:top w:val="nil"/>
              <w:bottom w:val="nil"/>
            </w:tcBorders>
            <w:shd w:val="clear" w:color="auto" w:fill="auto"/>
            <w:noWrap/>
            <w:vAlign w:val="bottom"/>
            <w:hideMark/>
          </w:tcPr>
          <w:p w14:paraId="25630ED3" w14:textId="3F841BB4" w:rsidR="004004A2" w:rsidRPr="00584FFB" w:rsidRDefault="004004A2" w:rsidP="004004A2">
            <w:pPr>
              <w:rPr>
                <w:color w:val="000000"/>
                <w:sz w:val="20"/>
                <w:szCs w:val="20"/>
                <w:lang w:eastAsia="es-419"/>
              </w:rPr>
            </w:pPr>
            <w:r w:rsidRPr="00584FFB">
              <w:rPr>
                <w:color w:val="000000"/>
                <w:sz w:val="20"/>
                <w:szCs w:val="20"/>
                <w:lang w:eastAsia="es-419"/>
              </w:rPr>
              <w:t>Tener fácil acceso a los medios para cometer suicidio.</w:t>
            </w:r>
          </w:p>
        </w:tc>
        <w:tc>
          <w:tcPr>
            <w:tcW w:w="779" w:type="pct"/>
            <w:tcBorders>
              <w:top w:val="nil"/>
              <w:bottom w:val="nil"/>
            </w:tcBorders>
            <w:shd w:val="clear" w:color="auto" w:fill="auto"/>
            <w:noWrap/>
            <w:vAlign w:val="bottom"/>
            <w:hideMark/>
          </w:tcPr>
          <w:p w14:paraId="643C7B28"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114</w:t>
            </w:r>
          </w:p>
        </w:tc>
        <w:tc>
          <w:tcPr>
            <w:tcW w:w="779" w:type="pct"/>
            <w:tcBorders>
              <w:top w:val="nil"/>
              <w:bottom w:val="nil"/>
            </w:tcBorders>
            <w:shd w:val="clear" w:color="auto" w:fill="auto"/>
            <w:noWrap/>
            <w:vAlign w:val="bottom"/>
            <w:hideMark/>
          </w:tcPr>
          <w:p w14:paraId="7F4DAACF"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21.67</w:t>
            </w:r>
          </w:p>
        </w:tc>
      </w:tr>
      <w:tr w:rsidR="004004A2" w:rsidRPr="00584FFB" w14:paraId="115BFAE8" w14:textId="77777777" w:rsidTr="00390829">
        <w:trPr>
          <w:trHeight w:val="255"/>
        </w:trPr>
        <w:tc>
          <w:tcPr>
            <w:tcW w:w="3442" w:type="pct"/>
            <w:tcBorders>
              <w:top w:val="nil"/>
              <w:bottom w:val="nil"/>
            </w:tcBorders>
            <w:shd w:val="clear" w:color="auto" w:fill="auto"/>
            <w:noWrap/>
            <w:vAlign w:val="bottom"/>
            <w:hideMark/>
          </w:tcPr>
          <w:p w14:paraId="219F9FD3" w14:textId="432A52DA" w:rsidR="004004A2" w:rsidRPr="00584FFB" w:rsidRDefault="00C73E91" w:rsidP="004004A2">
            <w:pPr>
              <w:rPr>
                <w:color w:val="000000"/>
                <w:sz w:val="20"/>
                <w:szCs w:val="20"/>
                <w:lang w:eastAsia="es-419"/>
              </w:rPr>
            </w:pPr>
            <w:r w:rsidRPr="00584FFB">
              <w:rPr>
                <w:color w:val="000000"/>
                <w:sz w:val="20"/>
                <w:szCs w:val="20"/>
                <w:lang w:eastAsia="es-419"/>
              </w:rPr>
              <w:t>Tener bajas calificaciones (en el ámbito educativo</w:t>
            </w:r>
            <w:r w:rsidR="00AD59BC">
              <w:rPr>
                <w:color w:val="000000"/>
                <w:sz w:val="20"/>
                <w:szCs w:val="20"/>
                <w:lang w:eastAsia="es-419"/>
              </w:rPr>
              <w:t>)</w:t>
            </w:r>
            <w:r w:rsidRPr="00584FFB">
              <w:rPr>
                <w:color w:val="000000"/>
                <w:sz w:val="20"/>
                <w:szCs w:val="20"/>
                <w:lang w:eastAsia="es-419"/>
              </w:rPr>
              <w:t>.</w:t>
            </w:r>
          </w:p>
        </w:tc>
        <w:tc>
          <w:tcPr>
            <w:tcW w:w="779" w:type="pct"/>
            <w:tcBorders>
              <w:top w:val="nil"/>
              <w:bottom w:val="nil"/>
            </w:tcBorders>
            <w:shd w:val="clear" w:color="auto" w:fill="auto"/>
            <w:noWrap/>
            <w:vAlign w:val="bottom"/>
            <w:hideMark/>
          </w:tcPr>
          <w:p w14:paraId="03C3283D"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106</w:t>
            </w:r>
          </w:p>
        </w:tc>
        <w:tc>
          <w:tcPr>
            <w:tcW w:w="779" w:type="pct"/>
            <w:tcBorders>
              <w:top w:val="nil"/>
              <w:bottom w:val="nil"/>
            </w:tcBorders>
            <w:shd w:val="clear" w:color="auto" w:fill="auto"/>
            <w:noWrap/>
            <w:vAlign w:val="bottom"/>
            <w:hideMark/>
          </w:tcPr>
          <w:p w14:paraId="70EB63AE"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20.15</w:t>
            </w:r>
          </w:p>
        </w:tc>
      </w:tr>
      <w:tr w:rsidR="004004A2" w:rsidRPr="00584FFB" w14:paraId="6ADB4FDA" w14:textId="77777777" w:rsidTr="00390829">
        <w:trPr>
          <w:trHeight w:val="255"/>
        </w:trPr>
        <w:tc>
          <w:tcPr>
            <w:tcW w:w="3442" w:type="pct"/>
            <w:tcBorders>
              <w:top w:val="nil"/>
              <w:bottom w:val="nil"/>
            </w:tcBorders>
            <w:shd w:val="clear" w:color="auto" w:fill="auto"/>
            <w:noWrap/>
            <w:vAlign w:val="bottom"/>
            <w:hideMark/>
          </w:tcPr>
          <w:p w14:paraId="10B550F4" w14:textId="3E527E82" w:rsidR="004004A2" w:rsidRPr="00584FFB" w:rsidRDefault="004004A2" w:rsidP="004004A2">
            <w:pPr>
              <w:rPr>
                <w:color w:val="000000"/>
                <w:sz w:val="20"/>
                <w:szCs w:val="20"/>
                <w:lang w:eastAsia="es-419"/>
              </w:rPr>
            </w:pPr>
            <w:r w:rsidRPr="00584FFB">
              <w:rPr>
                <w:color w:val="000000"/>
                <w:sz w:val="20"/>
                <w:szCs w:val="20"/>
                <w:lang w:eastAsia="es-419"/>
              </w:rPr>
              <w:t>Tener algún familiar que se haya suicidado</w:t>
            </w:r>
            <w:r w:rsidR="0041779F" w:rsidRPr="00584FFB">
              <w:rPr>
                <w:color w:val="000000"/>
                <w:sz w:val="20"/>
                <w:szCs w:val="20"/>
                <w:lang w:eastAsia="es-419"/>
              </w:rPr>
              <w:t>.</w:t>
            </w:r>
          </w:p>
        </w:tc>
        <w:tc>
          <w:tcPr>
            <w:tcW w:w="779" w:type="pct"/>
            <w:tcBorders>
              <w:top w:val="nil"/>
              <w:bottom w:val="nil"/>
            </w:tcBorders>
            <w:shd w:val="clear" w:color="auto" w:fill="auto"/>
            <w:noWrap/>
            <w:vAlign w:val="bottom"/>
            <w:hideMark/>
          </w:tcPr>
          <w:p w14:paraId="16EF5CBC"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104</w:t>
            </w:r>
          </w:p>
        </w:tc>
        <w:tc>
          <w:tcPr>
            <w:tcW w:w="779" w:type="pct"/>
            <w:tcBorders>
              <w:top w:val="nil"/>
              <w:bottom w:val="nil"/>
            </w:tcBorders>
            <w:shd w:val="clear" w:color="auto" w:fill="auto"/>
            <w:noWrap/>
            <w:vAlign w:val="bottom"/>
            <w:hideMark/>
          </w:tcPr>
          <w:p w14:paraId="77C565B2"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19.77</w:t>
            </w:r>
          </w:p>
        </w:tc>
      </w:tr>
      <w:tr w:rsidR="004004A2" w:rsidRPr="00584FFB" w14:paraId="31BC3AB4" w14:textId="77777777" w:rsidTr="00390829">
        <w:trPr>
          <w:trHeight w:val="255"/>
        </w:trPr>
        <w:tc>
          <w:tcPr>
            <w:tcW w:w="3442" w:type="pct"/>
            <w:tcBorders>
              <w:top w:val="nil"/>
              <w:bottom w:val="nil"/>
            </w:tcBorders>
            <w:shd w:val="clear" w:color="auto" w:fill="auto"/>
            <w:noWrap/>
            <w:vAlign w:val="bottom"/>
            <w:hideMark/>
          </w:tcPr>
          <w:p w14:paraId="7A935780" w14:textId="294B0ED0" w:rsidR="004004A2" w:rsidRPr="00584FFB" w:rsidRDefault="004004A2" w:rsidP="004004A2">
            <w:pPr>
              <w:rPr>
                <w:color w:val="000000"/>
                <w:sz w:val="20"/>
                <w:szCs w:val="20"/>
                <w:lang w:eastAsia="es-419"/>
              </w:rPr>
            </w:pPr>
            <w:r w:rsidRPr="00584FFB">
              <w:rPr>
                <w:color w:val="000000"/>
                <w:sz w:val="20"/>
                <w:szCs w:val="20"/>
                <w:lang w:eastAsia="es-419"/>
              </w:rPr>
              <w:t>Escuchar que alguien cometió suicidio.</w:t>
            </w:r>
          </w:p>
        </w:tc>
        <w:tc>
          <w:tcPr>
            <w:tcW w:w="779" w:type="pct"/>
            <w:tcBorders>
              <w:top w:val="nil"/>
              <w:bottom w:val="nil"/>
            </w:tcBorders>
            <w:shd w:val="clear" w:color="auto" w:fill="auto"/>
            <w:noWrap/>
            <w:vAlign w:val="bottom"/>
            <w:hideMark/>
          </w:tcPr>
          <w:p w14:paraId="0190CCB4"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69</w:t>
            </w:r>
          </w:p>
        </w:tc>
        <w:tc>
          <w:tcPr>
            <w:tcW w:w="779" w:type="pct"/>
            <w:tcBorders>
              <w:top w:val="nil"/>
              <w:bottom w:val="nil"/>
            </w:tcBorders>
            <w:shd w:val="clear" w:color="auto" w:fill="auto"/>
            <w:noWrap/>
            <w:vAlign w:val="bottom"/>
            <w:hideMark/>
          </w:tcPr>
          <w:p w14:paraId="2B09CAF7"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13.12</w:t>
            </w:r>
          </w:p>
        </w:tc>
      </w:tr>
      <w:tr w:rsidR="004004A2" w:rsidRPr="00584FFB" w14:paraId="6F435B08" w14:textId="77777777" w:rsidTr="00390829">
        <w:trPr>
          <w:trHeight w:val="255"/>
        </w:trPr>
        <w:tc>
          <w:tcPr>
            <w:tcW w:w="3442" w:type="pct"/>
            <w:tcBorders>
              <w:top w:val="nil"/>
              <w:bottom w:val="nil"/>
            </w:tcBorders>
            <w:shd w:val="clear" w:color="auto" w:fill="auto"/>
            <w:noWrap/>
            <w:vAlign w:val="bottom"/>
            <w:hideMark/>
          </w:tcPr>
          <w:p w14:paraId="1D24C99F" w14:textId="7DCC29AC" w:rsidR="004004A2" w:rsidRPr="00584FFB" w:rsidRDefault="004004A2" w:rsidP="004004A2">
            <w:pPr>
              <w:rPr>
                <w:color w:val="000000"/>
                <w:sz w:val="20"/>
                <w:szCs w:val="20"/>
                <w:lang w:eastAsia="es-419"/>
              </w:rPr>
            </w:pPr>
            <w:r w:rsidRPr="00584FFB">
              <w:rPr>
                <w:color w:val="000000"/>
                <w:sz w:val="20"/>
                <w:szCs w:val="20"/>
                <w:lang w:eastAsia="es-419"/>
              </w:rPr>
              <w:t>Tener demasiado tiempo libre</w:t>
            </w:r>
            <w:r w:rsidR="0041779F" w:rsidRPr="00584FFB">
              <w:rPr>
                <w:color w:val="000000"/>
                <w:sz w:val="20"/>
                <w:szCs w:val="20"/>
                <w:lang w:eastAsia="es-419"/>
              </w:rPr>
              <w:t>.</w:t>
            </w:r>
          </w:p>
        </w:tc>
        <w:tc>
          <w:tcPr>
            <w:tcW w:w="779" w:type="pct"/>
            <w:tcBorders>
              <w:top w:val="nil"/>
              <w:bottom w:val="nil"/>
            </w:tcBorders>
            <w:shd w:val="clear" w:color="auto" w:fill="auto"/>
            <w:noWrap/>
            <w:vAlign w:val="bottom"/>
            <w:hideMark/>
          </w:tcPr>
          <w:p w14:paraId="275799C4"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54</w:t>
            </w:r>
          </w:p>
        </w:tc>
        <w:tc>
          <w:tcPr>
            <w:tcW w:w="779" w:type="pct"/>
            <w:tcBorders>
              <w:top w:val="nil"/>
              <w:bottom w:val="nil"/>
            </w:tcBorders>
            <w:shd w:val="clear" w:color="auto" w:fill="auto"/>
            <w:noWrap/>
            <w:vAlign w:val="bottom"/>
            <w:hideMark/>
          </w:tcPr>
          <w:p w14:paraId="66B2AA7D"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10.27</w:t>
            </w:r>
          </w:p>
        </w:tc>
      </w:tr>
      <w:tr w:rsidR="004004A2" w:rsidRPr="00584FFB" w14:paraId="000A71C5" w14:textId="77777777" w:rsidTr="00390829">
        <w:trPr>
          <w:trHeight w:val="255"/>
        </w:trPr>
        <w:tc>
          <w:tcPr>
            <w:tcW w:w="3442" w:type="pct"/>
            <w:tcBorders>
              <w:top w:val="nil"/>
            </w:tcBorders>
            <w:shd w:val="clear" w:color="auto" w:fill="auto"/>
            <w:noWrap/>
            <w:vAlign w:val="bottom"/>
            <w:hideMark/>
          </w:tcPr>
          <w:p w14:paraId="06082D5B" w14:textId="1C67B3A2" w:rsidR="004004A2" w:rsidRPr="00584FFB" w:rsidRDefault="004004A2" w:rsidP="004004A2">
            <w:pPr>
              <w:rPr>
                <w:color w:val="000000"/>
                <w:sz w:val="20"/>
                <w:szCs w:val="20"/>
                <w:lang w:eastAsia="es-419"/>
              </w:rPr>
            </w:pPr>
            <w:r w:rsidRPr="00584FFB">
              <w:rPr>
                <w:color w:val="000000"/>
                <w:sz w:val="20"/>
                <w:szCs w:val="20"/>
                <w:lang w:eastAsia="es-419"/>
              </w:rPr>
              <w:t>Tener un bajo nivel educativo</w:t>
            </w:r>
            <w:r w:rsidR="0041779F" w:rsidRPr="00584FFB">
              <w:rPr>
                <w:color w:val="000000"/>
                <w:sz w:val="20"/>
                <w:szCs w:val="20"/>
                <w:lang w:eastAsia="es-419"/>
              </w:rPr>
              <w:t>.</w:t>
            </w:r>
          </w:p>
        </w:tc>
        <w:tc>
          <w:tcPr>
            <w:tcW w:w="779" w:type="pct"/>
            <w:tcBorders>
              <w:top w:val="nil"/>
            </w:tcBorders>
            <w:shd w:val="clear" w:color="auto" w:fill="auto"/>
            <w:noWrap/>
            <w:vAlign w:val="bottom"/>
            <w:hideMark/>
          </w:tcPr>
          <w:p w14:paraId="02C0C1D2"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25</w:t>
            </w:r>
          </w:p>
        </w:tc>
        <w:tc>
          <w:tcPr>
            <w:tcW w:w="779" w:type="pct"/>
            <w:tcBorders>
              <w:top w:val="nil"/>
            </w:tcBorders>
            <w:shd w:val="clear" w:color="auto" w:fill="auto"/>
            <w:noWrap/>
            <w:vAlign w:val="bottom"/>
            <w:hideMark/>
          </w:tcPr>
          <w:p w14:paraId="37D84CE3" w14:textId="77777777" w:rsidR="004004A2" w:rsidRPr="00584FFB" w:rsidRDefault="004004A2" w:rsidP="0041779F">
            <w:pPr>
              <w:jc w:val="center"/>
              <w:rPr>
                <w:color w:val="000000"/>
                <w:sz w:val="20"/>
                <w:szCs w:val="20"/>
                <w:lang w:eastAsia="es-419"/>
              </w:rPr>
            </w:pPr>
            <w:r w:rsidRPr="00584FFB">
              <w:rPr>
                <w:color w:val="000000"/>
                <w:sz w:val="20"/>
                <w:szCs w:val="20"/>
                <w:lang w:eastAsia="es-419"/>
              </w:rPr>
              <w:t>4.75</w:t>
            </w:r>
          </w:p>
        </w:tc>
      </w:tr>
    </w:tbl>
    <w:p w14:paraId="53210287" w14:textId="77777777" w:rsidR="004004A2" w:rsidRPr="00584FFB" w:rsidRDefault="004004A2" w:rsidP="004004A2">
      <w:pPr>
        <w:pBdr>
          <w:top w:val="nil"/>
          <w:left w:val="nil"/>
          <w:bottom w:val="nil"/>
          <w:right w:val="nil"/>
          <w:between w:val="nil"/>
          <w:bar w:val="nil"/>
        </w:pBdr>
        <w:suppressAutoHyphens/>
        <w:spacing w:line="100" w:lineRule="atLeast"/>
        <w:rPr>
          <w:rFonts w:eastAsia="Calibri" w:cs="Calibri"/>
          <w:color w:val="000000"/>
          <w:sz w:val="20"/>
          <w:szCs w:val="20"/>
          <w:u w:color="000000"/>
          <w:bdr w:val="nil"/>
          <w14:textOutline w14:w="0" w14:cap="flat" w14:cmpd="sng" w14:algn="ctr">
            <w14:noFill/>
            <w14:prstDash w14:val="solid"/>
            <w14:bevel/>
          </w14:textOutline>
        </w:rPr>
      </w:pPr>
      <w:r w:rsidRPr="00584FFB">
        <w:rPr>
          <w:rFonts w:eastAsia="Calibri" w:cs="Calibri"/>
          <w:color w:val="000000"/>
          <w:sz w:val="20"/>
          <w:szCs w:val="20"/>
          <w:u w:color="000000"/>
          <w:bdr w:val="nil"/>
          <w14:textOutline w14:w="0" w14:cap="flat" w14:cmpd="sng" w14:algn="ctr">
            <w14:noFill/>
            <w14:prstDash w14:val="solid"/>
            <w14:bevel/>
          </w14:textOutline>
        </w:rPr>
        <w:t xml:space="preserve">Nota. El % del total para cada aspecto, se calculó tomando el valor de N=526. </w:t>
      </w:r>
    </w:p>
    <w:p w14:paraId="5547F963" w14:textId="77777777" w:rsidR="00CF4C18" w:rsidRPr="00C45394" w:rsidRDefault="00CF4C18" w:rsidP="003E0397">
      <w:pPr>
        <w:pStyle w:val="Ttulosinternos"/>
        <w:rPr>
          <w:lang w:val="es-419"/>
        </w:rPr>
      </w:pPr>
    </w:p>
    <w:p w14:paraId="3806AE15" w14:textId="7FDC2258" w:rsidR="00A6452F" w:rsidRPr="00584FFB" w:rsidRDefault="00A6452F" w:rsidP="00115125">
      <w:pPr>
        <w:pStyle w:val="Prrafocomn"/>
        <w:rPr>
          <w:lang w:val="es-CR"/>
        </w:rPr>
      </w:pPr>
      <w:r w:rsidRPr="00584FFB">
        <w:rPr>
          <w:lang w:val="es-CR"/>
        </w:rPr>
        <w:t>Para una mejor comprensión del fenómeno del suicidio, se indagaron diversas temáticas</w:t>
      </w:r>
      <w:r w:rsidR="009A6AB7" w:rsidRPr="00584FFB">
        <w:rPr>
          <w:lang w:val="es-CR"/>
        </w:rPr>
        <w:t xml:space="preserve"> </w:t>
      </w:r>
      <w:r w:rsidR="00E601F9" w:rsidRPr="00584FFB">
        <w:rPr>
          <w:lang w:val="es-CR"/>
        </w:rPr>
        <w:t>donde</w:t>
      </w:r>
      <w:r w:rsidR="009A6AB7" w:rsidRPr="00584FFB">
        <w:rPr>
          <w:lang w:val="es-CR"/>
        </w:rPr>
        <w:t xml:space="preserve"> fue posible constatar las siguientes opiniones </w:t>
      </w:r>
      <w:r w:rsidR="009C1D6F" w:rsidRPr="00584FFB">
        <w:rPr>
          <w:lang w:val="es-CR"/>
        </w:rPr>
        <w:t>(Tabla 4):</w:t>
      </w:r>
    </w:p>
    <w:p w14:paraId="2149CD7A" w14:textId="3CBD59F1" w:rsidR="009C1D6F" w:rsidRPr="00584FFB" w:rsidRDefault="009C1D6F" w:rsidP="00115125">
      <w:pPr>
        <w:pStyle w:val="Prrafocomn"/>
        <w:numPr>
          <w:ilvl w:val="0"/>
          <w:numId w:val="16"/>
        </w:numPr>
        <w:rPr>
          <w:lang w:val="es-CR"/>
        </w:rPr>
      </w:pPr>
      <w:r w:rsidRPr="00584FFB">
        <w:rPr>
          <w:lang w:val="es-CR"/>
        </w:rPr>
        <w:t>La espiritualidad o creencia en Dios, influye en la decisión de quitarse la vida.</w:t>
      </w:r>
    </w:p>
    <w:p w14:paraId="588F15FF" w14:textId="361F9425" w:rsidR="00EC296B" w:rsidRPr="00584FFB" w:rsidRDefault="00EC296B" w:rsidP="00115125">
      <w:pPr>
        <w:pStyle w:val="Prrafocomn"/>
        <w:numPr>
          <w:ilvl w:val="0"/>
          <w:numId w:val="16"/>
        </w:numPr>
        <w:rPr>
          <w:lang w:val="es-CR"/>
        </w:rPr>
      </w:pPr>
      <w:r w:rsidRPr="00584FFB">
        <w:rPr>
          <w:lang w:val="es-CR"/>
        </w:rPr>
        <w:t>No es fácil buscar ayuda cuando se piensa en el suicidio.</w:t>
      </w:r>
      <w:r w:rsidR="00FB4E85" w:rsidRPr="00584FFB">
        <w:rPr>
          <w:lang w:val="es-CR"/>
        </w:rPr>
        <w:t xml:space="preserve"> Sin embargo, es posible evitar un caso de suicidio cuando </w:t>
      </w:r>
      <w:r w:rsidR="00AE7749" w:rsidRPr="00584FFB">
        <w:rPr>
          <w:lang w:val="es-CR"/>
        </w:rPr>
        <w:t>la persona pide ayuda.</w:t>
      </w:r>
    </w:p>
    <w:p w14:paraId="4CB261A4" w14:textId="7C38164A" w:rsidR="00AE7749" w:rsidRPr="00584FFB" w:rsidRDefault="00AE7749" w:rsidP="00115125">
      <w:pPr>
        <w:pStyle w:val="Prrafocomn"/>
        <w:numPr>
          <w:ilvl w:val="0"/>
          <w:numId w:val="16"/>
        </w:numPr>
        <w:rPr>
          <w:lang w:val="es-CR"/>
        </w:rPr>
      </w:pPr>
      <w:r w:rsidRPr="00584FFB">
        <w:rPr>
          <w:lang w:val="es-CR"/>
        </w:rPr>
        <w:lastRenderedPageBreak/>
        <w:t xml:space="preserve">Es probable que </w:t>
      </w:r>
      <w:r w:rsidR="00285F16" w:rsidRPr="00584FFB">
        <w:rPr>
          <w:lang w:val="es-CR"/>
        </w:rPr>
        <w:t>la</w:t>
      </w:r>
      <w:r w:rsidR="00037877" w:rsidRPr="00584FFB">
        <w:rPr>
          <w:lang w:val="es-CR"/>
        </w:rPr>
        <w:t>s</w:t>
      </w:r>
      <w:r w:rsidR="00285F16" w:rsidRPr="00584FFB">
        <w:rPr>
          <w:lang w:val="es-CR"/>
        </w:rPr>
        <w:t xml:space="preserve"> persona</w:t>
      </w:r>
      <w:r w:rsidR="00037877" w:rsidRPr="00584FFB">
        <w:rPr>
          <w:lang w:val="es-CR"/>
        </w:rPr>
        <w:t>s</w:t>
      </w:r>
      <w:r w:rsidR="00285F16" w:rsidRPr="00584FFB">
        <w:rPr>
          <w:lang w:val="es-CR"/>
        </w:rPr>
        <w:t xml:space="preserve"> que quiera</w:t>
      </w:r>
      <w:r w:rsidR="00037877" w:rsidRPr="00584FFB">
        <w:rPr>
          <w:lang w:val="es-CR"/>
        </w:rPr>
        <w:t>n</w:t>
      </w:r>
      <w:r w:rsidR="00285F16" w:rsidRPr="00584FFB">
        <w:rPr>
          <w:lang w:val="es-CR"/>
        </w:rPr>
        <w:t xml:space="preserve"> cometer suicidio, sí lo comunique</w:t>
      </w:r>
      <w:r w:rsidR="00037877" w:rsidRPr="00584FFB">
        <w:rPr>
          <w:lang w:val="es-CR"/>
        </w:rPr>
        <w:t>n</w:t>
      </w:r>
      <w:r w:rsidR="00285F16" w:rsidRPr="00584FFB">
        <w:rPr>
          <w:lang w:val="es-CR"/>
        </w:rPr>
        <w:t>.</w:t>
      </w:r>
    </w:p>
    <w:p w14:paraId="3B2E0330" w14:textId="05E3E4F2" w:rsidR="00285F16" w:rsidRPr="00584FFB" w:rsidRDefault="00037877" w:rsidP="00115125">
      <w:pPr>
        <w:pStyle w:val="Prrafocomn"/>
        <w:numPr>
          <w:ilvl w:val="0"/>
          <w:numId w:val="16"/>
        </w:numPr>
        <w:rPr>
          <w:lang w:val="es-CR"/>
        </w:rPr>
      </w:pPr>
      <w:r w:rsidRPr="00584FFB">
        <w:rPr>
          <w:lang w:val="es-CR"/>
        </w:rPr>
        <w:t xml:space="preserve">Es muy probable que las personas </w:t>
      </w:r>
      <w:r w:rsidR="007A597D" w:rsidRPr="00584FFB">
        <w:rPr>
          <w:lang w:val="es-CR"/>
        </w:rPr>
        <w:t xml:space="preserve">que desean cometer </w:t>
      </w:r>
      <w:r w:rsidR="00AD59BC" w:rsidRPr="00584FFB">
        <w:rPr>
          <w:lang w:val="es-CR"/>
        </w:rPr>
        <w:t>suicidio</w:t>
      </w:r>
      <w:r w:rsidR="007A597D" w:rsidRPr="00584FFB">
        <w:rPr>
          <w:lang w:val="es-CR"/>
        </w:rPr>
        <w:t xml:space="preserve"> sean conscientes de esto.</w:t>
      </w:r>
    </w:p>
    <w:p w14:paraId="6F7E0885" w14:textId="712DC07C" w:rsidR="007A597D" w:rsidRPr="00584FFB" w:rsidRDefault="007A597D" w:rsidP="00115125">
      <w:pPr>
        <w:pStyle w:val="Prrafocomn"/>
        <w:numPr>
          <w:ilvl w:val="0"/>
          <w:numId w:val="16"/>
        </w:numPr>
        <w:rPr>
          <w:lang w:val="es-CR"/>
        </w:rPr>
      </w:pPr>
      <w:r w:rsidRPr="00584FFB">
        <w:rPr>
          <w:lang w:val="es-CR"/>
        </w:rPr>
        <w:t xml:space="preserve">Los suicidios tanto pueden </w:t>
      </w:r>
      <w:r w:rsidR="00142537" w:rsidRPr="00584FFB">
        <w:rPr>
          <w:lang w:val="es-CR"/>
        </w:rPr>
        <w:t>suceder de forma repentina, como no repentina.</w:t>
      </w:r>
    </w:p>
    <w:p w14:paraId="06AD28C8" w14:textId="0F81A71C" w:rsidR="00142537" w:rsidRPr="00584FFB" w:rsidRDefault="00142537" w:rsidP="00115125">
      <w:pPr>
        <w:pStyle w:val="Prrafocomn"/>
        <w:numPr>
          <w:ilvl w:val="0"/>
          <w:numId w:val="16"/>
        </w:numPr>
        <w:rPr>
          <w:lang w:val="es-CR"/>
        </w:rPr>
      </w:pPr>
      <w:r w:rsidRPr="00584FFB">
        <w:rPr>
          <w:lang w:val="es-CR"/>
        </w:rPr>
        <w:t xml:space="preserve">Una persona tiene más posibilidades de cometer suicidio, si antes </w:t>
      </w:r>
      <w:r w:rsidR="00770347" w:rsidRPr="00584FFB">
        <w:rPr>
          <w:lang w:val="es-CR"/>
        </w:rPr>
        <w:t xml:space="preserve">ha atentado contra su vida </w:t>
      </w:r>
      <w:r w:rsidR="006B24E6">
        <w:rPr>
          <w:lang w:val="es-CR"/>
        </w:rPr>
        <w:t>y</w:t>
      </w:r>
      <w:r w:rsidR="00770347" w:rsidRPr="00584FFB">
        <w:rPr>
          <w:lang w:val="es-CR"/>
        </w:rPr>
        <w:t xml:space="preserve"> la probabilidad de que lo repita, es mayor. </w:t>
      </w:r>
    </w:p>
    <w:p w14:paraId="432DE690" w14:textId="06563E45" w:rsidR="00966ED7" w:rsidRPr="00584FFB" w:rsidRDefault="00966ED7" w:rsidP="00115125">
      <w:pPr>
        <w:pStyle w:val="Prrafocomn"/>
        <w:numPr>
          <w:ilvl w:val="0"/>
          <w:numId w:val="16"/>
        </w:numPr>
        <w:rPr>
          <w:lang w:val="es-CR"/>
        </w:rPr>
      </w:pPr>
      <w:r w:rsidRPr="00584FFB">
        <w:rPr>
          <w:lang w:val="es-CR"/>
        </w:rPr>
        <w:t xml:space="preserve">El intento suicida puede estar mediado por el consumo de una sustancia </w:t>
      </w:r>
      <w:r w:rsidR="00C104D8" w:rsidRPr="00584FFB">
        <w:rPr>
          <w:lang w:val="es-CR"/>
        </w:rPr>
        <w:t xml:space="preserve">lícita o ilícita. </w:t>
      </w:r>
    </w:p>
    <w:p w14:paraId="0FEC0232" w14:textId="2766C50A" w:rsidR="00770347" w:rsidRPr="00584FFB" w:rsidRDefault="007E0943" w:rsidP="00115125">
      <w:pPr>
        <w:pStyle w:val="Prrafocomn"/>
        <w:numPr>
          <w:ilvl w:val="0"/>
          <w:numId w:val="16"/>
        </w:numPr>
        <w:rPr>
          <w:lang w:val="es-CR"/>
        </w:rPr>
      </w:pPr>
      <w:r w:rsidRPr="00584FFB">
        <w:rPr>
          <w:lang w:val="es-CR"/>
        </w:rPr>
        <w:t xml:space="preserve">El componente familia, se establece como un factor </w:t>
      </w:r>
      <w:r w:rsidR="00D04B03" w:rsidRPr="00584FFB">
        <w:rPr>
          <w:lang w:val="es-CR"/>
        </w:rPr>
        <w:t>esencial para comprender</w:t>
      </w:r>
      <w:r w:rsidRPr="00584FFB">
        <w:rPr>
          <w:lang w:val="es-CR"/>
        </w:rPr>
        <w:t xml:space="preserve"> el suicidio</w:t>
      </w:r>
      <w:r w:rsidR="00ED7FAD" w:rsidRPr="00584FFB">
        <w:rPr>
          <w:lang w:val="es-CR"/>
        </w:rPr>
        <w:t>,</w:t>
      </w:r>
      <w:r w:rsidRPr="00584FFB">
        <w:rPr>
          <w:lang w:val="es-CR"/>
        </w:rPr>
        <w:t xml:space="preserve"> ya que </w:t>
      </w:r>
      <w:r w:rsidR="00381449" w:rsidRPr="00584FFB">
        <w:rPr>
          <w:lang w:val="es-CR"/>
        </w:rPr>
        <w:t>podría</w:t>
      </w:r>
      <w:r w:rsidRPr="00584FFB">
        <w:rPr>
          <w:lang w:val="es-CR"/>
        </w:rPr>
        <w:t xml:space="preserve"> </w:t>
      </w:r>
      <w:r w:rsidR="009F0841" w:rsidRPr="00584FFB">
        <w:rPr>
          <w:lang w:val="es-CR"/>
        </w:rPr>
        <w:t>evitar que el suicidio se consum</w:t>
      </w:r>
      <w:r w:rsidR="006B24E6">
        <w:rPr>
          <w:lang w:val="es-CR"/>
        </w:rPr>
        <w:t>e</w:t>
      </w:r>
      <w:r w:rsidR="00381449" w:rsidRPr="00584FFB">
        <w:rPr>
          <w:lang w:val="es-CR"/>
        </w:rPr>
        <w:t xml:space="preserve">. La familia </w:t>
      </w:r>
      <w:r w:rsidR="004B5481" w:rsidRPr="00584FFB">
        <w:rPr>
          <w:lang w:val="es-CR"/>
        </w:rPr>
        <w:t xml:space="preserve">puede percibir </w:t>
      </w:r>
      <w:r w:rsidR="00EE1A16" w:rsidRPr="00584FFB">
        <w:rPr>
          <w:lang w:val="es-CR"/>
        </w:rPr>
        <w:t>sentimientos de culpa ante</w:t>
      </w:r>
      <w:r w:rsidR="00D04B03" w:rsidRPr="00584FFB">
        <w:rPr>
          <w:lang w:val="es-CR"/>
        </w:rPr>
        <w:t xml:space="preserve"> el acto suicida de un familiar</w:t>
      </w:r>
      <w:r w:rsidR="00E13A35" w:rsidRPr="00584FFB">
        <w:rPr>
          <w:lang w:val="es-CR"/>
        </w:rPr>
        <w:t xml:space="preserve"> y</w:t>
      </w:r>
      <w:r w:rsidR="00EE1A16" w:rsidRPr="00584FFB">
        <w:rPr>
          <w:lang w:val="es-CR"/>
        </w:rPr>
        <w:t xml:space="preserve"> podría</w:t>
      </w:r>
      <w:r w:rsidR="00E13A35" w:rsidRPr="00584FFB">
        <w:rPr>
          <w:lang w:val="es-CR"/>
        </w:rPr>
        <w:t xml:space="preserve"> otorgarle un sentido de heredabilidad a los posibles futuros casos de suicidio, cuand</w:t>
      </w:r>
      <w:r w:rsidR="00FC4CE7" w:rsidRPr="00584FFB">
        <w:rPr>
          <w:lang w:val="es-CR"/>
        </w:rPr>
        <w:t xml:space="preserve">o se han identificado en una misma familia la ideación o el acto de suicidio. </w:t>
      </w:r>
    </w:p>
    <w:p w14:paraId="53D6323B" w14:textId="77777777" w:rsidR="003E0397" w:rsidRDefault="003E0397" w:rsidP="00741D9D">
      <w:pPr>
        <w:keepNext/>
        <w:pBdr>
          <w:top w:val="nil"/>
          <w:left w:val="nil"/>
          <w:bottom w:val="nil"/>
          <w:right w:val="nil"/>
          <w:between w:val="nil"/>
          <w:bar w:val="nil"/>
        </w:pBdr>
        <w:suppressAutoHyphens/>
        <w:spacing w:line="0" w:lineRule="atLeast"/>
        <w:rPr>
          <w:color w:val="00000A"/>
          <w:sz w:val="20"/>
          <w:szCs w:val="20"/>
          <w:u w:color="00000A"/>
          <w:bdr w:val="nil"/>
          <w14:textOutline w14:w="0" w14:cap="flat" w14:cmpd="sng" w14:algn="ctr">
            <w14:noFill/>
            <w14:prstDash w14:val="solid"/>
            <w14:bevel/>
          </w14:textOutline>
        </w:rPr>
      </w:pPr>
    </w:p>
    <w:p w14:paraId="65E029D2" w14:textId="1D07EB2F" w:rsidR="00741D9D" w:rsidRPr="00584FFB" w:rsidRDefault="00741D9D" w:rsidP="00741D9D">
      <w:pPr>
        <w:keepNext/>
        <w:pBdr>
          <w:top w:val="nil"/>
          <w:left w:val="nil"/>
          <w:bottom w:val="nil"/>
          <w:right w:val="nil"/>
          <w:between w:val="nil"/>
          <w:bar w:val="nil"/>
        </w:pBdr>
        <w:suppressAutoHyphens/>
        <w:spacing w:line="0" w:lineRule="atLeast"/>
        <w:rPr>
          <w:color w:val="00000A"/>
          <w:sz w:val="20"/>
          <w:szCs w:val="20"/>
          <w:u w:color="00000A"/>
          <w:bdr w:val="nil"/>
          <w14:textOutline w14:w="0" w14:cap="flat" w14:cmpd="sng" w14:algn="ctr">
            <w14:noFill/>
            <w14:prstDash w14:val="solid"/>
            <w14:bevel/>
          </w14:textOutline>
        </w:rPr>
      </w:pPr>
      <w:r w:rsidRPr="00584FFB">
        <w:rPr>
          <w:color w:val="00000A"/>
          <w:sz w:val="20"/>
          <w:szCs w:val="20"/>
          <w:u w:color="00000A"/>
          <w:bdr w:val="nil"/>
          <w14:textOutline w14:w="0" w14:cap="flat" w14:cmpd="sng" w14:algn="ctr">
            <w14:noFill/>
            <w14:prstDash w14:val="solid"/>
            <w14:bevel/>
          </w14:textOutline>
        </w:rPr>
        <w:t>Tabla 4</w:t>
      </w:r>
      <w:r w:rsidRPr="00584FFB">
        <w:rPr>
          <w:color w:val="00000A"/>
          <w:sz w:val="20"/>
          <w:szCs w:val="20"/>
          <w:u w:color="00000A"/>
          <w:bdr w:val="nil"/>
          <w14:textOutline w14:w="0" w14:cap="flat" w14:cmpd="sng" w14:algn="ctr">
            <w14:noFill/>
            <w14:prstDash w14:val="solid"/>
            <w14:bevel/>
          </w14:textOutline>
        </w:rPr>
        <w:br/>
      </w:r>
      <w:r w:rsidRPr="00584FFB">
        <w:rPr>
          <w:i/>
          <w:iCs/>
          <w:color w:val="00000A"/>
          <w:sz w:val="20"/>
          <w:szCs w:val="20"/>
          <w:u w:color="00000A"/>
          <w:bdr w:val="nil"/>
          <w14:textOutline w14:w="0" w14:cap="flat" w14:cmpd="sng" w14:algn="ctr">
            <w14:noFill/>
            <w14:prstDash w14:val="solid"/>
            <w14:bevel/>
          </w14:textOutline>
        </w:rPr>
        <w:t>Factores asociados al suicidio</w:t>
      </w:r>
    </w:p>
    <w:tbl>
      <w:tblPr>
        <w:tblW w:w="5000" w:type="pct"/>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7694"/>
        <w:gridCol w:w="450"/>
        <w:gridCol w:w="427"/>
        <w:gridCol w:w="833"/>
      </w:tblGrid>
      <w:tr w:rsidR="00790AB2" w:rsidRPr="00584FFB" w14:paraId="3A33D594" w14:textId="77777777" w:rsidTr="00BD5118">
        <w:trPr>
          <w:trHeight w:val="255"/>
          <w:tblHeader/>
        </w:trPr>
        <w:tc>
          <w:tcPr>
            <w:tcW w:w="4091" w:type="pct"/>
            <w:tcBorders>
              <w:bottom w:val="single" w:sz="4" w:space="0" w:color="auto"/>
            </w:tcBorders>
            <w:shd w:val="clear" w:color="auto" w:fill="auto"/>
            <w:noWrap/>
            <w:vAlign w:val="bottom"/>
            <w:hideMark/>
          </w:tcPr>
          <w:p w14:paraId="6C577DE6" w14:textId="77777777" w:rsidR="00AF7ADE" w:rsidRPr="00584FFB" w:rsidRDefault="00AF7ADE" w:rsidP="00AF7ADE">
            <w:pPr>
              <w:rPr>
                <w:color w:val="000000"/>
                <w:sz w:val="20"/>
                <w:szCs w:val="20"/>
                <w:lang w:eastAsia="es-419"/>
              </w:rPr>
            </w:pPr>
          </w:p>
        </w:tc>
        <w:tc>
          <w:tcPr>
            <w:tcW w:w="239" w:type="pct"/>
            <w:tcBorders>
              <w:bottom w:val="single" w:sz="4" w:space="0" w:color="auto"/>
            </w:tcBorders>
            <w:shd w:val="clear" w:color="auto" w:fill="auto"/>
            <w:noWrap/>
            <w:vAlign w:val="bottom"/>
            <w:hideMark/>
          </w:tcPr>
          <w:p w14:paraId="7385DF68" w14:textId="77777777" w:rsidR="00AF7ADE" w:rsidRPr="00584FFB" w:rsidRDefault="00AF7ADE" w:rsidP="00AF7ADE">
            <w:pPr>
              <w:jc w:val="center"/>
              <w:rPr>
                <w:color w:val="000000"/>
                <w:sz w:val="20"/>
                <w:szCs w:val="20"/>
                <w:lang w:eastAsia="es-419"/>
              </w:rPr>
            </w:pPr>
            <w:r w:rsidRPr="00584FFB">
              <w:rPr>
                <w:color w:val="000000"/>
                <w:sz w:val="20"/>
                <w:szCs w:val="20"/>
                <w:lang w:eastAsia="es-419"/>
              </w:rPr>
              <w:t>No</w:t>
            </w:r>
          </w:p>
        </w:tc>
        <w:tc>
          <w:tcPr>
            <w:tcW w:w="227" w:type="pct"/>
            <w:tcBorders>
              <w:bottom w:val="single" w:sz="4" w:space="0" w:color="auto"/>
            </w:tcBorders>
            <w:shd w:val="clear" w:color="auto" w:fill="auto"/>
            <w:noWrap/>
            <w:vAlign w:val="bottom"/>
            <w:hideMark/>
          </w:tcPr>
          <w:p w14:paraId="71D8868C" w14:textId="77777777" w:rsidR="00AF7ADE" w:rsidRPr="00584FFB" w:rsidRDefault="00AF7ADE" w:rsidP="00AF7ADE">
            <w:pPr>
              <w:jc w:val="center"/>
              <w:rPr>
                <w:color w:val="000000"/>
                <w:sz w:val="20"/>
                <w:szCs w:val="20"/>
                <w:lang w:eastAsia="es-419"/>
              </w:rPr>
            </w:pPr>
            <w:r w:rsidRPr="00584FFB">
              <w:rPr>
                <w:color w:val="000000"/>
                <w:sz w:val="20"/>
                <w:szCs w:val="20"/>
                <w:lang w:eastAsia="es-419"/>
              </w:rPr>
              <w:t>Sí</w:t>
            </w:r>
          </w:p>
        </w:tc>
        <w:tc>
          <w:tcPr>
            <w:tcW w:w="443" w:type="pct"/>
            <w:tcBorders>
              <w:bottom w:val="single" w:sz="4" w:space="0" w:color="auto"/>
            </w:tcBorders>
            <w:shd w:val="clear" w:color="auto" w:fill="auto"/>
            <w:noWrap/>
            <w:vAlign w:val="bottom"/>
            <w:hideMark/>
          </w:tcPr>
          <w:p w14:paraId="1AAEAD1C" w14:textId="77777777" w:rsidR="00AF7ADE" w:rsidRPr="00584FFB" w:rsidRDefault="00AF7ADE" w:rsidP="00AF7ADE">
            <w:pPr>
              <w:jc w:val="center"/>
              <w:rPr>
                <w:color w:val="000000"/>
                <w:sz w:val="20"/>
                <w:szCs w:val="20"/>
                <w:lang w:eastAsia="es-419"/>
              </w:rPr>
            </w:pPr>
            <w:r w:rsidRPr="00584FFB">
              <w:rPr>
                <w:color w:val="000000"/>
                <w:sz w:val="20"/>
                <w:szCs w:val="20"/>
                <w:lang w:eastAsia="es-419"/>
              </w:rPr>
              <w:t>Tal vez</w:t>
            </w:r>
          </w:p>
        </w:tc>
      </w:tr>
      <w:tr w:rsidR="003641D0" w:rsidRPr="00584FFB" w14:paraId="729BBFF1" w14:textId="77777777" w:rsidTr="003641D0">
        <w:trPr>
          <w:trHeight w:val="255"/>
        </w:trPr>
        <w:tc>
          <w:tcPr>
            <w:tcW w:w="4091" w:type="pct"/>
            <w:tcBorders>
              <w:bottom w:val="nil"/>
            </w:tcBorders>
            <w:shd w:val="clear" w:color="auto" w:fill="auto"/>
            <w:noWrap/>
            <w:vAlign w:val="bottom"/>
            <w:hideMark/>
          </w:tcPr>
          <w:p w14:paraId="71955066" w14:textId="363FE9DA" w:rsidR="00252FCB" w:rsidRPr="00584FFB" w:rsidRDefault="00252FCB" w:rsidP="00A119F0">
            <w:pPr>
              <w:pStyle w:val="Prrafodelista"/>
              <w:numPr>
                <w:ilvl w:val="0"/>
                <w:numId w:val="18"/>
              </w:numPr>
              <w:spacing w:after="0" w:line="240" w:lineRule="auto"/>
              <w:jc w:val="both"/>
              <w:rPr>
                <w:rFonts w:ascii="Times New Roman" w:hAnsi="Times New Roman" w:cs="Times New Roman"/>
                <w:sz w:val="20"/>
                <w:szCs w:val="20"/>
                <w:lang w:val="es-CR"/>
              </w:rPr>
            </w:pPr>
            <w:r w:rsidRPr="00584FFB">
              <w:rPr>
                <w:rFonts w:ascii="Times New Roman" w:hAnsi="Times New Roman" w:cs="Times New Roman"/>
                <w:sz w:val="20"/>
                <w:szCs w:val="20"/>
                <w:lang w:val="es-CR"/>
              </w:rPr>
              <w:t>¿Cree usted que la espiritualidad o la creencia en Dios, influye en la decisión de quitarse la vida?</w:t>
            </w:r>
          </w:p>
        </w:tc>
        <w:tc>
          <w:tcPr>
            <w:tcW w:w="239" w:type="pct"/>
            <w:tcBorders>
              <w:bottom w:val="nil"/>
            </w:tcBorders>
            <w:shd w:val="clear" w:color="auto" w:fill="DEEAF6" w:themeFill="accent5" w:themeFillTint="33"/>
            <w:noWrap/>
            <w:hideMark/>
          </w:tcPr>
          <w:p w14:paraId="083A5DC2" w14:textId="555AD09D" w:rsidR="00252FCB" w:rsidRPr="00584FFB" w:rsidRDefault="00252FCB" w:rsidP="00A119F0">
            <w:pPr>
              <w:jc w:val="center"/>
              <w:rPr>
                <w:color w:val="000000"/>
                <w:sz w:val="20"/>
                <w:szCs w:val="20"/>
                <w:lang w:eastAsia="es-419"/>
              </w:rPr>
            </w:pPr>
            <w:r w:rsidRPr="00584FFB">
              <w:rPr>
                <w:sz w:val="20"/>
                <w:szCs w:val="20"/>
              </w:rPr>
              <w:t>37</w:t>
            </w:r>
          </w:p>
        </w:tc>
        <w:tc>
          <w:tcPr>
            <w:tcW w:w="227" w:type="pct"/>
            <w:tcBorders>
              <w:bottom w:val="nil"/>
            </w:tcBorders>
            <w:shd w:val="clear" w:color="auto" w:fill="DEEAF6" w:themeFill="accent5" w:themeFillTint="33"/>
            <w:noWrap/>
            <w:hideMark/>
          </w:tcPr>
          <w:p w14:paraId="422B82F7" w14:textId="1F8ADBA4" w:rsidR="00252FCB" w:rsidRPr="00584FFB" w:rsidRDefault="00252FCB" w:rsidP="00A119F0">
            <w:pPr>
              <w:jc w:val="center"/>
              <w:rPr>
                <w:color w:val="000000"/>
                <w:sz w:val="20"/>
                <w:szCs w:val="20"/>
                <w:lang w:eastAsia="es-419"/>
              </w:rPr>
            </w:pPr>
            <w:r w:rsidRPr="00584FFB">
              <w:rPr>
                <w:sz w:val="20"/>
                <w:szCs w:val="20"/>
              </w:rPr>
              <w:t>33</w:t>
            </w:r>
          </w:p>
        </w:tc>
        <w:tc>
          <w:tcPr>
            <w:tcW w:w="443" w:type="pct"/>
            <w:tcBorders>
              <w:bottom w:val="nil"/>
            </w:tcBorders>
            <w:shd w:val="clear" w:color="auto" w:fill="DEEAF6" w:themeFill="accent5" w:themeFillTint="33"/>
            <w:noWrap/>
            <w:hideMark/>
          </w:tcPr>
          <w:p w14:paraId="1A4C0D02" w14:textId="2FFAA4AD" w:rsidR="00252FCB" w:rsidRPr="00584FFB" w:rsidRDefault="00252FCB" w:rsidP="00A119F0">
            <w:pPr>
              <w:jc w:val="center"/>
              <w:rPr>
                <w:color w:val="000000"/>
                <w:sz w:val="20"/>
                <w:szCs w:val="20"/>
                <w:lang w:eastAsia="es-419"/>
              </w:rPr>
            </w:pPr>
            <w:r w:rsidRPr="00584FFB">
              <w:rPr>
                <w:sz w:val="20"/>
                <w:szCs w:val="20"/>
              </w:rPr>
              <w:t>30</w:t>
            </w:r>
          </w:p>
        </w:tc>
      </w:tr>
      <w:tr w:rsidR="003641D0" w:rsidRPr="00584FFB" w14:paraId="5CD41FCC" w14:textId="77777777" w:rsidTr="003641D0">
        <w:trPr>
          <w:trHeight w:val="255"/>
        </w:trPr>
        <w:tc>
          <w:tcPr>
            <w:tcW w:w="4091" w:type="pct"/>
            <w:tcBorders>
              <w:top w:val="nil"/>
              <w:bottom w:val="nil"/>
            </w:tcBorders>
            <w:shd w:val="clear" w:color="auto" w:fill="auto"/>
            <w:noWrap/>
            <w:vAlign w:val="bottom"/>
            <w:hideMark/>
          </w:tcPr>
          <w:p w14:paraId="5C1F85EC" w14:textId="77777777" w:rsidR="00252FCB" w:rsidRPr="00584FFB" w:rsidRDefault="00252FCB" w:rsidP="00A119F0">
            <w:pPr>
              <w:pStyle w:val="Prrafodelista"/>
              <w:numPr>
                <w:ilvl w:val="0"/>
                <w:numId w:val="18"/>
              </w:numPr>
              <w:spacing w:after="0" w:line="240" w:lineRule="auto"/>
              <w:jc w:val="both"/>
              <w:rPr>
                <w:rFonts w:ascii="Times New Roman" w:hAnsi="Times New Roman" w:cs="Times New Roman"/>
                <w:sz w:val="20"/>
                <w:szCs w:val="20"/>
                <w:lang w:val="es-CR"/>
              </w:rPr>
            </w:pPr>
            <w:r w:rsidRPr="00584FFB">
              <w:rPr>
                <w:rFonts w:ascii="Times New Roman" w:hAnsi="Times New Roman" w:cs="Times New Roman"/>
                <w:sz w:val="20"/>
                <w:szCs w:val="20"/>
                <w:lang w:val="es-CR"/>
              </w:rPr>
              <w:t>¿Considera que para una persona que piensa cometer suicidio es fácil buscar ayuda?</w:t>
            </w:r>
          </w:p>
        </w:tc>
        <w:tc>
          <w:tcPr>
            <w:tcW w:w="239" w:type="pct"/>
            <w:tcBorders>
              <w:top w:val="nil"/>
              <w:bottom w:val="nil"/>
            </w:tcBorders>
            <w:shd w:val="clear" w:color="auto" w:fill="DEEAF6" w:themeFill="accent5" w:themeFillTint="33"/>
            <w:noWrap/>
            <w:hideMark/>
          </w:tcPr>
          <w:p w14:paraId="406194DD" w14:textId="4C99C272" w:rsidR="00252FCB" w:rsidRPr="00584FFB" w:rsidRDefault="00252FCB" w:rsidP="00A119F0">
            <w:pPr>
              <w:jc w:val="center"/>
              <w:rPr>
                <w:color w:val="000000"/>
                <w:sz w:val="20"/>
                <w:szCs w:val="20"/>
                <w:lang w:eastAsia="es-419"/>
              </w:rPr>
            </w:pPr>
            <w:r w:rsidRPr="00584FFB">
              <w:rPr>
                <w:sz w:val="20"/>
                <w:szCs w:val="20"/>
              </w:rPr>
              <w:t>89</w:t>
            </w:r>
          </w:p>
        </w:tc>
        <w:tc>
          <w:tcPr>
            <w:tcW w:w="227" w:type="pct"/>
            <w:tcBorders>
              <w:top w:val="nil"/>
              <w:bottom w:val="nil"/>
            </w:tcBorders>
            <w:shd w:val="clear" w:color="auto" w:fill="auto"/>
            <w:noWrap/>
            <w:hideMark/>
          </w:tcPr>
          <w:p w14:paraId="7A98ABDD" w14:textId="4D8352DD" w:rsidR="00252FCB" w:rsidRPr="00584FFB" w:rsidRDefault="00252FCB" w:rsidP="00A119F0">
            <w:pPr>
              <w:jc w:val="center"/>
              <w:rPr>
                <w:color w:val="000000"/>
                <w:sz w:val="20"/>
                <w:szCs w:val="20"/>
                <w:lang w:eastAsia="es-419"/>
              </w:rPr>
            </w:pPr>
            <w:r w:rsidRPr="00584FFB">
              <w:rPr>
                <w:sz w:val="20"/>
                <w:szCs w:val="20"/>
              </w:rPr>
              <w:t>5</w:t>
            </w:r>
          </w:p>
        </w:tc>
        <w:tc>
          <w:tcPr>
            <w:tcW w:w="443" w:type="pct"/>
            <w:tcBorders>
              <w:top w:val="nil"/>
              <w:bottom w:val="nil"/>
            </w:tcBorders>
            <w:shd w:val="clear" w:color="auto" w:fill="auto"/>
            <w:noWrap/>
            <w:hideMark/>
          </w:tcPr>
          <w:p w14:paraId="4E06255C" w14:textId="4A1D841A" w:rsidR="00252FCB" w:rsidRPr="00584FFB" w:rsidRDefault="00252FCB" w:rsidP="00A119F0">
            <w:pPr>
              <w:jc w:val="center"/>
              <w:rPr>
                <w:color w:val="000000"/>
                <w:sz w:val="20"/>
                <w:szCs w:val="20"/>
                <w:lang w:eastAsia="es-419"/>
              </w:rPr>
            </w:pPr>
            <w:r w:rsidRPr="00584FFB">
              <w:rPr>
                <w:sz w:val="20"/>
                <w:szCs w:val="20"/>
              </w:rPr>
              <w:t>6</w:t>
            </w:r>
          </w:p>
        </w:tc>
      </w:tr>
      <w:tr w:rsidR="003641D0" w:rsidRPr="00584FFB" w14:paraId="62A22A9F" w14:textId="77777777" w:rsidTr="003641D0">
        <w:trPr>
          <w:trHeight w:val="255"/>
        </w:trPr>
        <w:tc>
          <w:tcPr>
            <w:tcW w:w="4091" w:type="pct"/>
            <w:tcBorders>
              <w:top w:val="nil"/>
              <w:bottom w:val="nil"/>
            </w:tcBorders>
            <w:shd w:val="clear" w:color="auto" w:fill="auto"/>
            <w:noWrap/>
            <w:vAlign w:val="bottom"/>
            <w:hideMark/>
          </w:tcPr>
          <w:p w14:paraId="50D4CC18" w14:textId="77777777" w:rsidR="00252FCB" w:rsidRPr="00584FFB" w:rsidRDefault="00252FCB" w:rsidP="00A119F0">
            <w:pPr>
              <w:pStyle w:val="Prrafodelista"/>
              <w:numPr>
                <w:ilvl w:val="0"/>
                <w:numId w:val="18"/>
              </w:numPr>
              <w:spacing w:after="0" w:line="240" w:lineRule="auto"/>
              <w:jc w:val="both"/>
              <w:rPr>
                <w:rFonts w:ascii="Times New Roman" w:hAnsi="Times New Roman" w:cs="Times New Roman"/>
                <w:sz w:val="20"/>
                <w:szCs w:val="20"/>
                <w:lang w:val="es-CR"/>
              </w:rPr>
            </w:pPr>
            <w:r w:rsidRPr="00584FFB">
              <w:rPr>
                <w:rFonts w:ascii="Times New Roman" w:hAnsi="Times New Roman" w:cs="Times New Roman"/>
                <w:sz w:val="20"/>
                <w:szCs w:val="20"/>
                <w:lang w:val="es-CR"/>
              </w:rPr>
              <w:t>¿Cree usted que pedir ayuda podría evitar que una persona se suicide?</w:t>
            </w:r>
          </w:p>
        </w:tc>
        <w:tc>
          <w:tcPr>
            <w:tcW w:w="239" w:type="pct"/>
            <w:tcBorders>
              <w:top w:val="nil"/>
              <w:bottom w:val="nil"/>
            </w:tcBorders>
            <w:shd w:val="clear" w:color="auto" w:fill="auto"/>
            <w:noWrap/>
            <w:hideMark/>
          </w:tcPr>
          <w:p w14:paraId="0EA69FA5" w14:textId="61FD0226" w:rsidR="00252FCB" w:rsidRPr="00584FFB" w:rsidRDefault="00252FCB" w:rsidP="00A119F0">
            <w:pPr>
              <w:jc w:val="center"/>
              <w:rPr>
                <w:color w:val="000000"/>
                <w:sz w:val="20"/>
                <w:szCs w:val="20"/>
                <w:lang w:eastAsia="es-419"/>
              </w:rPr>
            </w:pPr>
            <w:r w:rsidRPr="00584FFB">
              <w:rPr>
                <w:sz w:val="20"/>
                <w:szCs w:val="20"/>
              </w:rPr>
              <w:t>3</w:t>
            </w:r>
          </w:p>
        </w:tc>
        <w:tc>
          <w:tcPr>
            <w:tcW w:w="227" w:type="pct"/>
            <w:tcBorders>
              <w:top w:val="nil"/>
              <w:bottom w:val="nil"/>
            </w:tcBorders>
            <w:shd w:val="clear" w:color="auto" w:fill="DEEAF6" w:themeFill="accent5" w:themeFillTint="33"/>
            <w:noWrap/>
            <w:hideMark/>
          </w:tcPr>
          <w:p w14:paraId="29473823" w14:textId="6DC94CE4" w:rsidR="00252FCB" w:rsidRPr="00584FFB" w:rsidRDefault="00252FCB" w:rsidP="00A119F0">
            <w:pPr>
              <w:jc w:val="center"/>
              <w:rPr>
                <w:color w:val="000000"/>
                <w:sz w:val="20"/>
                <w:szCs w:val="20"/>
                <w:lang w:eastAsia="es-419"/>
              </w:rPr>
            </w:pPr>
            <w:r w:rsidRPr="00584FFB">
              <w:rPr>
                <w:sz w:val="20"/>
                <w:szCs w:val="20"/>
              </w:rPr>
              <w:t>76</w:t>
            </w:r>
          </w:p>
        </w:tc>
        <w:tc>
          <w:tcPr>
            <w:tcW w:w="443" w:type="pct"/>
            <w:tcBorders>
              <w:top w:val="nil"/>
              <w:bottom w:val="nil"/>
            </w:tcBorders>
            <w:shd w:val="clear" w:color="auto" w:fill="DEEAF6" w:themeFill="accent5" w:themeFillTint="33"/>
            <w:noWrap/>
            <w:hideMark/>
          </w:tcPr>
          <w:p w14:paraId="2C415D39" w14:textId="7BFE1ACA" w:rsidR="00252FCB" w:rsidRPr="00584FFB" w:rsidRDefault="00252FCB" w:rsidP="00A119F0">
            <w:pPr>
              <w:jc w:val="center"/>
              <w:rPr>
                <w:color w:val="000000"/>
                <w:sz w:val="20"/>
                <w:szCs w:val="20"/>
                <w:lang w:eastAsia="es-419"/>
              </w:rPr>
            </w:pPr>
            <w:r w:rsidRPr="00584FFB">
              <w:rPr>
                <w:sz w:val="20"/>
                <w:szCs w:val="20"/>
              </w:rPr>
              <w:t>21</w:t>
            </w:r>
          </w:p>
        </w:tc>
      </w:tr>
      <w:tr w:rsidR="003641D0" w:rsidRPr="00584FFB" w14:paraId="43F9368F" w14:textId="77777777" w:rsidTr="003641D0">
        <w:trPr>
          <w:trHeight w:val="255"/>
        </w:trPr>
        <w:tc>
          <w:tcPr>
            <w:tcW w:w="4091" w:type="pct"/>
            <w:tcBorders>
              <w:top w:val="nil"/>
              <w:bottom w:val="nil"/>
            </w:tcBorders>
            <w:shd w:val="clear" w:color="auto" w:fill="auto"/>
            <w:noWrap/>
            <w:vAlign w:val="bottom"/>
            <w:hideMark/>
          </w:tcPr>
          <w:p w14:paraId="024A0A94" w14:textId="77777777" w:rsidR="00252FCB" w:rsidRPr="00584FFB" w:rsidRDefault="00252FCB" w:rsidP="00A119F0">
            <w:pPr>
              <w:pStyle w:val="Prrafodelista"/>
              <w:numPr>
                <w:ilvl w:val="0"/>
                <w:numId w:val="18"/>
              </w:numPr>
              <w:spacing w:after="0" w:line="240" w:lineRule="auto"/>
              <w:jc w:val="both"/>
              <w:rPr>
                <w:rFonts w:ascii="Times New Roman" w:hAnsi="Times New Roman" w:cs="Times New Roman"/>
                <w:sz w:val="20"/>
                <w:szCs w:val="20"/>
                <w:lang w:val="es-CR"/>
              </w:rPr>
            </w:pPr>
            <w:r w:rsidRPr="00584FFB">
              <w:rPr>
                <w:rFonts w:ascii="Times New Roman" w:hAnsi="Times New Roman" w:cs="Times New Roman"/>
                <w:sz w:val="20"/>
                <w:szCs w:val="20"/>
                <w:lang w:val="es-CR"/>
              </w:rPr>
              <w:t>¿Cree usted que la persona que se quiere suicidar no lo dice?</w:t>
            </w:r>
          </w:p>
        </w:tc>
        <w:tc>
          <w:tcPr>
            <w:tcW w:w="239" w:type="pct"/>
            <w:tcBorders>
              <w:top w:val="nil"/>
              <w:bottom w:val="nil"/>
            </w:tcBorders>
            <w:shd w:val="clear" w:color="auto" w:fill="DEEAF6" w:themeFill="accent5" w:themeFillTint="33"/>
            <w:noWrap/>
            <w:hideMark/>
          </w:tcPr>
          <w:p w14:paraId="6D848A0F" w14:textId="4082DF2B" w:rsidR="00252FCB" w:rsidRPr="00584FFB" w:rsidRDefault="00252FCB" w:rsidP="00A119F0">
            <w:pPr>
              <w:jc w:val="center"/>
              <w:rPr>
                <w:color w:val="000000"/>
                <w:sz w:val="20"/>
                <w:szCs w:val="20"/>
                <w:lang w:eastAsia="es-419"/>
              </w:rPr>
            </w:pPr>
            <w:r w:rsidRPr="00584FFB">
              <w:rPr>
                <w:sz w:val="20"/>
                <w:szCs w:val="20"/>
              </w:rPr>
              <w:t>25</w:t>
            </w:r>
          </w:p>
        </w:tc>
        <w:tc>
          <w:tcPr>
            <w:tcW w:w="227" w:type="pct"/>
            <w:tcBorders>
              <w:top w:val="nil"/>
              <w:bottom w:val="nil"/>
            </w:tcBorders>
            <w:shd w:val="clear" w:color="auto" w:fill="DEEAF6" w:themeFill="accent5" w:themeFillTint="33"/>
            <w:noWrap/>
            <w:hideMark/>
          </w:tcPr>
          <w:p w14:paraId="10B1476F" w14:textId="72429215" w:rsidR="00252FCB" w:rsidRPr="00584FFB" w:rsidRDefault="00252FCB" w:rsidP="00A119F0">
            <w:pPr>
              <w:jc w:val="center"/>
              <w:rPr>
                <w:color w:val="000000"/>
                <w:sz w:val="20"/>
                <w:szCs w:val="20"/>
                <w:lang w:eastAsia="es-419"/>
              </w:rPr>
            </w:pPr>
            <w:r w:rsidRPr="00584FFB">
              <w:rPr>
                <w:sz w:val="20"/>
                <w:szCs w:val="20"/>
              </w:rPr>
              <w:t>38</w:t>
            </w:r>
          </w:p>
        </w:tc>
        <w:tc>
          <w:tcPr>
            <w:tcW w:w="443" w:type="pct"/>
            <w:tcBorders>
              <w:top w:val="nil"/>
              <w:bottom w:val="nil"/>
            </w:tcBorders>
            <w:shd w:val="clear" w:color="auto" w:fill="DEEAF6" w:themeFill="accent5" w:themeFillTint="33"/>
            <w:noWrap/>
            <w:hideMark/>
          </w:tcPr>
          <w:p w14:paraId="7C0E199A" w14:textId="1ED918AA" w:rsidR="00252FCB" w:rsidRPr="00584FFB" w:rsidRDefault="00252FCB" w:rsidP="00A119F0">
            <w:pPr>
              <w:jc w:val="center"/>
              <w:rPr>
                <w:color w:val="000000"/>
                <w:sz w:val="20"/>
                <w:szCs w:val="20"/>
                <w:lang w:eastAsia="es-419"/>
              </w:rPr>
            </w:pPr>
            <w:r w:rsidRPr="00584FFB">
              <w:rPr>
                <w:sz w:val="20"/>
                <w:szCs w:val="20"/>
              </w:rPr>
              <w:t>37</w:t>
            </w:r>
          </w:p>
        </w:tc>
      </w:tr>
      <w:tr w:rsidR="003641D0" w:rsidRPr="00584FFB" w14:paraId="0FD56C2E" w14:textId="77777777" w:rsidTr="003641D0">
        <w:trPr>
          <w:trHeight w:val="255"/>
        </w:trPr>
        <w:tc>
          <w:tcPr>
            <w:tcW w:w="4091" w:type="pct"/>
            <w:tcBorders>
              <w:top w:val="nil"/>
              <w:bottom w:val="nil"/>
            </w:tcBorders>
            <w:shd w:val="clear" w:color="auto" w:fill="auto"/>
            <w:noWrap/>
            <w:vAlign w:val="bottom"/>
            <w:hideMark/>
          </w:tcPr>
          <w:p w14:paraId="4AAEF17A" w14:textId="422A13AB" w:rsidR="00252FCB" w:rsidRPr="00584FFB" w:rsidRDefault="00252FCB" w:rsidP="00A119F0">
            <w:pPr>
              <w:pStyle w:val="Prrafodelista"/>
              <w:numPr>
                <w:ilvl w:val="0"/>
                <w:numId w:val="18"/>
              </w:numPr>
              <w:spacing w:after="0" w:line="240" w:lineRule="auto"/>
              <w:jc w:val="both"/>
              <w:rPr>
                <w:rFonts w:ascii="Times New Roman" w:hAnsi="Times New Roman" w:cs="Times New Roman"/>
                <w:sz w:val="20"/>
                <w:szCs w:val="20"/>
                <w:lang w:val="es-CR"/>
              </w:rPr>
            </w:pPr>
            <w:r w:rsidRPr="00584FFB">
              <w:rPr>
                <w:rFonts w:ascii="Times New Roman" w:hAnsi="Times New Roman" w:cs="Times New Roman"/>
                <w:sz w:val="20"/>
                <w:szCs w:val="20"/>
                <w:lang w:val="es-CR"/>
              </w:rPr>
              <w:t>¿Piensa que las personas que cometen suicidio son conscientes de lo que hacen?</w:t>
            </w:r>
          </w:p>
        </w:tc>
        <w:tc>
          <w:tcPr>
            <w:tcW w:w="239" w:type="pct"/>
            <w:tcBorders>
              <w:top w:val="nil"/>
              <w:bottom w:val="nil"/>
            </w:tcBorders>
            <w:shd w:val="clear" w:color="auto" w:fill="auto"/>
            <w:noWrap/>
            <w:hideMark/>
          </w:tcPr>
          <w:p w14:paraId="3472B3E1" w14:textId="0B4F2F25" w:rsidR="00252FCB" w:rsidRPr="00584FFB" w:rsidRDefault="00252FCB" w:rsidP="00A119F0">
            <w:pPr>
              <w:jc w:val="center"/>
              <w:rPr>
                <w:color w:val="000000"/>
                <w:sz w:val="20"/>
                <w:szCs w:val="20"/>
                <w:lang w:eastAsia="es-419"/>
              </w:rPr>
            </w:pPr>
            <w:r w:rsidRPr="00584FFB">
              <w:rPr>
                <w:sz w:val="20"/>
                <w:szCs w:val="20"/>
              </w:rPr>
              <w:t>19</w:t>
            </w:r>
          </w:p>
        </w:tc>
        <w:tc>
          <w:tcPr>
            <w:tcW w:w="227" w:type="pct"/>
            <w:tcBorders>
              <w:top w:val="nil"/>
              <w:bottom w:val="nil"/>
            </w:tcBorders>
            <w:shd w:val="clear" w:color="auto" w:fill="DEEAF6" w:themeFill="accent5" w:themeFillTint="33"/>
            <w:noWrap/>
            <w:hideMark/>
          </w:tcPr>
          <w:p w14:paraId="2F6BA16C" w14:textId="0B8D90F2" w:rsidR="00252FCB" w:rsidRPr="00584FFB" w:rsidRDefault="00252FCB" w:rsidP="00A119F0">
            <w:pPr>
              <w:jc w:val="center"/>
              <w:rPr>
                <w:color w:val="000000"/>
                <w:sz w:val="20"/>
                <w:szCs w:val="20"/>
                <w:lang w:eastAsia="es-419"/>
              </w:rPr>
            </w:pPr>
            <w:r w:rsidRPr="00584FFB">
              <w:rPr>
                <w:sz w:val="20"/>
                <w:szCs w:val="20"/>
              </w:rPr>
              <w:t>50</w:t>
            </w:r>
          </w:p>
        </w:tc>
        <w:tc>
          <w:tcPr>
            <w:tcW w:w="443" w:type="pct"/>
            <w:tcBorders>
              <w:top w:val="nil"/>
              <w:bottom w:val="nil"/>
            </w:tcBorders>
            <w:shd w:val="clear" w:color="auto" w:fill="DEEAF6" w:themeFill="accent5" w:themeFillTint="33"/>
            <w:noWrap/>
            <w:hideMark/>
          </w:tcPr>
          <w:p w14:paraId="4F1C682D" w14:textId="47F402C1" w:rsidR="00252FCB" w:rsidRPr="00584FFB" w:rsidRDefault="00252FCB" w:rsidP="00A119F0">
            <w:pPr>
              <w:jc w:val="center"/>
              <w:rPr>
                <w:color w:val="000000"/>
                <w:sz w:val="20"/>
                <w:szCs w:val="20"/>
                <w:lang w:eastAsia="es-419"/>
              </w:rPr>
            </w:pPr>
            <w:r w:rsidRPr="00584FFB">
              <w:rPr>
                <w:sz w:val="20"/>
                <w:szCs w:val="20"/>
              </w:rPr>
              <w:t>31</w:t>
            </w:r>
          </w:p>
        </w:tc>
      </w:tr>
      <w:tr w:rsidR="003641D0" w:rsidRPr="00584FFB" w14:paraId="0913128D" w14:textId="77777777" w:rsidTr="0065139C">
        <w:trPr>
          <w:trHeight w:val="255"/>
        </w:trPr>
        <w:tc>
          <w:tcPr>
            <w:tcW w:w="4091" w:type="pct"/>
            <w:tcBorders>
              <w:top w:val="nil"/>
              <w:bottom w:val="nil"/>
            </w:tcBorders>
            <w:shd w:val="clear" w:color="auto" w:fill="auto"/>
            <w:noWrap/>
            <w:vAlign w:val="bottom"/>
            <w:hideMark/>
          </w:tcPr>
          <w:p w14:paraId="09A3CE6C" w14:textId="77777777" w:rsidR="00252FCB" w:rsidRPr="00584FFB" w:rsidRDefault="00252FCB" w:rsidP="00A119F0">
            <w:pPr>
              <w:pStyle w:val="Prrafodelista"/>
              <w:numPr>
                <w:ilvl w:val="0"/>
                <w:numId w:val="18"/>
              </w:numPr>
              <w:spacing w:after="0" w:line="240" w:lineRule="auto"/>
              <w:jc w:val="both"/>
              <w:rPr>
                <w:rFonts w:ascii="Times New Roman" w:hAnsi="Times New Roman" w:cs="Times New Roman"/>
                <w:sz w:val="20"/>
                <w:szCs w:val="20"/>
                <w:lang w:val="es-CR"/>
              </w:rPr>
            </w:pPr>
            <w:r w:rsidRPr="00584FFB">
              <w:rPr>
                <w:rFonts w:ascii="Times New Roman" w:hAnsi="Times New Roman" w:cs="Times New Roman"/>
                <w:sz w:val="20"/>
                <w:szCs w:val="20"/>
                <w:lang w:val="es-CR"/>
              </w:rPr>
              <w:t>¿Los suicidios suceden repentinamente, sin advertencia previa?</w:t>
            </w:r>
          </w:p>
        </w:tc>
        <w:tc>
          <w:tcPr>
            <w:tcW w:w="239" w:type="pct"/>
            <w:tcBorders>
              <w:top w:val="nil"/>
              <w:bottom w:val="nil"/>
            </w:tcBorders>
            <w:shd w:val="clear" w:color="auto" w:fill="DEEAF6" w:themeFill="accent5" w:themeFillTint="33"/>
            <w:noWrap/>
            <w:hideMark/>
          </w:tcPr>
          <w:p w14:paraId="6C32B111" w14:textId="519CA36E" w:rsidR="00252FCB" w:rsidRPr="00584FFB" w:rsidRDefault="00252FCB" w:rsidP="00A119F0">
            <w:pPr>
              <w:jc w:val="center"/>
              <w:rPr>
                <w:color w:val="000000"/>
                <w:sz w:val="20"/>
                <w:szCs w:val="20"/>
                <w:lang w:eastAsia="es-419"/>
              </w:rPr>
            </w:pPr>
            <w:r w:rsidRPr="00584FFB">
              <w:rPr>
                <w:sz w:val="20"/>
                <w:szCs w:val="20"/>
              </w:rPr>
              <w:t>53</w:t>
            </w:r>
          </w:p>
        </w:tc>
        <w:tc>
          <w:tcPr>
            <w:tcW w:w="227" w:type="pct"/>
            <w:tcBorders>
              <w:top w:val="nil"/>
              <w:bottom w:val="nil"/>
            </w:tcBorders>
            <w:shd w:val="clear" w:color="auto" w:fill="DEEAF6" w:themeFill="accent5" w:themeFillTint="33"/>
            <w:noWrap/>
            <w:hideMark/>
          </w:tcPr>
          <w:p w14:paraId="6FBFBCFA" w14:textId="23DE707E" w:rsidR="00252FCB" w:rsidRPr="00584FFB" w:rsidRDefault="00252FCB" w:rsidP="00A119F0">
            <w:pPr>
              <w:jc w:val="center"/>
              <w:rPr>
                <w:color w:val="000000"/>
                <w:sz w:val="20"/>
                <w:szCs w:val="20"/>
                <w:lang w:eastAsia="es-419"/>
              </w:rPr>
            </w:pPr>
            <w:r w:rsidRPr="00584FFB">
              <w:rPr>
                <w:sz w:val="20"/>
                <w:szCs w:val="20"/>
              </w:rPr>
              <w:t>22</w:t>
            </w:r>
          </w:p>
        </w:tc>
        <w:tc>
          <w:tcPr>
            <w:tcW w:w="443" w:type="pct"/>
            <w:tcBorders>
              <w:top w:val="nil"/>
              <w:bottom w:val="nil"/>
            </w:tcBorders>
            <w:shd w:val="clear" w:color="auto" w:fill="DEEAF6" w:themeFill="accent5" w:themeFillTint="33"/>
            <w:noWrap/>
            <w:hideMark/>
          </w:tcPr>
          <w:p w14:paraId="29C1C0ED" w14:textId="1B5C1EE3" w:rsidR="00252FCB" w:rsidRPr="00584FFB" w:rsidRDefault="00252FCB" w:rsidP="00A119F0">
            <w:pPr>
              <w:jc w:val="center"/>
              <w:rPr>
                <w:color w:val="000000"/>
                <w:sz w:val="20"/>
                <w:szCs w:val="20"/>
                <w:lang w:eastAsia="es-419"/>
              </w:rPr>
            </w:pPr>
            <w:r w:rsidRPr="00584FFB">
              <w:rPr>
                <w:sz w:val="20"/>
                <w:szCs w:val="20"/>
              </w:rPr>
              <w:t>24</w:t>
            </w:r>
          </w:p>
        </w:tc>
      </w:tr>
      <w:tr w:rsidR="003641D0" w:rsidRPr="00584FFB" w14:paraId="1A73326A" w14:textId="77777777" w:rsidTr="0065139C">
        <w:trPr>
          <w:trHeight w:val="255"/>
        </w:trPr>
        <w:tc>
          <w:tcPr>
            <w:tcW w:w="4091" w:type="pct"/>
            <w:tcBorders>
              <w:top w:val="nil"/>
              <w:bottom w:val="nil"/>
            </w:tcBorders>
            <w:shd w:val="clear" w:color="auto" w:fill="auto"/>
            <w:noWrap/>
            <w:vAlign w:val="bottom"/>
            <w:hideMark/>
          </w:tcPr>
          <w:p w14:paraId="3BBB6584" w14:textId="77777777" w:rsidR="00252FCB" w:rsidRPr="00584FFB" w:rsidRDefault="00252FCB" w:rsidP="00A119F0">
            <w:pPr>
              <w:pStyle w:val="Prrafodelista"/>
              <w:numPr>
                <w:ilvl w:val="0"/>
                <w:numId w:val="18"/>
              </w:numPr>
              <w:spacing w:after="0" w:line="240" w:lineRule="auto"/>
              <w:jc w:val="both"/>
              <w:rPr>
                <w:rFonts w:ascii="Times New Roman" w:hAnsi="Times New Roman" w:cs="Times New Roman"/>
                <w:sz w:val="20"/>
                <w:szCs w:val="20"/>
                <w:lang w:val="es-CR"/>
              </w:rPr>
            </w:pPr>
            <w:r w:rsidRPr="00584FFB">
              <w:rPr>
                <w:rFonts w:ascii="Times New Roman" w:hAnsi="Times New Roman" w:cs="Times New Roman"/>
                <w:sz w:val="20"/>
                <w:szCs w:val="20"/>
                <w:lang w:val="es-CR"/>
              </w:rPr>
              <w:t>¿Si una persona ha atentado antes contra su vida, ¿es posible que lo vuelva a hacer?</w:t>
            </w:r>
          </w:p>
        </w:tc>
        <w:tc>
          <w:tcPr>
            <w:tcW w:w="239" w:type="pct"/>
            <w:tcBorders>
              <w:top w:val="nil"/>
              <w:bottom w:val="nil"/>
            </w:tcBorders>
            <w:shd w:val="clear" w:color="auto" w:fill="auto"/>
            <w:noWrap/>
            <w:hideMark/>
          </w:tcPr>
          <w:p w14:paraId="1F325EEF" w14:textId="4BDC707E" w:rsidR="00252FCB" w:rsidRPr="00584FFB" w:rsidRDefault="00252FCB" w:rsidP="00A119F0">
            <w:pPr>
              <w:jc w:val="center"/>
              <w:rPr>
                <w:color w:val="000000"/>
                <w:sz w:val="20"/>
                <w:szCs w:val="20"/>
                <w:lang w:eastAsia="es-419"/>
              </w:rPr>
            </w:pPr>
            <w:r w:rsidRPr="00584FFB">
              <w:rPr>
                <w:sz w:val="20"/>
                <w:szCs w:val="20"/>
              </w:rPr>
              <w:t>2</w:t>
            </w:r>
          </w:p>
        </w:tc>
        <w:tc>
          <w:tcPr>
            <w:tcW w:w="227" w:type="pct"/>
            <w:tcBorders>
              <w:top w:val="nil"/>
              <w:bottom w:val="nil"/>
            </w:tcBorders>
            <w:shd w:val="clear" w:color="auto" w:fill="DEEAF6" w:themeFill="accent5" w:themeFillTint="33"/>
            <w:noWrap/>
            <w:hideMark/>
          </w:tcPr>
          <w:p w14:paraId="6A70B277" w14:textId="08E6A695" w:rsidR="00252FCB" w:rsidRPr="00584FFB" w:rsidRDefault="00252FCB" w:rsidP="00A119F0">
            <w:pPr>
              <w:jc w:val="center"/>
              <w:rPr>
                <w:color w:val="000000"/>
                <w:sz w:val="20"/>
                <w:szCs w:val="20"/>
                <w:lang w:eastAsia="es-419"/>
              </w:rPr>
            </w:pPr>
            <w:r w:rsidRPr="00584FFB">
              <w:rPr>
                <w:sz w:val="20"/>
                <w:szCs w:val="20"/>
              </w:rPr>
              <w:t>78</w:t>
            </w:r>
          </w:p>
        </w:tc>
        <w:tc>
          <w:tcPr>
            <w:tcW w:w="443" w:type="pct"/>
            <w:tcBorders>
              <w:top w:val="nil"/>
              <w:bottom w:val="nil"/>
            </w:tcBorders>
            <w:shd w:val="clear" w:color="auto" w:fill="DEEAF6" w:themeFill="accent5" w:themeFillTint="33"/>
            <w:noWrap/>
            <w:hideMark/>
          </w:tcPr>
          <w:p w14:paraId="007B6F8D" w14:textId="4B84F659" w:rsidR="00252FCB" w:rsidRPr="00584FFB" w:rsidRDefault="00252FCB" w:rsidP="00A119F0">
            <w:pPr>
              <w:jc w:val="center"/>
              <w:rPr>
                <w:color w:val="000000"/>
                <w:sz w:val="20"/>
                <w:szCs w:val="20"/>
                <w:lang w:eastAsia="es-419"/>
              </w:rPr>
            </w:pPr>
            <w:r w:rsidRPr="00584FFB">
              <w:rPr>
                <w:sz w:val="20"/>
                <w:szCs w:val="20"/>
              </w:rPr>
              <w:t>20</w:t>
            </w:r>
          </w:p>
        </w:tc>
      </w:tr>
      <w:tr w:rsidR="003641D0" w:rsidRPr="00584FFB" w14:paraId="4E076B85" w14:textId="77777777" w:rsidTr="0065139C">
        <w:trPr>
          <w:trHeight w:val="255"/>
        </w:trPr>
        <w:tc>
          <w:tcPr>
            <w:tcW w:w="4091" w:type="pct"/>
            <w:tcBorders>
              <w:top w:val="nil"/>
              <w:bottom w:val="nil"/>
            </w:tcBorders>
            <w:shd w:val="clear" w:color="auto" w:fill="auto"/>
            <w:noWrap/>
            <w:vAlign w:val="bottom"/>
            <w:hideMark/>
          </w:tcPr>
          <w:p w14:paraId="5061DD35" w14:textId="77777777" w:rsidR="00252FCB" w:rsidRPr="00584FFB" w:rsidRDefault="00252FCB" w:rsidP="00A119F0">
            <w:pPr>
              <w:pStyle w:val="Prrafodelista"/>
              <w:numPr>
                <w:ilvl w:val="0"/>
                <w:numId w:val="18"/>
              </w:numPr>
              <w:spacing w:after="0" w:line="240" w:lineRule="auto"/>
              <w:jc w:val="both"/>
              <w:rPr>
                <w:rFonts w:ascii="Times New Roman" w:hAnsi="Times New Roman" w:cs="Times New Roman"/>
                <w:sz w:val="20"/>
                <w:szCs w:val="20"/>
                <w:lang w:val="es-CR"/>
              </w:rPr>
            </w:pPr>
            <w:r w:rsidRPr="00584FFB">
              <w:rPr>
                <w:rFonts w:ascii="Times New Roman" w:hAnsi="Times New Roman" w:cs="Times New Roman"/>
                <w:sz w:val="20"/>
                <w:szCs w:val="20"/>
                <w:lang w:val="es-CR"/>
              </w:rPr>
              <w:t>Si una persona ha atentado contra su vida, ¿lo seguirá haciendo siempre?</w:t>
            </w:r>
          </w:p>
        </w:tc>
        <w:tc>
          <w:tcPr>
            <w:tcW w:w="239" w:type="pct"/>
            <w:tcBorders>
              <w:top w:val="nil"/>
              <w:bottom w:val="nil"/>
            </w:tcBorders>
            <w:shd w:val="clear" w:color="auto" w:fill="DEEAF6" w:themeFill="accent5" w:themeFillTint="33"/>
            <w:noWrap/>
            <w:hideMark/>
          </w:tcPr>
          <w:p w14:paraId="55701148" w14:textId="56D0D31C" w:rsidR="00252FCB" w:rsidRPr="00584FFB" w:rsidRDefault="00252FCB" w:rsidP="00A119F0">
            <w:pPr>
              <w:jc w:val="center"/>
              <w:rPr>
                <w:color w:val="000000"/>
                <w:sz w:val="20"/>
                <w:szCs w:val="20"/>
                <w:lang w:eastAsia="es-419"/>
              </w:rPr>
            </w:pPr>
            <w:r w:rsidRPr="00584FFB">
              <w:rPr>
                <w:sz w:val="20"/>
                <w:szCs w:val="20"/>
              </w:rPr>
              <w:t>43</w:t>
            </w:r>
          </w:p>
        </w:tc>
        <w:tc>
          <w:tcPr>
            <w:tcW w:w="227" w:type="pct"/>
            <w:tcBorders>
              <w:top w:val="nil"/>
              <w:bottom w:val="nil"/>
            </w:tcBorders>
            <w:shd w:val="clear" w:color="auto" w:fill="DEEAF6" w:themeFill="accent5" w:themeFillTint="33"/>
            <w:noWrap/>
            <w:hideMark/>
          </w:tcPr>
          <w:p w14:paraId="4753E334" w14:textId="3E07C621" w:rsidR="00252FCB" w:rsidRPr="00584FFB" w:rsidRDefault="00252FCB" w:rsidP="00A119F0">
            <w:pPr>
              <w:jc w:val="center"/>
              <w:rPr>
                <w:color w:val="000000"/>
                <w:sz w:val="20"/>
                <w:szCs w:val="20"/>
                <w:lang w:eastAsia="es-419"/>
              </w:rPr>
            </w:pPr>
            <w:r w:rsidRPr="00584FFB">
              <w:rPr>
                <w:sz w:val="20"/>
                <w:szCs w:val="20"/>
              </w:rPr>
              <w:t>9</w:t>
            </w:r>
          </w:p>
        </w:tc>
        <w:tc>
          <w:tcPr>
            <w:tcW w:w="443" w:type="pct"/>
            <w:tcBorders>
              <w:top w:val="nil"/>
              <w:bottom w:val="nil"/>
            </w:tcBorders>
            <w:shd w:val="clear" w:color="auto" w:fill="DEEAF6" w:themeFill="accent5" w:themeFillTint="33"/>
            <w:noWrap/>
            <w:hideMark/>
          </w:tcPr>
          <w:p w14:paraId="784018E1" w14:textId="3E7E3DAA" w:rsidR="00252FCB" w:rsidRPr="00584FFB" w:rsidRDefault="00252FCB" w:rsidP="00A119F0">
            <w:pPr>
              <w:jc w:val="center"/>
              <w:rPr>
                <w:color w:val="000000"/>
                <w:sz w:val="20"/>
                <w:szCs w:val="20"/>
                <w:lang w:eastAsia="es-419"/>
              </w:rPr>
            </w:pPr>
            <w:r w:rsidRPr="00584FFB">
              <w:rPr>
                <w:sz w:val="20"/>
                <w:szCs w:val="20"/>
              </w:rPr>
              <w:t>48</w:t>
            </w:r>
          </w:p>
        </w:tc>
      </w:tr>
      <w:tr w:rsidR="003641D0" w:rsidRPr="00584FFB" w14:paraId="27B027A4" w14:textId="77777777" w:rsidTr="0065139C">
        <w:trPr>
          <w:trHeight w:val="255"/>
        </w:trPr>
        <w:tc>
          <w:tcPr>
            <w:tcW w:w="4091" w:type="pct"/>
            <w:tcBorders>
              <w:top w:val="nil"/>
              <w:bottom w:val="nil"/>
            </w:tcBorders>
            <w:shd w:val="clear" w:color="auto" w:fill="auto"/>
            <w:noWrap/>
            <w:vAlign w:val="bottom"/>
            <w:hideMark/>
          </w:tcPr>
          <w:p w14:paraId="0DB4A9DB" w14:textId="77777777" w:rsidR="00252FCB" w:rsidRPr="00584FFB" w:rsidRDefault="00252FCB" w:rsidP="00A119F0">
            <w:pPr>
              <w:pStyle w:val="Prrafodelista"/>
              <w:numPr>
                <w:ilvl w:val="0"/>
                <w:numId w:val="18"/>
              </w:numPr>
              <w:spacing w:after="0" w:line="240" w:lineRule="auto"/>
              <w:jc w:val="both"/>
              <w:rPr>
                <w:rFonts w:ascii="Times New Roman" w:hAnsi="Times New Roman" w:cs="Times New Roman"/>
                <w:sz w:val="20"/>
                <w:szCs w:val="20"/>
                <w:lang w:val="es-CR"/>
              </w:rPr>
            </w:pPr>
            <w:r w:rsidRPr="00584FFB">
              <w:rPr>
                <w:rFonts w:ascii="Times New Roman" w:hAnsi="Times New Roman" w:cs="Times New Roman"/>
                <w:sz w:val="20"/>
                <w:szCs w:val="20"/>
                <w:lang w:val="es-CR"/>
              </w:rPr>
              <w:t>¿Cree que la familia pudo haber evitado que uno de sus miembros se suicidara?</w:t>
            </w:r>
          </w:p>
        </w:tc>
        <w:tc>
          <w:tcPr>
            <w:tcW w:w="239" w:type="pct"/>
            <w:tcBorders>
              <w:top w:val="nil"/>
              <w:bottom w:val="nil"/>
            </w:tcBorders>
            <w:shd w:val="clear" w:color="auto" w:fill="auto"/>
            <w:noWrap/>
            <w:hideMark/>
          </w:tcPr>
          <w:p w14:paraId="66E4F68C" w14:textId="6F12F08E" w:rsidR="00252FCB" w:rsidRPr="00584FFB" w:rsidRDefault="00252FCB" w:rsidP="00A119F0">
            <w:pPr>
              <w:jc w:val="center"/>
              <w:rPr>
                <w:color w:val="000000"/>
                <w:sz w:val="20"/>
                <w:szCs w:val="20"/>
                <w:lang w:eastAsia="es-419"/>
              </w:rPr>
            </w:pPr>
            <w:r w:rsidRPr="00584FFB">
              <w:rPr>
                <w:sz w:val="20"/>
                <w:szCs w:val="20"/>
              </w:rPr>
              <w:t>8</w:t>
            </w:r>
          </w:p>
        </w:tc>
        <w:tc>
          <w:tcPr>
            <w:tcW w:w="227" w:type="pct"/>
            <w:tcBorders>
              <w:top w:val="nil"/>
              <w:bottom w:val="nil"/>
            </w:tcBorders>
            <w:shd w:val="clear" w:color="auto" w:fill="DEEAF6" w:themeFill="accent5" w:themeFillTint="33"/>
            <w:noWrap/>
            <w:hideMark/>
          </w:tcPr>
          <w:p w14:paraId="78D33757" w14:textId="4AB95A46" w:rsidR="00252FCB" w:rsidRPr="00584FFB" w:rsidRDefault="00252FCB" w:rsidP="00A119F0">
            <w:pPr>
              <w:jc w:val="center"/>
              <w:rPr>
                <w:color w:val="000000"/>
                <w:sz w:val="20"/>
                <w:szCs w:val="20"/>
                <w:lang w:eastAsia="es-419"/>
              </w:rPr>
            </w:pPr>
            <w:r w:rsidRPr="00584FFB">
              <w:rPr>
                <w:sz w:val="20"/>
                <w:szCs w:val="20"/>
              </w:rPr>
              <w:t>50</w:t>
            </w:r>
          </w:p>
        </w:tc>
        <w:tc>
          <w:tcPr>
            <w:tcW w:w="443" w:type="pct"/>
            <w:tcBorders>
              <w:top w:val="nil"/>
              <w:bottom w:val="nil"/>
            </w:tcBorders>
            <w:shd w:val="clear" w:color="auto" w:fill="DEEAF6" w:themeFill="accent5" w:themeFillTint="33"/>
            <w:noWrap/>
            <w:hideMark/>
          </w:tcPr>
          <w:p w14:paraId="59FF06AE" w14:textId="14BCF37D" w:rsidR="00252FCB" w:rsidRPr="00584FFB" w:rsidRDefault="00252FCB" w:rsidP="00A119F0">
            <w:pPr>
              <w:jc w:val="center"/>
              <w:rPr>
                <w:color w:val="000000"/>
                <w:sz w:val="20"/>
                <w:szCs w:val="20"/>
                <w:lang w:eastAsia="es-419"/>
              </w:rPr>
            </w:pPr>
            <w:r w:rsidRPr="00584FFB">
              <w:rPr>
                <w:sz w:val="20"/>
                <w:szCs w:val="20"/>
              </w:rPr>
              <w:t>42</w:t>
            </w:r>
          </w:p>
        </w:tc>
      </w:tr>
      <w:tr w:rsidR="003641D0" w:rsidRPr="00584FFB" w14:paraId="22347453" w14:textId="77777777" w:rsidTr="0065139C">
        <w:trPr>
          <w:trHeight w:val="255"/>
        </w:trPr>
        <w:tc>
          <w:tcPr>
            <w:tcW w:w="4091" w:type="pct"/>
            <w:tcBorders>
              <w:top w:val="nil"/>
              <w:bottom w:val="nil"/>
            </w:tcBorders>
            <w:shd w:val="clear" w:color="auto" w:fill="auto"/>
            <w:noWrap/>
            <w:vAlign w:val="bottom"/>
            <w:hideMark/>
          </w:tcPr>
          <w:p w14:paraId="2BED7DAB" w14:textId="77777777" w:rsidR="00252FCB" w:rsidRPr="00584FFB" w:rsidRDefault="00252FCB" w:rsidP="00A119F0">
            <w:pPr>
              <w:pStyle w:val="Prrafodelista"/>
              <w:numPr>
                <w:ilvl w:val="0"/>
                <w:numId w:val="18"/>
              </w:numPr>
              <w:spacing w:after="0" w:line="240" w:lineRule="auto"/>
              <w:jc w:val="both"/>
              <w:rPr>
                <w:rFonts w:ascii="Times New Roman" w:hAnsi="Times New Roman" w:cs="Times New Roman"/>
                <w:sz w:val="20"/>
                <w:szCs w:val="20"/>
                <w:lang w:val="es-CR"/>
              </w:rPr>
            </w:pPr>
            <w:r w:rsidRPr="00584FFB">
              <w:rPr>
                <w:rFonts w:ascii="Times New Roman" w:hAnsi="Times New Roman" w:cs="Times New Roman"/>
                <w:sz w:val="20"/>
                <w:szCs w:val="20"/>
                <w:lang w:val="es-CR"/>
              </w:rPr>
              <w:t>¿Cree usted que la familia se podría sentir culpable del suicidio de un familiar?</w:t>
            </w:r>
          </w:p>
        </w:tc>
        <w:tc>
          <w:tcPr>
            <w:tcW w:w="239" w:type="pct"/>
            <w:tcBorders>
              <w:top w:val="nil"/>
              <w:bottom w:val="nil"/>
            </w:tcBorders>
            <w:shd w:val="clear" w:color="auto" w:fill="auto"/>
            <w:noWrap/>
            <w:hideMark/>
          </w:tcPr>
          <w:p w14:paraId="50FAE0B6" w14:textId="35BAEB1C" w:rsidR="00252FCB" w:rsidRPr="00584FFB" w:rsidRDefault="00252FCB" w:rsidP="00A119F0">
            <w:pPr>
              <w:jc w:val="center"/>
              <w:rPr>
                <w:color w:val="000000"/>
                <w:sz w:val="20"/>
                <w:szCs w:val="20"/>
                <w:lang w:eastAsia="es-419"/>
              </w:rPr>
            </w:pPr>
            <w:r w:rsidRPr="00584FFB">
              <w:rPr>
                <w:sz w:val="20"/>
                <w:szCs w:val="20"/>
              </w:rPr>
              <w:t>4</w:t>
            </w:r>
          </w:p>
        </w:tc>
        <w:tc>
          <w:tcPr>
            <w:tcW w:w="227" w:type="pct"/>
            <w:tcBorders>
              <w:top w:val="nil"/>
              <w:bottom w:val="nil"/>
            </w:tcBorders>
            <w:shd w:val="clear" w:color="auto" w:fill="DEEAF6" w:themeFill="accent5" w:themeFillTint="33"/>
            <w:noWrap/>
            <w:hideMark/>
          </w:tcPr>
          <w:p w14:paraId="438B8CEB" w14:textId="7C4543E3" w:rsidR="00252FCB" w:rsidRPr="00584FFB" w:rsidRDefault="00252FCB" w:rsidP="00A119F0">
            <w:pPr>
              <w:jc w:val="center"/>
              <w:rPr>
                <w:color w:val="000000"/>
                <w:sz w:val="20"/>
                <w:szCs w:val="20"/>
                <w:lang w:eastAsia="es-419"/>
              </w:rPr>
            </w:pPr>
            <w:r w:rsidRPr="00584FFB">
              <w:rPr>
                <w:sz w:val="20"/>
                <w:szCs w:val="20"/>
              </w:rPr>
              <w:t>77</w:t>
            </w:r>
          </w:p>
        </w:tc>
        <w:tc>
          <w:tcPr>
            <w:tcW w:w="443" w:type="pct"/>
            <w:tcBorders>
              <w:top w:val="nil"/>
              <w:bottom w:val="nil"/>
            </w:tcBorders>
            <w:shd w:val="clear" w:color="auto" w:fill="DEEAF6" w:themeFill="accent5" w:themeFillTint="33"/>
            <w:noWrap/>
            <w:hideMark/>
          </w:tcPr>
          <w:p w14:paraId="5BA9F54D" w14:textId="28385A75" w:rsidR="00252FCB" w:rsidRPr="00584FFB" w:rsidRDefault="00252FCB" w:rsidP="00A119F0">
            <w:pPr>
              <w:jc w:val="center"/>
              <w:rPr>
                <w:color w:val="000000"/>
                <w:sz w:val="20"/>
                <w:szCs w:val="20"/>
                <w:lang w:eastAsia="es-419"/>
              </w:rPr>
            </w:pPr>
            <w:r w:rsidRPr="00584FFB">
              <w:rPr>
                <w:sz w:val="20"/>
                <w:szCs w:val="20"/>
              </w:rPr>
              <w:t>19</w:t>
            </w:r>
          </w:p>
        </w:tc>
      </w:tr>
      <w:tr w:rsidR="003641D0" w:rsidRPr="00584FFB" w14:paraId="61F62359" w14:textId="77777777" w:rsidTr="0065139C">
        <w:trPr>
          <w:trHeight w:val="255"/>
        </w:trPr>
        <w:tc>
          <w:tcPr>
            <w:tcW w:w="4091" w:type="pct"/>
            <w:tcBorders>
              <w:top w:val="nil"/>
              <w:bottom w:val="nil"/>
            </w:tcBorders>
            <w:shd w:val="clear" w:color="auto" w:fill="auto"/>
            <w:noWrap/>
            <w:vAlign w:val="bottom"/>
            <w:hideMark/>
          </w:tcPr>
          <w:p w14:paraId="515F5677" w14:textId="77777777" w:rsidR="00252FCB" w:rsidRPr="00584FFB" w:rsidRDefault="00252FCB" w:rsidP="00A119F0">
            <w:pPr>
              <w:pStyle w:val="Prrafodelista"/>
              <w:numPr>
                <w:ilvl w:val="0"/>
                <w:numId w:val="18"/>
              </w:numPr>
              <w:spacing w:after="0" w:line="240" w:lineRule="auto"/>
              <w:jc w:val="both"/>
              <w:rPr>
                <w:rFonts w:ascii="Times New Roman" w:hAnsi="Times New Roman" w:cs="Times New Roman"/>
                <w:sz w:val="20"/>
                <w:szCs w:val="20"/>
                <w:lang w:val="es-CR"/>
              </w:rPr>
            </w:pPr>
            <w:r w:rsidRPr="00584FFB">
              <w:rPr>
                <w:rFonts w:ascii="Times New Roman" w:hAnsi="Times New Roman" w:cs="Times New Roman"/>
                <w:sz w:val="20"/>
                <w:szCs w:val="20"/>
                <w:lang w:val="es-CR"/>
              </w:rPr>
              <w:t>¿Cree usted que el intento suicida puede estar mediado por el hecho de que la persona esté bajo los efectos de una droga?</w:t>
            </w:r>
          </w:p>
        </w:tc>
        <w:tc>
          <w:tcPr>
            <w:tcW w:w="239" w:type="pct"/>
            <w:tcBorders>
              <w:top w:val="nil"/>
              <w:bottom w:val="nil"/>
            </w:tcBorders>
            <w:shd w:val="clear" w:color="auto" w:fill="auto"/>
            <w:noWrap/>
            <w:hideMark/>
          </w:tcPr>
          <w:p w14:paraId="5184E38E" w14:textId="4ACAF7E0" w:rsidR="00252FCB" w:rsidRPr="00584FFB" w:rsidRDefault="00252FCB" w:rsidP="00A119F0">
            <w:pPr>
              <w:jc w:val="center"/>
              <w:rPr>
                <w:color w:val="000000"/>
                <w:sz w:val="20"/>
                <w:szCs w:val="20"/>
                <w:lang w:eastAsia="es-419"/>
              </w:rPr>
            </w:pPr>
            <w:r w:rsidRPr="00584FFB">
              <w:rPr>
                <w:sz w:val="20"/>
                <w:szCs w:val="20"/>
              </w:rPr>
              <w:t>18</w:t>
            </w:r>
          </w:p>
        </w:tc>
        <w:tc>
          <w:tcPr>
            <w:tcW w:w="227" w:type="pct"/>
            <w:tcBorders>
              <w:top w:val="nil"/>
              <w:bottom w:val="nil"/>
            </w:tcBorders>
            <w:shd w:val="clear" w:color="auto" w:fill="DEEAF6" w:themeFill="accent5" w:themeFillTint="33"/>
            <w:noWrap/>
            <w:hideMark/>
          </w:tcPr>
          <w:p w14:paraId="721A8DA2" w14:textId="3A5134BB" w:rsidR="00252FCB" w:rsidRPr="00584FFB" w:rsidRDefault="00252FCB" w:rsidP="00A119F0">
            <w:pPr>
              <w:jc w:val="center"/>
              <w:rPr>
                <w:color w:val="000000"/>
                <w:sz w:val="20"/>
                <w:szCs w:val="20"/>
                <w:lang w:eastAsia="es-419"/>
              </w:rPr>
            </w:pPr>
            <w:r w:rsidRPr="00584FFB">
              <w:rPr>
                <w:sz w:val="20"/>
                <w:szCs w:val="20"/>
              </w:rPr>
              <w:t>45</w:t>
            </w:r>
          </w:p>
        </w:tc>
        <w:tc>
          <w:tcPr>
            <w:tcW w:w="443" w:type="pct"/>
            <w:tcBorders>
              <w:top w:val="nil"/>
              <w:bottom w:val="nil"/>
            </w:tcBorders>
            <w:shd w:val="clear" w:color="auto" w:fill="DEEAF6" w:themeFill="accent5" w:themeFillTint="33"/>
            <w:noWrap/>
            <w:hideMark/>
          </w:tcPr>
          <w:p w14:paraId="7FB871E4" w14:textId="10D390AB" w:rsidR="00252FCB" w:rsidRPr="00584FFB" w:rsidRDefault="00252FCB" w:rsidP="00A119F0">
            <w:pPr>
              <w:jc w:val="center"/>
              <w:rPr>
                <w:color w:val="000000"/>
                <w:sz w:val="20"/>
                <w:szCs w:val="20"/>
                <w:lang w:eastAsia="es-419"/>
              </w:rPr>
            </w:pPr>
            <w:r w:rsidRPr="00584FFB">
              <w:rPr>
                <w:sz w:val="20"/>
                <w:szCs w:val="20"/>
              </w:rPr>
              <w:t>37</w:t>
            </w:r>
          </w:p>
        </w:tc>
      </w:tr>
      <w:tr w:rsidR="003641D0" w:rsidRPr="00584FFB" w14:paraId="75446999" w14:textId="77777777" w:rsidTr="00F2318F">
        <w:trPr>
          <w:trHeight w:val="255"/>
        </w:trPr>
        <w:tc>
          <w:tcPr>
            <w:tcW w:w="4091" w:type="pct"/>
            <w:tcBorders>
              <w:top w:val="nil"/>
            </w:tcBorders>
            <w:shd w:val="clear" w:color="auto" w:fill="auto"/>
            <w:noWrap/>
            <w:vAlign w:val="bottom"/>
            <w:hideMark/>
          </w:tcPr>
          <w:p w14:paraId="3AB70059" w14:textId="77777777" w:rsidR="00252FCB" w:rsidRPr="00584FFB" w:rsidRDefault="00252FCB" w:rsidP="00A119F0">
            <w:pPr>
              <w:pStyle w:val="Prrafodelista"/>
              <w:numPr>
                <w:ilvl w:val="0"/>
                <w:numId w:val="18"/>
              </w:numPr>
              <w:spacing w:after="0" w:line="240" w:lineRule="auto"/>
              <w:jc w:val="both"/>
              <w:rPr>
                <w:rFonts w:ascii="Times New Roman" w:hAnsi="Times New Roman" w:cs="Times New Roman"/>
                <w:sz w:val="20"/>
                <w:szCs w:val="20"/>
                <w:lang w:val="es-CR"/>
              </w:rPr>
            </w:pPr>
            <w:r w:rsidRPr="00584FFB">
              <w:rPr>
                <w:rFonts w:ascii="Times New Roman" w:hAnsi="Times New Roman" w:cs="Times New Roman"/>
                <w:sz w:val="20"/>
                <w:szCs w:val="20"/>
                <w:lang w:val="es-CR"/>
              </w:rPr>
              <w:t>Se ha identificado que en una misma familia suelen haber varios integrantes que han atentado contra su vida, ¿esto podría significar cierto grado de heredabilidad?</w:t>
            </w:r>
          </w:p>
        </w:tc>
        <w:tc>
          <w:tcPr>
            <w:tcW w:w="239" w:type="pct"/>
            <w:tcBorders>
              <w:top w:val="nil"/>
            </w:tcBorders>
            <w:shd w:val="clear" w:color="auto" w:fill="auto"/>
            <w:noWrap/>
            <w:hideMark/>
          </w:tcPr>
          <w:p w14:paraId="19952935" w14:textId="0185C279" w:rsidR="00252FCB" w:rsidRPr="00584FFB" w:rsidRDefault="00252FCB" w:rsidP="00A119F0">
            <w:pPr>
              <w:jc w:val="center"/>
              <w:rPr>
                <w:color w:val="000000"/>
                <w:sz w:val="20"/>
                <w:szCs w:val="20"/>
                <w:lang w:eastAsia="es-419"/>
              </w:rPr>
            </w:pPr>
            <w:r w:rsidRPr="00584FFB">
              <w:rPr>
                <w:sz w:val="20"/>
                <w:szCs w:val="20"/>
              </w:rPr>
              <w:t>41</w:t>
            </w:r>
          </w:p>
        </w:tc>
        <w:tc>
          <w:tcPr>
            <w:tcW w:w="227" w:type="pct"/>
            <w:tcBorders>
              <w:top w:val="nil"/>
            </w:tcBorders>
            <w:shd w:val="clear" w:color="auto" w:fill="DEEAF6" w:themeFill="accent5" w:themeFillTint="33"/>
            <w:noWrap/>
            <w:hideMark/>
          </w:tcPr>
          <w:p w14:paraId="0A5A85B0" w14:textId="369BE49D" w:rsidR="00252FCB" w:rsidRPr="00584FFB" w:rsidRDefault="00252FCB" w:rsidP="00A119F0">
            <w:pPr>
              <w:jc w:val="center"/>
              <w:rPr>
                <w:color w:val="000000"/>
                <w:sz w:val="20"/>
                <w:szCs w:val="20"/>
                <w:lang w:eastAsia="es-419"/>
              </w:rPr>
            </w:pPr>
            <w:r w:rsidRPr="00584FFB">
              <w:rPr>
                <w:sz w:val="20"/>
                <w:szCs w:val="20"/>
              </w:rPr>
              <w:t>23</w:t>
            </w:r>
          </w:p>
        </w:tc>
        <w:tc>
          <w:tcPr>
            <w:tcW w:w="443" w:type="pct"/>
            <w:tcBorders>
              <w:top w:val="nil"/>
            </w:tcBorders>
            <w:shd w:val="clear" w:color="auto" w:fill="DEEAF6" w:themeFill="accent5" w:themeFillTint="33"/>
            <w:noWrap/>
            <w:hideMark/>
          </w:tcPr>
          <w:p w14:paraId="4DC76397" w14:textId="70B9D083" w:rsidR="00252FCB" w:rsidRPr="00584FFB" w:rsidRDefault="00252FCB" w:rsidP="00A119F0">
            <w:pPr>
              <w:jc w:val="center"/>
              <w:rPr>
                <w:color w:val="000000"/>
                <w:sz w:val="20"/>
                <w:szCs w:val="20"/>
                <w:lang w:eastAsia="es-419"/>
              </w:rPr>
            </w:pPr>
            <w:r w:rsidRPr="00584FFB">
              <w:rPr>
                <w:sz w:val="20"/>
                <w:szCs w:val="20"/>
              </w:rPr>
              <w:t>36</w:t>
            </w:r>
          </w:p>
        </w:tc>
      </w:tr>
    </w:tbl>
    <w:p w14:paraId="5701DEDE" w14:textId="7490C186" w:rsidR="00252FCB" w:rsidRPr="00584FFB" w:rsidRDefault="00252FCB" w:rsidP="00F67D86">
      <w:pPr>
        <w:pBdr>
          <w:top w:val="nil"/>
          <w:left w:val="nil"/>
          <w:bottom w:val="nil"/>
          <w:right w:val="nil"/>
          <w:between w:val="nil"/>
          <w:bar w:val="nil"/>
        </w:pBdr>
        <w:suppressAutoHyphens/>
        <w:spacing w:line="100" w:lineRule="atLeast"/>
        <w:rPr>
          <w:rFonts w:eastAsia="Calibri" w:cs="Calibri"/>
          <w:color w:val="000000"/>
          <w:sz w:val="20"/>
          <w:szCs w:val="20"/>
          <w:u w:color="000000"/>
          <w:bdr w:val="nil"/>
          <w14:textOutline w14:w="0" w14:cap="flat" w14:cmpd="sng" w14:algn="ctr">
            <w14:noFill/>
            <w14:prstDash w14:val="solid"/>
            <w14:bevel/>
          </w14:textOutline>
        </w:rPr>
      </w:pPr>
      <w:r w:rsidRPr="00584FFB">
        <w:rPr>
          <w:rFonts w:eastAsia="Calibri" w:cs="Calibri"/>
          <w:color w:val="000000"/>
          <w:sz w:val="20"/>
          <w:szCs w:val="20"/>
          <w:u w:color="000000"/>
          <w:bdr w:val="nil"/>
          <w14:textOutline w14:w="0" w14:cap="flat" w14:cmpd="sng" w14:algn="ctr">
            <w14:noFill/>
            <w14:prstDash w14:val="solid"/>
            <w14:bevel/>
          </w14:textOutline>
        </w:rPr>
        <w:t xml:space="preserve">Nota. Se reportan </w:t>
      </w:r>
      <w:r w:rsidR="00BC1A1C" w:rsidRPr="00584FFB">
        <w:rPr>
          <w:rFonts w:eastAsia="Calibri" w:cs="Calibri"/>
          <w:color w:val="000000"/>
          <w:sz w:val="20"/>
          <w:szCs w:val="20"/>
          <w:u w:color="000000"/>
          <w:bdr w:val="nil"/>
          <w14:textOutline w14:w="0" w14:cap="flat" w14:cmpd="sng" w14:algn="ctr">
            <w14:noFill/>
            <w14:prstDash w14:val="solid"/>
            <w14:bevel/>
          </w14:textOutline>
        </w:rPr>
        <w:t>valores relativos, siendo el valor de</w:t>
      </w:r>
      <w:r w:rsidRPr="00584FFB">
        <w:rPr>
          <w:rFonts w:eastAsia="Calibri" w:cs="Calibri"/>
          <w:color w:val="000000"/>
          <w:sz w:val="20"/>
          <w:szCs w:val="20"/>
          <w:u w:color="000000"/>
          <w:bdr w:val="nil"/>
          <w14:textOutline w14:w="0" w14:cap="flat" w14:cmpd="sng" w14:algn="ctr">
            <w14:noFill/>
            <w14:prstDash w14:val="solid"/>
            <w14:bevel/>
          </w14:textOutline>
        </w:rPr>
        <w:t xml:space="preserve"> N=526. </w:t>
      </w:r>
    </w:p>
    <w:p w14:paraId="51F79207" w14:textId="77777777" w:rsidR="0064521B" w:rsidRDefault="0064521B" w:rsidP="00F67D86">
      <w:pPr>
        <w:pBdr>
          <w:top w:val="nil"/>
          <w:left w:val="nil"/>
          <w:bottom w:val="nil"/>
          <w:right w:val="nil"/>
          <w:between w:val="nil"/>
          <w:bar w:val="nil"/>
        </w:pBdr>
        <w:suppressAutoHyphens/>
        <w:spacing w:line="100" w:lineRule="atLeast"/>
        <w:rPr>
          <w:rFonts w:eastAsia="Calibri" w:cs="Calibri"/>
          <w:color w:val="000000"/>
          <w:sz w:val="20"/>
          <w:szCs w:val="20"/>
          <w:u w:color="000000"/>
          <w:bdr w:val="nil"/>
          <w14:textOutline w14:w="0" w14:cap="flat" w14:cmpd="sng" w14:algn="ctr">
            <w14:noFill/>
            <w14:prstDash w14:val="solid"/>
            <w14:bevel/>
          </w14:textOutline>
        </w:rPr>
      </w:pPr>
    </w:p>
    <w:p w14:paraId="77B901DA" w14:textId="653A63EA" w:rsidR="00504F36" w:rsidRPr="00584FFB" w:rsidRDefault="00AD59BC" w:rsidP="00115125">
      <w:pPr>
        <w:pStyle w:val="Prrafocomn"/>
        <w:rPr>
          <w:lang w:val="es-CR"/>
        </w:rPr>
      </w:pPr>
      <w:r>
        <w:rPr>
          <w:lang w:val="es-CR"/>
        </w:rPr>
        <w:tab/>
        <w:t>Al indagar acerca de las creencias que los participantes poseen del suicidio, se pudo constatar que e</w:t>
      </w:r>
      <w:r w:rsidR="00504F36" w:rsidRPr="00584FFB">
        <w:rPr>
          <w:lang w:val="es-CR"/>
        </w:rPr>
        <w:t>l 77,</w:t>
      </w:r>
      <w:r w:rsidR="004B3C05" w:rsidRPr="00584FFB">
        <w:rPr>
          <w:lang w:val="es-CR"/>
        </w:rPr>
        <w:t xml:space="preserve">57% </w:t>
      </w:r>
      <w:r w:rsidR="00B40AE5" w:rsidRPr="00584FFB">
        <w:rPr>
          <w:lang w:val="es-CR"/>
        </w:rPr>
        <w:t xml:space="preserve">de los participantes creen que el suicidio se puede prevenir. </w:t>
      </w:r>
      <w:r w:rsidR="007D1FC4" w:rsidRPr="00584FFB">
        <w:rPr>
          <w:lang w:val="es-CR"/>
        </w:rPr>
        <w:t xml:space="preserve">Un 71,67% considera que al hablar acerca del suicidio en un ambiente familiar, el mismo se puede prevenir. </w:t>
      </w:r>
      <w:r w:rsidR="00790DD4" w:rsidRPr="00584FFB">
        <w:rPr>
          <w:lang w:val="es-CR"/>
        </w:rPr>
        <w:t xml:space="preserve">A su vez, el </w:t>
      </w:r>
      <w:r w:rsidR="00386985" w:rsidRPr="00584FFB">
        <w:rPr>
          <w:lang w:val="es-CR"/>
        </w:rPr>
        <w:t xml:space="preserve">63,50% de los participantes aseveran que un posible caso de intento de </w:t>
      </w:r>
      <w:r w:rsidR="00E1789B" w:rsidRPr="00584FFB">
        <w:rPr>
          <w:lang w:val="es-CR"/>
        </w:rPr>
        <w:t>suicidio</w:t>
      </w:r>
      <w:r w:rsidR="00EC7FA5" w:rsidRPr="00584FFB">
        <w:rPr>
          <w:lang w:val="es-CR"/>
        </w:rPr>
        <w:t xml:space="preserve"> se puede identificar por el comportamiento de una persona, aunque no lo exprese de forma verbal. </w:t>
      </w:r>
    </w:p>
    <w:p w14:paraId="321D527E" w14:textId="1BD95429" w:rsidR="00550C99" w:rsidRPr="00584FFB" w:rsidRDefault="00550C99" w:rsidP="00115125">
      <w:pPr>
        <w:pStyle w:val="Prrafocomn"/>
        <w:rPr>
          <w:lang w:val="es-CR"/>
        </w:rPr>
      </w:pPr>
      <w:r w:rsidRPr="00584FFB">
        <w:rPr>
          <w:lang w:val="es-CR"/>
        </w:rPr>
        <w:t xml:space="preserve">Por otra parte, los participantes señalan que </w:t>
      </w:r>
      <w:r w:rsidR="007B7349" w:rsidRPr="00584FFB">
        <w:rPr>
          <w:lang w:val="es-CR"/>
        </w:rPr>
        <w:t xml:space="preserve">el enunciado “La persona que realmente quiere acabar con su vida, no avisa”, </w:t>
      </w:r>
      <w:r w:rsidR="00FC27EE">
        <w:rPr>
          <w:lang w:val="es-CR"/>
        </w:rPr>
        <w:t>no</w:t>
      </w:r>
      <w:r w:rsidR="007C2BEA">
        <w:rPr>
          <w:lang w:val="es-CR"/>
        </w:rPr>
        <w:t xml:space="preserve"> es correcta la aseveración en</w:t>
      </w:r>
      <w:r w:rsidR="007B7349" w:rsidRPr="00584FFB">
        <w:rPr>
          <w:lang w:val="es-CR"/>
        </w:rPr>
        <w:t xml:space="preserve"> el </w:t>
      </w:r>
      <w:r w:rsidR="00146F74" w:rsidRPr="00584FFB">
        <w:rPr>
          <w:lang w:val="es-CR"/>
        </w:rPr>
        <w:t>59,70%</w:t>
      </w:r>
      <w:r w:rsidR="0056333C">
        <w:rPr>
          <w:lang w:val="es-CR"/>
        </w:rPr>
        <w:t xml:space="preserve"> de los casos</w:t>
      </w:r>
      <w:r w:rsidR="007C2BEA">
        <w:rPr>
          <w:lang w:val="es-CR"/>
        </w:rPr>
        <w:t>, contrario a un</w:t>
      </w:r>
      <w:r w:rsidR="00ED5D0C" w:rsidRPr="00584FFB">
        <w:rPr>
          <w:lang w:val="es-CR"/>
        </w:rPr>
        <w:t xml:space="preserve"> 40,30%</w:t>
      </w:r>
      <w:r w:rsidR="00146F74" w:rsidRPr="00584FFB">
        <w:rPr>
          <w:lang w:val="es-CR"/>
        </w:rPr>
        <w:t xml:space="preserve"> </w:t>
      </w:r>
      <w:r w:rsidR="007C2BEA">
        <w:rPr>
          <w:lang w:val="es-CR"/>
        </w:rPr>
        <w:t>que sí lo cree así</w:t>
      </w:r>
      <w:r w:rsidR="00072D24" w:rsidRPr="00584FFB">
        <w:rPr>
          <w:lang w:val="es-CR"/>
        </w:rPr>
        <w:t xml:space="preserve">, por lo que se presenta disparidades en las respuestas registradas. </w:t>
      </w:r>
    </w:p>
    <w:p w14:paraId="037908BB" w14:textId="308FEE88" w:rsidR="0057139C" w:rsidRDefault="0057139C" w:rsidP="00115125">
      <w:pPr>
        <w:pStyle w:val="Prrafocomn"/>
        <w:rPr>
          <w:lang w:val="es-CR"/>
        </w:rPr>
      </w:pPr>
      <w:r w:rsidRPr="00584FFB">
        <w:rPr>
          <w:lang w:val="es-CR"/>
        </w:rPr>
        <w:lastRenderedPageBreak/>
        <w:t>Como factores protectores ante casos de riesgo suicida, fue posible establecer</w:t>
      </w:r>
      <w:r>
        <w:rPr>
          <w:lang w:val="es-CR"/>
        </w:rPr>
        <w:t xml:space="preserve"> a partir de las opiniones de los encuestados</w:t>
      </w:r>
      <w:r w:rsidRPr="00584FFB">
        <w:rPr>
          <w:lang w:val="es-CR"/>
        </w:rPr>
        <w:t xml:space="preserve"> que tener una buena red de apoyo (famil</w:t>
      </w:r>
      <w:r>
        <w:rPr>
          <w:lang w:val="es-CR"/>
        </w:rPr>
        <w:t>i</w:t>
      </w:r>
      <w:r w:rsidRPr="00584FFB">
        <w:rPr>
          <w:lang w:val="es-CR"/>
        </w:rPr>
        <w:t>a y amigos) es efectiva en el 93,16% de los casos, así como recibir terapia psicológica (84,60%) y tener estabilidad laboral (61,60%). No se consideran elementos preventivos ante el suicidio el: contar con personas de confianza (</w:t>
      </w:r>
      <w:r>
        <w:rPr>
          <w:lang w:val="es-CR"/>
        </w:rPr>
        <w:t>2,28</w:t>
      </w:r>
      <w:r w:rsidRPr="00584FFB">
        <w:rPr>
          <w:lang w:val="es-CR"/>
        </w:rPr>
        <w:t xml:space="preserve">%), tener inteligencia emocional </w:t>
      </w:r>
      <w:r>
        <w:rPr>
          <w:lang w:val="es-CR"/>
        </w:rPr>
        <w:t>(2,28</w:t>
      </w:r>
      <w:r w:rsidRPr="00584FFB">
        <w:rPr>
          <w:lang w:val="es-CR"/>
        </w:rPr>
        <w:t>%), tener habilidades sociales (</w:t>
      </w:r>
      <w:r>
        <w:rPr>
          <w:lang w:val="es-CR"/>
        </w:rPr>
        <w:t>2,28</w:t>
      </w:r>
      <w:r w:rsidRPr="00584FFB">
        <w:rPr>
          <w:lang w:val="es-CR"/>
        </w:rPr>
        <w:t>%), un nivel educativo elevado (</w:t>
      </w:r>
      <w:r>
        <w:rPr>
          <w:lang w:val="es-CR"/>
        </w:rPr>
        <w:t>0,38</w:t>
      </w:r>
      <w:r w:rsidRPr="00584FFB">
        <w:rPr>
          <w:lang w:val="es-CR"/>
        </w:rPr>
        <w:t>%), un buen nivel económico (</w:t>
      </w:r>
      <w:r>
        <w:rPr>
          <w:lang w:val="es-CR"/>
        </w:rPr>
        <w:t>4,37</w:t>
      </w:r>
      <w:r w:rsidRPr="00584FFB">
        <w:rPr>
          <w:lang w:val="es-CR"/>
        </w:rPr>
        <w:t>%), estar saludable (</w:t>
      </w:r>
      <w:r>
        <w:rPr>
          <w:lang w:val="es-CR"/>
        </w:rPr>
        <w:t>0,38</w:t>
      </w:r>
      <w:r w:rsidRPr="00584FFB">
        <w:rPr>
          <w:lang w:val="es-CR"/>
        </w:rPr>
        <w:t>%), tener pasatiempos y realizar actividades agradables (</w:t>
      </w:r>
      <w:r>
        <w:rPr>
          <w:lang w:val="es-CR"/>
        </w:rPr>
        <w:t>5,51</w:t>
      </w:r>
      <w:r w:rsidRPr="00584FFB">
        <w:rPr>
          <w:lang w:val="es-CR"/>
        </w:rPr>
        <w:t>%), tener tolerancia a la frustración (</w:t>
      </w:r>
      <w:r>
        <w:rPr>
          <w:lang w:val="es-CR"/>
        </w:rPr>
        <w:t>5,32</w:t>
      </w:r>
      <w:r w:rsidRPr="00584FFB">
        <w:rPr>
          <w:lang w:val="es-CR"/>
        </w:rPr>
        <w:t>%) y contar con tratamiento psiquiátrico (</w:t>
      </w:r>
      <w:r>
        <w:rPr>
          <w:lang w:val="es-CR"/>
        </w:rPr>
        <w:t>9,7</w:t>
      </w:r>
      <w:r w:rsidRPr="00584FFB">
        <w:rPr>
          <w:lang w:val="es-CR"/>
        </w:rPr>
        <w:t xml:space="preserve">%). </w:t>
      </w:r>
    </w:p>
    <w:p w14:paraId="0DDC82F4" w14:textId="0670C2CE" w:rsidR="001349C5" w:rsidRPr="00584FFB" w:rsidRDefault="001349C5" w:rsidP="00115125">
      <w:pPr>
        <w:pStyle w:val="Prrafocomn"/>
        <w:rPr>
          <w:lang w:val="es-CR"/>
        </w:rPr>
      </w:pPr>
      <w:r w:rsidRPr="00584FFB">
        <w:rPr>
          <w:lang w:val="es-CR"/>
        </w:rPr>
        <w:t xml:space="preserve">Al comparar el sexo de los participantes con los factores protectores </w:t>
      </w:r>
      <w:r w:rsidR="006C6AF8" w:rsidRPr="00584FFB">
        <w:rPr>
          <w:lang w:val="es-CR"/>
        </w:rPr>
        <w:t xml:space="preserve">vinculados al suicidio, se eliminaron 4 observaciones que corresponden a las respuestas de “prefiero no responder” y </w:t>
      </w:r>
      <w:r w:rsidR="00E1789B">
        <w:rPr>
          <w:lang w:val="es-CR"/>
        </w:rPr>
        <w:t>“</w:t>
      </w:r>
      <w:r w:rsidR="006C6AF8" w:rsidRPr="00584FFB">
        <w:rPr>
          <w:lang w:val="es-CR"/>
        </w:rPr>
        <w:t>no me identifico con ningún sexo”</w:t>
      </w:r>
      <w:r w:rsidR="0033124F" w:rsidRPr="00584FFB">
        <w:rPr>
          <w:lang w:val="es-CR"/>
        </w:rPr>
        <w:t xml:space="preserve"> por lo que se trabaja con </w:t>
      </w:r>
      <w:r w:rsidR="00E1789B" w:rsidRPr="00584FFB">
        <w:rPr>
          <w:lang w:val="es-CR"/>
        </w:rPr>
        <w:t>un valor</w:t>
      </w:r>
      <w:r w:rsidR="0033124F" w:rsidRPr="00584FFB">
        <w:rPr>
          <w:lang w:val="es-CR"/>
        </w:rPr>
        <w:t xml:space="preserve"> de n=5</w:t>
      </w:r>
      <w:r w:rsidR="003A6F79" w:rsidRPr="00584FFB">
        <w:rPr>
          <w:lang w:val="es-CR"/>
        </w:rPr>
        <w:t xml:space="preserve">22. </w:t>
      </w:r>
    </w:p>
    <w:p w14:paraId="40F63255" w14:textId="6532DAFF" w:rsidR="00330364" w:rsidRPr="00B706C6" w:rsidRDefault="007C72CE" w:rsidP="00115125">
      <w:pPr>
        <w:pStyle w:val="Prrafocomn"/>
        <w:ind w:firstLine="709"/>
        <w:rPr>
          <w:lang w:val="es-CR"/>
        </w:rPr>
      </w:pPr>
      <w:r w:rsidRPr="00B706C6">
        <w:rPr>
          <w:lang w:val="es-CR"/>
        </w:rPr>
        <w:t>Mediante la prueba de chi cuadrado se</w:t>
      </w:r>
      <w:r w:rsidR="003527AB" w:rsidRPr="00B706C6">
        <w:rPr>
          <w:lang w:val="es-CR"/>
        </w:rPr>
        <w:t xml:space="preserve"> busca identificar si </w:t>
      </w:r>
      <w:r w:rsidRPr="00B706C6">
        <w:rPr>
          <w:lang w:val="es-CR"/>
        </w:rPr>
        <w:t xml:space="preserve">el sexo </w:t>
      </w:r>
      <w:r w:rsidR="003527AB" w:rsidRPr="00B706C6">
        <w:rPr>
          <w:lang w:val="es-CR"/>
        </w:rPr>
        <w:t xml:space="preserve">de las personas tiene relación </w:t>
      </w:r>
      <w:r w:rsidR="00330364" w:rsidRPr="00B706C6">
        <w:rPr>
          <w:lang w:val="es-CR"/>
        </w:rPr>
        <w:t xml:space="preserve">con </w:t>
      </w:r>
      <w:r w:rsidR="003527AB" w:rsidRPr="00B706C6">
        <w:rPr>
          <w:lang w:val="es-CR"/>
        </w:rPr>
        <w:t xml:space="preserve">las </w:t>
      </w:r>
      <w:r w:rsidR="00330364" w:rsidRPr="00B706C6">
        <w:rPr>
          <w:lang w:val="es-CR"/>
        </w:rPr>
        <w:t xml:space="preserve">diferentes variables </w:t>
      </w:r>
      <w:r w:rsidR="003527AB" w:rsidRPr="00B706C6">
        <w:rPr>
          <w:lang w:val="es-CR"/>
        </w:rPr>
        <w:t xml:space="preserve">analizadas, </w:t>
      </w:r>
      <w:r w:rsidR="00330364" w:rsidRPr="00B706C6">
        <w:rPr>
          <w:lang w:val="es-CR"/>
        </w:rPr>
        <w:t>encontrando que</w:t>
      </w:r>
      <w:r w:rsidR="003527AB" w:rsidRPr="00B706C6">
        <w:rPr>
          <w:lang w:val="es-CR"/>
        </w:rPr>
        <w:t xml:space="preserve"> existe esta relación entre sexo y</w:t>
      </w:r>
      <w:r w:rsidR="00330364" w:rsidRPr="00B706C6">
        <w:rPr>
          <w:lang w:val="es-CR"/>
        </w:rPr>
        <w:t>:</w:t>
      </w:r>
    </w:p>
    <w:p w14:paraId="59FDD049" w14:textId="77F4BFA1" w:rsidR="00330364" w:rsidRPr="00B706C6" w:rsidRDefault="003527AB" w:rsidP="00115125">
      <w:pPr>
        <w:pStyle w:val="Prrafocomn"/>
        <w:numPr>
          <w:ilvl w:val="0"/>
          <w:numId w:val="19"/>
        </w:numPr>
        <w:rPr>
          <w:lang w:val="es-CR"/>
        </w:rPr>
      </w:pPr>
      <w:r w:rsidRPr="00B706C6">
        <w:rPr>
          <w:lang w:val="es-CR"/>
        </w:rPr>
        <w:t xml:space="preserve">la percepción referente a </w:t>
      </w:r>
      <w:r w:rsidR="007C72CE" w:rsidRPr="00B706C6">
        <w:rPr>
          <w:lang w:val="es-CR"/>
        </w:rPr>
        <w:t>si una persona que piensa cometer suicidio encuentra facilidad para buscar ayuda</w:t>
      </w:r>
      <w:r w:rsidR="00462E3C" w:rsidRPr="00B706C6">
        <w:rPr>
          <w:lang w:val="es-CR"/>
        </w:rPr>
        <w:t>,</w:t>
      </w:r>
      <w:r w:rsidR="007C72CE" w:rsidRPr="00B706C6">
        <w:rPr>
          <w:lang w:val="es-CR"/>
        </w:rPr>
        <w:t xml:space="preserve"> encontrando una relación entre ambas p=.01</w:t>
      </w:r>
      <w:r w:rsidR="00485A19" w:rsidRPr="00B706C6">
        <w:rPr>
          <w:lang w:val="es-CR"/>
        </w:rPr>
        <w:t xml:space="preserve">. </w:t>
      </w:r>
      <w:r w:rsidR="009F5EB7" w:rsidRPr="00B706C6">
        <w:rPr>
          <w:lang w:val="es-CR"/>
        </w:rPr>
        <w:t>Para determinar</w:t>
      </w:r>
      <w:r w:rsidR="00485A19" w:rsidRPr="00B706C6">
        <w:rPr>
          <w:lang w:val="es-CR"/>
        </w:rPr>
        <w:t xml:space="preserve"> sí hay </w:t>
      </w:r>
      <w:r w:rsidR="009F5EB7" w:rsidRPr="00B706C6">
        <w:rPr>
          <w:lang w:val="es-CR"/>
        </w:rPr>
        <w:t>diferencia por sexo,</w:t>
      </w:r>
      <w:r w:rsidR="00485A19" w:rsidRPr="00B706C6">
        <w:rPr>
          <w:lang w:val="es-CR"/>
        </w:rPr>
        <w:t xml:space="preserve"> se procede a hacer la prueba de hipótesis de una cola </w:t>
      </w:r>
      <w:r w:rsidR="00A22372" w:rsidRPr="00B706C6">
        <w:rPr>
          <w:lang w:val="es-CR"/>
        </w:rPr>
        <w:t xml:space="preserve">(sin considerar las personas que respondieron “tal vez”, ya que no se </w:t>
      </w:r>
      <w:r w:rsidR="00204B2F" w:rsidRPr="00B706C6">
        <w:rPr>
          <w:lang w:val="es-CR"/>
        </w:rPr>
        <w:t>considera correcto sumar</w:t>
      </w:r>
      <w:r w:rsidR="00A31DAB" w:rsidRPr="00B706C6">
        <w:rPr>
          <w:lang w:val="es-CR"/>
        </w:rPr>
        <w:t xml:space="preserve"> estas respuestas con l</w:t>
      </w:r>
      <w:r w:rsidR="00F74907" w:rsidRPr="00B706C6">
        <w:rPr>
          <w:lang w:val="es-CR"/>
        </w:rPr>
        <w:t>a</w:t>
      </w:r>
      <w:r w:rsidR="00A31DAB" w:rsidRPr="00B706C6">
        <w:rPr>
          <w:lang w:val="es-CR"/>
        </w:rPr>
        <w:t>s positiv</w:t>
      </w:r>
      <w:r w:rsidR="00F74907" w:rsidRPr="00B706C6">
        <w:rPr>
          <w:lang w:val="es-CR"/>
        </w:rPr>
        <w:t>a</w:t>
      </w:r>
      <w:r w:rsidR="00A31DAB" w:rsidRPr="00B706C6">
        <w:rPr>
          <w:lang w:val="es-CR"/>
        </w:rPr>
        <w:t>s o l</w:t>
      </w:r>
      <w:r w:rsidR="00F74907" w:rsidRPr="00B706C6">
        <w:rPr>
          <w:lang w:val="es-CR"/>
        </w:rPr>
        <w:t>a</w:t>
      </w:r>
      <w:r w:rsidR="00A31DAB" w:rsidRPr="00B706C6">
        <w:rPr>
          <w:lang w:val="es-CR"/>
        </w:rPr>
        <w:t>s negativ</w:t>
      </w:r>
      <w:r w:rsidR="00F74907" w:rsidRPr="00B706C6">
        <w:rPr>
          <w:lang w:val="es-CR"/>
        </w:rPr>
        <w:t>a</w:t>
      </w:r>
      <w:r w:rsidR="00A31DAB" w:rsidRPr="00B706C6">
        <w:rPr>
          <w:lang w:val="es-CR"/>
        </w:rPr>
        <w:t>s</w:t>
      </w:r>
      <w:r w:rsidR="00F74907" w:rsidRPr="00B706C6">
        <w:rPr>
          <w:lang w:val="es-CR"/>
        </w:rPr>
        <w:t>).</w:t>
      </w:r>
      <w:r w:rsidR="00485A19" w:rsidRPr="00B706C6">
        <w:rPr>
          <w:lang w:val="es-CR"/>
        </w:rPr>
        <w:t xml:space="preserve"> </w:t>
      </w:r>
      <w:r w:rsidR="009F5EB7" w:rsidRPr="00B706C6">
        <w:rPr>
          <w:lang w:val="es-CR"/>
        </w:rPr>
        <w:t>La prueba de hipótesis en este caso indica que no hay diferencia en la proporción de personas que responde afirmativamente a esta variable</w:t>
      </w:r>
      <w:r w:rsidR="0058289F" w:rsidRPr="00B706C6">
        <w:rPr>
          <w:lang w:val="es-CR"/>
        </w:rPr>
        <w:t>.</w:t>
      </w:r>
    </w:p>
    <w:p w14:paraId="259BC6E5" w14:textId="31E9A677" w:rsidR="00D926AB" w:rsidRPr="00B706C6" w:rsidRDefault="00462E3C" w:rsidP="00115125">
      <w:pPr>
        <w:pStyle w:val="Prrafocomn"/>
        <w:numPr>
          <w:ilvl w:val="0"/>
          <w:numId w:val="19"/>
        </w:numPr>
        <w:rPr>
          <w:lang w:val="es-CR"/>
        </w:rPr>
      </w:pPr>
      <w:r w:rsidRPr="00B706C6">
        <w:rPr>
          <w:lang w:val="es-CR"/>
        </w:rPr>
        <w:t xml:space="preserve">la opinión </w:t>
      </w:r>
      <w:r w:rsidR="0090129A" w:rsidRPr="00B706C6">
        <w:rPr>
          <w:lang w:val="es-CR"/>
        </w:rPr>
        <w:t>asociada</w:t>
      </w:r>
      <w:r w:rsidRPr="00B706C6">
        <w:rPr>
          <w:lang w:val="es-CR"/>
        </w:rPr>
        <w:t xml:space="preserve"> a </w:t>
      </w:r>
      <w:r w:rsidR="00330364" w:rsidRPr="00B706C6">
        <w:rPr>
          <w:lang w:val="es-CR"/>
        </w:rPr>
        <w:t>si</w:t>
      </w:r>
      <w:r w:rsidR="0090129A" w:rsidRPr="00B706C6">
        <w:rPr>
          <w:lang w:val="es-CR"/>
        </w:rPr>
        <w:t xml:space="preserve"> se</w:t>
      </w:r>
      <w:r w:rsidR="00330364" w:rsidRPr="00B706C6">
        <w:rPr>
          <w:lang w:val="es-CR"/>
        </w:rPr>
        <w:t xml:space="preserve"> considera que la persona que desea cometer suicidio no lo dice</w:t>
      </w:r>
      <w:r w:rsidR="0090129A" w:rsidRPr="00B706C6">
        <w:rPr>
          <w:lang w:val="es-CR"/>
        </w:rPr>
        <w:t xml:space="preserve"> (</w:t>
      </w:r>
      <w:r w:rsidR="00330364" w:rsidRPr="00B706C6">
        <w:rPr>
          <w:lang w:val="es-CR"/>
        </w:rPr>
        <w:t>p=.003</w:t>
      </w:r>
      <w:r w:rsidR="0090129A" w:rsidRPr="00B706C6">
        <w:rPr>
          <w:lang w:val="es-CR"/>
        </w:rPr>
        <w:t>)</w:t>
      </w:r>
      <w:r w:rsidR="00330364" w:rsidRPr="00B706C6">
        <w:rPr>
          <w:lang w:val="es-CR"/>
        </w:rPr>
        <w:t xml:space="preserve">. </w:t>
      </w:r>
      <w:r w:rsidR="00020C6B" w:rsidRPr="00B706C6">
        <w:rPr>
          <w:lang w:val="es-CR"/>
        </w:rPr>
        <w:t xml:space="preserve">Haciendo la prueba </w:t>
      </w:r>
      <w:r w:rsidR="002C484D" w:rsidRPr="00B706C6">
        <w:rPr>
          <w:lang w:val="es-CR"/>
        </w:rPr>
        <w:t xml:space="preserve">de hipótesis </w:t>
      </w:r>
      <w:r w:rsidR="005664D2" w:rsidRPr="00B706C6">
        <w:rPr>
          <w:lang w:val="es-CR"/>
        </w:rPr>
        <w:t>de dos proporciones para una</w:t>
      </w:r>
      <w:r w:rsidR="00F055DF" w:rsidRPr="00B706C6">
        <w:rPr>
          <w:lang w:val="es-CR"/>
        </w:rPr>
        <w:t xml:space="preserve"> cola</w:t>
      </w:r>
      <w:r w:rsidR="00020C6B" w:rsidRPr="00B706C6">
        <w:rPr>
          <w:lang w:val="es-CR"/>
        </w:rPr>
        <w:t>, s</w:t>
      </w:r>
      <w:r w:rsidR="00D926AB" w:rsidRPr="00B706C6">
        <w:rPr>
          <w:lang w:val="es-CR"/>
        </w:rPr>
        <w:t xml:space="preserve">e </w:t>
      </w:r>
      <w:r w:rsidR="00020C6B" w:rsidRPr="00B706C6">
        <w:rPr>
          <w:lang w:val="es-CR"/>
        </w:rPr>
        <w:t>determina</w:t>
      </w:r>
      <w:r w:rsidR="00D926AB" w:rsidRPr="00B706C6">
        <w:rPr>
          <w:lang w:val="es-CR"/>
        </w:rPr>
        <w:t xml:space="preserve"> que </w:t>
      </w:r>
      <w:r w:rsidR="00B61B3C" w:rsidRPr="00B706C6">
        <w:rPr>
          <w:lang w:val="es-CR"/>
        </w:rPr>
        <w:t>la proporción de opiniones afirmativas es mayor para los</w:t>
      </w:r>
      <w:r w:rsidR="00D926AB" w:rsidRPr="00B706C6">
        <w:rPr>
          <w:lang w:val="es-CR"/>
        </w:rPr>
        <w:t xml:space="preserve"> hombres que </w:t>
      </w:r>
      <w:r w:rsidR="00B61B3C" w:rsidRPr="00B706C6">
        <w:rPr>
          <w:lang w:val="es-CR"/>
        </w:rPr>
        <w:t xml:space="preserve">para </w:t>
      </w:r>
      <w:r w:rsidR="00D926AB" w:rsidRPr="00B706C6">
        <w:rPr>
          <w:lang w:val="es-CR"/>
        </w:rPr>
        <w:t>la</w:t>
      </w:r>
      <w:r w:rsidR="00B61B3C" w:rsidRPr="00B706C6">
        <w:rPr>
          <w:lang w:val="es-CR"/>
        </w:rPr>
        <w:t>s</w:t>
      </w:r>
      <w:r w:rsidR="00D926AB" w:rsidRPr="00B706C6">
        <w:rPr>
          <w:lang w:val="es-CR"/>
        </w:rPr>
        <w:t xml:space="preserve"> de mujeres </w:t>
      </w:r>
      <w:r w:rsidR="00B61B3C" w:rsidRPr="00B706C6">
        <w:rPr>
          <w:lang w:val="es-CR"/>
        </w:rPr>
        <w:t>(</w:t>
      </w:r>
      <w:r w:rsidR="00D926AB" w:rsidRPr="00B706C6">
        <w:rPr>
          <w:lang w:val="es-CR"/>
        </w:rPr>
        <w:t>p=0.007 comparado con un p=</w:t>
      </w:r>
      <w:r w:rsidR="00B61B3C" w:rsidRPr="00B706C6">
        <w:rPr>
          <w:lang w:val="es-CR"/>
        </w:rPr>
        <w:t>0</w:t>
      </w:r>
      <w:r w:rsidR="00D926AB" w:rsidRPr="00B706C6">
        <w:rPr>
          <w:lang w:val="es-CR"/>
        </w:rPr>
        <w:t>.05</w:t>
      </w:r>
      <w:r w:rsidR="00B61B3C" w:rsidRPr="00B706C6">
        <w:rPr>
          <w:lang w:val="es-CR"/>
        </w:rPr>
        <w:t>)</w:t>
      </w:r>
      <w:r w:rsidR="00013433" w:rsidRPr="00B706C6">
        <w:rPr>
          <w:lang w:val="es-CR"/>
        </w:rPr>
        <w:t>. Es decir que los hombres consideran, en mayor medida que las mujeres, que la persona que desea cometer suicidio no lo dice.</w:t>
      </w:r>
    </w:p>
    <w:p w14:paraId="2D874A63" w14:textId="50E91584" w:rsidR="000518F5" w:rsidRPr="00B706C6" w:rsidRDefault="00D2297B" w:rsidP="00115125">
      <w:pPr>
        <w:pStyle w:val="Prrafocomn"/>
        <w:numPr>
          <w:ilvl w:val="0"/>
          <w:numId w:val="19"/>
        </w:numPr>
        <w:rPr>
          <w:lang w:val="es-CR"/>
        </w:rPr>
      </w:pPr>
      <w:r w:rsidRPr="00B706C6">
        <w:rPr>
          <w:lang w:val="es-CR"/>
        </w:rPr>
        <w:t>la creencia de que</w:t>
      </w:r>
      <w:r w:rsidR="00330364" w:rsidRPr="00B706C6">
        <w:rPr>
          <w:lang w:val="es-CR"/>
        </w:rPr>
        <w:t xml:space="preserve"> los suicidios suceden sin advertencia </w:t>
      </w:r>
      <w:r w:rsidRPr="00B706C6">
        <w:rPr>
          <w:lang w:val="es-CR"/>
        </w:rPr>
        <w:t>(</w:t>
      </w:r>
      <w:r w:rsidR="00330364" w:rsidRPr="00B706C6">
        <w:rPr>
          <w:lang w:val="es-CR"/>
        </w:rPr>
        <w:t>p=0</w:t>
      </w:r>
      <w:r w:rsidRPr="00B706C6">
        <w:rPr>
          <w:lang w:val="es-CR"/>
        </w:rPr>
        <w:t>)</w:t>
      </w:r>
      <w:r w:rsidR="000518F5" w:rsidRPr="00B706C6">
        <w:rPr>
          <w:lang w:val="es-CR"/>
        </w:rPr>
        <w:t xml:space="preserve">. </w:t>
      </w:r>
      <w:r w:rsidR="00A26403" w:rsidRPr="00B706C6">
        <w:rPr>
          <w:lang w:val="es-CR"/>
        </w:rPr>
        <w:t xml:space="preserve">Haciendo la prueba de hipótesis </w:t>
      </w:r>
      <w:r w:rsidR="00FF6C91" w:rsidRPr="00B706C6">
        <w:rPr>
          <w:lang w:val="es-CR"/>
        </w:rPr>
        <w:t>para</w:t>
      </w:r>
      <w:r w:rsidR="00A26403" w:rsidRPr="00B706C6">
        <w:rPr>
          <w:lang w:val="es-CR"/>
        </w:rPr>
        <w:t xml:space="preserve"> </w:t>
      </w:r>
      <w:r w:rsidR="005664D2" w:rsidRPr="00B706C6">
        <w:rPr>
          <w:lang w:val="es-CR"/>
        </w:rPr>
        <w:t>dos proporciones</w:t>
      </w:r>
      <w:r w:rsidR="00A26403" w:rsidRPr="00B706C6">
        <w:rPr>
          <w:lang w:val="es-CR"/>
        </w:rPr>
        <w:t xml:space="preserve">, se determina </w:t>
      </w:r>
      <w:r w:rsidR="00FF6C91" w:rsidRPr="00B706C6">
        <w:rPr>
          <w:lang w:val="es-CR"/>
        </w:rPr>
        <w:t xml:space="preserve">que la proporción de hombres que </w:t>
      </w:r>
      <w:r w:rsidR="005664D2" w:rsidRPr="00B706C6">
        <w:rPr>
          <w:lang w:val="es-CR"/>
        </w:rPr>
        <w:t xml:space="preserve">considera </w:t>
      </w:r>
      <w:r w:rsidR="000518F5" w:rsidRPr="00B706C6">
        <w:rPr>
          <w:lang w:val="es-CR"/>
        </w:rPr>
        <w:t xml:space="preserve">que los suicidios suceden sin advertencia </w:t>
      </w:r>
      <w:r w:rsidR="00FF6C91" w:rsidRPr="00B706C6">
        <w:rPr>
          <w:lang w:val="es-CR"/>
        </w:rPr>
        <w:t>es mayor que la de mujeres (</w:t>
      </w:r>
      <w:r w:rsidR="000518F5" w:rsidRPr="00B706C6">
        <w:rPr>
          <w:lang w:val="es-CR"/>
        </w:rPr>
        <w:t>p=0.001 comparado con un p=</w:t>
      </w:r>
      <w:r w:rsidR="001A19FF" w:rsidRPr="00B706C6">
        <w:rPr>
          <w:lang w:val="es-CR"/>
        </w:rPr>
        <w:t>0</w:t>
      </w:r>
      <w:r w:rsidR="000518F5" w:rsidRPr="00B706C6">
        <w:rPr>
          <w:lang w:val="es-CR"/>
        </w:rPr>
        <w:t>.05</w:t>
      </w:r>
      <w:r w:rsidR="00FF6C91" w:rsidRPr="00B706C6">
        <w:rPr>
          <w:lang w:val="es-CR"/>
        </w:rPr>
        <w:t>)</w:t>
      </w:r>
    </w:p>
    <w:p w14:paraId="63C88FB4" w14:textId="7E8823C4" w:rsidR="00330364" w:rsidRPr="00B706C6" w:rsidRDefault="007E2D16" w:rsidP="00115125">
      <w:pPr>
        <w:pStyle w:val="Prrafocomn"/>
        <w:numPr>
          <w:ilvl w:val="0"/>
          <w:numId w:val="19"/>
        </w:numPr>
        <w:rPr>
          <w:lang w:val="es-CR"/>
        </w:rPr>
      </w:pPr>
      <w:r w:rsidRPr="00B706C6">
        <w:rPr>
          <w:lang w:val="es-CR"/>
        </w:rPr>
        <w:lastRenderedPageBreak/>
        <w:t>l</w:t>
      </w:r>
      <w:r w:rsidR="000E4B35" w:rsidRPr="00B706C6">
        <w:rPr>
          <w:lang w:val="es-CR"/>
        </w:rPr>
        <w:t>a c</w:t>
      </w:r>
      <w:r w:rsidRPr="00B706C6">
        <w:rPr>
          <w:lang w:val="es-CR"/>
        </w:rPr>
        <w:t>reencia de que,</w:t>
      </w:r>
      <w:r w:rsidR="00330364" w:rsidRPr="00B706C6">
        <w:rPr>
          <w:lang w:val="es-CR"/>
        </w:rPr>
        <w:t xml:space="preserve"> si en </w:t>
      </w:r>
      <w:r w:rsidRPr="00B706C6">
        <w:rPr>
          <w:lang w:val="es-CR"/>
        </w:rPr>
        <w:t>una</w:t>
      </w:r>
      <w:r w:rsidR="00330364" w:rsidRPr="00B706C6">
        <w:rPr>
          <w:lang w:val="es-CR"/>
        </w:rPr>
        <w:t xml:space="preserve"> familia existen miembros que comenten suicidio</w:t>
      </w:r>
      <w:r w:rsidRPr="00B706C6">
        <w:rPr>
          <w:lang w:val="es-CR"/>
        </w:rPr>
        <w:t>, esto</w:t>
      </w:r>
      <w:r w:rsidR="00330364" w:rsidRPr="00B706C6">
        <w:rPr>
          <w:lang w:val="es-CR"/>
        </w:rPr>
        <w:t xml:space="preserve"> incide en seguir ese mismo patrón </w:t>
      </w:r>
      <w:r w:rsidRPr="00B706C6">
        <w:rPr>
          <w:lang w:val="es-CR"/>
        </w:rPr>
        <w:t>(</w:t>
      </w:r>
      <w:r w:rsidR="00AA7839" w:rsidRPr="00B706C6">
        <w:rPr>
          <w:lang w:val="es-CR"/>
        </w:rPr>
        <w:t>p= .009</w:t>
      </w:r>
      <w:r w:rsidRPr="00B706C6">
        <w:rPr>
          <w:lang w:val="es-CR"/>
        </w:rPr>
        <w:t>)</w:t>
      </w:r>
      <w:r w:rsidR="00790423" w:rsidRPr="00B706C6">
        <w:rPr>
          <w:lang w:val="es-CR"/>
        </w:rPr>
        <w:t>.</w:t>
      </w:r>
      <w:r w:rsidR="0091676A" w:rsidRPr="00B706C6">
        <w:rPr>
          <w:lang w:val="es-CR"/>
        </w:rPr>
        <w:t xml:space="preserve"> </w:t>
      </w:r>
      <w:r w:rsidR="00867864" w:rsidRPr="00B706C6">
        <w:rPr>
          <w:lang w:val="es-CR"/>
        </w:rPr>
        <w:t>Usando</w:t>
      </w:r>
      <w:r w:rsidR="0091676A" w:rsidRPr="00B706C6">
        <w:rPr>
          <w:lang w:val="es-CR"/>
        </w:rPr>
        <w:t xml:space="preserve"> una prueba de hipótesis de dos </w:t>
      </w:r>
      <w:r w:rsidR="004B0897" w:rsidRPr="00B706C6">
        <w:rPr>
          <w:lang w:val="es-CR"/>
        </w:rPr>
        <w:t>proporciones</w:t>
      </w:r>
      <w:r w:rsidR="0091676A" w:rsidRPr="00B706C6">
        <w:rPr>
          <w:lang w:val="es-CR"/>
        </w:rPr>
        <w:t xml:space="preserve"> se determina que </w:t>
      </w:r>
      <w:r w:rsidR="00790423" w:rsidRPr="00B706C6">
        <w:rPr>
          <w:lang w:val="es-CR"/>
        </w:rPr>
        <w:t>la proporción de</w:t>
      </w:r>
      <w:r w:rsidR="0091676A" w:rsidRPr="00B706C6">
        <w:rPr>
          <w:lang w:val="es-CR"/>
        </w:rPr>
        <w:t xml:space="preserve"> hombres</w:t>
      </w:r>
      <w:r w:rsidR="001A19FF" w:rsidRPr="00B706C6">
        <w:rPr>
          <w:lang w:val="es-CR"/>
        </w:rPr>
        <w:t xml:space="preserve"> </w:t>
      </w:r>
      <w:r w:rsidR="00790423" w:rsidRPr="00B706C6">
        <w:rPr>
          <w:lang w:val="es-CR"/>
        </w:rPr>
        <w:t>que responde</w:t>
      </w:r>
      <w:r w:rsidR="001A19FF" w:rsidRPr="00B706C6">
        <w:rPr>
          <w:lang w:val="es-CR"/>
        </w:rPr>
        <w:t xml:space="preserve"> afirmativamente esta pregunta</w:t>
      </w:r>
      <w:r w:rsidR="00790423" w:rsidRPr="00B706C6">
        <w:rPr>
          <w:lang w:val="es-CR"/>
        </w:rPr>
        <w:t xml:space="preserve"> es mayor que la de</w:t>
      </w:r>
      <w:r w:rsidR="001A19FF" w:rsidRPr="00B706C6">
        <w:rPr>
          <w:lang w:val="es-CR"/>
        </w:rPr>
        <w:t xml:space="preserve"> mujeres (</w:t>
      </w:r>
      <w:r w:rsidR="0091676A" w:rsidRPr="00B706C6">
        <w:rPr>
          <w:lang w:val="es-CR"/>
        </w:rPr>
        <w:t>p=.001, versus p=</w:t>
      </w:r>
      <w:r w:rsidR="001A19FF" w:rsidRPr="00B706C6">
        <w:rPr>
          <w:lang w:val="es-CR"/>
        </w:rPr>
        <w:t>0</w:t>
      </w:r>
      <w:r w:rsidR="0091676A" w:rsidRPr="00B706C6">
        <w:rPr>
          <w:lang w:val="es-CR"/>
        </w:rPr>
        <w:t>.05</w:t>
      </w:r>
      <w:r w:rsidR="001A19FF" w:rsidRPr="00B706C6">
        <w:rPr>
          <w:lang w:val="es-CR"/>
        </w:rPr>
        <w:t>)</w:t>
      </w:r>
    </w:p>
    <w:p w14:paraId="6F59E718" w14:textId="705A733C" w:rsidR="00AA7839" w:rsidRPr="00B706C6" w:rsidRDefault="00AA7839" w:rsidP="00115125">
      <w:pPr>
        <w:pStyle w:val="Prrafocomn"/>
        <w:numPr>
          <w:ilvl w:val="0"/>
          <w:numId w:val="19"/>
        </w:numPr>
        <w:rPr>
          <w:lang w:val="es-CR"/>
        </w:rPr>
      </w:pPr>
      <w:r w:rsidRPr="00B706C6">
        <w:rPr>
          <w:lang w:val="es-CR"/>
        </w:rPr>
        <w:t xml:space="preserve">la opinión sobre si el factor consumo de drogas afecta </w:t>
      </w:r>
      <w:r w:rsidR="007E2D16" w:rsidRPr="00B706C6">
        <w:rPr>
          <w:lang w:val="es-CR"/>
        </w:rPr>
        <w:t>e</w:t>
      </w:r>
      <w:r w:rsidRPr="00B706C6">
        <w:rPr>
          <w:lang w:val="es-CR"/>
        </w:rPr>
        <w:t xml:space="preserve">l cometer suicidio </w:t>
      </w:r>
      <w:r w:rsidR="007E2D16" w:rsidRPr="00B706C6">
        <w:rPr>
          <w:lang w:val="es-CR"/>
        </w:rPr>
        <w:t>(</w:t>
      </w:r>
      <w:r w:rsidRPr="00B706C6">
        <w:rPr>
          <w:lang w:val="es-CR"/>
        </w:rPr>
        <w:t>p=.048</w:t>
      </w:r>
      <w:r w:rsidR="007E2D16" w:rsidRPr="00B706C6">
        <w:rPr>
          <w:lang w:val="es-CR"/>
        </w:rPr>
        <w:t>).</w:t>
      </w:r>
      <w:r w:rsidR="00E802A4" w:rsidRPr="00B706C6">
        <w:rPr>
          <w:lang w:val="es-CR"/>
        </w:rPr>
        <w:t xml:space="preserve"> Sin embargo</w:t>
      </w:r>
      <w:r w:rsidR="003D3BBD" w:rsidRPr="00B706C6">
        <w:rPr>
          <w:lang w:val="es-CR"/>
        </w:rPr>
        <w:t>,</w:t>
      </w:r>
      <w:r w:rsidR="00E802A4" w:rsidRPr="00B706C6">
        <w:rPr>
          <w:lang w:val="es-CR"/>
        </w:rPr>
        <w:t xml:space="preserve"> al buscar diferencias en las proporciones de respuestas por sexo (eliminando las respuestas “Tal Vez”) no se encuentra una diferencia significativa</w:t>
      </w:r>
      <w:r w:rsidR="003D3BBD" w:rsidRPr="00B706C6">
        <w:rPr>
          <w:lang w:val="es-CR"/>
        </w:rPr>
        <w:t xml:space="preserve"> por sexo en esta variable.</w:t>
      </w:r>
    </w:p>
    <w:p w14:paraId="6FC46397" w14:textId="77777777" w:rsidR="006C368A" w:rsidRDefault="006C368A" w:rsidP="00115125">
      <w:pPr>
        <w:pStyle w:val="Prrafocomn"/>
        <w:ind w:firstLine="709"/>
        <w:rPr>
          <w:lang w:val="es-CR"/>
        </w:rPr>
      </w:pPr>
    </w:p>
    <w:p w14:paraId="220C813D" w14:textId="1FFB5965" w:rsidR="00CE7D65" w:rsidRPr="00C45394" w:rsidRDefault="00CE7D65" w:rsidP="003E0397">
      <w:pPr>
        <w:pStyle w:val="Ttulosinternos"/>
        <w:rPr>
          <w:lang w:val="es-419"/>
        </w:rPr>
      </w:pPr>
      <w:r w:rsidRPr="003E0397">
        <w:rPr>
          <w:lang w:val="es-CR"/>
        </w:rPr>
        <w:t>Discusi</w:t>
      </w:r>
      <w:r w:rsidR="00E23C9E" w:rsidRPr="003E0397">
        <w:rPr>
          <w:lang w:val="es-CR"/>
        </w:rPr>
        <w:t>ó</w:t>
      </w:r>
      <w:r w:rsidRPr="003E0397">
        <w:rPr>
          <w:lang w:val="es-CR"/>
        </w:rPr>
        <w:t>n</w:t>
      </w:r>
    </w:p>
    <w:p w14:paraId="4756C2D7" w14:textId="77777777" w:rsidR="003E0397" w:rsidRPr="00C45394" w:rsidRDefault="003E0397" w:rsidP="003E0397">
      <w:pPr>
        <w:pStyle w:val="Ttulosinternos"/>
        <w:rPr>
          <w:lang w:val="es-419"/>
        </w:rPr>
      </w:pPr>
    </w:p>
    <w:p w14:paraId="3CD12438" w14:textId="1877A09D" w:rsidR="004E637B" w:rsidRDefault="004E637B" w:rsidP="00115125">
      <w:pPr>
        <w:spacing w:line="360" w:lineRule="auto"/>
        <w:ind w:firstLine="720"/>
        <w:jc w:val="both"/>
        <w:rPr>
          <w:lang w:val="es-US"/>
        </w:rPr>
      </w:pPr>
      <w:r>
        <w:rPr>
          <w:lang w:val="es-US"/>
        </w:rPr>
        <w:t xml:space="preserve">El propósito principal de esta investigación </w:t>
      </w:r>
      <w:r w:rsidR="00D04E4B">
        <w:rPr>
          <w:lang w:val="es-US"/>
        </w:rPr>
        <w:t>fue</w:t>
      </w:r>
      <w:r>
        <w:rPr>
          <w:lang w:val="es-US"/>
        </w:rPr>
        <w:t xml:space="preserve"> identificar los conocimientos y las representaciones mentales sobre el suicidio presentes en la población de las comunidades de Montes de Oca y Heredia, con el fin de generar insumos</w:t>
      </w:r>
      <w:r w:rsidR="00096A91">
        <w:rPr>
          <w:lang w:val="es-US"/>
        </w:rPr>
        <w:t xml:space="preserve"> </w:t>
      </w:r>
      <w:r w:rsidR="00096A91" w:rsidRPr="00C74C47">
        <w:rPr>
          <w:lang w:val="es-US"/>
        </w:rPr>
        <w:t>que</w:t>
      </w:r>
      <w:r>
        <w:rPr>
          <w:lang w:val="es-US"/>
        </w:rPr>
        <w:t xml:space="preserve"> faciliten el diseño de estrategias específicas de prevención, abordaje y seguimiento del comportamiento suicida.  Los resultados obtenidos indican que 77,57% de los participantes considera que se puede prevenir el suicidio y 63,50% considera que, aunque la persona que está en riesgo no lo verbalice, es posible identificar algunas señales de alarma.  </w:t>
      </w:r>
    </w:p>
    <w:p w14:paraId="201FEB07" w14:textId="3C9778EC" w:rsidR="004E637B" w:rsidRDefault="004E637B" w:rsidP="00115125">
      <w:pPr>
        <w:spacing w:line="360" w:lineRule="auto"/>
        <w:ind w:firstLine="720"/>
        <w:jc w:val="both"/>
        <w:rPr>
          <w:lang w:val="es-US"/>
        </w:rPr>
      </w:pPr>
      <w:r>
        <w:rPr>
          <w:lang w:val="es-US"/>
        </w:rPr>
        <w:t xml:space="preserve">De forma adicional, la población encuestada considera que tener una buena red de apoyo y recibir terapia psicológica son dos de los principales factores protectores frente al suicido. Esto es positivo en el tanto evidencia una apertura de la población a la posibilidad de poner en práctica diferentes estrategias para ofrecer algún tipo de apoyo a quienes se encuentran en riesgo suicida, para tratar de evitar su consumación, así como la noción de que, aunque la ayuda profesional es importante, también lo es el apoyo que puedan ofrecer la familia y amigos. </w:t>
      </w:r>
    </w:p>
    <w:p w14:paraId="78E1E172" w14:textId="5FEF3711" w:rsidR="008E0089" w:rsidRPr="008E0089" w:rsidRDefault="004E637B" w:rsidP="00115125">
      <w:pPr>
        <w:spacing w:line="360" w:lineRule="auto"/>
        <w:ind w:firstLine="720"/>
        <w:jc w:val="both"/>
        <w:rPr>
          <w:lang w:val="es-US" w:eastAsia="en-US"/>
        </w:rPr>
      </w:pPr>
      <w:r>
        <w:rPr>
          <w:lang w:val="es-US"/>
        </w:rPr>
        <w:t>S</w:t>
      </w:r>
      <w:r w:rsidR="008E0089" w:rsidRPr="008E0089">
        <w:rPr>
          <w:lang w:val="es-US"/>
        </w:rPr>
        <w:t>e percibe el suicidio como un acto voluntario sobre el cual la persona decide, y como una forma de solucionar o salir de los problemas</w:t>
      </w:r>
      <w:r w:rsidR="0016367A">
        <w:rPr>
          <w:lang w:val="es-US"/>
        </w:rPr>
        <w:t>.</w:t>
      </w:r>
      <w:r w:rsidR="008E0089" w:rsidRPr="00C645E5">
        <w:rPr>
          <w:color w:val="FF0000"/>
          <w:lang w:val="es-US"/>
        </w:rPr>
        <w:t xml:space="preserve"> </w:t>
      </w:r>
      <w:r w:rsidR="008E0089" w:rsidRPr="008E0089">
        <w:rPr>
          <w:lang w:val="es-US"/>
        </w:rPr>
        <w:t xml:space="preserve">En la percepción general de la población encuestada se observa que por una parte se tiene a normalizar el hecho de que la mayoría de las personas ha tenido pensamientos suicidas en algún momento su vida; sin embargo, se observan algunos juicios de valor con respecto a la consumación del suicidio, considerándolo como una “salida fácil” o algo que va en contra de Dios.  Esos juicios podrían dificultar la posibilidad de ofrecer un acompañamiento apropiado a una persona que se encuentre en riesgo suicida. </w:t>
      </w:r>
    </w:p>
    <w:p w14:paraId="44D405DB" w14:textId="0252883A" w:rsidR="003B4F6F" w:rsidRDefault="00540EE6" w:rsidP="00115125">
      <w:pPr>
        <w:spacing w:line="360" w:lineRule="auto"/>
        <w:ind w:firstLine="720"/>
        <w:jc w:val="both"/>
        <w:rPr>
          <w:lang w:val="es-US"/>
        </w:rPr>
      </w:pPr>
      <w:r>
        <w:rPr>
          <w:lang w:val="es-US"/>
        </w:rPr>
        <w:lastRenderedPageBreak/>
        <w:t>L</w:t>
      </w:r>
      <w:r w:rsidR="008E0089">
        <w:rPr>
          <w:lang w:val="es-US"/>
        </w:rPr>
        <w:t>os principales motivos para cometer suicidio</w:t>
      </w:r>
      <w:r>
        <w:rPr>
          <w:lang w:val="es-US"/>
        </w:rPr>
        <w:t xml:space="preserve"> según la opinión de los participantes</w:t>
      </w:r>
      <w:r w:rsidR="008E0089">
        <w:rPr>
          <w:lang w:val="es-US"/>
        </w:rPr>
        <w:t xml:space="preserve">, se </w:t>
      </w:r>
      <w:r>
        <w:rPr>
          <w:lang w:val="es-US"/>
        </w:rPr>
        <w:t>agrupa</w:t>
      </w:r>
      <w:r w:rsidR="007974F7">
        <w:rPr>
          <w:lang w:val="es-US"/>
        </w:rPr>
        <w:t xml:space="preserve"> en</w:t>
      </w:r>
      <w:r w:rsidR="008E0089">
        <w:rPr>
          <w:lang w:val="es-US"/>
        </w:rPr>
        <w:t xml:space="preserve"> dos grandes categorías: una relacionada con la dificultad o imposibilidad para una adecuada solución de problemas, y la otra vinculada con aspectos de salud mental como la presencia de trastornos o las dificultades para la gestión emocional.  La primera de estas categorías coincide con lo que indica la teoría</w:t>
      </w:r>
      <w:r w:rsidR="007974F7">
        <w:rPr>
          <w:lang w:val="es-US"/>
        </w:rPr>
        <w:t xml:space="preserve"> (Giner et al, 2016; Quiñones et al, 2015)</w:t>
      </w:r>
      <w:r w:rsidR="008E0089">
        <w:rPr>
          <w:lang w:val="es-US"/>
        </w:rPr>
        <w:t xml:space="preserve">, la cual señala la deficiencia en las habilidades para la solución de problemas como uno de los aspectos centrales en el comportamiento suicida. Sin embargo, se puede observar una idea distorsionada por parte de los participantes de este estudio, con respecto a la correlación entre el suicidio y los trastornos mentales. </w:t>
      </w:r>
    </w:p>
    <w:p w14:paraId="08EF7F3A" w14:textId="77777777" w:rsidR="00B51A15" w:rsidRDefault="008E0089" w:rsidP="00115125">
      <w:pPr>
        <w:spacing w:line="360" w:lineRule="auto"/>
        <w:ind w:firstLine="720"/>
        <w:jc w:val="both"/>
        <w:rPr>
          <w:lang w:val="es-US"/>
        </w:rPr>
      </w:pPr>
      <w:r>
        <w:rPr>
          <w:lang w:val="es-US"/>
        </w:rPr>
        <w:t>En este sentido, distintas investigaciones han señalado que no existe un vínculo directo entre el suicidio y los trastornos mentales (</w:t>
      </w:r>
      <w:r w:rsidR="00DC4322">
        <w:rPr>
          <w:lang w:val="es-US"/>
        </w:rPr>
        <w:t>Soto</w:t>
      </w:r>
      <w:r>
        <w:rPr>
          <w:lang w:val="es-US"/>
        </w:rPr>
        <w:t>,</w:t>
      </w:r>
      <w:r w:rsidR="00DC4322">
        <w:rPr>
          <w:lang w:val="es-US"/>
        </w:rPr>
        <w:t xml:space="preserve"> Villarroel y Véliz,</w:t>
      </w:r>
      <w:r>
        <w:rPr>
          <w:lang w:val="es-US"/>
        </w:rPr>
        <w:t xml:space="preserve"> 2020), sino que este responde a deficiencias en habilidades de autorregulación, sentimientos de desesperanza, impulsividad y autoestima entre otros</w:t>
      </w:r>
      <w:r w:rsidR="00B51A15">
        <w:rPr>
          <w:lang w:val="es-US"/>
        </w:rPr>
        <w:t>.</w:t>
      </w:r>
    </w:p>
    <w:p w14:paraId="78DD3B2D" w14:textId="7CF424E7" w:rsidR="008E0089" w:rsidRDefault="00B51A15" w:rsidP="00115125">
      <w:pPr>
        <w:spacing w:line="360" w:lineRule="auto"/>
        <w:ind w:firstLine="720"/>
        <w:jc w:val="both"/>
        <w:rPr>
          <w:lang w:val="es-US"/>
        </w:rPr>
      </w:pPr>
      <w:r>
        <w:rPr>
          <w:lang w:val="es-US"/>
        </w:rPr>
        <w:t>Es</w:t>
      </w:r>
      <w:r w:rsidR="008E0089">
        <w:rPr>
          <w:lang w:val="es-US"/>
        </w:rPr>
        <w:t xml:space="preserve"> así como </w:t>
      </w:r>
      <w:r>
        <w:rPr>
          <w:lang w:val="es-US"/>
        </w:rPr>
        <w:t>la presencia de algunos acontecimientos vitales adversos funge como</w:t>
      </w:r>
      <w:r w:rsidR="008E0089">
        <w:rPr>
          <w:lang w:val="es-US"/>
        </w:rPr>
        <w:t xml:space="preserve"> detonante</w:t>
      </w:r>
      <w:r>
        <w:rPr>
          <w:lang w:val="es-US"/>
        </w:rPr>
        <w:t xml:space="preserve">, como es el caso de la adolescencia, la ser esta uno de los predictores de mayor relevancia en el estudio del riesgo suicida (De la hoz-Granadillo, Reyes-Ruiz y Sánchez-Villegas, 2023). </w:t>
      </w:r>
    </w:p>
    <w:p w14:paraId="5A341CFD" w14:textId="77777777" w:rsidR="008E0089" w:rsidRDefault="008E0089" w:rsidP="00115125">
      <w:pPr>
        <w:spacing w:line="360" w:lineRule="auto"/>
        <w:ind w:firstLine="720"/>
        <w:jc w:val="both"/>
        <w:rPr>
          <w:lang w:val="es-US"/>
        </w:rPr>
      </w:pPr>
      <w:r>
        <w:rPr>
          <w:lang w:val="es-US"/>
        </w:rPr>
        <w:t xml:space="preserve">Asociar el comportamiento suicida con trastornos mentales, además de contribuir al estigma social, hace que muchas personas en riesgo no sean identificadas como tales, debido a que no cuentan con un diagnóstico psiquiátrico, por lo que les puede resultar más difícil recibir ayuda por parte de sus círculos sociales, ante los cuáles, sus señales de alarma podrían pasar desapercibidas. </w:t>
      </w:r>
    </w:p>
    <w:p w14:paraId="411FEDAB" w14:textId="42AFC37D" w:rsidR="008E0089" w:rsidRDefault="008E0089" w:rsidP="00115125">
      <w:pPr>
        <w:spacing w:line="360" w:lineRule="auto"/>
        <w:ind w:firstLine="720"/>
        <w:jc w:val="both"/>
        <w:rPr>
          <w:lang w:val="es-US"/>
        </w:rPr>
      </w:pPr>
      <w:r>
        <w:rPr>
          <w:lang w:val="es-US"/>
        </w:rPr>
        <w:t>Similar a lo observado en relación con los motivos para cometer suicidio, las personas entrevistadas identifican como principales detonantes para esta conducta, aspectos intrínsecos como la depresión, el sentirse solo, la falta de motivación o la baja autoestima, así como aspectos extrínsecos relacionados con eventos adversos como los problemas económicos, la violencia, conflictos familiares, sufrir pérdidas importantes o estar desempleado.  Lo anterior coincide con el modelo psicológico de diátesis-estrés</w:t>
      </w:r>
      <w:r w:rsidR="003B4F6F">
        <w:rPr>
          <w:lang w:val="es-US"/>
        </w:rPr>
        <w:t xml:space="preserve"> </w:t>
      </w:r>
      <w:r w:rsidR="003B4F6F" w:rsidRPr="00156D62">
        <w:rPr>
          <w:lang w:val="es-US"/>
        </w:rPr>
        <w:t>(</w:t>
      </w:r>
      <w:r w:rsidR="00C65DA3" w:rsidRPr="00C65DA3">
        <w:rPr>
          <w:lang w:val="es-US"/>
        </w:rPr>
        <w:t>Campillo</w:t>
      </w:r>
      <w:r w:rsidR="00156D62" w:rsidRPr="00C65DA3">
        <w:rPr>
          <w:lang w:val="es-US"/>
        </w:rPr>
        <w:t xml:space="preserve"> y </w:t>
      </w:r>
      <w:r w:rsidR="00C65DA3" w:rsidRPr="00C65DA3">
        <w:rPr>
          <w:lang w:val="es-US"/>
        </w:rPr>
        <w:t>Fajardo</w:t>
      </w:r>
      <w:r w:rsidR="00156D62" w:rsidRPr="00C65DA3">
        <w:rPr>
          <w:lang w:val="es-US"/>
        </w:rPr>
        <w:t>, 2021</w:t>
      </w:r>
      <w:r w:rsidR="003B4F6F" w:rsidRPr="00C65DA3">
        <w:rPr>
          <w:lang w:val="es-US"/>
        </w:rPr>
        <w:t>)</w:t>
      </w:r>
      <w:r w:rsidRPr="00C65DA3">
        <w:rPr>
          <w:lang w:val="es-US"/>
        </w:rPr>
        <w:t>,</w:t>
      </w:r>
      <w:r>
        <w:rPr>
          <w:lang w:val="es-US"/>
        </w:rPr>
        <w:t xml:space="preserve"> en el que </w:t>
      </w:r>
      <w:bookmarkStart w:id="6" w:name="_Hlk149595069"/>
      <w:r>
        <w:rPr>
          <w:lang w:val="es-US"/>
        </w:rPr>
        <w:t>se considera que las conductas desadaptativas son el resultado de la interacción entre factores intrínsecos que funcionan como elementos de vulnerabilidad o predisposición y factores extrínsecos o ambientales que funcionan como estresores o desencadenantes.</w:t>
      </w:r>
    </w:p>
    <w:bookmarkEnd w:id="6"/>
    <w:p w14:paraId="5F67A546" w14:textId="63E3950F" w:rsidR="008E0089" w:rsidRDefault="003B4F6F" w:rsidP="003B3593">
      <w:pPr>
        <w:tabs>
          <w:tab w:val="left" w:pos="7371"/>
        </w:tabs>
        <w:spacing w:line="360" w:lineRule="auto"/>
        <w:ind w:firstLine="720"/>
        <w:jc w:val="both"/>
        <w:rPr>
          <w:lang w:val="es-US"/>
        </w:rPr>
      </w:pPr>
      <w:r>
        <w:rPr>
          <w:lang w:val="es-US"/>
        </w:rPr>
        <w:lastRenderedPageBreak/>
        <w:t>R</w:t>
      </w:r>
      <w:r w:rsidR="008E0089">
        <w:rPr>
          <w:lang w:val="es-US"/>
        </w:rPr>
        <w:t>especto a las características sociodemográficas de las personas más proclives a cometer suicidio, las personas encuestadas indicaron que en su mayoría son hombres jóvenes. Esto coincide con lo que muestran las estadísticas a nivel nacional, las cuáles indican que, entre el 2019 y el 2021, el 83% de los suicidios consumados fue realizado por hombres (Ministerio de Salud, 2023).  Se evidencia así, que los participantes de este estudio se encuentran bien informados con respecto a la incidencia del suicidio consumado. Esto puede contribuir a los esfuerzos dirigidos hacia la prevención, en el tanto se identifica que la población tiene claridad</w:t>
      </w:r>
      <w:r w:rsidR="003B3593">
        <w:rPr>
          <w:lang w:val="es-US"/>
        </w:rPr>
        <w:t>,</w:t>
      </w:r>
      <w:r w:rsidR="008E0089">
        <w:rPr>
          <w:lang w:val="es-US"/>
        </w:rPr>
        <w:t xml:space="preserve"> con respecto a quiénes serían las poblaciones más vulnerables </w:t>
      </w:r>
      <w:r w:rsidR="003B3593">
        <w:rPr>
          <w:lang w:val="es-US"/>
        </w:rPr>
        <w:t>para</w:t>
      </w:r>
      <w:r w:rsidR="008E0089">
        <w:rPr>
          <w:lang w:val="es-US"/>
        </w:rPr>
        <w:t xml:space="preserve"> tomar una decisión</w:t>
      </w:r>
      <w:r w:rsidR="003B3593">
        <w:rPr>
          <w:lang w:val="es-US"/>
        </w:rPr>
        <w:t>,</w:t>
      </w:r>
      <w:r w:rsidR="008E0089">
        <w:rPr>
          <w:lang w:val="es-US"/>
        </w:rPr>
        <w:t xml:space="preserve"> como la de acabar con su vida. </w:t>
      </w:r>
    </w:p>
    <w:p w14:paraId="704FF0C0" w14:textId="2864C6C2" w:rsidR="00703D6A" w:rsidRPr="00C45394" w:rsidRDefault="00703D6A" w:rsidP="00115125">
      <w:pPr>
        <w:spacing w:line="360" w:lineRule="auto"/>
        <w:ind w:firstLine="720"/>
        <w:jc w:val="both"/>
        <w:rPr>
          <w:lang w:val="es-US"/>
        </w:rPr>
      </w:pPr>
      <w:r w:rsidRPr="00C45394">
        <w:rPr>
          <w:lang w:val="es-US"/>
        </w:rPr>
        <w:t>Debido a l</w:t>
      </w:r>
      <w:r w:rsidR="00FA3CF0" w:rsidRPr="00C45394">
        <w:rPr>
          <w:lang w:val="es-US"/>
        </w:rPr>
        <w:t xml:space="preserve">os índices de suicidio consumado superiores en hombres, es importante analizar la opinión de las personas del estudio en función de su sexo. </w:t>
      </w:r>
      <w:r w:rsidR="00237A4A" w:rsidRPr="00C45394">
        <w:rPr>
          <w:lang w:val="es-US"/>
        </w:rPr>
        <w:t xml:space="preserve">Los hombres, en mayor proporción que las mujeres, </w:t>
      </w:r>
      <w:r w:rsidR="001A716C" w:rsidRPr="00C45394">
        <w:rPr>
          <w:lang w:val="es-US"/>
        </w:rPr>
        <w:t>consideran que quien comete suicidio no lo dic</w:t>
      </w:r>
      <w:r w:rsidR="00946832" w:rsidRPr="00C45394">
        <w:rPr>
          <w:lang w:val="es-US"/>
        </w:rPr>
        <w:t>e</w:t>
      </w:r>
      <w:r w:rsidR="005E0CFD" w:rsidRPr="00C45394">
        <w:rPr>
          <w:lang w:val="es-US"/>
        </w:rPr>
        <w:t xml:space="preserve"> y que los suicidios ocurren sin advertencia</w:t>
      </w:r>
      <w:r w:rsidR="001A716C" w:rsidRPr="00C45394">
        <w:rPr>
          <w:lang w:val="es-US"/>
        </w:rPr>
        <w:t xml:space="preserve">. </w:t>
      </w:r>
      <w:r w:rsidR="00BD0074" w:rsidRPr="00C45394">
        <w:rPr>
          <w:lang w:val="es-US"/>
        </w:rPr>
        <w:t xml:space="preserve">Esta diferencia debe ser analizada en más detalle, para identificar si se debe a que los hombres </w:t>
      </w:r>
      <w:r w:rsidR="003B063C" w:rsidRPr="00C45394">
        <w:rPr>
          <w:lang w:val="es-US"/>
        </w:rPr>
        <w:t xml:space="preserve">han tenido menos experiencias discutiendo este tema que las mujeres, si los hombres consideran que estando </w:t>
      </w:r>
      <w:r w:rsidR="004C50B3" w:rsidRPr="00C45394">
        <w:rPr>
          <w:lang w:val="es-US"/>
        </w:rPr>
        <w:t>en riesgo de cometer suicidio, no hablaría</w:t>
      </w:r>
      <w:r w:rsidR="003B063C" w:rsidRPr="00C45394">
        <w:rPr>
          <w:lang w:val="es-US"/>
        </w:rPr>
        <w:t xml:space="preserve"> del tema o bien si </w:t>
      </w:r>
      <w:r w:rsidR="00B0517C" w:rsidRPr="00C45394">
        <w:rPr>
          <w:lang w:val="es-US"/>
        </w:rPr>
        <w:t>la diferencia de opinión por sexo se debe a otras</w:t>
      </w:r>
      <w:r w:rsidR="003B063C" w:rsidRPr="00C45394">
        <w:rPr>
          <w:lang w:val="es-US"/>
        </w:rPr>
        <w:t xml:space="preserve"> variables.</w:t>
      </w:r>
      <w:r w:rsidR="00FA3CF0" w:rsidRPr="00C45394">
        <w:rPr>
          <w:lang w:val="es-US"/>
        </w:rPr>
        <w:t xml:space="preserve"> </w:t>
      </w:r>
      <w:r w:rsidR="007F7137" w:rsidRPr="00C45394">
        <w:rPr>
          <w:lang w:val="es-US"/>
        </w:rPr>
        <w:t xml:space="preserve">Lo mismo ocurre con la opinión expresada por hombres, en mayor proporción que mujeres, donde indican </w:t>
      </w:r>
      <w:r w:rsidR="0020584B" w:rsidRPr="00C45394">
        <w:rPr>
          <w:lang w:val="es-US"/>
        </w:rPr>
        <w:t xml:space="preserve">que los suicidios previos en una familia inciden en suicidios posteriores. </w:t>
      </w:r>
    </w:p>
    <w:p w14:paraId="263C6618" w14:textId="2C90FB13" w:rsidR="008E0089" w:rsidRDefault="008E0089" w:rsidP="00115125">
      <w:pPr>
        <w:spacing w:line="360" w:lineRule="auto"/>
        <w:ind w:firstLine="720"/>
        <w:jc w:val="both"/>
        <w:rPr>
          <w:lang w:val="es-US"/>
        </w:rPr>
      </w:pPr>
      <w:r>
        <w:rPr>
          <w:lang w:val="es-US"/>
        </w:rPr>
        <w:t xml:space="preserve">Los métodos más utilizados por la población costarricense para cometer suicidio son: ahorcamientos, intoxicación con plaguicidas y herida por arma de fuego (Pino, 2021).  De estos, el ahorcamiento fue uno de los más señalados por la población encuestada, sin embargo, los otros dos métodos señalados como más frecuentes por los participantes fueron la sobredosis de medicamentos y lanzándose de un puente o edificio elevado. Es probable que esta idea distorsionada sobre los métodos utilizados para consumar el suicidio se deba a la amplia cobertura mediática que se hace de eventos en los que una persona se lanza de un puente o edificio, en comparación con la poca visibilidad que se les da a los casos de muerte por intoxicación con </w:t>
      </w:r>
      <w:r w:rsidRPr="008C0767">
        <w:rPr>
          <w:lang w:val="es-US"/>
        </w:rPr>
        <w:t>plaguicidas</w:t>
      </w:r>
      <w:r w:rsidR="00DA0D88" w:rsidRPr="008C0767">
        <w:rPr>
          <w:lang w:val="es-US"/>
        </w:rPr>
        <w:t>, ya que los primeros ocurren en espacios públicos</w:t>
      </w:r>
      <w:r w:rsidRPr="008C0767">
        <w:rPr>
          <w:lang w:val="es-US"/>
        </w:rPr>
        <w:t xml:space="preserve">. Esto representa un riesgo importante, puesto que los plaguicidas se encuentran a disposición de un alto porcentaje de la población costarricense, sin embargo, </w:t>
      </w:r>
      <w:r w:rsidR="00EF468F" w:rsidRPr="008C0767">
        <w:rPr>
          <w:lang w:val="es-US"/>
        </w:rPr>
        <w:t>los participantes del estudio</w:t>
      </w:r>
      <w:r w:rsidRPr="008C0767">
        <w:rPr>
          <w:lang w:val="es-US"/>
        </w:rPr>
        <w:t xml:space="preserve">, no </w:t>
      </w:r>
      <w:r w:rsidR="00EF468F" w:rsidRPr="008C0767">
        <w:rPr>
          <w:lang w:val="es-US"/>
        </w:rPr>
        <w:t>los tienen</w:t>
      </w:r>
      <w:r w:rsidRPr="008C0767">
        <w:rPr>
          <w:lang w:val="es-US"/>
        </w:rPr>
        <w:t xml:space="preserve"> identificados como un factor de riesgo significativo para personas que están considerando el suicidio como una opción.</w:t>
      </w:r>
      <w:r w:rsidR="00EF468F" w:rsidRPr="008C0767">
        <w:rPr>
          <w:lang w:val="es-US"/>
        </w:rPr>
        <w:t xml:space="preserve"> Esto puede deberse a que los participantes, en su mayoría pertenecen a zonas geográficas metropolitanas.</w:t>
      </w:r>
      <w:r w:rsidRPr="008C0767">
        <w:rPr>
          <w:lang w:val="es-US"/>
        </w:rPr>
        <w:t xml:space="preserve"> A raíz de esto, se vuelve necesario generar conciencia sobre este te</w:t>
      </w:r>
      <w:r>
        <w:rPr>
          <w:lang w:val="es-US"/>
        </w:rPr>
        <w:t xml:space="preserve">ma, para que </w:t>
      </w:r>
      <w:r>
        <w:rPr>
          <w:lang w:val="es-US"/>
        </w:rPr>
        <w:lastRenderedPageBreak/>
        <w:t xml:space="preserve">las personas puedan poner más atención cuando tienen a su alrededor a una persona en riesgo suicidad que tenga fácil acceso a este tipo de sustancias. </w:t>
      </w:r>
    </w:p>
    <w:p w14:paraId="1B543DBA" w14:textId="5C3BAB13" w:rsidR="008E0089" w:rsidRDefault="008E0089" w:rsidP="00115125">
      <w:pPr>
        <w:spacing w:line="360" w:lineRule="auto"/>
        <w:ind w:firstLine="720"/>
        <w:jc w:val="both"/>
        <w:rPr>
          <w:lang w:val="es-US"/>
        </w:rPr>
      </w:pPr>
      <w:r>
        <w:rPr>
          <w:lang w:val="es-US"/>
        </w:rPr>
        <w:t xml:space="preserve">A partir de lo anterior, se resalta la necesidad de que el diseño de estrategias para la prevención y el abordaje de la conducta suicida incluya aspectos psicoeducativos dirigidos hacia la identificación de señales que puedan indicar que una persona puede estar contemplando la idea de suicidarse y </w:t>
      </w:r>
      <w:r w:rsidRPr="00C74C47">
        <w:rPr>
          <w:lang w:val="es-US"/>
        </w:rPr>
        <w:t>c</w:t>
      </w:r>
      <w:r w:rsidR="007D3E15" w:rsidRPr="00C74C47">
        <w:rPr>
          <w:lang w:val="es-US"/>
        </w:rPr>
        <w:t>ó</w:t>
      </w:r>
      <w:r w:rsidRPr="00C74C47">
        <w:rPr>
          <w:lang w:val="es-US"/>
        </w:rPr>
        <w:t>mo</w:t>
      </w:r>
      <w:r w:rsidRPr="007D3E15">
        <w:rPr>
          <w:color w:val="FF0000"/>
          <w:lang w:val="es-US"/>
        </w:rPr>
        <w:t xml:space="preserve"> </w:t>
      </w:r>
      <w:r>
        <w:rPr>
          <w:lang w:val="es-US"/>
        </w:rPr>
        <w:t xml:space="preserve">acompañarla en ese momento, así como hacia la disponibilidad de centros de salud, instituciones sociales, ONGs y diferentes profesionales de la salud mental que puedan ofrecer un acompañamiento formal a estas personas. </w:t>
      </w:r>
    </w:p>
    <w:p w14:paraId="0E61DDE8" w14:textId="22994DAE" w:rsidR="008E0089" w:rsidRPr="00CF58A6" w:rsidRDefault="00170FC8" w:rsidP="00115125">
      <w:pPr>
        <w:pStyle w:val="Prrafocomn"/>
        <w:rPr>
          <w:lang w:val="es-CR"/>
        </w:rPr>
      </w:pPr>
      <w:r w:rsidRPr="00CF58A6">
        <w:rPr>
          <w:lang w:val="es-CR"/>
        </w:rPr>
        <w:t>Por consiguiente, la investigación desarrollada arroja datos actuales</w:t>
      </w:r>
      <w:r w:rsidR="00723E90" w:rsidRPr="00CF58A6">
        <w:rPr>
          <w:lang w:val="es-CR"/>
        </w:rPr>
        <w:t xml:space="preserve"> acerca de la problemática en estudio </w:t>
      </w:r>
      <w:r w:rsidR="00814666" w:rsidRPr="00CF58A6">
        <w:rPr>
          <w:lang w:val="es-CR"/>
        </w:rPr>
        <w:t xml:space="preserve">desde una perspectiva psicosocial, lo cual facilita la comprensión del fenómeno del suicidio en el marco político, económico, cultural y </w:t>
      </w:r>
      <w:r w:rsidR="00531639" w:rsidRPr="00CF58A6">
        <w:rPr>
          <w:lang w:val="es-CR"/>
        </w:rPr>
        <w:t xml:space="preserve">social del país. La posibilidad de distinguir las creencias que se asocian al </w:t>
      </w:r>
      <w:r w:rsidR="0068363A" w:rsidRPr="00CF58A6">
        <w:rPr>
          <w:lang w:val="es-CR"/>
        </w:rPr>
        <w:t>suicidio</w:t>
      </w:r>
      <w:r w:rsidR="00531639" w:rsidRPr="00CF58A6">
        <w:rPr>
          <w:lang w:val="es-CR"/>
        </w:rPr>
        <w:t xml:space="preserve"> permite generar un </w:t>
      </w:r>
      <w:r w:rsidR="004E07FA" w:rsidRPr="00CF58A6">
        <w:rPr>
          <w:lang w:val="es-CR"/>
        </w:rPr>
        <w:t>modelo</w:t>
      </w:r>
      <w:r w:rsidR="00531639" w:rsidRPr="00CF58A6">
        <w:rPr>
          <w:lang w:val="es-CR"/>
        </w:rPr>
        <w:t xml:space="preserve"> </w:t>
      </w:r>
      <w:r w:rsidR="008A3F09" w:rsidRPr="00CF58A6">
        <w:rPr>
          <w:lang w:val="es-CR"/>
        </w:rPr>
        <w:t>psicoeduc</w:t>
      </w:r>
      <w:r w:rsidR="004E07FA" w:rsidRPr="00CF58A6">
        <w:rPr>
          <w:lang w:val="es-CR"/>
        </w:rPr>
        <w:t xml:space="preserve">ativo </w:t>
      </w:r>
      <w:r w:rsidR="008A3F09" w:rsidRPr="00CF58A6">
        <w:rPr>
          <w:lang w:val="es-CR"/>
        </w:rPr>
        <w:t xml:space="preserve">con miras a intervenir en todo aquel precepto que se haya </w:t>
      </w:r>
      <w:r w:rsidR="004E07FA" w:rsidRPr="00CF58A6">
        <w:rPr>
          <w:lang w:val="es-CR"/>
        </w:rPr>
        <w:t>instituido</w:t>
      </w:r>
      <w:r w:rsidR="00E33A26" w:rsidRPr="00CF58A6">
        <w:rPr>
          <w:lang w:val="es-CR"/>
        </w:rPr>
        <w:t xml:space="preserve"> en la población de interés, de manera errónea, para generar redes sociales en un </w:t>
      </w:r>
      <w:r w:rsidR="00A50547" w:rsidRPr="00CF58A6">
        <w:rPr>
          <w:lang w:val="es-CR"/>
        </w:rPr>
        <w:t xml:space="preserve">ecosistema de instrucción e información que va más allá de la prevención del suicidio, </w:t>
      </w:r>
      <w:r w:rsidR="0083149B" w:rsidRPr="00CF58A6">
        <w:rPr>
          <w:lang w:val="es-CR"/>
        </w:rPr>
        <w:t>y busca</w:t>
      </w:r>
      <w:r w:rsidR="00A50547" w:rsidRPr="00CF58A6">
        <w:rPr>
          <w:lang w:val="es-CR"/>
        </w:rPr>
        <w:t xml:space="preserve"> de la promoción de la salud metal y prácticas de vida </w:t>
      </w:r>
      <w:r w:rsidR="00666CBA" w:rsidRPr="00CF58A6">
        <w:rPr>
          <w:lang w:val="es-CR"/>
        </w:rPr>
        <w:t xml:space="preserve">saludables. </w:t>
      </w:r>
      <w:r w:rsidR="00A50547" w:rsidRPr="00CF58A6">
        <w:rPr>
          <w:lang w:val="es-CR"/>
        </w:rPr>
        <w:t xml:space="preserve"> </w:t>
      </w:r>
      <w:r w:rsidR="00723E90" w:rsidRPr="00CF58A6">
        <w:rPr>
          <w:lang w:val="es-CR"/>
        </w:rPr>
        <w:t xml:space="preserve"> </w:t>
      </w:r>
    </w:p>
    <w:p w14:paraId="6D9E7FBC" w14:textId="5720A818" w:rsidR="00390958" w:rsidRPr="00CF58A6" w:rsidRDefault="00390958" w:rsidP="00115125">
      <w:pPr>
        <w:pStyle w:val="Prrafocomn"/>
        <w:rPr>
          <w:lang w:val="es-CR"/>
        </w:rPr>
      </w:pPr>
      <w:r w:rsidRPr="00CF58A6">
        <w:rPr>
          <w:lang w:val="es-CR"/>
        </w:rPr>
        <w:t>Esta investigación se enfoca en la realidad urbana</w:t>
      </w:r>
      <w:r w:rsidR="00AF7C56" w:rsidRPr="00CF58A6">
        <w:rPr>
          <w:lang w:val="es-CR"/>
        </w:rPr>
        <w:t xml:space="preserve"> por lo que no se pretende que </w:t>
      </w:r>
      <w:r w:rsidR="00153126" w:rsidRPr="00CF58A6">
        <w:rPr>
          <w:lang w:val="es-CR"/>
        </w:rPr>
        <w:t xml:space="preserve">los resultados posean una validez general. Por esto, </w:t>
      </w:r>
      <w:r w:rsidRPr="00CF58A6">
        <w:rPr>
          <w:lang w:val="es-CR"/>
        </w:rPr>
        <w:t>para futuras investigaciones puede considerarse plantear estudios que involucre todas las regiones del país</w:t>
      </w:r>
      <w:r w:rsidR="00B64191" w:rsidRPr="00CF58A6">
        <w:rPr>
          <w:lang w:val="es-CR"/>
        </w:rPr>
        <w:t>, ya que el acceso a la información, el acceso a la educación, la zona geográfica</w:t>
      </w:r>
      <w:r w:rsidR="008F64F5" w:rsidRPr="00CF58A6">
        <w:rPr>
          <w:lang w:val="es-CR"/>
        </w:rPr>
        <w:t xml:space="preserve"> y </w:t>
      </w:r>
      <w:r w:rsidR="00B64191" w:rsidRPr="00CF58A6">
        <w:rPr>
          <w:lang w:val="es-CR"/>
        </w:rPr>
        <w:t xml:space="preserve">los recursos económicos son disimiles y podrían </w:t>
      </w:r>
      <w:r w:rsidR="00826A33" w:rsidRPr="00CF58A6">
        <w:rPr>
          <w:lang w:val="es-CR"/>
        </w:rPr>
        <w:t>generar mayores datos comparativos.</w:t>
      </w:r>
      <w:r w:rsidR="00DA62A5" w:rsidRPr="00CF58A6">
        <w:rPr>
          <w:lang w:val="es-CR"/>
        </w:rPr>
        <w:t xml:space="preserve"> Empero, con esta investigación se contribuye a la </w:t>
      </w:r>
      <w:r w:rsidR="00B91249" w:rsidRPr="00CF58A6">
        <w:rPr>
          <w:lang w:val="es-CR"/>
        </w:rPr>
        <w:t>creación</w:t>
      </w:r>
      <w:r w:rsidR="00DA62A5" w:rsidRPr="00CF58A6">
        <w:rPr>
          <w:lang w:val="es-CR"/>
        </w:rPr>
        <w:t xml:space="preserve"> de acciones </w:t>
      </w:r>
      <w:r w:rsidR="00B91249" w:rsidRPr="00CF58A6">
        <w:rPr>
          <w:lang w:val="es-CR"/>
        </w:rPr>
        <w:t>que sean pertinentes y con un impacto social.</w:t>
      </w:r>
    </w:p>
    <w:p w14:paraId="193D0A22" w14:textId="77777777" w:rsidR="002912AD" w:rsidRPr="00CF58A6" w:rsidRDefault="002912AD" w:rsidP="00BC565E">
      <w:pPr>
        <w:pStyle w:val="Prrafocomn"/>
        <w:rPr>
          <w:lang w:val="es-CR"/>
        </w:rPr>
      </w:pPr>
    </w:p>
    <w:p w14:paraId="6CBAE82F" w14:textId="77777777" w:rsidR="002912AD" w:rsidRPr="00CF58A6" w:rsidRDefault="002912AD" w:rsidP="00BC565E">
      <w:pPr>
        <w:pStyle w:val="Prrafocomn"/>
        <w:rPr>
          <w:lang w:val="es-CR"/>
        </w:rPr>
      </w:pPr>
    </w:p>
    <w:p w14:paraId="5DA52C93" w14:textId="77777777" w:rsidR="002912AD" w:rsidRDefault="002912AD" w:rsidP="00BC565E">
      <w:pPr>
        <w:pStyle w:val="Prrafocomn"/>
        <w:rPr>
          <w:color w:val="FF0000"/>
          <w:lang w:val="es-CR"/>
        </w:rPr>
      </w:pPr>
    </w:p>
    <w:p w14:paraId="7324E4BB" w14:textId="77777777" w:rsidR="002912AD" w:rsidRDefault="002912AD" w:rsidP="00BC565E">
      <w:pPr>
        <w:pStyle w:val="Prrafocomn"/>
        <w:rPr>
          <w:color w:val="FF0000"/>
          <w:lang w:val="es-CR"/>
        </w:rPr>
      </w:pPr>
    </w:p>
    <w:p w14:paraId="504DA0B4" w14:textId="77777777" w:rsidR="002912AD" w:rsidRDefault="002912AD" w:rsidP="00BC565E">
      <w:pPr>
        <w:pStyle w:val="Prrafocomn"/>
        <w:rPr>
          <w:color w:val="FF0000"/>
          <w:lang w:val="es-CR"/>
        </w:rPr>
      </w:pPr>
    </w:p>
    <w:p w14:paraId="2158E8EC" w14:textId="77777777" w:rsidR="002912AD" w:rsidRDefault="002912AD" w:rsidP="00BC565E">
      <w:pPr>
        <w:pStyle w:val="Prrafocomn"/>
        <w:rPr>
          <w:color w:val="FF0000"/>
          <w:lang w:val="es-CR"/>
        </w:rPr>
      </w:pPr>
    </w:p>
    <w:p w14:paraId="0AAE0132" w14:textId="77777777" w:rsidR="002912AD" w:rsidRDefault="002912AD" w:rsidP="00BC565E">
      <w:pPr>
        <w:pStyle w:val="Prrafocomn"/>
        <w:rPr>
          <w:color w:val="FF0000"/>
          <w:lang w:val="es-CR"/>
        </w:rPr>
      </w:pPr>
    </w:p>
    <w:p w14:paraId="08148727" w14:textId="77777777" w:rsidR="002912AD" w:rsidRDefault="002912AD" w:rsidP="00BC565E">
      <w:pPr>
        <w:pStyle w:val="Prrafocomn"/>
        <w:rPr>
          <w:color w:val="FF0000"/>
          <w:lang w:val="es-CR"/>
        </w:rPr>
      </w:pPr>
    </w:p>
    <w:p w14:paraId="698F5226" w14:textId="77777777" w:rsidR="002912AD" w:rsidRDefault="002912AD" w:rsidP="00BC565E">
      <w:pPr>
        <w:pStyle w:val="Prrafocomn"/>
        <w:rPr>
          <w:color w:val="FF0000"/>
          <w:lang w:val="es-CR"/>
        </w:rPr>
      </w:pPr>
    </w:p>
    <w:p w14:paraId="64F8CD9C" w14:textId="77777777" w:rsidR="008C0767" w:rsidRDefault="008C0767" w:rsidP="003E0397">
      <w:pPr>
        <w:pStyle w:val="Ttulosinternos"/>
        <w:rPr>
          <w:lang w:val="es-419"/>
        </w:rPr>
      </w:pPr>
    </w:p>
    <w:p w14:paraId="6CD8B4A8" w14:textId="099CF1E6" w:rsidR="006F7E7E" w:rsidRPr="00C45394" w:rsidRDefault="00CE7D65" w:rsidP="003E0397">
      <w:pPr>
        <w:pStyle w:val="Ttulosinternos"/>
        <w:rPr>
          <w:lang w:val="es-419"/>
        </w:rPr>
      </w:pPr>
      <w:r w:rsidRPr="00C45394">
        <w:rPr>
          <w:lang w:val="es-419"/>
        </w:rPr>
        <w:t>Referenc</w:t>
      </w:r>
      <w:r w:rsidR="00E23C9E" w:rsidRPr="00C45394">
        <w:rPr>
          <w:lang w:val="es-419"/>
        </w:rPr>
        <w:t>ias</w:t>
      </w:r>
    </w:p>
    <w:p w14:paraId="34C03589" w14:textId="5A7D8071" w:rsidR="009E6AB4" w:rsidRPr="00DA3EDD" w:rsidRDefault="009E6AB4" w:rsidP="00C42A4E">
      <w:pPr>
        <w:spacing w:line="360" w:lineRule="auto"/>
        <w:ind w:left="720" w:hanging="720"/>
        <w:jc w:val="both"/>
        <w:rPr>
          <w:rFonts w:eastAsia="Arial"/>
        </w:rPr>
      </w:pPr>
      <w:r w:rsidRPr="00DA3EDD">
        <w:rPr>
          <w:rFonts w:eastAsia="Arial"/>
        </w:rPr>
        <w:t>Álvarez, L., Ayala, N., y Bascuñán, R. (2019). Las distorsiones cognitivas y el riesgo de suicidio en una muestra de adolescentes chilenos y colombianos: Un estudio descriptivo-correlacional. </w:t>
      </w:r>
      <w:r w:rsidRPr="00DA3EDD">
        <w:rPr>
          <w:rFonts w:eastAsia="Arial"/>
          <w:i/>
          <w:iCs/>
        </w:rPr>
        <w:t>Psicogente,</w:t>
      </w:r>
      <w:r w:rsidR="0035333D">
        <w:rPr>
          <w:rFonts w:eastAsia="Arial"/>
          <w:i/>
          <w:iCs/>
        </w:rPr>
        <w:t xml:space="preserve"> 22 (41),</w:t>
      </w:r>
      <w:r w:rsidRPr="00DA3EDD">
        <w:rPr>
          <w:rFonts w:eastAsia="Arial"/>
          <w:i/>
          <w:iCs/>
        </w:rPr>
        <w:t> 2</w:t>
      </w:r>
      <w:r w:rsidR="0035333D">
        <w:rPr>
          <w:rFonts w:eastAsia="Arial"/>
          <w:i/>
          <w:iCs/>
        </w:rPr>
        <w:t>00- 221</w:t>
      </w:r>
      <w:r w:rsidR="0035333D" w:rsidRPr="0035333D">
        <w:rPr>
          <w:rFonts w:eastAsia="Arial"/>
        </w:rPr>
        <w:t xml:space="preserve">. </w:t>
      </w:r>
      <w:hyperlink r:id="rId11" w:history="1">
        <w:r w:rsidR="0035333D" w:rsidRPr="0035333D">
          <w:rPr>
            <w:rFonts w:eastAsia="Arial"/>
          </w:rPr>
          <w:t>https://doi.org/10.17081/psico.22.41.3308</w:t>
        </w:r>
      </w:hyperlink>
      <w:r w:rsidR="00E716EF">
        <w:rPr>
          <w:rFonts w:eastAsia="Arial"/>
        </w:rPr>
        <w:t xml:space="preserve"> </w:t>
      </w:r>
      <w:r w:rsidR="0035333D">
        <w:t xml:space="preserve"> </w:t>
      </w:r>
      <w:r w:rsidR="0035333D">
        <w:rPr>
          <w:rFonts w:eastAsia="Arial"/>
        </w:rPr>
        <w:t xml:space="preserve"> </w:t>
      </w:r>
    </w:p>
    <w:p w14:paraId="4CAEACC4" w14:textId="6ABF94F7" w:rsidR="003C56C8" w:rsidRDefault="003C56C8" w:rsidP="00C42A4E">
      <w:pPr>
        <w:spacing w:line="360" w:lineRule="auto"/>
        <w:ind w:left="720" w:hanging="720"/>
        <w:jc w:val="both"/>
        <w:rPr>
          <w:rFonts w:eastAsia="Arial"/>
        </w:rPr>
      </w:pPr>
      <w:r w:rsidRPr="00DA3EDD">
        <w:rPr>
          <w:rFonts w:eastAsia="Arial"/>
        </w:rPr>
        <w:t xml:space="preserve">Araneda N., Sanhueza P., Pacheco G., y Sanhueza A. (2021). Suicidio en adolescentes y jóvenes en Chile: riesgos relativos, tendencias y desigualdades. </w:t>
      </w:r>
      <w:r w:rsidRPr="00DA3EDD">
        <w:rPr>
          <w:rFonts w:eastAsia="Arial"/>
          <w:i/>
          <w:iCs/>
        </w:rPr>
        <w:t>Revista Panamericana de Salud Pública, 45</w:t>
      </w:r>
      <w:r w:rsidRPr="0035333D">
        <w:rPr>
          <w:rFonts w:eastAsia="Arial"/>
        </w:rPr>
        <w:t>(4), 1-9</w:t>
      </w:r>
      <w:r w:rsidR="0035333D" w:rsidRPr="0035333D">
        <w:rPr>
          <w:rFonts w:eastAsia="Arial"/>
        </w:rPr>
        <w:t xml:space="preserve">. </w:t>
      </w:r>
      <w:hyperlink r:id="rId12" w:history="1">
        <w:r w:rsidR="0035333D" w:rsidRPr="0035333D">
          <w:rPr>
            <w:rFonts w:eastAsia="Arial"/>
          </w:rPr>
          <w:t>https://doi.org/10.26633/RPSP.2021.4</w:t>
        </w:r>
      </w:hyperlink>
    </w:p>
    <w:p w14:paraId="41A1C50D" w14:textId="2E46FEEE" w:rsidR="00C65DA3" w:rsidRPr="00C65DA3" w:rsidRDefault="00C65DA3" w:rsidP="00C42A4E">
      <w:pPr>
        <w:spacing w:line="360" w:lineRule="auto"/>
        <w:ind w:left="720" w:hanging="720"/>
        <w:jc w:val="both"/>
        <w:rPr>
          <w:rStyle w:val="Hipervnculo"/>
          <w:rFonts w:eastAsia="Arial"/>
          <w:color w:val="auto"/>
          <w:u w:val="none"/>
        </w:rPr>
      </w:pPr>
      <w:r w:rsidRPr="00C65DA3">
        <w:rPr>
          <w:rFonts w:eastAsia="Arial"/>
        </w:rPr>
        <w:t>Campillo Serrano, C., &amp; Fajardo Dolci, G. (2021). Prevención del suicidio y la conducta suicida. </w:t>
      </w:r>
      <w:r w:rsidRPr="00C65DA3">
        <w:rPr>
          <w:rFonts w:eastAsia="Arial"/>
          <w:i/>
          <w:iCs/>
        </w:rPr>
        <w:t>Gaceta médica de México</w:t>
      </w:r>
      <w:r w:rsidRPr="00C65DA3">
        <w:rPr>
          <w:rFonts w:eastAsia="Arial"/>
        </w:rPr>
        <w:t>, </w:t>
      </w:r>
      <w:r w:rsidRPr="00C65DA3">
        <w:rPr>
          <w:rFonts w:eastAsia="Arial"/>
          <w:i/>
          <w:iCs/>
        </w:rPr>
        <w:t>157</w:t>
      </w:r>
      <w:r w:rsidRPr="00C65DA3">
        <w:rPr>
          <w:rFonts w:eastAsia="Arial"/>
        </w:rPr>
        <w:t>(5), 564-569.</w:t>
      </w:r>
    </w:p>
    <w:p w14:paraId="6E912606" w14:textId="1BB55854" w:rsidR="008304BC" w:rsidRPr="00DA3EDD" w:rsidRDefault="00FB5CE2" w:rsidP="00C42A4E">
      <w:pPr>
        <w:spacing w:line="360" w:lineRule="auto"/>
        <w:ind w:left="720" w:hanging="720"/>
        <w:jc w:val="both"/>
        <w:rPr>
          <w:rFonts w:eastAsia="Arial"/>
        </w:rPr>
      </w:pPr>
      <w:r w:rsidRPr="00DA3EDD">
        <w:rPr>
          <w:rStyle w:val="Hipervnculo"/>
          <w:rFonts w:eastAsia="Arial"/>
          <w:color w:val="auto"/>
          <w:u w:val="none"/>
        </w:rPr>
        <w:t xml:space="preserve">Campos, M. </w:t>
      </w:r>
      <w:r w:rsidR="001433DC" w:rsidRPr="00DA3EDD">
        <w:rPr>
          <w:rStyle w:val="Hipervnculo"/>
          <w:rFonts w:eastAsia="Arial"/>
          <w:color w:val="auto"/>
          <w:u w:val="none"/>
        </w:rPr>
        <w:t xml:space="preserve">Alemán, R. y Torres, T. (2021). </w:t>
      </w:r>
      <w:r w:rsidR="001433DC" w:rsidRPr="00DA3EDD">
        <w:t xml:space="preserve">Identificación de los factores de riesgo de la conducta suicida a través de personas con experiencias propias o cercanas al suicidio, del cantón de La Cruz, Guanacaste. </w:t>
      </w:r>
      <w:r w:rsidR="001C5BB8" w:rsidRPr="00DA3EDD">
        <w:rPr>
          <w:i/>
          <w:iCs/>
        </w:rPr>
        <w:t>Revista electrónica de las sedes regionales de la Universidad de Costa Rica</w:t>
      </w:r>
      <w:r w:rsidR="001C5BB8" w:rsidRPr="00DA3EDD">
        <w:t xml:space="preserve">, </w:t>
      </w:r>
      <w:r w:rsidR="00B6605D" w:rsidRPr="00DA3EDD">
        <w:rPr>
          <w:i/>
          <w:iCs/>
        </w:rPr>
        <w:t>12</w:t>
      </w:r>
      <w:r w:rsidR="00B6605D" w:rsidRPr="00DA3EDD">
        <w:t xml:space="preserve"> (</w:t>
      </w:r>
      <w:r w:rsidR="00EF6281" w:rsidRPr="00DA3EDD">
        <w:t>45),</w:t>
      </w:r>
      <w:r w:rsidR="00D660A0" w:rsidRPr="00DA3EDD">
        <w:t xml:space="preserve"> 162-188</w:t>
      </w:r>
      <w:r w:rsidR="00D660A0" w:rsidRPr="0035333D">
        <w:rPr>
          <w:rFonts w:eastAsia="Arial"/>
        </w:rPr>
        <w:t xml:space="preserve">. </w:t>
      </w:r>
      <w:r w:rsidR="0035333D" w:rsidRPr="0035333D">
        <w:rPr>
          <w:rFonts w:eastAsia="Arial"/>
        </w:rPr>
        <w:t>https://doi.org/10.15517/isucr.v22i45.47105</w:t>
      </w:r>
      <w:r w:rsidR="00E716EF">
        <w:rPr>
          <w:rFonts w:eastAsia="Arial"/>
        </w:rPr>
        <w:t xml:space="preserve"> </w:t>
      </w:r>
    </w:p>
    <w:p w14:paraId="158F2831" w14:textId="5C8FABA4" w:rsidR="001E6C02" w:rsidRPr="00DA3EDD" w:rsidRDefault="001E6C02" w:rsidP="00C42A4E">
      <w:pPr>
        <w:spacing w:line="360" w:lineRule="auto"/>
        <w:ind w:left="720" w:hanging="720"/>
        <w:jc w:val="both"/>
        <w:rPr>
          <w:rFonts w:eastAsia="Arial"/>
        </w:rPr>
      </w:pPr>
      <w:r w:rsidRPr="00DA3EDD">
        <w:rPr>
          <w:rFonts w:eastAsia="Arial"/>
        </w:rPr>
        <w:t xml:space="preserve">Campo-Arias A., Suárez-Colorado YP., y Caballero-Domínguez CC. (2020). Asociación entre el consumo de Cannabis y el riesgo de suicidio en adolescentes escolarizados de Santa Marta, Colombia. </w:t>
      </w:r>
      <w:r w:rsidRPr="00DA3EDD">
        <w:rPr>
          <w:rFonts w:eastAsia="Arial"/>
          <w:i/>
          <w:iCs/>
        </w:rPr>
        <w:t xml:space="preserve">Revista Biomédica, Instituto Nacional de Salud, 40(3), </w:t>
      </w:r>
      <w:r w:rsidRPr="00DA3EDD">
        <w:rPr>
          <w:rFonts w:eastAsia="Arial"/>
        </w:rPr>
        <w:t>569-77.</w:t>
      </w:r>
      <w:r w:rsidRPr="00DA3EDD">
        <w:rPr>
          <w:rFonts w:eastAsia="Arial"/>
          <w:i/>
          <w:iCs/>
        </w:rPr>
        <w:t xml:space="preserve"> </w:t>
      </w:r>
      <w:hyperlink r:id="rId13" w:history="1">
        <w:r w:rsidR="00E716EF" w:rsidRPr="00E716EF">
          <w:rPr>
            <w:rFonts w:eastAsia="Arial"/>
          </w:rPr>
          <w:t>https://doi.org/10.7705/biomedica.4988</w:t>
        </w:r>
      </w:hyperlink>
    </w:p>
    <w:p w14:paraId="4C5BA70E" w14:textId="7B05B190" w:rsidR="00CF0E24" w:rsidRPr="00E716EF" w:rsidRDefault="00CF0E24" w:rsidP="00C42A4E">
      <w:pPr>
        <w:spacing w:line="360" w:lineRule="auto"/>
        <w:ind w:left="720" w:hanging="720"/>
        <w:jc w:val="both"/>
        <w:rPr>
          <w:rStyle w:val="Hipervnculo"/>
          <w:rFonts w:eastAsia="Arial"/>
          <w:color w:val="auto"/>
          <w:u w:val="none"/>
        </w:rPr>
      </w:pPr>
      <w:r w:rsidRPr="00DA3EDD">
        <w:rPr>
          <w:rFonts w:eastAsia="Arial"/>
        </w:rPr>
        <w:t xml:space="preserve">Dávila, A., y Pardo, A. (2020). Estudio de la carga de la mortalidad por suicidio en México 1990-2017. </w:t>
      </w:r>
      <w:r w:rsidRPr="00DA3EDD">
        <w:rPr>
          <w:rFonts w:eastAsia="Arial"/>
          <w:i/>
          <w:iCs/>
        </w:rPr>
        <w:t>Revista Brasileira de Epidemiologia, 23, 1-14.</w:t>
      </w:r>
      <w:r w:rsidRPr="00DA3EDD">
        <w:rPr>
          <w:rFonts w:eastAsia="Arial"/>
        </w:rPr>
        <w:t xml:space="preserve">  </w:t>
      </w:r>
      <w:hyperlink r:id="rId14" w:tgtFrame="_blank" w:history="1">
        <w:r w:rsidRPr="00E716EF">
          <w:rPr>
            <w:rStyle w:val="Hipervnculo"/>
            <w:rFonts w:eastAsia="Arial"/>
            <w:color w:val="auto"/>
            <w:u w:val="none"/>
          </w:rPr>
          <w:t>https://doi.org/10.1590/1980-549720200069</w:t>
        </w:r>
      </w:hyperlink>
    </w:p>
    <w:p w14:paraId="6CBCE42F" w14:textId="2ED1CC20" w:rsidR="00B51A15" w:rsidRPr="00515722" w:rsidRDefault="00515722" w:rsidP="00C42A4E">
      <w:pPr>
        <w:spacing w:line="360" w:lineRule="auto"/>
        <w:ind w:left="720" w:hanging="720"/>
        <w:jc w:val="both"/>
        <w:rPr>
          <w:rStyle w:val="Hipervnculo"/>
          <w:rFonts w:eastAsia="Arial"/>
          <w:color w:val="auto"/>
          <w:u w:val="none"/>
        </w:rPr>
      </w:pPr>
      <w:r>
        <w:rPr>
          <w:rStyle w:val="Hipervnculo"/>
          <w:rFonts w:eastAsia="Arial"/>
          <w:color w:val="auto"/>
          <w:u w:val="none"/>
        </w:rPr>
        <w:t xml:space="preserve">De la hoz-Granadillo, E., Reyes-Ruiz, L. y Sánchez-Villegas, M. (2023). </w:t>
      </w:r>
      <w:r w:rsidRPr="00515722">
        <w:rPr>
          <w:rStyle w:val="Hipervnculo"/>
          <w:rFonts w:eastAsia="Arial"/>
          <w:color w:val="auto"/>
          <w:u w:val="none"/>
        </w:rPr>
        <w:t xml:space="preserve">Método Clúster –Red Neuronal Artificial </w:t>
      </w:r>
      <w:r w:rsidR="00E716EF" w:rsidRPr="00515722">
        <w:rPr>
          <w:rStyle w:val="Hipervnculo"/>
          <w:rFonts w:eastAsia="Arial"/>
          <w:color w:val="auto"/>
          <w:u w:val="none"/>
        </w:rPr>
        <w:t>para valoración y diagnóstico temprano de ideación suicida en adolescentes escolarizados</w:t>
      </w:r>
      <w:r>
        <w:rPr>
          <w:rStyle w:val="Hipervnculo"/>
          <w:rFonts w:eastAsia="Arial"/>
          <w:color w:val="auto"/>
          <w:u w:val="none"/>
        </w:rPr>
        <w:t xml:space="preserve">. </w:t>
      </w:r>
      <w:r w:rsidRPr="00515722">
        <w:rPr>
          <w:rFonts w:eastAsia="Arial"/>
          <w:i/>
          <w:iCs/>
        </w:rPr>
        <w:t>Revista Interamericana de Psicología</w:t>
      </w:r>
      <w:r>
        <w:rPr>
          <w:rFonts w:eastAsia="Arial"/>
          <w:i/>
          <w:iCs/>
        </w:rPr>
        <w:t>, 57 (2)</w:t>
      </w:r>
      <w:r>
        <w:rPr>
          <w:rFonts w:eastAsia="Arial"/>
        </w:rPr>
        <w:t xml:space="preserve">, </w:t>
      </w:r>
      <w:r w:rsidR="00897075" w:rsidRPr="00897075">
        <w:rPr>
          <w:rStyle w:val="Hipervnculo"/>
          <w:rFonts w:eastAsia="Arial"/>
          <w:color w:val="auto"/>
          <w:u w:val="none"/>
        </w:rPr>
        <w:t>e1360</w:t>
      </w:r>
      <w:r w:rsidR="00897075">
        <w:rPr>
          <w:rStyle w:val="Hipervnculo"/>
          <w:rFonts w:eastAsia="Arial"/>
          <w:color w:val="auto"/>
          <w:u w:val="none"/>
        </w:rPr>
        <w:t xml:space="preserve">. </w:t>
      </w:r>
      <w:hyperlink r:id="rId15" w:history="1">
        <w:r w:rsidR="00897075" w:rsidRPr="00E716EF">
          <w:rPr>
            <w:rStyle w:val="Hipervnculo"/>
            <w:rFonts w:eastAsia="Arial"/>
            <w:color w:val="auto"/>
            <w:u w:val="none"/>
          </w:rPr>
          <w:t>https://doi.org/10.30849/ripijp.v57i2.1360</w:t>
        </w:r>
      </w:hyperlink>
      <w:r w:rsidR="00897075">
        <w:rPr>
          <w:rStyle w:val="Hipervnculo"/>
          <w:rFonts w:eastAsia="Arial"/>
          <w:color w:val="auto"/>
          <w:u w:val="none"/>
        </w:rPr>
        <w:t xml:space="preserve"> </w:t>
      </w:r>
    </w:p>
    <w:p w14:paraId="70C58F86" w14:textId="50C17553" w:rsidR="002645A7" w:rsidRPr="00E716EF" w:rsidRDefault="008606EE" w:rsidP="00C42A4E">
      <w:pPr>
        <w:spacing w:line="360" w:lineRule="auto"/>
        <w:ind w:left="720" w:hanging="720"/>
        <w:jc w:val="both"/>
        <w:rPr>
          <w:rFonts w:eastAsia="Arial"/>
        </w:rPr>
      </w:pPr>
      <w:r w:rsidRPr="00DA3EDD">
        <w:rPr>
          <w:rFonts w:eastAsia="Arial"/>
        </w:rPr>
        <w:t xml:space="preserve">Giner, L., Blasco-Fontecilla, H., De La Vega, D., &amp; Courtet, P. (2016). </w:t>
      </w:r>
      <w:r w:rsidRPr="00DA3EDD">
        <w:rPr>
          <w:rFonts w:eastAsia="Arial"/>
          <w:lang w:val="en-US"/>
        </w:rPr>
        <w:t>Cognitive, Emotional, Temperament, and Personality Trait Correlates of Suicidal Behavior. </w:t>
      </w:r>
      <w:r w:rsidRPr="00515722">
        <w:rPr>
          <w:rFonts w:eastAsia="Arial"/>
          <w:i/>
          <w:iCs/>
        </w:rPr>
        <w:t>Current psychiatry reports, 18(11),</w:t>
      </w:r>
      <w:r w:rsidRPr="00DA3EDD">
        <w:rPr>
          <w:rFonts w:eastAsia="Arial"/>
        </w:rPr>
        <w:t xml:space="preserve"> 102. </w:t>
      </w:r>
      <w:hyperlink r:id="rId16" w:history="1">
        <w:r w:rsidR="002645A7" w:rsidRPr="00E716EF">
          <w:rPr>
            <w:rStyle w:val="Hipervnculo"/>
            <w:rFonts w:eastAsia="Arial"/>
            <w:color w:val="auto"/>
            <w:u w:val="none"/>
          </w:rPr>
          <w:t>https://doi.org/10.1007/s11920-016-0742-x</w:t>
        </w:r>
      </w:hyperlink>
    </w:p>
    <w:p w14:paraId="4D89B0A0" w14:textId="1FC542B9" w:rsidR="002B21BF" w:rsidRPr="00DA3EDD" w:rsidRDefault="002B21BF" w:rsidP="00C42A4E">
      <w:pPr>
        <w:spacing w:line="360" w:lineRule="auto"/>
        <w:ind w:left="720" w:hanging="720"/>
        <w:jc w:val="both"/>
        <w:rPr>
          <w:rFonts w:eastAsia="Arial"/>
        </w:rPr>
      </w:pPr>
      <w:r w:rsidRPr="00DA3EDD">
        <w:rPr>
          <w:rFonts w:eastAsia="Arial"/>
        </w:rPr>
        <w:t xml:space="preserve">Hernández, M., Rodríguez, M., Valenciano, N. (2021). </w:t>
      </w:r>
      <w:r w:rsidRPr="00DA3EDD">
        <w:rPr>
          <w:rFonts w:eastAsia="Arial"/>
          <w:i/>
          <w:iCs/>
        </w:rPr>
        <w:t>Análisis de las particularidades sociohistóricas de la Política Nacional de Salud Mental 2012-2021, a partir de la intervención institucional y local en los cantones de Zarcero, Palmares, y San Ramón.</w:t>
      </w:r>
      <w:r w:rsidRPr="00DA3EDD">
        <w:rPr>
          <w:rFonts w:eastAsia="Arial"/>
        </w:rPr>
        <w:t xml:space="preserve"> </w:t>
      </w:r>
      <w:r w:rsidRPr="00DA3EDD">
        <w:rPr>
          <w:rFonts w:eastAsia="Arial"/>
        </w:rPr>
        <w:lastRenderedPageBreak/>
        <w:t xml:space="preserve">Universidad de Costa Rica. </w:t>
      </w:r>
      <w:hyperlink r:id="rId17" w:history="1">
        <w:r w:rsidRPr="00E716EF">
          <w:rPr>
            <w:rStyle w:val="Hipervnculo"/>
            <w:rFonts w:eastAsia="Arial"/>
            <w:color w:val="auto"/>
            <w:u w:val="none"/>
          </w:rPr>
          <w:t>http://repo.sibdi.ucr.ac.cr:8080/jspui/bitstream/123456789/16673/1/46399.pdf</w:t>
        </w:r>
      </w:hyperlink>
    </w:p>
    <w:p w14:paraId="7AE8ADD3" w14:textId="5CACEEEC" w:rsidR="009E6AB4" w:rsidRPr="00DA3EDD" w:rsidRDefault="009E6AB4" w:rsidP="00C42A4E">
      <w:pPr>
        <w:spacing w:line="360" w:lineRule="auto"/>
        <w:ind w:left="720" w:hanging="720"/>
        <w:jc w:val="both"/>
        <w:rPr>
          <w:rFonts w:eastAsia="Arial"/>
        </w:rPr>
      </w:pPr>
      <w:r w:rsidRPr="00DA3EDD">
        <w:rPr>
          <w:rFonts w:eastAsia="Arial"/>
        </w:rPr>
        <w:t xml:space="preserve">Instituto Nacional de Estadísticas y Censos. (2015). </w:t>
      </w:r>
      <w:r w:rsidRPr="00DA3EDD">
        <w:rPr>
          <w:rFonts w:eastAsia="Arial"/>
          <w:i/>
          <w:iCs/>
        </w:rPr>
        <w:t>Cuadro 4 Total de defunciones por sexo, según grupos de causa de muerte 2015</w:t>
      </w:r>
      <w:r w:rsidRPr="00DA3EDD">
        <w:rPr>
          <w:rFonts w:eastAsia="Arial"/>
        </w:rPr>
        <w:t xml:space="preserve">. San José, Costa Rica: INEC. Recuperado de </w:t>
      </w:r>
      <w:hyperlink r:id="rId18">
        <w:r w:rsidRPr="00E716EF">
          <w:rPr>
            <w:rFonts w:eastAsia="Arial"/>
          </w:rPr>
          <w:t>https://www.inec.cr/poblacion/defunciones</w:t>
        </w:r>
      </w:hyperlink>
    </w:p>
    <w:p w14:paraId="1C720DBE" w14:textId="77777777" w:rsidR="009E6AB4" w:rsidRPr="00DA3EDD" w:rsidRDefault="009E6AB4" w:rsidP="00C42A4E">
      <w:pPr>
        <w:spacing w:line="360" w:lineRule="auto"/>
        <w:ind w:left="720" w:hanging="720"/>
        <w:jc w:val="both"/>
        <w:rPr>
          <w:rFonts w:eastAsia="Arial"/>
        </w:rPr>
      </w:pPr>
      <w:r w:rsidRPr="00DA3EDD">
        <w:rPr>
          <w:rFonts w:eastAsia="Arial"/>
        </w:rPr>
        <w:t xml:space="preserve">Instituto Nacional de Estadísticas y Censos. (2019). </w:t>
      </w:r>
      <w:r w:rsidRPr="00DA3EDD">
        <w:rPr>
          <w:rFonts w:eastAsia="Arial"/>
          <w:i/>
          <w:iCs/>
        </w:rPr>
        <w:t>Estadísticas de Defunciones. Datos preliminares 2019. Cuadro 8 Costa Rica. Total de defunciones por suicidios y homicidios por grupos de edades, según causa de muerte y sexo, 2019</w:t>
      </w:r>
      <w:r w:rsidRPr="00DA3EDD">
        <w:rPr>
          <w:rFonts w:eastAsia="Arial"/>
        </w:rPr>
        <w:t xml:space="preserve">. San José, Costa Rica: INEC. </w:t>
      </w:r>
      <w:hyperlink r:id="rId19">
        <w:r w:rsidRPr="00E716EF">
          <w:rPr>
            <w:rFonts w:eastAsia="Arial"/>
          </w:rPr>
          <w:t>https://www.inec.cr/poblacion/defunciones</w:t>
        </w:r>
      </w:hyperlink>
    </w:p>
    <w:p w14:paraId="4FB1C33A" w14:textId="7239EA93" w:rsidR="001D4105" w:rsidRPr="00DA3EDD" w:rsidRDefault="001D4105" w:rsidP="00C42A4E">
      <w:pPr>
        <w:spacing w:line="360" w:lineRule="auto"/>
        <w:ind w:left="720" w:hanging="720"/>
        <w:jc w:val="both"/>
        <w:rPr>
          <w:rFonts w:eastAsia="Arial"/>
        </w:rPr>
      </w:pPr>
      <w:r w:rsidRPr="00DA3EDD">
        <w:rPr>
          <w:rFonts w:eastAsia="Arial"/>
        </w:rPr>
        <w:t xml:space="preserve">Jiménez, L. (2020). Impacto de la investigación cuantitativa en la actualidad. Convergence Tech, 4 (IV), 59-68. </w:t>
      </w:r>
      <w:hyperlink r:id="rId20" w:history="1">
        <w:r w:rsidR="00C42A4E" w:rsidRPr="00E716EF">
          <w:rPr>
            <w:rStyle w:val="Hipervnculo"/>
            <w:rFonts w:eastAsia="Arial"/>
            <w:color w:val="auto"/>
            <w:u w:val="none"/>
          </w:rPr>
          <w:t>https://doi.org/10.53592/convtech.v4iIV.35</w:t>
        </w:r>
      </w:hyperlink>
    </w:p>
    <w:p w14:paraId="312810CC" w14:textId="77777777" w:rsidR="00C42A4E" w:rsidRPr="00DA3EDD" w:rsidRDefault="00C42A4E" w:rsidP="00C42A4E">
      <w:pPr>
        <w:spacing w:line="360" w:lineRule="auto"/>
        <w:ind w:left="720" w:hanging="720"/>
        <w:jc w:val="both"/>
        <w:rPr>
          <w:rFonts w:eastAsia="Arial"/>
        </w:rPr>
      </w:pPr>
      <w:r w:rsidRPr="00DA3EDD">
        <w:rPr>
          <w:rFonts w:eastAsia="Arial"/>
        </w:rPr>
        <w:t>Millán-González, R., Córdoba-López, C., y Moreno-Salas, M. (2020). Observación de un espectro de manifestaciones clínicas ante la exposición a información relacionada con eventos suicidas. </w:t>
      </w:r>
      <w:r w:rsidRPr="00DA3EDD">
        <w:rPr>
          <w:rFonts w:eastAsia="Arial"/>
          <w:i/>
          <w:iCs/>
        </w:rPr>
        <w:t>Revista Costarricense De Psicología</w:t>
      </w:r>
      <w:r w:rsidRPr="00DA3EDD">
        <w:rPr>
          <w:rFonts w:eastAsia="Arial"/>
        </w:rPr>
        <w:t>, </w:t>
      </w:r>
      <w:r w:rsidRPr="00DA3EDD">
        <w:rPr>
          <w:rFonts w:eastAsia="Arial"/>
          <w:i/>
          <w:iCs/>
        </w:rPr>
        <w:t>39</w:t>
      </w:r>
      <w:r w:rsidRPr="00DA3EDD">
        <w:rPr>
          <w:rFonts w:eastAsia="Arial"/>
        </w:rPr>
        <w:t xml:space="preserve">(2), 189–202. </w:t>
      </w:r>
      <w:hyperlink r:id="rId21" w:history="1">
        <w:r w:rsidRPr="00E716EF">
          <w:rPr>
            <w:rStyle w:val="Hipervnculo"/>
            <w:rFonts w:eastAsia="Arial"/>
            <w:color w:val="auto"/>
            <w:u w:val="none"/>
          </w:rPr>
          <w:t>https://doi.org/10.22544/rcps.v39i02.04</w:t>
        </w:r>
      </w:hyperlink>
    </w:p>
    <w:p w14:paraId="6F7B6DFC" w14:textId="2CFDFC84" w:rsidR="00E716EF" w:rsidRPr="0031493B" w:rsidRDefault="009E6AB4" w:rsidP="00C42A4E">
      <w:pPr>
        <w:spacing w:line="360" w:lineRule="auto"/>
        <w:ind w:left="720" w:hanging="720"/>
        <w:jc w:val="both"/>
        <w:rPr>
          <w:rFonts w:eastAsia="Arial"/>
        </w:rPr>
      </w:pPr>
      <w:r w:rsidRPr="00DA3EDD">
        <w:rPr>
          <w:rFonts w:eastAsia="Arial"/>
        </w:rPr>
        <w:t xml:space="preserve">Ministerio de Salud. (2012). </w:t>
      </w:r>
      <w:r w:rsidRPr="00DA3EDD">
        <w:rPr>
          <w:rFonts w:eastAsia="Arial"/>
          <w:i/>
          <w:iCs/>
        </w:rPr>
        <w:t>Política Nacional de Salud Mental 2012-202</w:t>
      </w:r>
      <w:r w:rsidR="00DD0855" w:rsidRPr="00DA3EDD">
        <w:rPr>
          <w:rFonts w:eastAsia="Arial"/>
          <w:i/>
          <w:iCs/>
        </w:rPr>
        <w:t>1</w:t>
      </w:r>
      <w:r w:rsidRPr="00DA3EDD">
        <w:rPr>
          <w:rFonts w:eastAsia="Arial"/>
        </w:rPr>
        <w:t>. San José, Costa Rica: El Ministerio.</w:t>
      </w:r>
      <w:r w:rsidR="00374AD2">
        <w:rPr>
          <w:rFonts w:eastAsia="Arial"/>
        </w:rPr>
        <w:t xml:space="preserve"> </w:t>
      </w:r>
      <w:hyperlink r:id="rId22" w:history="1">
        <w:r w:rsidR="0031493B" w:rsidRPr="0031493B">
          <w:t>https://www.ministeriodesalud.go.cr/index.php/ministerio-de-salud/politicas-planes-y-estrategias-en-salud</w:t>
        </w:r>
      </w:hyperlink>
      <w:r w:rsidR="00DD0855" w:rsidRPr="0031493B" w:rsidDel="00DD0855">
        <w:rPr>
          <w:rFonts w:eastAsia="Arial"/>
        </w:rPr>
        <w:t xml:space="preserve"> </w:t>
      </w:r>
    </w:p>
    <w:p w14:paraId="68118E95" w14:textId="42FC98B7" w:rsidR="009E6AB4" w:rsidRPr="00DA3EDD" w:rsidRDefault="009E6AB4" w:rsidP="00C42A4E">
      <w:pPr>
        <w:spacing w:line="360" w:lineRule="auto"/>
        <w:ind w:left="720" w:hanging="720"/>
        <w:jc w:val="both"/>
        <w:rPr>
          <w:rFonts w:eastAsia="Arial"/>
        </w:rPr>
      </w:pPr>
      <w:r w:rsidRPr="00285550">
        <w:rPr>
          <w:rFonts w:eastAsia="Arial"/>
        </w:rPr>
        <w:t xml:space="preserve">Ministerio de Salud. (2018). </w:t>
      </w:r>
      <w:r w:rsidRPr="00285550">
        <w:rPr>
          <w:rFonts w:eastAsia="Arial"/>
          <w:i/>
        </w:rPr>
        <w:t>Estrategia nacional para el abordaje integral del comportamiento suicida 2016-202</w:t>
      </w:r>
      <w:r w:rsidR="00DD0855" w:rsidRPr="00285550">
        <w:rPr>
          <w:rFonts w:eastAsia="Arial"/>
          <w:i/>
        </w:rPr>
        <w:t>1</w:t>
      </w:r>
      <w:r w:rsidRPr="00285550">
        <w:rPr>
          <w:rFonts w:eastAsia="Arial"/>
        </w:rPr>
        <w:t>. San José, Costa Rica: El Ministerio.</w:t>
      </w:r>
      <w:r w:rsidRPr="00DA3EDD">
        <w:rPr>
          <w:rFonts w:eastAsia="Arial"/>
        </w:rPr>
        <w:t xml:space="preserve"> </w:t>
      </w:r>
    </w:p>
    <w:p w14:paraId="568008A5" w14:textId="77777777" w:rsidR="002F5B36" w:rsidRPr="00DA3EDD" w:rsidRDefault="002F5B36" w:rsidP="00C42A4E">
      <w:pPr>
        <w:spacing w:line="360" w:lineRule="auto"/>
        <w:ind w:left="720" w:hanging="720"/>
        <w:jc w:val="both"/>
        <w:rPr>
          <w:rFonts w:eastAsia="Arial"/>
        </w:rPr>
      </w:pPr>
      <w:r w:rsidRPr="00DA3EDD">
        <w:rPr>
          <w:rFonts w:eastAsia="Arial"/>
        </w:rPr>
        <w:t xml:space="preserve">Ministerio de Salud. (2019). </w:t>
      </w:r>
      <w:r w:rsidRPr="00DA3EDD">
        <w:rPr>
          <w:rFonts w:eastAsia="Arial"/>
          <w:i/>
          <w:iCs/>
        </w:rPr>
        <w:t>Interinstitucionalmente venimos articulando esfuerzos para fomentar una cultura de prevención y abordaje de la salud mental desde lo local. San José, Costa Rica:</w:t>
      </w:r>
      <w:r w:rsidRPr="00DA3EDD">
        <w:rPr>
          <w:rFonts w:eastAsia="Arial"/>
        </w:rPr>
        <w:t xml:space="preserve"> El Ministerio. </w:t>
      </w:r>
      <w:hyperlink r:id="rId23" w:history="1">
        <w:r w:rsidRPr="00285550">
          <w:rPr>
            <w:rStyle w:val="Hipervnculo"/>
            <w:rFonts w:eastAsia="Arial"/>
            <w:color w:val="auto"/>
            <w:u w:val="none"/>
          </w:rPr>
          <w:t>https://www.ministeriodesalud.go.cr/index.php/noticias/noticias-2019/274-interinstitucionalmente-venimos-articulando-esfuerzos-para-fomentar-una-cultura-de-prevencion-y-abordaje-de-la-salud-mental-desde-lo-local</w:t>
        </w:r>
      </w:hyperlink>
    </w:p>
    <w:p w14:paraId="009EB1CC" w14:textId="77777777" w:rsidR="009C7BE0" w:rsidRPr="00DA3EDD" w:rsidRDefault="009C7BE0" w:rsidP="00C42A4E">
      <w:pPr>
        <w:spacing w:line="360" w:lineRule="auto"/>
        <w:ind w:left="720" w:hanging="720"/>
        <w:jc w:val="both"/>
        <w:rPr>
          <w:rFonts w:eastAsia="Arial"/>
        </w:rPr>
      </w:pPr>
      <w:r w:rsidRPr="00DA3EDD">
        <w:rPr>
          <w:rFonts w:eastAsia="Arial"/>
        </w:rPr>
        <w:t xml:space="preserve">Ministerio de Salud (2023). “Escuchar es prevenir” Institucionalidad costarricense mantiene llamado comunitario a la prevención del suicidio. El ministerio. </w:t>
      </w:r>
      <w:hyperlink r:id="rId24" w:anchor=":~:text=En%20Costa%20Rica%2C%20del%20a%C3%B1o,755%20hombres%2F1401%20mujeres" w:history="1">
        <w:r w:rsidRPr="00285550">
          <w:rPr>
            <w:rStyle w:val="Hipervnculo"/>
            <w:rFonts w:eastAsia="Arial"/>
            <w:color w:val="auto"/>
            <w:u w:val="none"/>
          </w:rPr>
          <w:t>https://www.ministeriodesalud.go.cr/index.php/prensa/52-noticias-2022/1378-escuchar-es-prevenir-institucionalidad-costarricense-mantiene-llamado-comunitario-a-la-prevencion-del-</w:t>
        </w:r>
        <w:r w:rsidRPr="00285550">
          <w:rPr>
            <w:rStyle w:val="Hipervnculo"/>
            <w:rFonts w:eastAsia="Arial"/>
            <w:color w:val="auto"/>
            <w:u w:val="none"/>
          </w:rPr>
          <w:lastRenderedPageBreak/>
          <w:t>suicidio#:~:text=En%20Costa%20Rica%2C%20del%20a%C3%B1o,755%20hombres%2F1401%20mujeres</w:t>
        </w:r>
      </w:hyperlink>
      <w:r w:rsidRPr="00285550">
        <w:rPr>
          <w:rFonts w:eastAsia="Arial"/>
        </w:rPr>
        <w:t>).</w:t>
      </w:r>
    </w:p>
    <w:p w14:paraId="28C6FC3A" w14:textId="77777777" w:rsidR="00E63FFF" w:rsidRPr="00DA3EDD" w:rsidRDefault="00E63FFF" w:rsidP="00C42A4E">
      <w:pPr>
        <w:spacing w:line="360" w:lineRule="auto"/>
        <w:ind w:left="720" w:hanging="720"/>
        <w:jc w:val="both"/>
        <w:rPr>
          <w:rFonts w:eastAsia="Arial"/>
        </w:rPr>
      </w:pPr>
      <w:r w:rsidRPr="00DA3EDD">
        <w:rPr>
          <w:rFonts w:eastAsia="Arial"/>
        </w:rPr>
        <w:t xml:space="preserve">Organización Mundial de la Salud (OMS). (2021). </w:t>
      </w:r>
      <w:r w:rsidRPr="00DA3EDD">
        <w:rPr>
          <w:rFonts w:eastAsia="Arial"/>
          <w:i/>
          <w:iCs/>
        </w:rPr>
        <w:t xml:space="preserve">Suicidio. </w:t>
      </w:r>
      <w:hyperlink r:id="rId25" w:history="1">
        <w:r w:rsidRPr="00285550">
          <w:rPr>
            <w:rStyle w:val="Hipervnculo"/>
            <w:rFonts w:eastAsia="Arial"/>
            <w:color w:val="auto"/>
            <w:u w:val="none"/>
          </w:rPr>
          <w:t>https://www.who.int/es/news-room/fact-sheets/detail/suicide</w:t>
        </w:r>
      </w:hyperlink>
    </w:p>
    <w:p w14:paraId="557B84FC" w14:textId="77777777" w:rsidR="00DC4322" w:rsidRPr="00DA3EDD" w:rsidRDefault="0080026D" w:rsidP="00C42A4E">
      <w:pPr>
        <w:spacing w:line="360" w:lineRule="auto"/>
        <w:ind w:left="720" w:hanging="720"/>
        <w:jc w:val="both"/>
        <w:rPr>
          <w:rFonts w:eastAsia="Arial"/>
        </w:rPr>
      </w:pPr>
      <w:r w:rsidRPr="00DA3EDD">
        <w:rPr>
          <w:rFonts w:eastAsia="Arial"/>
        </w:rPr>
        <w:t xml:space="preserve">Pino, P. (2021). </w:t>
      </w:r>
      <w:r w:rsidRPr="00DA3EDD">
        <w:rPr>
          <w:rFonts w:eastAsia="Arial"/>
          <w:i/>
          <w:iCs/>
        </w:rPr>
        <w:t xml:space="preserve">Análisis De Mortalidad por Suicidio en el Gran Santiago Durante el Quinquenio </w:t>
      </w:r>
      <w:r w:rsidRPr="00DA3EDD">
        <w:rPr>
          <w:rFonts w:eastAsia="Arial"/>
        </w:rPr>
        <w:t xml:space="preserve">2012-2016. Universidad de Chile. </w:t>
      </w:r>
      <w:hyperlink r:id="rId26" w:history="1">
        <w:r w:rsidRPr="00DA3EDD">
          <w:rPr>
            <w:rFonts w:eastAsia="Arial"/>
          </w:rPr>
          <w:t>https://repositorio.uchile.cl/handle/2250/180779</w:t>
        </w:r>
      </w:hyperlink>
    </w:p>
    <w:p w14:paraId="575B4665" w14:textId="3340BC10" w:rsidR="008606EE" w:rsidRPr="00DA3EDD" w:rsidRDefault="008606EE" w:rsidP="00C42A4E">
      <w:pPr>
        <w:spacing w:line="360" w:lineRule="auto"/>
        <w:ind w:left="720" w:hanging="720"/>
        <w:jc w:val="both"/>
        <w:rPr>
          <w:rFonts w:eastAsia="Arial"/>
          <w:lang w:val="en-US"/>
        </w:rPr>
      </w:pPr>
      <w:r w:rsidRPr="00DA3EDD">
        <w:rPr>
          <w:rFonts w:eastAsia="Arial"/>
        </w:rPr>
        <w:t xml:space="preserve">Quiñones, V., Jurska, J., Fener, E., &amp; Miranda, R. (2015). </w:t>
      </w:r>
      <w:r w:rsidRPr="00DA3EDD">
        <w:rPr>
          <w:rFonts w:eastAsia="Arial"/>
          <w:lang w:val="en-US"/>
        </w:rPr>
        <w:t xml:space="preserve">Active and passive problem solving: moderating role in the relation between depressive symptoms and future suicidal ideation varies by suicide attempt history. Journal of clinical psychology, </w:t>
      </w:r>
      <w:r w:rsidRPr="00DA3EDD">
        <w:rPr>
          <w:rFonts w:eastAsia="Arial"/>
          <w:i/>
          <w:iCs/>
          <w:lang w:val="en-US"/>
        </w:rPr>
        <w:t>71(4)</w:t>
      </w:r>
      <w:r w:rsidRPr="00DA3EDD">
        <w:rPr>
          <w:rFonts w:eastAsia="Arial"/>
          <w:lang w:val="en-US"/>
        </w:rPr>
        <w:t>, 402–412. https://doi.org/10.1002/jclp.22155</w:t>
      </w:r>
    </w:p>
    <w:p w14:paraId="6F01E53B" w14:textId="4CB6B2DD" w:rsidR="00C97351" w:rsidRPr="00DA3EDD" w:rsidRDefault="00C97351" w:rsidP="00C42A4E">
      <w:pPr>
        <w:spacing w:line="360" w:lineRule="auto"/>
        <w:ind w:left="720" w:hanging="720"/>
        <w:jc w:val="both"/>
        <w:rPr>
          <w:rFonts w:eastAsia="Arial"/>
        </w:rPr>
      </w:pPr>
      <w:r w:rsidRPr="00DA3EDD">
        <w:rPr>
          <w:rFonts w:eastAsia="Arial"/>
          <w:lang w:val="en-US"/>
        </w:rPr>
        <w:t xml:space="preserve">Rojas, F. (2021). </w:t>
      </w:r>
      <w:r w:rsidRPr="00DA3EDD">
        <w:rPr>
          <w:rFonts w:eastAsia="Arial"/>
        </w:rPr>
        <w:t xml:space="preserve">Suicidio y juventudes: análisis de los procesos de socialización como factores explicativos de la experiencia de ideación suicida en un grupo de jóvenes que reside en el cantón de Palmares, en el período 2019-2021. [Tesis de licenciatura no publicada]. Universidad de Costa Rica. </w:t>
      </w:r>
      <w:hyperlink r:id="rId27" w:history="1">
        <w:r w:rsidRPr="00285550">
          <w:rPr>
            <w:rStyle w:val="Hipervnculo"/>
            <w:rFonts w:eastAsia="Arial"/>
            <w:color w:val="auto"/>
            <w:u w:val="none"/>
          </w:rPr>
          <w:t>https://www.ts.ucr.ac.cr/binarios/tfglic-sr/tfg-l-sr-2021-01.pdf</w:t>
        </w:r>
      </w:hyperlink>
    </w:p>
    <w:p w14:paraId="64D9C600" w14:textId="77777777" w:rsidR="00AC7998" w:rsidRPr="00DA3EDD" w:rsidRDefault="00AC7998" w:rsidP="00C42A4E">
      <w:pPr>
        <w:spacing w:line="360" w:lineRule="auto"/>
        <w:ind w:left="720" w:hanging="720"/>
        <w:jc w:val="both"/>
        <w:rPr>
          <w:rFonts w:eastAsia="Arial"/>
        </w:rPr>
      </w:pPr>
      <w:r w:rsidRPr="00DA3EDD">
        <w:rPr>
          <w:rFonts w:eastAsia="Arial"/>
        </w:rPr>
        <w:t xml:space="preserve">Soto, A., Villarroel, P., y Véliz, A. (2020). Factores que intervienen en riesgo suicida y para suicida en jóvenes chilenos. </w:t>
      </w:r>
      <w:r w:rsidRPr="00DA3EDD">
        <w:rPr>
          <w:rFonts w:eastAsia="Arial"/>
          <w:i/>
          <w:iCs/>
        </w:rPr>
        <w:t xml:space="preserve">Revista de Psicología Educativa Propósitos y Representaciones, 8(3), 1-12. </w:t>
      </w:r>
      <w:hyperlink r:id="rId28" w:history="1">
        <w:r w:rsidRPr="00285550">
          <w:rPr>
            <w:rStyle w:val="Hipervnculo"/>
            <w:rFonts w:eastAsia="Arial"/>
            <w:i/>
            <w:iCs/>
            <w:color w:val="auto"/>
            <w:u w:val="none"/>
          </w:rPr>
          <w:t>https://doi.org/10.20511/pyr2020.v8n3.672</w:t>
        </w:r>
      </w:hyperlink>
    </w:p>
    <w:p w14:paraId="781863B5" w14:textId="37FC36AF" w:rsidR="00594317" w:rsidRPr="0071142C" w:rsidRDefault="00594317" w:rsidP="0071142C">
      <w:pPr>
        <w:rPr>
          <w:b/>
          <w:lang w:eastAsia="en-US"/>
        </w:rPr>
      </w:pPr>
    </w:p>
    <w:sectPr w:rsidR="00594317" w:rsidRPr="0071142C" w:rsidSect="00CA44DF">
      <w:headerReference w:type="default" r:id="rId29"/>
      <w:footerReference w:type="even" r:id="rId30"/>
      <w:footerReference w:type="default" r:id="rId31"/>
      <w:pgSz w:w="12240" w:h="15840"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F4F20" w14:textId="77777777" w:rsidR="00D51DE6" w:rsidRDefault="00D51DE6" w:rsidP="00C413D4">
      <w:r>
        <w:separator/>
      </w:r>
    </w:p>
  </w:endnote>
  <w:endnote w:type="continuationSeparator" w:id="0">
    <w:p w14:paraId="0FB313EE" w14:textId="77777777" w:rsidR="00D51DE6" w:rsidRDefault="00D51DE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9CAF" w14:textId="77777777" w:rsidR="00D51DE6" w:rsidRDefault="00D51DE6" w:rsidP="00C413D4">
      <w:r>
        <w:separator/>
      </w:r>
    </w:p>
  </w:footnote>
  <w:footnote w:type="continuationSeparator" w:id="0">
    <w:p w14:paraId="081EE77A" w14:textId="77777777" w:rsidR="00D51DE6" w:rsidRDefault="00D51DE6"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4FDB8D6E" w:rsidR="007C3C14" w:rsidRPr="0027261B" w:rsidRDefault="007C3C14" w:rsidP="00977250">
    <w:pPr>
      <w:pStyle w:val="Encabezado"/>
      <w:jc w:val="righ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EB1"/>
    <w:multiLevelType w:val="hybridMultilevel"/>
    <w:tmpl w:val="865E66B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75C2338"/>
    <w:multiLevelType w:val="hybridMultilevel"/>
    <w:tmpl w:val="8DBA7BF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349C0900"/>
    <w:multiLevelType w:val="hybridMultilevel"/>
    <w:tmpl w:val="E654D9FC"/>
    <w:lvl w:ilvl="0" w:tplc="0A3E5F7C">
      <w:start w:val="1"/>
      <w:numFmt w:val="decimal"/>
      <w:lvlText w:val="%1."/>
      <w:lvlJc w:val="left"/>
      <w:pPr>
        <w:ind w:left="720" w:hanging="360"/>
      </w:pPr>
      <w:rPr>
        <w:rFonts w:ascii="Times New Roman" w:hAnsi="Times New Roman" w:hint="default"/>
        <w:b w:val="0"/>
        <w:i w:val="0"/>
        <w:sz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3FF55130"/>
    <w:multiLevelType w:val="hybridMultilevel"/>
    <w:tmpl w:val="E0606508"/>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4" w15:restartNumberingAfterBreak="0">
    <w:nsid w:val="43CE6B6A"/>
    <w:multiLevelType w:val="hybridMultilevel"/>
    <w:tmpl w:val="3D5A2ABC"/>
    <w:lvl w:ilvl="0" w:tplc="0A3E5F7C">
      <w:start w:val="1"/>
      <w:numFmt w:val="decimal"/>
      <w:lvlText w:val="%1."/>
      <w:lvlJc w:val="left"/>
      <w:pPr>
        <w:ind w:left="720" w:hanging="360"/>
      </w:pPr>
      <w:rPr>
        <w:rFonts w:ascii="Times New Roman" w:hAnsi="Times New Roman" w:hint="default"/>
        <w:b w:val="0"/>
        <w:i w:val="0"/>
        <w:sz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15:restartNumberingAfterBreak="0">
    <w:nsid w:val="4ACC44C5"/>
    <w:multiLevelType w:val="hybridMultilevel"/>
    <w:tmpl w:val="1862B4E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C7160B9"/>
    <w:multiLevelType w:val="hybridMultilevel"/>
    <w:tmpl w:val="D6C612C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CF01C34"/>
    <w:multiLevelType w:val="hybridMultilevel"/>
    <w:tmpl w:val="72ACCF30"/>
    <w:lvl w:ilvl="0" w:tplc="514C64DA">
      <w:numFmt w:val="bullet"/>
      <w:lvlText w:val="-"/>
      <w:lvlJc w:val="left"/>
      <w:pPr>
        <w:ind w:left="720" w:hanging="360"/>
      </w:pPr>
      <w:rPr>
        <w:rFonts w:ascii="Calibri" w:eastAsiaTheme="minorHAns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7E9A1D70"/>
    <w:multiLevelType w:val="hybridMultilevel"/>
    <w:tmpl w:val="2B6087D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70926084">
    <w:abstractNumId w:val="15"/>
  </w:num>
  <w:num w:numId="2" w16cid:durableId="811753744">
    <w:abstractNumId w:val="4"/>
  </w:num>
  <w:num w:numId="3" w16cid:durableId="560945311">
    <w:abstractNumId w:val="5"/>
  </w:num>
  <w:num w:numId="4" w16cid:durableId="1824932888">
    <w:abstractNumId w:val="6"/>
  </w:num>
  <w:num w:numId="5" w16cid:durableId="302269539">
    <w:abstractNumId w:val="7"/>
  </w:num>
  <w:num w:numId="6" w16cid:durableId="1794328994">
    <w:abstractNumId w:val="9"/>
  </w:num>
  <w:num w:numId="7" w16cid:durableId="1568153364">
    <w:abstractNumId w:val="0"/>
  </w:num>
  <w:num w:numId="8" w16cid:durableId="387152217">
    <w:abstractNumId w:val="1"/>
  </w:num>
  <w:num w:numId="9" w16cid:durableId="1877233889">
    <w:abstractNumId w:val="2"/>
  </w:num>
  <w:num w:numId="10" w16cid:durableId="573927815">
    <w:abstractNumId w:val="3"/>
  </w:num>
  <w:num w:numId="11" w16cid:durableId="1881162962">
    <w:abstractNumId w:val="8"/>
  </w:num>
  <w:num w:numId="12" w16cid:durableId="432894911">
    <w:abstractNumId w:val="17"/>
  </w:num>
  <w:num w:numId="13" w16cid:durableId="993533066">
    <w:abstractNumId w:val="16"/>
  </w:num>
  <w:num w:numId="14" w16cid:durableId="572396966">
    <w:abstractNumId w:val="19"/>
  </w:num>
  <w:num w:numId="15" w16cid:durableId="754400543">
    <w:abstractNumId w:val="10"/>
  </w:num>
  <w:num w:numId="16" w16cid:durableId="1466048052">
    <w:abstractNumId w:val="11"/>
  </w:num>
  <w:num w:numId="17" w16cid:durableId="694230549">
    <w:abstractNumId w:val="14"/>
  </w:num>
  <w:num w:numId="18" w16cid:durableId="422725947">
    <w:abstractNumId w:val="12"/>
  </w:num>
  <w:num w:numId="19" w16cid:durableId="667516874">
    <w:abstractNumId w:val="13"/>
  </w:num>
  <w:num w:numId="20" w16cid:durableId="1119421545">
    <w:abstractNumId w:val="18"/>
  </w:num>
  <w:num w:numId="21" w16cid:durableId="13233153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3B01"/>
    <w:rsid w:val="000058B5"/>
    <w:rsid w:val="00013433"/>
    <w:rsid w:val="000138CD"/>
    <w:rsid w:val="00020C6B"/>
    <w:rsid w:val="00023DAF"/>
    <w:rsid w:val="000365CA"/>
    <w:rsid w:val="00037877"/>
    <w:rsid w:val="00040616"/>
    <w:rsid w:val="0004564D"/>
    <w:rsid w:val="0005076A"/>
    <w:rsid w:val="000518F5"/>
    <w:rsid w:val="00055E4E"/>
    <w:rsid w:val="000610E3"/>
    <w:rsid w:val="00067CA2"/>
    <w:rsid w:val="00072D24"/>
    <w:rsid w:val="000754BC"/>
    <w:rsid w:val="00076F0A"/>
    <w:rsid w:val="00083DAE"/>
    <w:rsid w:val="00096A91"/>
    <w:rsid w:val="000A71DA"/>
    <w:rsid w:val="000B7C58"/>
    <w:rsid w:val="000D2492"/>
    <w:rsid w:val="000D2A32"/>
    <w:rsid w:val="000D35CD"/>
    <w:rsid w:val="000D677F"/>
    <w:rsid w:val="000E1BCF"/>
    <w:rsid w:val="000E3B16"/>
    <w:rsid w:val="000E41C1"/>
    <w:rsid w:val="000E4B35"/>
    <w:rsid w:val="000F3F54"/>
    <w:rsid w:val="001038F5"/>
    <w:rsid w:val="001051D5"/>
    <w:rsid w:val="00107993"/>
    <w:rsid w:val="00115125"/>
    <w:rsid w:val="001253E7"/>
    <w:rsid w:val="00127197"/>
    <w:rsid w:val="0012722E"/>
    <w:rsid w:val="00127870"/>
    <w:rsid w:val="00132BB8"/>
    <w:rsid w:val="001349C5"/>
    <w:rsid w:val="00135CE6"/>
    <w:rsid w:val="00137AE0"/>
    <w:rsid w:val="00142537"/>
    <w:rsid w:val="001433DC"/>
    <w:rsid w:val="00146F74"/>
    <w:rsid w:val="00151476"/>
    <w:rsid w:val="001516DA"/>
    <w:rsid w:val="001516ED"/>
    <w:rsid w:val="00153126"/>
    <w:rsid w:val="00153DC5"/>
    <w:rsid w:val="001566F6"/>
    <w:rsid w:val="00156D62"/>
    <w:rsid w:val="00160A13"/>
    <w:rsid w:val="0016367A"/>
    <w:rsid w:val="00165DC9"/>
    <w:rsid w:val="00170FC8"/>
    <w:rsid w:val="00185389"/>
    <w:rsid w:val="001903AE"/>
    <w:rsid w:val="00194C0C"/>
    <w:rsid w:val="001A19FF"/>
    <w:rsid w:val="001A716C"/>
    <w:rsid w:val="001B6715"/>
    <w:rsid w:val="001C5BB8"/>
    <w:rsid w:val="001C76E1"/>
    <w:rsid w:val="001D0C58"/>
    <w:rsid w:val="001D4105"/>
    <w:rsid w:val="001E2827"/>
    <w:rsid w:val="001E47EB"/>
    <w:rsid w:val="001E49F8"/>
    <w:rsid w:val="001E6C02"/>
    <w:rsid w:val="001F203C"/>
    <w:rsid w:val="001F2BC7"/>
    <w:rsid w:val="001F7509"/>
    <w:rsid w:val="00203257"/>
    <w:rsid w:val="00204B2F"/>
    <w:rsid w:val="00205645"/>
    <w:rsid w:val="0020584B"/>
    <w:rsid w:val="00210875"/>
    <w:rsid w:val="00216AFF"/>
    <w:rsid w:val="00234E5C"/>
    <w:rsid w:val="00237A4A"/>
    <w:rsid w:val="00246D04"/>
    <w:rsid w:val="00252FCB"/>
    <w:rsid w:val="002539D0"/>
    <w:rsid w:val="00256048"/>
    <w:rsid w:val="0025750E"/>
    <w:rsid w:val="002624E0"/>
    <w:rsid w:val="00263B0C"/>
    <w:rsid w:val="002645A7"/>
    <w:rsid w:val="00264CB9"/>
    <w:rsid w:val="00271502"/>
    <w:rsid w:val="0027261B"/>
    <w:rsid w:val="00272987"/>
    <w:rsid w:val="00273C3C"/>
    <w:rsid w:val="00276105"/>
    <w:rsid w:val="002777FB"/>
    <w:rsid w:val="00285550"/>
    <w:rsid w:val="00285A4B"/>
    <w:rsid w:val="00285CB1"/>
    <w:rsid w:val="00285F16"/>
    <w:rsid w:val="002912AD"/>
    <w:rsid w:val="00294547"/>
    <w:rsid w:val="00295422"/>
    <w:rsid w:val="00297AFB"/>
    <w:rsid w:val="002A08E8"/>
    <w:rsid w:val="002B1584"/>
    <w:rsid w:val="002B21BF"/>
    <w:rsid w:val="002B2297"/>
    <w:rsid w:val="002B594D"/>
    <w:rsid w:val="002C009C"/>
    <w:rsid w:val="002C1EB1"/>
    <w:rsid w:val="002C3A8D"/>
    <w:rsid w:val="002C484D"/>
    <w:rsid w:val="002C7C6D"/>
    <w:rsid w:val="002C7DF0"/>
    <w:rsid w:val="002D1053"/>
    <w:rsid w:val="002D29FA"/>
    <w:rsid w:val="002E0320"/>
    <w:rsid w:val="002E4B02"/>
    <w:rsid w:val="002E5415"/>
    <w:rsid w:val="002E7DCE"/>
    <w:rsid w:val="002F070D"/>
    <w:rsid w:val="002F1F94"/>
    <w:rsid w:val="002F238A"/>
    <w:rsid w:val="002F257B"/>
    <w:rsid w:val="002F38C8"/>
    <w:rsid w:val="002F5B36"/>
    <w:rsid w:val="00302C5C"/>
    <w:rsid w:val="00306817"/>
    <w:rsid w:val="0031493B"/>
    <w:rsid w:val="003162DB"/>
    <w:rsid w:val="003168E2"/>
    <w:rsid w:val="00316F36"/>
    <w:rsid w:val="003237AF"/>
    <w:rsid w:val="00330364"/>
    <w:rsid w:val="0033081D"/>
    <w:rsid w:val="0033124F"/>
    <w:rsid w:val="00343BBE"/>
    <w:rsid w:val="003527AB"/>
    <w:rsid w:val="00352A0D"/>
    <w:rsid w:val="0035333D"/>
    <w:rsid w:val="00357F1D"/>
    <w:rsid w:val="003641D0"/>
    <w:rsid w:val="00374AD2"/>
    <w:rsid w:val="00375461"/>
    <w:rsid w:val="00381449"/>
    <w:rsid w:val="0038265E"/>
    <w:rsid w:val="00386985"/>
    <w:rsid w:val="00390829"/>
    <w:rsid w:val="00390958"/>
    <w:rsid w:val="003909A7"/>
    <w:rsid w:val="00395708"/>
    <w:rsid w:val="0039577B"/>
    <w:rsid w:val="00396C20"/>
    <w:rsid w:val="003A6F79"/>
    <w:rsid w:val="003B001E"/>
    <w:rsid w:val="003B063C"/>
    <w:rsid w:val="003B1CD9"/>
    <w:rsid w:val="003B3593"/>
    <w:rsid w:val="003B3D03"/>
    <w:rsid w:val="003B4A14"/>
    <w:rsid w:val="003B4F6F"/>
    <w:rsid w:val="003C0ED2"/>
    <w:rsid w:val="003C4AA4"/>
    <w:rsid w:val="003C56C8"/>
    <w:rsid w:val="003D21B8"/>
    <w:rsid w:val="003D39E8"/>
    <w:rsid w:val="003D3BBD"/>
    <w:rsid w:val="003E0397"/>
    <w:rsid w:val="003E158C"/>
    <w:rsid w:val="003E438F"/>
    <w:rsid w:val="003E4B06"/>
    <w:rsid w:val="003F5645"/>
    <w:rsid w:val="003F7405"/>
    <w:rsid w:val="004000FD"/>
    <w:rsid w:val="004004A2"/>
    <w:rsid w:val="0041779F"/>
    <w:rsid w:val="00417D5D"/>
    <w:rsid w:val="00420797"/>
    <w:rsid w:val="0042142D"/>
    <w:rsid w:val="00422243"/>
    <w:rsid w:val="00423558"/>
    <w:rsid w:val="004252E2"/>
    <w:rsid w:val="00430C97"/>
    <w:rsid w:val="00443911"/>
    <w:rsid w:val="00443D99"/>
    <w:rsid w:val="004462D4"/>
    <w:rsid w:val="00447E89"/>
    <w:rsid w:val="00450579"/>
    <w:rsid w:val="004566FD"/>
    <w:rsid w:val="00462E3C"/>
    <w:rsid w:val="00465C2D"/>
    <w:rsid w:val="00475FC0"/>
    <w:rsid w:val="00483D6B"/>
    <w:rsid w:val="004848F9"/>
    <w:rsid w:val="00485484"/>
    <w:rsid w:val="00485A19"/>
    <w:rsid w:val="0048651A"/>
    <w:rsid w:val="004941F8"/>
    <w:rsid w:val="00495A75"/>
    <w:rsid w:val="004B0897"/>
    <w:rsid w:val="004B2051"/>
    <w:rsid w:val="004B3C05"/>
    <w:rsid w:val="004B3E61"/>
    <w:rsid w:val="004B5481"/>
    <w:rsid w:val="004C0823"/>
    <w:rsid w:val="004C4776"/>
    <w:rsid w:val="004C50B3"/>
    <w:rsid w:val="004C5E45"/>
    <w:rsid w:val="004D188E"/>
    <w:rsid w:val="004D5719"/>
    <w:rsid w:val="004E07FA"/>
    <w:rsid w:val="004E09B1"/>
    <w:rsid w:val="004E4BC4"/>
    <w:rsid w:val="004E637B"/>
    <w:rsid w:val="004E7BA8"/>
    <w:rsid w:val="00504F36"/>
    <w:rsid w:val="005072B1"/>
    <w:rsid w:val="005100A7"/>
    <w:rsid w:val="00510E52"/>
    <w:rsid w:val="00514634"/>
    <w:rsid w:val="00515722"/>
    <w:rsid w:val="00524EB3"/>
    <w:rsid w:val="00531639"/>
    <w:rsid w:val="00533CDF"/>
    <w:rsid w:val="00540EE6"/>
    <w:rsid w:val="00541B6F"/>
    <w:rsid w:val="00542090"/>
    <w:rsid w:val="00545573"/>
    <w:rsid w:val="00550C99"/>
    <w:rsid w:val="005537DF"/>
    <w:rsid w:val="005559B1"/>
    <w:rsid w:val="005568F6"/>
    <w:rsid w:val="0056333C"/>
    <w:rsid w:val="005664D2"/>
    <w:rsid w:val="0057139C"/>
    <w:rsid w:val="00574766"/>
    <w:rsid w:val="00576894"/>
    <w:rsid w:val="00577890"/>
    <w:rsid w:val="0058289F"/>
    <w:rsid w:val="00584FFB"/>
    <w:rsid w:val="0059034C"/>
    <w:rsid w:val="00593F09"/>
    <w:rsid w:val="00594317"/>
    <w:rsid w:val="00596CA7"/>
    <w:rsid w:val="005A2402"/>
    <w:rsid w:val="005A3FC9"/>
    <w:rsid w:val="005A4D16"/>
    <w:rsid w:val="005A6FF1"/>
    <w:rsid w:val="005B24FF"/>
    <w:rsid w:val="005B5614"/>
    <w:rsid w:val="005B7002"/>
    <w:rsid w:val="005C1FCA"/>
    <w:rsid w:val="005C3566"/>
    <w:rsid w:val="005C68E2"/>
    <w:rsid w:val="005C7762"/>
    <w:rsid w:val="005D25E2"/>
    <w:rsid w:val="005D6620"/>
    <w:rsid w:val="005E0CFD"/>
    <w:rsid w:val="005E3107"/>
    <w:rsid w:val="005E4A3F"/>
    <w:rsid w:val="00602D73"/>
    <w:rsid w:val="00603DC9"/>
    <w:rsid w:val="0060456E"/>
    <w:rsid w:val="0061199D"/>
    <w:rsid w:val="00612091"/>
    <w:rsid w:val="0061425A"/>
    <w:rsid w:val="006143B2"/>
    <w:rsid w:val="0061576A"/>
    <w:rsid w:val="006175D5"/>
    <w:rsid w:val="00625D54"/>
    <w:rsid w:val="00637180"/>
    <w:rsid w:val="006430BD"/>
    <w:rsid w:val="0064521B"/>
    <w:rsid w:val="00650620"/>
    <w:rsid w:val="006512A1"/>
    <w:rsid w:val="0065139C"/>
    <w:rsid w:val="006535A1"/>
    <w:rsid w:val="006558F0"/>
    <w:rsid w:val="00661E08"/>
    <w:rsid w:val="00666CBA"/>
    <w:rsid w:val="00672586"/>
    <w:rsid w:val="00672661"/>
    <w:rsid w:val="006742B0"/>
    <w:rsid w:val="00676139"/>
    <w:rsid w:val="0068363A"/>
    <w:rsid w:val="006857FE"/>
    <w:rsid w:val="00686E6F"/>
    <w:rsid w:val="006937D3"/>
    <w:rsid w:val="00695122"/>
    <w:rsid w:val="00696F7A"/>
    <w:rsid w:val="006A1BA2"/>
    <w:rsid w:val="006A63B2"/>
    <w:rsid w:val="006B0812"/>
    <w:rsid w:val="006B088F"/>
    <w:rsid w:val="006B1FEC"/>
    <w:rsid w:val="006B24E6"/>
    <w:rsid w:val="006B294A"/>
    <w:rsid w:val="006B6F61"/>
    <w:rsid w:val="006B7A3F"/>
    <w:rsid w:val="006C21BC"/>
    <w:rsid w:val="006C368A"/>
    <w:rsid w:val="006C62C9"/>
    <w:rsid w:val="006C6AF8"/>
    <w:rsid w:val="006D2864"/>
    <w:rsid w:val="006D5879"/>
    <w:rsid w:val="006E1309"/>
    <w:rsid w:val="006E4EFB"/>
    <w:rsid w:val="006F378A"/>
    <w:rsid w:val="006F6924"/>
    <w:rsid w:val="006F7E7E"/>
    <w:rsid w:val="00700F77"/>
    <w:rsid w:val="00703D6A"/>
    <w:rsid w:val="00704ECD"/>
    <w:rsid w:val="0071142C"/>
    <w:rsid w:val="00716DEC"/>
    <w:rsid w:val="00723E90"/>
    <w:rsid w:val="00723F21"/>
    <w:rsid w:val="00724F5C"/>
    <w:rsid w:val="00725C15"/>
    <w:rsid w:val="0074072A"/>
    <w:rsid w:val="00741D9D"/>
    <w:rsid w:val="00742E4A"/>
    <w:rsid w:val="00751895"/>
    <w:rsid w:val="00753003"/>
    <w:rsid w:val="00760B22"/>
    <w:rsid w:val="007640BB"/>
    <w:rsid w:val="00766AB5"/>
    <w:rsid w:val="00770347"/>
    <w:rsid w:val="00770AE4"/>
    <w:rsid w:val="00771D60"/>
    <w:rsid w:val="00784209"/>
    <w:rsid w:val="0078497D"/>
    <w:rsid w:val="00790423"/>
    <w:rsid w:val="00790AB2"/>
    <w:rsid w:val="00790DD4"/>
    <w:rsid w:val="0079107B"/>
    <w:rsid w:val="00795D57"/>
    <w:rsid w:val="007974F7"/>
    <w:rsid w:val="007A597D"/>
    <w:rsid w:val="007A7C7C"/>
    <w:rsid w:val="007A7CDC"/>
    <w:rsid w:val="007B2A0E"/>
    <w:rsid w:val="007B7349"/>
    <w:rsid w:val="007C196E"/>
    <w:rsid w:val="007C2BEA"/>
    <w:rsid w:val="007C3C14"/>
    <w:rsid w:val="007C614D"/>
    <w:rsid w:val="007C72CE"/>
    <w:rsid w:val="007C7BF0"/>
    <w:rsid w:val="007D1FC4"/>
    <w:rsid w:val="007D3A02"/>
    <w:rsid w:val="007D3E15"/>
    <w:rsid w:val="007E0943"/>
    <w:rsid w:val="007E2D16"/>
    <w:rsid w:val="007E34D6"/>
    <w:rsid w:val="007E3B8D"/>
    <w:rsid w:val="007F1133"/>
    <w:rsid w:val="007F139E"/>
    <w:rsid w:val="007F30BA"/>
    <w:rsid w:val="007F7137"/>
    <w:rsid w:val="0080026D"/>
    <w:rsid w:val="00801F50"/>
    <w:rsid w:val="008114AC"/>
    <w:rsid w:val="00814666"/>
    <w:rsid w:val="008151AB"/>
    <w:rsid w:val="00816268"/>
    <w:rsid w:val="00820799"/>
    <w:rsid w:val="00821E17"/>
    <w:rsid w:val="00824AB1"/>
    <w:rsid w:val="00824D3A"/>
    <w:rsid w:val="00826A33"/>
    <w:rsid w:val="008304BC"/>
    <w:rsid w:val="0083149B"/>
    <w:rsid w:val="00834B10"/>
    <w:rsid w:val="008606EE"/>
    <w:rsid w:val="00861F1D"/>
    <w:rsid w:val="00863414"/>
    <w:rsid w:val="00867864"/>
    <w:rsid w:val="0087215F"/>
    <w:rsid w:val="00872EFD"/>
    <w:rsid w:val="0087621A"/>
    <w:rsid w:val="0087695D"/>
    <w:rsid w:val="00877157"/>
    <w:rsid w:val="00880120"/>
    <w:rsid w:val="00880436"/>
    <w:rsid w:val="00880824"/>
    <w:rsid w:val="00895C62"/>
    <w:rsid w:val="00897075"/>
    <w:rsid w:val="008A3752"/>
    <w:rsid w:val="008A3F09"/>
    <w:rsid w:val="008B0170"/>
    <w:rsid w:val="008B0F10"/>
    <w:rsid w:val="008B5D1D"/>
    <w:rsid w:val="008C0767"/>
    <w:rsid w:val="008C20A3"/>
    <w:rsid w:val="008C2E51"/>
    <w:rsid w:val="008C409A"/>
    <w:rsid w:val="008C492D"/>
    <w:rsid w:val="008C775E"/>
    <w:rsid w:val="008D4930"/>
    <w:rsid w:val="008D509E"/>
    <w:rsid w:val="008E0089"/>
    <w:rsid w:val="008E00CA"/>
    <w:rsid w:val="008E6588"/>
    <w:rsid w:val="008F59F7"/>
    <w:rsid w:val="008F64F5"/>
    <w:rsid w:val="008F79BE"/>
    <w:rsid w:val="0090129A"/>
    <w:rsid w:val="00901E7E"/>
    <w:rsid w:val="0090238A"/>
    <w:rsid w:val="009032D5"/>
    <w:rsid w:val="00903DEB"/>
    <w:rsid w:val="00910B1B"/>
    <w:rsid w:val="009117A4"/>
    <w:rsid w:val="00913CB7"/>
    <w:rsid w:val="0091676A"/>
    <w:rsid w:val="009202BA"/>
    <w:rsid w:val="00925B1B"/>
    <w:rsid w:val="009332E7"/>
    <w:rsid w:val="00941C3A"/>
    <w:rsid w:val="009429C3"/>
    <w:rsid w:val="009452A4"/>
    <w:rsid w:val="00946832"/>
    <w:rsid w:val="00951E4E"/>
    <w:rsid w:val="0095631A"/>
    <w:rsid w:val="00966ED7"/>
    <w:rsid w:val="00967A30"/>
    <w:rsid w:val="009719B1"/>
    <w:rsid w:val="00974A01"/>
    <w:rsid w:val="00975113"/>
    <w:rsid w:val="00977250"/>
    <w:rsid w:val="00985C93"/>
    <w:rsid w:val="00987060"/>
    <w:rsid w:val="009907B1"/>
    <w:rsid w:val="00993241"/>
    <w:rsid w:val="009A583F"/>
    <w:rsid w:val="009A6AB7"/>
    <w:rsid w:val="009A6DF2"/>
    <w:rsid w:val="009B3EF3"/>
    <w:rsid w:val="009C1D6F"/>
    <w:rsid w:val="009C3B38"/>
    <w:rsid w:val="009C7BE0"/>
    <w:rsid w:val="009D2551"/>
    <w:rsid w:val="009E410C"/>
    <w:rsid w:val="009E6AB4"/>
    <w:rsid w:val="009F0841"/>
    <w:rsid w:val="009F5EB7"/>
    <w:rsid w:val="009F79A2"/>
    <w:rsid w:val="00A00839"/>
    <w:rsid w:val="00A119F0"/>
    <w:rsid w:val="00A1455E"/>
    <w:rsid w:val="00A15D50"/>
    <w:rsid w:val="00A17FE8"/>
    <w:rsid w:val="00A22372"/>
    <w:rsid w:val="00A26403"/>
    <w:rsid w:val="00A30790"/>
    <w:rsid w:val="00A31DAB"/>
    <w:rsid w:val="00A34033"/>
    <w:rsid w:val="00A34304"/>
    <w:rsid w:val="00A36E42"/>
    <w:rsid w:val="00A44762"/>
    <w:rsid w:val="00A457D0"/>
    <w:rsid w:val="00A47014"/>
    <w:rsid w:val="00A50547"/>
    <w:rsid w:val="00A516C7"/>
    <w:rsid w:val="00A53DCF"/>
    <w:rsid w:val="00A62218"/>
    <w:rsid w:val="00A6452F"/>
    <w:rsid w:val="00A66C82"/>
    <w:rsid w:val="00A72DAF"/>
    <w:rsid w:val="00A741BB"/>
    <w:rsid w:val="00A7512F"/>
    <w:rsid w:val="00A77694"/>
    <w:rsid w:val="00A817EF"/>
    <w:rsid w:val="00A86A61"/>
    <w:rsid w:val="00A871FB"/>
    <w:rsid w:val="00A93FDF"/>
    <w:rsid w:val="00AA0668"/>
    <w:rsid w:val="00AA4B7B"/>
    <w:rsid w:val="00AA5229"/>
    <w:rsid w:val="00AA6902"/>
    <w:rsid w:val="00AA7839"/>
    <w:rsid w:val="00AB7495"/>
    <w:rsid w:val="00AC0FBD"/>
    <w:rsid w:val="00AC0FD7"/>
    <w:rsid w:val="00AC7998"/>
    <w:rsid w:val="00AD20FD"/>
    <w:rsid w:val="00AD3238"/>
    <w:rsid w:val="00AD59BC"/>
    <w:rsid w:val="00AE48D4"/>
    <w:rsid w:val="00AE4E1F"/>
    <w:rsid w:val="00AE527B"/>
    <w:rsid w:val="00AE7749"/>
    <w:rsid w:val="00AF0F0F"/>
    <w:rsid w:val="00AF40F1"/>
    <w:rsid w:val="00AF78E7"/>
    <w:rsid w:val="00AF7ADE"/>
    <w:rsid w:val="00AF7C56"/>
    <w:rsid w:val="00B00C65"/>
    <w:rsid w:val="00B01660"/>
    <w:rsid w:val="00B02133"/>
    <w:rsid w:val="00B0517C"/>
    <w:rsid w:val="00B06283"/>
    <w:rsid w:val="00B21A4A"/>
    <w:rsid w:val="00B2356B"/>
    <w:rsid w:val="00B3154D"/>
    <w:rsid w:val="00B332E5"/>
    <w:rsid w:val="00B35B61"/>
    <w:rsid w:val="00B36B93"/>
    <w:rsid w:val="00B40AE5"/>
    <w:rsid w:val="00B4502D"/>
    <w:rsid w:val="00B45208"/>
    <w:rsid w:val="00B511FB"/>
    <w:rsid w:val="00B51A15"/>
    <w:rsid w:val="00B57319"/>
    <w:rsid w:val="00B57538"/>
    <w:rsid w:val="00B60E75"/>
    <w:rsid w:val="00B61B3C"/>
    <w:rsid w:val="00B64191"/>
    <w:rsid w:val="00B6522A"/>
    <w:rsid w:val="00B6605D"/>
    <w:rsid w:val="00B706C6"/>
    <w:rsid w:val="00B74D71"/>
    <w:rsid w:val="00B82B20"/>
    <w:rsid w:val="00B83A6E"/>
    <w:rsid w:val="00B845A1"/>
    <w:rsid w:val="00B85BF6"/>
    <w:rsid w:val="00B85DFB"/>
    <w:rsid w:val="00B86D01"/>
    <w:rsid w:val="00B91249"/>
    <w:rsid w:val="00B9678D"/>
    <w:rsid w:val="00B9680C"/>
    <w:rsid w:val="00B97094"/>
    <w:rsid w:val="00BA46A3"/>
    <w:rsid w:val="00BA654C"/>
    <w:rsid w:val="00BA6BB2"/>
    <w:rsid w:val="00BB2E12"/>
    <w:rsid w:val="00BB33CC"/>
    <w:rsid w:val="00BC1A1C"/>
    <w:rsid w:val="00BC2AFB"/>
    <w:rsid w:val="00BC4B7D"/>
    <w:rsid w:val="00BC4E34"/>
    <w:rsid w:val="00BC565E"/>
    <w:rsid w:val="00BC611C"/>
    <w:rsid w:val="00BD0074"/>
    <w:rsid w:val="00BD26F5"/>
    <w:rsid w:val="00BD3074"/>
    <w:rsid w:val="00BD494B"/>
    <w:rsid w:val="00BD5118"/>
    <w:rsid w:val="00BD7B76"/>
    <w:rsid w:val="00BE0B53"/>
    <w:rsid w:val="00BE371F"/>
    <w:rsid w:val="00BF59E7"/>
    <w:rsid w:val="00C04FED"/>
    <w:rsid w:val="00C0727F"/>
    <w:rsid w:val="00C104D8"/>
    <w:rsid w:val="00C15EAD"/>
    <w:rsid w:val="00C2329D"/>
    <w:rsid w:val="00C25677"/>
    <w:rsid w:val="00C37FBA"/>
    <w:rsid w:val="00C413D4"/>
    <w:rsid w:val="00C42A4E"/>
    <w:rsid w:val="00C43335"/>
    <w:rsid w:val="00C43D8B"/>
    <w:rsid w:val="00C446E7"/>
    <w:rsid w:val="00C45394"/>
    <w:rsid w:val="00C471CB"/>
    <w:rsid w:val="00C502CA"/>
    <w:rsid w:val="00C508FD"/>
    <w:rsid w:val="00C645E5"/>
    <w:rsid w:val="00C64B86"/>
    <w:rsid w:val="00C64ECF"/>
    <w:rsid w:val="00C65DA3"/>
    <w:rsid w:val="00C73E91"/>
    <w:rsid w:val="00C74C47"/>
    <w:rsid w:val="00C75A77"/>
    <w:rsid w:val="00C75B89"/>
    <w:rsid w:val="00C82DA3"/>
    <w:rsid w:val="00C84812"/>
    <w:rsid w:val="00C85647"/>
    <w:rsid w:val="00C94249"/>
    <w:rsid w:val="00C96083"/>
    <w:rsid w:val="00C97351"/>
    <w:rsid w:val="00CA3BFF"/>
    <w:rsid w:val="00CA3C92"/>
    <w:rsid w:val="00CA44DF"/>
    <w:rsid w:val="00CB031B"/>
    <w:rsid w:val="00CB2C27"/>
    <w:rsid w:val="00CB7C67"/>
    <w:rsid w:val="00CE5CDB"/>
    <w:rsid w:val="00CE725B"/>
    <w:rsid w:val="00CE7D65"/>
    <w:rsid w:val="00CF02C4"/>
    <w:rsid w:val="00CF0621"/>
    <w:rsid w:val="00CF0E24"/>
    <w:rsid w:val="00CF4C18"/>
    <w:rsid w:val="00CF4E1F"/>
    <w:rsid w:val="00CF58A6"/>
    <w:rsid w:val="00CF5D21"/>
    <w:rsid w:val="00CF6542"/>
    <w:rsid w:val="00CF6B96"/>
    <w:rsid w:val="00D04B03"/>
    <w:rsid w:val="00D04E4B"/>
    <w:rsid w:val="00D06BCA"/>
    <w:rsid w:val="00D1192A"/>
    <w:rsid w:val="00D2297B"/>
    <w:rsid w:val="00D252E0"/>
    <w:rsid w:val="00D26FB6"/>
    <w:rsid w:val="00D304AB"/>
    <w:rsid w:val="00D3197F"/>
    <w:rsid w:val="00D320BB"/>
    <w:rsid w:val="00D369B5"/>
    <w:rsid w:val="00D46582"/>
    <w:rsid w:val="00D51DE6"/>
    <w:rsid w:val="00D52282"/>
    <w:rsid w:val="00D569A7"/>
    <w:rsid w:val="00D6093C"/>
    <w:rsid w:val="00D609BB"/>
    <w:rsid w:val="00D610F0"/>
    <w:rsid w:val="00D6418A"/>
    <w:rsid w:val="00D65B8A"/>
    <w:rsid w:val="00D660A0"/>
    <w:rsid w:val="00D70265"/>
    <w:rsid w:val="00D75D85"/>
    <w:rsid w:val="00D83A2B"/>
    <w:rsid w:val="00D8555B"/>
    <w:rsid w:val="00D926AB"/>
    <w:rsid w:val="00D94A3F"/>
    <w:rsid w:val="00DA0D88"/>
    <w:rsid w:val="00DA3EDD"/>
    <w:rsid w:val="00DA62A5"/>
    <w:rsid w:val="00DB2108"/>
    <w:rsid w:val="00DB4A71"/>
    <w:rsid w:val="00DB5006"/>
    <w:rsid w:val="00DB6400"/>
    <w:rsid w:val="00DC199A"/>
    <w:rsid w:val="00DC4322"/>
    <w:rsid w:val="00DC693C"/>
    <w:rsid w:val="00DD0855"/>
    <w:rsid w:val="00DE1119"/>
    <w:rsid w:val="00DE4C0D"/>
    <w:rsid w:val="00DE7EB8"/>
    <w:rsid w:val="00DF2482"/>
    <w:rsid w:val="00E13A35"/>
    <w:rsid w:val="00E144C0"/>
    <w:rsid w:val="00E1789B"/>
    <w:rsid w:val="00E23C9E"/>
    <w:rsid w:val="00E250A2"/>
    <w:rsid w:val="00E25900"/>
    <w:rsid w:val="00E26883"/>
    <w:rsid w:val="00E26E3E"/>
    <w:rsid w:val="00E33874"/>
    <w:rsid w:val="00E33A26"/>
    <w:rsid w:val="00E3671F"/>
    <w:rsid w:val="00E369C3"/>
    <w:rsid w:val="00E37863"/>
    <w:rsid w:val="00E37CBA"/>
    <w:rsid w:val="00E416F6"/>
    <w:rsid w:val="00E449A9"/>
    <w:rsid w:val="00E45C93"/>
    <w:rsid w:val="00E55124"/>
    <w:rsid w:val="00E601F9"/>
    <w:rsid w:val="00E63FFF"/>
    <w:rsid w:val="00E6641D"/>
    <w:rsid w:val="00E716EF"/>
    <w:rsid w:val="00E802A4"/>
    <w:rsid w:val="00E9421C"/>
    <w:rsid w:val="00E97D42"/>
    <w:rsid w:val="00EA5D05"/>
    <w:rsid w:val="00EA6646"/>
    <w:rsid w:val="00EB213C"/>
    <w:rsid w:val="00EB5314"/>
    <w:rsid w:val="00EC06E5"/>
    <w:rsid w:val="00EC296B"/>
    <w:rsid w:val="00EC7FA5"/>
    <w:rsid w:val="00ED2663"/>
    <w:rsid w:val="00ED5791"/>
    <w:rsid w:val="00ED5D0C"/>
    <w:rsid w:val="00ED6896"/>
    <w:rsid w:val="00ED7FAD"/>
    <w:rsid w:val="00EE1A16"/>
    <w:rsid w:val="00EE41C2"/>
    <w:rsid w:val="00EE5B24"/>
    <w:rsid w:val="00EE601C"/>
    <w:rsid w:val="00EE6C52"/>
    <w:rsid w:val="00EF468F"/>
    <w:rsid w:val="00EF6281"/>
    <w:rsid w:val="00EF6FD4"/>
    <w:rsid w:val="00F055DF"/>
    <w:rsid w:val="00F06AA2"/>
    <w:rsid w:val="00F071B1"/>
    <w:rsid w:val="00F21272"/>
    <w:rsid w:val="00F2318F"/>
    <w:rsid w:val="00F24EB3"/>
    <w:rsid w:val="00F30038"/>
    <w:rsid w:val="00F3056C"/>
    <w:rsid w:val="00F31100"/>
    <w:rsid w:val="00F3136E"/>
    <w:rsid w:val="00F408CD"/>
    <w:rsid w:val="00F40EB5"/>
    <w:rsid w:val="00F51A35"/>
    <w:rsid w:val="00F55108"/>
    <w:rsid w:val="00F56F4F"/>
    <w:rsid w:val="00F618AD"/>
    <w:rsid w:val="00F62CDD"/>
    <w:rsid w:val="00F67D86"/>
    <w:rsid w:val="00F74907"/>
    <w:rsid w:val="00F92F1A"/>
    <w:rsid w:val="00FA3CAD"/>
    <w:rsid w:val="00FA3CF0"/>
    <w:rsid w:val="00FA5310"/>
    <w:rsid w:val="00FA71BA"/>
    <w:rsid w:val="00FA7C02"/>
    <w:rsid w:val="00FB0340"/>
    <w:rsid w:val="00FB0419"/>
    <w:rsid w:val="00FB0A5B"/>
    <w:rsid w:val="00FB258B"/>
    <w:rsid w:val="00FB48C1"/>
    <w:rsid w:val="00FB4E85"/>
    <w:rsid w:val="00FB5CE2"/>
    <w:rsid w:val="00FC27EE"/>
    <w:rsid w:val="00FC4CE7"/>
    <w:rsid w:val="00FC5C57"/>
    <w:rsid w:val="00FD14D1"/>
    <w:rsid w:val="00FD1593"/>
    <w:rsid w:val="00FD2D27"/>
    <w:rsid w:val="00FD5DBD"/>
    <w:rsid w:val="00FE0B65"/>
    <w:rsid w:val="00FE2EEF"/>
    <w:rsid w:val="00FF6C91"/>
    <w:rsid w:val="00FF7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CR" w:eastAsia="es-ES_tradnl"/>
    </w:rPr>
  </w:style>
  <w:style w:type="paragraph" w:styleId="Ttulo1">
    <w:name w:val="heading 1"/>
    <w:basedOn w:val="Normal"/>
    <w:next w:val="Normal"/>
    <w:link w:val="Ttulo1Car"/>
    <w:uiPriority w:val="9"/>
    <w:qFormat/>
    <w:rsid w:val="00B85B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5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3E0397"/>
    <w:pPr>
      <w:spacing w:line="360" w:lineRule="auto"/>
      <w:jc w:val="center"/>
      <w:outlineLvl w:val="0"/>
    </w:pPr>
    <w:rPr>
      <w:b/>
      <w:lang w:val="en-US" w:eastAsia="en-US"/>
    </w:rPr>
  </w:style>
  <w:style w:type="paragraph" w:customStyle="1" w:styleId="SubtituloInterno">
    <w:name w:val="Subtitulo Interno"/>
    <w:basedOn w:val="Normal"/>
    <w:autoRedefine/>
    <w:qFormat/>
    <w:rsid w:val="00D6093C"/>
    <w:pPr>
      <w:spacing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3E0397"/>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Prrafodelista">
    <w:name w:val="List Paragraph"/>
    <w:basedOn w:val="Normal"/>
    <w:uiPriority w:val="34"/>
    <w:qFormat/>
    <w:rsid w:val="00210875"/>
    <w:pPr>
      <w:spacing w:after="160" w:line="259" w:lineRule="auto"/>
      <w:ind w:left="720"/>
      <w:contextualSpacing/>
    </w:pPr>
    <w:rPr>
      <w:rFonts w:ascii="Calibri" w:eastAsia="Calibri" w:hAnsi="Calibri" w:cs="Calibri"/>
      <w:sz w:val="22"/>
      <w:szCs w:val="22"/>
      <w:lang w:val="es-ES" w:eastAsia="es-CR"/>
    </w:rPr>
  </w:style>
  <w:style w:type="character" w:styleId="Refdecomentario">
    <w:name w:val="annotation reference"/>
    <w:basedOn w:val="Fuentedeprrafopredeter"/>
    <w:uiPriority w:val="99"/>
    <w:semiHidden/>
    <w:unhideWhenUsed/>
    <w:rsid w:val="00151476"/>
    <w:rPr>
      <w:sz w:val="16"/>
      <w:szCs w:val="16"/>
    </w:rPr>
  </w:style>
  <w:style w:type="paragraph" w:styleId="Textocomentario">
    <w:name w:val="annotation text"/>
    <w:basedOn w:val="Normal"/>
    <w:link w:val="TextocomentarioCar"/>
    <w:uiPriority w:val="99"/>
    <w:unhideWhenUsed/>
    <w:rsid w:val="00151476"/>
    <w:pPr>
      <w:spacing w:after="160"/>
    </w:pPr>
    <w:rPr>
      <w:rFonts w:ascii="Calibri" w:eastAsia="Calibri" w:hAnsi="Calibri" w:cs="Calibri"/>
      <w:sz w:val="20"/>
      <w:szCs w:val="20"/>
      <w:lang w:val="es-ES" w:eastAsia="es-CR"/>
    </w:rPr>
  </w:style>
  <w:style w:type="character" w:customStyle="1" w:styleId="TextocomentarioCar">
    <w:name w:val="Texto comentario Car"/>
    <w:basedOn w:val="Fuentedeprrafopredeter"/>
    <w:link w:val="Textocomentario"/>
    <w:uiPriority w:val="99"/>
    <w:rsid w:val="00151476"/>
    <w:rPr>
      <w:rFonts w:ascii="Calibri" w:eastAsia="Calibri" w:hAnsi="Calibri" w:cs="Calibri"/>
      <w:sz w:val="20"/>
      <w:szCs w:val="20"/>
      <w:lang w:val="es-ES" w:eastAsia="es-CR"/>
    </w:rPr>
  </w:style>
  <w:style w:type="paragraph" w:styleId="Asuntodelcomentario">
    <w:name w:val="annotation subject"/>
    <w:basedOn w:val="Textocomentario"/>
    <w:next w:val="Textocomentario"/>
    <w:link w:val="AsuntodelcomentarioCar"/>
    <w:uiPriority w:val="99"/>
    <w:semiHidden/>
    <w:unhideWhenUsed/>
    <w:rsid w:val="00B9680C"/>
    <w:pPr>
      <w:spacing w:after="0"/>
    </w:pPr>
    <w:rPr>
      <w:rFonts w:ascii="Times New Roman" w:eastAsia="Times New Roman" w:hAnsi="Times New Roman" w:cs="Times New Roman"/>
      <w:b/>
      <w:bCs/>
      <w:lang w:val="es-CR" w:eastAsia="es-ES_tradnl"/>
    </w:rPr>
  </w:style>
  <w:style w:type="character" w:customStyle="1" w:styleId="AsuntodelcomentarioCar">
    <w:name w:val="Asunto del comentario Car"/>
    <w:basedOn w:val="TextocomentarioCar"/>
    <w:link w:val="Asuntodelcomentario"/>
    <w:uiPriority w:val="99"/>
    <w:semiHidden/>
    <w:rsid w:val="00B9680C"/>
    <w:rPr>
      <w:rFonts w:ascii="Times New Roman" w:eastAsia="Times New Roman" w:hAnsi="Times New Roman" w:cs="Times New Roman"/>
      <w:b/>
      <w:bCs/>
      <w:sz w:val="20"/>
      <w:szCs w:val="20"/>
      <w:lang w:val="es-CR" w:eastAsia="es-ES_tradnl"/>
    </w:rPr>
  </w:style>
  <w:style w:type="paragraph" w:styleId="Revisin">
    <w:name w:val="Revision"/>
    <w:hidden/>
    <w:uiPriority w:val="99"/>
    <w:semiHidden/>
    <w:rsid w:val="005D6620"/>
    <w:rPr>
      <w:rFonts w:ascii="Times New Roman" w:eastAsia="Times New Roman" w:hAnsi="Times New Roman" w:cs="Times New Roman"/>
      <w:lang w:val="es-CR" w:eastAsia="es-ES_tradnl"/>
    </w:rPr>
  </w:style>
  <w:style w:type="character" w:styleId="Hipervnculovisitado">
    <w:name w:val="FollowedHyperlink"/>
    <w:basedOn w:val="Fuentedeprrafopredeter"/>
    <w:uiPriority w:val="99"/>
    <w:semiHidden/>
    <w:unhideWhenUsed/>
    <w:rsid w:val="0095631A"/>
    <w:rPr>
      <w:color w:val="954F72" w:themeColor="followedHyperlink"/>
      <w:u w:val="single"/>
    </w:rPr>
  </w:style>
  <w:style w:type="character" w:customStyle="1" w:styleId="Ttulo1Car">
    <w:name w:val="Título 1 Car"/>
    <w:basedOn w:val="Fuentedeprrafopredeter"/>
    <w:link w:val="Ttulo1"/>
    <w:uiPriority w:val="9"/>
    <w:rsid w:val="00B85BF6"/>
    <w:rPr>
      <w:rFonts w:asciiTheme="majorHAnsi" w:eastAsiaTheme="majorEastAsia" w:hAnsiTheme="majorHAnsi" w:cstheme="majorBidi"/>
      <w:color w:val="2F5496" w:themeColor="accent1" w:themeShade="BF"/>
      <w:sz w:val="32"/>
      <w:szCs w:val="32"/>
      <w:lang w:val="es-CR" w:eastAsia="es-ES_tradnl"/>
    </w:rPr>
  </w:style>
  <w:style w:type="character" w:styleId="nfasis">
    <w:name w:val="Emphasis"/>
    <w:basedOn w:val="Fuentedeprrafopredeter"/>
    <w:uiPriority w:val="20"/>
    <w:qFormat/>
    <w:rsid w:val="003533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9803">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077017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62917757">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872812564">
      <w:bodyDiv w:val="1"/>
      <w:marLeft w:val="0"/>
      <w:marRight w:val="0"/>
      <w:marTop w:val="0"/>
      <w:marBottom w:val="0"/>
      <w:divBdr>
        <w:top w:val="none" w:sz="0" w:space="0" w:color="auto"/>
        <w:left w:val="none" w:sz="0" w:space="0" w:color="auto"/>
        <w:bottom w:val="none" w:sz="0" w:space="0" w:color="auto"/>
        <w:right w:val="none" w:sz="0" w:space="0" w:color="auto"/>
      </w:divBdr>
    </w:div>
    <w:div w:id="902790400">
      <w:bodyDiv w:val="1"/>
      <w:marLeft w:val="0"/>
      <w:marRight w:val="0"/>
      <w:marTop w:val="0"/>
      <w:marBottom w:val="0"/>
      <w:divBdr>
        <w:top w:val="none" w:sz="0" w:space="0" w:color="auto"/>
        <w:left w:val="none" w:sz="0" w:space="0" w:color="auto"/>
        <w:bottom w:val="none" w:sz="0" w:space="0" w:color="auto"/>
        <w:right w:val="none" w:sz="0" w:space="0" w:color="auto"/>
      </w:divBdr>
    </w:div>
    <w:div w:id="1007176521">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15832698">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05524268">
      <w:bodyDiv w:val="1"/>
      <w:marLeft w:val="0"/>
      <w:marRight w:val="0"/>
      <w:marTop w:val="0"/>
      <w:marBottom w:val="0"/>
      <w:divBdr>
        <w:top w:val="none" w:sz="0" w:space="0" w:color="auto"/>
        <w:left w:val="none" w:sz="0" w:space="0" w:color="auto"/>
        <w:bottom w:val="none" w:sz="0" w:space="0" w:color="auto"/>
        <w:right w:val="none" w:sz="0" w:space="0" w:color="auto"/>
      </w:divBdr>
      <w:divsChild>
        <w:div w:id="835730172">
          <w:marLeft w:val="0"/>
          <w:marRight w:val="0"/>
          <w:marTop w:val="0"/>
          <w:marBottom w:val="0"/>
          <w:divBdr>
            <w:top w:val="none" w:sz="0" w:space="0" w:color="auto"/>
            <w:left w:val="none" w:sz="0" w:space="0" w:color="auto"/>
            <w:bottom w:val="none" w:sz="0" w:space="0" w:color="auto"/>
            <w:right w:val="none" w:sz="0" w:space="0" w:color="auto"/>
          </w:divBdr>
        </w:div>
        <w:div w:id="2014797249">
          <w:marLeft w:val="0"/>
          <w:marRight w:val="0"/>
          <w:marTop w:val="0"/>
          <w:marBottom w:val="0"/>
          <w:divBdr>
            <w:top w:val="none" w:sz="0" w:space="0" w:color="auto"/>
            <w:left w:val="none" w:sz="0" w:space="0" w:color="auto"/>
            <w:bottom w:val="none" w:sz="0" w:space="0" w:color="auto"/>
            <w:right w:val="none" w:sz="0" w:space="0" w:color="auto"/>
          </w:divBdr>
        </w:div>
        <w:div w:id="1180001664">
          <w:marLeft w:val="0"/>
          <w:marRight w:val="0"/>
          <w:marTop w:val="0"/>
          <w:marBottom w:val="0"/>
          <w:divBdr>
            <w:top w:val="none" w:sz="0" w:space="0" w:color="auto"/>
            <w:left w:val="none" w:sz="0" w:space="0" w:color="auto"/>
            <w:bottom w:val="none" w:sz="0" w:space="0" w:color="auto"/>
            <w:right w:val="none" w:sz="0" w:space="0" w:color="auto"/>
          </w:divBdr>
        </w:div>
        <w:div w:id="84041735">
          <w:marLeft w:val="0"/>
          <w:marRight w:val="0"/>
          <w:marTop w:val="0"/>
          <w:marBottom w:val="0"/>
          <w:divBdr>
            <w:top w:val="none" w:sz="0" w:space="0" w:color="auto"/>
            <w:left w:val="none" w:sz="0" w:space="0" w:color="auto"/>
            <w:bottom w:val="none" w:sz="0" w:space="0" w:color="auto"/>
            <w:right w:val="none" w:sz="0" w:space="0" w:color="auto"/>
          </w:divBdr>
        </w:div>
        <w:div w:id="35737101">
          <w:marLeft w:val="0"/>
          <w:marRight w:val="0"/>
          <w:marTop w:val="0"/>
          <w:marBottom w:val="0"/>
          <w:divBdr>
            <w:top w:val="none" w:sz="0" w:space="0" w:color="auto"/>
            <w:left w:val="none" w:sz="0" w:space="0" w:color="auto"/>
            <w:bottom w:val="none" w:sz="0" w:space="0" w:color="auto"/>
            <w:right w:val="none" w:sz="0" w:space="0" w:color="auto"/>
          </w:divBdr>
        </w:div>
        <w:div w:id="1812164300">
          <w:marLeft w:val="0"/>
          <w:marRight w:val="0"/>
          <w:marTop w:val="0"/>
          <w:marBottom w:val="0"/>
          <w:divBdr>
            <w:top w:val="none" w:sz="0" w:space="0" w:color="auto"/>
            <w:left w:val="none" w:sz="0" w:space="0" w:color="auto"/>
            <w:bottom w:val="none" w:sz="0" w:space="0" w:color="auto"/>
            <w:right w:val="none" w:sz="0" w:space="0" w:color="auto"/>
          </w:divBdr>
        </w:div>
        <w:div w:id="544417430">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11806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705/biomedica.4988" TargetMode="External"/><Relationship Id="rId18" Type="http://schemas.openxmlformats.org/officeDocument/2006/relationships/hyperlink" Target="https://www.inec.cr/poblacion/defunciones" TargetMode="External"/><Relationship Id="rId26" Type="http://schemas.openxmlformats.org/officeDocument/2006/relationships/hyperlink" Target="https://repositorio.uchile.cl/handle/2250/180779" TargetMode="External"/><Relationship Id="rId3" Type="http://schemas.openxmlformats.org/officeDocument/2006/relationships/styles" Target="styles.xml"/><Relationship Id="rId21" Type="http://schemas.openxmlformats.org/officeDocument/2006/relationships/hyperlink" Target="https://doi.org/10.22544/rcps.v39i02.04" TargetMode="External"/><Relationship Id="rId7" Type="http://schemas.openxmlformats.org/officeDocument/2006/relationships/endnotes" Target="endnotes.xml"/><Relationship Id="rId12" Type="http://schemas.openxmlformats.org/officeDocument/2006/relationships/hyperlink" Target="https://doi.org/10.26633/RPSP.2021.4" TargetMode="External"/><Relationship Id="rId17" Type="http://schemas.openxmlformats.org/officeDocument/2006/relationships/hyperlink" Target="http://repo.sibdi.ucr.ac.cr:8080/jspui/bitstream/123456789/16673/1/46399.pdf" TargetMode="External"/><Relationship Id="rId25" Type="http://schemas.openxmlformats.org/officeDocument/2006/relationships/hyperlink" Target="https://www.who.int/es/news-room/fact-sheets/detail/suicid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11920-016-0742-x" TargetMode="External"/><Relationship Id="rId20" Type="http://schemas.openxmlformats.org/officeDocument/2006/relationships/hyperlink" Target="https://doi.org/10.53592/convtech.v4iIV.3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081/psico.22.41.3308" TargetMode="External"/><Relationship Id="rId24" Type="http://schemas.openxmlformats.org/officeDocument/2006/relationships/hyperlink" Target="https://www.ministeriodesalud.go.cr/index.php/prensa/52-noticias-2022/1378-escuchar-es-prevenir-institucionalidad-costarricense-mantiene-llamado-comunitario-a-la-prevencion-del-suicidi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0849/ripijp.v57i2.1360" TargetMode="External"/><Relationship Id="rId23" Type="http://schemas.openxmlformats.org/officeDocument/2006/relationships/hyperlink" Target="https://www.ministeriodesalud.go.cr/index.php/noticias/noticias-2019/274-interinstitucionalmente-venimos-articulando-esfuerzos-para-fomentar-una-cultura-de-prevencion-y-abordaje-de-la-salud-mental-desde-lo-local" TargetMode="External"/><Relationship Id="rId28" Type="http://schemas.openxmlformats.org/officeDocument/2006/relationships/hyperlink" Target="https://doi.org/10.20511/pyr2020.v8n3.672" TargetMode="External"/><Relationship Id="rId10" Type="http://schemas.openxmlformats.org/officeDocument/2006/relationships/image" Target="media/image2.svg"/><Relationship Id="rId19" Type="http://schemas.openxmlformats.org/officeDocument/2006/relationships/hyperlink" Target="https://www.inec.cr/poblacion/defuncion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590/1980-549720200069" TargetMode="External"/><Relationship Id="rId22" Type="http://schemas.openxmlformats.org/officeDocument/2006/relationships/hyperlink" Target="https://www.ministeriodesalud.go.cr/index.php/ministerio-de-salud/politicas-planes-y-estrategias-en-salud" TargetMode="External"/><Relationship Id="rId27" Type="http://schemas.openxmlformats.org/officeDocument/2006/relationships/hyperlink" Target="https://www.ts.ucr.ac.cr/binarios/tfglic-sr/tfg-l-sr-2021-01.pdf" TargetMode="External"/><Relationship Id="rId30" Type="http://schemas.openxmlformats.org/officeDocument/2006/relationships/footer" Target="footer1.xml"/><Relationship Id="rId8" Type="http://schemas.openxmlformats.org/officeDocument/2006/relationships/hyperlink" Target="https://sipsych.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6790</Words>
  <Characters>37347</Characters>
  <Application>Microsoft Office Word</Application>
  <DocSecurity>0</DocSecurity>
  <Lines>311</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Siu Fong Acon Araya</cp:lastModifiedBy>
  <cp:revision>4</cp:revision>
  <cp:lastPrinted>2020-04-16T16:22:00Z</cp:lastPrinted>
  <dcterms:created xsi:type="dcterms:W3CDTF">2023-10-31T04:06:00Z</dcterms:created>
  <dcterms:modified xsi:type="dcterms:W3CDTF">2023-10-31T14:45:00Z</dcterms:modified>
</cp:coreProperties>
</file>