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D89" w:rsidRPr="007164AA" w:rsidRDefault="00A57D41">
      <w:pPr>
        <w:pBdr>
          <w:top w:val="nil"/>
          <w:left w:val="nil"/>
          <w:bottom w:val="nil"/>
          <w:right w:val="nil"/>
          <w:between w:val="nil"/>
        </w:pBdr>
        <w:jc w:val="center"/>
        <w:rPr>
          <w:b/>
          <w:color w:val="000000"/>
          <w:sz w:val="36"/>
          <w:szCs w:val="36"/>
          <w:lang w:val="en-US"/>
        </w:rPr>
      </w:pPr>
      <w:r w:rsidRPr="007164AA">
        <w:rPr>
          <w:b/>
          <w:sz w:val="36"/>
          <w:szCs w:val="36"/>
          <w:lang w:val="en-US"/>
        </w:rPr>
        <w:t xml:space="preserve">Development and current status of psychology journals in Peru </w:t>
      </w:r>
    </w:p>
    <w:p w:rsidR="00067D89" w:rsidRPr="007164AA" w:rsidRDefault="00A57D41">
      <w:pPr>
        <w:pBdr>
          <w:top w:val="nil"/>
          <w:left w:val="nil"/>
          <w:bottom w:val="nil"/>
          <w:right w:val="nil"/>
          <w:between w:val="nil"/>
        </w:pBdr>
        <w:jc w:val="center"/>
        <w:rPr>
          <w:b/>
          <w:color w:val="000000"/>
          <w:sz w:val="36"/>
          <w:szCs w:val="36"/>
          <w:lang w:val="en-US"/>
        </w:rPr>
      </w:pPr>
      <w:r>
        <w:rPr>
          <w:noProof/>
        </w:rPr>
        <mc:AlternateContent>
          <mc:Choice Requires="wps">
            <w:drawing>
              <wp:anchor distT="4294967295" distB="4294967295" distL="114300" distR="114300" simplePos="0" relativeHeight="251658240" behindDoc="0" locked="0" layoutInCell="1" hidden="0" allowOverlap="1">
                <wp:simplePos x="0" y="0"/>
                <wp:positionH relativeFrom="column">
                  <wp:posOffset>1</wp:posOffset>
                </wp:positionH>
                <wp:positionV relativeFrom="paragraph">
                  <wp:posOffset>55896</wp:posOffset>
                </wp:positionV>
                <wp:extent cx="0" cy="25400"/>
                <wp:effectExtent l="0" t="0" r="0" b="0"/>
                <wp:wrapNone/>
                <wp:docPr id="135" name="Conector recto de flecha 135"/>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0" cy="25400"/>
                <wp:effectExtent b="0" l="0" r="0" t="0"/>
                <wp:wrapNone/>
                <wp:docPr id="13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p>
    <w:p w:rsidR="00067D89" w:rsidRPr="007164AA" w:rsidRDefault="00067D89">
      <w:pPr>
        <w:rPr>
          <w:b/>
          <w:sz w:val="20"/>
          <w:szCs w:val="20"/>
          <w:lang w:val="en-US"/>
        </w:rPr>
      </w:pPr>
    </w:p>
    <w:p w:rsidR="00067D89" w:rsidRPr="007164AA" w:rsidRDefault="00A57D41">
      <w:pPr>
        <w:pBdr>
          <w:top w:val="nil"/>
          <w:left w:val="nil"/>
          <w:bottom w:val="nil"/>
          <w:right w:val="nil"/>
          <w:between w:val="nil"/>
        </w:pBdr>
        <w:spacing w:after="120"/>
        <w:jc w:val="center"/>
        <w:rPr>
          <w:b/>
          <w:smallCaps/>
          <w:color w:val="000000"/>
          <w:sz w:val="20"/>
          <w:szCs w:val="20"/>
          <w:lang w:val="en-US"/>
        </w:rPr>
      </w:pPr>
      <w:r w:rsidRPr="007164AA">
        <w:rPr>
          <w:b/>
          <w:smallCaps/>
          <w:color w:val="000000"/>
          <w:sz w:val="20"/>
          <w:szCs w:val="20"/>
          <w:lang w:val="en-US"/>
        </w:rPr>
        <w:t>Abstract</w:t>
      </w:r>
    </w:p>
    <w:p w:rsidR="00067D89" w:rsidRPr="007164AA" w:rsidRDefault="00A57D41">
      <w:pPr>
        <w:jc w:val="both"/>
        <w:rPr>
          <w:sz w:val="20"/>
          <w:szCs w:val="20"/>
          <w:lang w:val="en-US"/>
        </w:rPr>
      </w:pPr>
      <w:r w:rsidRPr="007164AA">
        <w:rPr>
          <w:sz w:val="20"/>
          <w:szCs w:val="20"/>
          <w:lang w:val="en-US"/>
        </w:rPr>
        <w:t>The objective of this paper is to present an analysis of the main bibliometric indicators of psychology journals in Peru. The method used was socio-bibliometrics, and the sample consisted of journals with the International Standard Serials Number (ISSN). The results of the analysis of the bibliometric indicators are the following: 1) Journals, 20 Psychology Journals in Peru have a physical and/or electronic ISSN code, 13 journals are published in the city of Lima, the capital of Peru, and 7 are published in the provinces. The highest growth occurred between 2011 and 2017, when 12 new journals were founded. 2) Periodicity, currently 13 journals are active, 12 of them are published biannually. 3) Editorial board, 17 journals have an editorial board, there is a predominance of males (55%) in the editorial committees of psychology journals in Peru. Fifty percent of the editorial board members have an international background. 4) Publication process, 13 journals have an open call for papers all year round and have publication standards for authors. 5) Content, empirical and theoretical articles are the most published by psychology journals</w:t>
      </w:r>
      <w:r w:rsidR="00620CBC">
        <w:rPr>
          <w:sz w:val="20"/>
          <w:szCs w:val="20"/>
          <w:lang w:val="en-US"/>
        </w:rPr>
        <w:t xml:space="preserve"> </w:t>
      </w:r>
      <w:r w:rsidR="00620CBC" w:rsidRPr="007164AA">
        <w:rPr>
          <w:sz w:val="20"/>
          <w:szCs w:val="20"/>
          <w:lang w:val="en-US"/>
        </w:rPr>
        <w:t>in Peru</w:t>
      </w:r>
      <w:r w:rsidRPr="007164AA">
        <w:rPr>
          <w:sz w:val="20"/>
          <w:szCs w:val="20"/>
          <w:lang w:val="en-US"/>
        </w:rPr>
        <w:t>, 11 journals publish only in Spanish. Most journals publish an average of 6 to 12.5 articles per issue. 6) Dissemination, 13 journals do not have any social network for the dissemination of their activities, 11 journals are indexed in Latindex, only one journal is indexed in Scopus and no journal is indexed in WOS.</w:t>
      </w:r>
      <w:r w:rsidR="00620CBC">
        <w:rPr>
          <w:sz w:val="20"/>
          <w:szCs w:val="20"/>
          <w:lang w:val="en-US"/>
        </w:rPr>
        <w:t xml:space="preserve"> </w:t>
      </w:r>
    </w:p>
    <w:p w:rsidR="00067D89" w:rsidRPr="007164AA" w:rsidRDefault="00067D89">
      <w:pPr>
        <w:rPr>
          <w:sz w:val="20"/>
          <w:szCs w:val="20"/>
          <w:lang w:val="en-US"/>
        </w:rPr>
      </w:pPr>
    </w:p>
    <w:p w:rsidR="00067D89" w:rsidRPr="007164AA" w:rsidRDefault="00A57D41">
      <w:pPr>
        <w:rPr>
          <w:b/>
          <w:sz w:val="20"/>
          <w:szCs w:val="20"/>
          <w:lang w:val="en-US"/>
        </w:rPr>
      </w:pPr>
      <w:r w:rsidRPr="007164AA">
        <w:rPr>
          <w:b/>
          <w:sz w:val="20"/>
          <w:szCs w:val="20"/>
          <w:lang w:val="en-US"/>
        </w:rPr>
        <w:t>Keywords</w:t>
      </w:r>
    </w:p>
    <w:p w:rsidR="00067D89" w:rsidRPr="007164AA" w:rsidRDefault="00A57D41">
      <w:pPr>
        <w:jc w:val="both"/>
        <w:rPr>
          <w:sz w:val="20"/>
          <w:szCs w:val="20"/>
          <w:lang w:val="en-US"/>
        </w:rPr>
      </w:pPr>
      <w:r w:rsidRPr="007164AA">
        <w:rPr>
          <w:sz w:val="20"/>
          <w:szCs w:val="20"/>
          <w:lang w:val="en-US"/>
        </w:rPr>
        <w:t>Journal; Psychology; History; Socio-Bibliometrics; ISSN.</w:t>
      </w:r>
    </w:p>
    <w:p w:rsidR="00067D89" w:rsidRPr="007164AA" w:rsidRDefault="00A57D41">
      <w:pPr>
        <w:jc w:val="both"/>
        <w:rPr>
          <w:sz w:val="20"/>
          <w:szCs w:val="20"/>
          <w:lang w:val="en-US"/>
        </w:rPr>
      </w:pPr>
      <w:r>
        <w:rPr>
          <w:noProof/>
        </w:rPr>
        <w:drawing>
          <wp:anchor distT="0" distB="0" distL="114300" distR="114300" simplePos="0" relativeHeight="251659264" behindDoc="0" locked="0" layoutInCell="1" hidden="0" allowOverlap="1">
            <wp:simplePos x="0" y="0"/>
            <wp:positionH relativeFrom="column">
              <wp:posOffset>5507355</wp:posOffset>
            </wp:positionH>
            <wp:positionV relativeFrom="paragraph">
              <wp:posOffset>130175</wp:posOffset>
            </wp:positionV>
            <wp:extent cx="396000" cy="259200"/>
            <wp:effectExtent l="0" t="0" r="0" b="0"/>
            <wp:wrapNone/>
            <wp:docPr id="1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96000" cy="259200"/>
                    </a:xfrm>
                    <a:prstGeom prst="rect">
                      <a:avLst/>
                    </a:prstGeom>
                    <a:ln/>
                  </pic:spPr>
                </pic:pic>
              </a:graphicData>
            </a:graphic>
          </wp:anchor>
        </w:drawing>
      </w:r>
    </w:p>
    <w:p w:rsidR="00067D89" w:rsidRPr="007164AA" w:rsidRDefault="00067D89">
      <w:pPr>
        <w:jc w:val="both"/>
        <w:rPr>
          <w:sz w:val="20"/>
          <w:szCs w:val="20"/>
          <w:lang w:val="en-US"/>
        </w:rPr>
      </w:pPr>
      <w:bookmarkStart w:id="0" w:name="_GoBack"/>
      <w:bookmarkEnd w:id="0"/>
    </w:p>
    <w:p w:rsidR="00067D89" w:rsidRPr="007164AA" w:rsidRDefault="00067D89">
      <w:pPr>
        <w:jc w:val="both"/>
        <w:rPr>
          <w:sz w:val="20"/>
          <w:szCs w:val="20"/>
          <w:lang w:val="en-US"/>
        </w:rPr>
      </w:pPr>
    </w:p>
    <w:p w:rsidR="00067D89" w:rsidRDefault="00A57D41">
      <w:pPr>
        <w:pBdr>
          <w:top w:val="nil"/>
          <w:left w:val="nil"/>
          <w:bottom w:val="nil"/>
          <w:right w:val="nil"/>
          <w:between w:val="nil"/>
        </w:pBdr>
        <w:spacing w:after="120"/>
        <w:jc w:val="center"/>
        <w:rPr>
          <w:b/>
          <w:smallCaps/>
          <w:color w:val="000000"/>
          <w:sz w:val="20"/>
          <w:szCs w:val="20"/>
        </w:rPr>
      </w:pPr>
      <w:r>
        <w:rPr>
          <w:b/>
          <w:smallCaps/>
          <w:color w:val="000000"/>
          <w:sz w:val="20"/>
          <w:szCs w:val="20"/>
        </w:rPr>
        <w:t>Resumen</w:t>
      </w:r>
    </w:p>
    <w:p w:rsidR="00067D89" w:rsidRDefault="00A57D41">
      <w:pPr>
        <w:pBdr>
          <w:top w:val="nil"/>
          <w:left w:val="nil"/>
          <w:bottom w:val="nil"/>
          <w:right w:val="nil"/>
          <w:between w:val="nil"/>
        </w:pBdr>
        <w:jc w:val="both"/>
        <w:rPr>
          <w:color w:val="000000"/>
          <w:sz w:val="20"/>
          <w:szCs w:val="20"/>
        </w:rPr>
      </w:pPr>
      <w:bookmarkStart w:id="1" w:name="_heading=h.2et92p0" w:colFirst="0" w:colLast="0"/>
      <w:bookmarkEnd w:id="1"/>
      <w:r>
        <w:rPr>
          <w:color w:val="000000"/>
          <w:sz w:val="20"/>
          <w:szCs w:val="20"/>
        </w:rPr>
        <w:t xml:space="preserve">El objetivo </w:t>
      </w:r>
      <w:r w:rsidR="002158D4">
        <w:rPr>
          <w:color w:val="000000"/>
          <w:sz w:val="20"/>
          <w:szCs w:val="20"/>
        </w:rPr>
        <w:t>del estudio</w:t>
      </w:r>
      <w:r>
        <w:rPr>
          <w:color w:val="000000"/>
          <w:sz w:val="20"/>
          <w:szCs w:val="20"/>
        </w:rPr>
        <w:t xml:space="preserve"> es presentar un análisis de los principales indicadores bibliométricos de las revistas de psicología en el Perú. El método fue </w:t>
      </w:r>
      <w:r>
        <w:rPr>
          <w:sz w:val="20"/>
          <w:szCs w:val="20"/>
        </w:rPr>
        <w:t>el</w:t>
      </w:r>
      <w:r>
        <w:rPr>
          <w:color w:val="000000"/>
          <w:sz w:val="20"/>
          <w:szCs w:val="20"/>
        </w:rPr>
        <w:t xml:space="preserve"> socio-</w:t>
      </w:r>
      <w:r>
        <w:rPr>
          <w:sz w:val="20"/>
          <w:szCs w:val="20"/>
        </w:rPr>
        <w:t>bibliométrico</w:t>
      </w:r>
      <w:r>
        <w:rPr>
          <w:color w:val="000000"/>
          <w:sz w:val="20"/>
          <w:szCs w:val="20"/>
        </w:rPr>
        <w:t xml:space="preserve">, la muestra </w:t>
      </w:r>
      <w:r w:rsidR="002158D4">
        <w:rPr>
          <w:color w:val="000000"/>
          <w:sz w:val="20"/>
          <w:szCs w:val="20"/>
        </w:rPr>
        <w:t>fueron</w:t>
      </w:r>
      <w:r>
        <w:rPr>
          <w:color w:val="000000"/>
          <w:sz w:val="20"/>
          <w:szCs w:val="20"/>
        </w:rPr>
        <w:t xml:space="preserve"> las revistas que cuenten con el Número Internacional Normalizado para Publicaciones Seriadas (ISSN por sus siglas en inglés). </w:t>
      </w:r>
      <w:r w:rsidR="002158D4">
        <w:rPr>
          <w:color w:val="000000"/>
          <w:sz w:val="20"/>
          <w:szCs w:val="20"/>
        </w:rPr>
        <w:t>Resultados</w:t>
      </w:r>
      <w:r>
        <w:rPr>
          <w:color w:val="000000"/>
          <w:sz w:val="20"/>
          <w:szCs w:val="20"/>
        </w:rPr>
        <w:t xml:space="preserve">: 1) </w:t>
      </w:r>
      <w:r>
        <w:rPr>
          <w:sz w:val="20"/>
          <w:szCs w:val="20"/>
        </w:rPr>
        <w:t>R</w:t>
      </w:r>
      <w:r>
        <w:rPr>
          <w:color w:val="000000"/>
          <w:sz w:val="20"/>
          <w:szCs w:val="20"/>
        </w:rPr>
        <w:t xml:space="preserve">evistas, 20 son las Revistas de Psicología en el Perú que cuentan con código ISSN físico y/o electrónico, 13 revistas se editan en la ciudad de Lima la capital del Perú y 7 en provincias. El mayor crecimiento se inició desde el 2011 </w:t>
      </w:r>
      <w:r>
        <w:rPr>
          <w:sz w:val="20"/>
          <w:szCs w:val="20"/>
        </w:rPr>
        <w:t>y</w:t>
      </w:r>
      <w:r>
        <w:rPr>
          <w:color w:val="000000"/>
          <w:sz w:val="20"/>
          <w:szCs w:val="20"/>
        </w:rPr>
        <w:t xml:space="preserve"> 2017, donde se </w:t>
      </w:r>
      <w:r>
        <w:rPr>
          <w:sz w:val="20"/>
          <w:szCs w:val="20"/>
        </w:rPr>
        <w:t>fundaron</w:t>
      </w:r>
      <w:r>
        <w:rPr>
          <w:color w:val="000000"/>
          <w:sz w:val="20"/>
          <w:szCs w:val="20"/>
        </w:rPr>
        <w:t xml:space="preserve"> 12 </w:t>
      </w:r>
      <w:r>
        <w:rPr>
          <w:sz w:val="20"/>
          <w:szCs w:val="20"/>
        </w:rPr>
        <w:t xml:space="preserve">nuevas </w:t>
      </w:r>
      <w:r>
        <w:rPr>
          <w:color w:val="000000"/>
          <w:sz w:val="20"/>
          <w:szCs w:val="20"/>
        </w:rPr>
        <w:t xml:space="preserve">revistas. 2) Periodicidad, actualmente 13 revistas están activas, 12 se editan semestralmente. 3) Comité editorial, 17 revistas cuentan con comité editorial, </w:t>
      </w:r>
      <w:r>
        <w:rPr>
          <w:sz w:val="20"/>
          <w:szCs w:val="20"/>
        </w:rPr>
        <w:t>existe una predominancia del género masculino (55%) en la integración de los comités editoriales de las revistas de psicología en el Perú. El 50% de integrantes del comité editorial son de procedencia internacional.</w:t>
      </w:r>
      <w:r>
        <w:rPr>
          <w:color w:val="000000"/>
          <w:sz w:val="20"/>
          <w:szCs w:val="20"/>
        </w:rPr>
        <w:t xml:space="preserve"> 4) Proceso de publicación, 13 revistas tienen una convocatoria abierta todo el año y cuentan con normas de publicación para los autores. 5) Contenido, los artículos empíricos y teóricos son los más publicados por las revistas</w:t>
      </w:r>
      <w:r w:rsidR="00620CBC">
        <w:rPr>
          <w:color w:val="000000"/>
          <w:sz w:val="20"/>
          <w:szCs w:val="20"/>
        </w:rPr>
        <w:t xml:space="preserve"> de psicología del Perú</w:t>
      </w:r>
      <w:r>
        <w:rPr>
          <w:color w:val="000000"/>
          <w:sz w:val="20"/>
          <w:szCs w:val="20"/>
        </w:rPr>
        <w:t xml:space="preserve">, 11 revistas publican </w:t>
      </w:r>
      <w:r>
        <w:rPr>
          <w:sz w:val="20"/>
          <w:szCs w:val="20"/>
        </w:rPr>
        <w:t>solo en</w:t>
      </w:r>
      <w:r>
        <w:rPr>
          <w:color w:val="000000"/>
          <w:sz w:val="20"/>
          <w:szCs w:val="20"/>
        </w:rPr>
        <w:t xml:space="preserve"> español. La </w:t>
      </w:r>
      <w:r>
        <w:rPr>
          <w:sz w:val="20"/>
          <w:szCs w:val="20"/>
        </w:rPr>
        <w:t>mayoría</w:t>
      </w:r>
      <w:r>
        <w:rPr>
          <w:color w:val="000000"/>
          <w:sz w:val="20"/>
          <w:szCs w:val="20"/>
        </w:rPr>
        <w:t xml:space="preserve"> </w:t>
      </w:r>
      <w:r>
        <w:rPr>
          <w:sz w:val="20"/>
          <w:szCs w:val="20"/>
        </w:rPr>
        <w:t>d</w:t>
      </w:r>
      <w:r>
        <w:rPr>
          <w:color w:val="000000"/>
          <w:sz w:val="20"/>
          <w:szCs w:val="20"/>
        </w:rPr>
        <w:t xml:space="preserve">e las revistas publican en promedio entre 6 y 12.5 artículos por edición. 6) Difusión, 13 revistas no cuentan con alguna red social para la difusión de sus actividades, once revistas están indexadas en Latindex, solo una revista está indizada en Scopus y ninguna revista está indizada en WOS. </w:t>
      </w:r>
    </w:p>
    <w:p w:rsidR="00067D89" w:rsidRDefault="00067D89">
      <w:pPr>
        <w:jc w:val="both"/>
        <w:rPr>
          <w:sz w:val="20"/>
          <w:szCs w:val="20"/>
        </w:rPr>
      </w:pPr>
    </w:p>
    <w:p w:rsidR="00067D89" w:rsidRDefault="00067D89">
      <w:pPr>
        <w:jc w:val="both"/>
        <w:rPr>
          <w:sz w:val="20"/>
          <w:szCs w:val="20"/>
        </w:rPr>
      </w:pPr>
    </w:p>
    <w:p w:rsidR="00067D89" w:rsidRDefault="00A57D41">
      <w:pPr>
        <w:jc w:val="both"/>
        <w:rPr>
          <w:sz w:val="20"/>
          <w:szCs w:val="20"/>
        </w:rPr>
      </w:pPr>
      <w:r>
        <w:rPr>
          <w:sz w:val="20"/>
          <w:szCs w:val="20"/>
        </w:rPr>
        <w:t xml:space="preserve"> </w:t>
      </w:r>
    </w:p>
    <w:p w:rsidR="00067D89" w:rsidRDefault="00A57D41">
      <w:pPr>
        <w:jc w:val="both"/>
        <w:rPr>
          <w:b/>
          <w:sz w:val="20"/>
          <w:szCs w:val="20"/>
        </w:rPr>
      </w:pPr>
      <w:r>
        <w:rPr>
          <w:b/>
          <w:sz w:val="20"/>
          <w:szCs w:val="20"/>
        </w:rPr>
        <w:t>Palabras clave</w:t>
      </w:r>
    </w:p>
    <w:p w:rsidR="00067D89" w:rsidRDefault="00A57D41">
      <w:pPr>
        <w:jc w:val="both"/>
        <w:rPr>
          <w:sz w:val="20"/>
          <w:szCs w:val="20"/>
        </w:rPr>
      </w:pPr>
      <w:r>
        <w:rPr>
          <w:sz w:val="20"/>
          <w:szCs w:val="20"/>
        </w:rPr>
        <w:t>Revista; Psicología; Historia; Socio-Bibliometría; ISSN.</w:t>
      </w:r>
    </w:p>
    <w:p w:rsidR="00067D89" w:rsidRDefault="00067D89">
      <w:pPr>
        <w:jc w:val="both"/>
        <w:rPr>
          <w:sz w:val="20"/>
          <w:szCs w:val="20"/>
        </w:rPr>
      </w:pPr>
    </w:p>
    <w:p w:rsidR="00067D89" w:rsidRDefault="00067D89">
      <w:pPr>
        <w:jc w:val="both"/>
        <w:rPr>
          <w:sz w:val="20"/>
          <w:szCs w:val="20"/>
        </w:rPr>
      </w:pPr>
    </w:p>
    <w:p w:rsidR="00067D89" w:rsidRDefault="00067D89">
      <w:pPr>
        <w:jc w:val="both"/>
        <w:rPr>
          <w:sz w:val="20"/>
          <w:szCs w:val="20"/>
        </w:rPr>
      </w:pPr>
    </w:p>
    <w:p w:rsidR="003F7666" w:rsidRDefault="003F7666">
      <w:pPr>
        <w:jc w:val="both"/>
        <w:rPr>
          <w:sz w:val="20"/>
          <w:szCs w:val="20"/>
        </w:rPr>
      </w:pPr>
    </w:p>
    <w:p w:rsidR="007164AA" w:rsidRDefault="007164AA">
      <w:pPr>
        <w:jc w:val="both"/>
        <w:rPr>
          <w:sz w:val="20"/>
          <w:szCs w:val="20"/>
        </w:rPr>
      </w:pPr>
    </w:p>
    <w:p w:rsidR="00067D89" w:rsidRDefault="00067D89">
      <w:pPr>
        <w:jc w:val="both"/>
        <w:rPr>
          <w:sz w:val="20"/>
          <w:szCs w:val="20"/>
        </w:rPr>
      </w:pPr>
    </w:p>
    <w:p w:rsidR="00067D89" w:rsidRDefault="00A57D41">
      <w:pPr>
        <w:pBdr>
          <w:top w:val="nil"/>
          <w:left w:val="nil"/>
          <w:bottom w:val="nil"/>
          <w:right w:val="nil"/>
          <w:between w:val="nil"/>
        </w:pBdr>
        <w:jc w:val="center"/>
        <w:rPr>
          <w:b/>
          <w:color w:val="000000"/>
          <w:sz w:val="36"/>
          <w:szCs w:val="36"/>
        </w:rPr>
      </w:pPr>
      <w:r>
        <w:rPr>
          <w:b/>
          <w:color w:val="000000"/>
          <w:sz w:val="36"/>
          <w:szCs w:val="36"/>
        </w:rPr>
        <w:lastRenderedPageBreak/>
        <w:t>Desarrollo y estado actual de las revistas de psicología en el Perú</w:t>
      </w:r>
    </w:p>
    <w:p w:rsidR="00067D89" w:rsidRDefault="00067D89">
      <w:pPr>
        <w:pBdr>
          <w:top w:val="nil"/>
          <w:left w:val="nil"/>
          <w:bottom w:val="nil"/>
          <w:right w:val="nil"/>
          <w:between w:val="nil"/>
        </w:pBdr>
        <w:jc w:val="center"/>
        <w:rPr>
          <w:b/>
          <w:color w:val="000000"/>
        </w:rPr>
      </w:pPr>
    </w:p>
    <w:p w:rsidR="00067D89" w:rsidRDefault="00A57D41">
      <w:pPr>
        <w:pBdr>
          <w:top w:val="nil"/>
          <w:left w:val="nil"/>
          <w:bottom w:val="nil"/>
          <w:right w:val="nil"/>
          <w:between w:val="nil"/>
        </w:pBdr>
        <w:jc w:val="center"/>
        <w:rPr>
          <w:b/>
          <w:color w:val="000000"/>
        </w:rPr>
      </w:pPr>
      <w:r>
        <w:rPr>
          <w:b/>
          <w:color w:val="000000"/>
        </w:rPr>
        <w:t>Introducción</w:t>
      </w:r>
    </w:p>
    <w:p w:rsidR="00067D89" w:rsidRDefault="00067D89">
      <w:pPr>
        <w:pBdr>
          <w:top w:val="nil"/>
          <w:left w:val="nil"/>
          <w:bottom w:val="nil"/>
          <w:right w:val="nil"/>
          <w:between w:val="nil"/>
        </w:pBdr>
        <w:spacing w:line="360" w:lineRule="auto"/>
        <w:ind w:firstLine="708"/>
        <w:jc w:val="both"/>
        <w:rPr>
          <w:color w:val="000000"/>
        </w:rPr>
      </w:pPr>
    </w:p>
    <w:p w:rsidR="00067D89" w:rsidRDefault="00A57D41">
      <w:pPr>
        <w:pBdr>
          <w:top w:val="nil"/>
          <w:left w:val="nil"/>
          <w:bottom w:val="nil"/>
          <w:right w:val="nil"/>
          <w:between w:val="nil"/>
        </w:pBdr>
        <w:spacing w:line="360" w:lineRule="auto"/>
        <w:ind w:firstLine="708"/>
        <w:jc w:val="both"/>
        <w:rPr>
          <w:color w:val="000000"/>
        </w:rPr>
      </w:pPr>
      <w:r>
        <w:rPr>
          <w:color w:val="000000"/>
        </w:rPr>
        <w:t xml:space="preserve">Una de las principales formas de difusión de los resultados de </w:t>
      </w:r>
      <w:r>
        <w:t>una</w:t>
      </w:r>
      <w:r>
        <w:rPr>
          <w:color w:val="000000"/>
        </w:rPr>
        <w:t xml:space="preserve"> investigación, son las revistas científicas en las diversas áreas de la ciencia (Montoya-Roncancio y Merlo-Vega, 2023). Desde las primeras revistas científicas que se editaron en el siglo XVII en Francia e Inglaterra, hasta la actualidad han mo</w:t>
      </w:r>
      <w:r>
        <w:t xml:space="preserve">dificado su </w:t>
      </w:r>
      <w:r>
        <w:rPr>
          <w:color w:val="000000"/>
        </w:rPr>
        <w:t xml:space="preserve">estructura, formato, criterios de calidad, la revisión por pares, el factor de impacto entre otras (Mendoza y Paravic, 2006; Polanco-Carrasco et al., 2017). </w:t>
      </w:r>
    </w:p>
    <w:p w:rsidR="00067D89" w:rsidRDefault="00A57D41">
      <w:pPr>
        <w:pBdr>
          <w:top w:val="nil"/>
          <w:left w:val="nil"/>
          <w:bottom w:val="nil"/>
          <w:right w:val="nil"/>
          <w:between w:val="nil"/>
        </w:pBdr>
        <w:spacing w:line="360" w:lineRule="auto"/>
        <w:ind w:firstLine="708"/>
        <w:jc w:val="both"/>
        <w:rPr>
          <w:highlight w:val="white"/>
        </w:rPr>
      </w:pPr>
      <w:r>
        <w:rPr>
          <w:color w:val="000000"/>
        </w:rPr>
        <w:t xml:space="preserve">El </w:t>
      </w:r>
      <w:r>
        <w:t>incremento</w:t>
      </w:r>
      <w:r>
        <w:rPr>
          <w:color w:val="000000"/>
        </w:rPr>
        <w:t xml:space="preserve"> y desarrollo de las revistas científicas </w:t>
      </w:r>
      <w:r>
        <w:t>originó</w:t>
      </w:r>
      <w:r>
        <w:rPr>
          <w:color w:val="000000"/>
        </w:rPr>
        <w:t xml:space="preserve"> nuevas áreas para el estudio y análisis de las publicaciones como la cienciometría, la bibliometría o los estudios de meta-análisis (Mendoza y Paravic, 2006; </w:t>
      </w:r>
      <w:proofErr w:type="spellStart"/>
      <w:r>
        <w:rPr>
          <w:color w:val="000000"/>
        </w:rPr>
        <w:t>Haustein</w:t>
      </w:r>
      <w:proofErr w:type="spellEnd"/>
      <w:r>
        <w:rPr>
          <w:color w:val="000000"/>
        </w:rPr>
        <w:t xml:space="preserve">, y </w:t>
      </w:r>
      <w:proofErr w:type="spellStart"/>
      <w:r>
        <w:rPr>
          <w:color w:val="000000"/>
        </w:rPr>
        <w:t>Larivière</w:t>
      </w:r>
      <w:proofErr w:type="spellEnd"/>
      <w:r>
        <w:rPr>
          <w:color w:val="000000"/>
        </w:rPr>
        <w:t>, 2015).</w:t>
      </w:r>
      <w:r>
        <w:t xml:space="preserve"> En las últimas décadas, el uso del método bibliométrico se ha incrementado en los diversos campos de las ciencias, para analizar las publicaciones científicas (</w:t>
      </w:r>
      <w:proofErr w:type="spellStart"/>
      <w:r>
        <w:t>Haustein</w:t>
      </w:r>
      <w:proofErr w:type="spellEnd"/>
      <w:r>
        <w:t xml:space="preserve">, y </w:t>
      </w:r>
      <w:proofErr w:type="spellStart"/>
      <w:r>
        <w:t>Larivière</w:t>
      </w:r>
      <w:proofErr w:type="spellEnd"/>
      <w:r>
        <w:t>, 2015). El uso del método bibliométrico, ha impactado en el estudio de las publicaciones científicas en la psicología (</w:t>
      </w:r>
      <w:proofErr w:type="spellStart"/>
      <w:r>
        <w:rPr>
          <w:highlight w:val="white"/>
        </w:rPr>
        <w:t>Brožek</w:t>
      </w:r>
      <w:proofErr w:type="spellEnd"/>
      <w:r>
        <w:rPr>
          <w:highlight w:val="white"/>
        </w:rPr>
        <w:t xml:space="preserve">, 1991; </w:t>
      </w:r>
      <w:proofErr w:type="spellStart"/>
      <w:r>
        <w:rPr>
          <w:color w:val="222222"/>
          <w:highlight w:val="white"/>
        </w:rPr>
        <w:t>Bordons</w:t>
      </w:r>
      <w:proofErr w:type="spellEnd"/>
      <w:r>
        <w:rPr>
          <w:color w:val="222222"/>
          <w:highlight w:val="white"/>
        </w:rPr>
        <w:t xml:space="preserve">, y Zulueta, 1999; </w:t>
      </w:r>
      <w:proofErr w:type="spellStart"/>
      <w:r>
        <w:rPr>
          <w:highlight w:val="white"/>
        </w:rPr>
        <w:t>Klappenbach</w:t>
      </w:r>
      <w:proofErr w:type="spellEnd"/>
      <w:r>
        <w:rPr>
          <w:highlight w:val="white"/>
        </w:rPr>
        <w:t>, 2017;</w:t>
      </w:r>
      <w:r>
        <w:t xml:space="preserve"> Sáez-Ibáñez, et al., 2018; Tortosa-</w:t>
      </w:r>
      <w:proofErr w:type="spellStart"/>
      <w:r>
        <w:t>Perez</w:t>
      </w:r>
      <w:proofErr w:type="spellEnd"/>
      <w:r>
        <w:t>, et al., 2019). En Latinoamérica en los últimos años se ha visto un incremento de los estudios bibliométricos en psicología (</w:t>
      </w:r>
      <w:proofErr w:type="gramStart"/>
      <w:r>
        <w:rPr>
          <w:color w:val="333333"/>
          <w:highlight w:val="white"/>
        </w:rPr>
        <w:t>Gallegos</w:t>
      </w:r>
      <w:proofErr w:type="gramEnd"/>
      <w:r>
        <w:rPr>
          <w:color w:val="333333"/>
          <w:highlight w:val="white"/>
        </w:rPr>
        <w:t xml:space="preserve">, et al., 2020; </w:t>
      </w:r>
      <w:proofErr w:type="spellStart"/>
      <w:r>
        <w:rPr>
          <w:color w:val="222222"/>
          <w:highlight w:val="white"/>
        </w:rPr>
        <w:t>Klappenbach</w:t>
      </w:r>
      <w:proofErr w:type="spellEnd"/>
      <w:r>
        <w:rPr>
          <w:color w:val="222222"/>
          <w:highlight w:val="white"/>
        </w:rPr>
        <w:t xml:space="preserve">, et al., 2022; </w:t>
      </w:r>
      <w:r>
        <w:t>Sáez-Ibáñez, et al., 2018;). Su aplicación no se ha limitado al estudio de las publicaciones científicas, también se ha ampliado al análisis de tesinas (</w:t>
      </w:r>
      <w:proofErr w:type="spellStart"/>
      <w:r>
        <w:rPr>
          <w:color w:val="222222"/>
          <w:highlight w:val="white"/>
        </w:rPr>
        <w:t>Carosio</w:t>
      </w:r>
      <w:proofErr w:type="spellEnd"/>
      <w:r>
        <w:rPr>
          <w:color w:val="222222"/>
          <w:highlight w:val="white"/>
        </w:rPr>
        <w:t xml:space="preserve">, y </w:t>
      </w:r>
      <w:proofErr w:type="spellStart"/>
      <w:r>
        <w:rPr>
          <w:color w:val="222222"/>
          <w:highlight w:val="white"/>
        </w:rPr>
        <w:t>Klappenbach</w:t>
      </w:r>
      <w:proofErr w:type="spellEnd"/>
      <w:r>
        <w:rPr>
          <w:color w:val="222222"/>
          <w:highlight w:val="white"/>
        </w:rPr>
        <w:t>, 2017)</w:t>
      </w:r>
      <w:r>
        <w:t>, planes de estudio (Fierro, et al, 2019), y revistas científica</w:t>
      </w:r>
      <w:r>
        <w:rPr>
          <w:highlight w:val="white"/>
        </w:rPr>
        <w:t xml:space="preserve">s (Polanco-Carrasco et al., 2017; </w:t>
      </w:r>
      <w:proofErr w:type="spellStart"/>
      <w:r>
        <w:rPr>
          <w:highlight w:val="white"/>
        </w:rPr>
        <w:t>Visca</w:t>
      </w:r>
      <w:proofErr w:type="spellEnd"/>
      <w:r>
        <w:rPr>
          <w:highlight w:val="white"/>
        </w:rPr>
        <w:t xml:space="preserve"> et al., 2018; Vázquez -</w:t>
      </w:r>
      <w:proofErr w:type="spellStart"/>
      <w:r>
        <w:rPr>
          <w:highlight w:val="white"/>
        </w:rPr>
        <w:t>Miraz</w:t>
      </w:r>
      <w:proofErr w:type="spellEnd"/>
      <w:r>
        <w:rPr>
          <w:highlight w:val="white"/>
        </w:rPr>
        <w:t xml:space="preserve">, 2021). </w:t>
      </w:r>
    </w:p>
    <w:p w:rsidR="00067D89" w:rsidRDefault="00A57D41">
      <w:pPr>
        <w:pBdr>
          <w:top w:val="nil"/>
          <w:left w:val="nil"/>
          <w:bottom w:val="nil"/>
          <w:right w:val="nil"/>
          <w:between w:val="nil"/>
        </w:pBdr>
        <w:spacing w:line="360" w:lineRule="auto"/>
        <w:ind w:firstLine="708"/>
        <w:jc w:val="both"/>
        <w:rPr>
          <w:color w:val="000000"/>
        </w:rPr>
      </w:pPr>
      <w:r>
        <w:t>Alineando estos desarrollos en el campo de la psicología.</w:t>
      </w:r>
      <w:r>
        <w:rPr>
          <w:color w:val="000000"/>
        </w:rPr>
        <w:t xml:space="preserve"> A continuación, a modo de </w:t>
      </w:r>
      <w:r>
        <w:t>introducción</w:t>
      </w:r>
      <w:r>
        <w:rPr>
          <w:color w:val="000000"/>
        </w:rPr>
        <w:t xml:space="preserve"> </w:t>
      </w:r>
      <w:r>
        <w:t>a las publicaciones psicológicas en el Perú se presenta una</w:t>
      </w:r>
      <w:r>
        <w:rPr>
          <w:color w:val="000000"/>
        </w:rPr>
        <w:t xml:space="preserve"> breve reseña histórica sobre las publicaciones de temas relacionados a la psicología en diversos medios peruanos como diarios, prensa y revistas</w:t>
      </w:r>
      <w:r>
        <w:t>, para l</w:t>
      </w:r>
      <w:r>
        <w:rPr>
          <w:color w:val="000000"/>
        </w:rPr>
        <w:t xml:space="preserve">uego presentar un análisis socio-bibliométrico de las revistas vigentes de psicología en el Perú.   </w:t>
      </w:r>
    </w:p>
    <w:p w:rsidR="00067D89" w:rsidRDefault="00067D89">
      <w:pPr>
        <w:pBdr>
          <w:top w:val="nil"/>
          <w:left w:val="nil"/>
          <w:bottom w:val="nil"/>
          <w:right w:val="nil"/>
          <w:between w:val="nil"/>
        </w:pBdr>
        <w:spacing w:line="360" w:lineRule="auto"/>
        <w:ind w:firstLine="708"/>
        <w:jc w:val="both"/>
        <w:rPr>
          <w:color w:val="000000"/>
        </w:rPr>
      </w:pPr>
    </w:p>
    <w:p w:rsidR="00067D89" w:rsidRDefault="00A57D41">
      <w:pPr>
        <w:pBdr>
          <w:top w:val="nil"/>
          <w:left w:val="nil"/>
          <w:bottom w:val="nil"/>
          <w:right w:val="nil"/>
          <w:between w:val="nil"/>
        </w:pBdr>
        <w:spacing w:line="360" w:lineRule="auto"/>
        <w:jc w:val="both"/>
        <w:rPr>
          <w:b/>
          <w:color w:val="000000"/>
        </w:rPr>
      </w:pPr>
      <w:r>
        <w:rPr>
          <w:b/>
          <w:color w:val="000000"/>
        </w:rPr>
        <w:t xml:space="preserve">Breve reseña de las publicaciones de psicología en el Perú   </w:t>
      </w:r>
    </w:p>
    <w:p w:rsidR="00067D89" w:rsidRDefault="00A57D41">
      <w:pPr>
        <w:pBdr>
          <w:top w:val="nil"/>
          <w:left w:val="nil"/>
          <w:bottom w:val="nil"/>
          <w:right w:val="nil"/>
          <w:between w:val="nil"/>
        </w:pBdr>
        <w:spacing w:line="360" w:lineRule="auto"/>
        <w:ind w:firstLine="708"/>
        <w:jc w:val="both"/>
        <w:rPr>
          <w:color w:val="000000"/>
        </w:rPr>
      </w:pPr>
      <w:r>
        <w:t xml:space="preserve">La investigación científica peruana se desarrolló a finales del siglo XVIII y durante el siglo XIX, y </w:t>
      </w:r>
      <w:r>
        <w:rPr>
          <w:color w:val="000000"/>
        </w:rPr>
        <w:t>estuvo a cargo de grupos de intelectuales</w:t>
      </w:r>
      <w:r>
        <w:t xml:space="preserve">, </w:t>
      </w:r>
      <w:r>
        <w:rPr>
          <w:color w:val="000000"/>
        </w:rPr>
        <w:t xml:space="preserve">como la Sociedad de Amantes del País, la Sociedad Médica de Lima, y la Sociedad de Amantes de la Ciencia (Cueto, 1986). En </w:t>
      </w:r>
      <w:r>
        <w:rPr>
          <w:color w:val="000000"/>
        </w:rPr>
        <w:lastRenderedPageBreak/>
        <w:t xml:space="preserve">consecuencia, la publicación de la producción científica se hizo en revistas como: El Memorial de Ciencias Naturales, La Gaceta Médica, La Revista de Ciencias, </w:t>
      </w:r>
      <w:r>
        <w:t>editadas</w:t>
      </w:r>
      <w:r>
        <w:rPr>
          <w:color w:val="000000"/>
        </w:rPr>
        <w:t xml:space="preserve"> por </w:t>
      </w:r>
      <w:r>
        <w:t>dichas</w:t>
      </w:r>
      <w:r>
        <w:rPr>
          <w:color w:val="000000"/>
        </w:rPr>
        <w:t xml:space="preserve"> sociedades e instituciones (Guerra, 1979).   </w:t>
      </w:r>
    </w:p>
    <w:p w:rsidR="00067D89" w:rsidRDefault="00A57D41">
      <w:pPr>
        <w:pBdr>
          <w:top w:val="nil"/>
          <w:left w:val="nil"/>
          <w:bottom w:val="nil"/>
          <w:right w:val="nil"/>
          <w:between w:val="nil"/>
        </w:pBdr>
        <w:spacing w:line="360" w:lineRule="auto"/>
        <w:ind w:firstLine="708"/>
        <w:jc w:val="both"/>
        <w:rPr>
          <w:color w:val="000000"/>
        </w:rPr>
      </w:pPr>
      <w:r>
        <w:rPr>
          <w:color w:val="000000"/>
        </w:rPr>
        <w:t>Durante el siglo XVIII las investigaciones y/o escritos sobre lo que hoy llamamos psicología, serían realizadas principalmente por filósofos, educadores y médicos. Según Alarcón (2017), las cátedras de teología y filosofía de la Universidad Nacional Mayor de San Marcos (</w:t>
      </w:r>
      <w:r>
        <w:t>UNMSM</w:t>
      </w:r>
      <w:r>
        <w:rPr>
          <w:color w:val="000000"/>
        </w:rPr>
        <w:t>), incluirían temas relacionados a la voluntad, la conciencia, las pasiones y el alma. Así mismo, las cátedras de psiquiatría, abordar</w:t>
      </w:r>
      <w:r>
        <w:t>o</w:t>
      </w:r>
      <w:r>
        <w:rPr>
          <w:color w:val="000000"/>
        </w:rPr>
        <w:t xml:space="preserve">n temas </w:t>
      </w:r>
      <w:r>
        <w:t>relacionados</w:t>
      </w:r>
      <w:r>
        <w:rPr>
          <w:color w:val="000000"/>
        </w:rPr>
        <w:t xml:space="preserve"> a la enfermedad mentales. También, los educadores por su naturaleza pedagógica, abordaron temas como la inteligencia, el aprendizaje, la atención y el aprovechamiento escolar. Por lo tanto, las primeras investigaciones psicológicas estarían relacionadas a dichos temas. </w:t>
      </w:r>
    </w:p>
    <w:p w:rsidR="00067D89" w:rsidRDefault="00A57D41">
      <w:pPr>
        <w:pBdr>
          <w:top w:val="nil"/>
          <w:left w:val="nil"/>
          <w:bottom w:val="nil"/>
          <w:right w:val="nil"/>
          <w:between w:val="nil"/>
        </w:pBdr>
        <w:spacing w:line="360" w:lineRule="auto"/>
        <w:ind w:firstLine="708"/>
        <w:jc w:val="both"/>
        <w:rPr>
          <w:color w:val="000000"/>
        </w:rPr>
      </w:pPr>
      <w:r>
        <w:rPr>
          <w:color w:val="000000"/>
        </w:rPr>
        <w:t xml:space="preserve">Al no existir los medios específicos para la difusión de investigaciones relacionadas a la psicología, estas se publicaron en diversos medios como; diarios, periódicos, semanarios, y/o gacetas. En ellas se emitieron notas informativas, artículos y cartas relacionados a diversos temas. Más adelante las Facultades de Medicina, la </w:t>
      </w:r>
      <w:r>
        <w:t>Facultad</w:t>
      </w:r>
      <w:r>
        <w:rPr>
          <w:color w:val="000000"/>
        </w:rPr>
        <w:t xml:space="preserve"> de Letras y la Facultad de Ciencias en la </w:t>
      </w:r>
      <w:r>
        <w:t>UNMSM</w:t>
      </w:r>
      <w:r>
        <w:rPr>
          <w:color w:val="000000"/>
        </w:rPr>
        <w:t xml:space="preserve">, editaron revistas afines a la Medicina, Educación, Antropología, Filosofía y/o Sociología. En consecuencia, los interesados en realizar investigaciones psicológicas llegaron a tener un medio académico para la publicación y difusión de sus estudios. </w:t>
      </w:r>
    </w:p>
    <w:p w:rsidR="00067D89" w:rsidRDefault="00067D89">
      <w:pPr>
        <w:pBdr>
          <w:top w:val="nil"/>
          <w:left w:val="nil"/>
          <w:bottom w:val="nil"/>
          <w:right w:val="nil"/>
          <w:between w:val="nil"/>
        </w:pBdr>
        <w:spacing w:line="360" w:lineRule="auto"/>
        <w:jc w:val="both"/>
        <w:rPr>
          <w:color w:val="000000"/>
        </w:rPr>
      </w:pPr>
    </w:p>
    <w:p w:rsidR="00067D89" w:rsidRDefault="00A57D41">
      <w:pPr>
        <w:pBdr>
          <w:top w:val="nil"/>
          <w:left w:val="nil"/>
          <w:bottom w:val="nil"/>
          <w:right w:val="nil"/>
          <w:between w:val="nil"/>
        </w:pBdr>
        <w:spacing w:line="360" w:lineRule="auto"/>
        <w:jc w:val="both"/>
        <w:rPr>
          <w:b/>
          <w:color w:val="000000"/>
        </w:rPr>
      </w:pPr>
      <w:r>
        <w:rPr>
          <w:b/>
          <w:color w:val="000000"/>
        </w:rPr>
        <w:t xml:space="preserve">Publicaciones psicológicas en periódicos y diarios </w:t>
      </w:r>
    </w:p>
    <w:p w:rsidR="00067D89" w:rsidRDefault="00A57D41">
      <w:pPr>
        <w:pBdr>
          <w:top w:val="nil"/>
          <w:left w:val="nil"/>
          <w:bottom w:val="nil"/>
          <w:right w:val="nil"/>
          <w:between w:val="nil"/>
        </w:pBdr>
        <w:spacing w:line="360" w:lineRule="auto"/>
        <w:ind w:firstLine="708"/>
        <w:jc w:val="both"/>
        <w:rPr>
          <w:color w:val="000000"/>
        </w:rPr>
      </w:pPr>
      <w:r>
        <w:rPr>
          <w:color w:val="000000"/>
        </w:rPr>
        <w:t>Las primeras divulgaciones relacionadas a la psicología fueron hechas en l</w:t>
      </w:r>
      <w:r>
        <w:t xml:space="preserve">a prensa </w:t>
      </w:r>
      <w:proofErr w:type="gramStart"/>
      <w:r>
        <w:t xml:space="preserve">escrita  </w:t>
      </w:r>
      <w:r>
        <w:rPr>
          <w:color w:val="000000"/>
        </w:rPr>
        <w:t>y</w:t>
      </w:r>
      <w:proofErr w:type="gramEnd"/>
      <w:r>
        <w:rPr>
          <w:color w:val="000000"/>
        </w:rPr>
        <w:t xml:space="preserve"> diarios editados </w:t>
      </w:r>
      <w:r>
        <w:t>en el</w:t>
      </w:r>
      <w:r>
        <w:rPr>
          <w:color w:val="000000"/>
        </w:rPr>
        <w:t xml:space="preserve"> siglo XVIII. Dichas publicaciones estaban relacionadas a lo que en la actualidad se </w:t>
      </w:r>
      <w:r>
        <w:t>conoce</w:t>
      </w:r>
      <w:r>
        <w:rPr>
          <w:color w:val="000000"/>
        </w:rPr>
        <w:t xml:space="preserve"> como psicología clínica </w:t>
      </w:r>
      <w:r>
        <w:t>y</w:t>
      </w:r>
      <w:r>
        <w:rPr>
          <w:color w:val="000000"/>
        </w:rPr>
        <w:t xml:space="preserve"> psiquiatría. Entre ellas se </w:t>
      </w:r>
      <w:proofErr w:type="gramStart"/>
      <w:r>
        <w:rPr>
          <w:color w:val="000000"/>
        </w:rPr>
        <w:t xml:space="preserve">encuentra </w:t>
      </w:r>
      <w:r>
        <w:t xml:space="preserve"> </w:t>
      </w:r>
      <w:r>
        <w:rPr>
          <w:color w:val="000000"/>
        </w:rPr>
        <w:t>al</w:t>
      </w:r>
      <w:proofErr w:type="gramEnd"/>
      <w:r>
        <w:rPr>
          <w:color w:val="000000"/>
        </w:rPr>
        <w:t xml:space="preserve"> Mercurio Peruano, editado por la Sociedad Amantes del Perú en Lima, donde se puede observar algunas estadísticas psiquiátricas de los llamados “locos” en los diversos hospitales según el sexo (Hesperióphylo, 1791a, 1791b). La descripción de las manías de Diego </w:t>
      </w:r>
      <w:proofErr w:type="spellStart"/>
      <w:r>
        <w:rPr>
          <w:color w:val="000000"/>
        </w:rPr>
        <w:t>Lopez</w:t>
      </w:r>
      <w:proofErr w:type="spellEnd"/>
      <w:r>
        <w:rPr>
          <w:color w:val="000000"/>
        </w:rPr>
        <w:t xml:space="preserve"> Gonzales, Manuel de Torquemada y de N. Montero (Thimeo, 1791). En “Carta sobre los maricones”, se resalta la conducta femenina y extravagante de algunos hombres que vestían como las tapadas (Sofronio, 1791). Se publica una disertación, donde un profesor de cirugía responde de forma negativa a la pregunta de si una mujer se podía convertir en hombre (Torpas de Ganarrila ,1792). En otra carta se propone el estudio de las matemáticas como estrategia para moderar las pasiones del alma (Rossi </w:t>
      </w:r>
      <w:r>
        <w:rPr>
          <w:color w:val="000000"/>
        </w:rPr>
        <w:lastRenderedPageBreak/>
        <w:t>y Rubi, 1793). Así mismo, se presenta un breve extracto de la tesis de Carlos Pedemonte donde se presenta a la psicología como disciplina de la filosofía (Diahitio,1793).</w:t>
      </w:r>
    </w:p>
    <w:p w:rsidR="00067D89" w:rsidRDefault="00A57D41">
      <w:pPr>
        <w:pBdr>
          <w:top w:val="nil"/>
          <w:left w:val="nil"/>
          <w:bottom w:val="nil"/>
          <w:right w:val="nil"/>
          <w:between w:val="nil"/>
        </w:pBdr>
        <w:spacing w:line="360" w:lineRule="auto"/>
        <w:ind w:firstLine="708"/>
        <w:jc w:val="both"/>
        <w:rPr>
          <w:color w:val="000000"/>
        </w:rPr>
      </w:pPr>
      <w:r>
        <w:rPr>
          <w:color w:val="000000"/>
        </w:rPr>
        <w:t>En El Peruano diario oficial del Perú (editado en Lima desde 1825</w:t>
      </w:r>
      <w:r>
        <w:t xml:space="preserve"> y</w:t>
      </w:r>
      <w:r>
        <w:rPr>
          <w:color w:val="000000"/>
        </w:rPr>
        <w:t xml:space="preserve"> hasta la actualidad), se public</w:t>
      </w:r>
      <w:r>
        <w:t>ó</w:t>
      </w:r>
      <w:r>
        <w:rPr>
          <w:color w:val="000000"/>
        </w:rPr>
        <w:t xml:space="preserve"> un artículo sobre “Los suicidios”, donde se evide</w:t>
      </w:r>
      <w:r>
        <w:t>nció una</w:t>
      </w:r>
      <w:r>
        <w:rPr>
          <w:color w:val="000000"/>
        </w:rPr>
        <w:t xml:space="preserve"> preocupación por esta práctica, </w:t>
      </w:r>
      <w:r>
        <w:t xml:space="preserve">denominándolo </w:t>
      </w:r>
      <w:r>
        <w:rPr>
          <w:color w:val="000000"/>
        </w:rPr>
        <w:t xml:space="preserve">epidemia social, pues se estaba teniendo una alta frecuencia (El Peruano, 1850). En otra edición, se publica un proyecto para la creación del Hospital civil de la “Misericordia”, que estaría destinado a la asistencia y curación de los enajenados a través de la medicación, los baños y actividades programadas (El Peruano, 1860). </w:t>
      </w:r>
    </w:p>
    <w:p w:rsidR="00067D89" w:rsidRDefault="00A57D41">
      <w:pPr>
        <w:pBdr>
          <w:top w:val="nil"/>
          <w:left w:val="nil"/>
          <w:bottom w:val="nil"/>
          <w:right w:val="nil"/>
          <w:between w:val="nil"/>
        </w:pBdr>
        <w:spacing w:line="360" w:lineRule="auto"/>
        <w:ind w:firstLine="708"/>
        <w:jc w:val="both"/>
        <w:rPr>
          <w:color w:val="000000"/>
        </w:rPr>
      </w:pPr>
      <w:r>
        <w:rPr>
          <w:color w:val="000000"/>
        </w:rPr>
        <w:t xml:space="preserve">En el periódico bisemanal “El Sol” editado en la ciudad de Lima, Carlos Paz Soldan (1886) publica “Estudios espiritistas y la vida de loco”, donde describe las condiciones insalubres de los manicomios de la época, los tratamientos como el magnético, el eléctrico, el baño de tormento y el baño de camiseta. “El Comercio” es otro diario editado en la ciudad de Lima, en ella Honorio Delgado </w:t>
      </w:r>
      <w:r>
        <w:t>publicó</w:t>
      </w:r>
      <w:r>
        <w:rPr>
          <w:color w:val="000000"/>
        </w:rPr>
        <w:t xml:space="preserve"> en 1915 algunos escritos relacionados al psicoanálisis (Alarcón, 2017). El psicólogo alemán Walter Blumenfled</w:t>
      </w:r>
      <w:r>
        <w:rPr>
          <w:color w:val="000000"/>
          <w:highlight w:val="white"/>
        </w:rPr>
        <w:t xml:space="preserve"> nacionalizado peruano </w:t>
      </w:r>
      <w:r>
        <w:rPr>
          <w:color w:val="000000"/>
        </w:rPr>
        <w:t xml:space="preserve">(León, 1993), tras su llegada al Perú, escribió “La psicología moderna”, donde se incluyó una lista de sus libros y artículos. En octubre de 1938, El Comercio publicaría una protesta por el pronto cierre del Instituto de Psicología y Psicotecnia de la Universidad de San Marcos, donde se defiende la labor de investigación y publicación científica (León, 1993).  </w:t>
      </w:r>
    </w:p>
    <w:p w:rsidR="00067D89" w:rsidRDefault="00067D89">
      <w:pPr>
        <w:pBdr>
          <w:top w:val="nil"/>
          <w:left w:val="nil"/>
          <w:bottom w:val="nil"/>
          <w:right w:val="nil"/>
          <w:between w:val="nil"/>
        </w:pBdr>
        <w:spacing w:line="360" w:lineRule="auto"/>
        <w:jc w:val="both"/>
        <w:rPr>
          <w:b/>
          <w:color w:val="000000"/>
        </w:rPr>
      </w:pPr>
    </w:p>
    <w:p w:rsidR="00067D89" w:rsidRDefault="00A57D41">
      <w:pPr>
        <w:pBdr>
          <w:top w:val="nil"/>
          <w:left w:val="nil"/>
          <w:bottom w:val="nil"/>
          <w:right w:val="nil"/>
          <w:between w:val="nil"/>
        </w:pBdr>
        <w:spacing w:line="360" w:lineRule="auto"/>
        <w:jc w:val="both"/>
        <w:rPr>
          <w:b/>
          <w:color w:val="000000"/>
        </w:rPr>
      </w:pPr>
      <w:r>
        <w:rPr>
          <w:b/>
          <w:color w:val="000000"/>
        </w:rPr>
        <w:t>Publicaciones psicológicas en revistas de medicina</w:t>
      </w:r>
    </w:p>
    <w:p w:rsidR="00067D89" w:rsidRDefault="00A57D41">
      <w:pPr>
        <w:pBdr>
          <w:top w:val="nil"/>
          <w:left w:val="nil"/>
          <w:bottom w:val="nil"/>
          <w:right w:val="nil"/>
          <w:between w:val="nil"/>
        </w:pBdr>
        <w:spacing w:line="360" w:lineRule="auto"/>
        <w:ind w:firstLine="708"/>
        <w:jc w:val="both"/>
        <w:rPr>
          <w:color w:val="000000"/>
        </w:rPr>
      </w:pPr>
      <w:r>
        <w:rPr>
          <w:color w:val="000000"/>
        </w:rPr>
        <w:t xml:space="preserve">Las revistas editadas por la Facultad de Medicina de San Marcos o por las diferentes asociaciones de médicos, fueron una ventana a través del cual se publicaron artículos relacionados a la psicología clínica, educativa, psicología de la sexualidad, psicopatología, psiquiatría, psicología experimental y psicotecnia. Entre dichas revistas se encuentran: Crónica Médica, Gaceta Médica, Anales de la Facultad de Medicina, Revista de Neuropsiquiatría, Revista de Psiquiatría y disciplinas conexas y Archivos de Higiene Mental. </w:t>
      </w:r>
    </w:p>
    <w:p w:rsidR="00067D89" w:rsidRDefault="00A57D41">
      <w:pPr>
        <w:pBdr>
          <w:top w:val="nil"/>
          <w:left w:val="nil"/>
          <w:bottom w:val="nil"/>
          <w:right w:val="nil"/>
          <w:between w:val="nil"/>
        </w:pBdr>
        <w:spacing w:line="360" w:lineRule="auto"/>
        <w:ind w:firstLine="708"/>
        <w:jc w:val="both"/>
        <w:rPr>
          <w:color w:val="000000"/>
          <w:highlight w:val="magenta"/>
        </w:rPr>
      </w:pPr>
      <w:bookmarkStart w:id="2" w:name="_heading=h.1t3h5sf" w:colFirst="0" w:colLast="0"/>
      <w:bookmarkEnd w:id="2"/>
      <w:r>
        <w:rPr>
          <w:color w:val="000000"/>
        </w:rPr>
        <w:t>En Crónica Medica, revista editada por la sociedad médica “Unión Fernandina” entre 1884 y 1963, se abordaron temáticas sobre el suicidio, la psicología del niño anormal, la naciente psicología experimental, la orientación profesional y la sexualidad (Muñoz, 1886; Patrón, 1888; Bambaren, 1933; Bambaren y Stanley, 1933; Bambaren, 1935, Mac-Lean y Etenos, 1940; Avendano, Bambaren, y Vargas, 1944). La Revista de Psiquiatría y Disciplinas Conexas</w:t>
      </w:r>
      <w:r>
        <w:rPr>
          <w:highlight w:val="white"/>
        </w:rPr>
        <w:t xml:space="preserve"> </w:t>
      </w:r>
      <w:r>
        <w:rPr>
          <w:color w:val="000000"/>
          <w:highlight w:val="white"/>
        </w:rPr>
        <w:t>f</w:t>
      </w:r>
      <w:r>
        <w:rPr>
          <w:color w:val="000000"/>
        </w:rPr>
        <w:t xml:space="preserve">ue </w:t>
      </w:r>
      <w:r>
        <w:rPr>
          <w:color w:val="000000"/>
        </w:rPr>
        <w:lastRenderedPageBreak/>
        <w:t>fundada en 1918 por Hermilio Valdizan y Honorio Delgado. En ella, se publicaron artículos sobre psicología clínica, psiquiatría, psicoanálisis y un obituario sobre el psicólogo estadounidense Granville Stanley Hall (Delgado, 1918a, Delgado 1918b; Delgado, 1922; Valdizan y Delgado, 1923; Delgado, 1924). Los Anales de la Facultad de Medicina, es una revista editada desde 1918 y vigente actualmente, por la Universidad de San Marcos. Los temas abordados estuvieron relacionados con psiquiatría, el psicoanálisis, y la psicopatología (Valdizan, 1918; Delgado, 1918c; Espejo, 1919). También se realizaron investigaciones sobre medición de la inteligencia y la atención, en estudiantes peruanos en relación al sexo, la edad y grado escolar (Chueca, 1920; Bustamante, 1937; Armando Fernández, 1939).</w:t>
      </w:r>
    </w:p>
    <w:p w:rsidR="00067D89" w:rsidRDefault="00A57D41">
      <w:pPr>
        <w:pBdr>
          <w:top w:val="nil"/>
          <w:left w:val="nil"/>
          <w:bottom w:val="nil"/>
          <w:right w:val="nil"/>
          <w:between w:val="nil"/>
        </w:pBdr>
        <w:spacing w:line="360" w:lineRule="auto"/>
        <w:ind w:firstLine="708"/>
        <w:jc w:val="both"/>
        <w:rPr>
          <w:color w:val="000000"/>
        </w:rPr>
      </w:pPr>
      <w:bookmarkStart w:id="3" w:name="_heading=h.4d34og8" w:colFirst="0" w:colLast="0"/>
      <w:bookmarkEnd w:id="3"/>
      <w:r>
        <w:rPr>
          <w:color w:val="000000"/>
        </w:rPr>
        <w:t xml:space="preserve">La revista Archivos de Higiene Mental, fundada por Baltazar Caravedo en 1937, se editó hasta 1947. En ella se traduce del idioma </w:t>
      </w:r>
      <w:r>
        <w:t>inglés</w:t>
      </w:r>
      <w:r>
        <w:rPr>
          <w:color w:val="000000"/>
        </w:rPr>
        <w:t xml:space="preserve"> la clasificación de los desórdenes mentales de 1934, y se </w:t>
      </w:r>
      <w:r>
        <w:t>abordan</w:t>
      </w:r>
      <w:r>
        <w:rPr>
          <w:color w:val="000000"/>
        </w:rPr>
        <w:t xml:space="preserve"> algunas consideraciones sobre la esquizofrenia como la clasificación y las estadísticas a nivel nacional (Caravedo Prado, 1937; Caravedo Carranza, 1939). La Revista de Neuropsiquiatría, fundada por Honorio Delgado y Julio Trelles en 1938, también fue un medio donde se pudieron publicar artículos relacionados sobre todo a la psicología clínica, psicopatología y medición de la inteligencia (Delgado, 1938; Delgado, 1939a; Rojas, 1939; Gutiérrez – Noriega y Zapata, 1950).</w:t>
      </w:r>
    </w:p>
    <w:p w:rsidR="00067D89" w:rsidRDefault="00067D89">
      <w:pPr>
        <w:pBdr>
          <w:top w:val="nil"/>
          <w:left w:val="nil"/>
          <w:bottom w:val="nil"/>
          <w:right w:val="nil"/>
          <w:between w:val="nil"/>
        </w:pBdr>
        <w:spacing w:line="360" w:lineRule="auto"/>
        <w:jc w:val="both"/>
        <w:rPr>
          <w:b/>
          <w:color w:val="000000"/>
        </w:rPr>
      </w:pPr>
    </w:p>
    <w:p w:rsidR="00067D89" w:rsidRDefault="00A57D41">
      <w:pPr>
        <w:pBdr>
          <w:top w:val="nil"/>
          <w:left w:val="nil"/>
          <w:bottom w:val="nil"/>
          <w:right w:val="nil"/>
          <w:between w:val="nil"/>
        </w:pBdr>
        <w:spacing w:line="360" w:lineRule="auto"/>
        <w:jc w:val="both"/>
        <w:rPr>
          <w:b/>
          <w:color w:val="000000"/>
        </w:rPr>
      </w:pPr>
      <w:r>
        <w:rPr>
          <w:b/>
          <w:color w:val="000000"/>
        </w:rPr>
        <w:t xml:space="preserve">Publicaciones psicológicas en revistas de educación </w:t>
      </w:r>
    </w:p>
    <w:p w:rsidR="00067D89" w:rsidRDefault="00A57D41">
      <w:pPr>
        <w:pBdr>
          <w:top w:val="nil"/>
          <w:left w:val="nil"/>
          <w:bottom w:val="nil"/>
          <w:right w:val="nil"/>
          <w:between w:val="nil"/>
        </w:pBdr>
        <w:spacing w:line="360" w:lineRule="auto"/>
        <w:ind w:firstLine="708"/>
        <w:jc w:val="both"/>
        <w:rPr>
          <w:color w:val="000000"/>
        </w:rPr>
      </w:pPr>
      <w:r>
        <w:rPr>
          <w:color w:val="000000"/>
        </w:rPr>
        <w:t xml:space="preserve">La Revista de Educación, editada por el Ministerio de Educación como un boletín informativo de las actividades y organización de la educación peruana. En ella podemos encontrar investigaciones psicológicas, donde se abordaron el estudio de inteligencia y el coeficiente intelectual con relación a la raza, edad, rendimiento escolar, grado escolar, ocupación de los padres entre otros (Coz, 1937a; Coz, 1937b; </w:t>
      </w:r>
      <w:proofErr w:type="spellStart"/>
      <w:r>
        <w:rPr>
          <w:color w:val="000000"/>
        </w:rPr>
        <w:t>Angles</w:t>
      </w:r>
      <w:proofErr w:type="spellEnd"/>
      <w:r>
        <w:rPr>
          <w:color w:val="000000"/>
        </w:rPr>
        <w:t xml:space="preserve">, 1938; </w:t>
      </w:r>
      <w:r>
        <w:t>Blumenfeld</w:t>
      </w:r>
      <w:r>
        <w:rPr>
          <w:color w:val="000000"/>
        </w:rPr>
        <w:t xml:space="preserve"> y Sardón, 1943a). También se publicaron artículos relacionados a los trastornos mentales, el problema de los niños con necesidades educativas especiales y la personalidad (Valdizan, 1935; Villacorta, 1941; Sánchez, 1944).</w:t>
      </w:r>
    </w:p>
    <w:p w:rsidR="00067D89" w:rsidRDefault="00A57D41">
      <w:pPr>
        <w:pBdr>
          <w:top w:val="nil"/>
          <w:left w:val="nil"/>
          <w:bottom w:val="nil"/>
          <w:right w:val="nil"/>
          <w:between w:val="nil"/>
        </w:pBdr>
        <w:spacing w:line="360" w:lineRule="auto"/>
        <w:ind w:firstLine="708"/>
        <w:jc w:val="both"/>
        <w:rPr>
          <w:color w:val="000000"/>
        </w:rPr>
      </w:pPr>
      <w:r>
        <w:rPr>
          <w:color w:val="000000"/>
        </w:rPr>
        <w:t xml:space="preserve">El Boletín del Instituto Psicopedagógico Nacional, fue el medio de difusión académico entre los años 1942 y 1952, donde se realizaron un conjunto de investigaciones psicopedagógicas que posteriormente se publicaron como artículos (De Romana, 1942). Las investigaciones </w:t>
      </w:r>
      <w:r>
        <w:rPr>
          <w:color w:val="000000"/>
        </w:rPr>
        <w:lastRenderedPageBreak/>
        <w:t xml:space="preserve">psicológicas tuvieron principalmente una metodología psicométrica, empírica correlacional y teórica, la cuales se pueden agrupar en: </w:t>
      </w:r>
    </w:p>
    <w:p w:rsidR="00067D89" w:rsidRDefault="00A57D41">
      <w:pPr>
        <w:pBdr>
          <w:top w:val="nil"/>
          <w:left w:val="nil"/>
          <w:bottom w:val="nil"/>
          <w:right w:val="nil"/>
          <w:between w:val="nil"/>
        </w:pBdr>
        <w:spacing w:line="360" w:lineRule="auto"/>
        <w:ind w:firstLine="708"/>
        <w:jc w:val="both"/>
        <w:rPr>
          <w:color w:val="000000"/>
        </w:rPr>
      </w:pPr>
      <w:bookmarkStart w:id="4" w:name="_heading=h.2s8eyo1" w:colFirst="0" w:colLast="0"/>
      <w:bookmarkEnd w:id="4"/>
      <w:r>
        <w:rPr>
          <w:color w:val="000000"/>
        </w:rPr>
        <w:t xml:space="preserve">a) </w:t>
      </w:r>
      <w:r>
        <w:t>Estudios</w:t>
      </w:r>
      <w:r>
        <w:rPr>
          <w:color w:val="000000"/>
        </w:rPr>
        <w:t xml:space="preserve"> sobre la inteligencia, las cuales estuvieron dirigidas principalmente a la adaptación del Test Colectivo de Terman y de Series Geométricas de </w:t>
      </w:r>
      <w:proofErr w:type="spellStart"/>
      <w:r>
        <w:rPr>
          <w:color w:val="000000"/>
        </w:rPr>
        <w:t>Dunayevsky</w:t>
      </w:r>
      <w:proofErr w:type="spellEnd"/>
      <w:r>
        <w:rPr>
          <w:color w:val="000000"/>
        </w:rPr>
        <w:t>. Para su posterior evaluación de la inteligencia con relación a la edad cronológica y el sexo en estudiantes de Lima y Trujillo de educación primaria, secundaria y egresados (Blumenfeld y Sardón, 1943b; Blumenfeld y Sardón, 1945; Blumenfeld, 1946; Blumenfeld, 1947a; Blumenfeld, 1947b; Rodríguez, 1949; Vinatea, 1950).</w:t>
      </w:r>
    </w:p>
    <w:p w:rsidR="00067D89" w:rsidRDefault="00A57D41">
      <w:pPr>
        <w:pBdr>
          <w:top w:val="nil"/>
          <w:left w:val="nil"/>
          <w:bottom w:val="nil"/>
          <w:right w:val="nil"/>
          <w:between w:val="nil"/>
        </w:pBdr>
        <w:spacing w:line="360" w:lineRule="auto"/>
        <w:ind w:firstLine="708"/>
        <w:jc w:val="both"/>
        <w:rPr>
          <w:color w:val="000000"/>
        </w:rPr>
      </w:pPr>
      <w:bookmarkStart w:id="5" w:name="_heading=h.17dp8vu" w:colFirst="0" w:colLast="0"/>
      <w:bookmarkEnd w:id="5"/>
      <w:r>
        <w:rPr>
          <w:color w:val="000000"/>
        </w:rPr>
        <w:t xml:space="preserve">b) </w:t>
      </w:r>
      <w:r>
        <w:t>P</w:t>
      </w:r>
      <w:r>
        <w:rPr>
          <w:color w:val="000000"/>
        </w:rPr>
        <w:t>sicología del desarrollo, donde se aborda sobre las características de la pubertad (Blumenfled, 1942), el desarrollo de las habilidades motoras, el desarrollo de conceptos, la atención y concentración en la ejecución de una actividad según el sexo, la edad cronológica y el nivel social (Sardón, 1944; Rodríguez, 1946; Godiño, 1947; Godiño 1949).</w:t>
      </w:r>
    </w:p>
    <w:p w:rsidR="00067D89" w:rsidRDefault="00A57D41">
      <w:pPr>
        <w:pBdr>
          <w:top w:val="nil"/>
          <w:left w:val="nil"/>
          <w:bottom w:val="nil"/>
          <w:right w:val="nil"/>
          <w:between w:val="nil"/>
        </w:pBdr>
        <w:spacing w:line="360" w:lineRule="auto"/>
        <w:ind w:firstLine="708"/>
        <w:jc w:val="both"/>
        <w:rPr>
          <w:color w:val="000000"/>
        </w:rPr>
      </w:pPr>
      <w:bookmarkStart w:id="6" w:name="_heading=h.3rdcrjn" w:colFirst="0" w:colLast="0"/>
      <w:bookmarkEnd w:id="6"/>
      <w:r>
        <w:rPr>
          <w:color w:val="000000"/>
        </w:rPr>
        <w:t xml:space="preserve">c) Orientación profesional, en el cual se correlaciona la inteligencia y la atención (Simón, 1943),  se explora la posibilidad del test de Ballard en la orientación vocacional (Vinatea, 1946), y d) personalidad, donde se evalúa la introversión y extroversión en estudiantes de los últimos grados de educación secundaria y primero de la universidad, haciendo uso del inventario de personalidad de Bernreuter (Blumenfeld, 1948), los resultados luego se compararon con una muestra de EE.UU. (Blumenfeld, 1949), también se exploró la tendencia a la sociabilidad </w:t>
      </w:r>
      <w:r>
        <w:t>de los</w:t>
      </w:r>
      <w:r>
        <w:rPr>
          <w:color w:val="000000"/>
        </w:rPr>
        <w:t xml:space="preserve"> jóvenes peruanos (Guillén, 1949).</w:t>
      </w:r>
    </w:p>
    <w:p w:rsidR="00067D89" w:rsidRDefault="00067D89">
      <w:pPr>
        <w:pBdr>
          <w:top w:val="nil"/>
          <w:left w:val="nil"/>
          <w:bottom w:val="nil"/>
          <w:right w:val="nil"/>
          <w:between w:val="nil"/>
        </w:pBdr>
        <w:spacing w:line="360" w:lineRule="auto"/>
        <w:ind w:firstLine="708"/>
        <w:jc w:val="both"/>
        <w:rPr>
          <w:color w:val="000000"/>
        </w:rPr>
      </w:pPr>
    </w:p>
    <w:p w:rsidR="00067D89" w:rsidRDefault="00A57D41">
      <w:pPr>
        <w:pBdr>
          <w:top w:val="nil"/>
          <w:left w:val="nil"/>
          <w:bottom w:val="nil"/>
          <w:right w:val="nil"/>
          <w:between w:val="nil"/>
        </w:pBdr>
        <w:spacing w:line="360" w:lineRule="auto"/>
        <w:jc w:val="both"/>
        <w:rPr>
          <w:b/>
          <w:color w:val="000000"/>
        </w:rPr>
      </w:pPr>
      <w:r>
        <w:rPr>
          <w:b/>
          <w:color w:val="000000"/>
        </w:rPr>
        <w:t>Publicaciones psicológicas en revistas de ciencias sociales</w:t>
      </w:r>
    </w:p>
    <w:p w:rsidR="00067D89" w:rsidRDefault="00A57D41">
      <w:pPr>
        <w:pBdr>
          <w:top w:val="nil"/>
          <w:left w:val="nil"/>
          <w:bottom w:val="nil"/>
          <w:right w:val="nil"/>
          <w:between w:val="nil"/>
        </w:pBdr>
        <w:spacing w:line="360" w:lineRule="auto"/>
        <w:ind w:firstLine="708"/>
        <w:jc w:val="both"/>
        <w:rPr>
          <w:color w:val="000000"/>
        </w:rPr>
      </w:pPr>
      <w:r>
        <w:rPr>
          <w:color w:val="000000"/>
        </w:rPr>
        <w:t>Varios artículos sobre temas psicológicos fueron publicados en revistas relacionadas con las ciencias sociales como: antropología, literatura, sociología, filosofía,</w:t>
      </w:r>
      <w:r>
        <w:t xml:space="preserve"> </w:t>
      </w:r>
      <w:r>
        <w:rPr>
          <w:color w:val="000000"/>
        </w:rPr>
        <w:t xml:space="preserve">entre otros. La Revista cultural “Amauta”, fundada y editada por José Carlos Mariátegui entre los años de 1926 y 1930, </w:t>
      </w:r>
      <w:r>
        <w:t>contó</w:t>
      </w:r>
      <w:r>
        <w:rPr>
          <w:color w:val="000000"/>
        </w:rPr>
        <w:t xml:space="preserve"> con la participación de escritores peruanos y extranjeros. En ella se pueden encontrar artículos más reflexivos, teóricos y de tipo ensayo. Se abordan temas como; la psicología del indio de Huánuco, psicología de la sexualidad, sobre el uso de l</w:t>
      </w:r>
      <w:r>
        <w:t>as</w:t>
      </w:r>
      <w:r>
        <w:rPr>
          <w:color w:val="000000"/>
        </w:rPr>
        <w:t xml:space="preserve"> prue</w:t>
      </w:r>
      <w:r>
        <w:t xml:space="preserve">bas </w:t>
      </w:r>
      <w:r>
        <w:rPr>
          <w:color w:val="000000"/>
        </w:rPr>
        <w:t>psicológic</w:t>
      </w:r>
      <w:r>
        <w:t>a</w:t>
      </w:r>
      <w:r>
        <w:rPr>
          <w:color w:val="000000"/>
        </w:rPr>
        <w:t xml:space="preserve">s, la enseñanza de la psicología en la </w:t>
      </w:r>
      <w:r>
        <w:t>UNMSM</w:t>
      </w:r>
      <w:r>
        <w:rPr>
          <w:color w:val="000000"/>
        </w:rPr>
        <w:t xml:space="preserve"> y una reseña al libro los reflejos condicionales de Iván Pávlov (López, 1926; Chávez, 1926; Velásquez, 1927; Velásquez, 1928; Bustamante, 1930).</w:t>
      </w:r>
    </w:p>
    <w:p w:rsidR="00067D89" w:rsidRDefault="00A57D41">
      <w:pPr>
        <w:pBdr>
          <w:top w:val="nil"/>
          <w:left w:val="nil"/>
          <w:bottom w:val="nil"/>
          <w:right w:val="nil"/>
          <w:between w:val="nil"/>
        </w:pBdr>
        <w:spacing w:line="360" w:lineRule="auto"/>
        <w:ind w:firstLine="708"/>
        <w:jc w:val="both"/>
        <w:rPr>
          <w:color w:val="000000"/>
        </w:rPr>
      </w:pPr>
      <w:r>
        <w:rPr>
          <w:color w:val="000000"/>
        </w:rPr>
        <w:t xml:space="preserve">La Revista Letras fundada en 1929 por la Facultad de Filosofía, Historia y Letras de la Universidad de San Marcos, difundió artículos relacionados a la filosofía, la historia y literatura, </w:t>
      </w:r>
      <w:r>
        <w:rPr>
          <w:color w:val="000000"/>
        </w:rPr>
        <w:lastRenderedPageBreak/>
        <w:t>y de índole psicológica. Las temáticas abordadas se relacionan con el desarrollo teórico sobre la inteligencia, la orientación profesional, sobre la personalidad y el carácter, la psicología cultural, y un obit</w:t>
      </w:r>
      <w:r>
        <w:t>ua</w:t>
      </w:r>
      <w:r>
        <w:rPr>
          <w:color w:val="000000"/>
        </w:rPr>
        <w:t>rio en honor a Walter Blumenfled (</w:t>
      </w:r>
      <w:r>
        <w:t>Blumenfeld</w:t>
      </w:r>
      <w:r>
        <w:rPr>
          <w:color w:val="000000"/>
        </w:rPr>
        <w:t xml:space="preserve">, 1938; Ponce Rodríguez, 1939; Delgado,1943; </w:t>
      </w:r>
      <w:proofErr w:type="spellStart"/>
      <w:r>
        <w:rPr>
          <w:color w:val="000000"/>
        </w:rPr>
        <w:t>Via</w:t>
      </w:r>
      <w:proofErr w:type="spellEnd"/>
      <w:r>
        <w:rPr>
          <w:color w:val="000000"/>
        </w:rPr>
        <w:t xml:space="preserve"> Ortega, 1950; Alarcón, 1968).  </w:t>
      </w:r>
    </w:p>
    <w:p w:rsidR="00067D89" w:rsidRDefault="00A57D41">
      <w:pPr>
        <w:pBdr>
          <w:top w:val="nil"/>
          <w:left w:val="nil"/>
          <w:bottom w:val="nil"/>
          <w:right w:val="nil"/>
          <w:between w:val="nil"/>
        </w:pBdr>
        <w:spacing w:line="360" w:lineRule="auto"/>
        <w:ind w:firstLine="708"/>
        <w:jc w:val="both"/>
        <w:rPr>
          <w:color w:val="000000"/>
        </w:rPr>
      </w:pPr>
      <w:r>
        <w:rPr>
          <w:color w:val="000000"/>
        </w:rPr>
        <w:t>La Revista de la Universidad Católica del Perú, se editó entre los años 1919 y1984, en ella se publicaron artículos de filosofía, historia, economía, literatura, arquitectura, educación entre otras. Así mismo, se pueden encontrar algunos artículos de temas relacionadas a la psicología como la psicología de Alfred Adler, un obit</w:t>
      </w:r>
      <w:r>
        <w:t>ua</w:t>
      </w:r>
      <w:r>
        <w:rPr>
          <w:color w:val="000000"/>
        </w:rPr>
        <w:t>rio y análisis de la obra de Iván Pávlov, la educación de los niños anormales y la psicología de Descartes (</w:t>
      </w:r>
      <w:proofErr w:type="spellStart"/>
      <w:r>
        <w:rPr>
          <w:color w:val="000000"/>
        </w:rPr>
        <w:t>Cavazzana</w:t>
      </w:r>
      <w:proofErr w:type="spellEnd"/>
      <w:r>
        <w:rPr>
          <w:color w:val="000000"/>
        </w:rPr>
        <w:t xml:space="preserve">, 1934; Delgado, 1936; Arrieta, 1936; Ibarra, 1937; Delgado, 1939b). </w:t>
      </w:r>
    </w:p>
    <w:p w:rsidR="00067D89" w:rsidRDefault="00A57D41">
      <w:pPr>
        <w:pBdr>
          <w:top w:val="nil"/>
          <w:left w:val="nil"/>
          <w:bottom w:val="nil"/>
          <w:right w:val="nil"/>
          <w:between w:val="nil"/>
        </w:pBdr>
        <w:spacing w:line="360" w:lineRule="auto"/>
        <w:ind w:firstLine="708"/>
        <w:jc w:val="both"/>
        <w:rPr>
          <w:color w:val="000000"/>
        </w:rPr>
      </w:pPr>
      <w:r>
        <w:rPr>
          <w:color w:val="000000"/>
        </w:rPr>
        <w:t xml:space="preserve">La Revista Universitaria, fundada en 1912 por la Universidad Nacional de San Antonio Abad del Cusco, fue un órgano de difusión de trabajos de los catedráticos de las diferentes cátedras y tesis de algunos estudiantes destacados. En dicha revista se publicaron sobre todo artículos de arqueología, antropología y sociología, sin embargo, también podemos encontrar algunos artículos y tesis relacionados a temas psicológicos. Se aborda sobre las características psicológicas del niño del cuzco, y las aplicaciones de la psicotecnia en diversas áreas de la educación (Luna, 1913; Luna, 1914; Calderón, 1950). </w:t>
      </w:r>
    </w:p>
    <w:p w:rsidR="00067D89" w:rsidRDefault="00067D89">
      <w:pPr>
        <w:pBdr>
          <w:top w:val="nil"/>
          <w:left w:val="nil"/>
          <w:bottom w:val="nil"/>
          <w:right w:val="nil"/>
          <w:between w:val="nil"/>
        </w:pBdr>
        <w:spacing w:line="360" w:lineRule="auto"/>
        <w:jc w:val="both"/>
      </w:pPr>
    </w:p>
    <w:p w:rsidR="00067D89" w:rsidRDefault="00A57D41">
      <w:pPr>
        <w:pBdr>
          <w:top w:val="nil"/>
          <w:left w:val="nil"/>
          <w:bottom w:val="nil"/>
          <w:right w:val="nil"/>
          <w:between w:val="nil"/>
        </w:pBdr>
        <w:spacing w:line="360" w:lineRule="auto"/>
        <w:jc w:val="both"/>
        <w:rPr>
          <w:b/>
          <w:color w:val="000000"/>
        </w:rPr>
      </w:pPr>
      <w:r>
        <w:rPr>
          <w:b/>
          <w:color w:val="000000"/>
        </w:rPr>
        <w:t xml:space="preserve">Inicio de las publicaciones sistemáticas en psicología </w:t>
      </w:r>
    </w:p>
    <w:p w:rsidR="00067D89" w:rsidRDefault="00A57D41">
      <w:pPr>
        <w:pBdr>
          <w:top w:val="nil"/>
          <w:left w:val="nil"/>
          <w:bottom w:val="nil"/>
          <w:right w:val="nil"/>
          <w:between w:val="nil"/>
        </w:pBdr>
        <w:spacing w:line="360" w:lineRule="auto"/>
        <w:ind w:firstLine="708"/>
        <w:jc w:val="both"/>
        <w:rPr>
          <w:color w:val="000000"/>
        </w:rPr>
      </w:pPr>
      <w:r>
        <w:rPr>
          <w:color w:val="000000"/>
        </w:rPr>
        <w:t>Hasta finales de la década de 1950, las publicaciones sobre temas relacionados a la psicología se hicieron en revistas de disciplinas afines. No obstante, tres sucesos cambian lo establecido hasta ese momento, a) la creación de la Sociedad Peruana de Psicología (</w:t>
      </w:r>
      <w:proofErr w:type="spellStart"/>
      <w:r>
        <w:rPr>
          <w:color w:val="000000"/>
        </w:rPr>
        <w:t>SPPs</w:t>
      </w:r>
      <w:proofErr w:type="spellEnd"/>
      <w:r>
        <w:rPr>
          <w:color w:val="000000"/>
        </w:rPr>
        <w:t xml:space="preserve">), en el año 1954, b) la creación de la Sección de Psicología en la </w:t>
      </w:r>
      <w:r>
        <w:t>UNMSM</w:t>
      </w:r>
      <w:r>
        <w:rPr>
          <w:color w:val="000000"/>
        </w:rPr>
        <w:t xml:space="preserve"> en el año 1955, y c) la elaboración del primer programa para formar psicólogos en el Perú </w:t>
      </w:r>
      <w:r>
        <w:t>también</w:t>
      </w:r>
      <w:r>
        <w:rPr>
          <w:color w:val="000000"/>
        </w:rPr>
        <w:t xml:space="preserve"> en la UNM</w:t>
      </w:r>
      <w:r>
        <w:t>SM</w:t>
      </w:r>
      <w:r>
        <w:rPr>
          <w:color w:val="000000"/>
        </w:rPr>
        <w:t xml:space="preserve"> (Alarcón, 2017). Contribuyendo al desarrollo de la psicología en el Perú, dado que, durante los siguientes 10 años otras universidades como la Pontificia Universidad Católica del Perú, la Universidad San Agustín de Arequipa y la Universidad Femenina del Sagrado Corazón, crearon la carrera de psicología (Alarcón, 2017). Por consiguiente, se comienzan a editar las primeras revistas y/o boletines de psicología como medios de difusión y publicación de investigaciones </w:t>
      </w:r>
      <w:r>
        <w:t>propias</w:t>
      </w:r>
      <w:r>
        <w:rPr>
          <w:color w:val="000000"/>
        </w:rPr>
        <w:t xml:space="preserve"> de la disciplina.  </w:t>
      </w:r>
    </w:p>
    <w:p w:rsidR="00067D89" w:rsidRDefault="00A57D41">
      <w:pPr>
        <w:pBdr>
          <w:top w:val="nil"/>
          <w:left w:val="nil"/>
          <w:bottom w:val="nil"/>
          <w:right w:val="nil"/>
          <w:between w:val="nil"/>
        </w:pBdr>
        <w:spacing w:line="360" w:lineRule="auto"/>
        <w:ind w:firstLine="708"/>
        <w:jc w:val="both"/>
        <w:rPr>
          <w:color w:val="000000"/>
        </w:rPr>
      </w:pPr>
      <w:r>
        <w:rPr>
          <w:color w:val="000000"/>
        </w:rPr>
        <w:lastRenderedPageBreak/>
        <w:t xml:space="preserve">La Sociedad Peruana de Psicología </w:t>
      </w:r>
      <w:r>
        <w:t>editó</w:t>
      </w:r>
      <w:r>
        <w:rPr>
          <w:color w:val="000000"/>
        </w:rPr>
        <w:t xml:space="preserve"> en el año de 1959 la “Revista de Psicología”, siendo la primera revista dedicada a publicaciones psicológicas. Sin embargo, su duración </w:t>
      </w:r>
      <w:r>
        <w:t>fue breve</w:t>
      </w:r>
      <w:r>
        <w:rPr>
          <w:color w:val="000000"/>
        </w:rPr>
        <w:t xml:space="preserve">, teniendo solo tres ediciones del año de 1959 a 1961 (Alarcón, 1998, 2017). La edición del año de 1960, estuvo a cargo de Leopoldo </w:t>
      </w:r>
      <w:proofErr w:type="spellStart"/>
      <w:r>
        <w:rPr>
          <w:color w:val="000000"/>
        </w:rPr>
        <w:t>Chiappo</w:t>
      </w:r>
      <w:proofErr w:type="spellEnd"/>
      <w:r>
        <w:rPr>
          <w:color w:val="000000"/>
        </w:rPr>
        <w:t xml:space="preserve"> y </w:t>
      </w:r>
      <w:proofErr w:type="spellStart"/>
      <w:r>
        <w:rPr>
          <w:color w:val="000000"/>
        </w:rPr>
        <w:t>Segisfredo</w:t>
      </w:r>
      <w:proofErr w:type="spellEnd"/>
      <w:r>
        <w:rPr>
          <w:color w:val="000000"/>
        </w:rPr>
        <w:t xml:space="preserve"> </w:t>
      </w:r>
      <w:proofErr w:type="spellStart"/>
      <w:r>
        <w:rPr>
          <w:color w:val="000000"/>
        </w:rPr>
        <w:t>Luza</w:t>
      </w:r>
      <w:proofErr w:type="spellEnd"/>
      <w:r>
        <w:rPr>
          <w:color w:val="000000"/>
        </w:rPr>
        <w:t xml:space="preserve">. En ella Rotondo et al. (1960) logra identificar los rasgos principales de personalidad de un grupo de mestizos en el área de </w:t>
      </w:r>
      <w:proofErr w:type="spellStart"/>
      <w:r>
        <w:rPr>
          <w:color w:val="000000"/>
        </w:rPr>
        <w:t>Mendocita</w:t>
      </w:r>
      <w:proofErr w:type="spellEnd"/>
      <w:r>
        <w:rPr>
          <w:color w:val="000000"/>
        </w:rPr>
        <w:t xml:space="preserve"> (Lima). Flores, (1960) escribe un ensayo teórico sobre el resentimiento. </w:t>
      </w:r>
      <w:proofErr w:type="spellStart"/>
      <w:r>
        <w:rPr>
          <w:color w:val="000000"/>
        </w:rPr>
        <w:t>Luza</w:t>
      </w:r>
      <w:proofErr w:type="spellEnd"/>
      <w:r>
        <w:rPr>
          <w:color w:val="000000"/>
        </w:rPr>
        <w:t xml:space="preserve"> </w:t>
      </w:r>
      <w:proofErr w:type="spellStart"/>
      <w:r>
        <w:rPr>
          <w:color w:val="000000"/>
        </w:rPr>
        <w:t>Segisfredo</w:t>
      </w:r>
      <w:proofErr w:type="spellEnd"/>
      <w:r>
        <w:rPr>
          <w:color w:val="000000"/>
        </w:rPr>
        <w:t xml:space="preserve"> (1960a) escribe las diferencias sobre la muerte desde la filosofía y la psicología. La revista también tuvo otras secciones, Encinas (1960) </w:t>
      </w:r>
      <w:r>
        <w:t>escribió</w:t>
      </w:r>
      <w:r>
        <w:rPr>
          <w:color w:val="000000"/>
        </w:rPr>
        <w:t xml:space="preserve"> un obituario en memoria de Oskar Vogt. En la sección libros y revistas, Mori Grover (1960) comenta el libro “Enjuiciamiento de la medicina psicosomática” de Honorio Delgado. </w:t>
      </w:r>
      <w:proofErr w:type="spellStart"/>
      <w:r>
        <w:rPr>
          <w:color w:val="000000"/>
        </w:rPr>
        <w:t>Luza</w:t>
      </w:r>
      <w:proofErr w:type="spellEnd"/>
      <w:r>
        <w:rPr>
          <w:color w:val="000000"/>
        </w:rPr>
        <w:t xml:space="preserve"> </w:t>
      </w:r>
      <w:proofErr w:type="spellStart"/>
      <w:r>
        <w:rPr>
          <w:color w:val="000000"/>
        </w:rPr>
        <w:t>Segisfredo</w:t>
      </w:r>
      <w:proofErr w:type="spellEnd"/>
      <w:r>
        <w:rPr>
          <w:color w:val="000000"/>
        </w:rPr>
        <w:t xml:space="preserve"> (1960b) coment</w:t>
      </w:r>
      <w:r>
        <w:t>ó</w:t>
      </w:r>
      <w:r>
        <w:rPr>
          <w:color w:val="000000"/>
        </w:rPr>
        <w:t xml:space="preserve"> el libro “La alteración de la actitud abstractiva y la prueba de configuración noética-perceptiva” de Leopoldo H. </w:t>
      </w:r>
      <w:proofErr w:type="spellStart"/>
      <w:r>
        <w:rPr>
          <w:color w:val="000000"/>
        </w:rPr>
        <w:t>Chiapo</w:t>
      </w:r>
      <w:proofErr w:type="spellEnd"/>
      <w:r>
        <w:rPr>
          <w:color w:val="000000"/>
        </w:rPr>
        <w:t xml:space="preserve">. </w:t>
      </w:r>
    </w:p>
    <w:p w:rsidR="00067D89" w:rsidRDefault="00A57D41">
      <w:pPr>
        <w:pBdr>
          <w:top w:val="nil"/>
          <w:left w:val="nil"/>
          <w:bottom w:val="nil"/>
          <w:right w:val="nil"/>
          <w:between w:val="nil"/>
        </w:pBdr>
        <w:spacing w:line="360" w:lineRule="auto"/>
        <w:ind w:firstLine="708"/>
        <w:jc w:val="both"/>
        <w:rPr>
          <w:color w:val="000000"/>
        </w:rPr>
      </w:pPr>
      <w:r>
        <w:rPr>
          <w:color w:val="000000"/>
        </w:rPr>
        <w:t xml:space="preserve">La edición de la Revista de Psicología, fue dirigida principalmente por psiquiatras y filósofos, por ende, el contenido en su mayoría estuvo constituido por artículos relacionados a la filosofía y psiquiatría. No obstante, marcaría el inicio de la edición y publicación de futuras revistas de psicología. En consecuencia, se </w:t>
      </w:r>
      <w:r>
        <w:t>editaron</w:t>
      </w:r>
      <w:r>
        <w:rPr>
          <w:color w:val="000000"/>
        </w:rPr>
        <w:t xml:space="preserve"> varias revistas de psicología, entre ellas la revista del comité de estudiantes de la </w:t>
      </w:r>
      <w:r>
        <w:t>UNMSM</w:t>
      </w:r>
      <w:r>
        <w:rPr>
          <w:color w:val="000000"/>
        </w:rPr>
        <w:t xml:space="preserve">, la revista de la Sociedad peruana de psicología clínica, la revista de la asociación de psicólogos de Arequipa y la revista peruana de análisis de la conducta, por mencionar algunas (Alarcón, 2017). Muchas de estas revistas tuvieron pocas ediciones para luego desaparecer. </w:t>
      </w:r>
    </w:p>
    <w:p w:rsidR="00067D89" w:rsidRDefault="00A57D41">
      <w:pPr>
        <w:spacing w:line="360" w:lineRule="auto"/>
        <w:ind w:firstLine="700"/>
        <w:jc w:val="both"/>
      </w:pPr>
      <w:r>
        <w:t>Si bien el estudio histórico es importante para contextualizar e introducir el tema, para conocer y analizar el estado actual de las revistas de psicología en el Perú, es necesario una aproximación diferente y método diferentes. El incremento de la cantidad de publicaciones y revistas científicas ha conllevado al uso de la bibliometría como método para conocer las diversas características y propiedades de una gran cantidad de revistas. Los estudios bibliométricos analizan diversas características para evaluar la funcionalidad de las revistas científicas. Entre los principales tenemos los estudios que evalúan: a) el factor de impacto, b) las tasas de rechazo, c) el intervalo de tiempo entre la presentación y aceptación del artículo, d) aspectos éticos de las políticas editoriales, e) indicadores en la evaluación en la evaluación de la investigación (</w:t>
      </w:r>
      <w:proofErr w:type="spellStart"/>
      <w:r>
        <w:t>Haustein</w:t>
      </w:r>
      <w:proofErr w:type="spellEnd"/>
      <w:r>
        <w:t xml:space="preserve">, y </w:t>
      </w:r>
      <w:proofErr w:type="spellStart"/>
      <w:r>
        <w:t>Larivière</w:t>
      </w:r>
      <w:proofErr w:type="spellEnd"/>
      <w:r>
        <w:t xml:space="preserve">, 2015; De Marchi, y Lorenzetti, 2016). No obstante, la evaluación de dichas </w:t>
      </w:r>
      <w:r>
        <w:lastRenderedPageBreak/>
        <w:t>características y aspectos no están exentas de crítica, sobre todo cuando se busca estudiar revistas regionales (</w:t>
      </w:r>
      <w:proofErr w:type="spellStart"/>
      <w:r>
        <w:t>Veretennik</w:t>
      </w:r>
      <w:proofErr w:type="spellEnd"/>
      <w:r>
        <w:t xml:space="preserve">, y </w:t>
      </w:r>
      <w:proofErr w:type="spellStart"/>
      <w:r>
        <w:t>Yudkevich</w:t>
      </w:r>
      <w:proofErr w:type="spellEnd"/>
      <w:r>
        <w:t xml:space="preserve">, 2023). </w:t>
      </w:r>
    </w:p>
    <w:p w:rsidR="00067D89" w:rsidRDefault="00A57D41">
      <w:pPr>
        <w:pBdr>
          <w:top w:val="nil"/>
          <w:left w:val="nil"/>
          <w:bottom w:val="nil"/>
          <w:right w:val="nil"/>
          <w:between w:val="nil"/>
        </w:pBdr>
        <w:spacing w:line="360" w:lineRule="auto"/>
        <w:ind w:firstLine="708"/>
        <w:jc w:val="both"/>
        <w:rPr>
          <w:color w:val="000000"/>
        </w:rPr>
      </w:pPr>
      <w:bookmarkStart w:id="7" w:name="_heading=h.30j0zll" w:colFirst="0" w:colLast="0"/>
      <w:bookmarkEnd w:id="7"/>
      <w:r>
        <w:rPr>
          <w:color w:val="000000"/>
        </w:rPr>
        <w:t xml:space="preserve">Las revistas de psicología en el Perú, se han ido adaptando a los </w:t>
      </w:r>
      <w:r>
        <w:t>estándares</w:t>
      </w:r>
      <w:r>
        <w:rPr>
          <w:color w:val="000000"/>
        </w:rPr>
        <w:t xml:space="preserve"> actuales de las publicaciones científicas. </w:t>
      </w:r>
      <w:r>
        <w:t xml:space="preserve">Entre ellos cumplir </w:t>
      </w:r>
      <w:r>
        <w:rPr>
          <w:color w:val="000000"/>
        </w:rPr>
        <w:t>el</w:t>
      </w:r>
      <w:r>
        <w:t xml:space="preserve"> estándar</w:t>
      </w:r>
      <w:r>
        <w:rPr>
          <w:color w:val="000000"/>
        </w:rPr>
        <w:t xml:space="preserve"> internacional </w:t>
      </w:r>
      <w:r>
        <w:t xml:space="preserve">de contar con el </w:t>
      </w:r>
      <w:r>
        <w:rPr>
          <w:color w:val="000000"/>
        </w:rPr>
        <w:t xml:space="preserve">Número Internacional Normalizado para Publicaciones Seriadas (ISSN), </w:t>
      </w:r>
      <w:r>
        <w:t>qué</w:t>
      </w:r>
      <w:r>
        <w:rPr>
          <w:color w:val="000000"/>
        </w:rPr>
        <w:t xml:space="preserve"> es el código de identificación breve único e inequívoco para publicaciones seriadas (ISSN, 2015). Este </w:t>
      </w:r>
      <w:r>
        <w:t>número además</w:t>
      </w:r>
      <w:r>
        <w:rPr>
          <w:color w:val="000000"/>
        </w:rPr>
        <w:t xml:space="preserve"> facilita la </w:t>
      </w:r>
      <w:r>
        <w:t>identificación</w:t>
      </w:r>
      <w:r>
        <w:rPr>
          <w:color w:val="000000"/>
        </w:rPr>
        <w:t xml:space="preserve"> de </w:t>
      </w:r>
      <w:r>
        <w:t>publicaciones</w:t>
      </w:r>
      <w:r>
        <w:rPr>
          <w:color w:val="000000"/>
        </w:rPr>
        <w:t xml:space="preserve"> </w:t>
      </w:r>
      <w:r>
        <w:t>seriadas</w:t>
      </w:r>
      <w:r>
        <w:rPr>
          <w:color w:val="000000"/>
        </w:rPr>
        <w:t>. Por ello se realiza un análisis de los principales indicadores bibliométricos de las revistas de psicología en el Perú que cuenten con el ISSN.</w:t>
      </w:r>
    </w:p>
    <w:p w:rsidR="00067D89" w:rsidRDefault="00067D89">
      <w:pPr>
        <w:pBdr>
          <w:top w:val="nil"/>
          <w:left w:val="nil"/>
          <w:bottom w:val="nil"/>
          <w:right w:val="nil"/>
          <w:between w:val="nil"/>
        </w:pBdr>
        <w:spacing w:line="360" w:lineRule="auto"/>
        <w:ind w:firstLine="708"/>
        <w:jc w:val="both"/>
        <w:rPr>
          <w:color w:val="000000"/>
        </w:rPr>
      </w:pPr>
    </w:p>
    <w:p w:rsidR="00067D89" w:rsidRDefault="00A57D41">
      <w:pPr>
        <w:pBdr>
          <w:top w:val="nil"/>
          <w:left w:val="nil"/>
          <w:bottom w:val="nil"/>
          <w:right w:val="nil"/>
          <w:between w:val="nil"/>
        </w:pBdr>
        <w:jc w:val="center"/>
        <w:rPr>
          <w:b/>
          <w:color w:val="000000"/>
        </w:rPr>
      </w:pPr>
      <w:r>
        <w:rPr>
          <w:b/>
          <w:color w:val="000000"/>
        </w:rPr>
        <w:t>Método</w:t>
      </w:r>
    </w:p>
    <w:p w:rsidR="00067D89" w:rsidRDefault="00067D89">
      <w:pPr>
        <w:pBdr>
          <w:top w:val="nil"/>
          <w:left w:val="nil"/>
          <w:bottom w:val="nil"/>
          <w:right w:val="nil"/>
          <w:between w:val="nil"/>
        </w:pBdr>
        <w:jc w:val="center"/>
        <w:rPr>
          <w:b/>
        </w:rPr>
      </w:pPr>
    </w:p>
    <w:p w:rsidR="00067D89" w:rsidRDefault="00A57D41">
      <w:pPr>
        <w:pBdr>
          <w:top w:val="nil"/>
          <w:left w:val="nil"/>
          <w:bottom w:val="nil"/>
          <w:right w:val="nil"/>
          <w:between w:val="nil"/>
        </w:pBdr>
        <w:spacing w:line="360" w:lineRule="auto"/>
        <w:ind w:firstLine="708"/>
        <w:jc w:val="both"/>
        <w:rPr>
          <w:strike/>
        </w:rPr>
      </w:pPr>
      <w:r>
        <w:t>El método de la presente investigación es la socio-bibliometría, esta se sustenta en analizar los datos desde el enfoque cuantitativo y cualitativo y proviene de la bibliometría de la escuela Valenciana (</w:t>
      </w:r>
      <w:proofErr w:type="spellStart"/>
      <w:r>
        <w:t>Brozek</w:t>
      </w:r>
      <w:proofErr w:type="spellEnd"/>
      <w:r>
        <w:t xml:space="preserve">, 1991; </w:t>
      </w:r>
      <w:proofErr w:type="spellStart"/>
      <w:r>
        <w:t>Bordons</w:t>
      </w:r>
      <w:proofErr w:type="spellEnd"/>
      <w:r>
        <w:t xml:space="preserve"> y Zulueta, 1999). Se realizó un análisis desde una perspectiva histórica y la pluralidad metodológica que potencia la investigación y reduce los sesgos (</w:t>
      </w:r>
      <w:proofErr w:type="spellStart"/>
      <w:r>
        <w:t>Klappenbach</w:t>
      </w:r>
      <w:proofErr w:type="spellEnd"/>
      <w:r>
        <w:t xml:space="preserve">, 2016; </w:t>
      </w:r>
      <w:proofErr w:type="spellStart"/>
      <w:r>
        <w:t>Klappenbach</w:t>
      </w:r>
      <w:proofErr w:type="spellEnd"/>
      <w:r>
        <w:t xml:space="preserve">, 2017; </w:t>
      </w:r>
      <w:proofErr w:type="spellStart"/>
      <w:r>
        <w:t>Vazquez</w:t>
      </w:r>
      <w:proofErr w:type="spellEnd"/>
      <w:r>
        <w:t xml:space="preserve"> y </w:t>
      </w:r>
      <w:proofErr w:type="spellStart"/>
      <w:r>
        <w:t>Klappenbach</w:t>
      </w:r>
      <w:proofErr w:type="spellEnd"/>
      <w:r>
        <w:t xml:space="preserve">, 2021). Se definieron </w:t>
      </w:r>
      <w:r>
        <w:rPr>
          <w:i/>
        </w:rPr>
        <w:t>a priori</w:t>
      </w:r>
      <w:r>
        <w:t xml:space="preserve"> la técnica de muestreo, la definición de indicadores bibliométricos, para luego continuar con la selección/identificación de unidades de análisis, codificación y su posterior análisis e integración de resultados. </w:t>
      </w:r>
    </w:p>
    <w:p w:rsidR="00067D89" w:rsidRDefault="00A57D41">
      <w:pPr>
        <w:pBdr>
          <w:top w:val="nil"/>
          <w:left w:val="nil"/>
          <w:bottom w:val="nil"/>
          <w:right w:val="nil"/>
          <w:between w:val="nil"/>
        </w:pBdr>
        <w:spacing w:line="360" w:lineRule="auto"/>
        <w:jc w:val="both"/>
      </w:pPr>
      <w:r>
        <w:rPr>
          <w:b/>
          <w:i/>
        </w:rPr>
        <w:t>Muestra</w:t>
      </w:r>
      <w:r>
        <w:t xml:space="preserve"> </w:t>
      </w:r>
    </w:p>
    <w:p w:rsidR="00067D89" w:rsidRDefault="00A57D41">
      <w:pPr>
        <w:pBdr>
          <w:top w:val="nil"/>
          <w:left w:val="nil"/>
          <w:bottom w:val="nil"/>
          <w:right w:val="nil"/>
          <w:between w:val="nil"/>
        </w:pBdr>
        <w:spacing w:line="360" w:lineRule="auto"/>
        <w:ind w:firstLine="708"/>
        <w:jc w:val="both"/>
      </w:pPr>
      <w:r>
        <w:t xml:space="preserve">La muestra de la investigación estuvo conformada por 20 Revistas de Psicología Peruanas, que cuentan con el código serial de ISSN en formato digital o físico (la selección se describe en el procedimiento). Así mismo, la unidad de análisis fueron cada una de las Revistas de Psicología Peruanas. </w:t>
      </w:r>
    </w:p>
    <w:p w:rsidR="00067D89" w:rsidRDefault="00A57D41">
      <w:pPr>
        <w:pBdr>
          <w:top w:val="nil"/>
          <w:left w:val="nil"/>
          <w:bottom w:val="nil"/>
          <w:right w:val="nil"/>
          <w:between w:val="nil"/>
        </w:pBdr>
        <w:spacing w:line="360" w:lineRule="auto"/>
        <w:jc w:val="both"/>
        <w:rPr>
          <w:b/>
          <w:i/>
        </w:rPr>
      </w:pPr>
      <w:r>
        <w:rPr>
          <w:b/>
          <w:i/>
        </w:rPr>
        <w:t xml:space="preserve">Procedimiento </w:t>
      </w:r>
    </w:p>
    <w:p w:rsidR="00067D89" w:rsidRDefault="00A57D41" w:rsidP="007164AA">
      <w:pPr>
        <w:numPr>
          <w:ilvl w:val="0"/>
          <w:numId w:val="1"/>
        </w:numPr>
        <w:pBdr>
          <w:top w:val="nil"/>
          <w:left w:val="nil"/>
          <w:bottom w:val="nil"/>
          <w:right w:val="nil"/>
          <w:between w:val="nil"/>
        </w:pBdr>
        <w:spacing w:line="360" w:lineRule="auto"/>
        <w:ind w:left="426"/>
        <w:jc w:val="both"/>
      </w:pPr>
      <w:r>
        <w:t xml:space="preserve">Selección de revistas, para identificar las revistas se realizó una búsqueda (en junio de 2022) en el portal de la International Standard Serial </w:t>
      </w:r>
      <w:proofErr w:type="spellStart"/>
      <w:r>
        <w:t>Number</w:t>
      </w:r>
      <w:proofErr w:type="spellEnd"/>
      <w:r>
        <w:t xml:space="preserve"> con las palabras Perú y Psicología. Se encontraron 51 resultados, luego se pasó a verificar el código ISSN, pues muchas revistas tienen un ISSN en formato digital y/o físico, finalmente se obtuvo 20 revistas de psicología peruanas. </w:t>
      </w:r>
    </w:p>
    <w:p w:rsidR="00067D89" w:rsidRDefault="00A57D41" w:rsidP="007164AA">
      <w:pPr>
        <w:numPr>
          <w:ilvl w:val="0"/>
          <w:numId w:val="1"/>
        </w:numPr>
        <w:spacing w:line="360" w:lineRule="auto"/>
        <w:ind w:left="426"/>
        <w:jc w:val="both"/>
      </w:pPr>
      <w:bookmarkStart w:id="8" w:name="_heading=h.gjdgxs" w:colFirst="0" w:colLast="0"/>
      <w:bookmarkEnd w:id="8"/>
      <w:r>
        <w:t>Definición de indicadores bibliométricos, para analizar las revistas de psicología peruanas, se examinaron las características científicas de una revista (</w:t>
      </w:r>
      <w:r>
        <w:rPr>
          <w:color w:val="000000"/>
        </w:rPr>
        <w:t>Chávez Sánchez</w:t>
      </w:r>
      <w:r>
        <w:t xml:space="preserve">, 2022; </w:t>
      </w:r>
      <w:r>
        <w:rPr>
          <w:color w:val="333333"/>
          <w:highlight w:val="white"/>
        </w:rPr>
        <w:t>Morales-</w:t>
      </w:r>
      <w:r>
        <w:rPr>
          <w:color w:val="333333"/>
          <w:highlight w:val="white"/>
        </w:rPr>
        <w:lastRenderedPageBreak/>
        <w:t>Morante</w:t>
      </w:r>
      <w:r>
        <w:t xml:space="preserve">, 2016a; </w:t>
      </w:r>
      <w:r>
        <w:rPr>
          <w:color w:val="333333"/>
          <w:highlight w:val="white"/>
        </w:rPr>
        <w:t>Morales-Morante</w:t>
      </w:r>
      <w:r>
        <w:t xml:space="preserve">, 2016b; </w:t>
      </w:r>
      <w:proofErr w:type="spellStart"/>
      <w:r>
        <w:t>Miyahira</w:t>
      </w:r>
      <w:proofErr w:type="spellEnd"/>
      <w:r>
        <w:t xml:space="preserve">, 2008), los estándares internacionales (Rengifo, 2019), análisis bibliométricos previos (Luna-morales, y Collazo-Reyes, 2007), características de revistas científicas peruanas (Santillán-Aldana, et al., 2017; </w:t>
      </w:r>
      <w:r>
        <w:rPr>
          <w:color w:val="222222"/>
          <w:highlight w:val="white"/>
        </w:rPr>
        <w:t>Quispe-Gerónimo, et al., 2013</w:t>
      </w:r>
      <w:r>
        <w:t xml:space="preserve">), y con base a dichas características se identificó y definió los indicadores bibliométricos: </w:t>
      </w:r>
    </w:p>
    <w:p w:rsidR="00067D89" w:rsidRDefault="00A57D41" w:rsidP="007164AA">
      <w:pPr>
        <w:spacing w:line="360" w:lineRule="auto"/>
        <w:ind w:left="426" w:firstLine="283"/>
        <w:jc w:val="both"/>
      </w:pPr>
      <w:r>
        <w:rPr>
          <w:i/>
        </w:rPr>
        <w:t>1) Datos de la revista:</w:t>
      </w:r>
      <w:r>
        <w:t xml:space="preserve"> son características generales que permiten un contacto inicial con la revista. Permite identificar: a) institución, la revista puede ser editada por una universidad estatal, particular, institución o asociación, b) lugar de edición, la revista puede ser editada en la capital o las provincias del Perú, c) financiamiento, la revista puede ser subvencionada por alguna institución o financiada con recursos propios. </w:t>
      </w:r>
    </w:p>
    <w:p w:rsidR="00067D89" w:rsidRDefault="00A57D41" w:rsidP="007164AA">
      <w:pPr>
        <w:spacing w:line="360" w:lineRule="auto"/>
        <w:ind w:left="426" w:firstLine="283"/>
        <w:jc w:val="both"/>
      </w:pPr>
      <w:r>
        <w:rPr>
          <w:i/>
        </w:rPr>
        <w:t>2) Periodicidad de la revista:</w:t>
      </w:r>
      <w:r>
        <w:t xml:space="preserve"> permite identificar la regularidad de las actividades de las revistas. Se registra: a) año de inicio, la fecha de inicio de actividades de la revista, b) periodicidad, el periodo de tiempo de publicación de un número de la revista, trimestral, semestral, anual o bianual, c) tuvieron algún paro, si en algún momento dejaron de publicar un número de la revista, se registra el tiempo en meses, d) vigencia actual, las revistas están activas al momento del registro de la información. </w:t>
      </w:r>
    </w:p>
    <w:p w:rsidR="00067D89" w:rsidRDefault="00A57D41" w:rsidP="007164AA">
      <w:pPr>
        <w:spacing w:line="360" w:lineRule="auto"/>
        <w:ind w:left="426" w:firstLine="283"/>
        <w:jc w:val="both"/>
      </w:pPr>
      <w:r>
        <w:rPr>
          <w:i/>
        </w:rPr>
        <w:t>3) Comité editorial:</w:t>
      </w:r>
      <w:r>
        <w:t xml:space="preserve"> permite identificar la organización que hace sostenible la publicación de la revista. Se registra: a) editor y/o director, dada la diversidad de funciones que puede cumplir el editor y director, se registra la información de las revistas si cuentan o no con un editor y/o director, se registra género del editor y/o director según el nombre que informa la plataforma de la revista, y la nacionalidad del editor y/o director se registra según el país. b) cuenta con comité editorial, se registra si cuenta o no con un comité editorial, c) cantidad, se registra el número de miembros del comité, d) género, se registra el género masculino o femenino según el nombre que informa la plataforma, f) institución de la que provienen los miembros del comité editorial, se registra el número de miembros del comité, interno si es de la misma institución que edita la revista, externa nacional si pertenece una institución nacional diferente, y externa internacional si pertenece a una institución de otro país, g) comité de ética, se registra si solicitan la aprobación de un comité de ética para la publicación de un artículo, h) declaración de ética, se registra si hay declaración de ética al momento de elaborar el artículo. </w:t>
      </w:r>
    </w:p>
    <w:p w:rsidR="00067D89" w:rsidRDefault="00A57D41" w:rsidP="007164AA">
      <w:pPr>
        <w:spacing w:line="360" w:lineRule="auto"/>
        <w:ind w:left="426" w:firstLine="283"/>
        <w:jc w:val="both"/>
      </w:pPr>
      <w:r>
        <w:rPr>
          <w:i/>
        </w:rPr>
        <w:lastRenderedPageBreak/>
        <w:t>4) Proceso de publicación:</w:t>
      </w:r>
      <w:r>
        <w:t xml:space="preserve"> permite identificar el procedimiento al que son sometidos los artículos para ser aceptados y publicados en la revista. Se registra a) convocatoria, se registra si publican fechas específicas de convocatoria para los artículos o si está abierta todo el año, b) edición especial, si publican ediciones especiales por alguna temática, c) medio de envío de artículos, puede ser electrónica o física, d) normas de publicación, las revistas cuentan o no con normas para la publicación de los artículos y f) revisión por pares, se registra si los artículos pasan por una revisión de pares para ser aceptados y publicados. </w:t>
      </w:r>
    </w:p>
    <w:p w:rsidR="00067D89" w:rsidRDefault="00A57D41" w:rsidP="007164AA">
      <w:pPr>
        <w:spacing w:line="360" w:lineRule="auto"/>
        <w:ind w:left="426" w:firstLine="283"/>
        <w:jc w:val="both"/>
      </w:pPr>
      <w:r>
        <w:rPr>
          <w:i/>
        </w:rPr>
        <w:t>5) Contenido</w:t>
      </w:r>
      <w:r>
        <w:t xml:space="preserve">: para identificar las características de los artículos publicados por las revistas. Se registra a) tipo de contenido, se registra si el contenido de los artículos son empíricos, teóricos, cartas al editor y reseña de libros,  b) idioma, se registra el idioma en que publican español, inglés y otros,  c) número de artículos, se registra el promedio de artículos publicados en los dos últimos números al momento del registro de la información, d) accesibilidad, se registra el tipo de acceso de los artículos abierta si la revista permite libremente al acceso al artículo y pago si solicita pagar un precio por el artículo. </w:t>
      </w:r>
    </w:p>
    <w:p w:rsidR="00067D89" w:rsidRDefault="00A57D41" w:rsidP="007164AA">
      <w:pPr>
        <w:spacing w:line="360" w:lineRule="auto"/>
        <w:ind w:left="426" w:firstLine="283"/>
        <w:jc w:val="both"/>
      </w:pPr>
      <w:r>
        <w:rPr>
          <w:i/>
        </w:rPr>
        <w:t>6) Difusión</w:t>
      </w:r>
      <w:r>
        <w:t xml:space="preserve">: permite identificar las características y las plataformas de la difusión de la revista. Se registran, a) formato, la difusión de la revista es electrónica y/o física, b) redes sociales, se registra si la revista cuenta con redes sociales como Facebook, Instagram, academia, </w:t>
      </w:r>
      <w:proofErr w:type="spellStart"/>
      <w:r>
        <w:t>Researchgate</w:t>
      </w:r>
      <w:proofErr w:type="spellEnd"/>
      <w:r>
        <w:t xml:space="preserve"> o Twitter, se registra todas las redes con las que cuente la revista, c) actividad en el último mes, se registra si tuvieron actividad en el último mes en sus redes sociales y d) base de datos en las que están indexadas, se registra las bases de datos indexadoras más reconocidas a nivel latinoamericano y mundial, Latindex, Dialnet, Redalyc, Scielo, Scopus y WOS. Cuando la información a registrar no se hallaba en la plataforma de la revista, se registró como: no reporta o no hay datos, esto se aplicó para todos los indicadores bibliométricos. </w:t>
      </w:r>
    </w:p>
    <w:p w:rsidR="00067D89" w:rsidRDefault="00A57D41" w:rsidP="007164AA">
      <w:pPr>
        <w:numPr>
          <w:ilvl w:val="0"/>
          <w:numId w:val="1"/>
        </w:numPr>
        <w:spacing w:line="360" w:lineRule="auto"/>
        <w:ind w:left="426"/>
        <w:jc w:val="both"/>
      </w:pPr>
      <w:r>
        <w:t>Elaboración del protocolo, para el registro de la información se elaboró una matriz en una hoja de cálculo de Excel. La matriz está compuesta por dos filas donde se ubicaron los indicadores bibliométricos definidos en la sección anterior. Y por una columna donde se ubican el nombre de las revistas, de las cuales se registraron los datos</w:t>
      </w:r>
      <w:r w:rsidR="007164AA">
        <w:t>.</w:t>
      </w:r>
    </w:p>
    <w:p w:rsidR="00067D89" w:rsidRDefault="00A57D41" w:rsidP="007164AA">
      <w:pPr>
        <w:numPr>
          <w:ilvl w:val="0"/>
          <w:numId w:val="1"/>
        </w:numPr>
        <w:spacing w:line="360" w:lineRule="auto"/>
        <w:ind w:left="426"/>
        <w:jc w:val="both"/>
      </w:pPr>
      <w:r>
        <w:t xml:space="preserve">Entrenamiento de codificadores, se realizaron dos sesiones de entrenamiento para la recolección de los datos de las revistas. En la primera sesión, se explicó cada uno de los </w:t>
      </w:r>
      <w:r>
        <w:lastRenderedPageBreak/>
        <w:t xml:space="preserve">indicadores bibliométricos definidos y los códigos para el registro de los datos. En la segunda sesión, se explicó la matriz de datos y la codificación de la información.   </w:t>
      </w:r>
    </w:p>
    <w:p w:rsidR="00067D89" w:rsidRDefault="00A57D41" w:rsidP="007164AA">
      <w:pPr>
        <w:numPr>
          <w:ilvl w:val="0"/>
          <w:numId w:val="1"/>
        </w:numPr>
        <w:spacing w:line="360" w:lineRule="auto"/>
        <w:ind w:left="426"/>
        <w:jc w:val="both"/>
      </w:pPr>
      <w:r>
        <w:t>Codificación de datos, tres codificadores registraron la información en la matriz de datos en la hoja de Excel. La matriz se completó con base a la información reportada en las páginas web de las revistas identificadas. La recolección de la información se llevó a cabo entre los meses de julio y octubre de 2022. La confiabilidad del registro de datos entre codificadores se evaluó a través del índice de la tasa de acuerdo (</w:t>
      </w:r>
      <w:proofErr w:type="spellStart"/>
      <w:r>
        <w:t>Card</w:t>
      </w:r>
      <w:proofErr w:type="spellEnd"/>
      <w:r>
        <w:t xml:space="preserve">, 2012). Esta es la proporción, del número de acuerdos entre el número de codificadores, esto se aplicó a cada uno de los indicadores bibliométricos. Si tres codificadores registraban la misma información, se asignaba una tasa de acuerdo del 100%. Si dos codificadores registraban la misma información se asignaba una tasa de acuerdo </w:t>
      </w:r>
      <w:r>
        <w:rPr>
          <w:highlight w:val="white"/>
        </w:rPr>
        <w:t>del 67%. Si los tres codificadores registraban informaciones diferentes, se asignaba una tasa de acuerdo de 0%.  Se obtuvo una tasa de acuerdo inicial por cada indicador bibliomét</w:t>
      </w:r>
      <w:r>
        <w:t xml:space="preserve">rico, el cual se reporta en los resultados. Para el procesamiento de los datos, los indicadores donde la tasa de acuerdo era menor al 100%, fueron revisados por los codificadores. Se recodificó entre los tres codificadores para su posterior reporte y análisis. Para ello se realizaron tres reuniones entre los meses de diciembre de 2022 y febrero de 2023. </w:t>
      </w:r>
    </w:p>
    <w:p w:rsidR="00067D89" w:rsidRDefault="00A57D41" w:rsidP="007164AA">
      <w:pPr>
        <w:numPr>
          <w:ilvl w:val="0"/>
          <w:numId w:val="1"/>
        </w:numPr>
        <w:pBdr>
          <w:top w:val="nil"/>
          <w:left w:val="nil"/>
          <w:bottom w:val="nil"/>
          <w:right w:val="nil"/>
          <w:between w:val="nil"/>
        </w:pBdr>
        <w:spacing w:line="360" w:lineRule="auto"/>
        <w:ind w:left="426"/>
        <w:jc w:val="both"/>
      </w:pPr>
      <w:r>
        <w:t>Procesamiento e integración de datos, una vez recolectada la información se procedió al procesamiento e integración de los datos codificados, esta siguió los lineamientos de la Socio-bibliometría, resaltando los indicadores cuantificables y las interpretaciones cualitativas (</w:t>
      </w:r>
      <w:proofErr w:type="spellStart"/>
      <w:r>
        <w:t>Brozek</w:t>
      </w:r>
      <w:proofErr w:type="spellEnd"/>
      <w:r>
        <w:t xml:space="preserve">, 1991; </w:t>
      </w:r>
      <w:proofErr w:type="spellStart"/>
      <w:r>
        <w:t>Bordons</w:t>
      </w:r>
      <w:proofErr w:type="spellEnd"/>
      <w:r>
        <w:t xml:space="preserve"> y Zulueta, 1999; </w:t>
      </w:r>
      <w:proofErr w:type="spellStart"/>
      <w:r>
        <w:t>Klappenbach</w:t>
      </w:r>
      <w:proofErr w:type="spellEnd"/>
      <w:r>
        <w:t xml:space="preserve">, 2016, </w:t>
      </w:r>
      <w:proofErr w:type="spellStart"/>
      <w:r>
        <w:t>Klappenbach</w:t>
      </w:r>
      <w:proofErr w:type="spellEnd"/>
      <w:r>
        <w:t xml:space="preserve">, 2017, </w:t>
      </w:r>
      <w:proofErr w:type="spellStart"/>
      <w:r>
        <w:t>Vazquez</w:t>
      </w:r>
      <w:proofErr w:type="spellEnd"/>
      <w:r>
        <w:t xml:space="preserve"> y </w:t>
      </w:r>
      <w:proofErr w:type="spellStart"/>
      <w:r>
        <w:t>Klappenbach</w:t>
      </w:r>
      <w:proofErr w:type="spellEnd"/>
      <w:r>
        <w:t xml:space="preserve">, 2021).   </w:t>
      </w:r>
    </w:p>
    <w:p w:rsidR="00067D89" w:rsidRDefault="00067D89">
      <w:pPr>
        <w:pBdr>
          <w:top w:val="nil"/>
          <w:left w:val="nil"/>
          <w:bottom w:val="nil"/>
          <w:right w:val="nil"/>
          <w:between w:val="nil"/>
        </w:pBdr>
        <w:spacing w:line="360" w:lineRule="auto"/>
        <w:ind w:left="720"/>
        <w:jc w:val="both"/>
      </w:pPr>
    </w:p>
    <w:p w:rsidR="00067D89" w:rsidRDefault="00A57D41">
      <w:pPr>
        <w:pBdr>
          <w:top w:val="nil"/>
          <w:left w:val="nil"/>
          <w:bottom w:val="nil"/>
          <w:right w:val="nil"/>
          <w:between w:val="nil"/>
        </w:pBdr>
        <w:spacing w:line="360" w:lineRule="auto"/>
        <w:jc w:val="both"/>
        <w:rPr>
          <w:b/>
          <w:i/>
          <w:color w:val="000000"/>
        </w:rPr>
      </w:pPr>
      <w:r>
        <w:rPr>
          <w:b/>
          <w:i/>
          <w:color w:val="000000"/>
        </w:rPr>
        <w:t>Análisis de los datos</w:t>
      </w:r>
    </w:p>
    <w:p w:rsidR="00067D89" w:rsidRDefault="00A57D41">
      <w:pPr>
        <w:pBdr>
          <w:top w:val="nil"/>
          <w:left w:val="nil"/>
          <w:bottom w:val="nil"/>
          <w:right w:val="nil"/>
          <w:between w:val="nil"/>
        </w:pBdr>
        <w:spacing w:line="360" w:lineRule="auto"/>
        <w:ind w:firstLine="708"/>
        <w:jc w:val="both"/>
      </w:pPr>
      <w:r>
        <w:t>La integración de los datos se modeló siguiendo otras investigaciones socio-bibliométricas (</w:t>
      </w:r>
      <w:proofErr w:type="spellStart"/>
      <w:r>
        <w:t>Klappenbach</w:t>
      </w:r>
      <w:proofErr w:type="spellEnd"/>
      <w:r>
        <w:t xml:space="preserve">, et al., 2022; </w:t>
      </w:r>
      <w:proofErr w:type="spellStart"/>
      <w:r>
        <w:rPr>
          <w:color w:val="222222"/>
          <w:highlight w:val="white"/>
        </w:rPr>
        <w:t>Carosio</w:t>
      </w:r>
      <w:proofErr w:type="spellEnd"/>
      <w:r>
        <w:rPr>
          <w:color w:val="222222"/>
          <w:highlight w:val="white"/>
        </w:rPr>
        <w:t xml:space="preserve"> y </w:t>
      </w:r>
      <w:proofErr w:type="spellStart"/>
      <w:r>
        <w:rPr>
          <w:color w:val="222222"/>
          <w:highlight w:val="white"/>
        </w:rPr>
        <w:t>Klappenbach</w:t>
      </w:r>
      <w:proofErr w:type="spellEnd"/>
      <w:r>
        <w:t xml:space="preserve">, 2017; Gallegos et al., 2020; Fierro, Di Doménico y </w:t>
      </w:r>
      <w:proofErr w:type="spellStart"/>
      <w:r>
        <w:rPr>
          <w:color w:val="222222"/>
          <w:highlight w:val="white"/>
        </w:rPr>
        <w:t>Klappenbach</w:t>
      </w:r>
      <w:proofErr w:type="spellEnd"/>
      <w:r>
        <w:rPr>
          <w:color w:val="222222"/>
          <w:highlight w:val="white"/>
        </w:rPr>
        <w:t>, 2019; Gonzales, 2015</w:t>
      </w:r>
      <w:r>
        <w:t xml:space="preserve">). Los datos se procesaron a través de la hoja de cálculo </w:t>
      </w:r>
      <w:proofErr w:type="spellStart"/>
      <w:r>
        <w:t>excel</w:t>
      </w:r>
      <w:proofErr w:type="spellEnd"/>
      <w:r>
        <w:t xml:space="preserve">, por su amplio uso, que facilita la gestión del registro de los códigos de los indicadores bibliométricos (Anderson et al., 2008; </w:t>
      </w:r>
      <w:proofErr w:type="spellStart"/>
      <w:r>
        <w:t>Klappenbach</w:t>
      </w:r>
      <w:proofErr w:type="spellEnd"/>
      <w:r>
        <w:t xml:space="preserve"> et al., 2022). Los datos se presentan en tablas de frecuencias, porcentajes y de contingencia. Finalmente, los resultados se interpretaron en el contexto del desarrollo de las revistas de psicología a nivel nacional e internacional. </w:t>
      </w:r>
    </w:p>
    <w:p w:rsidR="00067D89" w:rsidRDefault="00A57D41">
      <w:pPr>
        <w:pBdr>
          <w:top w:val="nil"/>
          <w:left w:val="nil"/>
          <w:bottom w:val="nil"/>
          <w:right w:val="nil"/>
          <w:between w:val="nil"/>
        </w:pBdr>
        <w:jc w:val="center"/>
        <w:rPr>
          <w:b/>
          <w:color w:val="000000"/>
        </w:rPr>
      </w:pPr>
      <w:r>
        <w:rPr>
          <w:b/>
          <w:color w:val="000000"/>
        </w:rPr>
        <w:lastRenderedPageBreak/>
        <w:t>Resultados</w:t>
      </w:r>
    </w:p>
    <w:p w:rsidR="00067D89" w:rsidRDefault="00067D89">
      <w:pPr>
        <w:pBdr>
          <w:top w:val="nil"/>
          <w:left w:val="nil"/>
          <w:bottom w:val="nil"/>
          <w:right w:val="nil"/>
          <w:between w:val="nil"/>
        </w:pBdr>
        <w:jc w:val="both"/>
      </w:pPr>
    </w:p>
    <w:p w:rsidR="00067D89" w:rsidRDefault="00A57D41">
      <w:pPr>
        <w:pBdr>
          <w:top w:val="nil"/>
          <w:left w:val="nil"/>
          <w:bottom w:val="nil"/>
          <w:right w:val="nil"/>
          <w:between w:val="nil"/>
        </w:pBdr>
        <w:spacing w:line="360" w:lineRule="auto"/>
        <w:jc w:val="both"/>
      </w:pPr>
      <w:r>
        <w:t>Se analizó los indicadores bibliométricos: 1) Datos de la revista, 2) Periodicidad de la revista, 3) Editor – director 4) Comité editorial, 5) Proceso de publicación, 6) Contenido y 7) Difusión.  De las revistas peruanas de psicología que cuentan con el ISSN. A continuación, se presentan los resultados a través de tablas de frecuencia, tablas dinámicas, tablas de relaciones y gráfico de barras.</w:t>
      </w:r>
    </w:p>
    <w:p w:rsidR="00067D89" w:rsidRDefault="00A57D41">
      <w:pPr>
        <w:rPr>
          <w:i/>
          <w:sz w:val="20"/>
          <w:szCs w:val="20"/>
        </w:rPr>
      </w:pPr>
      <w:r>
        <w:rPr>
          <w:i/>
          <w:sz w:val="20"/>
          <w:szCs w:val="20"/>
        </w:rPr>
        <w:t>Tabla 1</w:t>
      </w:r>
    </w:p>
    <w:p w:rsidR="00067D89" w:rsidRDefault="00A57D41">
      <w:pPr>
        <w:pBdr>
          <w:top w:val="nil"/>
          <w:left w:val="nil"/>
          <w:bottom w:val="nil"/>
          <w:right w:val="nil"/>
          <w:between w:val="nil"/>
        </w:pBdr>
        <w:spacing w:line="360" w:lineRule="auto"/>
        <w:jc w:val="both"/>
      </w:pPr>
      <w:r>
        <w:rPr>
          <w:i/>
          <w:sz w:val="20"/>
          <w:szCs w:val="20"/>
        </w:rPr>
        <w:t>Tasa de acuerdo entre observadores de indicadores bibliométricos</w:t>
      </w:r>
    </w:p>
    <w:tbl>
      <w:tblPr>
        <w:tblStyle w:val="afffffff8"/>
        <w:tblpPr w:leftFromText="141" w:rightFromText="141" w:vertAnchor="page" w:horzAnchor="margin" w:tblpY="4708"/>
        <w:tblW w:w="8926" w:type="dxa"/>
        <w:tblInd w:w="0" w:type="dxa"/>
        <w:tblBorders>
          <w:top w:val="single" w:sz="4" w:space="0" w:color="000000"/>
          <w:bottom w:val="single" w:sz="4" w:space="0" w:color="000000"/>
        </w:tblBorders>
        <w:tblLayout w:type="fixed"/>
        <w:tblLook w:val="0400" w:firstRow="0" w:lastRow="0" w:firstColumn="0" w:lastColumn="0" w:noHBand="0" w:noVBand="1"/>
      </w:tblPr>
      <w:tblGrid>
        <w:gridCol w:w="1696"/>
        <w:gridCol w:w="4259"/>
        <w:gridCol w:w="1240"/>
        <w:gridCol w:w="1731"/>
      </w:tblGrid>
      <w:tr w:rsidR="007164AA" w:rsidTr="007164AA">
        <w:trPr>
          <w:trHeight w:val="288"/>
        </w:trPr>
        <w:tc>
          <w:tcPr>
            <w:tcW w:w="1696" w:type="dxa"/>
            <w:tcBorders>
              <w:bottom w:val="single" w:sz="4" w:space="0" w:color="000000"/>
            </w:tcBorders>
            <w:shd w:val="clear" w:color="auto" w:fill="auto"/>
            <w:vAlign w:val="center"/>
          </w:tcPr>
          <w:p w:rsidR="007164AA" w:rsidRDefault="007164AA" w:rsidP="007164AA">
            <w:pPr>
              <w:jc w:val="center"/>
              <w:rPr>
                <w:color w:val="000000"/>
                <w:sz w:val="20"/>
                <w:szCs w:val="20"/>
              </w:rPr>
            </w:pPr>
            <w:r>
              <w:rPr>
                <w:color w:val="000000"/>
                <w:sz w:val="20"/>
                <w:szCs w:val="20"/>
              </w:rPr>
              <w:t xml:space="preserve">Indicador </w:t>
            </w:r>
          </w:p>
        </w:tc>
        <w:tc>
          <w:tcPr>
            <w:tcW w:w="4259" w:type="dxa"/>
            <w:tcBorders>
              <w:bottom w:val="single" w:sz="4" w:space="0" w:color="000000"/>
            </w:tcBorders>
            <w:shd w:val="clear" w:color="auto" w:fill="auto"/>
            <w:vAlign w:val="center"/>
          </w:tcPr>
          <w:p w:rsidR="007164AA" w:rsidRDefault="007164AA" w:rsidP="007164AA">
            <w:pPr>
              <w:jc w:val="center"/>
              <w:rPr>
                <w:color w:val="000000"/>
                <w:sz w:val="20"/>
                <w:szCs w:val="20"/>
              </w:rPr>
            </w:pPr>
            <w:r>
              <w:rPr>
                <w:color w:val="000000"/>
                <w:sz w:val="20"/>
                <w:szCs w:val="20"/>
              </w:rPr>
              <w:t xml:space="preserve">Característica </w:t>
            </w:r>
          </w:p>
        </w:tc>
        <w:tc>
          <w:tcPr>
            <w:tcW w:w="1240" w:type="dxa"/>
            <w:tcBorders>
              <w:bottom w:val="single" w:sz="4" w:space="0" w:color="000000"/>
            </w:tcBorders>
            <w:shd w:val="clear" w:color="auto" w:fill="auto"/>
            <w:vAlign w:val="center"/>
          </w:tcPr>
          <w:p w:rsidR="007164AA" w:rsidRDefault="007164AA" w:rsidP="007164AA">
            <w:pPr>
              <w:jc w:val="center"/>
              <w:rPr>
                <w:color w:val="000000"/>
                <w:sz w:val="20"/>
                <w:szCs w:val="20"/>
              </w:rPr>
            </w:pPr>
            <w:r>
              <w:rPr>
                <w:color w:val="000000"/>
                <w:sz w:val="20"/>
                <w:szCs w:val="20"/>
              </w:rPr>
              <w:t xml:space="preserve">TA </w:t>
            </w:r>
          </w:p>
        </w:tc>
        <w:tc>
          <w:tcPr>
            <w:tcW w:w="1731" w:type="dxa"/>
            <w:tcBorders>
              <w:bottom w:val="single" w:sz="4" w:space="0" w:color="000000"/>
            </w:tcBorders>
            <w:shd w:val="clear" w:color="auto" w:fill="auto"/>
          </w:tcPr>
          <w:p w:rsidR="007164AA" w:rsidRDefault="007164AA" w:rsidP="007164AA">
            <w:pPr>
              <w:jc w:val="center"/>
              <w:rPr>
                <w:color w:val="000000"/>
                <w:sz w:val="20"/>
                <w:szCs w:val="20"/>
              </w:rPr>
            </w:pPr>
            <w:r>
              <w:rPr>
                <w:color w:val="000000"/>
                <w:sz w:val="20"/>
                <w:szCs w:val="20"/>
              </w:rPr>
              <w:t xml:space="preserve">TA Total </w:t>
            </w:r>
          </w:p>
        </w:tc>
      </w:tr>
      <w:tr w:rsidR="007164AA" w:rsidTr="007164AA">
        <w:trPr>
          <w:trHeight w:val="204"/>
        </w:trPr>
        <w:tc>
          <w:tcPr>
            <w:tcW w:w="1696" w:type="dxa"/>
            <w:vMerge w:val="restart"/>
            <w:tcBorders>
              <w:top w:val="single" w:sz="4" w:space="0" w:color="000000"/>
            </w:tcBorders>
            <w:shd w:val="clear" w:color="auto" w:fill="auto"/>
            <w:vAlign w:val="center"/>
          </w:tcPr>
          <w:p w:rsidR="007164AA" w:rsidRDefault="007164AA" w:rsidP="007164AA">
            <w:pPr>
              <w:jc w:val="center"/>
              <w:rPr>
                <w:color w:val="000000"/>
                <w:sz w:val="20"/>
                <w:szCs w:val="20"/>
              </w:rPr>
            </w:pPr>
            <w:r>
              <w:rPr>
                <w:color w:val="000000"/>
                <w:sz w:val="20"/>
                <w:szCs w:val="20"/>
              </w:rPr>
              <w:t>Datos de la revista</w:t>
            </w:r>
          </w:p>
        </w:tc>
        <w:tc>
          <w:tcPr>
            <w:tcW w:w="4259" w:type="dxa"/>
            <w:tcBorders>
              <w:top w:val="single" w:sz="4" w:space="0" w:color="000000"/>
            </w:tcBorders>
            <w:shd w:val="clear" w:color="auto" w:fill="auto"/>
            <w:vAlign w:val="center"/>
          </w:tcPr>
          <w:p w:rsidR="007164AA" w:rsidRDefault="007164AA" w:rsidP="007164AA">
            <w:pPr>
              <w:rPr>
                <w:color w:val="000000"/>
                <w:sz w:val="20"/>
                <w:szCs w:val="20"/>
              </w:rPr>
            </w:pPr>
            <w:r>
              <w:rPr>
                <w:color w:val="000000"/>
                <w:sz w:val="20"/>
                <w:szCs w:val="20"/>
              </w:rPr>
              <w:t>Institución</w:t>
            </w:r>
          </w:p>
        </w:tc>
        <w:tc>
          <w:tcPr>
            <w:tcW w:w="1240" w:type="dxa"/>
            <w:tcBorders>
              <w:top w:val="single" w:sz="4" w:space="0" w:color="000000"/>
            </w:tcBorders>
            <w:shd w:val="clear" w:color="auto" w:fill="auto"/>
            <w:vAlign w:val="bottom"/>
          </w:tcPr>
          <w:p w:rsidR="007164AA" w:rsidRDefault="007164AA" w:rsidP="007164AA">
            <w:pPr>
              <w:jc w:val="center"/>
              <w:rPr>
                <w:color w:val="000000"/>
                <w:sz w:val="20"/>
                <w:szCs w:val="20"/>
              </w:rPr>
            </w:pPr>
            <w:r>
              <w:rPr>
                <w:color w:val="000000"/>
                <w:sz w:val="20"/>
                <w:szCs w:val="20"/>
              </w:rPr>
              <w:t>1</w:t>
            </w:r>
          </w:p>
        </w:tc>
        <w:tc>
          <w:tcPr>
            <w:tcW w:w="1731" w:type="dxa"/>
            <w:vMerge w:val="restart"/>
            <w:tcBorders>
              <w:top w:val="single" w:sz="4" w:space="0" w:color="000000"/>
            </w:tcBorders>
            <w:shd w:val="clear" w:color="auto" w:fill="auto"/>
          </w:tcPr>
          <w:p w:rsidR="007164AA" w:rsidRDefault="007164AA" w:rsidP="007164AA">
            <w:pPr>
              <w:jc w:val="center"/>
              <w:rPr>
                <w:color w:val="000000"/>
                <w:sz w:val="20"/>
                <w:szCs w:val="20"/>
              </w:rPr>
            </w:pPr>
          </w:p>
          <w:p w:rsidR="007164AA" w:rsidRDefault="007164AA" w:rsidP="007164AA">
            <w:pPr>
              <w:jc w:val="center"/>
              <w:rPr>
                <w:color w:val="000000"/>
                <w:sz w:val="20"/>
                <w:szCs w:val="20"/>
              </w:rPr>
            </w:pPr>
            <w:r>
              <w:rPr>
                <w:color w:val="000000"/>
                <w:sz w:val="20"/>
                <w:szCs w:val="20"/>
              </w:rPr>
              <w:t>.95</w:t>
            </w:r>
          </w:p>
        </w:tc>
      </w:tr>
      <w:tr w:rsidR="007164AA" w:rsidTr="007164AA">
        <w:trPr>
          <w:trHeight w:val="221"/>
        </w:trPr>
        <w:tc>
          <w:tcPr>
            <w:tcW w:w="1696" w:type="dxa"/>
            <w:vMerge/>
            <w:tcBorders>
              <w:top w:val="single" w:sz="4" w:space="0" w:color="000000"/>
            </w:tcBorders>
            <w:shd w:val="clear" w:color="auto" w:fill="auto"/>
            <w:vAlign w:val="center"/>
          </w:tcPr>
          <w:p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rsidR="007164AA" w:rsidRDefault="007164AA" w:rsidP="007164AA">
            <w:pPr>
              <w:rPr>
                <w:color w:val="000000"/>
                <w:sz w:val="20"/>
                <w:szCs w:val="20"/>
              </w:rPr>
            </w:pPr>
            <w:r>
              <w:rPr>
                <w:color w:val="000000"/>
                <w:sz w:val="20"/>
                <w:szCs w:val="20"/>
              </w:rPr>
              <w:t>Lugar de edición</w:t>
            </w:r>
          </w:p>
        </w:tc>
        <w:tc>
          <w:tcPr>
            <w:tcW w:w="1240" w:type="dxa"/>
            <w:shd w:val="clear" w:color="auto" w:fill="auto"/>
            <w:vAlign w:val="bottom"/>
          </w:tcPr>
          <w:p w:rsidR="007164AA" w:rsidRDefault="007164AA" w:rsidP="007164AA">
            <w:pPr>
              <w:jc w:val="center"/>
              <w:rPr>
                <w:color w:val="000000"/>
                <w:sz w:val="20"/>
                <w:szCs w:val="20"/>
              </w:rPr>
            </w:pPr>
            <w:r>
              <w:rPr>
                <w:color w:val="000000"/>
                <w:sz w:val="20"/>
                <w:szCs w:val="20"/>
              </w:rPr>
              <w:t>.97</w:t>
            </w:r>
          </w:p>
        </w:tc>
        <w:tc>
          <w:tcPr>
            <w:tcW w:w="1731" w:type="dxa"/>
            <w:vMerge/>
            <w:tcBorders>
              <w:top w:val="single" w:sz="4" w:space="0" w:color="000000"/>
            </w:tcBorders>
            <w:shd w:val="clear" w:color="auto" w:fill="auto"/>
          </w:tcPr>
          <w:p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rsidTr="007164AA">
        <w:trPr>
          <w:trHeight w:val="254"/>
        </w:trPr>
        <w:tc>
          <w:tcPr>
            <w:tcW w:w="1696" w:type="dxa"/>
            <w:vMerge/>
            <w:tcBorders>
              <w:top w:val="single" w:sz="4" w:space="0" w:color="000000"/>
            </w:tcBorders>
            <w:shd w:val="clear" w:color="auto" w:fill="auto"/>
            <w:vAlign w:val="center"/>
          </w:tcPr>
          <w:p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tcBorders>
              <w:bottom w:val="single" w:sz="4" w:space="0" w:color="000000"/>
            </w:tcBorders>
            <w:shd w:val="clear" w:color="auto" w:fill="auto"/>
            <w:vAlign w:val="center"/>
          </w:tcPr>
          <w:p w:rsidR="007164AA" w:rsidRDefault="007164AA" w:rsidP="007164AA">
            <w:pPr>
              <w:rPr>
                <w:color w:val="000000"/>
                <w:sz w:val="20"/>
                <w:szCs w:val="20"/>
              </w:rPr>
            </w:pPr>
            <w:r>
              <w:rPr>
                <w:color w:val="000000"/>
                <w:sz w:val="20"/>
                <w:szCs w:val="20"/>
              </w:rPr>
              <w:t>Financiamiento</w:t>
            </w:r>
          </w:p>
        </w:tc>
        <w:tc>
          <w:tcPr>
            <w:tcW w:w="1240" w:type="dxa"/>
            <w:tcBorders>
              <w:bottom w:val="single" w:sz="4" w:space="0" w:color="000000"/>
            </w:tcBorders>
            <w:shd w:val="clear" w:color="auto" w:fill="auto"/>
            <w:vAlign w:val="center"/>
          </w:tcPr>
          <w:p w:rsidR="007164AA" w:rsidRDefault="007164AA" w:rsidP="007164AA">
            <w:pPr>
              <w:jc w:val="center"/>
              <w:rPr>
                <w:color w:val="000000"/>
                <w:sz w:val="20"/>
                <w:szCs w:val="20"/>
              </w:rPr>
            </w:pPr>
            <w:r>
              <w:rPr>
                <w:color w:val="000000"/>
                <w:sz w:val="20"/>
                <w:szCs w:val="20"/>
              </w:rPr>
              <w:t>.87</w:t>
            </w:r>
          </w:p>
        </w:tc>
        <w:tc>
          <w:tcPr>
            <w:tcW w:w="1731" w:type="dxa"/>
            <w:vMerge/>
            <w:tcBorders>
              <w:top w:val="single" w:sz="4" w:space="0" w:color="000000"/>
            </w:tcBorders>
            <w:shd w:val="clear" w:color="auto" w:fill="auto"/>
          </w:tcPr>
          <w:p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rsidTr="007164AA">
        <w:trPr>
          <w:trHeight w:val="288"/>
        </w:trPr>
        <w:tc>
          <w:tcPr>
            <w:tcW w:w="1696" w:type="dxa"/>
            <w:vMerge w:val="restart"/>
            <w:tcBorders>
              <w:top w:val="single" w:sz="4" w:space="0" w:color="000000"/>
            </w:tcBorders>
            <w:shd w:val="clear" w:color="auto" w:fill="auto"/>
            <w:vAlign w:val="center"/>
          </w:tcPr>
          <w:p w:rsidR="007164AA" w:rsidRDefault="007164AA" w:rsidP="007164AA">
            <w:pPr>
              <w:jc w:val="center"/>
              <w:rPr>
                <w:color w:val="000000"/>
                <w:sz w:val="20"/>
                <w:szCs w:val="20"/>
              </w:rPr>
            </w:pPr>
            <w:r>
              <w:rPr>
                <w:color w:val="000000"/>
                <w:sz w:val="20"/>
                <w:szCs w:val="20"/>
              </w:rPr>
              <w:t>Periodicidad de la revista</w:t>
            </w:r>
          </w:p>
        </w:tc>
        <w:tc>
          <w:tcPr>
            <w:tcW w:w="4259" w:type="dxa"/>
            <w:tcBorders>
              <w:top w:val="single" w:sz="4" w:space="0" w:color="000000"/>
            </w:tcBorders>
            <w:shd w:val="clear" w:color="auto" w:fill="auto"/>
            <w:vAlign w:val="center"/>
          </w:tcPr>
          <w:p w:rsidR="007164AA" w:rsidRDefault="007164AA" w:rsidP="007164AA">
            <w:pPr>
              <w:rPr>
                <w:color w:val="000000"/>
                <w:sz w:val="20"/>
                <w:szCs w:val="20"/>
              </w:rPr>
            </w:pPr>
            <w:r>
              <w:rPr>
                <w:color w:val="000000"/>
                <w:sz w:val="20"/>
                <w:szCs w:val="20"/>
              </w:rPr>
              <w:t>Año de inicio</w:t>
            </w:r>
          </w:p>
        </w:tc>
        <w:tc>
          <w:tcPr>
            <w:tcW w:w="1240" w:type="dxa"/>
            <w:tcBorders>
              <w:top w:val="single" w:sz="4" w:space="0" w:color="000000"/>
            </w:tcBorders>
            <w:shd w:val="clear" w:color="auto" w:fill="auto"/>
            <w:vAlign w:val="bottom"/>
          </w:tcPr>
          <w:p w:rsidR="007164AA" w:rsidRDefault="007164AA" w:rsidP="007164AA">
            <w:pPr>
              <w:jc w:val="center"/>
              <w:rPr>
                <w:color w:val="000000"/>
                <w:sz w:val="20"/>
                <w:szCs w:val="20"/>
              </w:rPr>
            </w:pPr>
            <w:r>
              <w:rPr>
                <w:color w:val="000000"/>
                <w:sz w:val="20"/>
                <w:szCs w:val="20"/>
              </w:rPr>
              <w:t>.97</w:t>
            </w:r>
          </w:p>
        </w:tc>
        <w:tc>
          <w:tcPr>
            <w:tcW w:w="1731" w:type="dxa"/>
            <w:vMerge w:val="restart"/>
            <w:tcBorders>
              <w:top w:val="single" w:sz="4" w:space="0" w:color="000000"/>
            </w:tcBorders>
            <w:shd w:val="clear" w:color="auto" w:fill="auto"/>
          </w:tcPr>
          <w:p w:rsidR="007164AA" w:rsidRDefault="007164AA" w:rsidP="007164AA">
            <w:pPr>
              <w:jc w:val="center"/>
              <w:rPr>
                <w:color w:val="000000"/>
                <w:sz w:val="20"/>
                <w:szCs w:val="20"/>
              </w:rPr>
            </w:pPr>
          </w:p>
          <w:p w:rsidR="007164AA" w:rsidRDefault="007164AA" w:rsidP="007164AA">
            <w:pPr>
              <w:jc w:val="center"/>
              <w:rPr>
                <w:color w:val="000000"/>
                <w:sz w:val="20"/>
                <w:szCs w:val="20"/>
              </w:rPr>
            </w:pPr>
          </w:p>
          <w:p w:rsidR="007164AA" w:rsidRDefault="007164AA" w:rsidP="007164AA">
            <w:pPr>
              <w:jc w:val="center"/>
              <w:rPr>
                <w:color w:val="000000"/>
                <w:sz w:val="20"/>
                <w:szCs w:val="20"/>
              </w:rPr>
            </w:pPr>
            <w:r>
              <w:rPr>
                <w:color w:val="000000"/>
                <w:sz w:val="20"/>
                <w:szCs w:val="20"/>
              </w:rPr>
              <w:t>.92</w:t>
            </w:r>
          </w:p>
        </w:tc>
      </w:tr>
      <w:tr w:rsidR="007164AA" w:rsidTr="007164AA">
        <w:trPr>
          <w:trHeight w:val="262"/>
        </w:trPr>
        <w:tc>
          <w:tcPr>
            <w:tcW w:w="1696" w:type="dxa"/>
            <w:vMerge/>
            <w:tcBorders>
              <w:top w:val="single" w:sz="4" w:space="0" w:color="000000"/>
            </w:tcBorders>
            <w:shd w:val="clear" w:color="auto" w:fill="auto"/>
            <w:vAlign w:val="center"/>
          </w:tcPr>
          <w:p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rsidR="007164AA" w:rsidRDefault="007164AA" w:rsidP="007164AA">
            <w:pPr>
              <w:rPr>
                <w:color w:val="000000"/>
                <w:sz w:val="20"/>
                <w:szCs w:val="20"/>
              </w:rPr>
            </w:pPr>
            <w:r>
              <w:rPr>
                <w:color w:val="000000"/>
                <w:sz w:val="20"/>
                <w:szCs w:val="20"/>
              </w:rPr>
              <w:t>Periodicidad</w:t>
            </w:r>
          </w:p>
        </w:tc>
        <w:tc>
          <w:tcPr>
            <w:tcW w:w="1240" w:type="dxa"/>
            <w:shd w:val="clear" w:color="auto" w:fill="auto"/>
            <w:vAlign w:val="bottom"/>
          </w:tcPr>
          <w:p w:rsidR="007164AA" w:rsidRDefault="007164AA" w:rsidP="007164AA">
            <w:pPr>
              <w:jc w:val="center"/>
              <w:rPr>
                <w:color w:val="000000"/>
                <w:sz w:val="20"/>
                <w:szCs w:val="20"/>
              </w:rPr>
            </w:pPr>
            <w:r>
              <w:rPr>
                <w:color w:val="000000"/>
                <w:sz w:val="20"/>
                <w:szCs w:val="20"/>
              </w:rPr>
              <w:t>.87</w:t>
            </w:r>
          </w:p>
        </w:tc>
        <w:tc>
          <w:tcPr>
            <w:tcW w:w="1731" w:type="dxa"/>
            <w:vMerge/>
            <w:tcBorders>
              <w:top w:val="single" w:sz="4" w:space="0" w:color="000000"/>
            </w:tcBorders>
            <w:shd w:val="clear" w:color="auto" w:fill="auto"/>
          </w:tcPr>
          <w:p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rsidTr="007164AA">
        <w:trPr>
          <w:trHeight w:val="265"/>
        </w:trPr>
        <w:tc>
          <w:tcPr>
            <w:tcW w:w="1696" w:type="dxa"/>
            <w:vMerge/>
            <w:tcBorders>
              <w:top w:val="single" w:sz="4" w:space="0" w:color="000000"/>
            </w:tcBorders>
            <w:shd w:val="clear" w:color="auto" w:fill="auto"/>
            <w:vAlign w:val="center"/>
          </w:tcPr>
          <w:p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rsidR="007164AA" w:rsidRDefault="007164AA" w:rsidP="007164AA">
            <w:pPr>
              <w:rPr>
                <w:color w:val="000000"/>
                <w:sz w:val="20"/>
                <w:szCs w:val="20"/>
              </w:rPr>
            </w:pPr>
            <w:r>
              <w:rPr>
                <w:color w:val="000000"/>
                <w:sz w:val="20"/>
                <w:szCs w:val="20"/>
              </w:rPr>
              <w:t>Tuvieron algún paro</w:t>
            </w:r>
          </w:p>
        </w:tc>
        <w:tc>
          <w:tcPr>
            <w:tcW w:w="1240" w:type="dxa"/>
            <w:shd w:val="clear" w:color="auto" w:fill="auto"/>
            <w:vAlign w:val="bottom"/>
          </w:tcPr>
          <w:p w:rsidR="007164AA" w:rsidRDefault="007164AA" w:rsidP="007164AA">
            <w:pPr>
              <w:jc w:val="center"/>
              <w:rPr>
                <w:color w:val="000000"/>
                <w:sz w:val="20"/>
                <w:szCs w:val="20"/>
              </w:rPr>
            </w:pPr>
            <w:r>
              <w:rPr>
                <w:color w:val="000000"/>
                <w:sz w:val="20"/>
                <w:szCs w:val="20"/>
              </w:rPr>
              <w:t>.88</w:t>
            </w:r>
          </w:p>
        </w:tc>
        <w:tc>
          <w:tcPr>
            <w:tcW w:w="1731" w:type="dxa"/>
            <w:vMerge/>
            <w:tcBorders>
              <w:top w:val="single" w:sz="4" w:space="0" w:color="000000"/>
            </w:tcBorders>
            <w:shd w:val="clear" w:color="auto" w:fill="auto"/>
          </w:tcPr>
          <w:p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rsidTr="007164AA">
        <w:trPr>
          <w:trHeight w:val="284"/>
        </w:trPr>
        <w:tc>
          <w:tcPr>
            <w:tcW w:w="1696" w:type="dxa"/>
            <w:vMerge/>
            <w:tcBorders>
              <w:top w:val="single" w:sz="4" w:space="0" w:color="000000"/>
            </w:tcBorders>
            <w:shd w:val="clear" w:color="auto" w:fill="auto"/>
            <w:vAlign w:val="center"/>
          </w:tcPr>
          <w:p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rsidR="007164AA" w:rsidRDefault="007164AA" w:rsidP="007164AA">
            <w:pPr>
              <w:rPr>
                <w:color w:val="000000"/>
                <w:sz w:val="20"/>
                <w:szCs w:val="20"/>
              </w:rPr>
            </w:pPr>
            <w:r>
              <w:rPr>
                <w:color w:val="000000"/>
                <w:sz w:val="20"/>
                <w:szCs w:val="20"/>
              </w:rPr>
              <w:t>Vigencia</w:t>
            </w:r>
          </w:p>
        </w:tc>
        <w:tc>
          <w:tcPr>
            <w:tcW w:w="1240" w:type="dxa"/>
            <w:shd w:val="clear" w:color="auto" w:fill="auto"/>
            <w:vAlign w:val="bottom"/>
          </w:tcPr>
          <w:p w:rsidR="007164AA" w:rsidRDefault="007164AA" w:rsidP="007164AA">
            <w:pPr>
              <w:jc w:val="center"/>
              <w:rPr>
                <w:color w:val="000000"/>
                <w:sz w:val="20"/>
                <w:szCs w:val="20"/>
              </w:rPr>
            </w:pPr>
            <w:r>
              <w:rPr>
                <w:color w:val="000000"/>
                <w:sz w:val="20"/>
                <w:szCs w:val="20"/>
              </w:rPr>
              <w:t>.97</w:t>
            </w:r>
          </w:p>
        </w:tc>
        <w:tc>
          <w:tcPr>
            <w:tcW w:w="1731" w:type="dxa"/>
            <w:vMerge/>
            <w:tcBorders>
              <w:top w:val="single" w:sz="4" w:space="0" w:color="000000"/>
            </w:tcBorders>
            <w:shd w:val="clear" w:color="auto" w:fill="auto"/>
          </w:tcPr>
          <w:p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rsidTr="007164AA">
        <w:trPr>
          <w:trHeight w:val="273"/>
        </w:trPr>
        <w:tc>
          <w:tcPr>
            <w:tcW w:w="1696" w:type="dxa"/>
            <w:vMerge w:val="restart"/>
            <w:tcBorders>
              <w:top w:val="single" w:sz="4" w:space="0" w:color="000000"/>
            </w:tcBorders>
            <w:shd w:val="clear" w:color="auto" w:fill="auto"/>
            <w:vAlign w:val="center"/>
          </w:tcPr>
          <w:p w:rsidR="007164AA" w:rsidRDefault="007164AA" w:rsidP="007164AA">
            <w:pPr>
              <w:jc w:val="center"/>
              <w:rPr>
                <w:color w:val="000000"/>
                <w:sz w:val="20"/>
                <w:szCs w:val="20"/>
              </w:rPr>
            </w:pPr>
            <w:r>
              <w:rPr>
                <w:color w:val="000000"/>
                <w:sz w:val="20"/>
                <w:szCs w:val="20"/>
              </w:rPr>
              <w:t xml:space="preserve">Editor-director </w:t>
            </w:r>
          </w:p>
        </w:tc>
        <w:tc>
          <w:tcPr>
            <w:tcW w:w="4259" w:type="dxa"/>
            <w:tcBorders>
              <w:top w:val="single" w:sz="4" w:space="0" w:color="000000"/>
            </w:tcBorders>
            <w:shd w:val="clear" w:color="auto" w:fill="auto"/>
            <w:vAlign w:val="center"/>
          </w:tcPr>
          <w:p w:rsidR="007164AA" w:rsidRDefault="007164AA" w:rsidP="007164AA">
            <w:pPr>
              <w:rPr>
                <w:color w:val="000000"/>
                <w:sz w:val="20"/>
                <w:szCs w:val="20"/>
              </w:rPr>
            </w:pPr>
            <w:r>
              <w:rPr>
                <w:color w:val="000000"/>
                <w:sz w:val="20"/>
                <w:szCs w:val="20"/>
              </w:rPr>
              <w:t xml:space="preserve">Cuenta con editor (E) - director (D) </w:t>
            </w:r>
          </w:p>
        </w:tc>
        <w:tc>
          <w:tcPr>
            <w:tcW w:w="1240" w:type="dxa"/>
            <w:tcBorders>
              <w:top w:val="single" w:sz="4" w:space="0" w:color="000000"/>
            </w:tcBorders>
            <w:shd w:val="clear" w:color="auto" w:fill="auto"/>
            <w:vAlign w:val="bottom"/>
          </w:tcPr>
          <w:p w:rsidR="007164AA" w:rsidRDefault="007164AA" w:rsidP="007164AA">
            <w:pPr>
              <w:jc w:val="center"/>
              <w:rPr>
                <w:color w:val="000000"/>
                <w:sz w:val="20"/>
                <w:szCs w:val="20"/>
              </w:rPr>
            </w:pPr>
            <w:r>
              <w:rPr>
                <w:color w:val="000000"/>
                <w:sz w:val="20"/>
                <w:szCs w:val="20"/>
              </w:rPr>
              <w:t>1</w:t>
            </w:r>
          </w:p>
        </w:tc>
        <w:tc>
          <w:tcPr>
            <w:tcW w:w="1731" w:type="dxa"/>
            <w:vMerge w:val="restart"/>
            <w:tcBorders>
              <w:top w:val="single" w:sz="4" w:space="0" w:color="000000"/>
            </w:tcBorders>
            <w:shd w:val="clear" w:color="auto" w:fill="auto"/>
          </w:tcPr>
          <w:p w:rsidR="007164AA" w:rsidRDefault="007164AA" w:rsidP="007164AA">
            <w:pPr>
              <w:jc w:val="center"/>
              <w:rPr>
                <w:color w:val="000000"/>
                <w:sz w:val="20"/>
                <w:szCs w:val="20"/>
              </w:rPr>
            </w:pPr>
          </w:p>
          <w:p w:rsidR="007164AA" w:rsidRDefault="007164AA" w:rsidP="007164AA">
            <w:pPr>
              <w:jc w:val="center"/>
              <w:rPr>
                <w:color w:val="000000"/>
                <w:sz w:val="20"/>
                <w:szCs w:val="20"/>
              </w:rPr>
            </w:pPr>
            <w:r>
              <w:rPr>
                <w:color w:val="000000"/>
                <w:sz w:val="20"/>
                <w:szCs w:val="20"/>
              </w:rPr>
              <w:t>.98</w:t>
            </w:r>
          </w:p>
        </w:tc>
      </w:tr>
      <w:tr w:rsidR="007164AA" w:rsidTr="007164AA">
        <w:trPr>
          <w:trHeight w:val="264"/>
        </w:trPr>
        <w:tc>
          <w:tcPr>
            <w:tcW w:w="1696" w:type="dxa"/>
            <w:vMerge/>
            <w:tcBorders>
              <w:top w:val="single" w:sz="4" w:space="0" w:color="000000"/>
            </w:tcBorders>
            <w:shd w:val="clear" w:color="auto" w:fill="auto"/>
            <w:vAlign w:val="center"/>
          </w:tcPr>
          <w:p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rsidR="007164AA" w:rsidRDefault="007164AA" w:rsidP="007164AA">
            <w:pPr>
              <w:rPr>
                <w:color w:val="000000"/>
                <w:sz w:val="20"/>
                <w:szCs w:val="20"/>
              </w:rPr>
            </w:pPr>
            <w:r>
              <w:rPr>
                <w:color w:val="000000"/>
                <w:sz w:val="20"/>
                <w:szCs w:val="20"/>
              </w:rPr>
              <w:t>Género del editor (E) - director (D)</w:t>
            </w:r>
          </w:p>
        </w:tc>
        <w:tc>
          <w:tcPr>
            <w:tcW w:w="1240" w:type="dxa"/>
            <w:shd w:val="clear" w:color="auto" w:fill="auto"/>
            <w:vAlign w:val="bottom"/>
          </w:tcPr>
          <w:p w:rsidR="007164AA" w:rsidRDefault="007164AA" w:rsidP="007164AA">
            <w:pPr>
              <w:jc w:val="center"/>
              <w:rPr>
                <w:color w:val="000000"/>
                <w:sz w:val="20"/>
                <w:szCs w:val="20"/>
              </w:rPr>
            </w:pPr>
            <w:r>
              <w:rPr>
                <w:color w:val="000000"/>
                <w:sz w:val="20"/>
                <w:szCs w:val="20"/>
              </w:rPr>
              <w:t>.95</w:t>
            </w:r>
          </w:p>
        </w:tc>
        <w:tc>
          <w:tcPr>
            <w:tcW w:w="1731" w:type="dxa"/>
            <w:vMerge/>
            <w:tcBorders>
              <w:top w:val="single" w:sz="4" w:space="0" w:color="000000"/>
            </w:tcBorders>
            <w:shd w:val="clear" w:color="auto" w:fill="auto"/>
          </w:tcPr>
          <w:p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rsidTr="007164AA">
        <w:trPr>
          <w:trHeight w:val="288"/>
        </w:trPr>
        <w:tc>
          <w:tcPr>
            <w:tcW w:w="1696" w:type="dxa"/>
            <w:vMerge/>
            <w:tcBorders>
              <w:top w:val="single" w:sz="4" w:space="0" w:color="000000"/>
            </w:tcBorders>
            <w:shd w:val="clear" w:color="auto" w:fill="auto"/>
            <w:vAlign w:val="center"/>
          </w:tcPr>
          <w:p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rsidR="007164AA" w:rsidRDefault="007164AA" w:rsidP="007164AA">
            <w:pPr>
              <w:rPr>
                <w:color w:val="000000"/>
                <w:sz w:val="20"/>
                <w:szCs w:val="20"/>
              </w:rPr>
            </w:pPr>
            <w:r>
              <w:rPr>
                <w:color w:val="000000"/>
                <w:sz w:val="20"/>
                <w:szCs w:val="20"/>
              </w:rPr>
              <w:t>Nacionalidad del editor (E) - director (D)</w:t>
            </w:r>
          </w:p>
        </w:tc>
        <w:tc>
          <w:tcPr>
            <w:tcW w:w="1240" w:type="dxa"/>
            <w:shd w:val="clear" w:color="auto" w:fill="auto"/>
            <w:vAlign w:val="bottom"/>
          </w:tcPr>
          <w:p w:rsidR="007164AA" w:rsidRDefault="007164AA" w:rsidP="007164AA">
            <w:pPr>
              <w:jc w:val="center"/>
              <w:rPr>
                <w:color w:val="000000"/>
                <w:sz w:val="20"/>
                <w:szCs w:val="20"/>
              </w:rPr>
            </w:pPr>
            <w:r>
              <w:rPr>
                <w:color w:val="000000"/>
                <w:sz w:val="20"/>
                <w:szCs w:val="20"/>
              </w:rPr>
              <w:t>.98</w:t>
            </w:r>
          </w:p>
        </w:tc>
        <w:tc>
          <w:tcPr>
            <w:tcW w:w="1731" w:type="dxa"/>
            <w:vMerge/>
            <w:tcBorders>
              <w:top w:val="single" w:sz="4" w:space="0" w:color="000000"/>
            </w:tcBorders>
            <w:shd w:val="clear" w:color="auto" w:fill="auto"/>
          </w:tcPr>
          <w:p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rsidTr="007164AA">
        <w:trPr>
          <w:trHeight w:val="258"/>
        </w:trPr>
        <w:tc>
          <w:tcPr>
            <w:tcW w:w="1696" w:type="dxa"/>
            <w:vMerge w:val="restart"/>
            <w:tcBorders>
              <w:top w:val="single" w:sz="4" w:space="0" w:color="000000"/>
            </w:tcBorders>
            <w:shd w:val="clear" w:color="auto" w:fill="auto"/>
            <w:vAlign w:val="center"/>
          </w:tcPr>
          <w:p w:rsidR="007164AA" w:rsidRDefault="007164AA" w:rsidP="007164AA">
            <w:pPr>
              <w:jc w:val="center"/>
              <w:rPr>
                <w:color w:val="000000"/>
                <w:sz w:val="20"/>
                <w:szCs w:val="20"/>
              </w:rPr>
            </w:pPr>
            <w:r>
              <w:rPr>
                <w:color w:val="000000"/>
                <w:sz w:val="20"/>
                <w:szCs w:val="20"/>
              </w:rPr>
              <w:t>Comité editorial</w:t>
            </w:r>
          </w:p>
        </w:tc>
        <w:tc>
          <w:tcPr>
            <w:tcW w:w="4259" w:type="dxa"/>
            <w:tcBorders>
              <w:top w:val="single" w:sz="4" w:space="0" w:color="000000"/>
            </w:tcBorders>
            <w:shd w:val="clear" w:color="auto" w:fill="auto"/>
            <w:vAlign w:val="center"/>
          </w:tcPr>
          <w:p w:rsidR="007164AA" w:rsidRDefault="007164AA" w:rsidP="007164AA">
            <w:pPr>
              <w:rPr>
                <w:color w:val="000000"/>
                <w:sz w:val="20"/>
                <w:szCs w:val="20"/>
              </w:rPr>
            </w:pPr>
            <w:r>
              <w:rPr>
                <w:color w:val="000000"/>
                <w:sz w:val="20"/>
                <w:szCs w:val="20"/>
              </w:rPr>
              <w:t xml:space="preserve">Cuenta con comité de editorial </w:t>
            </w:r>
          </w:p>
        </w:tc>
        <w:tc>
          <w:tcPr>
            <w:tcW w:w="1240" w:type="dxa"/>
            <w:tcBorders>
              <w:top w:val="single" w:sz="4" w:space="0" w:color="000000"/>
            </w:tcBorders>
            <w:shd w:val="clear" w:color="auto" w:fill="auto"/>
            <w:vAlign w:val="bottom"/>
          </w:tcPr>
          <w:p w:rsidR="007164AA" w:rsidRDefault="007164AA" w:rsidP="007164AA">
            <w:pPr>
              <w:jc w:val="center"/>
              <w:rPr>
                <w:color w:val="000000"/>
                <w:sz w:val="20"/>
                <w:szCs w:val="20"/>
              </w:rPr>
            </w:pPr>
            <w:r>
              <w:rPr>
                <w:color w:val="000000"/>
                <w:sz w:val="20"/>
                <w:szCs w:val="20"/>
              </w:rPr>
              <w:t>.98</w:t>
            </w:r>
          </w:p>
        </w:tc>
        <w:tc>
          <w:tcPr>
            <w:tcW w:w="1731" w:type="dxa"/>
            <w:vMerge w:val="restart"/>
            <w:tcBorders>
              <w:top w:val="single" w:sz="4" w:space="0" w:color="000000"/>
            </w:tcBorders>
            <w:shd w:val="clear" w:color="auto" w:fill="auto"/>
          </w:tcPr>
          <w:p w:rsidR="007164AA" w:rsidRDefault="007164AA" w:rsidP="007164AA">
            <w:pPr>
              <w:jc w:val="center"/>
              <w:rPr>
                <w:color w:val="000000"/>
                <w:sz w:val="20"/>
                <w:szCs w:val="20"/>
              </w:rPr>
            </w:pPr>
          </w:p>
          <w:p w:rsidR="007164AA" w:rsidRDefault="007164AA" w:rsidP="007164AA">
            <w:pPr>
              <w:jc w:val="center"/>
              <w:rPr>
                <w:color w:val="000000"/>
                <w:sz w:val="20"/>
                <w:szCs w:val="20"/>
              </w:rPr>
            </w:pPr>
          </w:p>
          <w:p w:rsidR="007164AA" w:rsidRDefault="007164AA" w:rsidP="007164AA">
            <w:pPr>
              <w:jc w:val="center"/>
              <w:rPr>
                <w:color w:val="000000"/>
                <w:sz w:val="20"/>
                <w:szCs w:val="20"/>
              </w:rPr>
            </w:pPr>
          </w:p>
          <w:p w:rsidR="007164AA" w:rsidRDefault="007164AA" w:rsidP="007164AA">
            <w:pPr>
              <w:jc w:val="center"/>
              <w:rPr>
                <w:color w:val="000000"/>
                <w:sz w:val="20"/>
                <w:szCs w:val="20"/>
              </w:rPr>
            </w:pPr>
            <w:r>
              <w:rPr>
                <w:color w:val="000000"/>
                <w:sz w:val="20"/>
                <w:szCs w:val="20"/>
              </w:rPr>
              <w:t>.90</w:t>
            </w:r>
          </w:p>
        </w:tc>
      </w:tr>
      <w:tr w:rsidR="007164AA" w:rsidTr="007164AA">
        <w:trPr>
          <w:trHeight w:val="288"/>
        </w:trPr>
        <w:tc>
          <w:tcPr>
            <w:tcW w:w="1696" w:type="dxa"/>
            <w:vMerge/>
            <w:tcBorders>
              <w:top w:val="single" w:sz="4" w:space="0" w:color="000000"/>
            </w:tcBorders>
            <w:shd w:val="clear" w:color="auto" w:fill="auto"/>
            <w:vAlign w:val="center"/>
          </w:tcPr>
          <w:p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rsidR="007164AA" w:rsidRDefault="007164AA" w:rsidP="007164AA">
            <w:pPr>
              <w:rPr>
                <w:color w:val="000000"/>
                <w:sz w:val="20"/>
                <w:szCs w:val="20"/>
              </w:rPr>
            </w:pPr>
            <w:r>
              <w:rPr>
                <w:color w:val="000000"/>
                <w:sz w:val="20"/>
                <w:szCs w:val="20"/>
              </w:rPr>
              <w:t xml:space="preserve">Cantidad del comité de editorial </w:t>
            </w:r>
          </w:p>
        </w:tc>
        <w:tc>
          <w:tcPr>
            <w:tcW w:w="1240" w:type="dxa"/>
            <w:shd w:val="clear" w:color="auto" w:fill="auto"/>
            <w:vAlign w:val="bottom"/>
          </w:tcPr>
          <w:p w:rsidR="007164AA" w:rsidRDefault="007164AA" w:rsidP="007164AA">
            <w:pPr>
              <w:jc w:val="center"/>
              <w:rPr>
                <w:color w:val="000000"/>
                <w:sz w:val="20"/>
                <w:szCs w:val="20"/>
              </w:rPr>
            </w:pPr>
            <w:r>
              <w:rPr>
                <w:color w:val="000000"/>
                <w:sz w:val="20"/>
                <w:szCs w:val="20"/>
              </w:rPr>
              <w:t>.97</w:t>
            </w:r>
          </w:p>
        </w:tc>
        <w:tc>
          <w:tcPr>
            <w:tcW w:w="1731" w:type="dxa"/>
            <w:vMerge/>
            <w:tcBorders>
              <w:top w:val="single" w:sz="4" w:space="0" w:color="000000"/>
            </w:tcBorders>
            <w:shd w:val="clear" w:color="auto" w:fill="auto"/>
          </w:tcPr>
          <w:p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rsidTr="007164AA">
        <w:trPr>
          <w:trHeight w:val="266"/>
        </w:trPr>
        <w:tc>
          <w:tcPr>
            <w:tcW w:w="1696" w:type="dxa"/>
            <w:vMerge/>
            <w:tcBorders>
              <w:top w:val="single" w:sz="4" w:space="0" w:color="000000"/>
            </w:tcBorders>
            <w:shd w:val="clear" w:color="auto" w:fill="auto"/>
            <w:vAlign w:val="center"/>
          </w:tcPr>
          <w:p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rsidR="007164AA" w:rsidRDefault="007164AA" w:rsidP="007164AA">
            <w:pPr>
              <w:rPr>
                <w:color w:val="000000"/>
                <w:sz w:val="20"/>
                <w:szCs w:val="20"/>
              </w:rPr>
            </w:pPr>
            <w:r>
              <w:rPr>
                <w:color w:val="000000"/>
                <w:sz w:val="20"/>
                <w:szCs w:val="20"/>
              </w:rPr>
              <w:t xml:space="preserve">Género del comité de editorial </w:t>
            </w:r>
          </w:p>
        </w:tc>
        <w:tc>
          <w:tcPr>
            <w:tcW w:w="1240" w:type="dxa"/>
            <w:shd w:val="clear" w:color="auto" w:fill="auto"/>
            <w:vAlign w:val="bottom"/>
          </w:tcPr>
          <w:p w:rsidR="007164AA" w:rsidRDefault="007164AA" w:rsidP="007164AA">
            <w:pPr>
              <w:jc w:val="center"/>
              <w:rPr>
                <w:color w:val="000000"/>
                <w:sz w:val="20"/>
                <w:szCs w:val="20"/>
              </w:rPr>
            </w:pPr>
            <w:r>
              <w:rPr>
                <w:color w:val="000000"/>
                <w:sz w:val="20"/>
                <w:szCs w:val="20"/>
              </w:rPr>
              <w:t>.87</w:t>
            </w:r>
          </w:p>
        </w:tc>
        <w:tc>
          <w:tcPr>
            <w:tcW w:w="1731" w:type="dxa"/>
            <w:vMerge/>
            <w:tcBorders>
              <w:top w:val="single" w:sz="4" w:space="0" w:color="000000"/>
            </w:tcBorders>
            <w:shd w:val="clear" w:color="auto" w:fill="auto"/>
          </w:tcPr>
          <w:p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rsidTr="007164AA">
        <w:trPr>
          <w:trHeight w:val="197"/>
        </w:trPr>
        <w:tc>
          <w:tcPr>
            <w:tcW w:w="1696" w:type="dxa"/>
            <w:vMerge/>
            <w:tcBorders>
              <w:top w:val="single" w:sz="4" w:space="0" w:color="000000"/>
            </w:tcBorders>
            <w:shd w:val="clear" w:color="auto" w:fill="auto"/>
            <w:vAlign w:val="center"/>
          </w:tcPr>
          <w:p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rsidR="007164AA" w:rsidRDefault="007164AA" w:rsidP="007164AA">
            <w:pPr>
              <w:rPr>
                <w:color w:val="000000"/>
                <w:sz w:val="20"/>
                <w:szCs w:val="20"/>
              </w:rPr>
            </w:pPr>
            <w:r>
              <w:rPr>
                <w:color w:val="000000"/>
                <w:sz w:val="20"/>
                <w:szCs w:val="20"/>
              </w:rPr>
              <w:t>Institución de la que provienen el comité editorial</w:t>
            </w:r>
          </w:p>
        </w:tc>
        <w:tc>
          <w:tcPr>
            <w:tcW w:w="1240" w:type="dxa"/>
            <w:shd w:val="clear" w:color="auto" w:fill="auto"/>
            <w:vAlign w:val="bottom"/>
          </w:tcPr>
          <w:p w:rsidR="007164AA" w:rsidRDefault="007164AA" w:rsidP="007164AA">
            <w:pPr>
              <w:jc w:val="center"/>
              <w:rPr>
                <w:color w:val="000000"/>
                <w:sz w:val="20"/>
                <w:szCs w:val="20"/>
              </w:rPr>
            </w:pPr>
            <w:r>
              <w:rPr>
                <w:color w:val="000000"/>
                <w:sz w:val="20"/>
                <w:szCs w:val="20"/>
              </w:rPr>
              <w:t>.90</w:t>
            </w:r>
          </w:p>
        </w:tc>
        <w:tc>
          <w:tcPr>
            <w:tcW w:w="1731" w:type="dxa"/>
            <w:vMerge/>
            <w:tcBorders>
              <w:top w:val="single" w:sz="4" w:space="0" w:color="000000"/>
            </w:tcBorders>
            <w:shd w:val="clear" w:color="auto" w:fill="auto"/>
          </w:tcPr>
          <w:p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rsidTr="007164AA">
        <w:trPr>
          <w:trHeight w:val="191"/>
        </w:trPr>
        <w:tc>
          <w:tcPr>
            <w:tcW w:w="1696" w:type="dxa"/>
            <w:vMerge/>
            <w:tcBorders>
              <w:top w:val="single" w:sz="4" w:space="0" w:color="000000"/>
            </w:tcBorders>
            <w:shd w:val="clear" w:color="auto" w:fill="auto"/>
            <w:vAlign w:val="center"/>
          </w:tcPr>
          <w:p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rsidR="007164AA" w:rsidRDefault="007164AA" w:rsidP="007164AA">
            <w:pPr>
              <w:rPr>
                <w:color w:val="000000"/>
                <w:sz w:val="20"/>
                <w:szCs w:val="20"/>
              </w:rPr>
            </w:pPr>
            <w:r>
              <w:rPr>
                <w:color w:val="000000"/>
                <w:sz w:val="20"/>
                <w:szCs w:val="20"/>
              </w:rPr>
              <w:t xml:space="preserve">Comité de ética </w:t>
            </w:r>
          </w:p>
        </w:tc>
        <w:tc>
          <w:tcPr>
            <w:tcW w:w="1240" w:type="dxa"/>
            <w:shd w:val="clear" w:color="auto" w:fill="auto"/>
            <w:vAlign w:val="bottom"/>
          </w:tcPr>
          <w:p w:rsidR="007164AA" w:rsidRDefault="007164AA" w:rsidP="007164AA">
            <w:pPr>
              <w:jc w:val="center"/>
              <w:rPr>
                <w:color w:val="000000"/>
                <w:sz w:val="20"/>
                <w:szCs w:val="20"/>
              </w:rPr>
            </w:pPr>
            <w:r>
              <w:rPr>
                <w:color w:val="000000"/>
                <w:sz w:val="20"/>
                <w:szCs w:val="20"/>
              </w:rPr>
              <w:t>.90</w:t>
            </w:r>
          </w:p>
        </w:tc>
        <w:tc>
          <w:tcPr>
            <w:tcW w:w="1731" w:type="dxa"/>
            <w:vMerge/>
            <w:tcBorders>
              <w:top w:val="single" w:sz="4" w:space="0" w:color="000000"/>
            </w:tcBorders>
            <w:shd w:val="clear" w:color="auto" w:fill="auto"/>
          </w:tcPr>
          <w:p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rsidTr="007164AA">
        <w:trPr>
          <w:trHeight w:val="224"/>
        </w:trPr>
        <w:tc>
          <w:tcPr>
            <w:tcW w:w="1696" w:type="dxa"/>
            <w:vMerge/>
            <w:tcBorders>
              <w:top w:val="single" w:sz="4" w:space="0" w:color="000000"/>
            </w:tcBorders>
            <w:shd w:val="clear" w:color="auto" w:fill="auto"/>
            <w:vAlign w:val="center"/>
          </w:tcPr>
          <w:p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rsidR="007164AA" w:rsidRDefault="007164AA" w:rsidP="007164AA">
            <w:pPr>
              <w:rPr>
                <w:color w:val="000000"/>
                <w:sz w:val="20"/>
                <w:szCs w:val="20"/>
              </w:rPr>
            </w:pPr>
            <w:r>
              <w:rPr>
                <w:color w:val="000000"/>
                <w:sz w:val="20"/>
                <w:szCs w:val="20"/>
              </w:rPr>
              <w:t>Declaración de ética</w:t>
            </w:r>
          </w:p>
        </w:tc>
        <w:tc>
          <w:tcPr>
            <w:tcW w:w="1240" w:type="dxa"/>
            <w:shd w:val="clear" w:color="auto" w:fill="auto"/>
            <w:vAlign w:val="bottom"/>
          </w:tcPr>
          <w:p w:rsidR="007164AA" w:rsidRDefault="007164AA" w:rsidP="007164AA">
            <w:pPr>
              <w:jc w:val="center"/>
              <w:rPr>
                <w:color w:val="000000"/>
                <w:sz w:val="20"/>
                <w:szCs w:val="20"/>
              </w:rPr>
            </w:pPr>
            <w:r>
              <w:rPr>
                <w:color w:val="000000"/>
                <w:sz w:val="20"/>
                <w:szCs w:val="20"/>
              </w:rPr>
              <w:t>.77</w:t>
            </w:r>
          </w:p>
        </w:tc>
        <w:tc>
          <w:tcPr>
            <w:tcW w:w="1731" w:type="dxa"/>
            <w:vMerge/>
            <w:tcBorders>
              <w:top w:val="single" w:sz="4" w:space="0" w:color="000000"/>
            </w:tcBorders>
            <w:shd w:val="clear" w:color="auto" w:fill="auto"/>
          </w:tcPr>
          <w:p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rsidTr="007164AA">
        <w:trPr>
          <w:trHeight w:val="114"/>
        </w:trPr>
        <w:tc>
          <w:tcPr>
            <w:tcW w:w="1696" w:type="dxa"/>
            <w:vMerge w:val="restart"/>
            <w:tcBorders>
              <w:top w:val="single" w:sz="4" w:space="0" w:color="000000"/>
            </w:tcBorders>
            <w:shd w:val="clear" w:color="auto" w:fill="auto"/>
            <w:vAlign w:val="center"/>
          </w:tcPr>
          <w:p w:rsidR="007164AA" w:rsidRDefault="007164AA" w:rsidP="007164AA">
            <w:pPr>
              <w:jc w:val="center"/>
              <w:rPr>
                <w:color w:val="000000"/>
                <w:sz w:val="20"/>
                <w:szCs w:val="20"/>
              </w:rPr>
            </w:pPr>
            <w:r>
              <w:rPr>
                <w:color w:val="000000"/>
                <w:sz w:val="20"/>
                <w:szCs w:val="20"/>
              </w:rPr>
              <w:t>Proceso de publicación</w:t>
            </w:r>
          </w:p>
        </w:tc>
        <w:tc>
          <w:tcPr>
            <w:tcW w:w="4259" w:type="dxa"/>
            <w:tcBorders>
              <w:top w:val="single" w:sz="4" w:space="0" w:color="000000"/>
            </w:tcBorders>
            <w:shd w:val="clear" w:color="auto" w:fill="auto"/>
            <w:vAlign w:val="center"/>
          </w:tcPr>
          <w:p w:rsidR="007164AA" w:rsidRDefault="007164AA" w:rsidP="007164AA">
            <w:pPr>
              <w:rPr>
                <w:color w:val="000000"/>
                <w:sz w:val="20"/>
                <w:szCs w:val="20"/>
              </w:rPr>
            </w:pPr>
            <w:r>
              <w:rPr>
                <w:color w:val="000000"/>
                <w:sz w:val="20"/>
                <w:szCs w:val="20"/>
              </w:rPr>
              <w:t>Convocatoria</w:t>
            </w:r>
          </w:p>
        </w:tc>
        <w:tc>
          <w:tcPr>
            <w:tcW w:w="1240" w:type="dxa"/>
            <w:tcBorders>
              <w:top w:val="single" w:sz="4" w:space="0" w:color="000000"/>
            </w:tcBorders>
            <w:shd w:val="clear" w:color="auto" w:fill="auto"/>
            <w:vAlign w:val="bottom"/>
          </w:tcPr>
          <w:p w:rsidR="007164AA" w:rsidRDefault="007164AA" w:rsidP="007164AA">
            <w:pPr>
              <w:jc w:val="center"/>
              <w:rPr>
                <w:color w:val="000000"/>
                <w:sz w:val="20"/>
                <w:szCs w:val="20"/>
              </w:rPr>
            </w:pPr>
            <w:r>
              <w:rPr>
                <w:color w:val="000000"/>
                <w:sz w:val="20"/>
                <w:szCs w:val="20"/>
              </w:rPr>
              <w:t>.77</w:t>
            </w:r>
          </w:p>
        </w:tc>
        <w:tc>
          <w:tcPr>
            <w:tcW w:w="1731" w:type="dxa"/>
            <w:vMerge w:val="restart"/>
            <w:tcBorders>
              <w:top w:val="single" w:sz="4" w:space="0" w:color="000000"/>
            </w:tcBorders>
            <w:shd w:val="clear" w:color="auto" w:fill="auto"/>
          </w:tcPr>
          <w:p w:rsidR="007164AA" w:rsidRDefault="007164AA" w:rsidP="007164AA">
            <w:pPr>
              <w:jc w:val="center"/>
              <w:rPr>
                <w:color w:val="000000"/>
                <w:sz w:val="20"/>
                <w:szCs w:val="20"/>
              </w:rPr>
            </w:pPr>
          </w:p>
          <w:p w:rsidR="007164AA" w:rsidRDefault="007164AA" w:rsidP="007164AA">
            <w:pPr>
              <w:jc w:val="center"/>
              <w:rPr>
                <w:color w:val="000000"/>
                <w:sz w:val="20"/>
                <w:szCs w:val="20"/>
              </w:rPr>
            </w:pPr>
          </w:p>
          <w:p w:rsidR="007164AA" w:rsidRDefault="007164AA" w:rsidP="007164AA">
            <w:pPr>
              <w:jc w:val="center"/>
              <w:rPr>
                <w:color w:val="000000"/>
                <w:sz w:val="20"/>
                <w:szCs w:val="20"/>
              </w:rPr>
            </w:pPr>
            <w:r>
              <w:rPr>
                <w:color w:val="000000"/>
                <w:sz w:val="20"/>
                <w:szCs w:val="20"/>
              </w:rPr>
              <w:t>.83</w:t>
            </w:r>
          </w:p>
        </w:tc>
      </w:tr>
      <w:tr w:rsidR="007164AA" w:rsidTr="007164AA">
        <w:trPr>
          <w:trHeight w:val="145"/>
        </w:trPr>
        <w:tc>
          <w:tcPr>
            <w:tcW w:w="1696" w:type="dxa"/>
            <w:vMerge/>
            <w:tcBorders>
              <w:top w:val="single" w:sz="4" w:space="0" w:color="000000"/>
            </w:tcBorders>
            <w:shd w:val="clear" w:color="auto" w:fill="auto"/>
            <w:vAlign w:val="center"/>
          </w:tcPr>
          <w:p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rsidR="007164AA" w:rsidRDefault="007164AA" w:rsidP="007164AA">
            <w:pPr>
              <w:rPr>
                <w:color w:val="000000"/>
                <w:sz w:val="20"/>
                <w:szCs w:val="20"/>
              </w:rPr>
            </w:pPr>
            <w:r>
              <w:rPr>
                <w:color w:val="000000"/>
                <w:sz w:val="20"/>
                <w:szCs w:val="20"/>
              </w:rPr>
              <w:t>Edición especial</w:t>
            </w:r>
          </w:p>
        </w:tc>
        <w:tc>
          <w:tcPr>
            <w:tcW w:w="1240" w:type="dxa"/>
            <w:shd w:val="clear" w:color="auto" w:fill="auto"/>
            <w:vAlign w:val="bottom"/>
          </w:tcPr>
          <w:p w:rsidR="007164AA" w:rsidRDefault="007164AA" w:rsidP="007164AA">
            <w:pPr>
              <w:jc w:val="center"/>
              <w:rPr>
                <w:color w:val="000000"/>
                <w:sz w:val="20"/>
                <w:szCs w:val="20"/>
              </w:rPr>
            </w:pPr>
            <w:r>
              <w:rPr>
                <w:color w:val="000000"/>
                <w:sz w:val="20"/>
                <w:szCs w:val="20"/>
              </w:rPr>
              <w:t>.95</w:t>
            </w:r>
          </w:p>
        </w:tc>
        <w:tc>
          <w:tcPr>
            <w:tcW w:w="1731" w:type="dxa"/>
            <w:vMerge/>
            <w:tcBorders>
              <w:top w:val="single" w:sz="4" w:space="0" w:color="000000"/>
            </w:tcBorders>
            <w:shd w:val="clear" w:color="auto" w:fill="auto"/>
          </w:tcPr>
          <w:p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rsidTr="007164AA">
        <w:trPr>
          <w:trHeight w:val="178"/>
        </w:trPr>
        <w:tc>
          <w:tcPr>
            <w:tcW w:w="1696" w:type="dxa"/>
            <w:vMerge/>
            <w:tcBorders>
              <w:top w:val="single" w:sz="4" w:space="0" w:color="000000"/>
            </w:tcBorders>
            <w:shd w:val="clear" w:color="auto" w:fill="auto"/>
            <w:vAlign w:val="center"/>
          </w:tcPr>
          <w:p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rsidR="007164AA" w:rsidRDefault="007164AA" w:rsidP="007164AA">
            <w:pPr>
              <w:rPr>
                <w:color w:val="000000"/>
                <w:sz w:val="20"/>
                <w:szCs w:val="20"/>
              </w:rPr>
            </w:pPr>
            <w:r>
              <w:rPr>
                <w:color w:val="000000"/>
                <w:sz w:val="20"/>
                <w:szCs w:val="20"/>
              </w:rPr>
              <w:t>Medio de envío de artículos</w:t>
            </w:r>
          </w:p>
        </w:tc>
        <w:tc>
          <w:tcPr>
            <w:tcW w:w="1240" w:type="dxa"/>
            <w:shd w:val="clear" w:color="auto" w:fill="auto"/>
            <w:vAlign w:val="bottom"/>
          </w:tcPr>
          <w:p w:rsidR="007164AA" w:rsidRDefault="007164AA" w:rsidP="007164AA">
            <w:pPr>
              <w:jc w:val="center"/>
              <w:rPr>
                <w:color w:val="000000"/>
                <w:sz w:val="20"/>
                <w:szCs w:val="20"/>
              </w:rPr>
            </w:pPr>
            <w:r>
              <w:rPr>
                <w:color w:val="000000"/>
                <w:sz w:val="20"/>
                <w:szCs w:val="20"/>
              </w:rPr>
              <w:t>.74</w:t>
            </w:r>
          </w:p>
        </w:tc>
        <w:tc>
          <w:tcPr>
            <w:tcW w:w="1731" w:type="dxa"/>
            <w:vMerge/>
            <w:tcBorders>
              <w:top w:val="single" w:sz="4" w:space="0" w:color="000000"/>
            </w:tcBorders>
            <w:shd w:val="clear" w:color="auto" w:fill="auto"/>
          </w:tcPr>
          <w:p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rsidTr="007164AA">
        <w:trPr>
          <w:trHeight w:val="209"/>
        </w:trPr>
        <w:tc>
          <w:tcPr>
            <w:tcW w:w="1696" w:type="dxa"/>
            <w:vMerge/>
            <w:tcBorders>
              <w:top w:val="single" w:sz="4" w:space="0" w:color="000000"/>
            </w:tcBorders>
            <w:shd w:val="clear" w:color="auto" w:fill="auto"/>
            <w:vAlign w:val="center"/>
          </w:tcPr>
          <w:p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rsidR="007164AA" w:rsidRDefault="007164AA" w:rsidP="007164AA">
            <w:pPr>
              <w:rPr>
                <w:color w:val="000000"/>
                <w:sz w:val="20"/>
                <w:szCs w:val="20"/>
              </w:rPr>
            </w:pPr>
            <w:r>
              <w:rPr>
                <w:color w:val="000000"/>
                <w:sz w:val="20"/>
                <w:szCs w:val="20"/>
              </w:rPr>
              <w:t>Normas de publicación</w:t>
            </w:r>
          </w:p>
        </w:tc>
        <w:tc>
          <w:tcPr>
            <w:tcW w:w="1240" w:type="dxa"/>
            <w:shd w:val="clear" w:color="auto" w:fill="auto"/>
            <w:vAlign w:val="bottom"/>
          </w:tcPr>
          <w:p w:rsidR="007164AA" w:rsidRDefault="007164AA" w:rsidP="007164AA">
            <w:pPr>
              <w:jc w:val="center"/>
              <w:rPr>
                <w:color w:val="000000"/>
                <w:sz w:val="20"/>
                <w:szCs w:val="20"/>
              </w:rPr>
            </w:pPr>
            <w:r>
              <w:rPr>
                <w:color w:val="000000"/>
                <w:sz w:val="20"/>
                <w:szCs w:val="20"/>
              </w:rPr>
              <w:t>.92</w:t>
            </w:r>
          </w:p>
        </w:tc>
        <w:tc>
          <w:tcPr>
            <w:tcW w:w="1731" w:type="dxa"/>
            <w:vMerge/>
            <w:tcBorders>
              <w:top w:val="single" w:sz="4" w:space="0" w:color="000000"/>
            </w:tcBorders>
            <w:shd w:val="clear" w:color="auto" w:fill="auto"/>
          </w:tcPr>
          <w:p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rsidTr="007164AA">
        <w:trPr>
          <w:trHeight w:val="228"/>
        </w:trPr>
        <w:tc>
          <w:tcPr>
            <w:tcW w:w="1696" w:type="dxa"/>
            <w:vMerge/>
            <w:tcBorders>
              <w:top w:val="single" w:sz="4" w:space="0" w:color="000000"/>
            </w:tcBorders>
            <w:shd w:val="clear" w:color="auto" w:fill="auto"/>
            <w:vAlign w:val="center"/>
          </w:tcPr>
          <w:p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rsidR="007164AA" w:rsidRDefault="007164AA" w:rsidP="007164AA">
            <w:pPr>
              <w:rPr>
                <w:color w:val="000000"/>
                <w:sz w:val="20"/>
                <w:szCs w:val="20"/>
              </w:rPr>
            </w:pPr>
            <w:r>
              <w:rPr>
                <w:color w:val="000000"/>
                <w:sz w:val="20"/>
                <w:szCs w:val="20"/>
              </w:rPr>
              <w:t>Revisión por pares</w:t>
            </w:r>
          </w:p>
        </w:tc>
        <w:tc>
          <w:tcPr>
            <w:tcW w:w="1240" w:type="dxa"/>
            <w:shd w:val="clear" w:color="auto" w:fill="auto"/>
            <w:vAlign w:val="bottom"/>
          </w:tcPr>
          <w:p w:rsidR="007164AA" w:rsidRDefault="007164AA" w:rsidP="007164AA">
            <w:pPr>
              <w:jc w:val="center"/>
              <w:rPr>
                <w:color w:val="000000"/>
                <w:sz w:val="20"/>
                <w:szCs w:val="20"/>
              </w:rPr>
            </w:pPr>
            <w:r>
              <w:rPr>
                <w:color w:val="000000"/>
                <w:sz w:val="20"/>
                <w:szCs w:val="20"/>
              </w:rPr>
              <w:t>.79</w:t>
            </w:r>
          </w:p>
        </w:tc>
        <w:tc>
          <w:tcPr>
            <w:tcW w:w="1731" w:type="dxa"/>
            <w:vMerge/>
            <w:tcBorders>
              <w:top w:val="single" w:sz="4" w:space="0" w:color="000000"/>
            </w:tcBorders>
            <w:shd w:val="clear" w:color="auto" w:fill="auto"/>
          </w:tcPr>
          <w:p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rsidTr="007164AA">
        <w:trPr>
          <w:trHeight w:val="186"/>
        </w:trPr>
        <w:tc>
          <w:tcPr>
            <w:tcW w:w="1696" w:type="dxa"/>
            <w:vMerge w:val="restart"/>
            <w:tcBorders>
              <w:top w:val="single" w:sz="4" w:space="0" w:color="000000"/>
            </w:tcBorders>
            <w:shd w:val="clear" w:color="auto" w:fill="auto"/>
            <w:vAlign w:val="center"/>
          </w:tcPr>
          <w:p w:rsidR="007164AA" w:rsidRDefault="007164AA" w:rsidP="007164AA">
            <w:pPr>
              <w:jc w:val="center"/>
              <w:rPr>
                <w:color w:val="000000"/>
                <w:sz w:val="20"/>
                <w:szCs w:val="20"/>
              </w:rPr>
            </w:pPr>
            <w:r>
              <w:rPr>
                <w:color w:val="000000"/>
                <w:sz w:val="20"/>
                <w:szCs w:val="20"/>
              </w:rPr>
              <w:t>Contenido</w:t>
            </w:r>
          </w:p>
        </w:tc>
        <w:tc>
          <w:tcPr>
            <w:tcW w:w="4259" w:type="dxa"/>
            <w:tcBorders>
              <w:top w:val="single" w:sz="4" w:space="0" w:color="000000"/>
            </w:tcBorders>
            <w:shd w:val="clear" w:color="auto" w:fill="auto"/>
            <w:vAlign w:val="center"/>
          </w:tcPr>
          <w:p w:rsidR="007164AA" w:rsidRDefault="007164AA" w:rsidP="007164AA">
            <w:pPr>
              <w:rPr>
                <w:color w:val="000000"/>
                <w:sz w:val="20"/>
                <w:szCs w:val="20"/>
              </w:rPr>
            </w:pPr>
            <w:r>
              <w:rPr>
                <w:color w:val="000000"/>
                <w:sz w:val="20"/>
                <w:szCs w:val="20"/>
              </w:rPr>
              <w:t>Tipo de contenido</w:t>
            </w:r>
          </w:p>
        </w:tc>
        <w:tc>
          <w:tcPr>
            <w:tcW w:w="1240" w:type="dxa"/>
            <w:tcBorders>
              <w:top w:val="single" w:sz="4" w:space="0" w:color="000000"/>
            </w:tcBorders>
            <w:shd w:val="clear" w:color="auto" w:fill="auto"/>
            <w:vAlign w:val="bottom"/>
          </w:tcPr>
          <w:p w:rsidR="007164AA" w:rsidRDefault="007164AA" w:rsidP="007164AA">
            <w:pPr>
              <w:jc w:val="center"/>
              <w:rPr>
                <w:color w:val="000000"/>
                <w:sz w:val="20"/>
                <w:szCs w:val="20"/>
              </w:rPr>
            </w:pPr>
            <w:r>
              <w:rPr>
                <w:color w:val="000000"/>
                <w:sz w:val="20"/>
                <w:szCs w:val="20"/>
              </w:rPr>
              <w:t>.69</w:t>
            </w:r>
          </w:p>
        </w:tc>
        <w:tc>
          <w:tcPr>
            <w:tcW w:w="1731" w:type="dxa"/>
            <w:vMerge w:val="restart"/>
            <w:tcBorders>
              <w:top w:val="single" w:sz="4" w:space="0" w:color="000000"/>
            </w:tcBorders>
            <w:shd w:val="clear" w:color="auto" w:fill="auto"/>
          </w:tcPr>
          <w:p w:rsidR="007164AA" w:rsidRDefault="007164AA" w:rsidP="007164AA">
            <w:pPr>
              <w:jc w:val="center"/>
              <w:rPr>
                <w:color w:val="000000"/>
                <w:sz w:val="20"/>
                <w:szCs w:val="20"/>
              </w:rPr>
            </w:pPr>
          </w:p>
          <w:p w:rsidR="007164AA" w:rsidRDefault="007164AA" w:rsidP="007164AA">
            <w:pPr>
              <w:jc w:val="center"/>
              <w:rPr>
                <w:color w:val="000000"/>
                <w:sz w:val="20"/>
                <w:szCs w:val="20"/>
              </w:rPr>
            </w:pPr>
            <w:r>
              <w:rPr>
                <w:color w:val="000000"/>
                <w:sz w:val="20"/>
                <w:szCs w:val="20"/>
              </w:rPr>
              <w:t>.79</w:t>
            </w:r>
          </w:p>
        </w:tc>
      </w:tr>
      <w:tr w:rsidR="007164AA" w:rsidTr="007164AA">
        <w:trPr>
          <w:trHeight w:val="138"/>
        </w:trPr>
        <w:tc>
          <w:tcPr>
            <w:tcW w:w="1696" w:type="dxa"/>
            <w:vMerge/>
            <w:tcBorders>
              <w:top w:val="single" w:sz="4" w:space="0" w:color="000000"/>
            </w:tcBorders>
            <w:shd w:val="clear" w:color="auto" w:fill="auto"/>
            <w:vAlign w:val="center"/>
          </w:tcPr>
          <w:p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rsidR="007164AA" w:rsidRDefault="007164AA" w:rsidP="007164AA">
            <w:pPr>
              <w:rPr>
                <w:color w:val="000000"/>
                <w:sz w:val="20"/>
                <w:szCs w:val="20"/>
              </w:rPr>
            </w:pPr>
            <w:r>
              <w:rPr>
                <w:color w:val="000000"/>
                <w:sz w:val="20"/>
                <w:szCs w:val="20"/>
              </w:rPr>
              <w:t>Idioma</w:t>
            </w:r>
          </w:p>
        </w:tc>
        <w:tc>
          <w:tcPr>
            <w:tcW w:w="1240" w:type="dxa"/>
            <w:shd w:val="clear" w:color="auto" w:fill="auto"/>
            <w:vAlign w:val="bottom"/>
          </w:tcPr>
          <w:p w:rsidR="007164AA" w:rsidRDefault="007164AA" w:rsidP="007164AA">
            <w:pPr>
              <w:jc w:val="center"/>
              <w:rPr>
                <w:color w:val="000000"/>
                <w:sz w:val="20"/>
                <w:szCs w:val="20"/>
              </w:rPr>
            </w:pPr>
            <w:r>
              <w:rPr>
                <w:color w:val="000000"/>
                <w:sz w:val="20"/>
                <w:szCs w:val="20"/>
              </w:rPr>
              <w:t>.79</w:t>
            </w:r>
          </w:p>
        </w:tc>
        <w:tc>
          <w:tcPr>
            <w:tcW w:w="1731" w:type="dxa"/>
            <w:vMerge/>
            <w:tcBorders>
              <w:top w:val="single" w:sz="4" w:space="0" w:color="000000"/>
            </w:tcBorders>
            <w:shd w:val="clear" w:color="auto" w:fill="auto"/>
          </w:tcPr>
          <w:p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rsidTr="007164AA">
        <w:trPr>
          <w:trHeight w:val="288"/>
        </w:trPr>
        <w:tc>
          <w:tcPr>
            <w:tcW w:w="1696" w:type="dxa"/>
            <w:vMerge/>
            <w:tcBorders>
              <w:top w:val="single" w:sz="4" w:space="0" w:color="000000"/>
            </w:tcBorders>
            <w:shd w:val="clear" w:color="auto" w:fill="auto"/>
            <w:vAlign w:val="center"/>
          </w:tcPr>
          <w:p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rsidR="007164AA" w:rsidRDefault="007164AA" w:rsidP="007164AA">
            <w:pPr>
              <w:rPr>
                <w:color w:val="000000"/>
                <w:sz w:val="20"/>
                <w:szCs w:val="20"/>
              </w:rPr>
            </w:pPr>
            <w:proofErr w:type="spellStart"/>
            <w:r>
              <w:rPr>
                <w:color w:val="000000"/>
                <w:sz w:val="20"/>
                <w:szCs w:val="20"/>
              </w:rPr>
              <w:t>N°</w:t>
            </w:r>
            <w:proofErr w:type="spellEnd"/>
            <w:r>
              <w:rPr>
                <w:color w:val="000000"/>
                <w:sz w:val="20"/>
                <w:szCs w:val="20"/>
              </w:rPr>
              <w:t xml:space="preserve"> de artículos</w:t>
            </w:r>
          </w:p>
        </w:tc>
        <w:tc>
          <w:tcPr>
            <w:tcW w:w="1240" w:type="dxa"/>
            <w:shd w:val="clear" w:color="auto" w:fill="auto"/>
            <w:vAlign w:val="bottom"/>
          </w:tcPr>
          <w:p w:rsidR="007164AA" w:rsidRDefault="007164AA" w:rsidP="007164AA">
            <w:pPr>
              <w:jc w:val="center"/>
              <w:rPr>
                <w:color w:val="000000"/>
                <w:sz w:val="20"/>
                <w:szCs w:val="20"/>
              </w:rPr>
            </w:pPr>
            <w:r>
              <w:rPr>
                <w:color w:val="000000"/>
                <w:sz w:val="20"/>
                <w:szCs w:val="20"/>
              </w:rPr>
              <w:t>.72</w:t>
            </w:r>
          </w:p>
        </w:tc>
        <w:tc>
          <w:tcPr>
            <w:tcW w:w="1731" w:type="dxa"/>
            <w:vMerge/>
            <w:tcBorders>
              <w:top w:val="single" w:sz="4" w:space="0" w:color="000000"/>
            </w:tcBorders>
            <w:shd w:val="clear" w:color="auto" w:fill="auto"/>
          </w:tcPr>
          <w:p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rsidTr="007164AA">
        <w:trPr>
          <w:trHeight w:val="146"/>
        </w:trPr>
        <w:tc>
          <w:tcPr>
            <w:tcW w:w="1696" w:type="dxa"/>
            <w:vMerge/>
            <w:tcBorders>
              <w:top w:val="single" w:sz="4" w:space="0" w:color="000000"/>
            </w:tcBorders>
            <w:shd w:val="clear" w:color="auto" w:fill="auto"/>
            <w:vAlign w:val="center"/>
          </w:tcPr>
          <w:p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tcBorders>
              <w:bottom w:val="single" w:sz="4" w:space="0" w:color="000000"/>
            </w:tcBorders>
            <w:shd w:val="clear" w:color="auto" w:fill="auto"/>
            <w:vAlign w:val="center"/>
          </w:tcPr>
          <w:p w:rsidR="007164AA" w:rsidRDefault="007164AA" w:rsidP="007164AA">
            <w:pPr>
              <w:rPr>
                <w:color w:val="000000"/>
                <w:sz w:val="20"/>
                <w:szCs w:val="20"/>
              </w:rPr>
            </w:pPr>
            <w:r>
              <w:rPr>
                <w:color w:val="000000"/>
                <w:sz w:val="20"/>
                <w:szCs w:val="20"/>
              </w:rPr>
              <w:t>Accesibilidad</w:t>
            </w:r>
          </w:p>
        </w:tc>
        <w:tc>
          <w:tcPr>
            <w:tcW w:w="1240" w:type="dxa"/>
            <w:tcBorders>
              <w:bottom w:val="single" w:sz="4" w:space="0" w:color="000000"/>
            </w:tcBorders>
            <w:shd w:val="clear" w:color="auto" w:fill="auto"/>
            <w:vAlign w:val="bottom"/>
          </w:tcPr>
          <w:p w:rsidR="007164AA" w:rsidRDefault="007164AA" w:rsidP="007164AA">
            <w:pPr>
              <w:jc w:val="center"/>
              <w:rPr>
                <w:color w:val="000000"/>
                <w:sz w:val="20"/>
                <w:szCs w:val="20"/>
              </w:rPr>
            </w:pPr>
            <w:r>
              <w:rPr>
                <w:color w:val="000000"/>
                <w:sz w:val="20"/>
                <w:szCs w:val="20"/>
              </w:rPr>
              <w:t>.97</w:t>
            </w:r>
          </w:p>
        </w:tc>
        <w:tc>
          <w:tcPr>
            <w:tcW w:w="1731" w:type="dxa"/>
            <w:vMerge/>
            <w:tcBorders>
              <w:top w:val="single" w:sz="4" w:space="0" w:color="000000"/>
            </w:tcBorders>
            <w:shd w:val="clear" w:color="auto" w:fill="auto"/>
          </w:tcPr>
          <w:p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rsidTr="007164AA">
        <w:trPr>
          <w:trHeight w:val="177"/>
        </w:trPr>
        <w:tc>
          <w:tcPr>
            <w:tcW w:w="1696" w:type="dxa"/>
            <w:vMerge w:val="restart"/>
            <w:tcBorders>
              <w:top w:val="single" w:sz="4" w:space="0" w:color="000000"/>
            </w:tcBorders>
            <w:shd w:val="clear" w:color="auto" w:fill="auto"/>
            <w:vAlign w:val="center"/>
          </w:tcPr>
          <w:p w:rsidR="007164AA" w:rsidRDefault="007164AA" w:rsidP="007164AA">
            <w:pPr>
              <w:jc w:val="center"/>
              <w:rPr>
                <w:color w:val="000000"/>
                <w:sz w:val="20"/>
                <w:szCs w:val="20"/>
              </w:rPr>
            </w:pPr>
            <w:r>
              <w:rPr>
                <w:color w:val="000000"/>
                <w:sz w:val="20"/>
                <w:szCs w:val="20"/>
              </w:rPr>
              <w:t xml:space="preserve">Difusión </w:t>
            </w:r>
          </w:p>
        </w:tc>
        <w:tc>
          <w:tcPr>
            <w:tcW w:w="4259" w:type="dxa"/>
            <w:tcBorders>
              <w:top w:val="single" w:sz="4" w:space="0" w:color="000000"/>
            </w:tcBorders>
            <w:shd w:val="clear" w:color="auto" w:fill="auto"/>
            <w:vAlign w:val="center"/>
          </w:tcPr>
          <w:p w:rsidR="007164AA" w:rsidRDefault="007164AA" w:rsidP="007164AA">
            <w:pPr>
              <w:rPr>
                <w:color w:val="000000"/>
                <w:sz w:val="20"/>
                <w:szCs w:val="20"/>
              </w:rPr>
            </w:pPr>
            <w:r>
              <w:rPr>
                <w:color w:val="000000"/>
                <w:sz w:val="20"/>
                <w:szCs w:val="20"/>
              </w:rPr>
              <w:t>Formato</w:t>
            </w:r>
          </w:p>
        </w:tc>
        <w:tc>
          <w:tcPr>
            <w:tcW w:w="1240" w:type="dxa"/>
            <w:tcBorders>
              <w:top w:val="single" w:sz="4" w:space="0" w:color="000000"/>
            </w:tcBorders>
            <w:shd w:val="clear" w:color="auto" w:fill="auto"/>
            <w:vAlign w:val="bottom"/>
          </w:tcPr>
          <w:p w:rsidR="007164AA" w:rsidRDefault="007164AA" w:rsidP="007164AA">
            <w:pPr>
              <w:jc w:val="center"/>
              <w:rPr>
                <w:color w:val="000000"/>
                <w:sz w:val="20"/>
                <w:szCs w:val="20"/>
              </w:rPr>
            </w:pPr>
            <w:r>
              <w:rPr>
                <w:color w:val="000000"/>
                <w:sz w:val="20"/>
                <w:szCs w:val="20"/>
              </w:rPr>
              <w:t>.80</w:t>
            </w:r>
          </w:p>
        </w:tc>
        <w:tc>
          <w:tcPr>
            <w:tcW w:w="1731" w:type="dxa"/>
            <w:vMerge w:val="restart"/>
            <w:tcBorders>
              <w:top w:val="single" w:sz="4" w:space="0" w:color="000000"/>
            </w:tcBorders>
            <w:shd w:val="clear" w:color="auto" w:fill="auto"/>
          </w:tcPr>
          <w:p w:rsidR="007164AA" w:rsidRDefault="007164AA" w:rsidP="007164AA">
            <w:pPr>
              <w:jc w:val="center"/>
              <w:rPr>
                <w:color w:val="000000"/>
                <w:sz w:val="20"/>
                <w:szCs w:val="20"/>
              </w:rPr>
            </w:pPr>
          </w:p>
          <w:p w:rsidR="007164AA" w:rsidRDefault="007164AA" w:rsidP="007164AA">
            <w:pPr>
              <w:jc w:val="center"/>
              <w:rPr>
                <w:color w:val="000000"/>
                <w:sz w:val="20"/>
                <w:szCs w:val="20"/>
              </w:rPr>
            </w:pPr>
            <w:r>
              <w:rPr>
                <w:color w:val="000000"/>
                <w:sz w:val="20"/>
                <w:szCs w:val="20"/>
              </w:rPr>
              <w:t>.82</w:t>
            </w:r>
          </w:p>
        </w:tc>
      </w:tr>
      <w:tr w:rsidR="007164AA" w:rsidTr="007164AA">
        <w:trPr>
          <w:trHeight w:val="210"/>
        </w:trPr>
        <w:tc>
          <w:tcPr>
            <w:tcW w:w="1696" w:type="dxa"/>
            <w:vMerge/>
            <w:tcBorders>
              <w:top w:val="single" w:sz="4" w:space="0" w:color="000000"/>
            </w:tcBorders>
            <w:shd w:val="clear" w:color="auto" w:fill="auto"/>
            <w:vAlign w:val="center"/>
          </w:tcPr>
          <w:p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rsidR="007164AA" w:rsidRDefault="007164AA" w:rsidP="007164AA">
            <w:pPr>
              <w:rPr>
                <w:color w:val="000000"/>
                <w:sz w:val="20"/>
                <w:szCs w:val="20"/>
              </w:rPr>
            </w:pPr>
            <w:r>
              <w:rPr>
                <w:color w:val="000000"/>
                <w:sz w:val="20"/>
                <w:szCs w:val="20"/>
              </w:rPr>
              <w:t>Redes sociales</w:t>
            </w:r>
          </w:p>
        </w:tc>
        <w:tc>
          <w:tcPr>
            <w:tcW w:w="1240" w:type="dxa"/>
            <w:shd w:val="clear" w:color="auto" w:fill="auto"/>
            <w:vAlign w:val="bottom"/>
          </w:tcPr>
          <w:p w:rsidR="007164AA" w:rsidRDefault="007164AA" w:rsidP="007164AA">
            <w:pPr>
              <w:jc w:val="center"/>
              <w:rPr>
                <w:color w:val="000000"/>
                <w:sz w:val="20"/>
                <w:szCs w:val="20"/>
              </w:rPr>
            </w:pPr>
            <w:r>
              <w:rPr>
                <w:color w:val="000000"/>
                <w:sz w:val="20"/>
                <w:szCs w:val="20"/>
              </w:rPr>
              <w:t>.87</w:t>
            </w:r>
          </w:p>
        </w:tc>
        <w:tc>
          <w:tcPr>
            <w:tcW w:w="1731" w:type="dxa"/>
            <w:vMerge/>
            <w:tcBorders>
              <w:top w:val="single" w:sz="4" w:space="0" w:color="000000"/>
            </w:tcBorders>
            <w:shd w:val="clear" w:color="auto" w:fill="auto"/>
          </w:tcPr>
          <w:p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rsidTr="007164AA">
        <w:trPr>
          <w:trHeight w:val="100"/>
        </w:trPr>
        <w:tc>
          <w:tcPr>
            <w:tcW w:w="1696" w:type="dxa"/>
            <w:vMerge/>
            <w:tcBorders>
              <w:top w:val="single" w:sz="4" w:space="0" w:color="000000"/>
            </w:tcBorders>
            <w:shd w:val="clear" w:color="auto" w:fill="auto"/>
            <w:vAlign w:val="center"/>
          </w:tcPr>
          <w:p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rsidR="007164AA" w:rsidRDefault="007164AA" w:rsidP="007164AA">
            <w:pPr>
              <w:rPr>
                <w:color w:val="000000"/>
                <w:sz w:val="20"/>
                <w:szCs w:val="20"/>
              </w:rPr>
            </w:pPr>
            <w:r>
              <w:rPr>
                <w:color w:val="000000"/>
                <w:sz w:val="20"/>
                <w:szCs w:val="20"/>
              </w:rPr>
              <w:t>Actividad en el último mes</w:t>
            </w:r>
          </w:p>
        </w:tc>
        <w:tc>
          <w:tcPr>
            <w:tcW w:w="1240" w:type="dxa"/>
            <w:shd w:val="clear" w:color="auto" w:fill="auto"/>
            <w:vAlign w:val="bottom"/>
          </w:tcPr>
          <w:p w:rsidR="007164AA" w:rsidRDefault="007164AA" w:rsidP="007164AA">
            <w:pPr>
              <w:jc w:val="center"/>
              <w:rPr>
                <w:color w:val="000000"/>
                <w:sz w:val="20"/>
                <w:szCs w:val="20"/>
              </w:rPr>
            </w:pPr>
            <w:r>
              <w:rPr>
                <w:color w:val="000000"/>
                <w:sz w:val="20"/>
                <w:szCs w:val="20"/>
              </w:rPr>
              <w:t>.75</w:t>
            </w:r>
          </w:p>
        </w:tc>
        <w:tc>
          <w:tcPr>
            <w:tcW w:w="1731" w:type="dxa"/>
            <w:vMerge/>
            <w:tcBorders>
              <w:top w:val="single" w:sz="4" w:space="0" w:color="000000"/>
            </w:tcBorders>
            <w:shd w:val="clear" w:color="auto" w:fill="auto"/>
          </w:tcPr>
          <w:p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rsidTr="007164AA">
        <w:trPr>
          <w:trHeight w:val="118"/>
        </w:trPr>
        <w:tc>
          <w:tcPr>
            <w:tcW w:w="1696" w:type="dxa"/>
            <w:vMerge/>
            <w:tcBorders>
              <w:top w:val="single" w:sz="4" w:space="0" w:color="000000"/>
            </w:tcBorders>
            <w:shd w:val="clear" w:color="auto" w:fill="auto"/>
            <w:vAlign w:val="center"/>
          </w:tcPr>
          <w:p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rsidR="007164AA" w:rsidRDefault="007164AA" w:rsidP="007164AA">
            <w:pPr>
              <w:rPr>
                <w:color w:val="000000"/>
                <w:sz w:val="20"/>
                <w:szCs w:val="20"/>
              </w:rPr>
            </w:pPr>
            <w:r>
              <w:rPr>
                <w:color w:val="000000"/>
                <w:sz w:val="20"/>
                <w:szCs w:val="20"/>
              </w:rPr>
              <w:t>Base de datos indexada</w:t>
            </w:r>
          </w:p>
        </w:tc>
        <w:tc>
          <w:tcPr>
            <w:tcW w:w="1240" w:type="dxa"/>
            <w:shd w:val="clear" w:color="auto" w:fill="auto"/>
            <w:vAlign w:val="bottom"/>
          </w:tcPr>
          <w:p w:rsidR="007164AA" w:rsidRDefault="007164AA" w:rsidP="007164AA">
            <w:pPr>
              <w:jc w:val="center"/>
              <w:rPr>
                <w:color w:val="000000"/>
                <w:sz w:val="20"/>
                <w:szCs w:val="20"/>
              </w:rPr>
            </w:pPr>
            <w:r>
              <w:rPr>
                <w:color w:val="000000"/>
                <w:sz w:val="20"/>
                <w:szCs w:val="20"/>
              </w:rPr>
              <w:t>.85</w:t>
            </w:r>
          </w:p>
        </w:tc>
        <w:tc>
          <w:tcPr>
            <w:tcW w:w="1731" w:type="dxa"/>
            <w:vMerge/>
            <w:tcBorders>
              <w:top w:val="single" w:sz="4" w:space="0" w:color="000000"/>
            </w:tcBorders>
            <w:shd w:val="clear" w:color="auto" w:fill="auto"/>
          </w:tcPr>
          <w:p w:rsidR="007164AA" w:rsidRDefault="007164AA" w:rsidP="007164AA">
            <w:pPr>
              <w:widowControl w:val="0"/>
              <w:pBdr>
                <w:top w:val="nil"/>
                <w:left w:val="nil"/>
                <w:bottom w:val="nil"/>
                <w:right w:val="nil"/>
                <w:between w:val="nil"/>
              </w:pBdr>
              <w:spacing w:line="276" w:lineRule="auto"/>
              <w:rPr>
                <w:color w:val="000000"/>
                <w:sz w:val="20"/>
                <w:szCs w:val="20"/>
              </w:rPr>
            </w:pPr>
          </w:p>
        </w:tc>
      </w:tr>
    </w:tbl>
    <w:p w:rsidR="00067D89" w:rsidRDefault="00A57D41">
      <w:pPr>
        <w:spacing w:line="360" w:lineRule="auto"/>
        <w:jc w:val="both"/>
      </w:pPr>
      <w:r>
        <w:t>En la tabla 1, se muestra la tasa de acuerdo inicial de los codificadores para cada uno de los indicadores bibliométricos, registrados en las 20 revistas de psicología. Donde se observa que la tasa de acuerdo va desde el .79 hasta .95.</w:t>
      </w:r>
    </w:p>
    <w:p w:rsidR="00067D89" w:rsidRDefault="00067D89"/>
    <w:p w:rsidR="00067D89" w:rsidRDefault="00067D89"/>
    <w:p w:rsidR="00067D89" w:rsidRDefault="00A57D41">
      <w:pPr>
        <w:rPr>
          <w:i/>
          <w:sz w:val="20"/>
          <w:szCs w:val="20"/>
        </w:rPr>
      </w:pPr>
      <w:bookmarkStart w:id="9" w:name="_heading=h.35nkun2" w:colFirst="0" w:colLast="0"/>
      <w:bookmarkEnd w:id="9"/>
      <w:r>
        <w:rPr>
          <w:i/>
        </w:rPr>
        <w:lastRenderedPageBreak/>
        <w:t xml:space="preserve">1) Análisis de los datos de las revistas </w:t>
      </w:r>
    </w:p>
    <w:p w:rsidR="00067D89" w:rsidRDefault="00067D89">
      <w:pPr>
        <w:rPr>
          <w:sz w:val="20"/>
          <w:szCs w:val="20"/>
        </w:rPr>
      </w:pPr>
    </w:p>
    <w:p w:rsidR="00067D89" w:rsidRDefault="00A57D41">
      <w:pPr>
        <w:rPr>
          <w:sz w:val="20"/>
          <w:szCs w:val="20"/>
        </w:rPr>
      </w:pPr>
      <w:r>
        <w:rPr>
          <w:sz w:val="20"/>
          <w:szCs w:val="20"/>
        </w:rPr>
        <w:t>Tabla 2</w:t>
      </w:r>
    </w:p>
    <w:p w:rsidR="00067D89" w:rsidRDefault="00A57D41">
      <w:pPr>
        <w:pBdr>
          <w:top w:val="nil"/>
          <w:left w:val="nil"/>
          <w:bottom w:val="nil"/>
          <w:right w:val="nil"/>
          <w:between w:val="nil"/>
        </w:pBdr>
        <w:spacing w:line="360" w:lineRule="auto"/>
        <w:jc w:val="both"/>
        <w:rPr>
          <w:i/>
          <w:sz w:val="20"/>
          <w:szCs w:val="20"/>
        </w:rPr>
      </w:pPr>
      <w:r>
        <w:rPr>
          <w:i/>
          <w:sz w:val="20"/>
          <w:szCs w:val="20"/>
        </w:rPr>
        <w:t>Caracterización de las revistas de psicología</w:t>
      </w:r>
    </w:p>
    <w:tbl>
      <w:tblPr>
        <w:tblStyle w:val="afffffff9"/>
        <w:tblW w:w="9306" w:type="dxa"/>
        <w:tblInd w:w="0" w:type="dxa"/>
        <w:tblBorders>
          <w:top w:val="single" w:sz="4" w:space="0" w:color="000000"/>
          <w:bottom w:val="single" w:sz="4" w:space="0" w:color="000000"/>
        </w:tblBorders>
        <w:tblLayout w:type="fixed"/>
        <w:tblLook w:val="0400" w:firstRow="0" w:lastRow="0" w:firstColumn="0" w:lastColumn="0" w:noHBand="0" w:noVBand="1"/>
      </w:tblPr>
      <w:tblGrid>
        <w:gridCol w:w="840"/>
        <w:gridCol w:w="2965"/>
        <w:gridCol w:w="1274"/>
        <w:gridCol w:w="2959"/>
        <w:gridCol w:w="1268"/>
      </w:tblGrid>
      <w:tr w:rsidR="00067D89">
        <w:trPr>
          <w:trHeight w:val="501"/>
        </w:trPr>
        <w:tc>
          <w:tcPr>
            <w:tcW w:w="840" w:type="dxa"/>
            <w:tcBorders>
              <w:bottom w:val="single" w:sz="4" w:space="0" w:color="000000"/>
            </w:tcBorders>
            <w:vAlign w:val="bottom"/>
          </w:tcPr>
          <w:p w:rsidR="00067D89" w:rsidRDefault="00A57D41">
            <w:pPr>
              <w:rPr>
                <w:i/>
                <w:color w:val="000000"/>
                <w:sz w:val="20"/>
                <w:szCs w:val="20"/>
              </w:rPr>
            </w:pPr>
            <w:r>
              <w:rPr>
                <w:color w:val="000000"/>
                <w:sz w:val="20"/>
                <w:szCs w:val="20"/>
              </w:rPr>
              <w:t>Año de inicio</w:t>
            </w:r>
          </w:p>
        </w:tc>
        <w:tc>
          <w:tcPr>
            <w:tcW w:w="2965" w:type="dxa"/>
            <w:tcBorders>
              <w:bottom w:val="single" w:sz="4" w:space="0" w:color="000000"/>
            </w:tcBorders>
            <w:vAlign w:val="bottom"/>
          </w:tcPr>
          <w:p w:rsidR="00067D89" w:rsidRDefault="00A57D41">
            <w:pPr>
              <w:rPr>
                <w:i/>
                <w:color w:val="000000"/>
                <w:sz w:val="20"/>
                <w:szCs w:val="20"/>
              </w:rPr>
            </w:pPr>
            <w:r>
              <w:rPr>
                <w:color w:val="000000"/>
                <w:sz w:val="20"/>
                <w:szCs w:val="20"/>
              </w:rPr>
              <w:t>Nombre</w:t>
            </w:r>
          </w:p>
        </w:tc>
        <w:tc>
          <w:tcPr>
            <w:tcW w:w="1274" w:type="dxa"/>
            <w:tcBorders>
              <w:bottom w:val="single" w:sz="4" w:space="0" w:color="000000"/>
            </w:tcBorders>
            <w:vAlign w:val="bottom"/>
          </w:tcPr>
          <w:p w:rsidR="00067D89" w:rsidRDefault="00A57D41">
            <w:pPr>
              <w:jc w:val="center"/>
              <w:rPr>
                <w:i/>
                <w:color w:val="000000"/>
                <w:sz w:val="20"/>
                <w:szCs w:val="20"/>
              </w:rPr>
            </w:pPr>
            <w:r>
              <w:rPr>
                <w:color w:val="000000"/>
                <w:sz w:val="20"/>
                <w:szCs w:val="20"/>
              </w:rPr>
              <w:t>ISSN</w:t>
            </w:r>
          </w:p>
        </w:tc>
        <w:tc>
          <w:tcPr>
            <w:tcW w:w="2959" w:type="dxa"/>
            <w:tcBorders>
              <w:bottom w:val="single" w:sz="4" w:space="0" w:color="000000"/>
            </w:tcBorders>
            <w:vAlign w:val="bottom"/>
          </w:tcPr>
          <w:p w:rsidR="00067D89" w:rsidRDefault="00A57D41">
            <w:pPr>
              <w:jc w:val="center"/>
              <w:rPr>
                <w:i/>
                <w:color w:val="000000"/>
                <w:sz w:val="20"/>
                <w:szCs w:val="20"/>
              </w:rPr>
            </w:pPr>
            <w:r>
              <w:rPr>
                <w:color w:val="000000"/>
                <w:sz w:val="20"/>
                <w:szCs w:val="20"/>
              </w:rPr>
              <w:t>Institución</w:t>
            </w:r>
          </w:p>
        </w:tc>
        <w:tc>
          <w:tcPr>
            <w:tcW w:w="1268" w:type="dxa"/>
            <w:tcBorders>
              <w:bottom w:val="single" w:sz="4" w:space="0" w:color="000000"/>
            </w:tcBorders>
            <w:vAlign w:val="bottom"/>
          </w:tcPr>
          <w:p w:rsidR="00067D89" w:rsidRDefault="00A57D41">
            <w:pPr>
              <w:jc w:val="center"/>
              <w:rPr>
                <w:i/>
                <w:color w:val="000000"/>
                <w:sz w:val="20"/>
                <w:szCs w:val="20"/>
              </w:rPr>
            </w:pPr>
            <w:r>
              <w:rPr>
                <w:color w:val="000000"/>
                <w:sz w:val="20"/>
                <w:szCs w:val="20"/>
              </w:rPr>
              <w:t>Lugar de edición</w:t>
            </w:r>
          </w:p>
        </w:tc>
      </w:tr>
      <w:tr w:rsidR="00067D89">
        <w:trPr>
          <w:trHeight w:val="518"/>
        </w:trPr>
        <w:tc>
          <w:tcPr>
            <w:tcW w:w="840" w:type="dxa"/>
            <w:tcBorders>
              <w:top w:val="single" w:sz="4" w:space="0" w:color="000000"/>
            </w:tcBorders>
            <w:vAlign w:val="bottom"/>
          </w:tcPr>
          <w:p w:rsidR="00067D89" w:rsidRDefault="00A57D41">
            <w:pPr>
              <w:rPr>
                <w:i/>
                <w:color w:val="000000"/>
                <w:sz w:val="20"/>
                <w:szCs w:val="20"/>
              </w:rPr>
            </w:pPr>
            <w:r>
              <w:rPr>
                <w:color w:val="000000"/>
                <w:sz w:val="20"/>
                <w:szCs w:val="20"/>
              </w:rPr>
              <w:t>1983</w:t>
            </w:r>
          </w:p>
        </w:tc>
        <w:tc>
          <w:tcPr>
            <w:tcW w:w="2965" w:type="dxa"/>
            <w:tcBorders>
              <w:top w:val="single" w:sz="4" w:space="0" w:color="000000"/>
            </w:tcBorders>
            <w:vAlign w:val="bottom"/>
          </w:tcPr>
          <w:p w:rsidR="00067D89" w:rsidRDefault="00A57D41">
            <w:pPr>
              <w:rPr>
                <w:i/>
                <w:color w:val="000000"/>
                <w:sz w:val="20"/>
                <w:szCs w:val="20"/>
              </w:rPr>
            </w:pPr>
            <w:r>
              <w:rPr>
                <w:color w:val="000000"/>
                <w:sz w:val="20"/>
                <w:szCs w:val="20"/>
              </w:rPr>
              <w:t>Revista de Psicología</w:t>
            </w:r>
          </w:p>
        </w:tc>
        <w:tc>
          <w:tcPr>
            <w:tcW w:w="1274" w:type="dxa"/>
            <w:tcBorders>
              <w:top w:val="single" w:sz="4" w:space="0" w:color="000000"/>
            </w:tcBorders>
            <w:vAlign w:val="bottom"/>
          </w:tcPr>
          <w:p w:rsidR="00067D89" w:rsidRDefault="00A57D41">
            <w:pPr>
              <w:jc w:val="center"/>
              <w:rPr>
                <w:i/>
                <w:color w:val="000000"/>
                <w:sz w:val="20"/>
                <w:szCs w:val="20"/>
              </w:rPr>
            </w:pPr>
            <w:r>
              <w:rPr>
                <w:color w:val="000000"/>
                <w:sz w:val="20"/>
                <w:szCs w:val="20"/>
              </w:rPr>
              <w:t>0254-9247  </w:t>
            </w:r>
            <w:r>
              <w:rPr>
                <w:color w:val="000000"/>
                <w:sz w:val="20"/>
                <w:szCs w:val="20"/>
              </w:rPr>
              <w:br/>
              <w:t>2223-3733</w:t>
            </w:r>
          </w:p>
        </w:tc>
        <w:tc>
          <w:tcPr>
            <w:tcW w:w="2959" w:type="dxa"/>
            <w:tcBorders>
              <w:top w:val="single" w:sz="4" w:space="0" w:color="000000"/>
            </w:tcBorders>
            <w:vAlign w:val="bottom"/>
          </w:tcPr>
          <w:p w:rsidR="00067D89" w:rsidRDefault="00A57D41">
            <w:pPr>
              <w:jc w:val="both"/>
              <w:rPr>
                <w:i/>
                <w:color w:val="000000"/>
                <w:sz w:val="20"/>
                <w:szCs w:val="20"/>
              </w:rPr>
            </w:pPr>
            <w:r>
              <w:rPr>
                <w:color w:val="000000"/>
                <w:sz w:val="20"/>
                <w:szCs w:val="20"/>
              </w:rPr>
              <w:t>Pontificia Universidad Católica del Perú-UP</w:t>
            </w:r>
          </w:p>
        </w:tc>
        <w:tc>
          <w:tcPr>
            <w:tcW w:w="1268" w:type="dxa"/>
            <w:tcBorders>
              <w:top w:val="single" w:sz="4" w:space="0" w:color="000000"/>
            </w:tcBorders>
            <w:vAlign w:val="bottom"/>
          </w:tcPr>
          <w:p w:rsidR="00067D89" w:rsidRDefault="00A57D41">
            <w:pPr>
              <w:jc w:val="center"/>
              <w:rPr>
                <w:i/>
                <w:color w:val="000000"/>
                <w:sz w:val="20"/>
                <w:szCs w:val="20"/>
              </w:rPr>
            </w:pPr>
            <w:r>
              <w:rPr>
                <w:color w:val="000000"/>
                <w:sz w:val="20"/>
                <w:szCs w:val="20"/>
              </w:rPr>
              <w:t>Lima-C</w:t>
            </w:r>
          </w:p>
        </w:tc>
      </w:tr>
      <w:tr w:rsidR="00067D89">
        <w:trPr>
          <w:trHeight w:val="501"/>
        </w:trPr>
        <w:tc>
          <w:tcPr>
            <w:tcW w:w="840" w:type="dxa"/>
            <w:vAlign w:val="bottom"/>
          </w:tcPr>
          <w:p w:rsidR="00067D89" w:rsidRDefault="00A57D41">
            <w:pPr>
              <w:rPr>
                <w:i/>
                <w:color w:val="000000"/>
                <w:sz w:val="20"/>
                <w:szCs w:val="20"/>
              </w:rPr>
            </w:pPr>
            <w:r>
              <w:rPr>
                <w:color w:val="000000"/>
                <w:sz w:val="20"/>
                <w:szCs w:val="20"/>
              </w:rPr>
              <w:t>1993</w:t>
            </w:r>
          </w:p>
        </w:tc>
        <w:tc>
          <w:tcPr>
            <w:tcW w:w="2965" w:type="dxa"/>
            <w:vAlign w:val="bottom"/>
          </w:tcPr>
          <w:p w:rsidR="00067D89" w:rsidRDefault="00A57D41">
            <w:pPr>
              <w:rPr>
                <w:i/>
                <w:color w:val="000000"/>
                <w:sz w:val="20"/>
                <w:szCs w:val="20"/>
              </w:rPr>
            </w:pPr>
            <w:r>
              <w:rPr>
                <w:color w:val="000000"/>
                <w:sz w:val="20"/>
                <w:szCs w:val="20"/>
              </w:rPr>
              <w:t>Revista Avances en Psicología</w:t>
            </w:r>
          </w:p>
        </w:tc>
        <w:tc>
          <w:tcPr>
            <w:tcW w:w="1274" w:type="dxa"/>
            <w:vAlign w:val="bottom"/>
          </w:tcPr>
          <w:p w:rsidR="00067D89" w:rsidRDefault="00A57D41">
            <w:pPr>
              <w:jc w:val="center"/>
              <w:rPr>
                <w:i/>
                <w:color w:val="000000"/>
                <w:sz w:val="20"/>
                <w:szCs w:val="20"/>
              </w:rPr>
            </w:pPr>
            <w:r>
              <w:rPr>
                <w:color w:val="000000"/>
                <w:sz w:val="20"/>
                <w:szCs w:val="20"/>
              </w:rPr>
              <w:t>1812-9536</w:t>
            </w:r>
            <w:r>
              <w:rPr>
                <w:color w:val="000000"/>
                <w:sz w:val="20"/>
                <w:szCs w:val="20"/>
              </w:rPr>
              <w:br/>
              <w:t>2708-5007</w:t>
            </w:r>
          </w:p>
        </w:tc>
        <w:tc>
          <w:tcPr>
            <w:tcW w:w="2959" w:type="dxa"/>
            <w:vAlign w:val="bottom"/>
          </w:tcPr>
          <w:p w:rsidR="00067D89" w:rsidRDefault="00A57D41">
            <w:pPr>
              <w:jc w:val="both"/>
              <w:rPr>
                <w:i/>
                <w:color w:val="000000"/>
                <w:sz w:val="20"/>
                <w:szCs w:val="20"/>
              </w:rPr>
            </w:pPr>
            <w:r>
              <w:rPr>
                <w:color w:val="000000"/>
                <w:sz w:val="20"/>
                <w:szCs w:val="20"/>
              </w:rPr>
              <w:t>Universidad Femenina del Sagrado Corazón-UP</w:t>
            </w:r>
          </w:p>
        </w:tc>
        <w:tc>
          <w:tcPr>
            <w:tcW w:w="1268" w:type="dxa"/>
            <w:vAlign w:val="bottom"/>
          </w:tcPr>
          <w:p w:rsidR="00067D89" w:rsidRDefault="00A57D41">
            <w:pPr>
              <w:jc w:val="center"/>
              <w:rPr>
                <w:i/>
                <w:color w:val="000000"/>
                <w:sz w:val="20"/>
                <w:szCs w:val="20"/>
              </w:rPr>
            </w:pPr>
            <w:r>
              <w:rPr>
                <w:color w:val="000000"/>
                <w:sz w:val="20"/>
                <w:szCs w:val="20"/>
              </w:rPr>
              <w:t>Lima-C</w:t>
            </w:r>
          </w:p>
        </w:tc>
      </w:tr>
      <w:tr w:rsidR="00067D89">
        <w:trPr>
          <w:trHeight w:val="518"/>
        </w:trPr>
        <w:tc>
          <w:tcPr>
            <w:tcW w:w="840" w:type="dxa"/>
            <w:vAlign w:val="bottom"/>
          </w:tcPr>
          <w:p w:rsidR="00067D89" w:rsidRDefault="00A57D41">
            <w:pPr>
              <w:rPr>
                <w:i/>
                <w:color w:val="000000"/>
                <w:sz w:val="20"/>
                <w:szCs w:val="20"/>
              </w:rPr>
            </w:pPr>
            <w:r>
              <w:rPr>
                <w:color w:val="000000"/>
                <w:sz w:val="20"/>
                <w:szCs w:val="20"/>
              </w:rPr>
              <w:t>1995</w:t>
            </w:r>
          </w:p>
        </w:tc>
        <w:tc>
          <w:tcPr>
            <w:tcW w:w="2965" w:type="dxa"/>
            <w:vAlign w:val="bottom"/>
          </w:tcPr>
          <w:p w:rsidR="00067D89" w:rsidRDefault="00A57D41">
            <w:pPr>
              <w:rPr>
                <w:i/>
                <w:color w:val="000000"/>
                <w:sz w:val="20"/>
                <w:szCs w:val="20"/>
              </w:rPr>
            </w:pPr>
            <w:proofErr w:type="spellStart"/>
            <w:r>
              <w:rPr>
                <w:color w:val="000000"/>
                <w:sz w:val="20"/>
                <w:szCs w:val="20"/>
              </w:rPr>
              <w:t>Liberabit</w:t>
            </w:r>
            <w:proofErr w:type="spellEnd"/>
          </w:p>
        </w:tc>
        <w:tc>
          <w:tcPr>
            <w:tcW w:w="1274" w:type="dxa"/>
            <w:vAlign w:val="bottom"/>
          </w:tcPr>
          <w:p w:rsidR="00067D89" w:rsidRDefault="00A57D41">
            <w:pPr>
              <w:jc w:val="center"/>
              <w:rPr>
                <w:i/>
                <w:color w:val="000000"/>
                <w:sz w:val="20"/>
                <w:szCs w:val="20"/>
              </w:rPr>
            </w:pPr>
            <w:r>
              <w:rPr>
                <w:color w:val="000000"/>
                <w:sz w:val="20"/>
                <w:szCs w:val="20"/>
              </w:rPr>
              <w:t>1729-4827</w:t>
            </w:r>
            <w:r>
              <w:rPr>
                <w:color w:val="000000"/>
                <w:sz w:val="20"/>
                <w:szCs w:val="20"/>
              </w:rPr>
              <w:br/>
              <w:t>2223-7666</w:t>
            </w:r>
          </w:p>
        </w:tc>
        <w:tc>
          <w:tcPr>
            <w:tcW w:w="2959" w:type="dxa"/>
            <w:vAlign w:val="bottom"/>
          </w:tcPr>
          <w:p w:rsidR="00067D89" w:rsidRDefault="00A57D41">
            <w:pPr>
              <w:jc w:val="both"/>
              <w:rPr>
                <w:i/>
                <w:color w:val="000000"/>
                <w:sz w:val="20"/>
                <w:szCs w:val="20"/>
              </w:rPr>
            </w:pPr>
            <w:r>
              <w:rPr>
                <w:color w:val="000000"/>
                <w:sz w:val="20"/>
                <w:szCs w:val="20"/>
              </w:rPr>
              <w:t>Universidad de San Martín de Porres-UP</w:t>
            </w:r>
          </w:p>
        </w:tc>
        <w:tc>
          <w:tcPr>
            <w:tcW w:w="1268" w:type="dxa"/>
            <w:vAlign w:val="bottom"/>
          </w:tcPr>
          <w:p w:rsidR="00067D89" w:rsidRDefault="00A57D41">
            <w:pPr>
              <w:jc w:val="center"/>
              <w:rPr>
                <w:i/>
                <w:color w:val="000000"/>
                <w:sz w:val="20"/>
                <w:szCs w:val="20"/>
              </w:rPr>
            </w:pPr>
            <w:r>
              <w:rPr>
                <w:color w:val="000000"/>
                <w:sz w:val="20"/>
                <w:szCs w:val="20"/>
              </w:rPr>
              <w:t>Lima-C</w:t>
            </w:r>
          </w:p>
        </w:tc>
      </w:tr>
      <w:tr w:rsidR="00067D89">
        <w:trPr>
          <w:trHeight w:val="518"/>
        </w:trPr>
        <w:tc>
          <w:tcPr>
            <w:tcW w:w="840" w:type="dxa"/>
            <w:vAlign w:val="bottom"/>
          </w:tcPr>
          <w:p w:rsidR="00067D89" w:rsidRDefault="00A57D41">
            <w:pPr>
              <w:rPr>
                <w:i/>
                <w:color w:val="000000"/>
                <w:sz w:val="20"/>
                <w:szCs w:val="20"/>
              </w:rPr>
            </w:pPr>
            <w:r>
              <w:rPr>
                <w:color w:val="000000"/>
                <w:sz w:val="20"/>
                <w:szCs w:val="20"/>
              </w:rPr>
              <w:t>1997</w:t>
            </w:r>
          </w:p>
        </w:tc>
        <w:tc>
          <w:tcPr>
            <w:tcW w:w="2965" w:type="dxa"/>
            <w:vAlign w:val="bottom"/>
          </w:tcPr>
          <w:p w:rsidR="00067D89" w:rsidRDefault="00A57D41">
            <w:pPr>
              <w:rPr>
                <w:i/>
                <w:color w:val="000000"/>
                <w:sz w:val="20"/>
                <w:szCs w:val="20"/>
              </w:rPr>
            </w:pPr>
            <w:r>
              <w:rPr>
                <w:color w:val="000000"/>
                <w:sz w:val="20"/>
                <w:szCs w:val="20"/>
              </w:rPr>
              <w:t>Revista de Psicología</w:t>
            </w:r>
          </w:p>
        </w:tc>
        <w:tc>
          <w:tcPr>
            <w:tcW w:w="1274" w:type="dxa"/>
            <w:vAlign w:val="bottom"/>
          </w:tcPr>
          <w:p w:rsidR="00067D89" w:rsidRDefault="00A57D41">
            <w:pPr>
              <w:jc w:val="center"/>
              <w:rPr>
                <w:color w:val="000000"/>
                <w:sz w:val="20"/>
                <w:szCs w:val="20"/>
              </w:rPr>
            </w:pPr>
            <w:r>
              <w:rPr>
                <w:color w:val="000000"/>
                <w:sz w:val="20"/>
                <w:szCs w:val="20"/>
              </w:rPr>
              <w:t>1609-7564</w:t>
            </w:r>
          </w:p>
          <w:p w:rsidR="00067D89" w:rsidRDefault="00067D89">
            <w:pPr>
              <w:jc w:val="center"/>
              <w:rPr>
                <w:i/>
                <w:color w:val="000000"/>
                <w:sz w:val="20"/>
                <w:szCs w:val="20"/>
              </w:rPr>
            </w:pPr>
          </w:p>
        </w:tc>
        <w:tc>
          <w:tcPr>
            <w:tcW w:w="2959" w:type="dxa"/>
            <w:vAlign w:val="bottom"/>
          </w:tcPr>
          <w:p w:rsidR="00067D89" w:rsidRDefault="00A57D41">
            <w:pPr>
              <w:jc w:val="both"/>
              <w:rPr>
                <w:i/>
                <w:color w:val="000000"/>
                <w:sz w:val="20"/>
                <w:szCs w:val="20"/>
              </w:rPr>
            </w:pPr>
            <w:r>
              <w:rPr>
                <w:color w:val="000000"/>
                <w:sz w:val="20"/>
                <w:szCs w:val="20"/>
              </w:rPr>
              <w:t>Universidad Nacional Mayor de San Marcos-UE</w:t>
            </w:r>
          </w:p>
        </w:tc>
        <w:tc>
          <w:tcPr>
            <w:tcW w:w="1268" w:type="dxa"/>
            <w:vAlign w:val="bottom"/>
          </w:tcPr>
          <w:p w:rsidR="00067D89" w:rsidRDefault="00A57D41">
            <w:pPr>
              <w:jc w:val="center"/>
              <w:rPr>
                <w:i/>
                <w:color w:val="000000"/>
                <w:sz w:val="20"/>
                <w:szCs w:val="20"/>
              </w:rPr>
            </w:pPr>
            <w:r>
              <w:rPr>
                <w:color w:val="000000"/>
                <w:sz w:val="20"/>
                <w:szCs w:val="20"/>
              </w:rPr>
              <w:t>Lima-C</w:t>
            </w:r>
          </w:p>
        </w:tc>
      </w:tr>
      <w:tr w:rsidR="00067D89">
        <w:trPr>
          <w:trHeight w:val="501"/>
        </w:trPr>
        <w:tc>
          <w:tcPr>
            <w:tcW w:w="840" w:type="dxa"/>
            <w:vAlign w:val="bottom"/>
          </w:tcPr>
          <w:p w:rsidR="00067D89" w:rsidRDefault="00A57D41">
            <w:pPr>
              <w:rPr>
                <w:i/>
                <w:color w:val="000000"/>
                <w:sz w:val="20"/>
                <w:szCs w:val="20"/>
              </w:rPr>
            </w:pPr>
            <w:r>
              <w:rPr>
                <w:color w:val="000000"/>
                <w:sz w:val="20"/>
                <w:szCs w:val="20"/>
              </w:rPr>
              <w:t>1998</w:t>
            </w:r>
          </w:p>
        </w:tc>
        <w:tc>
          <w:tcPr>
            <w:tcW w:w="2965" w:type="dxa"/>
            <w:vAlign w:val="bottom"/>
          </w:tcPr>
          <w:p w:rsidR="00067D89" w:rsidRDefault="00A57D41">
            <w:pPr>
              <w:rPr>
                <w:i/>
                <w:color w:val="000000"/>
                <w:sz w:val="20"/>
                <w:szCs w:val="20"/>
              </w:rPr>
            </w:pPr>
            <w:r>
              <w:rPr>
                <w:color w:val="000000"/>
                <w:sz w:val="20"/>
                <w:szCs w:val="20"/>
              </w:rPr>
              <w:t>Revista de investigación en Psicología</w:t>
            </w:r>
          </w:p>
        </w:tc>
        <w:tc>
          <w:tcPr>
            <w:tcW w:w="1274" w:type="dxa"/>
            <w:vAlign w:val="bottom"/>
          </w:tcPr>
          <w:p w:rsidR="00067D89" w:rsidRDefault="00A57D41">
            <w:pPr>
              <w:jc w:val="center"/>
              <w:rPr>
                <w:i/>
                <w:color w:val="000000"/>
                <w:sz w:val="20"/>
                <w:szCs w:val="20"/>
              </w:rPr>
            </w:pPr>
            <w:r>
              <w:rPr>
                <w:color w:val="000000"/>
                <w:sz w:val="20"/>
                <w:szCs w:val="20"/>
              </w:rPr>
              <w:t>1560-909X</w:t>
            </w:r>
            <w:r>
              <w:rPr>
                <w:color w:val="000000"/>
                <w:sz w:val="20"/>
                <w:szCs w:val="20"/>
              </w:rPr>
              <w:br/>
              <w:t>1609-7475</w:t>
            </w:r>
          </w:p>
        </w:tc>
        <w:tc>
          <w:tcPr>
            <w:tcW w:w="2959" w:type="dxa"/>
            <w:vAlign w:val="bottom"/>
          </w:tcPr>
          <w:p w:rsidR="00067D89" w:rsidRDefault="00A57D41">
            <w:pPr>
              <w:jc w:val="both"/>
              <w:rPr>
                <w:i/>
                <w:color w:val="000000"/>
                <w:sz w:val="20"/>
                <w:szCs w:val="20"/>
              </w:rPr>
            </w:pPr>
            <w:r>
              <w:rPr>
                <w:color w:val="000000"/>
                <w:sz w:val="20"/>
                <w:szCs w:val="20"/>
              </w:rPr>
              <w:t>Universidad Nacional Mayor de San Marcos-UE</w:t>
            </w:r>
          </w:p>
        </w:tc>
        <w:tc>
          <w:tcPr>
            <w:tcW w:w="1268" w:type="dxa"/>
            <w:vAlign w:val="bottom"/>
          </w:tcPr>
          <w:p w:rsidR="00067D89" w:rsidRDefault="00A57D41">
            <w:pPr>
              <w:jc w:val="center"/>
              <w:rPr>
                <w:i/>
                <w:color w:val="000000"/>
                <w:sz w:val="20"/>
                <w:szCs w:val="20"/>
              </w:rPr>
            </w:pPr>
            <w:r>
              <w:rPr>
                <w:color w:val="000000"/>
                <w:sz w:val="20"/>
                <w:szCs w:val="20"/>
              </w:rPr>
              <w:t>Lima-C</w:t>
            </w:r>
          </w:p>
        </w:tc>
      </w:tr>
      <w:tr w:rsidR="00067D89">
        <w:trPr>
          <w:trHeight w:val="518"/>
        </w:trPr>
        <w:tc>
          <w:tcPr>
            <w:tcW w:w="840" w:type="dxa"/>
            <w:vAlign w:val="bottom"/>
          </w:tcPr>
          <w:p w:rsidR="00067D89" w:rsidRDefault="00A57D41">
            <w:pPr>
              <w:rPr>
                <w:i/>
                <w:color w:val="000000"/>
                <w:sz w:val="20"/>
                <w:szCs w:val="20"/>
              </w:rPr>
            </w:pPr>
            <w:r>
              <w:rPr>
                <w:color w:val="000000"/>
                <w:sz w:val="20"/>
                <w:szCs w:val="20"/>
              </w:rPr>
              <w:t>1998</w:t>
            </w:r>
          </w:p>
        </w:tc>
        <w:tc>
          <w:tcPr>
            <w:tcW w:w="2965" w:type="dxa"/>
            <w:vAlign w:val="bottom"/>
          </w:tcPr>
          <w:p w:rsidR="00067D89" w:rsidRDefault="00A57D41">
            <w:pPr>
              <w:rPr>
                <w:i/>
                <w:color w:val="000000"/>
                <w:sz w:val="20"/>
                <w:szCs w:val="20"/>
              </w:rPr>
            </w:pPr>
            <w:r>
              <w:rPr>
                <w:color w:val="000000"/>
                <w:sz w:val="20"/>
                <w:szCs w:val="20"/>
              </w:rPr>
              <w:t>Persona</w:t>
            </w:r>
          </w:p>
        </w:tc>
        <w:tc>
          <w:tcPr>
            <w:tcW w:w="1274" w:type="dxa"/>
            <w:vAlign w:val="bottom"/>
          </w:tcPr>
          <w:p w:rsidR="00067D89" w:rsidRDefault="00A57D41">
            <w:pPr>
              <w:jc w:val="center"/>
              <w:rPr>
                <w:i/>
                <w:color w:val="000000"/>
                <w:sz w:val="20"/>
                <w:szCs w:val="20"/>
              </w:rPr>
            </w:pPr>
            <w:r>
              <w:rPr>
                <w:color w:val="000000"/>
                <w:sz w:val="20"/>
                <w:szCs w:val="20"/>
              </w:rPr>
              <w:t>1560-6139</w:t>
            </w:r>
            <w:r>
              <w:rPr>
                <w:color w:val="000000"/>
                <w:sz w:val="20"/>
                <w:szCs w:val="20"/>
              </w:rPr>
              <w:br/>
              <w:t>2309-9062</w:t>
            </w:r>
          </w:p>
        </w:tc>
        <w:tc>
          <w:tcPr>
            <w:tcW w:w="2959" w:type="dxa"/>
            <w:vAlign w:val="bottom"/>
          </w:tcPr>
          <w:p w:rsidR="00067D89" w:rsidRDefault="00A57D41">
            <w:pPr>
              <w:jc w:val="both"/>
              <w:rPr>
                <w:i/>
                <w:color w:val="000000"/>
                <w:sz w:val="20"/>
                <w:szCs w:val="20"/>
              </w:rPr>
            </w:pPr>
            <w:r>
              <w:rPr>
                <w:color w:val="000000"/>
                <w:sz w:val="20"/>
                <w:szCs w:val="20"/>
              </w:rPr>
              <w:t>Universidad de Lima-UP</w:t>
            </w:r>
          </w:p>
        </w:tc>
        <w:tc>
          <w:tcPr>
            <w:tcW w:w="1268" w:type="dxa"/>
            <w:vAlign w:val="bottom"/>
          </w:tcPr>
          <w:p w:rsidR="00067D89" w:rsidRDefault="00A57D41">
            <w:pPr>
              <w:jc w:val="center"/>
              <w:rPr>
                <w:i/>
                <w:color w:val="000000"/>
                <w:sz w:val="20"/>
                <w:szCs w:val="20"/>
              </w:rPr>
            </w:pPr>
            <w:r>
              <w:rPr>
                <w:color w:val="000000"/>
                <w:sz w:val="20"/>
                <w:szCs w:val="20"/>
              </w:rPr>
              <w:t>Lima-C</w:t>
            </w:r>
          </w:p>
        </w:tc>
      </w:tr>
      <w:tr w:rsidR="00067D89">
        <w:trPr>
          <w:trHeight w:val="518"/>
        </w:trPr>
        <w:tc>
          <w:tcPr>
            <w:tcW w:w="840" w:type="dxa"/>
            <w:vAlign w:val="bottom"/>
          </w:tcPr>
          <w:p w:rsidR="00067D89" w:rsidRDefault="00A57D41">
            <w:pPr>
              <w:rPr>
                <w:i/>
                <w:color w:val="000000"/>
                <w:sz w:val="20"/>
                <w:szCs w:val="20"/>
              </w:rPr>
            </w:pPr>
            <w:r>
              <w:rPr>
                <w:color w:val="000000"/>
                <w:sz w:val="20"/>
                <w:szCs w:val="20"/>
              </w:rPr>
              <w:t>2002</w:t>
            </w:r>
          </w:p>
        </w:tc>
        <w:tc>
          <w:tcPr>
            <w:tcW w:w="2965" w:type="dxa"/>
            <w:vAlign w:val="bottom"/>
          </w:tcPr>
          <w:p w:rsidR="00067D89" w:rsidRDefault="00A57D41">
            <w:pPr>
              <w:rPr>
                <w:i/>
                <w:color w:val="000000"/>
                <w:sz w:val="20"/>
                <w:szCs w:val="20"/>
              </w:rPr>
            </w:pPr>
            <w:r>
              <w:rPr>
                <w:color w:val="000000"/>
                <w:sz w:val="20"/>
                <w:szCs w:val="20"/>
              </w:rPr>
              <w:t>Revista de Psicología</w:t>
            </w:r>
          </w:p>
        </w:tc>
        <w:tc>
          <w:tcPr>
            <w:tcW w:w="1274" w:type="dxa"/>
            <w:vAlign w:val="bottom"/>
          </w:tcPr>
          <w:p w:rsidR="00067D89" w:rsidRDefault="00A57D41">
            <w:pPr>
              <w:jc w:val="center"/>
              <w:rPr>
                <w:i/>
                <w:color w:val="000000"/>
                <w:sz w:val="20"/>
                <w:szCs w:val="20"/>
              </w:rPr>
            </w:pPr>
            <w:r>
              <w:rPr>
                <w:color w:val="000000"/>
                <w:sz w:val="20"/>
                <w:szCs w:val="20"/>
              </w:rPr>
              <w:t>1990-6757</w:t>
            </w:r>
            <w:r>
              <w:rPr>
                <w:color w:val="000000"/>
                <w:sz w:val="20"/>
                <w:szCs w:val="20"/>
              </w:rPr>
              <w:br/>
              <w:t>2411-0167</w:t>
            </w:r>
          </w:p>
        </w:tc>
        <w:tc>
          <w:tcPr>
            <w:tcW w:w="2959" w:type="dxa"/>
            <w:vAlign w:val="bottom"/>
          </w:tcPr>
          <w:p w:rsidR="00067D89" w:rsidRDefault="00A57D41">
            <w:pPr>
              <w:jc w:val="both"/>
              <w:rPr>
                <w:i/>
                <w:color w:val="000000"/>
                <w:sz w:val="20"/>
                <w:szCs w:val="20"/>
              </w:rPr>
            </w:pPr>
            <w:r>
              <w:rPr>
                <w:color w:val="000000"/>
                <w:sz w:val="20"/>
                <w:szCs w:val="20"/>
              </w:rPr>
              <w:t>Universidad César Vallejo-UP</w:t>
            </w:r>
          </w:p>
        </w:tc>
        <w:tc>
          <w:tcPr>
            <w:tcW w:w="1268" w:type="dxa"/>
            <w:vAlign w:val="bottom"/>
          </w:tcPr>
          <w:p w:rsidR="00067D89" w:rsidRDefault="00A57D41">
            <w:pPr>
              <w:jc w:val="center"/>
              <w:rPr>
                <w:i/>
                <w:color w:val="000000"/>
                <w:sz w:val="20"/>
                <w:szCs w:val="20"/>
              </w:rPr>
            </w:pPr>
            <w:r>
              <w:rPr>
                <w:color w:val="000000"/>
                <w:sz w:val="20"/>
                <w:szCs w:val="20"/>
              </w:rPr>
              <w:t>Trujillo-P</w:t>
            </w:r>
          </w:p>
        </w:tc>
      </w:tr>
      <w:tr w:rsidR="00067D89">
        <w:trPr>
          <w:trHeight w:val="501"/>
        </w:trPr>
        <w:tc>
          <w:tcPr>
            <w:tcW w:w="840" w:type="dxa"/>
            <w:vAlign w:val="bottom"/>
          </w:tcPr>
          <w:p w:rsidR="00067D89" w:rsidRDefault="00A57D41">
            <w:pPr>
              <w:rPr>
                <w:i/>
                <w:color w:val="000000"/>
                <w:sz w:val="20"/>
                <w:szCs w:val="20"/>
              </w:rPr>
            </w:pPr>
            <w:r>
              <w:rPr>
                <w:color w:val="000000"/>
                <w:sz w:val="20"/>
                <w:szCs w:val="20"/>
              </w:rPr>
              <w:t>2005</w:t>
            </w:r>
          </w:p>
        </w:tc>
        <w:tc>
          <w:tcPr>
            <w:tcW w:w="2965" w:type="dxa"/>
            <w:vAlign w:val="bottom"/>
          </w:tcPr>
          <w:p w:rsidR="00067D89" w:rsidRDefault="00A57D41">
            <w:pPr>
              <w:rPr>
                <w:i/>
                <w:color w:val="000000"/>
                <w:sz w:val="20"/>
                <w:szCs w:val="20"/>
              </w:rPr>
            </w:pPr>
            <w:r>
              <w:rPr>
                <w:color w:val="000000"/>
                <w:sz w:val="20"/>
                <w:szCs w:val="20"/>
              </w:rPr>
              <w:t>Temática psicológica</w:t>
            </w:r>
          </w:p>
        </w:tc>
        <w:tc>
          <w:tcPr>
            <w:tcW w:w="1274" w:type="dxa"/>
            <w:vAlign w:val="bottom"/>
          </w:tcPr>
          <w:p w:rsidR="00067D89" w:rsidRDefault="00A57D41">
            <w:pPr>
              <w:jc w:val="center"/>
              <w:rPr>
                <w:i/>
                <w:color w:val="000000"/>
                <w:sz w:val="20"/>
                <w:szCs w:val="20"/>
              </w:rPr>
            </w:pPr>
            <w:r>
              <w:rPr>
                <w:color w:val="000000"/>
                <w:sz w:val="20"/>
                <w:szCs w:val="20"/>
              </w:rPr>
              <w:t>1817-390X</w:t>
            </w:r>
            <w:r>
              <w:rPr>
                <w:color w:val="000000"/>
                <w:sz w:val="20"/>
                <w:szCs w:val="20"/>
              </w:rPr>
              <w:br/>
              <w:t>2708-5449</w:t>
            </w:r>
          </w:p>
        </w:tc>
        <w:tc>
          <w:tcPr>
            <w:tcW w:w="2959" w:type="dxa"/>
            <w:vAlign w:val="bottom"/>
          </w:tcPr>
          <w:p w:rsidR="00067D89" w:rsidRDefault="00A57D41">
            <w:pPr>
              <w:jc w:val="both"/>
              <w:rPr>
                <w:i/>
                <w:color w:val="000000"/>
                <w:sz w:val="20"/>
                <w:szCs w:val="20"/>
              </w:rPr>
            </w:pPr>
            <w:r>
              <w:rPr>
                <w:color w:val="000000"/>
                <w:sz w:val="20"/>
                <w:szCs w:val="20"/>
              </w:rPr>
              <w:t>Universidad Femenina del Sagrado Corazón-UP</w:t>
            </w:r>
          </w:p>
        </w:tc>
        <w:tc>
          <w:tcPr>
            <w:tcW w:w="1268" w:type="dxa"/>
            <w:vAlign w:val="bottom"/>
          </w:tcPr>
          <w:p w:rsidR="00067D89" w:rsidRDefault="00A57D41">
            <w:pPr>
              <w:jc w:val="center"/>
              <w:rPr>
                <w:i/>
                <w:color w:val="000000"/>
                <w:sz w:val="20"/>
                <w:szCs w:val="20"/>
              </w:rPr>
            </w:pPr>
            <w:r>
              <w:rPr>
                <w:color w:val="000000"/>
                <w:sz w:val="20"/>
                <w:szCs w:val="20"/>
              </w:rPr>
              <w:t>Lima-C</w:t>
            </w:r>
          </w:p>
        </w:tc>
      </w:tr>
      <w:tr w:rsidR="00067D89">
        <w:trPr>
          <w:trHeight w:val="518"/>
        </w:trPr>
        <w:tc>
          <w:tcPr>
            <w:tcW w:w="840" w:type="dxa"/>
            <w:vAlign w:val="bottom"/>
          </w:tcPr>
          <w:p w:rsidR="00067D89" w:rsidRDefault="00A57D41">
            <w:pPr>
              <w:rPr>
                <w:i/>
                <w:color w:val="000000"/>
                <w:sz w:val="20"/>
                <w:szCs w:val="20"/>
              </w:rPr>
            </w:pPr>
            <w:r>
              <w:rPr>
                <w:color w:val="000000"/>
                <w:sz w:val="20"/>
                <w:szCs w:val="20"/>
              </w:rPr>
              <w:t>2011</w:t>
            </w:r>
          </w:p>
        </w:tc>
        <w:tc>
          <w:tcPr>
            <w:tcW w:w="2965" w:type="dxa"/>
            <w:vAlign w:val="bottom"/>
          </w:tcPr>
          <w:p w:rsidR="00067D89" w:rsidRDefault="00A57D41">
            <w:pPr>
              <w:rPr>
                <w:i/>
                <w:color w:val="000000"/>
                <w:sz w:val="20"/>
                <w:szCs w:val="20"/>
              </w:rPr>
            </w:pPr>
            <w:r>
              <w:rPr>
                <w:color w:val="000000"/>
                <w:sz w:val="20"/>
                <w:szCs w:val="20"/>
              </w:rPr>
              <w:t>Revista de Psicología</w:t>
            </w:r>
          </w:p>
        </w:tc>
        <w:tc>
          <w:tcPr>
            <w:tcW w:w="1274" w:type="dxa"/>
            <w:vAlign w:val="bottom"/>
          </w:tcPr>
          <w:p w:rsidR="00067D89" w:rsidRDefault="00A57D41">
            <w:pPr>
              <w:jc w:val="center"/>
              <w:rPr>
                <w:i/>
                <w:color w:val="000000"/>
                <w:sz w:val="20"/>
                <w:szCs w:val="20"/>
              </w:rPr>
            </w:pPr>
            <w:r>
              <w:rPr>
                <w:color w:val="000000"/>
                <w:sz w:val="20"/>
                <w:szCs w:val="20"/>
              </w:rPr>
              <w:t>2306-0565</w:t>
            </w:r>
            <w:r>
              <w:rPr>
                <w:color w:val="000000"/>
                <w:sz w:val="20"/>
                <w:szCs w:val="20"/>
              </w:rPr>
              <w:br/>
              <w:t>2311-7397</w:t>
            </w:r>
          </w:p>
        </w:tc>
        <w:tc>
          <w:tcPr>
            <w:tcW w:w="2959" w:type="dxa"/>
            <w:vAlign w:val="bottom"/>
          </w:tcPr>
          <w:p w:rsidR="00067D89" w:rsidRDefault="00A57D41">
            <w:pPr>
              <w:jc w:val="both"/>
              <w:rPr>
                <w:i/>
                <w:color w:val="000000"/>
                <w:sz w:val="20"/>
                <w:szCs w:val="20"/>
              </w:rPr>
            </w:pPr>
            <w:r>
              <w:rPr>
                <w:color w:val="000000"/>
                <w:sz w:val="20"/>
                <w:szCs w:val="20"/>
              </w:rPr>
              <w:t>Universidad Católica San Pablo-UP</w:t>
            </w:r>
          </w:p>
        </w:tc>
        <w:tc>
          <w:tcPr>
            <w:tcW w:w="1268" w:type="dxa"/>
            <w:vAlign w:val="bottom"/>
          </w:tcPr>
          <w:p w:rsidR="00067D89" w:rsidRDefault="00A57D41">
            <w:pPr>
              <w:jc w:val="center"/>
              <w:rPr>
                <w:i/>
                <w:color w:val="000000"/>
                <w:sz w:val="20"/>
                <w:szCs w:val="20"/>
              </w:rPr>
            </w:pPr>
            <w:r>
              <w:rPr>
                <w:color w:val="000000"/>
                <w:sz w:val="20"/>
                <w:szCs w:val="20"/>
              </w:rPr>
              <w:t>Arequipa -P</w:t>
            </w:r>
          </w:p>
        </w:tc>
      </w:tr>
      <w:tr w:rsidR="00067D89">
        <w:trPr>
          <w:trHeight w:val="518"/>
        </w:trPr>
        <w:tc>
          <w:tcPr>
            <w:tcW w:w="840" w:type="dxa"/>
            <w:vAlign w:val="bottom"/>
          </w:tcPr>
          <w:p w:rsidR="00067D89" w:rsidRDefault="00A57D41">
            <w:pPr>
              <w:rPr>
                <w:i/>
                <w:color w:val="000000"/>
                <w:sz w:val="20"/>
                <w:szCs w:val="20"/>
              </w:rPr>
            </w:pPr>
            <w:r>
              <w:rPr>
                <w:color w:val="000000"/>
                <w:sz w:val="20"/>
                <w:szCs w:val="20"/>
              </w:rPr>
              <w:t>2011</w:t>
            </w:r>
          </w:p>
        </w:tc>
        <w:tc>
          <w:tcPr>
            <w:tcW w:w="2965" w:type="dxa"/>
            <w:vAlign w:val="bottom"/>
          </w:tcPr>
          <w:p w:rsidR="00067D89" w:rsidRDefault="00A57D41">
            <w:pPr>
              <w:rPr>
                <w:i/>
                <w:color w:val="000000"/>
                <w:sz w:val="20"/>
                <w:szCs w:val="20"/>
              </w:rPr>
            </w:pPr>
            <w:r>
              <w:rPr>
                <w:color w:val="000000"/>
                <w:sz w:val="20"/>
                <w:szCs w:val="20"/>
              </w:rPr>
              <w:t>Revista Psicológica Herediana</w:t>
            </w:r>
          </w:p>
        </w:tc>
        <w:tc>
          <w:tcPr>
            <w:tcW w:w="1274" w:type="dxa"/>
            <w:vAlign w:val="bottom"/>
          </w:tcPr>
          <w:p w:rsidR="00067D89" w:rsidRDefault="00A57D41">
            <w:pPr>
              <w:jc w:val="center"/>
              <w:rPr>
                <w:i/>
                <w:color w:val="000000"/>
                <w:sz w:val="20"/>
                <w:szCs w:val="20"/>
              </w:rPr>
            </w:pPr>
            <w:r>
              <w:rPr>
                <w:color w:val="000000"/>
                <w:sz w:val="20"/>
                <w:szCs w:val="20"/>
              </w:rPr>
              <w:t>1818-6408</w:t>
            </w:r>
            <w:r>
              <w:rPr>
                <w:color w:val="000000"/>
                <w:sz w:val="20"/>
                <w:szCs w:val="20"/>
              </w:rPr>
              <w:br/>
              <w:t>2663-8797</w:t>
            </w:r>
          </w:p>
        </w:tc>
        <w:tc>
          <w:tcPr>
            <w:tcW w:w="2959" w:type="dxa"/>
            <w:vAlign w:val="bottom"/>
          </w:tcPr>
          <w:p w:rsidR="00067D89" w:rsidRDefault="00A57D41">
            <w:pPr>
              <w:jc w:val="both"/>
              <w:rPr>
                <w:i/>
                <w:color w:val="000000"/>
                <w:sz w:val="20"/>
                <w:szCs w:val="20"/>
              </w:rPr>
            </w:pPr>
            <w:r>
              <w:rPr>
                <w:color w:val="000000"/>
                <w:sz w:val="20"/>
                <w:szCs w:val="20"/>
              </w:rPr>
              <w:t>Universidad Peruana Cayetano Heredia-UP</w:t>
            </w:r>
          </w:p>
        </w:tc>
        <w:tc>
          <w:tcPr>
            <w:tcW w:w="1268" w:type="dxa"/>
            <w:vAlign w:val="bottom"/>
          </w:tcPr>
          <w:p w:rsidR="00067D89" w:rsidRDefault="00A57D41">
            <w:pPr>
              <w:jc w:val="center"/>
              <w:rPr>
                <w:i/>
                <w:color w:val="000000"/>
                <w:sz w:val="20"/>
                <w:szCs w:val="20"/>
              </w:rPr>
            </w:pPr>
            <w:r>
              <w:rPr>
                <w:color w:val="000000"/>
                <w:sz w:val="20"/>
                <w:szCs w:val="20"/>
              </w:rPr>
              <w:t>Lima-C</w:t>
            </w:r>
          </w:p>
        </w:tc>
      </w:tr>
      <w:tr w:rsidR="00067D89">
        <w:trPr>
          <w:trHeight w:val="501"/>
        </w:trPr>
        <w:tc>
          <w:tcPr>
            <w:tcW w:w="840" w:type="dxa"/>
            <w:vAlign w:val="bottom"/>
          </w:tcPr>
          <w:p w:rsidR="00067D89" w:rsidRDefault="00A57D41">
            <w:pPr>
              <w:rPr>
                <w:i/>
                <w:color w:val="000000"/>
                <w:sz w:val="20"/>
                <w:szCs w:val="20"/>
              </w:rPr>
            </w:pPr>
            <w:r>
              <w:rPr>
                <w:color w:val="000000"/>
                <w:sz w:val="20"/>
                <w:szCs w:val="20"/>
              </w:rPr>
              <w:t>2012</w:t>
            </w:r>
          </w:p>
        </w:tc>
        <w:tc>
          <w:tcPr>
            <w:tcW w:w="2965" w:type="dxa"/>
            <w:vAlign w:val="bottom"/>
          </w:tcPr>
          <w:p w:rsidR="00067D89" w:rsidRDefault="00A57D41">
            <w:pPr>
              <w:rPr>
                <w:i/>
                <w:color w:val="000000"/>
                <w:sz w:val="20"/>
                <w:szCs w:val="20"/>
              </w:rPr>
            </w:pPr>
            <w:r>
              <w:rPr>
                <w:color w:val="000000"/>
                <w:sz w:val="20"/>
                <w:szCs w:val="20"/>
              </w:rPr>
              <w:t xml:space="preserve">Revista de </w:t>
            </w:r>
            <w:proofErr w:type="spellStart"/>
            <w:r>
              <w:rPr>
                <w:color w:val="000000"/>
                <w:sz w:val="20"/>
                <w:szCs w:val="20"/>
              </w:rPr>
              <w:t>investigaciòn</w:t>
            </w:r>
            <w:proofErr w:type="spellEnd"/>
            <w:r>
              <w:rPr>
                <w:color w:val="000000"/>
                <w:sz w:val="20"/>
                <w:szCs w:val="20"/>
              </w:rPr>
              <w:t xml:space="preserve"> de estudiantes de </w:t>
            </w:r>
            <w:proofErr w:type="spellStart"/>
            <w:r>
              <w:rPr>
                <w:color w:val="000000"/>
                <w:sz w:val="20"/>
                <w:szCs w:val="20"/>
              </w:rPr>
              <w:t>psicologìa</w:t>
            </w:r>
            <w:proofErr w:type="spellEnd"/>
            <w:r>
              <w:rPr>
                <w:color w:val="000000"/>
                <w:sz w:val="20"/>
                <w:szCs w:val="20"/>
              </w:rPr>
              <w:t xml:space="preserve"> "JANG"</w:t>
            </w:r>
          </w:p>
        </w:tc>
        <w:tc>
          <w:tcPr>
            <w:tcW w:w="1274" w:type="dxa"/>
            <w:vAlign w:val="bottom"/>
          </w:tcPr>
          <w:p w:rsidR="00067D89" w:rsidRDefault="00A57D41">
            <w:pPr>
              <w:jc w:val="center"/>
              <w:rPr>
                <w:color w:val="000000"/>
                <w:sz w:val="20"/>
                <w:szCs w:val="20"/>
              </w:rPr>
            </w:pPr>
            <w:r>
              <w:rPr>
                <w:color w:val="000000"/>
                <w:sz w:val="20"/>
                <w:szCs w:val="20"/>
              </w:rPr>
              <w:t>2307-4302</w:t>
            </w:r>
          </w:p>
          <w:p w:rsidR="00067D89" w:rsidRDefault="00067D89">
            <w:pPr>
              <w:jc w:val="center"/>
              <w:rPr>
                <w:i/>
                <w:color w:val="000000"/>
                <w:sz w:val="20"/>
                <w:szCs w:val="20"/>
              </w:rPr>
            </w:pPr>
          </w:p>
        </w:tc>
        <w:tc>
          <w:tcPr>
            <w:tcW w:w="2959" w:type="dxa"/>
            <w:vAlign w:val="bottom"/>
          </w:tcPr>
          <w:p w:rsidR="00067D89" w:rsidRDefault="00A57D41">
            <w:pPr>
              <w:jc w:val="both"/>
              <w:rPr>
                <w:i/>
                <w:color w:val="000000"/>
                <w:sz w:val="20"/>
                <w:szCs w:val="20"/>
              </w:rPr>
            </w:pPr>
            <w:r>
              <w:rPr>
                <w:color w:val="000000"/>
                <w:sz w:val="20"/>
                <w:szCs w:val="20"/>
              </w:rPr>
              <w:t>Universidad César Vallejo-UP</w:t>
            </w:r>
          </w:p>
        </w:tc>
        <w:tc>
          <w:tcPr>
            <w:tcW w:w="1268" w:type="dxa"/>
            <w:vAlign w:val="bottom"/>
          </w:tcPr>
          <w:p w:rsidR="00067D89" w:rsidRDefault="00A57D41">
            <w:pPr>
              <w:jc w:val="center"/>
              <w:rPr>
                <w:i/>
                <w:color w:val="000000"/>
                <w:sz w:val="20"/>
                <w:szCs w:val="20"/>
              </w:rPr>
            </w:pPr>
            <w:r>
              <w:rPr>
                <w:color w:val="000000"/>
                <w:sz w:val="20"/>
                <w:szCs w:val="20"/>
              </w:rPr>
              <w:t>Trujillo-P</w:t>
            </w:r>
          </w:p>
        </w:tc>
      </w:tr>
      <w:tr w:rsidR="00067D89">
        <w:trPr>
          <w:trHeight w:val="266"/>
        </w:trPr>
        <w:tc>
          <w:tcPr>
            <w:tcW w:w="840" w:type="dxa"/>
            <w:vAlign w:val="bottom"/>
          </w:tcPr>
          <w:p w:rsidR="00067D89" w:rsidRDefault="00A57D41">
            <w:pPr>
              <w:rPr>
                <w:i/>
                <w:color w:val="000000"/>
                <w:sz w:val="20"/>
                <w:szCs w:val="20"/>
              </w:rPr>
            </w:pPr>
            <w:r>
              <w:rPr>
                <w:color w:val="000000"/>
                <w:sz w:val="20"/>
                <w:szCs w:val="20"/>
              </w:rPr>
              <w:t>2012</w:t>
            </w:r>
          </w:p>
        </w:tc>
        <w:tc>
          <w:tcPr>
            <w:tcW w:w="2965" w:type="dxa"/>
            <w:vAlign w:val="bottom"/>
          </w:tcPr>
          <w:p w:rsidR="00067D89" w:rsidRDefault="00A57D41">
            <w:pPr>
              <w:rPr>
                <w:i/>
                <w:color w:val="000000"/>
                <w:sz w:val="20"/>
                <w:szCs w:val="20"/>
              </w:rPr>
            </w:pPr>
            <w:proofErr w:type="spellStart"/>
            <w:r>
              <w:rPr>
                <w:color w:val="000000"/>
                <w:sz w:val="20"/>
                <w:szCs w:val="20"/>
              </w:rPr>
              <w:t>PsiqueMag</w:t>
            </w:r>
            <w:proofErr w:type="spellEnd"/>
          </w:p>
        </w:tc>
        <w:tc>
          <w:tcPr>
            <w:tcW w:w="1274" w:type="dxa"/>
            <w:vAlign w:val="bottom"/>
          </w:tcPr>
          <w:p w:rsidR="00067D89" w:rsidRDefault="00A57D41">
            <w:pPr>
              <w:jc w:val="center"/>
              <w:rPr>
                <w:color w:val="000000"/>
                <w:sz w:val="20"/>
                <w:szCs w:val="20"/>
              </w:rPr>
            </w:pPr>
            <w:r>
              <w:rPr>
                <w:color w:val="000000"/>
                <w:sz w:val="20"/>
                <w:szCs w:val="20"/>
              </w:rPr>
              <w:t>2307-0846</w:t>
            </w:r>
          </w:p>
          <w:p w:rsidR="00067D89" w:rsidRDefault="00067D89">
            <w:pPr>
              <w:jc w:val="center"/>
              <w:rPr>
                <w:i/>
                <w:color w:val="000000"/>
                <w:sz w:val="20"/>
                <w:szCs w:val="20"/>
              </w:rPr>
            </w:pPr>
          </w:p>
        </w:tc>
        <w:tc>
          <w:tcPr>
            <w:tcW w:w="2959" w:type="dxa"/>
            <w:vAlign w:val="bottom"/>
          </w:tcPr>
          <w:p w:rsidR="00067D89" w:rsidRDefault="00A57D41">
            <w:pPr>
              <w:jc w:val="both"/>
              <w:rPr>
                <w:i/>
                <w:color w:val="000000"/>
                <w:sz w:val="20"/>
                <w:szCs w:val="20"/>
              </w:rPr>
            </w:pPr>
            <w:r>
              <w:rPr>
                <w:color w:val="000000"/>
                <w:sz w:val="20"/>
                <w:szCs w:val="20"/>
              </w:rPr>
              <w:t>Universidad César Vallejo-UP</w:t>
            </w:r>
          </w:p>
        </w:tc>
        <w:tc>
          <w:tcPr>
            <w:tcW w:w="1268" w:type="dxa"/>
            <w:vAlign w:val="bottom"/>
          </w:tcPr>
          <w:p w:rsidR="00067D89" w:rsidRDefault="00A57D41">
            <w:pPr>
              <w:jc w:val="center"/>
              <w:rPr>
                <w:i/>
                <w:color w:val="000000"/>
                <w:sz w:val="20"/>
                <w:szCs w:val="20"/>
              </w:rPr>
            </w:pPr>
            <w:r>
              <w:rPr>
                <w:color w:val="000000"/>
                <w:sz w:val="20"/>
                <w:szCs w:val="20"/>
              </w:rPr>
              <w:t>Lima-C</w:t>
            </w:r>
          </w:p>
        </w:tc>
      </w:tr>
      <w:tr w:rsidR="00067D89">
        <w:trPr>
          <w:trHeight w:val="501"/>
        </w:trPr>
        <w:tc>
          <w:tcPr>
            <w:tcW w:w="840" w:type="dxa"/>
            <w:vAlign w:val="bottom"/>
          </w:tcPr>
          <w:p w:rsidR="00067D89" w:rsidRDefault="00A57D41">
            <w:pPr>
              <w:rPr>
                <w:i/>
                <w:color w:val="000000"/>
                <w:sz w:val="20"/>
                <w:szCs w:val="20"/>
              </w:rPr>
            </w:pPr>
            <w:r>
              <w:rPr>
                <w:color w:val="000000"/>
                <w:sz w:val="20"/>
                <w:szCs w:val="20"/>
              </w:rPr>
              <w:t>2013</w:t>
            </w:r>
          </w:p>
        </w:tc>
        <w:tc>
          <w:tcPr>
            <w:tcW w:w="2965" w:type="dxa"/>
            <w:vAlign w:val="bottom"/>
          </w:tcPr>
          <w:p w:rsidR="00067D89" w:rsidRDefault="00A57D41">
            <w:pPr>
              <w:rPr>
                <w:i/>
                <w:color w:val="000000"/>
                <w:sz w:val="20"/>
                <w:szCs w:val="20"/>
              </w:rPr>
            </w:pPr>
            <w:r>
              <w:rPr>
                <w:color w:val="000000"/>
                <w:sz w:val="20"/>
                <w:szCs w:val="20"/>
              </w:rPr>
              <w:t>Propósitos y representaciones</w:t>
            </w:r>
          </w:p>
        </w:tc>
        <w:tc>
          <w:tcPr>
            <w:tcW w:w="1274" w:type="dxa"/>
            <w:vAlign w:val="bottom"/>
          </w:tcPr>
          <w:p w:rsidR="00067D89" w:rsidRDefault="00A57D41">
            <w:pPr>
              <w:jc w:val="center"/>
              <w:rPr>
                <w:i/>
                <w:color w:val="000000"/>
                <w:sz w:val="20"/>
                <w:szCs w:val="20"/>
              </w:rPr>
            </w:pPr>
            <w:r>
              <w:rPr>
                <w:color w:val="000000"/>
                <w:sz w:val="20"/>
                <w:szCs w:val="20"/>
              </w:rPr>
              <w:t>2307-7999</w:t>
            </w:r>
            <w:r>
              <w:rPr>
                <w:color w:val="000000"/>
                <w:sz w:val="20"/>
                <w:szCs w:val="20"/>
              </w:rPr>
              <w:br/>
              <w:t>2310-4635</w:t>
            </w:r>
          </w:p>
        </w:tc>
        <w:tc>
          <w:tcPr>
            <w:tcW w:w="2959" w:type="dxa"/>
            <w:vAlign w:val="bottom"/>
          </w:tcPr>
          <w:p w:rsidR="00067D89" w:rsidRDefault="00A57D41">
            <w:pPr>
              <w:jc w:val="both"/>
              <w:rPr>
                <w:i/>
                <w:color w:val="000000"/>
                <w:sz w:val="20"/>
                <w:szCs w:val="20"/>
              </w:rPr>
            </w:pPr>
            <w:r>
              <w:rPr>
                <w:color w:val="000000"/>
                <w:sz w:val="20"/>
                <w:szCs w:val="20"/>
              </w:rPr>
              <w:t>Universidad San Ignacio de Loyola-UP</w:t>
            </w:r>
          </w:p>
        </w:tc>
        <w:tc>
          <w:tcPr>
            <w:tcW w:w="1268" w:type="dxa"/>
            <w:vAlign w:val="bottom"/>
          </w:tcPr>
          <w:p w:rsidR="00067D89" w:rsidRDefault="00A57D41">
            <w:pPr>
              <w:jc w:val="center"/>
              <w:rPr>
                <w:i/>
                <w:color w:val="000000"/>
                <w:sz w:val="20"/>
                <w:szCs w:val="20"/>
              </w:rPr>
            </w:pPr>
            <w:r>
              <w:rPr>
                <w:color w:val="000000"/>
                <w:sz w:val="20"/>
                <w:szCs w:val="20"/>
              </w:rPr>
              <w:t>Lima-C</w:t>
            </w:r>
          </w:p>
        </w:tc>
      </w:tr>
      <w:tr w:rsidR="00067D89">
        <w:trPr>
          <w:trHeight w:val="518"/>
        </w:trPr>
        <w:tc>
          <w:tcPr>
            <w:tcW w:w="840" w:type="dxa"/>
            <w:vAlign w:val="bottom"/>
          </w:tcPr>
          <w:p w:rsidR="00067D89" w:rsidRDefault="00A57D41">
            <w:pPr>
              <w:rPr>
                <w:i/>
                <w:color w:val="000000"/>
                <w:sz w:val="20"/>
                <w:szCs w:val="20"/>
              </w:rPr>
            </w:pPr>
            <w:r>
              <w:rPr>
                <w:color w:val="000000"/>
                <w:sz w:val="20"/>
                <w:szCs w:val="20"/>
              </w:rPr>
              <w:t>2014</w:t>
            </w:r>
          </w:p>
        </w:tc>
        <w:tc>
          <w:tcPr>
            <w:tcW w:w="2965" w:type="dxa"/>
            <w:vAlign w:val="bottom"/>
          </w:tcPr>
          <w:p w:rsidR="00067D89" w:rsidRDefault="00A57D41">
            <w:pPr>
              <w:rPr>
                <w:i/>
                <w:color w:val="000000"/>
                <w:sz w:val="20"/>
                <w:szCs w:val="20"/>
              </w:rPr>
            </w:pPr>
            <w:r>
              <w:rPr>
                <w:color w:val="000000"/>
                <w:sz w:val="20"/>
                <w:szCs w:val="20"/>
              </w:rPr>
              <w:t>Revista Peruana de Psicología y Trabajo Social</w:t>
            </w:r>
          </w:p>
        </w:tc>
        <w:tc>
          <w:tcPr>
            <w:tcW w:w="1274" w:type="dxa"/>
            <w:vAlign w:val="bottom"/>
          </w:tcPr>
          <w:p w:rsidR="00067D89" w:rsidRDefault="00A57D41">
            <w:pPr>
              <w:jc w:val="center"/>
              <w:rPr>
                <w:i/>
                <w:color w:val="000000"/>
                <w:sz w:val="20"/>
                <w:szCs w:val="20"/>
              </w:rPr>
            </w:pPr>
            <w:r>
              <w:rPr>
                <w:color w:val="000000"/>
                <w:sz w:val="20"/>
                <w:szCs w:val="20"/>
              </w:rPr>
              <w:t>2304-165X</w:t>
            </w:r>
            <w:r>
              <w:rPr>
                <w:color w:val="000000"/>
                <w:sz w:val="20"/>
                <w:szCs w:val="20"/>
              </w:rPr>
              <w:br/>
              <w:t>2709-0736</w:t>
            </w:r>
          </w:p>
        </w:tc>
        <w:tc>
          <w:tcPr>
            <w:tcW w:w="2959" w:type="dxa"/>
            <w:vAlign w:val="bottom"/>
          </w:tcPr>
          <w:p w:rsidR="00067D89" w:rsidRDefault="00A57D41">
            <w:pPr>
              <w:jc w:val="both"/>
              <w:rPr>
                <w:i/>
                <w:color w:val="000000"/>
                <w:sz w:val="20"/>
                <w:szCs w:val="20"/>
              </w:rPr>
            </w:pPr>
            <w:r>
              <w:rPr>
                <w:color w:val="000000"/>
                <w:sz w:val="20"/>
                <w:szCs w:val="20"/>
              </w:rPr>
              <w:t>Universidad Inca Garcilaso de la Vega-UP</w:t>
            </w:r>
          </w:p>
        </w:tc>
        <w:tc>
          <w:tcPr>
            <w:tcW w:w="1268" w:type="dxa"/>
            <w:vAlign w:val="bottom"/>
          </w:tcPr>
          <w:p w:rsidR="00067D89" w:rsidRDefault="00A57D41">
            <w:pPr>
              <w:jc w:val="center"/>
              <w:rPr>
                <w:i/>
                <w:color w:val="000000"/>
                <w:sz w:val="20"/>
                <w:szCs w:val="20"/>
              </w:rPr>
            </w:pPr>
            <w:r>
              <w:rPr>
                <w:color w:val="000000"/>
                <w:sz w:val="20"/>
                <w:szCs w:val="20"/>
              </w:rPr>
              <w:t>Lima-C</w:t>
            </w:r>
          </w:p>
        </w:tc>
      </w:tr>
      <w:tr w:rsidR="00067D89">
        <w:trPr>
          <w:trHeight w:val="769"/>
        </w:trPr>
        <w:tc>
          <w:tcPr>
            <w:tcW w:w="840" w:type="dxa"/>
            <w:vAlign w:val="bottom"/>
          </w:tcPr>
          <w:p w:rsidR="00067D89" w:rsidRDefault="00A57D41">
            <w:pPr>
              <w:rPr>
                <w:i/>
                <w:color w:val="000000"/>
                <w:sz w:val="20"/>
                <w:szCs w:val="20"/>
              </w:rPr>
            </w:pPr>
            <w:r>
              <w:rPr>
                <w:color w:val="000000"/>
                <w:sz w:val="20"/>
                <w:szCs w:val="20"/>
              </w:rPr>
              <w:t>2015</w:t>
            </w:r>
          </w:p>
        </w:tc>
        <w:tc>
          <w:tcPr>
            <w:tcW w:w="2965" w:type="dxa"/>
            <w:vAlign w:val="bottom"/>
          </w:tcPr>
          <w:p w:rsidR="00067D89" w:rsidRDefault="00A57D41">
            <w:pPr>
              <w:rPr>
                <w:i/>
                <w:color w:val="000000"/>
                <w:sz w:val="20"/>
                <w:szCs w:val="20"/>
              </w:rPr>
            </w:pPr>
            <w:r>
              <w:rPr>
                <w:color w:val="000000"/>
                <w:sz w:val="20"/>
                <w:szCs w:val="20"/>
              </w:rPr>
              <w:t>Revista digital de estudiantes de psicología</w:t>
            </w:r>
          </w:p>
        </w:tc>
        <w:tc>
          <w:tcPr>
            <w:tcW w:w="1274" w:type="dxa"/>
            <w:vAlign w:val="bottom"/>
          </w:tcPr>
          <w:p w:rsidR="00067D89" w:rsidRDefault="00A57D41">
            <w:pPr>
              <w:jc w:val="center"/>
              <w:rPr>
                <w:i/>
                <w:color w:val="000000"/>
                <w:sz w:val="20"/>
                <w:szCs w:val="20"/>
              </w:rPr>
            </w:pPr>
            <w:r>
              <w:rPr>
                <w:color w:val="000000"/>
                <w:sz w:val="20"/>
                <w:szCs w:val="20"/>
              </w:rPr>
              <w:t>2518-4172</w:t>
            </w:r>
            <w:r>
              <w:rPr>
                <w:color w:val="000000"/>
                <w:sz w:val="20"/>
                <w:szCs w:val="20"/>
              </w:rPr>
              <w:br/>
              <w:t>2518-4040</w:t>
            </w:r>
          </w:p>
        </w:tc>
        <w:tc>
          <w:tcPr>
            <w:tcW w:w="2959" w:type="dxa"/>
            <w:vAlign w:val="bottom"/>
          </w:tcPr>
          <w:p w:rsidR="00067D89" w:rsidRDefault="00A57D41">
            <w:pPr>
              <w:jc w:val="both"/>
              <w:rPr>
                <w:i/>
                <w:color w:val="000000"/>
                <w:sz w:val="20"/>
                <w:szCs w:val="20"/>
              </w:rPr>
            </w:pPr>
            <w:r>
              <w:rPr>
                <w:color w:val="000000"/>
                <w:sz w:val="20"/>
                <w:szCs w:val="20"/>
              </w:rPr>
              <w:t>Grupo de estudios Investigación y desarrollo en psicología – IDEPSI-AP</w:t>
            </w:r>
          </w:p>
        </w:tc>
        <w:tc>
          <w:tcPr>
            <w:tcW w:w="1268" w:type="dxa"/>
            <w:vAlign w:val="bottom"/>
          </w:tcPr>
          <w:p w:rsidR="00067D89" w:rsidRDefault="00A57D41">
            <w:pPr>
              <w:jc w:val="center"/>
              <w:rPr>
                <w:i/>
                <w:color w:val="000000"/>
                <w:sz w:val="20"/>
                <w:szCs w:val="20"/>
              </w:rPr>
            </w:pPr>
            <w:r>
              <w:rPr>
                <w:color w:val="000000"/>
                <w:sz w:val="20"/>
                <w:szCs w:val="20"/>
              </w:rPr>
              <w:t>Lima-C</w:t>
            </w:r>
          </w:p>
        </w:tc>
      </w:tr>
      <w:tr w:rsidR="00067D89">
        <w:trPr>
          <w:trHeight w:val="518"/>
        </w:trPr>
        <w:tc>
          <w:tcPr>
            <w:tcW w:w="840" w:type="dxa"/>
            <w:vAlign w:val="bottom"/>
          </w:tcPr>
          <w:p w:rsidR="00067D89" w:rsidRDefault="00A57D41">
            <w:pPr>
              <w:rPr>
                <w:i/>
                <w:color w:val="000000"/>
                <w:sz w:val="20"/>
                <w:szCs w:val="20"/>
              </w:rPr>
            </w:pPr>
            <w:r>
              <w:rPr>
                <w:color w:val="000000"/>
                <w:sz w:val="20"/>
                <w:szCs w:val="20"/>
              </w:rPr>
              <w:t>2015</w:t>
            </w:r>
          </w:p>
        </w:tc>
        <w:tc>
          <w:tcPr>
            <w:tcW w:w="2965" w:type="dxa"/>
            <w:vAlign w:val="bottom"/>
          </w:tcPr>
          <w:p w:rsidR="00067D89" w:rsidRDefault="00A57D41">
            <w:pPr>
              <w:rPr>
                <w:i/>
                <w:color w:val="000000"/>
                <w:sz w:val="20"/>
                <w:szCs w:val="20"/>
              </w:rPr>
            </w:pPr>
            <w:r>
              <w:rPr>
                <w:color w:val="000000"/>
                <w:sz w:val="20"/>
                <w:szCs w:val="20"/>
              </w:rPr>
              <w:t>Revista peruana de historia de la psicología</w:t>
            </w:r>
          </w:p>
        </w:tc>
        <w:tc>
          <w:tcPr>
            <w:tcW w:w="1274" w:type="dxa"/>
            <w:vAlign w:val="bottom"/>
          </w:tcPr>
          <w:p w:rsidR="00067D89" w:rsidRDefault="00A57D41">
            <w:pPr>
              <w:jc w:val="center"/>
              <w:rPr>
                <w:i/>
                <w:color w:val="000000"/>
                <w:sz w:val="20"/>
                <w:szCs w:val="20"/>
              </w:rPr>
            </w:pPr>
            <w:r>
              <w:rPr>
                <w:color w:val="000000"/>
                <w:sz w:val="20"/>
                <w:szCs w:val="20"/>
              </w:rPr>
              <w:t>2414-195X</w:t>
            </w:r>
            <w:r>
              <w:rPr>
                <w:color w:val="000000"/>
                <w:sz w:val="20"/>
                <w:szCs w:val="20"/>
              </w:rPr>
              <w:br/>
              <w:t>2810-8434</w:t>
            </w:r>
          </w:p>
        </w:tc>
        <w:tc>
          <w:tcPr>
            <w:tcW w:w="2959" w:type="dxa"/>
            <w:vAlign w:val="bottom"/>
          </w:tcPr>
          <w:p w:rsidR="00067D89" w:rsidRDefault="00A57D41">
            <w:pPr>
              <w:jc w:val="both"/>
              <w:rPr>
                <w:i/>
                <w:color w:val="000000"/>
                <w:sz w:val="20"/>
                <w:szCs w:val="20"/>
              </w:rPr>
            </w:pPr>
            <w:r>
              <w:rPr>
                <w:color w:val="000000"/>
                <w:sz w:val="20"/>
                <w:szCs w:val="20"/>
              </w:rPr>
              <w:t>Sociedad Peruana de Historia de la Psicología-AP</w:t>
            </w:r>
          </w:p>
        </w:tc>
        <w:tc>
          <w:tcPr>
            <w:tcW w:w="1268" w:type="dxa"/>
            <w:vAlign w:val="bottom"/>
          </w:tcPr>
          <w:p w:rsidR="00067D89" w:rsidRDefault="00A57D41">
            <w:pPr>
              <w:jc w:val="center"/>
              <w:rPr>
                <w:i/>
                <w:color w:val="000000"/>
                <w:sz w:val="20"/>
                <w:szCs w:val="20"/>
              </w:rPr>
            </w:pPr>
            <w:r>
              <w:rPr>
                <w:color w:val="000000"/>
                <w:sz w:val="20"/>
                <w:szCs w:val="20"/>
              </w:rPr>
              <w:t>Lima-C</w:t>
            </w:r>
          </w:p>
        </w:tc>
      </w:tr>
      <w:tr w:rsidR="00067D89">
        <w:trPr>
          <w:trHeight w:val="501"/>
        </w:trPr>
        <w:tc>
          <w:tcPr>
            <w:tcW w:w="840" w:type="dxa"/>
            <w:vAlign w:val="bottom"/>
          </w:tcPr>
          <w:p w:rsidR="00067D89" w:rsidRDefault="00A57D41">
            <w:pPr>
              <w:rPr>
                <w:i/>
                <w:color w:val="000000"/>
                <w:sz w:val="20"/>
                <w:szCs w:val="20"/>
              </w:rPr>
            </w:pPr>
            <w:r>
              <w:rPr>
                <w:color w:val="000000"/>
                <w:sz w:val="20"/>
                <w:szCs w:val="20"/>
              </w:rPr>
              <w:t>2015</w:t>
            </w:r>
          </w:p>
        </w:tc>
        <w:tc>
          <w:tcPr>
            <w:tcW w:w="2965" w:type="dxa"/>
            <w:vAlign w:val="bottom"/>
          </w:tcPr>
          <w:p w:rsidR="00067D89" w:rsidRDefault="00A57D41">
            <w:pPr>
              <w:rPr>
                <w:i/>
                <w:color w:val="000000"/>
                <w:sz w:val="20"/>
                <w:szCs w:val="20"/>
              </w:rPr>
            </w:pPr>
            <w:r>
              <w:rPr>
                <w:color w:val="000000"/>
                <w:sz w:val="20"/>
                <w:szCs w:val="20"/>
              </w:rPr>
              <w:t>Interacciones</w:t>
            </w:r>
          </w:p>
        </w:tc>
        <w:tc>
          <w:tcPr>
            <w:tcW w:w="1274" w:type="dxa"/>
            <w:vAlign w:val="bottom"/>
          </w:tcPr>
          <w:p w:rsidR="00067D89" w:rsidRDefault="00A57D41">
            <w:pPr>
              <w:jc w:val="center"/>
              <w:rPr>
                <w:i/>
                <w:color w:val="000000"/>
                <w:sz w:val="20"/>
                <w:szCs w:val="20"/>
              </w:rPr>
            </w:pPr>
            <w:r>
              <w:rPr>
                <w:color w:val="000000"/>
                <w:sz w:val="20"/>
                <w:szCs w:val="20"/>
              </w:rPr>
              <w:t>2411-5940</w:t>
            </w:r>
            <w:r>
              <w:rPr>
                <w:color w:val="000000"/>
                <w:sz w:val="20"/>
                <w:szCs w:val="20"/>
              </w:rPr>
              <w:br/>
              <w:t>2413-4465</w:t>
            </w:r>
          </w:p>
        </w:tc>
        <w:tc>
          <w:tcPr>
            <w:tcW w:w="2959" w:type="dxa"/>
            <w:vAlign w:val="bottom"/>
          </w:tcPr>
          <w:p w:rsidR="00067D89" w:rsidRDefault="00A57D41">
            <w:pPr>
              <w:jc w:val="both"/>
              <w:rPr>
                <w:i/>
                <w:color w:val="000000"/>
                <w:sz w:val="20"/>
                <w:szCs w:val="20"/>
              </w:rPr>
            </w:pPr>
            <w:r>
              <w:rPr>
                <w:color w:val="000000"/>
                <w:sz w:val="20"/>
                <w:szCs w:val="20"/>
              </w:rPr>
              <w:t>Instituto Peruano de Orientación Psicológica-IP</w:t>
            </w:r>
          </w:p>
        </w:tc>
        <w:tc>
          <w:tcPr>
            <w:tcW w:w="1268" w:type="dxa"/>
            <w:vAlign w:val="bottom"/>
          </w:tcPr>
          <w:p w:rsidR="00067D89" w:rsidRDefault="00A57D41">
            <w:pPr>
              <w:jc w:val="center"/>
              <w:rPr>
                <w:i/>
                <w:color w:val="000000"/>
                <w:sz w:val="20"/>
                <w:szCs w:val="20"/>
              </w:rPr>
            </w:pPr>
            <w:r>
              <w:rPr>
                <w:color w:val="000000"/>
                <w:sz w:val="20"/>
                <w:szCs w:val="20"/>
              </w:rPr>
              <w:t>Lima-C</w:t>
            </w:r>
          </w:p>
        </w:tc>
      </w:tr>
      <w:tr w:rsidR="00067D89">
        <w:trPr>
          <w:trHeight w:val="769"/>
        </w:trPr>
        <w:tc>
          <w:tcPr>
            <w:tcW w:w="840" w:type="dxa"/>
            <w:vAlign w:val="bottom"/>
          </w:tcPr>
          <w:p w:rsidR="00067D89" w:rsidRDefault="00A57D41">
            <w:pPr>
              <w:rPr>
                <w:i/>
                <w:color w:val="000000"/>
                <w:sz w:val="20"/>
                <w:szCs w:val="20"/>
              </w:rPr>
            </w:pPr>
            <w:r>
              <w:rPr>
                <w:color w:val="000000"/>
                <w:sz w:val="20"/>
                <w:szCs w:val="20"/>
              </w:rPr>
              <w:t>2016</w:t>
            </w:r>
          </w:p>
        </w:tc>
        <w:tc>
          <w:tcPr>
            <w:tcW w:w="2965" w:type="dxa"/>
            <w:vAlign w:val="bottom"/>
          </w:tcPr>
          <w:p w:rsidR="00067D89" w:rsidRDefault="00A57D41">
            <w:pPr>
              <w:rPr>
                <w:i/>
                <w:color w:val="000000"/>
                <w:sz w:val="20"/>
                <w:szCs w:val="20"/>
              </w:rPr>
            </w:pPr>
            <w:r>
              <w:rPr>
                <w:color w:val="000000"/>
                <w:sz w:val="20"/>
                <w:szCs w:val="20"/>
              </w:rPr>
              <w:t>Revista Epistemología, psicología y ciencias sociales</w:t>
            </w:r>
          </w:p>
        </w:tc>
        <w:tc>
          <w:tcPr>
            <w:tcW w:w="1274" w:type="dxa"/>
            <w:vAlign w:val="bottom"/>
          </w:tcPr>
          <w:p w:rsidR="00067D89" w:rsidRDefault="00A57D41">
            <w:pPr>
              <w:jc w:val="center"/>
              <w:rPr>
                <w:i/>
                <w:color w:val="000000"/>
                <w:sz w:val="20"/>
                <w:szCs w:val="20"/>
              </w:rPr>
            </w:pPr>
            <w:r>
              <w:rPr>
                <w:color w:val="000000"/>
                <w:sz w:val="20"/>
                <w:szCs w:val="20"/>
              </w:rPr>
              <w:t>2810-8647</w:t>
            </w:r>
            <w:r>
              <w:rPr>
                <w:color w:val="000000"/>
                <w:sz w:val="20"/>
                <w:szCs w:val="20"/>
              </w:rPr>
              <w:br/>
              <w:t>2518-8836</w:t>
            </w:r>
          </w:p>
        </w:tc>
        <w:tc>
          <w:tcPr>
            <w:tcW w:w="2959" w:type="dxa"/>
            <w:vAlign w:val="bottom"/>
          </w:tcPr>
          <w:p w:rsidR="00067D89" w:rsidRDefault="00A57D41">
            <w:pPr>
              <w:jc w:val="both"/>
              <w:rPr>
                <w:i/>
                <w:color w:val="000000"/>
                <w:sz w:val="20"/>
                <w:szCs w:val="20"/>
              </w:rPr>
            </w:pPr>
            <w:r>
              <w:rPr>
                <w:color w:val="000000"/>
                <w:sz w:val="20"/>
                <w:szCs w:val="20"/>
              </w:rPr>
              <w:t>Centro de Investigación Psicológica Histórico-Cultural (CIPS - HC)-AP</w:t>
            </w:r>
          </w:p>
        </w:tc>
        <w:tc>
          <w:tcPr>
            <w:tcW w:w="1268" w:type="dxa"/>
            <w:vAlign w:val="bottom"/>
          </w:tcPr>
          <w:p w:rsidR="00067D89" w:rsidRDefault="00A57D41">
            <w:pPr>
              <w:jc w:val="center"/>
              <w:rPr>
                <w:i/>
                <w:color w:val="000000"/>
                <w:sz w:val="20"/>
                <w:szCs w:val="20"/>
              </w:rPr>
            </w:pPr>
            <w:r>
              <w:rPr>
                <w:color w:val="000000"/>
                <w:sz w:val="20"/>
                <w:szCs w:val="20"/>
              </w:rPr>
              <w:t>Arequipa -P</w:t>
            </w:r>
          </w:p>
        </w:tc>
      </w:tr>
      <w:tr w:rsidR="00067D89">
        <w:trPr>
          <w:trHeight w:val="518"/>
        </w:trPr>
        <w:tc>
          <w:tcPr>
            <w:tcW w:w="840" w:type="dxa"/>
            <w:vAlign w:val="bottom"/>
          </w:tcPr>
          <w:p w:rsidR="00067D89" w:rsidRDefault="00A57D41">
            <w:pPr>
              <w:rPr>
                <w:i/>
                <w:color w:val="000000"/>
                <w:sz w:val="20"/>
                <w:szCs w:val="20"/>
              </w:rPr>
            </w:pPr>
            <w:r>
              <w:rPr>
                <w:color w:val="000000"/>
                <w:sz w:val="20"/>
                <w:szCs w:val="20"/>
              </w:rPr>
              <w:t>2016</w:t>
            </w:r>
          </w:p>
        </w:tc>
        <w:tc>
          <w:tcPr>
            <w:tcW w:w="2965" w:type="dxa"/>
            <w:vAlign w:val="bottom"/>
          </w:tcPr>
          <w:p w:rsidR="00067D89" w:rsidRDefault="00A57D41">
            <w:pPr>
              <w:rPr>
                <w:i/>
                <w:color w:val="000000"/>
                <w:sz w:val="20"/>
                <w:szCs w:val="20"/>
              </w:rPr>
            </w:pPr>
            <w:r>
              <w:rPr>
                <w:color w:val="000000"/>
                <w:sz w:val="20"/>
                <w:szCs w:val="20"/>
              </w:rPr>
              <w:t>Revista Tendencias en psicología</w:t>
            </w:r>
          </w:p>
        </w:tc>
        <w:tc>
          <w:tcPr>
            <w:tcW w:w="1274" w:type="dxa"/>
            <w:vAlign w:val="bottom"/>
          </w:tcPr>
          <w:p w:rsidR="00067D89" w:rsidRDefault="00A57D41">
            <w:pPr>
              <w:jc w:val="center"/>
              <w:rPr>
                <w:color w:val="000000"/>
                <w:sz w:val="20"/>
                <w:szCs w:val="20"/>
              </w:rPr>
            </w:pPr>
            <w:r>
              <w:rPr>
                <w:color w:val="000000"/>
                <w:sz w:val="20"/>
                <w:szCs w:val="20"/>
              </w:rPr>
              <w:t>2519-7738</w:t>
            </w:r>
          </w:p>
          <w:p w:rsidR="00067D89" w:rsidRDefault="00067D89">
            <w:pPr>
              <w:jc w:val="center"/>
              <w:rPr>
                <w:i/>
                <w:color w:val="000000"/>
                <w:sz w:val="20"/>
                <w:szCs w:val="20"/>
              </w:rPr>
            </w:pPr>
          </w:p>
        </w:tc>
        <w:tc>
          <w:tcPr>
            <w:tcW w:w="2959" w:type="dxa"/>
            <w:vAlign w:val="bottom"/>
          </w:tcPr>
          <w:p w:rsidR="00067D89" w:rsidRDefault="00A57D41">
            <w:pPr>
              <w:jc w:val="both"/>
              <w:rPr>
                <w:i/>
                <w:color w:val="000000"/>
                <w:sz w:val="20"/>
                <w:szCs w:val="20"/>
              </w:rPr>
            </w:pPr>
            <w:r>
              <w:rPr>
                <w:color w:val="000000"/>
                <w:sz w:val="20"/>
                <w:szCs w:val="20"/>
              </w:rPr>
              <w:t>Universidad Privada Antonio Guillermo Urrelo-UP</w:t>
            </w:r>
          </w:p>
        </w:tc>
        <w:tc>
          <w:tcPr>
            <w:tcW w:w="1268" w:type="dxa"/>
            <w:vAlign w:val="bottom"/>
          </w:tcPr>
          <w:p w:rsidR="00067D89" w:rsidRDefault="00A57D41">
            <w:pPr>
              <w:jc w:val="center"/>
              <w:rPr>
                <w:i/>
                <w:color w:val="000000"/>
                <w:sz w:val="20"/>
                <w:szCs w:val="20"/>
              </w:rPr>
            </w:pPr>
            <w:r>
              <w:rPr>
                <w:color w:val="000000"/>
                <w:sz w:val="20"/>
                <w:szCs w:val="20"/>
              </w:rPr>
              <w:t>Cajamarca-P</w:t>
            </w:r>
          </w:p>
        </w:tc>
      </w:tr>
      <w:tr w:rsidR="00067D89">
        <w:trPr>
          <w:trHeight w:val="501"/>
        </w:trPr>
        <w:tc>
          <w:tcPr>
            <w:tcW w:w="840" w:type="dxa"/>
            <w:vAlign w:val="bottom"/>
          </w:tcPr>
          <w:p w:rsidR="00067D89" w:rsidRDefault="00A57D41">
            <w:pPr>
              <w:rPr>
                <w:i/>
                <w:color w:val="000000"/>
                <w:sz w:val="20"/>
                <w:szCs w:val="20"/>
              </w:rPr>
            </w:pPr>
            <w:r>
              <w:rPr>
                <w:color w:val="000000"/>
                <w:sz w:val="20"/>
                <w:szCs w:val="20"/>
              </w:rPr>
              <w:t>2017</w:t>
            </w:r>
          </w:p>
        </w:tc>
        <w:tc>
          <w:tcPr>
            <w:tcW w:w="2965" w:type="dxa"/>
            <w:vAlign w:val="bottom"/>
          </w:tcPr>
          <w:p w:rsidR="00067D89" w:rsidRDefault="00A57D41">
            <w:pPr>
              <w:rPr>
                <w:i/>
                <w:color w:val="000000"/>
                <w:sz w:val="20"/>
                <w:szCs w:val="20"/>
              </w:rPr>
            </w:pPr>
            <w:r>
              <w:rPr>
                <w:color w:val="000000"/>
                <w:sz w:val="20"/>
                <w:szCs w:val="20"/>
              </w:rPr>
              <w:t>Revista de Psicología</w:t>
            </w:r>
          </w:p>
        </w:tc>
        <w:tc>
          <w:tcPr>
            <w:tcW w:w="1274" w:type="dxa"/>
            <w:vAlign w:val="bottom"/>
          </w:tcPr>
          <w:p w:rsidR="00067D89" w:rsidRDefault="00A57D41">
            <w:pPr>
              <w:jc w:val="center"/>
              <w:rPr>
                <w:color w:val="000000"/>
                <w:sz w:val="20"/>
                <w:szCs w:val="20"/>
              </w:rPr>
            </w:pPr>
            <w:r>
              <w:rPr>
                <w:color w:val="000000"/>
                <w:sz w:val="20"/>
                <w:szCs w:val="20"/>
              </w:rPr>
              <w:t>2523-2746</w:t>
            </w:r>
          </w:p>
          <w:p w:rsidR="00067D89" w:rsidRDefault="00067D89">
            <w:pPr>
              <w:jc w:val="center"/>
              <w:rPr>
                <w:i/>
                <w:color w:val="000000"/>
                <w:sz w:val="20"/>
                <w:szCs w:val="20"/>
              </w:rPr>
            </w:pPr>
          </w:p>
        </w:tc>
        <w:tc>
          <w:tcPr>
            <w:tcW w:w="2959" w:type="dxa"/>
            <w:vAlign w:val="bottom"/>
          </w:tcPr>
          <w:p w:rsidR="00067D89" w:rsidRDefault="00A57D41">
            <w:pPr>
              <w:jc w:val="both"/>
              <w:rPr>
                <w:i/>
                <w:color w:val="000000"/>
                <w:sz w:val="20"/>
                <w:szCs w:val="20"/>
              </w:rPr>
            </w:pPr>
            <w:r>
              <w:rPr>
                <w:color w:val="000000"/>
                <w:sz w:val="20"/>
                <w:szCs w:val="20"/>
              </w:rPr>
              <w:t>Universidad Nacional de San Agustín-UE</w:t>
            </w:r>
          </w:p>
        </w:tc>
        <w:tc>
          <w:tcPr>
            <w:tcW w:w="1268" w:type="dxa"/>
            <w:vAlign w:val="bottom"/>
          </w:tcPr>
          <w:p w:rsidR="00067D89" w:rsidRDefault="00A57D41">
            <w:pPr>
              <w:jc w:val="center"/>
              <w:rPr>
                <w:i/>
                <w:color w:val="000000"/>
                <w:sz w:val="20"/>
                <w:szCs w:val="20"/>
              </w:rPr>
            </w:pPr>
            <w:r>
              <w:rPr>
                <w:color w:val="000000"/>
                <w:sz w:val="20"/>
                <w:szCs w:val="20"/>
              </w:rPr>
              <w:t>Arequipa -P</w:t>
            </w:r>
          </w:p>
        </w:tc>
      </w:tr>
    </w:tbl>
    <w:p w:rsidR="00067D89" w:rsidRDefault="00A57D41">
      <w:pPr>
        <w:jc w:val="both"/>
        <w:rPr>
          <w:i/>
          <w:sz w:val="20"/>
          <w:szCs w:val="20"/>
        </w:rPr>
      </w:pPr>
      <w:r>
        <w:rPr>
          <w:i/>
          <w:sz w:val="20"/>
          <w:szCs w:val="20"/>
        </w:rPr>
        <w:t>Nota: en el caso que cuenten con 2 ISSN, el primero corresponde a la versión impresa. UP es Universidad Privada. UE es Universidad Estatal. C representa a la capital del Perú. P representa a una provincia del Perú.</w:t>
      </w:r>
    </w:p>
    <w:p w:rsidR="00067D89" w:rsidRDefault="00A57D41">
      <w:pPr>
        <w:spacing w:line="360" w:lineRule="auto"/>
        <w:jc w:val="both"/>
      </w:pPr>
      <w:r>
        <w:lastRenderedPageBreak/>
        <w:t>En la tabla 2, se observa que son 20 las Revistas de Psicología en el Perú que cuentan con el código ISSN físico o electrónico. Donde 13 (65%) revistas se editan en la ciudad de Lima la capital del Perú y 7 (25%) se editan en las provincias. Teniendo una concentración de la edición de las revistas en la capital. También 15 (75%) revistas tienen un formato de edición electrónica e impresa y 5 (25%) solo tienen una edición impresa. Además 17 (85%) revistas son editadas y financiadas por instituciones, asociaciones o universidades privadas, y 3 (15%) revistas son editadas por universidades estatales. Así mismo, 5 (25%) revistas tienen como nombre Revista de Psicología.</w:t>
      </w:r>
    </w:p>
    <w:p w:rsidR="00067D89" w:rsidRDefault="00067D89">
      <w:pPr>
        <w:spacing w:line="360" w:lineRule="auto"/>
        <w:jc w:val="both"/>
      </w:pPr>
    </w:p>
    <w:p w:rsidR="00067D89" w:rsidRDefault="00067D89">
      <w:pPr>
        <w:spacing w:line="360" w:lineRule="auto"/>
        <w:jc w:val="both"/>
      </w:pPr>
    </w:p>
    <w:p w:rsidR="00067D89" w:rsidRDefault="00A57D41">
      <w:r>
        <w:rPr>
          <w:noProof/>
          <w:sz w:val="20"/>
          <w:szCs w:val="20"/>
        </w:rPr>
        <w:drawing>
          <wp:inline distT="0" distB="0" distL="0" distR="0">
            <wp:extent cx="6612890" cy="2933700"/>
            <wp:effectExtent l="0" t="0" r="0" b="0"/>
            <wp:docPr id="131" name="Gráfico 1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67D89" w:rsidRDefault="00A57D41">
      <w:r>
        <w:rPr>
          <w:i/>
        </w:rPr>
        <w:t xml:space="preserve">Figura 1. </w:t>
      </w:r>
      <w:r>
        <w:t>Frecuencia acumulada de las revistas de psicología en el Perú del año 1983 al 2022</w:t>
      </w:r>
    </w:p>
    <w:p w:rsidR="00067D89" w:rsidRDefault="00067D89"/>
    <w:p w:rsidR="00067D89" w:rsidRDefault="00067D89">
      <w:pPr>
        <w:spacing w:line="360" w:lineRule="auto"/>
        <w:jc w:val="both"/>
      </w:pPr>
    </w:p>
    <w:p w:rsidR="00067D89" w:rsidRDefault="00A57D41">
      <w:pPr>
        <w:spacing w:line="360" w:lineRule="auto"/>
        <w:jc w:val="both"/>
        <w:sectPr w:rsidR="00067D89">
          <w:headerReference w:type="even" r:id="rId11"/>
          <w:headerReference w:type="default" r:id="rId12"/>
          <w:footerReference w:type="even" r:id="rId13"/>
          <w:footerReference w:type="default" r:id="rId14"/>
          <w:pgSz w:w="12240" w:h="15840"/>
          <w:pgMar w:top="1440" w:right="1440" w:bottom="1440" w:left="1440" w:header="720" w:footer="720" w:gutter="0"/>
          <w:pgNumType w:start="1"/>
          <w:cols w:space="720"/>
        </w:sectPr>
      </w:pPr>
      <w:r>
        <w:t xml:space="preserve">En la figura 1, se observa el desarrollo de las Revistas de Psicología en el Perú, teniendo el año de 1983 como inicio de las revistas sistematizadas con un código ISSN. Pasaría una década, hasta el año de 1993 para que una segunda revista de psicología sea registrada con un código ISSN. En los próximos 17 años, hasta el año 2010 se editaron un total de 8 revistas. Observado que desde el inicio de la edición de las revistas en el año 1983 hasta el año 2010, solo se editaban 8 revistas de psicología. Teniendo una tasa de crecimiento de 0.29 revistas por año. El mayor crecimiento se inició desde el año 2011 hasta el 2017, donde se incrementa en 12 el número de revistas. En este periodo de tiempo la tasa de crecimiento se incrementó a 2 revistas por año. Llegando a editarse un total de 20 revistas de psicología en el Perú. </w:t>
      </w:r>
    </w:p>
    <w:p w:rsidR="00067D89" w:rsidRDefault="00A57D41">
      <w:pPr>
        <w:rPr>
          <w:sz w:val="20"/>
          <w:szCs w:val="20"/>
        </w:rPr>
      </w:pPr>
      <w:r>
        <w:rPr>
          <w:i/>
        </w:rPr>
        <w:lastRenderedPageBreak/>
        <w:t>2) Periodicidad de las revistas</w:t>
      </w:r>
    </w:p>
    <w:p w:rsidR="00067D89" w:rsidRDefault="00067D89">
      <w:pPr>
        <w:rPr>
          <w:sz w:val="20"/>
          <w:szCs w:val="20"/>
        </w:rPr>
      </w:pPr>
    </w:p>
    <w:p w:rsidR="00067D89" w:rsidRDefault="00A57D41">
      <w:pPr>
        <w:rPr>
          <w:sz w:val="20"/>
          <w:szCs w:val="20"/>
        </w:rPr>
      </w:pPr>
      <w:r>
        <w:rPr>
          <w:sz w:val="20"/>
          <w:szCs w:val="20"/>
        </w:rPr>
        <w:t>Tabla 3</w:t>
      </w:r>
    </w:p>
    <w:p w:rsidR="00067D89" w:rsidRDefault="00A57D41">
      <w:pPr>
        <w:spacing w:line="360" w:lineRule="auto"/>
        <w:rPr>
          <w:sz w:val="20"/>
          <w:szCs w:val="20"/>
        </w:rPr>
      </w:pPr>
      <w:r>
        <w:rPr>
          <w:i/>
          <w:sz w:val="20"/>
          <w:szCs w:val="20"/>
        </w:rPr>
        <w:t xml:space="preserve">Desarrollo de las revistas de psicología en el Perú </w:t>
      </w:r>
    </w:p>
    <w:tbl>
      <w:tblPr>
        <w:tblStyle w:val="afffffffa"/>
        <w:tblW w:w="9389" w:type="dxa"/>
        <w:tblInd w:w="0" w:type="dxa"/>
        <w:tblBorders>
          <w:top w:val="single" w:sz="4" w:space="0" w:color="000000"/>
          <w:bottom w:val="single" w:sz="4" w:space="0" w:color="000000"/>
        </w:tblBorders>
        <w:tblLayout w:type="fixed"/>
        <w:tblLook w:val="0400" w:firstRow="0" w:lastRow="0" w:firstColumn="0" w:lastColumn="0" w:noHBand="0" w:noVBand="1"/>
      </w:tblPr>
      <w:tblGrid>
        <w:gridCol w:w="1035"/>
        <w:gridCol w:w="1153"/>
        <w:gridCol w:w="464"/>
        <w:gridCol w:w="464"/>
        <w:gridCol w:w="464"/>
        <w:gridCol w:w="464"/>
        <w:gridCol w:w="464"/>
        <w:gridCol w:w="464"/>
        <w:gridCol w:w="464"/>
        <w:gridCol w:w="464"/>
        <w:gridCol w:w="464"/>
        <w:gridCol w:w="464"/>
        <w:gridCol w:w="464"/>
        <w:gridCol w:w="464"/>
        <w:gridCol w:w="464"/>
        <w:gridCol w:w="464"/>
        <w:gridCol w:w="705"/>
      </w:tblGrid>
      <w:tr w:rsidR="00067D89">
        <w:trPr>
          <w:trHeight w:val="259"/>
        </w:trPr>
        <w:tc>
          <w:tcPr>
            <w:tcW w:w="1036" w:type="dxa"/>
            <w:vMerge w:val="restart"/>
            <w:shd w:val="clear" w:color="auto" w:fill="FFFFFF"/>
            <w:vAlign w:val="bottom"/>
          </w:tcPr>
          <w:p w:rsidR="00067D89" w:rsidRDefault="00A57D41">
            <w:pPr>
              <w:rPr>
                <w:color w:val="000000"/>
                <w:sz w:val="20"/>
                <w:szCs w:val="20"/>
              </w:rPr>
            </w:pPr>
            <w:r>
              <w:rPr>
                <w:color w:val="000000"/>
                <w:sz w:val="20"/>
                <w:szCs w:val="20"/>
              </w:rPr>
              <w:t>Vigencia</w:t>
            </w:r>
          </w:p>
        </w:tc>
        <w:tc>
          <w:tcPr>
            <w:tcW w:w="1153" w:type="dxa"/>
            <w:vMerge w:val="restart"/>
            <w:shd w:val="clear" w:color="auto" w:fill="FFFFFF"/>
            <w:vAlign w:val="bottom"/>
          </w:tcPr>
          <w:p w:rsidR="00067D89" w:rsidRDefault="00A57D41">
            <w:pPr>
              <w:rPr>
                <w:color w:val="000000"/>
                <w:sz w:val="20"/>
                <w:szCs w:val="20"/>
              </w:rPr>
            </w:pPr>
            <w:r>
              <w:rPr>
                <w:color w:val="000000"/>
                <w:sz w:val="20"/>
                <w:szCs w:val="20"/>
              </w:rPr>
              <w:t>Tuvieron</w:t>
            </w:r>
            <w:r>
              <w:rPr>
                <w:color w:val="000000"/>
                <w:sz w:val="20"/>
                <w:szCs w:val="20"/>
              </w:rPr>
              <w:br/>
              <w:t xml:space="preserve">paro </w:t>
            </w:r>
          </w:p>
        </w:tc>
        <w:tc>
          <w:tcPr>
            <w:tcW w:w="6496" w:type="dxa"/>
            <w:gridSpan w:val="14"/>
            <w:tcBorders>
              <w:bottom w:val="single" w:sz="4" w:space="0" w:color="000000"/>
            </w:tcBorders>
            <w:shd w:val="clear" w:color="auto" w:fill="FFFFFF"/>
            <w:vAlign w:val="bottom"/>
          </w:tcPr>
          <w:p w:rsidR="00067D89" w:rsidRDefault="00A57D41">
            <w:pPr>
              <w:jc w:val="center"/>
              <w:rPr>
                <w:color w:val="000000"/>
                <w:sz w:val="20"/>
                <w:szCs w:val="20"/>
              </w:rPr>
            </w:pPr>
            <w:r>
              <w:rPr>
                <w:color w:val="000000"/>
                <w:sz w:val="20"/>
                <w:szCs w:val="20"/>
              </w:rPr>
              <w:t>Año de inicio</w:t>
            </w:r>
          </w:p>
        </w:tc>
        <w:tc>
          <w:tcPr>
            <w:tcW w:w="705" w:type="dxa"/>
            <w:shd w:val="clear" w:color="auto" w:fill="FFFFFF"/>
          </w:tcPr>
          <w:p w:rsidR="00067D89" w:rsidRDefault="00A57D41">
            <w:pPr>
              <w:jc w:val="center"/>
              <w:rPr>
                <w:color w:val="000000"/>
                <w:sz w:val="20"/>
                <w:szCs w:val="20"/>
              </w:rPr>
            </w:pPr>
            <w:r>
              <w:rPr>
                <w:color w:val="000000"/>
                <w:sz w:val="20"/>
                <w:szCs w:val="20"/>
              </w:rPr>
              <w:t xml:space="preserve">Total </w:t>
            </w:r>
          </w:p>
        </w:tc>
      </w:tr>
      <w:tr w:rsidR="00067D89">
        <w:trPr>
          <w:trHeight w:val="259"/>
        </w:trPr>
        <w:tc>
          <w:tcPr>
            <w:tcW w:w="1036" w:type="dxa"/>
            <w:vMerge/>
            <w:shd w:val="clear" w:color="auto" w:fill="FFFFFF"/>
            <w:vAlign w:val="bottom"/>
          </w:tcPr>
          <w:p w:rsidR="00067D89" w:rsidRDefault="00067D89">
            <w:pPr>
              <w:widowControl w:val="0"/>
              <w:pBdr>
                <w:top w:val="nil"/>
                <w:left w:val="nil"/>
                <w:bottom w:val="nil"/>
                <w:right w:val="nil"/>
                <w:between w:val="nil"/>
              </w:pBdr>
              <w:spacing w:line="276" w:lineRule="auto"/>
              <w:rPr>
                <w:color w:val="000000"/>
                <w:sz w:val="20"/>
                <w:szCs w:val="20"/>
              </w:rPr>
            </w:pPr>
          </w:p>
        </w:tc>
        <w:tc>
          <w:tcPr>
            <w:tcW w:w="1153" w:type="dxa"/>
            <w:vMerge/>
            <w:shd w:val="clear" w:color="auto" w:fill="FFFFFF"/>
            <w:vAlign w:val="bottom"/>
          </w:tcPr>
          <w:p w:rsidR="00067D89" w:rsidRDefault="00067D89">
            <w:pPr>
              <w:widowControl w:val="0"/>
              <w:pBdr>
                <w:top w:val="nil"/>
                <w:left w:val="nil"/>
                <w:bottom w:val="nil"/>
                <w:right w:val="nil"/>
                <w:between w:val="nil"/>
              </w:pBdr>
              <w:spacing w:line="276" w:lineRule="auto"/>
              <w:rPr>
                <w:color w:val="000000"/>
                <w:sz w:val="20"/>
                <w:szCs w:val="20"/>
              </w:rPr>
            </w:pPr>
          </w:p>
        </w:tc>
        <w:tc>
          <w:tcPr>
            <w:tcW w:w="464" w:type="dxa"/>
            <w:tcBorders>
              <w:top w:val="single" w:sz="4" w:space="0" w:color="000000"/>
              <w:bottom w:val="single" w:sz="4" w:space="0" w:color="000000"/>
            </w:tcBorders>
            <w:shd w:val="clear" w:color="auto" w:fill="FFFFFF"/>
            <w:vAlign w:val="bottom"/>
          </w:tcPr>
          <w:p w:rsidR="00067D89" w:rsidRDefault="00A57D41">
            <w:pPr>
              <w:jc w:val="center"/>
              <w:rPr>
                <w:color w:val="000000"/>
                <w:sz w:val="20"/>
                <w:szCs w:val="20"/>
              </w:rPr>
            </w:pPr>
            <w:r>
              <w:rPr>
                <w:color w:val="000000"/>
                <w:sz w:val="20"/>
                <w:szCs w:val="20"/>
              </w:rPr>
              <w:t>83</w:t>
            </w:r>
          </w:p>
        </w:tc>
        <w:tc>
          <w:tcPr>
            <w:tcW w:w="464" w:type="dxa"/>
            <w:tcBorders>
              <w:top w:val="single" w:sz="4" w:space="0" w:color="000000"/>
              <w:bottom w:val="single" w:sz="4" w:space="0" w:color="000000"/>
            </w:tcBorders>
            <w:shd w:val="clear" w:color="auto" w:fill="FFFFFF"/>
            <w:vAlign w:val="bottom"/>
          </w:tcPr>
          <w:p w:rsidR="00067D89" w:rsidRDefault="00A57D41">
            <w:pPr>
              <w:jc w:val="center"/>
              <w:rPr>
                <w:color w:val="000000"/>
                <w:sz w:val="20"/>
                <w:szCs w:val="20"/>
              </w:rPr>
            </w:pPr>
            <w:r>
              <w:rPr>
                <w:color w:val="000000"/>
                <w:sz w:val="20"/>
                <w:szCs w:val="20"/>
              </w:rPr>
              <w:t>93</w:t>
            </w:r>
          </w:p>
        </w:tc>
        <w:tc>
          <w:tcPr>
            <w:tcW w:w="464" w:type="dxa"/>
            <w:tcBorders>
              <w:top w:val="single" w:sz="4" w:space="0" w:color="000000"/>
              <w:bottom w:val="single" w:sz="4" w:space="0" w:color="000000"/>
            </w:tcBorders>
            <w:shd w:val="clear" w:color="auto" w:fill="FFFFFF"/>
            <w:vAlign w:val="bottom"/>
          </w:tcPr>
          <w:p w:rsidR="00067D89" w:rsidRDefault="00A57D41">
            <w:pPr>
              <w:jc w:val="center"/>
              <w:rPr>
                <w:color w:val="000000"/>
                <w:sz w:val="20"/>
                <w:szCs w:val="20"/>
              </w:rPr>
            </w:pPr>
            <w:r>
              <w:rPr>
                <w:color w:val="000000"/>
                <w:sz w:val="20"/>
                <w:szCs w:val="20"/>
              </w:rPr>
              <w:t>95</w:t>
            </w:r>
          </w:p>
        </w:tc>
        <w:tc>
          <w:tcPr>
            <w:tcW w:w="464" w:type="dxa"/>
            <w:tcBorders>
              <w:top w:val="single" w:sz="4" w:space="0" w:color="000000"/>
              <w:bottom w:val="single" w:sz="4" w:space="0" w:color="000000"/>
            </w:tcBorders>
            <w:shd w:val="clear" w:color="auto" w:fill="FFFFFF"/>
            <w:vAlign w:val="bottom"/>
          </w:tcPr>
          <w:p w:rsidR="00067D89" w:rsidRDefault="00A57D41">
            <w:pPr>
              <w:jc w:val="center"/>
              <w:rPr>
                <w:color w:val="000000"/>
                <w:sz w:val="20"/>
                <w:szCs w:val="20"/>
              </w:rPr>
            </w:pPr>
            <w:r>
              <w:rPr>
                <w:color w:val="000000"/>
                <w:sz w:val="20"/>
                <w:szCs w:val="20"/>
              </w:rPr>
              <w:t>97</w:t>
            </w:r>
          </w:p>
        </w:tc>
        <w:tc>
          <w:tcPr>
            <w:tcW w:w="464" w:type="dxa"/>
            <w:tcBorders>
              <w:top w:val="single" w:sz="4" w:space="0" w:color="000000"/>
              <w:bottom w:val="single" w:sz="4" w:space="0" w:color="000000"/>
            </w:tcBorders>
            <w:shd w:val="clear" w:color="auto" w:fill="FFFFFF"/>
            <w:vAlign w:val="bottom"/>
          </w:tcPr>
          <w:p w:rsidR="00067D89" w:rsidRDefault="00A57D41">
            <w:pPr>
              <w:rPr>
                <w:color w:val="000000"/>
                <w:sz w:val="20"/>
                <w:szCs w:val="20"/>
              </w:rPr>
            </w:pPr>
            <w:r>
              <w:rPr>
                <w:color w:val="000000"/>
                <w:sz w:val="20"/>
                <w:szCs w:val="20"/>
              </w:rPr>
              <w:t>98</w:t>
            </w:r>
          </w:p>
        </w:tc>
        <w:tc>
          <w:tcPr>
            <w:tcW w:w="464" w:type="dxa"/>
            <w:tcBorders>
              <w:top w:val="single" w:sz="4" w:space="0" w:color="000000"/>
              <w:bottom w:val="single" w:sz="4" w:space="0" w:color="000000"/>
            </w:tcBorders>
            <w:shd w:val="clear" w:color="auto" w:fill="FFFFFF"/>
            <w:vAlign w:val="bottom"/>
          </w:tcPr>
          <w:p w:rsidR="00067D89" w:rsidRDefault="00A57D41">
            <w:pPr>
              <w:jc w:val="center"/>
              <w:rPr>
                <w:color w:val="000000"/>
                <w:sz w:val="20"/>
                <w:szCs w:val="20"/>
              </w:rPr>
            </w:pPr>
            <w:r>
              <w:rPr>
                <w:color w:val="000000"/>
                <w:sz w:val="20"/>
                <w:szCs w:val="20"/>
              </w:rPr>
              <w:t>02</w:t>
            </w:r>
          </w:p>
        </w:tc>
        <w:tc>
          <w:tcPr>
            <w:tcW w:w="464" w:type="dxa"/>
            <w:tcBorders>
              <w:top w:val="single" w:sz="4" w:space="0" w:color="000000"/>
              <w:bottom w:val="single" w:sz="4" w:space="0" w:color="000000"/>
            </w:tcBorders>
            <w:shd w:val="clear" w:color="auto" w:fill="FFFFFF"/>
            <w:vAlign w:val="bottom"/>
          </w:tcPr>
          <w:p w:rsidR="00067D89" w:rsidRDefault="00A57D41">
            <w:pPr>
              <w:jc w:val="center"/>
              <w:rPr>
                <w:color w:val="000000"/>
                <w:sz w:val="20"/>
                <w:szCs w:val="20"/>
              </w:rPr>
            </w:pPr>
            <w:r>
              <w:rPr>
                <w:color w:val="000000"/>
                <w:sz w:val="20"/>
                <w:szCs w:val="20"/>
              </w:rPr>
              <w:t>05</w:t>
            </w:r>
          </w:p>
        </w:tc>
        <w:tc>
          <w:tcPr>
            <w:tcW w:w="464" w:type="dxa"/>
            <w:tcBorders>
              <w:top w:val="single" w:sz="4" w:space="0" w:color="000000"/>
              <w:bottom w:val="single" w:sz="4" w:space="0" w:color="000000"/>
            </w:tcBorders>
            <w:shd w:val="clear" w:color="auto" w:fill="FFFFFF"/>
            <w:vAlign w:val="bottom"/>
          </w:tcPr>
          <w:p w:rsidR="00067D89" w:rsidRDefault="00A57D41">
            <w:pPr>
              <w:jc w:val="center"/>
              <w:rPr>
                <w:color w:val="000000"/>
                <w:sz w:val="20"/>
                <w:szCs w:val="20"/>
              </w:rPr>
            </w:pPr>
            <w:r>
              <w:rPr>
                <w:color w:val="000000"/>
                <w:sz w:val="20"/>
                <w:szCs w:val="20"/>
              </w:rPr>
              <w:t>11</w:t>
            </w:r>
          </w:p>
        </w:tc>
        <w:tc>
          <w:tcPr>
            <w:tcW w:w="464" w:type="dxa"/>
            <w:tcBorders>
              <w:top w:val="single" w:sz="4" w:space="0" w:color="000000"/>
              <w:bottom w:val="single" w:sz="4" w:space="0" w:color="000000"/>
            </w:tcBorders>
            <w:shd w:val="clear" w:color="auto" w:fill="FFFFFF"/>
            <w:vAlign w:val="bottom"/>
          </w:tcPr>
          <w:p w:rsidR="00067D89" w:rsidRDefault="00A57D41">
            <w:pPr>
              <w:jc w:val="center"/>
              <w:rPr>
                <w:color w:val="000000"/>
                <w:sz w:val="20"/>
                <w:szCs w:val="20"/>
              </w:rPr>
            </w:pPr>
            <w:r>
              <w:rPr>
                <w:color w:val="000000"/>
                <w:sz w:val="20"/>
                <w:szCs w:val="20"/>
              </w:rPr>
              <w:t>12</w:t>
            </w:r>
          </w:p>
        </w:tc>
        <w:tc>
          <w:tcPr>
            <w:tcW w:w="464" w:type="dxa"/>
            <w:tcBorders>
              <w:top w:val="single" w:sz="4" w:space="0" w:color="000000"/>
              <w:bottom w:val="single" w:sz="4" w:space="0" w:color="000000"/>
            </w:tcBorders>
            <w:shd w:val="clear" w:color="auto" w:fill="FFFFFF"/>
            <w:vAlign w:val="bottom"/>
          </w:tcPr>
          <w:p w:rsidR="00067D89" w:rsidRDefault="00A57D41">
            <w:pPr>
              <w:jc w:val="center"/>
              <w:rPr>
                <w:color w:val="000000"/>
                <w:sz w:val="20"/>
                <w:szCs w:val="20"/>
              </w:rPr>
            </w:pPr>
            <w:r>
              <w:rPr>
                <w:color w:val="000000"/>
                <w:sz w:val="20"/>
                <w:szCs w:val="20"/>
              </w:rPr>
              <w:t>13</w:t>
            </w:r>
          </w:p>
        </w:tc>
        <w:tc>
          <w:tcPr>
            <w:tcW w:w="464" w:type="dxa"/>
            <w:tcBorders>
              <w:top w:val="single" w:sz="4" w:space="0" w:color="000000"/>
              <w:bottom w:val="single" w:sz="4" w:space="0" w:color="000000"/>
            </w:tcBorders>
            <w:shd w:val="clear" w:color="auto" w:fill="FFFFFF"/>
            <w:vAlign w:val="bottom"/>
          </w:tcPr>
          <w:p w:rsidR="00067D89" w:rsidRDefault="00A57D41">
            <w:pPr>
              <w:jc w:val="center"/>
              <w:rPr>
                <w:color w:val="000000"/>
                <w:sz w:val="20"/>
                <w:szCs w:val="20"/>
              </w:rPr>
            </w:pPr>
            <w:r>
              <w:rPr>
                <w:color w:val="000000"/>
                <w:sz w:val="20"/>
                <w:szCs w:val="20"/>
              </w:rPr>
              <w:t>14</w:t>
            </w:r>
          </w:p>
        </w:tc>
        <w:tc>
          <w:tcPr>
            <w:tcW w:w="464" w:type="dxa"/>
            <w:tcBorders>
              <w:top w:val="single" w:sz="4" w:space="0" w:color="000000"/>
              <w:bottom w:val="single" w:sz="4" w:space="0" w:color="000000"/>
            </w:tcBorders>
            <w:shd w:val="clear" w:color="auto" w:fill="FFFFFF"/>
            <w:vAlign w:val="bottom"/>
          </w:tcPr>
          <w:p w:rsidR="00067D89" w:rsidRDefault="00A57D41">
            <w:pPr>
              <w:jc w:val="center"/>
              <w:rPr>
                <w:color w:val="000000"/>
                <w:sz w:val="20"/>
                <w:szCs w:val="20"/>
              </w:rPr>
            </w:pPr>
            <w:r>
              <w:rPr>
                <w:color w:val="000000"/>
                <w:sz w:val="20"/>
                <w:szCs w:val="20"/>
              </w:rPr>
              <w:t>15</w:t>
            </w:r>
          </w:p>
        </w:tc>
        <w:tc>
          <w:tcPr>
            <w:tcW w:w="464" w:type="dxa"/>
            <w:tcBorders>
              <w:top w:val="single" w:sz="4" w:space="0" w:color="000000"/>
              <w:bottom w:val="single" w:sz="4" w:space="0" w:color="000000"/>
            </w:tcBorders>
            <w:shd w:val="clear" w:color="auto" w:fill="FFFFFF"/>
            <w:vAlign w:val="bottom"/>
          </w:tcPr>
          <w:p w:rsidR="00067D89" w:rsidRDefault="00A57D41">
            <w:pPr>
              <w:jc w:val="center"/>
              <w:rPr>
                <w:color w:val="000000"/>
                <w:sz w:val="20"/>
                <w:szCs w:val="20"/>
              </w:rPr>
            </w:pPr>
            <w:r>
              <w:rPr>
                <w:color w:val="000000"/>
                <w:sz w:val="20"/>
                <w:szCs w:val="20"/>
              </w:rPr>
              <w:t>16</w:t>
            </w:r>
          </w:p>
        </w:tc>
        <w:tc>
          <w:tcPr>
            <w:tcW w:w="464" w:type="dxa"/>
            <w:tcBorders>
              <w:top w:val="single" w:sz="4" w:space="0" w:color="000000"/>
              <w:bottom w:val="single" w:sz="4" w:space="0" w:color="000000"/>
            </w:tcBorders>
            <w:shd w:val="clear" w:color="auto" w:fill="FFFFFF"/>
            <w:vAlign w:val="bottom"/>
          </w:tcPr>
          <w:p w:rsidR="00067D89" w:rsidRDefault="00A57D41">
            <w:pPr>
              <w:jc w:val="center"/>
              <w:rPr>
                <w:color w:val="000000"/>
                <w:sz w:val="20"/>
                <w:szCs w:val="20"/>
              </w:rPr>
            </w:pPr>
            <w:r>
              <w:rPr>
                <w:color w:val="000000"/>
                <w:sz w:val="20"/>
                <w:szCs w:val="20"/>
              </w:rPr>
              <w:t>17</w:t>
            </w:r>
          </w:p>
        </w:tc>
        <w:tc>
          <w:tcPr>
            <w:tcW w:w="705" w:type="dxa"/>
            <w:tcBorders>
              <w:bottom w:val="single" w:sz="4" w:space="0" w:color="000000"/>
            </w:tcBorders>
            <w:shd w:val="clear" w:color="auto" w:fill="FFFFFF"/>
          </w:tcPr>
          <w:p w:rsidR="00067D89" w:rsidRDefault="00067D89">
            <w:pPr>
              <w:jc w:val="center"/>
              <w:rPr>
                <w:color w:val="000000"/>
                <w:sz w:val="20"/>
                <w:szCs w:val="20"/>
              </w:rPr>
            </w:pPr>
          </w:p>
        </w:tc>
      </w:tr>
      <w:tr w:rsidR="00067D89">
        <w:trPr>
          <w:trHeight w:val="259"/>
        </w:trPr>
        <w:tc>
          <w:tcPr>
            <w:tcW w:w="1036" w:type="dxa"/>
            <w:vMerge w:val="restart"/>
            <w:tcBorders>
              <w:top w:val="single" w:sz="4" w:space="0" w:color="000000"/>
            </w:tcBorders>
            <w:shd w:val="clear" w:color="auto" w:fill="FFFFFF"/>
            <w:vAlign w:val="bottom"/>
          </w:tcPr>
          <w:p w:rsidR="00067D89" w:rsidRDefault="00A57D41">
            <w:pPr>
              <w:rPr>
                <w:color w:val="000000"/>
                <w:sz w:val="20"/>
                <w:szCs w:val="20"/>
              </w:rPr>
            </w:pPr>
            <w:r>
              <w:rPr>
                <w:color w:val="000000"/>
                <w:sz w:val="20"/>
                <w:szCs w:val="20"/>
              </w:rPr>
              <w:t>Activos</w:t>
            </w:r>
          </w:p>
          <w:p w:rsidR="00067D89" w:rsidRDefault="00067D89">
            <w:pPr>
              <w:rPr>
                <w:color w:val="000000"/>
                <w:sz w:val="20"/>
                <w:szCs w:val="20"/>
              </w:rPr>
            </w:pPr>
          </w:p>
          <w:p w:rsidR="00067D89" w:rsidRDefault="00067D89">
            <w:pPr>
              <w:rPr>
                <w:color w:val="000000"/>
                <w:sz w:val="20"/>
                <w:szCs w:val="20"/>
              </w:rPr>
            </w:pPr>
          </w:p>
        </w:tc>
        <w:tc>
          <w:tcPr>
            <w:tcW w:w="1153" w:type="dxa"/>
            <w:tcBorders>
              <w:top w:val="single" w:sz="4" w:space="0" w:color="000000"/>
            </w:tcBorders>
            <w:shd w:val="clear" w:color="auto" w:fill="FFFFFF"/>
            <w:vAlign w:val="bottom"/>
          </w:tcPr>
          <w:p w:rsidR="00067D89" w:rsidRDefault="00A57D41">
            <w:pPr>
              <w:rPr>
                <w:color w:val="000000"/>
                <w:sz w:val="20"/>
                <w:szCs w:val="20"/>
              </w:rPr>
            </w:pPr>
            <w:r>
              <w:rPr>
                <w:color w:val="000000"/>
                <w:sz w:val="20"/>
                <w:szCs w:val="20"/>
              </w:rPr>
              <w:t>No</w:t>
            </w:r>
          </w:p>
        </w:tc>
        <w:tc>
          <w:tcPr>
            <w:tcW w:w="464" w:type="dxa"/>
            <w:tcBorders>
              <w:top w:val="single" w:sz="4" w:space="0" w:color="000000"/>
            </w:tcBorders>
            <w:shd w:val="clear" w:color="auto" w:fill="FFFFFF"/>
            <w:vAlign w:val="bottom"/>
          </w:tcPr>
          <w:p w:rsidR="00067D89" w:rsidRDefault="00A57D41">
            <w:pPr>
              <w:jc w:val="center"/>
              <w:rPr>
                <w:color w:val="000000"/>
                <w:sz w:val="20"/>
                <w:szCs w:val="20"/>
              </w:rPr>
            </w:pPr>
            <w:r>
              <w:rPr>
                <w:color w:val="000000"/>
                <w:sz w:val="20"/>
                <w:szCs w:val="20"/>
              </w:rPr>
              <w:t>1</w:t>
            </w:r>
          </w:p>
        </w:tc>
        <w:tc>
          <w:tcPr>
            <w:tcW w:w="464" w:type="dxa"/>
            <w:tcBorders>
              <w:top w:val="single" w:sz="4" w:space="0" w:color="000000"/>
            </w:tcBorders>
            <w:shd w:val="clear" w:color="auto" w:fill="FFFFFF"/>
            <w:vAlign w:val="bottom"/>
          </w:tcPr>
          <w:p w:rsidR="00067D89" w:rsidRDefault="00A57D41">
            <w:pPr>
              <w:jc w:val="center"/>
              <w:rPr>
                <w:color w:val="000000"/>
                <w:sz w:val="20"/>
                <w:szCs w:val="20"/>
              </w:rPr>
            </w:pPr>
            <w:r>
              <w:rPr>
                <w:color w:val="000000"/>
                <w:sz w:val="20"/>
                <w:szCs w:val="20"/>
              </w:rPr>
              <w:t>1</w:t>
            </w:r>
          </w:p>
        </w:tc>
        <w:tc>
          <w:tcPr>
            <w:tcW w:w="464" w:type="dxa"/>
            <w:tcBorders>
              <w:top w:val="single" w:sz="4" w:space="0" w:color="000000"/>
            </w:tcBorders>
            <w:shd w:val="clear" w:color="auto" w:fill="FFFFFF"/>
            <w:vAlign w:val="bottom"/>
          </w:tcPr>
          <w:p w:rsidR="00067D89" w:rsidRDefault="00A57D41">
            <w:pPr>
              <w:jc w:val="center"/>
              <w:rPr>
                <w:color w:val="000000"/>
                <w:sz w:val="20"/>
                <w:szCs w:val="20"/>
              </w:rPr>
            </w:pPr>
            <w:r>
              <w:rPr>
                <w:color w:val="000000"/>
                <w:sz w:val="20"/>
                <w:szCs w:val="20"/>
              </w:rPr>
              <w:t>1</w:t>
            </w:r>
          </w:p>
        </w:tc>
        <w:tc>
          <w:tcPr>
            <w:tcW w:w="464" w:type="dxa"/>
            <w:tcBorders>
              <w:top w:val="single" w:sz="4" w:space="0" w:color="000000"/>
            </w:tcBorders>
            <w:shd w:val="clear" w:color="auto" w:fill="FFFFFF"/>
            <w:vAlign w:val="bottom"/>
          </w:tcPr>
          <w:p w:rsidR="00067D89" w:rsidRDefault="00067D89">
            <w:pPr>
              <w:jc w:val="center"/>
              <w:rPr>
                <w:color w:val="000000"/>
                <w:sz w:val="20"/>
                <w:szCs w:val="20"/>
              </w:rPr>
            </w:pPr>
          </w:p>
        </w:tc>
        <w:tc>
          <w:tcPr>
            <w:tcW w:w="464" w:type="dxa"/>
            <w:tcBorders>
              <w:top w:val="single" w:sz="4" w:space="0" w:color="000000"/>
            </w:tcBorders>
            <w:shd w:val="clear" w:color="auto" w:fill="FFFFFF"/>
            <w:vAlign w:val="bottom"/>
          </w:tcPr>
          <w:p w:rsidR="00067D89" w:rsidRDefault="00A57D41">
            <w:pPr>
              <w:jc w:val="center"/>
              <w:rPr>
                <w:color w:val="000000"/>
                <w:sz w:val="20"/>
                <w:szCs w:val="20"/>
              </w:rPr>
            </w:pPr>
            <w:r>
              <w:rPr>
                <w:color w:val="000000"/>
                <w:sz w:val="20"/>
                <w:szCs w:val="20"/>
              </w:rPr>
              <w:t>2</w:t>
            </w:r>
          </w:p>
        </w:tc>
        <w:tc>
          <w:tcPr>
            <w:tcW w:w="464" w:type="dxa"/>
            <w:tcBorders>
              <w:top w:val="single" w:sz="4" w:space="0" w:color="000000"/>
            </w:tcBorders>
            <w:shd w:val="clear" w:color="auto" w:fill="FFFFFF"/>
            <w:vAlign w:val="bottom"/>
          </w:tcPr>
          <w:p w:rsidR="00067D89" w:rsidRDefault="00067D89">
            <w:pPr>
              <w:jc w:val="center"/>
              <w:rPr>
                <w:color w:val="000000"/>
                <w:sz w:val="20"/>
                <w:szCs w:val="20"/>
              </w:rPr>
            </w:pPr>
          </w:p>
        </w:tc>
        <w:tc>
          <w:tcPr>
            <w:tcW w:w="464" w:type="dxa"/>
            <w:tcBorders>
              <w:top w:val="single" w:sz="4" w:space="0" w:color="000000"/>
            </w:tcBorders>
            <w:shd w:val="clear" w:color="auto" w:fill="FFFFFF"/>
            <w:vAlign w:val="bottom"/>
          </w:tcPr>
          <w:p w:rsidR="00067D89" w:rsidRDefault="00067D89">
            <w:pPr>
              <w:jc w:val="center"/>
              <w:rPr>
                <w:color w:val="000000"/>
                <w:sz w:val="20"/>
                <w:szCs w:val="20"/>
              </w:rPr>
            </w:pPr>
          </w:p>
        </w:tc>
        <w:tc>
          <w:tcPr>
            <w:tcW w:w="464" w:type="dxa"/>
            <w:tcBorders>
              <w:top w:val="single" w:sz="4" w:space="0" w:color="000000"/>
            </w:tcBorders>
            <w:shd w:val="clear" w:color="auto" w:fill="FFFFFF"/>
            <w:vAlign w:val="bottom"/>
          </w:tcPr>
          <w:p w:rsidR="00067D89" w:rsidRDefault="00A57D41">
            <w:pPr>
              <w:jc w:val="center"/>
              <w:rPr>
                <w:color w:val="000000"/>
                <w:sz w:val="20"/>
                <w:szCs w:val="20"/>
              </w:rPr>
            </w:pPr>
            <w:r>
              <w:rPr>
                <w:color w:val="000000"/>
                <w:sz w:val="20"/>
                <w:szCs w:val="20"/>
              </w:rPr>
              <w:t>1</w:t>
            </w:r>
          </w:p>
        </w:tc>
        <w:tc>
          <w:tcPr>
            <w:tcW w:w="464" w:type="dxa"/>
            <w:tcBorders>
              <w:top w:val="single" w:sz="4" w:space="0" w:color="000000"/>
            </w:tcBorders>
            <w:shd w:val="clear" w:color="auto" w:fill="FFFFFF"/>
            <w:vAlign w:val="bottom"/>
          </w:tcPr>
          <w:p w:rsidR="00067D89" w:rsidRDefault="00A57D41">
            <w:pPr>
              <w:jc w:val="center"/>
              <w:rPr>
                <w:color w:val="000000"/>
                <w:sz w:val="20"/>
                <w:szCs w:val="20"/>
              </w:rPr>
            </w:pPr>
            <w:r>
              <w:rPr>
                <w:color w:val="000000"/>
                <w:sz w:val="20"/>
                <w:szCs w:val="20"/>
              </w:rPr>
              <w:t>1</w:t>
            </w:r>
          </w:p>
        </w:tc>
        <w:tc>
          <w:tcPr>
            <w:tcW w:w="464" w:type="dxa"/>
            <w:tcBorders>
              <w:top w:val="single" w:sz="4" w:space="0" w:color="000000"/>
            </w:tcBorders>
            <w:shd w:val="clear" w:color="auto" w:fill="FFFFFF"/>
            <w:vAlign w:val="bottom"/>
          </w:tcPr>
          <w:p w:rsidR="00067D89" w:rsidRDefault="00A57D41">
            <w:pPr>
              <w:jc w:val="center"/>
              <w:rPr>
                <w:color w:val="000000"/>
                <w:sz w:val="20"/>
                <w:szCs w:val="20"/>
              </w:rPr>
            </w:pPr>
            <w:r>
              <w:rPr>
                <w:color w:val="000000"/>
                <w:sz w:val="20"/>
                <w:szCs w:val="20"/>
              </w:rPr>
              <w:t>1</w:t>
            </w:r>
          </w:p>
        </w:tc>
        <w:tc>
          <w:tcPr>
            <w:tcW w:w="464" w:type="dxa"/>
            <w:tcBorders>
              <w:top w:val="single" w:sz="4" w:space="0" w:color="000000"/>
            </w:tcBorders>
            <w:shd w:val="clear" w:color="auto" w:fill="FFFFFF"/>
            <w:vAlign w:val="bottom"/>
          </w:tcPr>
          <w:p w:rsidR="00067D89" w:rsidRDefault="00067D89">
            <w:pPr>
              <w:jc w:val="center"/>
              <w:rPr>
                <w:color w:val="000000"/>
                <w:sz w:val="20"/>
                <w:szCs w:val="20"/>
              </w:rPr>
            </w:pPr>
          </w:p>
        </w:tc>
        <w:tc>
          <w:tcPr>
            <w:tcW w:w="464" w:type="dxa"/>
            <w:tcBorders>
              <w:top w:val="single" w:sz="4" w:space="0" w:color="000000"/>
            </w:tcBorders>
            <w:shd w:val="clear" w:color="auto" w:fill="FFFFFF"/>
            <w:vAlign w:val="bottom"/>
          </w:tcPr>
          <w:p w:rsidR="00067D89" w:rsidRDefault="00A57D41">
            <w:pPr>
              <w:jc w:val="center"/>
              <w:rPr>
                <w:color w:val="000000"/>
                <w:sz w:val="20"/>
                <w:szCs w:val="20"/>
              </w:rPr>
            </w:pPr>
            <w:r>
              <w:rPr>
                <w:color w:val="000000"/>
                <w:sz w:val="20"/>
                <w:szCs w:val="20"/>
              </w:rPr>
              <w:t>2</w:t>
            </w:r>
          </w:p>
        </w:tc>
        <w:tc>
          <w:tcPr>
            <w:tcW w:w="464" w:type="dxa"/>
            <w:tcBorders>
              <w:top w:val="single" w:sz="4" w:space="0" w:color="000000"/>
            </w:tcBorders>
            <w:shd w:val="clear" w:color="auto" w:fill="FFFFFF"/>
            <w:vAlign w:val="bottom"/>
          </w:tcPr>
          <w:p w:rsidR="00067D89" w:rsidRDefault="00067D89">
            <w:pPr>
              <w:jc w:val="center"/>
              <w:rPr>
                <w:color w:val="000000"/>
                <w:sz w:val="20"/>
                <w:szCs w:val="20"/>
              </w:rPr>
            </w:pPr>
          </w:p>
        </w:tc>
        <w:tc>
          <w:tcPr>
            <w:tcW w:w="464" w:type="dxa"/>
            <w:tcBorders>
              <w:top w:val="single" w:sz="4" w:space="0" w:color="000000"/>
            </w:tcBorders>
            <w:shd w:val="clear" w:color="auto" w:fill="FFFFFF"/>
            <w:vAlign w:val="bottom"/>
          </w:tcPr>
          <w:p w:rsidR="00067D89" w:rsidRDefault="00067D89">
            <w:pPr>
              <w:jc w:val="center"/>
              <w:rPr>
                <w:color w:val="000000"/>
                <w:sz w:val="20"/>
                <w:szCs w:val="20"/>
              </w:rPr>
            </w:pPr>
          </w:p>
        </w:tc>
        <w:tc>
          <w:tcPr>
            <w:tcW w:w="705" w:type="dxa"/>
            <w:tcBorders>
              <w:top w:val="single" w:sz="4" w:space="0" w:color="000000"/>
            </w:tcBorders>
            <w:shd w:val="clear" w:color="auto" w:fill="FFFFFF"/>
          </w:tcPr>
          <w:p w:rsidR="00067D89" w:rsidRDefault="00A57D41">
            <w:pPr>
              <w:jc w:val="center"/>
              <w:rPr>
                <w:color w:val="000000"/>
                <w:sz w:val="20"/>
                <w:szCs w:val="20"/>
              </w:rPr>
            </w:pPr>
            <w:r>
              <w:rPr>
                <w:color w:val="000000"/>
                <w:sz w:val="20"/>
                <w:szCs w:val="20"/>
              </w:rPr>
              <w:t>10</w:t>
            </w:r>
          </w:p>
        </w:tc>
      </w:tr>
      <w:tr w:rsidR="00067D89">
        <w:trPr>
          <w:trHeight w:val="259"/>
        </w:trPr>
        <w:tc>
          <w:tcPr>
            <w:tcW w:w="1036" w:type="dxa"/>
            <w:vMerge/>
            <w:tcBorders>
              <w:top w:val="single" w:sz="4" w:space="0" w:color="000000"/>
            </w:tcBorders>
            <w:shd w:val="clear" w:color="auto" w:fill="FFFFFF"/>
            <w:vAlign w:val="bottom"/>
          </w:tcPr>
          <w:p w:rsidR="00067D89" w:rsidRDefault="00067D89">
            <w:pPr>
              <w:widowControl w:val="0"/>
              <w:pBdr>
                <w:top w:val="nil"/>
                <w:left w:val="nil"/>
                <w:bottom w:val="nil"/>
                <w:right w:val="nil"/>
                <w:between w:val="nil"/>
              </w:pBdr>
              <w:spacing w:line="276" w:lineRule="auto"/>
              <w:rPr>
                <w:color w:val="000000"/>
                <w:sz w:val="20"/>
                <w:szCs w:val="20"/>
              </w:rPr>
            </w:pPr>
          </w:p>
        </w:tc>
        <w:tc>
          <w:tcPr>
            <w:tcW w:w="1153" w:type="dxa"/>
            <w:shd w:val="clear" w:color="auto" w:fill="FFFFFF"/>
            <w:vAlign w:val="bottom"/>
          </w:tcPr>
          <w:p w:rsidR="00067D89" w:rsidRDefault="00A57D41">
            <w:pPr>
              <w:rPr>
                <w:color w:val="000000"/>
                <w:sz w:val="20"/>
                <w:szCs w:val="20"/>
              </w:rPr>
            </w:pPr>
            <w:r>
              <w:rPr>
                <w:color w:val="000000"/>
                <w:sz w:val="20"/>
                <w:szCs w:val="20"/>
              </w:rPr>
              <w:t>Si - 12 m</w:t>
            </w: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A57D41">
            <w:pPr>
              <w:jc w:val="center"/>
              <w:rPr>
                <w:color w:val="000000"/>
                <w:sz w:val="20"/>
                <w:szCs w:val="20"/>
              </w:rPr>
            </w:pPr>
            <w:r>
              <w:rPr>
                <w:color w:val="000000"/>
                <w:sz w:val="20"/>
                <w:szCs w:val="20"/>
              </w:rPr>
              <w:t>1</w:t>
            </w:r>
          </w:p>
        </w:tc>
        <w:tc>
          <w:tcPr>
            <w:tcW w:w="464" w:type="dxa"/>
            <w:shd w:val="clear" w:color="auto" w:fill="FFFFFF"/>
            <w:vAlign w:val="bottom"/>
          </w:tcPr>
          <w:p w:rsidR="00067D89" w:rsidRDefault="00067D89">
            <w:pPr>
              <w:jc w:val="center"/>
              <w:rPr>
                <w:color w:val="000000"/>
                <w:sz w:val="20"/>
                <w:szCs w:val="20"/>
              </w:rPr>
            </w:pPr>
          </w:p>
        </w:tc>
        <w:tc>
          <w:tcPr>
            <w:tcW w:w="705" w:type="dxa"/>
            <w:shd w:val="clear" w:color="auto" w:fill="FFFFFF"/>
          </w:tcPr>
          <w:p w:rsidR="00067D89" w:rsidRDefault="00A57D41">
            <w:pPr>
              <w:jc w:val="center"/>
              <w:rPr>
                <w:color w:val="000000"/>
                <w:sz w:val="20"/>
                <w:szCs w:val="20"/>
              </w:rPr>
            </w:pPr>
            <w:r>
              <w:rPr>
                <w:color w:val="000000"/>
                <w:sz w:val="20"/>
                <w:szCs w:val="20"/>
              </w:rPr>
              <w:t>1</w:t>
            </w:r>
          </w:p>
        </w:tc>
      </w:tr>
      <w:tr w:rsidR="00067D89">
        <w:trPr>
          <w:trHeight w:val="259"/>
        </w:trPr>
        <w:tc>
          <w:tcPr>
            <w:tcW w:w="1036" w:type="dxa"/>
            <w:vMerge/>
            <w:tcBorders>
              <w:top w:val="single" w:sz="4" w:space="0" w:color="000000"/>
            </w:tcBorders>
            <w:shd w:val="clear" w:color="auto" w:fill="FFFFFF"/>
            <w:vAlign w:val="bottom"/>
          </w:tcPr>
          <w:p w:rsidR="00067D89" w:rsidRDefault="00067D89">
            <w:pPr>
              <w:widowControl w:val="0"/>
              <w:pBdr>
                <w:top w:val="nil"/>
                <w:left w:val="nil"/>
                <w:bottom w:val="nil"/>
                <w:right w:val="nil"/>
                <w:between w:val="nil"/>
              </w:pBdr>
              <w:spacing w:line="276" w:lineRule="auto"/>
              <w:rPr>
                <w:color w:val="000000"/>
                <w:sz w:val="20"/>
                <w:szCs w:val="20"/>
              </w:rPr>
            </w:pPr>
          </w:p>
        </w:tc>
        <w:tc>
          <w:tcPr>
            <w:tcW w:w="1153" w:type="dxa"/>
            <w:tcBorders>
              <w:bottom w:val="single" w:sz="4" w:space="0" w:color="000000"/>
            </w:tcBorders>
            <w:shd w:val="clear" w:color="auto" w:fill="FFFFFF"/>
            <w:vAlign w:val="bottom"/>
          </w:tcPr>
          <w:p w:rsidR="00067D89" w:rsidRDefault="00A57D41">
            <w:pPr>
              <w:rPr>
                <w:color w:val="000000"/>
                <w:sz w:val="20"/>
                <w:szCs w:val="20"/>
              </w:rPr>
            </w:pPr>
            <w:r>
              <w:rPr>
                <w:color w:val="000000"/>
                <w:sz w:val="20"/>
                <w:szCs w:val="20"/>
              </w:rPr>
              <w:t>Si - 24 m</w:t>
            </w:r>
          </w:p>
        </w:tc>
        <w:tc>
          <w:tcPr>
            <w:tcW w:w="464" w:type="dxa"/>
            <w:tcBorders>
              <w:bottom w:val="single" w:sz="4" w:space="0" w:color="000000"/>
            </w:tcBorders>
            <w:shd w:val="clear" w:color="auto" w:fill="FFFFFF"/>
            <w:vAlign w:val="bottom"/>
          </w:tcPr>
          <w:p w:rsidR="00067D89" w:rsidRDefault="00067D89">
            <w:pPr>
              <w:jc w:val="center"/>
              <w:rPr>
                <w:color w:val="000000"/>
                <w:sz w:val="20"/>
                <w:szCs w:val="20"/>
              </w:rPr>
            </w:pPr>
          </w:p>
        </w:tc>
        <w:tc>
          <w:tcPr>
            <w:tcW w:w="464" w:type="dxa"/>
            <w:tcBorders>
              <w:bottom w:val="single" w:sz="4" w:space="0" w:color="000000"/>
            </w:tcBorders>
            <w:shd w:val="clear" w:color="auto" w:fill="FFFFFF"/>
            <w:vAlign w:val="bottom"/>
          </w:tcPr>
          <w:p w:rsidR="00067D89" w:rsidRDefault="00067D89">
            <w:pPr>
              <w:jc w:val="center"/>
              <w:rPr>
                <w:color w:val="000000"/>
                <w:sz w:val="20"/>
                <w:szCs w:val="20"/>
              </w:rPr>
            </w:pPr>
          </w:p>
        </w:tc>
        <w:tc>
          <w:tcPr>
            <w:tcW w:w="464" w:type="dxa"/>
            <w:tcBorders>
              <w:bottom w:val="single" w:sz="4" w:space="0" w:color="000000"/>
            </w:tcBorders>
            <w:shd w:val="clear" w:color="auto" w:fill="FFFFFF"/>
            <w:vAlign w:val="bottom"/>
          </w:tcPr>
          <w:p w:rsidR="00067D89" w:rsidRDefault="00067D89">
            <w:pPr>
              <w:jc w:val="center"/>
              <w:rPr>
                <w:color w:val="000000"/>
                <w:sz w:val="20"/>
                <w:szCs w:val="20"/>
              </w:rPr>
            </w:pPr>
          </w:p>
        </w:tc>
        <w:tc>
          <w:tcPr>
            <w:tcW w:w="464" w:type="dxa"/>
            <w:tcBorders>
              <w:bottom w:val="single" w:sz="4" w:space="0" w:color="000000"/>
            </w:tcBorders>
            <w:shd w:val="clear" w:color="auto" w:fill="FFFFFF"/>
            <w:vAlign w:val="bottom"/>
          </w:tcPr>
          <w:p w:rsidR="00067D89" w:rsidRDefault="00067D89">
            <w:pPr>
              <w:jc w:val="center"/>
              <w:rPr>
                <w:color w:val="000000"/>
                <w:sz w:val="20"/>
                <w:szCs w:val="20"/>
              </w:rPr>
            </w:pPr>
          </w:p>
        </w:tc>
        <w:tc>
          <w:tcPr>
            <w:tcW w:w="464" w:type="dxa"/>
            <w:tcBorders>
              <w:bottom w:val="single" w:sz="4" w:space="0" w:color="000000"/>
            </w:tcBorders>
            <w:shd w:val="clear" w:color="auto" w:fill="FFFFFF"/>
            <w:vAlign w:val="bottom"/>
          </w:tcPr>
          <w:p w:rsidR="00067D89" w:rsidRDefault="00067D89">
            <w:pPr>
              <w:jc w:val="center"/>
              <w:rPr>
                <w:color w:val="000000"/>
                <w:sz w:val="20"/>
                <w:szCs w:val="20"/>
              </w:rPr>
            </w:pPr>
          </w:p>
        </w:tc>
        <w:tc>
          <w:tcPr>
            <w:tcW w:w="464" w:type="dxa"/>
            <w:tcBorders>
              <w:bottom w:val="single" w:sz="4" w:space="0" w:color="000000"/>
            </w:tcBorders>
            <w:shd w:val="clear" w:color="auto" w:fill="FFFFFF"/>
            <w:vAlign w:val="bottom"/>
          </w:tcPr>
          <w:p w:rsidR="00067D89" w:rsidRDefault="00A57D41">
            <w:pPr>
              <w:jc w:val="center"/>
              <w:rPr>
                <w:color w:val="000000"/>
                <w:sz w:val="20"/>
                <w:szCs w:val="20"/>
              </w:rPr>
            </w:pPr>
            <w:r>
              <w:rPr>
                <w:color w:val="000000"/>
                <w:sz w:val="20"/>
                <w:szCs w:val="20"/>
              </w:rPr>
              <w:t>1</w:t>
            </w:r>
          </w:p>
        </w:tc>
        <w:tc>
          <w:tcPr>
            <w:tcW w:w="464" w:type="dxa"/>
            <w:tcBorders>
              <w:bottom w:val="single" w:sz="4" w:space="0" w:color="000000"/>
            </w:tcBorders>
            <w:shd w:val="clear" w:color="auto" w:fill="FFFFFF"/>
            <w:vAlign w:val="bottom"/>
          </w:tcPr>
          <w:p w:rsidR="00067D89" w:rsidRDefault="00067D89">
            <w:pPr>
              <w:jc w:val="center"/>
              <w:rPr>
                <w:color w:val="000000"/>
                <w:sz w:val="20"/>
                <w:szCs w:val="20"/>
              </w:rPr>
            </w:pPr>
          </w:p>
        </w:tc>
        <w:tc>
          <w:tcPr>
            <w:tcW w:w="464" w:type="dxa"/>
            <w:tcBorders>
              <w:bottom w:val="single" w:sz="4" w:space="0" w:color="000000"/>
            </w:tcBorders>
            <w:shd w:val="clear" w:color="auto" w:fill="FFFFFF"/>
            <w:vAlign w:val="bottom"/>
          </w:tcPr>
          <w:p w:rsidR="00067D89" w:rsidRDefault="00A57D41">
            <w:pPr>
              <w:jc w:val="center"/>
              <w:rPr>
                <w:color w:val="000000"/>
                <w:sz w:val="20"/>
                <w:szCs w:val="20"/>
              </w:rPr>
            </w:pPr>
            <w:r>
              <w:rPr>
                <w:color w:val="000000"/>
                <w:sz w:val="20"/>
                <w:szCs w:val="20"/>
              </w:rPr>
              <w:t>1</w:t>
            </w:r>
          </w:p>
        </w:tc>
        <w:tc>
          <w:tcPr>
            <w:tcW w:w="464" w:type="dxa"/>
            <w:tcBorders>
              <w:bottom w:val="single" w:sz="4" w:space="0" w:color="000000"/>
            </w:tcBorders>
            <w:shd w:val="clear" w:color="auto" w:fill="FFFFFF"/>
            <w:vAlign w:val="bottom"/>
          </w:tcPr>
          <w:p w:rsidR="00067D89" w:rsidRDefault="00067D89">
            <w:pPr>
              <w:jc w:val="center"/>
              <w:rPr>
                <w:color w:val="000000"/>
                <w:sz w:val="20"/>
                <w:szCs w:val="20"/>
              </w:rPr>
            </w:pPr>
          </w:p>
        </w:tc>
        <w:tc>
          <w:tcPr>
            <w:tcW w:w="464" w:type="dxa"/>
            <w:tcBorders>
              <w:bottom w:val="single" w:sz="4" w:space="0" w:color="000000"/>
            </w:tcBorders>
            <w:shd w:val="clear" w:color="auto" w:fill="FFFFFF"/>
            <w:vAlign w:val="bottom"/>
          </w:tcPr>
          <w:p w:rsidR="00067D89" w:rsidRDefault="00067D89">
            <w:pPr>
              <w:jc w:val="center"/>
              <w:rPr>
                <w:color w:val="000000"/>
                <w:sz w:val="20"/>
                <w:szCs w:val="20"/>
              </w:rPr>
            </w:pPr>
          </w:p>
        </w:tc>
        <w:tc>
          <w:tcPr>
            <w:tcW w:w="464" w:type="dxa"/>
            <w:tcBorders>
              <w:bottom w:val="single" w:sz="4" w:space="0" w:color="000000"/>
            </w:tcBorders>
            <w:shd w:val="clear" w:color="auto" w:fill="FFFFFF"/>
            <w:vAlign w:val="bottom"/>
          </w:tcPr>
          <w:p w:rsidR="00067D89" w:rsidRDefault="00067D89">
            <w:pPr>
              <w:jc w:val="center"/>
              <w:rPr>
                <w:color w:val="000000"/>
                <w:sz w:val="20"/>
                <w:szCs w:val="20"/>
              </w:rPr>
            </w:pPr>
          </w:p>
        </w:tc>
        <w:tc>
          <w:tcPr>
            <w:tcW w:w="464" w:type="dxa"/>
            <w:tcBorders>
              <w:bottom w:val="single" w:sz="4" w:space="0" w:color="000000"/>
            </w:tcBorders>
            <w:shd w:val="clear" w:color="auto" w:fill="FFFFFF"/>
            <w:vAlign w:val="bottom"/>
          </w:tcPr>
          <w:p w:rsidR="00067D89" w:rsidRDefault="00067D89">
            <w:pPr>
              <w:jc w:val="center"/>
              <w:rPr>
                <w:color w:val="000000"/>
                <w:sz w:val="20"/>
                <w:szCs w:val="20"/>
              </w:rPr>
            </w:pPr>
          </w:p>
        </w:tc>
        <w:tc>
          <w:tcPr>
            <w:tcW w:w="464" w:type="dxa"/>
            <w:tcBorders>
              <w:bottom w:val="single" w:sz="4" w:space="0" w:color="000000"/>
            </w:tcBorders>
            <w:shd w:val="clear" w:color="auto" w:fill="FFFFFF"/>
            <w:vAlign w:val="bottom"/>
          </w:tcPr>
          <w:p w:rsidR="00067D89" w:rsidRDefault="00067D89">
            <w:pPr>
              <w:jc w:val="center"/>
              <w:rPr>
                <w:color w:val="000000"/>
                <w:sz w:val="20"/>
                <w:szCs w:val="20"/>
              </w:rPr>
            </w:pPr>
          </w:p>
        </w:tc>
        <w:tc>
          <w:tcPr>
            <w:tcW w:w="464" w:type="dxa"/>
            <w:tcBorders>
              <w:bottom w:val="single" w:sz="4" w:space="0" w:color="000000"/>
            </w:tcBorders>
            <w:shd w:val="clear" w:color="auto" w:fill="FFFFFF"/>
            <w:vAlign w:val="bottom"/>
          </w:tcPr>
          <w:p w:rsidR="00067D89" w:rsidRDefault="00067D89">
            <w:pPr>
              <w:jc w:val="center"/>
              <w:rPr>
                <w:color w:val="000000"/>
                <w:sz w:val="20"/>
                <w:szCs w:val="20"/>
              </w:rPr>
            </w:pPr>
          </w:p>
        </w:tc>
        <w:tc>
          <w:tcPr>
            <w:tcW w:w="705" w:type="dxa"/>
            <w:tcBorders>
              <w:bottom w:val="single" w:sz="4" w:space="0" w:color="000000"/>
            </w:tcBorders>
            <w:shd w:val="clear" w:color="auto" w:fill="FFFFFF"/>
          </w:tcPr>
          <w:p w:rsidR="00067D89" w:rsidRDefault="00A57D41">
            <w:pPr>
              <w:jc w:val="center"/>
              <w:rPr>
                <w:color w:val="000000"/>
                <w:sz w:val="20"/>
                <w:szCs w:val="20"/>
              </w:rPr>
            </w:pPr>
            <w:r>
              <w:rPr>
                <w:color w:val="000000"/>
                <w:sz w:val="20"/>
                <w:szCs w:val="20"/>
              </w:rPr>
              <w:t>2</w:t>
            </w:r>
          </w:p>
        </w:tc>
      </w:tr>
      <w:tr w:rsidR="00067D89">
        <w:trPr>
          <w:trHeight w:val="259"/>
        </w:trPr>
        <w:tc>
          <w:tcPr>
            <w:tcW w:w="1036" w:type="dxa"/>
            <w:vMerge w:val="restart"/>
            <w:tcBorders>
              <w:top w:val="single" w:sz="4" w:space="0" w:color="000000"/>
            </w:tcBorders>
            <w:shd w:val="clear" w:color="auto" w:fill="FFFFFF"/>
            <w:vAlign w:val="bottom"/>
          </w:tcPr>
          <w:p w:rsidR="00067D89" w:rsidRDefault="00A57D41">
            <w:pPr>
              <w:rPr>
                <w:color w:val="000000"/>
                <w:sz w:val="20"/>
                <w:szCs w:val="20"/>
              </w:rPr>
            </w:pPr>
            <w:r>
              <w:rPr>
                <w:color w:val="000000"/>
                <w:sz w:val="20"/>
                <w:szCs w:val="20"/>
              </w:rPr>
              <w:t>Inactivos</w:t>
            </w:r>
          </w:p>
          <w:p w:rsidR="00067D89" w:rsidRDefault="00067D89">
            <w:pPr>
              <w:rPr>
                <w:color w:val="000000"/>
                <w:sz w:val="20"/>
                <w:szCs w:val="20"/>
              </w:rPr>
            </w:pPr>
          </w:p>
          <w:p w:rsidR="00067D89" w:rsidRDefault="00067D89">
            <w:pPr>
              <w:rPr>
                <w:color w:val="000000"/>
                <w:sz w:val="20"/>
                <w:szCs w:val="20"/>
              </w:rPr>
            </w:pPr>
          </w:p>
          <w:p w:rsidR="00067D89" w:rsidRDefault="00067D89">
            <w:pPr>
              <w:rPr>
                <w:color w:val="000000"/>
                <w:sz w:val="20"/>
                <w:szCs w:val="20"/>
              </w:rPr>
            </w:pPr>
          </w:p>
          <w:p w:rsidR="00067D89" w:rsidRDefault="00067D89">
            <w:pPr>
              <w:rPr>
                <w:color w:val="000000"/>
                <w:sz w:val="20"/>
                <w:szCs w:val="20"/>
              </w:rPr>
            </w:pPr>
          </w:p>
        </w:tc>
        <w:tc>
          <w:tcPr>
            <w:tcW w:w="1153" w:type="dxa"/>
            <w:tcBorders>
              <w:top w:val="single" w:sz="4" w:space="0" w:color="000000"/>
            </w:tcBorders>
            <w:shd w:val="clear" w:color="auto" w:fill="FFFFFF"/>
            <w:vAlign w:val="bottom"/>
          </w:tcPr>
          <w:p w:rsidR="00067D89" w:rsidRDefault="00A57D41">
            <w:pPr>
              <w:rPr>
                <w:color w:val="000000"/>
                <w:sz w:val="20"/>
                <w:szCs w:val="20"/>
              </w:rPr>
            </w:pPr>
            <w:r>
              <w:rPr>
                <w:color w:val="000000"/>
                <w:sz w:val="20"/>
                <w:szCs w:val="20"/>
              </w:rPr>
              <w:t xml:space="preserve">Si - 10 m </w:t>
            </w:r>
          </w:p>
        </w:tc>
        <w:tc>
          <w:tcPr>
            <w:tcW w:w="464" w:type="dxa"/>
            <w:tcBorders>
              <w:top w:val="single" w:sz="4" w:space="0" w:color="000000"/>
            </w:tcBorders>
            <w:shd w:val="clear" w:color="auto" w:fill="FFFFFF"/>
            <w:vAlign w:val="bottom"/>
          </w:tcPr>
          <w:p w:rsidR="00067D89" w:rsidRDefault="00067D89">
            <w:pPr>
              <w:jc w:val="center"/>
              <w:rPr>
                <w:color w:val="000000"/>
                <w:sz w:val="20"/>
                <w:szCs w:val="20"/>
              </w:rPr>
            </w:pPr>
          </w:p>
        </w:tc>
        <w:tc>
          <w:tcPr>
            <w:tcW w:w="464" w:type="dxa"/>
            <w:tcBorders>
              <w:top w:val="single" w:sz="4" w:space="0" w:color="000000"/>
            </w:tcBorders>
            <w:shd w:val="clear" w:color="auto" w:fill="FFFFFF"/>
            <w:vAlign w:val="bottom"/>
          </w:tcPr>
          <w:p w:rsidR="00067D89" w:rsidRDefault="00067D89">
            <w:pPr>
              <w:jc w:val="center"/>
              <w:rPr>
                <w:color w:val="000000"/>
                <w:sz w:val="20"/>
                <w:szCs w:val="20"/>
              </w:rPr>
            </w:pPr>
          </w:p>
        </w:tc>
        <w:tc>
          <w:tcPr>
            <w:tcW w:w="464" w:type="dxa"/>
            <w:tcBorders>
              <w:top w:val="single" w:sz="4" w:space="0" w:color="000000"/>
            </w:tcBorders>
            <w:shd w:val="clear" w:color="auto" w:fill="FFFFFF"/>
            <w:vAlign w:val="bottom"/>
          </w:tcPr>
          <w:p w:rsidR="00067D89" w:rsidRDefault="00067D89">
            <w:pPr>
              <w:jc w:val="center"/>
              <w:rPr>
                <w:color w:val="000000"/>
                <w:sz w:val="20"/>
                <w:szCs w:val="20"/>
              </w:rPr>
            </w:pPr>
          </w:p>
        </w:tc>
        <w:tc>
          <w:tcPr>
            <w:tcW w:w="464" w:type="dxa"/>
            <w:tcBorders>
              <w:top w:val="single" w:sz="4" w:space="0" w:color="000000"/>
            </w:tcBorders>
            <w:shd w:val="clear" w:color="auto" w:fill="FFFFFF"/>
            <w:vAlign w:val="bottom"/>
          </w:tcPr>
          <w:p w:rsidR="00067D89" w:rsidRDefault="00067D89">
            <w:pPr>
              <w:jc w:val="center"/>
              <w:rPr>
                <w:color w:val="000000"/>
                <w:sz w:val="20"/>
                <w:szCs w:val="20"/>
              </w:rPr>
            </w:pPr>
          </w:p>
        </w:tc>
        <w:tc>
          <w:tcPr>
            <w:tcW w:w="464" w:type="dxa"/>
            <w:tcBorders>
              <w:top w:val="single" w:sz="4" w:space="0" w:color="000000"/>
            </w:tcBorders>
            <w:shd w:val="clear" w:color="auto" w:fill="FFFFFF"/>
            <w:vAlign w:val="bottom"/>
          </w:tcPr>
          <w:p w:rsidR="00067D89" w:rsidRDefault="00067D89">
            <w:pPr>
              <w:jc w:val="center"/>
              <w:rPr>
                <w:color w:val="000000"/>
                <w:sz w:val="20"/>
                <w:szCs w:val="20"/>
              </w:rPr>
            </w:pPr>
          </w:p>
        </w:tc>
        <w:tc>
          <w:tcPr>
            <w:tcW w:w="464" w:type="dxa"/>
            <w:tcBorders>
              <w:top w:val="single" w:sz="4" w:space="0" w:color="000000"/>
            </w:tcBorders>
            <w:shd w:val="clear" w:color="auto" w:fill="FFFFFF"/>
            <w:vAlign w:val="bottom"/>
          </w:tcPr>
          <w:p w:rsidR="00067D89" w:rsidRDefault="00067D89">
            <w:pPr>
              <w:jc w:val="center"/>
              <w:rPr>
                <w:color w:val="000000"/>
                <w:sz w:val="20"/>
                <w:szCs w:val="20"/>
              </w:rPr>
            </w:pPr>
          </w:p>
        </w:tc>
        <w:tc>
          <w:tcPr>
            <w:tcW w:w="464" w:type="dxa"/>
            <w:tcBorders>
              <w:top w:val="single" w:sz="4" w:space="0" w:color="000000"/>
            </w:tcBorders>
            <w:shd w:val="clear" w:color="auto" w:fill="FFFFFF"/>
            <w:vAlign w:val="bottom"/>
          </w:tcPr>
          <w:p w:rsidR="00067D89" w:rsidRDefault="00A57D41">
            <w:pPr>
              <w:jc w:val="center"/>
              <w:rPr>
                <w:color w:val="000000"/>
                <w:sz w:val="20"/>
                <w:szCs w:val="20"/>
              </w:rPr>
            </w:pPr>
            <w:r>
              <w:rPr>
                <w:color w:val="000000"/>
                <w:sz w:val="20"/>
                <w:szCs w:val="20"/>
              </w:rPr>
              <w:t>1</w:t>
            </w:r>
          </w:p>
        </w:tc>
        <w:tc>
          <w:tcPr>
            <w:tcW w:w="464" w:type="dxa"/>
            <w:tcBorders>
              <w:top w:val="single" w:sz="4" w:space="0" w:color="000000"/>
            </w:tcBorders>
            <w:shd w:val="clear" w:color="auto" w:fill="FFFFFF"/>
            <w:vAlign w:val="bottom"/>
          </w:tcPr>
          <w:p w:rsidR="00067D89" w:rsidRDefault="00067D89">
            <w:pPr>
              <w:jc w:val="center"/>
              <w:rPr>
                <w:color w:val="000000"/>
                <w:sz w:val="20"/>
                <w:szCs w:val="20"/>
              </w:rPr>
            </w:pPr>
          </w:p>
        </w:tc>
        <w:tc>
          <w:tcPr>
            <w:tcW w:w="464" w:type="dxa"/>
            <w:tcBorders>
              <w:top w:val="single" w:sz="4" w:space="0" w:color="000000"/>
            </w:tcBorders>
            <w:shd w:val="clear" w:color="auto" w:fill="FFFFFF"/>
            <w:vAlign w:val="bottom"/>
          </w:tcPr>
          <w:p w:rsidR="00067D89" w:rsidRDefault="00067D89">
            <w:pPr>
              <w:jc w:val="center"/>
              <w:rPr>
                <w:color w:val="000000"/>
                <w:sz w:val="20"/>
                <w:szCs w:val="20"/>
              </w:rPr>
            </w:pPr>
          </w:p>
        </w:tc>
        <w:tc>
          <w:tcPr>
            <w:tcW w:w="464" w:type="dxa"/>
            <w:tcBorders>
              <w:top w:val="single" w:sz="4" w:space="0" w:color="000000"/>
            </w:tcBorders>
            <w:shd w:val="clear" w:color="auto" w:fill="FFFFFF"/>
            <w:vAlign w:val="bottom"/>
          </w:tcPr>
          <w:p w:rsidR="00067D89" w:rsidRDefault="00067D89">
            <w:pPr>
              <w:jc w:val="center"/>
              <w:rPr>
                <w:color w:val="000000"/>
                <w:sz w:val="20"/>
                <w:szCs w:val="20"/>
              </w:rPr>
            </w:pPr>
          </w:p>
        </w:tc>
        <w:tc>
          <w:tcPr>
            <w:tcW w:w="464" w:type="dxa"/>
            <w:tcBorders>
              <w:top w:val="single" w:sz="4" w:space="0" w:color="000000"/>
            </w:tcBorders>
            <w:shd w:val="clear" w:color="auto" w:fill="FFFFFF"/>
            <w:vAlign w:val="bottom"/>
          </w:tcPr>
          <w:p w:rsidR="00067D89" w:rsidRDefault="00067D89">
            <w:pPr>
              <w:jc w:val="center"/>
              <w:rPr>
                <w:color w:val="000000"/>
                <w:sz w:val="20"/>
                <w:szCs w:val="20"/>
              </w:rPr>
            </w:pPr>
          </w:p>
        </w:tc>
        <w:tc>
          <w:tcPr>
            <w:tcW w:w="464" w:type="dxa"/>
            <w:tcBorders>
              <w:top w:val="single" w:sz="4" w:space="0" w:color="000000"/>
            </w:tcBorders>
            <w:shd w:val="clear" w:color="auto" w:fill="FFFFFF"/>
            <w:vAlign w:val="bottom"/>
          </w:tcPr>
          <w:p w:rsidR="00067D89" w:rsidRDefault="00067D89">
            <w:pPr>
              <w:jc w:val="center"/>
              <w:rPr>
                <w:color w:val="000000"/>
                <w:sz w:val="20"/>
                <w:szCs w:val="20"/>
              </w:rPr>
            </w:pPr>
          </w:p>
        </w:tc>
        <w:tc>
          <w:tcPr>
            <w:tcW w:w="464" w:type="dxa"/>
            <w:tcBorders>
              <w:top w:val="single" w:sz="4" w:space="0" w:color="000000"/>
            </w:tcBorders>
            <w:shd w:val="clear" w:color="auto" w:fill="FFFFFF"/>
            <w:vAlign w:val="bottom"/>
          </w:tcPr>
          <w:p w:rsidR="00067D89" w:rsidRDefault="00067D89">
            <w:pPr>
              <w:jc w:val="center"/>
              <w:rPr>
                <w:color w:val="000000"/>
                <w:sz w:val="20"/>
                <w:szCs w:val="20"/>
              </w:rPr>
            </w:pPr>
          </w:p>
        </w:tc>
        <w:tc>
          <w:tcPr>
            <w:tcW w:w="464" w:type="dxa"/>
            <w:tcBorders>
              <w:top w:val="single" w:sz="4" w:space="0" w:color="000000"/>
            </w:tcBorders>
            <w:shd w:val="clear" w:color="auto" w:fill="FFFFFF"/>
            <w:vAlign w:val="bottom"/>
          </w:tcPr>
          <w:p w:rsidR="00067D89" w:rsidRDefault="00067D89">
            <w:pPr>
              <w:jc w:val="center"/>
              <w:rPr>
                <w:color w:val="000000"/>
                <w:sz w:val="20"/>
                <w:szCs w:val="20"/>
              </w:rPr>
            </w:pPr>
          </w:p>
        </w:tc>
        <w:tc>
          <w:tcPr>
            <w:tcW w:w="705" w:type="dxa"/>
            <w:tcBorders>
              <w:top w:val="single" w:sz="4" w:space="0" w:color="000000"/>
            </w:tcBorders>
            <w:shd w:val="clear" w:color="auto" w:fill="FFFFFF"/>
          </w:tcPr>
          <w:p w:rsidR="00067D89" w:rsidRDefault="00A57D41">
            <w:pPr>
              <w:jc w:val="center"/>
              <w:rPr>
                <w:color w:val="000000"/>
                <w:sz w:val="20"/>
                <w:szCs w:val="20"/>
              </w:rPr>
            </w:pPr>
            <w:r>
              <w:rPr>
                <w:color w:val="000000"/>
                <w:sz w:val="20"/>
                <w:szCs w:val="20"/>
              </w:rPr>
              <w:t>1</w:t>
            </w:r>
          </w:p>
        </w:tc>
      </w:tr>
      <w:tr w:rsidR="00067D89">
        <w:trPr>
          <w:trHeight w:val="259"/>
        </w:trPr>
        <w:tc>
          <w:tcPr>
            <w:tcW w:w="1036" w:type="dxa"/>
            <w:vMerge/>
            <w:tcBorders>
              <w:top w:val="single" w:sz="4" w:space="0" w:color="000000"/>
            </w:tcBorders>
            <w:shd w:val="clear" w:color="auto" w:fill="FFFFFF"/>
            <w:vAlign w:val="bottom"/>
          </w:tcPr>
          <w:p w:rsidR="00067D89" w:rsidRDefault="00067D89">
            <w:pPr>
              <w:widowControl w:val="0"/>
              <w:pBdr>
                <w:top w:val="nil"/>
                <w:left w:val="nil"/>
                <w:bottom w:val="nil"/>
                <w:right w:val="nil"/>
                <w:between w:val="nil"/>
              </w:pBdr>
              <w:spacing w:line="276" w:lineRule="auto"/>
              <w:rPr>
                <w:color w:val="000000"/>
                <w:sz w:val="20"/>
                <w:szCs w:val="20"/>
              </w:rPr>
            </w:pPr>
          </w:p>
        </w:tc>
        <w:tc>
          <w:tcPr>
            <w:tcW w:w="1153" w:type="dxa"/>
            <w:shd w:val="clear" w:color="auto" w:fill="FFFFFF"/>
            <w:vAlign w:val="bottom"/>
          </w:tcPr>
          <w:p w:rsidR="00067D89" w:rsidRDefault="00A57D41">
            <w:pPr>
              <w:rPr>
                <w:color w:val="000000"/>
                <w:sz w:val="20"/>
                <w:szCs w:val="20"/>
              </w:rPr>
            </w:pPr>
            <w:r>
              <w:rPr>
                <w:color w:val="000000"/>
                <w:sz w:val="20"/>
                <w:szCs w:val="20"/>
              </w:rPr>
              <w:t>Si - 36 m</w:t>
            </w: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A57D41">
            <w:pPr>
              <w:jc w:val="center"/>
              <w:rPr>
                <w:color w:val="000000"/>
                <w:sz w:val="20"/>
                <w:szCs w:val="20"/>
              </w:rPr>
            </w:pPr>
            <w:r>
              <w:rPr>
                <w:color w:val="000000"/>
                <w:sz w:val="20"/>
                <w:szCs w:val="20"/>
              </w:rPr>
              <w:t>1</w:t>
            </w: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705" w:type="dxa"/>
            <w:shd w:val="clear" w:color="auto" w:fill="FFFFFF"/>
          </w:tcPr>
          <w:p w:rsidR="00067D89" w:rsidRDefault="00A57D41">
            <w:pPr>
              <w:jc w:val="center"/>
              <w:rPr>
                <w:color w:val="000000"/>
                <w:sz w:val="20"/>
                <w:szCs w:val="20"/>
              </w:rPr>
            </w:pPr>
            <w:r>
              <w:rPr>
                <w:color w:val="000000"/>
                <w:sz w:val="20"/>
                <w:szCs w:val="20"/>
              </w:rPr>
              <w:t>1</w:t>
            </w:r>
          </w:p>
        </w:tc>
      </w:tr>
      <w:tr w:rsidR="00067D89">
        <w:trPr>
          <w:trHeight w:val="259"/>
        </w:trPr>
        <w:tc>
          <w:tcPr>
            <w:tcW w:w="1036" w:type="dxa"/>
            <w:vMerge/>
            <w:tcBorders>
              <w:top w:val="single" w:sz="4" w:space="0" w:color="000000"/>
            </w:tcBorders>
            <w:shd w:val="clear" w:color="auto" w:fill="FFFFFF"/>
            <w:vAlign w:val="bottom"/>
          </w:tcPr>
          <w:p w:rsidR="00067D89" w:rsidRDefault="00067D89">
            <w:pPr>
              <w:widowControl w:val="0"/>
              <w:pBdr>
                <w:top w:val="nil"/>
                <w:left w:val="nil"/>
                <w:bottom w:val="nil"/>
                <w:right w:val="nil"/>
                <w:between w:val="nil"/>
              </w:pBdr>
              <w:spacing w:line="276" w:lineRule="auto"/>
              <w:rPr>
                <w:color w:val="000000"/>
                <w:sz w:val="20"/>
                <w:szCs w:val="20"/>
              </w:rPr>
            </w:pPr>
          </w:p>
        </w:tc>
        <w:tc>
          <w:tcPr>
            <w:tcW w:w="1153" w:type="dxa"/>
            <w:shd w:val="clear" w:color="auto" w:fill="FFFFFF"/>
            <w:vAlign w:val="bottom"/>
          </w:tcPr>
          <w:p w:rsidR="00067D89" w:rsidRDefault="00A57D41">
            <w:pPr>
              <w:rPr>
                <w:color w:val="000000"/>
                <w:sz w:val="20"/>
                <w:szCs w:val="20"/>
              </w:rPr>
            </w:pPr>
            <w:r>
              <w:rPr>
                <w:color w:val="000000"/>
                <w:sz w:val="20"/>
                <w:szCs w:val="20"/>
              </w:rPr>
              <w:t>Si - 48 m</w:t>
            </w: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A57D41">
            <w:pPr>
              <w:jc w:val="center"/>
              <w:rPr>
                <w:color w:val="000000"/>
                <w:sz w:val="20"/>
                <w:szCs w:val="20"/>
              </w:rPr>
            </w:pPr>
            <w:r>
              <w:rPr>
                <w:color w:val="000000"/>
                <w:sz w:val="20"/>
                <w:szCs w:val="20"/>
              </w:rPr>
              <w:t>1</w:t>
            </w:r>
          </w:p>
        </w:tc>
        <w:tc>
          <w:tcPr>
            <w:tcW w:w="705" w:type="dxa"/>
            <w:shd w:val="clear" w:color="auto" w:fill="FFFFFF"/>
          </w:tcPr>
          <w:p w:rsidR="00067D89" w:rsidRDefault="00A57D41">
            <w:pPr>
              <w:jc w:val="center"/>
              <w:rPr>
                <w:color w:val="000000"/>
                <w:sz w:val="20"/>
                <w:szCs w:val="20"/>
              </w:rPr>
            </w:pPr>
            <w:r>
              <w:rPr>
                <w:color w:val="000000"/>
                <w:sz w:val="20"/>
                <w:szCs w:val="20"/>
              </w:rPr>
              <w:t>1</w:t>
            </w:r>
          </w:p>
        </w:tc>
      </w:tr>
      <w:tr w:rsidR="00067D89">
        <w:trPr>
          <w:trHeight w:val="259"/>
        </w:trPr>
        <w:tc>
          <w:tcPr>
            <w:tcW w:w="1036" w:type="dxa"/>
            <w:vMerge/>
            <w:tcBorders>
              <w:top w:val="single" w:sz="4" w:space="0" w:color="000000"/>
            </w:tcBorders>
            <w:shd w:val="clear" w:color="auto" w:fill="FFFFFF"/>
            <w:vAlign w:val="bottom"/>
          </w:tcPr>
          <w:p w:rsidR="00067D89" w:rsidRDefault="00067D89">
            <w:pPr>
              <w:widowControl w:val="0"/>
              <w:pBdr>
                <w:top w:val="nil"/>
                <w:left w:val="nil"/>
                <w:bottom w:val="nil"/>
                <w:right w:val="nil"/>
                <w:between w:val="nil"/>
              </w:pBdr>
              <w:spacing w:line="276" w:lineRule="auto"/>
              <w:rPr>
                <w:color w:val="000000"/>
                <w:sz w:val="20"/>
                <w:szCs w:val="20"/>
              </w:rPr>
            </w:pPr>
          </w:p>
        </w:tc>
        <w:tc>
          <w:tcPr>
            <w:tcW w:w="1153" w:type="dxa"/>
            <w:shd w:val="clear" w:color="auto" w:fill="FFFFFF"/>
            <w:vAlign w:val="bottom"/>
          </w:tcPr>
          <w:p w:rsidR="00067D89" w:rsidRDefault="00A57D41">
            <w:pPr>
              <w:rPr>
                <w:color w:val="000000"/>
                <w:sz w:val="20"/>
                <w:szCs w:val="20"/>
              </w:rPr>
            </w:pPr>
            <w:r>
              <w:rPr>
                <w:color w:val="000000"/>
                <w:sz w:val="20"/>
                <w:szCs w:val="20"/>
              </w:rPr>
              <w:t>Si - 60 m</w:t>
            </w: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A57D41">
            <w:pPr>
              <w:jc w:val="center"/>
              <w:rPr>
                <w:color w:val="000000"/>
                <w:sz w:val="20"/>
                <w:szCs w:val="20"/>
              </w:rPr>
            </w:pPr>
            <w:r>
              <w:rPr>
                <w:color w:val="000000"/>
                <w:sz w:val="20"/>
                <w:szCs w:val="20"/>
              </w:rPr>
              <w:t>1</w:t>
            </w: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A57D41">
            <w:pPr>
              <w:jc w:val="center"/>
              <w:rPr>
                <w:color w:val="000000"/>
                <w:sz w:val="20"/>
                <w:szCs w:val="20"/>
              </w:rPr>
            </w:pPr>
            <w:r>
              <w:rPr>
                <w:color w:val="000000"/>
                <w:sz w:val="20"/>
                <w:szCs w:val="20"/>
              </w:rPr>
              <w:t>1</w:t>
            </w:r>
          </w:p>
        </w:tc>
        <w:tc>
          <w:tcPr>
            <w:tcW w:w="464" w:type="dxa"/>
            <w:shd w:val="clear" w:color="auto" w:fill="FFFFFF"/>
            <w:vAlign w:val="bottom"/>
          </w:tcPr>
          <w:p w:rsidR="00067D89" w:rsidRDefault="00067D89">
            <w:pPr>
              <w:jc w:val="center"/>
              <w:rPr>
                <w:color w:val="000000"/>
                <w:sz w:val="20"/>
                <w:szCs w:val="20"/>
              </w:rPr>
            </w:pPr>
          </w:p>
        </w:tc>
        <w:tc>
          <w:tcPr>
            <w:tcW w:w="705" w:type="dxa"/>
            <w:shd w:val="clear" w:color="auto" w:fill="FFFFFF"/>
          </w:tcPr>
          <w:p w:rsidR="00067D89" w:rsidRDefault="00A57D41">
            <w:pPr>
              <w:jc w:val="center"/>
              <w:rPr>
                <w:color w:val="000000"/>
                <w:sz w:val="20"/>
                <w:szCs w:val="20"/>
              </w:rPr>
            </w:pPr>
            <w:r>
              <w:rPr>
                <w:color w:val="000000"/>
                <w:sz w:val="20"/>
                <w:szCs w:val="20"/>
              </w:rPr>
              <w:t>2</w:t>
            </w:r>
          </w:p>
        </w:tc>
      </w:tr>
      <w:tr w:rsidR="00067D89">
        <w:trPr>
          <w:trHeight w:val="259"/>
        </w:trPr>
        <w:tc>
          <w:tcPr>
            <w:tcW w:w="1036" w:type="dxa"/>
            <w:vMerge/>
            <w:tcBorders>
              <w:top w:val="single" w:sz="4" w:space="0" w:color="000000"/>
            </w:tcBorders>
            <w:shd w:val="clear" w:color="auto" w:fill="FFFFFF"/>
            <w:vAlign w:val="bottom"/>
          </w:tcPr>
          <w:p w:rsidR="00067D89" w:rsidRDefault="00067D89">
            <w:pPr>
              <w:widowControl w:val="0"/>
              <w:pBdr>
                <w:top w:val="nil"/>
                <w:left w:val="nil"/>
                <w:bottom w:val="nil"/>
                <w:right w:val="nil"/>
                <w:between w:val="nil"/>
              </w:pBdr>
              <w:spacing w:line="276" w:lineRule="auto"/>
              <w:rPr>
                <w:color w:val="000000"/>
                <w:sz w:val="20"/>
                <w:szCs w:val="20"/>
              </w:rPr>
            </w:pPr>
          </w:p>
        </w:tc>
        <w:tc>
          <w:tcPr>
            <w:tcW w:w="1153" w:type="dxa"/>
            <w:shd w:val="clear" w:color="auto" w:fill="FFFFFF"/>
            <w:vAlign w:val="bottom"/>
          </w:tcPr>
          <w:p w:rsidR="00067D89" w:rsidRDefault="00A57D41">
            <w:pPr>
              <w:rPr>
                <w:color w:val="000000"/>
                <w:sz w:val="20"/>
                <w:szCs w:val="20"/>
              </w:rPr>
            </w:pPr>
            <w:r>
              <w:rPr>
                <w:color w:val="000000"/>
                <w:sz w:val="20"/>
                <w:szCs w:val="20"/>
              </w:rPr>
              <w:t>Si - 72 m</w:t>
            </w: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A57D41">
            <w:pPr>
              <w:jc w:val="center"/>
              <w:rPr>
                <w:color w:val="000000"/>
                <w:sz w:val="20"/>
                <w:szCs w:val="20"/>
              </w:rPr>
            </w:pPr>
            <w:r>
              <w:rPr>
                <w:color w:val="000000"/>
                <w:sz w:val="20"/>
                <w:szCs w:val="20"/>
              </w:rPr>
              <w:t>1</w:t>
            </w: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705" w:type="dxa"/>
            <w:shd w:val="clear" w:color="auto" w:fill="FFFFFF"/>
          </w:tcPr>
          <w:p w:rsidR="00067D89" w:rsidRDefault="00A57D41">
            <w:pPr>
              <w:jc w:val="center"/>
              <w:rPr>
                <w:color w:val="000000"/>
                <w:sz w:val="20"/>
                <w:szCs w:val="20"/>
              </w:rPr>
            </w:pPr>
            <w:r>
              <w:rPr>
                <w:color w:val="000000"/>
                <w:sz w:val="20"/>
                <w:szCs w:val="20"/>
              </w:rPr>
              <w:t>1</w:t>
            </w:r>
          </w:p>
        </w:tc>
      </w:tr>
      <w:tr w:rsidR="00067D89">
        <w:trPr>
          <w:trHeight w:val="259"/>
        </w:trPr>
        <w:tc>
          <w:tcPr>
            <w:tcW w:w="1036" w:type="dxa"/>
            <w:vMerge/>
            <w:tcBorders>
              <w:top w:val="single" w:sz="4" w:space="0" w:color="000000"/>
            </w:tcBorders>
            <w:shd w:val="clear" w:color="auto" w:fill="FFFFFF"/>
            <w:vAlign w:val="bottom"/>
          </w:tcPr>
          <w:p w:rsidR="00067D89" w:rsidRDefault="00067D89">
            <w:pPr>
              <w:widowControl w:val="0"/>
              <w:pBdr>
                <w:top w:val="nil"/>
                <w:left w:val="nil"/>
                <w:bottom w:val="nil"/>
                <w:right w:val="nil"/>
                <w:between w:val="nil"/>
              </w:pBdr>
              <w:spacing w:line="276" w:lineRule="auto"/>
              <w:rPr>
                <w:color w:val="000000"/>
                <w:sz w:val="20"/>
                <w:szCs w:val="20"/>
              </w:rPr>
            </w:pPr>
          </w:p>
        </w:tc>
        <w:tc>
          <w:tcPr>
            <w:tcW w:w="1153" w:type="dxa"/>
            <w:shd w:val="clear" w:color="auto" w:fill="FFFFFF"/>
            <w:vAlign w:val="bottom"/>
          </w:tcPr>
          <w:p w:rsidR="00067D89" w:rsidRDefault="00A57D41">
            <w:pPr>
              <w:rPr>
                <w:color w:val="000000"/>
                <w:sz w:val="20"/>
                <w:szCs w:val="20"/>
              </w:rPr>
            </w:pPr>
            <w:r>
              <w:rPr>
                <w:color w:val="000000"/>
                <w:sz w:val="20"/>
                <w:szCs w:val="20"/>
              </w:rPr>
              <w:t>Si - 228 m</w:t>
            </w: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A57D41">
            <w:pPr>
              <w:jc w:val="center"/>
              <w:rPr>
                <w:color w:val="000000"/>
                <w:sz w:val="20"/>
                <w:szCs w:val="20"/>
              </w:rPr>
            </w:pPr>
            <w:r>
              <w:rPr>
                <w:color w:val="000000"/>
                <w:sz w:val="20"/>
                <w:szCs w:val="20"/>
              </w:rPr>
              <w:t>1</w:t>
            </w: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464" w:type="dxa"/>
            <w:shd w:val="clear" w:color="auto" w:fill="FFFFFF"/>
            <w:vAlign w:val="bottom"/>
          </w:tcPr>
          <w:p w:rsidR="00067D89" w:rsidRDefault="00067D89">
            <w:pPr>
              <w:jc w:val="center"/>
              <w:rPr>
                <w:color w:val="000000"/>
                <w:sz w:val="20"/>
                <w:szCs w:val="20"/>
              </w:rPr>
            </w:pPr>
          </w:p>
        </w:tc>
        <w:tc>
          <w:tcPr>
            <w:tcW w:w="705" w:type="dxa"/>
            <w:shd w:val="clear" w:color="auto" w:fill="FFFFFF"/>
          </w:tcPr>
          <w:p w:rsidR="00067D89" w:rsidRDefault="00A57D41">
            <w:pPr>
              <w:jc w:val="center"/>
              <w:rPr>
                <w:color w:val="000000"/>
                <w:sz w:val="20"/>
                <w:szCs w:val="20"/>
              </w:rPr>
            </w:pPr>
            <w:r>
              <w:rPr>
                <w:color w:val="000000"/>
                <w:sz w:val="20"/>
                <w:szCs w:val="20"/>
              </w:rPr>
              <w:t>1</w:t>
            </w:r>
          </w:p>
        </w:tc>
      </w:tr>
    </w:tbl>
    <w:p w:rsidR="00067D89" w:rsidRDefault="00A57D41">
      <w:pPr>
        <w:rPr>
          <w:i/>
          <w:sz w:val="20"/>
          <w:szCs w:val="20"/>
        </w:rPr>
      </w:pPr>
      <w:r>
        <w:rPr>
          <w:i/>
          <w:sz w:val="20"/>
          <w:szCs w:val="20"/>
        </w:rPr>
        <w:t xml:space="preserve">Nota: m significa meses. </w:t>
      </w:r>
    </w:p>
    <w:p w:rsidR="00067D89" w:rsidRDefault="00067D89"/>
    <w:p w:rsidR="00067D89" w:rsidRDefault="00A57D41">
      <w:pPr>
        <w:spacing w:line="360" w:lineRule="auto"/>
        <w:jc w:val="both"/>
        <w:sectPr w:rsidR="00067D89">
          <w:footerReference w:type="default" r:id="rId15"/>
          <w:pgSz w:w="12240" w:h="15840"/>
          <w:pgMar w:top="1440" w:right="1440" w:bottom="1440" w:left="1440" w:header="720" w:footer="720" w:gutter="0"/>
          <w:cols w:space="720"/>
        </w:sectPr>
      </w:pPr>
      <w:r>
        <w:t>La tabla 3, muestra el desarrollo de las Revistas de Psicología en el Perú. Las revistas que cuentan con el ISSN, comenzaron a editarse en 1983 y el número se ha ido incrementando hasta el 2017. Hasta la década de 1990 solo se editaban 5 revistas, sin embargo, desde el año 2000 en adelante se ha incrementado en 15, contando con un total de 20 revistas hasta el 2017. No obstante, el mayor incremento de las revistas desde el año 2000 está acompañado con la mayor muerte de las revistas, donde 7 de las 15 revistas no están activas actualmente. Además 10 revistas no han tenido ningún paro, 5 de ellas de las décadas de los 80 y 90 y 5 del 2000 hasta el 2017. Actualmente 13 revistas están activas, 3 de ellas tuvieron paros entre 12 y 24 meses, pero lograron volver a editarse. 7 revistas no están activas, el tiempo en el que se mantuvieron en paro antes de quedar inactivos varía desde los 10 meses y los 228 meses. Con base a los resultados de dos revistas que tuvieron paros entre 12 y 24 meses, es probable que la revista que lleva 10 meses inactiva, pueda volver a editarse. Al parecer 36 meses es el punto de muerte de una revista de psicología en el Perú. Por último, desde 1983 hasta 2002 del total de 7 revistas solo una está inactiva, esto representa una tasa de muerte de las revistas de 0.052 revistas por año. Por otro lado, entre el 2005 y 2017 de las 13 revistas que se comenzaron a editar 6 están inactivas, esto representa una tasa de muerte de 0.5 de revistas por año.</w:t>
      </w:r>
    </w:p>
    <w:p w:rsidR="00067D89" w:rsidRDefault="00A57D41">
      <w:pPr>
        <w:rPr>
          <w:sz w:val="20"/>
          <w:szCs w:val="20"/>
        </w:rPr>
      </w:pPr>
      <w:r>
        <w:rPr>
          <w:sz w:val="20"/>
          <w:szCs w:val="20"/>
        </w:rPr>
        <w:lastRenderedPageBreak/>
        <w:t>Tabla 4</w:t>
      </w:r>
    </w:p>
    <w:p w:rsidR="00067D89" w:rsidRDefault="00A57D41">
      <w:pPr>
        <w:spacing w:line="360" w:lineRule="auto"/>
        <w:rPr>
          <w:i/>
          <w:sz w:val="20"/>
          <w:szCs w:val="20"/>
        </w:rPr>
      </w:pPr>
      <w:r>
        <w:rPr>
          <w:i/>
          <w:sz w:val="20"/>
          <w:szCs w:val="20"/>
        </w:rPr>
        <w:t xml:space="preserve">Periodicidad de las revistas de psicología </w:t>
      </w:r>
    </w:p>
    <w:tbl>
      <w:tblPr>
        <w:tblStyle w:val="afffffffb"/>
        <w:tblW w:w="4399"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414"/>
        <w:gridCol w:w="991"/>
        <w:gridCol w:w="1276"/>
        <w:gridCol w:w="718"/>
      </w:tblGrid>
      <w:tr w:rsidR="00067D89">
        <w:trPr>
          <w:trHeight w:val="288"/>
        </w:trPr>
        <w:tc>
          <w:tcPr>
            <w:tcW w:w="1414" w:type="dxa"/>
            <w:tcBorders>
              <w:bottom w:val="single" w:sz="4" w:space="0" w:color="000000"/>
            </w:tcBorders>
          </w:tcPr>
          <w:p w:rsidR="00067D89" w:rsidRDefault="00A57D41">
            <w:pPr>
              <w:rPr>
                <w:color w:val="000000"/>
                <w:sz w:val="20"/>
                <w:szCs w:val="20"/>
              </w:rPr>
            </w:pPr>
            <w:r>
              <w:rPr>
                <w:color w:val="000000"/>
                <w:sz w:val="20"/>
                <w:szCs w:val="20"/>
              </w:rPr>
              <w:t>Periodicidad</w:t>
            </w:r>
          </w:p>
        </w:tc>
        <w:tc>
          <w:tcPr>
            <w:tcW w:w="991" w:type="dxa"/>
            <w:tcBorders>
              <w:bottom w:val="single" w:sz="4" w:space="0" w:color="000000"/>
            </w:tcBorders>
          </w:tcPr>
          <w:p w:rsidR="00067D89" w:rsidRDefault="00A57D41">
            <w:pPr>
              <w:jc w:val="center"/>
              <w:rPr>
                <w:color w:val="000000"/>
                <w:sz w:val="20"/>
                <w:szCs w:val="20"/>
              </w:rPr>
            </w:pPr>
            <w:r>
              <w:rPr>
                <w:color w:val="000000"/>
                <w:sz w:val="20"/>
                <w:szCs w:val="20"/>
              </w:rPr>
              <w:t>Activas</w:t>
            </w:r>
          </w:p>
        </w:tc>
        <w:tc>
          <w:tcPr>
            <w:tcW w:w="1276" w:type="dxa"/>
            <w:tcBorders>
              <w:bottom w:val="single" w:sz="4" w:space="0" w:color="000000"/>
            </w:tcBorders>
          </w:tcPr>
          <w:p w:rsidR="00067D89" w:rsidRDefault="00A57D41">
            <w:pPr>
              <w:jc w:val="center"/>
              <w:rPr>
                <w:color w:val="000000"/>
                <w:sz w:val="20"/>
                <w:szCs w:val="20"/>
              </w:rPr>
            </w:pPr>
            <w:r>
              <w:rPr>
                <w:color w:val="000000"/>
                <w:sz w:val="20"/>
                <w:szCs w:val="20"/>
              </w:rPr>
              <w:t>No activas</w:t>
            </w:r>
          </w:p>
        </w:tc>
        <w:tc>
          <w:tcPr>
            <w:tcW w:w="718" w:type="dxa"/>
            <w:tcBorders>
              <w:bottom w:val="single" w:sz="4" w:space="0" w:color="000000"/>
            </w:tcBorders>
          </w:tcPr>
          <w:p w:rsidR="00067D89" w:rsidRDefault="00A57D41">
            <w:pPr>
              <w:jc w:val="center"/>
              <w:rPr>
                <w:color w:val="000000"/>
                <w:sz w:val="20"/>
                <w:szCs w:val="20"/>
              </w:rPr>
            </w:pPr>
            <w:r>
              <w:rPr>
                <w:color w:val="000000"/>
                <w:sz w:val="20"/>
                <w:szCs w:val="20"/>
              </w:rPr>
              <w:t>Total</w:t>
            </w:r>
          </w:p>
        </w:tc>
      </w:tr>
      <w:tr w:rsidR="00067D89">
        <w:trPr>
          <w:trHeight w:val="288"/>
        </w:trPr>
        <w:tc>
          <w:tcPr>
            <w:tcW w:w="1414" w:type="dxa"/>
            <w:tcBorders>
              <w:top w:val="single" w:sz="4" w:space="0" w:color="000000"/>
            </w:tcBorders>
          </w:tcPr>
          <w:p w:rsidR="00067D89" w:rsidRDefault="00A57D41">
            <w:pPr>
              <w:rPr>
                <w:color w:val="000000"/>
                <w:sz w:val="20"/>
                <w:szCs w:val="20"/>
              </w:rPr>
            </w:pPr>
            <w:r>
              <w:rPr>
                <w:color w:val="000000"/>
                <w:sz w:val="20"/>
                <w:szCs w:val="20"/>
              </w:rPr>
              <w:t>Anual</w:t>
            </w:r>
          </w:p>
        </w:tc>
        <w:tc>
          <w:tcPr>
            <w:tcW w:w="991" w:type="dxa"/>
            <w:tcBorders>
              <w:top w:val="single" w:sz="4" w:space="0" w:color="000000"/>
            </w:tcBorders>
          </w:tcPr>
          <w:p w:rsidR="00067D89" w:rsidRDefault="00A57D41">
            <w:pPr>
              <w:jc w:val="center"/>
              <w:rPr>
                <w:color w:val="000000"/>
                <w:sz w:val="20"/>
                <w:szCs w:val="20"/>
              </w:rPr>
            </w:pPr>
            <w:r>
              <w:rPr>
                <w:color w:val="000000"/>
                <w:sz w:val="20"/>
                <w:szCs w:val="20"/>
              </w:rPr>
              <w:t>2</w:t>
            </w:r>
          </w:p>
        </w:tc>
        <w:tc>
          <w:tcPr>
            <w:tcW w:w="1276" w:type="dxa"/>
            <w:tcBorders>
              <w:top w:val="single" w:sz="4" w:space="0" w:color="000000"/>
            </w:tcBorders>
          </w:tcPr>
          <w:p w:rsidR="00067D89" w:rsidRDefault="00A57D41">
            <w:pPr>
              <w:jc w:val="center"/>
              <w:rPr>
                <w:color w:val="000000"/>
                <w:sz w:val="20"/>
                <w:szCs w:val="20"/>
              </w:rPr>
            </w:pPr>
            <w:r>
              <w:rPr>
                <w:color w:val="000000"/>
                <w:sz w:val="20"/>
                <w:szCs w:val="20"/>
              </w:rPr>
              <w:t>3</w:t>
            </w:r>
          </w:p>
        </w:tc>
        <w:tc>
          <w:tcPr>
            <w:tcW w:w="718" w:type="dxa"/>
            <w:tcBorders>
              <w:top w:val="single" w:sz="4" w:space="0" w:color="000000"/>
            </w:tcBorders>
          </w:tcPr>
          <w:p w:rsidR="00067D89" w:rsidRDefault="00A57D41">
            <w:pPr>
              <w:jc w:val="center"/>
              <w:rPr>
                <w:color w:val="000000"/>
                <w:sz w:val="20"/>
                <w:szCs w:val="20"/>
              </w:rPr>
            </w:pPr>
            <w:r>
              <w:rPr>
                <w:color w:val="000000"/>
                <w:sz w:val="20"/>
                <w:szCs w:val="20"/>
              </w:rPr>
              <w:t>5</w:t>
            </w:r>
          </w:p>
        </w:tc>
      </w:tr>
      <w:tr w:rsidR="00067D89">
        <w:trPr>
          <w:trHeight w:val="288"/>
        </w:trPr>
        <w:tc>
          <w:tcPr>
            <w:tcW w:w="1414" w:type="dxa"/>
          </w:tcPr>
          <w:p w:rsidR="00067D89" w:rsidRDefault="00A57D41">
            <w:pPr>
              <w:rPr>
                <w:color w:val="000000"/>
                <w:sz w:val="20"/>
                <w:szCs w:val="20"/>
              </w:rPr>
            </w:pPr>
            <w:r>
              <w:rPr>
                <w:color w:val="000000"/>
                <w:sz w:val="20"/>
                <w:szCs w:val="20"/>
              </w:rPr>
              <w:t>Semestral</w:t>
            </w:r>
          </w:p>
        </w:tc>
        <w:tc>
          <w:tcPr>
            <w:tcW w:w="991" w:type="dxa"/>
          </w:tcPr>
          <w:p w:rsidR="00067D89" w:rsidRDefault="00A57D41">
            <w:pPr>
              <w:jc w:val="center"/>
              <w:rPr>
                <w:color w:val="000000"/>
                <w:sz w:val="20"/>
                <w:szCs w:val="20"/>
              </w:rPr>
            </w:pPr>
            <w:r>
              <w:rPr>
                <w:color w:val="000000"/>
                <w:sz w:val="20"/>
                <w:szCs w:val="20"/>
              </w:rPr>
              <w:t>9</w:t>
            </w:r>
          </w:p>
        </w:tc>
        <w:tc>
          <w:tcPr>
            <w:tcW w:w="1276" w:type="dxa"/>
          </w:tcPr>
          <w:p w:rsidR="00067D89" w:rsidRDefault="00A57D41">
            <w:pPr>
              <w:jc w:val="center"/>
              <w:rPr>
                <w:color w:val="000000"/>
                <w:sz w:val="20"/>
                <w:szCs w:val="20"/>
              </w:rPr>
            </w:pPr>
            <w:r>
              <w:rPr>
                <w:color w:val="000000"/>
                <w:sz w:val="20"/>
                <w:szCs w:val="20"/>
              </w:rPr>
              <w:t>3</w:t>
            </w:r>
          </w:p>
        </w:tc>
        <w:tc>
          <w:tcPr>
            <w:tcW w:w="718" w:type="dxa"/>
          </w:tcPr>
          <w:p w:rsidR="00067D89" w:rsidRDefault="00A57D41">
            <w:pPr>
              <w:jc w:val="center"/>
              <w:rPr>
                <w:color w:val="000000"/>
                <w:sz w:val="20"/>
                <w:szCs w:val="20"/>
              </w:rPr>
            </w:pPr>
            <w:r>
              <w:rPr>
                <w:color w:val="000000"/>
                <w:sz w:val="20"/>
                <w:szCs w:val="20"/>
              </w:rPr>
              <w:t>12</w:t>
            </w:r>
          </w:p>
        </w:tc>
      </w:tr>
      <w:tr w:rsidR="00067D89">
        <w:trPr>
          <w:trHeight w:val="288"/>
        </w:trPr>
        <w:tc>
          <w:tcPr>
            <w:tcW w:w="1414" w:type="dxa"/>
          </w:tcPr>
          <w:p w:rsidR="00067D89" w:rsidRDefault="00A57D41">
            <w:pPr>
              <w:rPr>
                <w:color w:val="000000"/>
                <w:sz w:val="20"/>
                <w:szCs w:val="20"/>
              </w:rPr>
            </w:pPr>
            <w:r>
              <w:rPr>
                <w:color w:val="000000"/>
                <w:sz w:val="20"/>
                <w:szCs w:val="20"/>
              </w:rPr>
              <w:t>Trimestral</w:t>
            </w:r>
          </w:p>
        </w:tc>
        <w:tc>
          <w:tcPr>
            <w:tcW w:w="991" w:type="dxa"/>
          </w:tcPr>
          <w:p w:rsidR="00067D89" w:rsidRDefault="00A57D41">
            <w:pPr>
              <w:jc w:val="center"/>
              <w:rPr>
                <w:color w:val="000000"/>
                <w:sz w:val="20"/>
                <w:szCs w:val="20"/>
              </w:rPr>
            </w:pPr>
            <w:r>
              <w:rPr>
                <w:color w:val="000000"/>
                <w:sz w:val="20"/>
                <w:szCs w:val="20"/>
              </w:rPr>
              <w:t>2</w:t>
            </w:r>
          </w:p>
        </w:tc>
        <w:tc>
          <w:tcPr>
            <w:tcW w:w="1276" w:type="dxa"/>
          </w:tcPr>
          <w:p w:rsidR="00067D89" w:rsidRDefault="00A57D41">
            <w:pPr>
              <w:jc w:val="center"/>
              <w:rPr>
                <w:color w:val="000000"/>
                <w:sz w:val="20"/>
                <w:szCs w:val="20"/>
              </w:rPr>
            </w:pPr>
            <w:r>
              <w:rPr>
                <w:color w:val="000000"/>
                <w:sz w:val="20"/>
                <w:szCs w:val="20"/>
              </w:rPr>
              <w:t>1</w:t>
            </w:r>
          </w:p>
        </w:tc>
        <w:tc>
          <w:tcPr>
            <w:tcW w:w="718" w:type="dxa"/>
          </w:tcPr>
          <w:p w:rsidR="00067D89" w:rsidRDefault="00A57D41">
            <w:pPr>
              <w:jc w:val="center"/>
              <w:rPr>
                <w:color w:val="000000"/>
                <w:sz w:val="20"/>
                <w:szCs w:val="20"/>
              </w:rPr>
            </w:pPr>
            <w:r>
              <w:rPr>
                <w:color w:val="000000"/>
                <w:sz w:val="20"/>
                <w:szCs w:val="20"/>
              </w:rPr>
              <w:t>3</w:t>
            </w:r>
          </w:p>
        </w:tc>
      </w:tr>
      <w:tr w:rsidR="00067D89">
        <w:trPr>
          <w:trHeight w:val="288"/>
        </w:trPr>
        <w:tc>
          <w:tcPr>
            <w:tcW w:w="1414" w:type="dxa"/>
          </w:tcPr>
          <w:p w:rsidR="00067D89" w:rsidRDefault="00A57D41">
            <w:pPr>
              <w:rPr>
                <w:color w:val="000000"/>
                <w:sz w:val="20"/>
                <w:szCs w:val="20"/>
              </w:rPr>
            </w:pPr>
            <w:r>
              <w:rPr>
                <w:color w:val="000000"/>
                <w:sz w:val="20"/>
                <w:szCs w:val="20"/>
              </w:rPr>
              <w:t>Total</w:t>
            </w:r>
          </w:p>
        </w:tc>
        <w:tc>
          <w:tcPr>
            <w:tcW w:w="991" w:type="dxa"/>
          </w:tcPr>
          <w:p w:rsidR="00067D89" w:rsidRDefault="00A57D41">
            <w:pPr>
              <w:jc w:val="center"/>
              <w:rPr>
                <w:color w:val="000000"/>
                <w:sz w:val="20"/>
                <w:szCs w:val="20"/>
              </w:rPr>
            </w:pPr>
            <w:r>
              <w:rPr>
                <w:color w:val="000000"/>
                <w:sz w:val="20"/>
                <w:szCs w:val="20"/>
              </w:rPr>
              <w:t>13</w:t>
            </w:r>
          </w:p>
        </w:tc>
        <w:tc>
          <w:tcPr>
            <w:tcW w:w="1276" w:type="dxa"/>
          </w:tcPr>
          <w:p w:rsidR="00067D89" w:rsidRDefault="00A57D41">
            <w:pPr>
              <w:jc w:val="center"/>
              <w:rPr>
                <w:color w:val="000000"/>
                <w:sz w:val="20"/>
                <w:szCs w:val="20"/>
              </w:rPr>
            </w:pPr>
            <w:r>
              <w:rPr>
                <w:color w:val="000000"/>
                <w:sz w:val="20"/>
                <w:szCs w:val="20"/>
              </w:rPr>
              <w:t>7</w:t>
            </w:r>
          </w:p>
        </w:tc>
        <w:tc>
          <w:tcPr>
            <w:tcW w:w="718" w:type="dxa"/>
          </w:tcPr>
          <w:p w:rsidR="00067D89" w:rsidRDefault="00A57D41">
            <w:pPr>
              <w:jc w:val="center"/>
              <w:rPr>
                <w:color w:val="000000"/>
                <w:sz w:val="20"/>
                <w:szCs w:val="20"/>
              </w:rPr>
            </w:pPr>
            <w:r>
              <w:rPr>
                <w:color w:val="000000"/>
                <w:sz w:val="20"/>
                <w:szCs w:val="20"/>
              </w:rPr>
              <w:t>20</w:t>
            </w:r>
          </w:p>
        </w:tc>
      </w:tr>
    </w:tbl>
    <w:p w:rsidR="00067D89" w:rsidRDefault="00067D89"/>
    <w:p w:rsidR="00067D89" w:rsidRDefault="00A57D41">
      <w:pPr>
        <w:spacing w:line="360" w:lineRule="auto"/>
        <w:jc w:val="both"/>
      </w:pPr>
      <w:r>
        <w:t xml:space="preserve">En la tabla 4, se presenta el periodo de tiempo de la edición de las revistas. Donde 12 de las revistas se editan de forma semestral que representaría el 60% del total, de las cuales solo 9 revistas están activas. También 5 revistas son editadas de forma anual, de las cuales solo 2 están activas. Adicional solo 3 revistas se editan de forma trimestral y dos están activas en la actualidad. Así mismo, del total de 20 revistas en la actualidad 13 revistas están activas y 7 están inactivas. Las revistas no activas se editaron de forma anual, semestral y trimestral, al parecer la diferencia en la periodicidad no afecta la permanencia de estar activos. </w:t>
      </w:r>
    </w:p>
    <w:p w:rsidR="00067D89" w:rsidRDefault="00067D89">
      <w:pPr>
        <w:rPr>
          <w:sz w:val="20"/>
          <w:szCs w:val="20"/>
        </w:rPr>
      </w:pPr>
    </w:p>
    <w:p w:rsidR="00067D89" w:rsidRDefault="00A57D41">
      <w:pPr>
        <w:rPr>
          <w:sz w:val="20"/>
          <w:szCs w:val="20"/>
        </w:rPr>
      </w:pPr>
      <w:r>
        <w:rPr>
          <w:i/>
        </w:rPr>
        <w:t>3) Análisis del comité editorial de las revistas</w:t>
      </w:r>
    </w:p>
    <w:p w:rsidR="00067D89" w:rsidRDefault="00067D89">
      <w:pPr>
        <w:rPr>
          <w:sz w:val="20"/>
          <w:szCs w:val="20"/>
        </w:rPr>
      </w:pPr>
    </w:p>
    <w:p w:rsidR="00067D89" w:rsidRDefault="00A57D41">
      <w:pPr>
        <w:rPr>
          <w:sz w:val="20"/>
          <w:szCs w:val="20"/>
        </w:rPr>
      </w:pPr>
      <w:r>
        <w:rPr>
          <w:sz w:val="20"/>
          <w:szCs w:val="20"/>
        </w:rPr>
        <w:t>Tabla 5</w:t>
      </w:r>
    </w:p>
    <w:p w:rsidR="00067D89" w:rsidRDefault="00A57D41">
      <w:pPr>
        <w:spacing w:line="360" w:lineRule="auto"/>
        <w:rPr>
          <w:i/>
          <w:sz w:val="20"/>
          <w:szCs w:val="20"/>
        </w:rPr>
      </w:pPr>
      <w:r>
        <w:rPr>
          <w:i/>
          <w:sz w:val="20"/>
          <w:szCs w:val="20"/>
        </w:rPr>
        <w:t xml:space="preserve">Distribución de las revistas por comité editorial  </w:t>
      </w:r>
    </w:p>
    <w:tbl>
      <w:tblPr>
        <w:tblStyle w:val="afffffffc"/>
        <w:tblW w:w="5245"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119"/>
        <w:gridCol w:w="2126"/>
      </w:tblGrid>
      <w:tr w:rsidR="00067D89">
        <w:trPr>
          <w:trHeight w:val="288"/>
        </w:trPr>
        <w:tc>
          <w:tcPr>
            <w:tcW w:w="3119" w:type="dxa"/>
            <w:tcBorders>
              <w:bottom w:val="single" w:sz="4" w:space="0" w:color="000000"/>
            </w:tcBorders>
          </w:tcPr>
          <w:p w:rsidR="00067D89" w:rsidRDefault="00A57D41">
            <w:pPr>
              <w:jc w:val="both"/>
              <w:rPr>
                <w:color w:val="000000"/>
                <w:sz w:val="20"/>
                <w:szCs w:val="20"/>
              </w:rPr>
            </w:pPr>
            <w:r>
              <w:rPr>
                <w:color w:val="000000"/>
                <w:sz w:val="20"/>
                <w:szCs w:val="20"/>
              </w:rPr>
              <w:t>Cuenta con un comité editorial</w:t>
            </w:r>
          </w:p>
        </w:tc>
        <w:tc>
          <w:tcPr>
            <w:tcW w:w="2126" w:type="dxa"/>
            <w:tcBorders>
              <w:bottom w:val="single" w:sz="4" w:space="0" w:color="000000"/>
            </w:tcBorders>
          </w:tcPr>
          <w:p w:rsidR="00067D89" w:rsidRDefault="00A57D41">
            <w:pPr>
              <w:jc w:val="both"/>
              <w:rPr>
                <w:color w:val="000000"/>
                <w:sz w:val="20"/>
                <w:szCs w:val="20"/>
              </w:rPr>
            </w:pPr>
            <w:r>
              <w:rPr>
                <w:color w:val="000000"/>
                <w:sz w:val="20"/>
                <w:szCs w:val="20"/>
              </w:rPr>
              <w:t>Numero de revistas</w:t>
            </w:r>
          </w:p>
        </w:tc>
      </w:tr>
      <w:tr w:rsidR="00067D89">
        <w:trPr>
          <w:trHeight w:val="288"/>
        </w:trPr>
        <w:tc>
          <w:tcPr>
            <w:tcW w:w="3119" w:type="dxa"/>
            <w:tcBorders>
              <w:top w:val="single" w:sz="4" w:space="0" w:color="000000"/>
            </w:tcBorders>
          </w:tcPr>
          <w:p w:rsidR="00067D89" w:rsidRDefault="00A57D41">
            <w:pPr>
              <w:jc w:val="both"/>
              <w:rPr>
                <w:color w:val="000000"/>
                <w:sz w:val="20"/>
                <w:szCs w:val="20"/>
              </w:rPr>
            </w:pPr>
            <w:r>
              <w:rPr>
                <w:color w:val="000000"/>
                <w:sz w:val="20"/>
                <w:szCs w:val="20"/>
              </w:rPr>
              <w:t>Si</w:t>
            </w:r>
          </w:p>
        </w:tc>
        <w:tc>
          <w:tcPr>
            <w:tcW w:w="2126" w:type="dxa"/>
            <w:tcBorders>
              <w:top w:val="single" w:sz="4" w:space="0" w:color="000000"/>
            </w:tcBorders>
          </w:tcPr>
          <w:p w:rsidR="00067D89" w:rsidRDefault="00A57D41">
            <w:pPr>
              <w:jc w:val="center"/>
              <w:rPr>
                <w:color w:val="000000"/>
                <w:sz w:val="20"/>
                <w:szCs w:val="20"/>
              </w:rPr>
            </w:pPr>
            <w:r>
              <w:rPr>
                <w:color w:val="000000"/>
                <w:sz w:val="20"/>
                <w:szCs w:val="20"/>
              </w:rPr>
              <w:t>17</w:t>
            </w:r>
          </w:p>
        </w:tc>
      </w:tr>
      <w:tr w:rsidR="00067D89">
        <w:trPr>
          <w:trHeight w:val="288"/>
        </w:trPr>
        <w:tc>
          <w:tcPr>
            <w:tcW w:w="3119" w:type="dxa"/>
          </w:tcPr>
          <w:p w:rsidR="00067D89" w:rsidRDefault="00A57D41">
            <w:pPr>
              <w:jc w:val="both"/>
              <w:rPr>
                <w:color w:val="000000"/>
                <w:sz w:val="20"/>
                <w:szCs w:val="20"/>
              </w:rPr>
            </w:pPr>
            <w:r>
              <w:rPr>
                <w:color w:val="000000"/>
                <w:sz w:val="20"/>
                <w:szCs w:val="20"/>
              </w:rPr>
              <w:t>No</w:t>
            </w:r>
          </w:p>
        </w:tc>
        <w:tc>
          <w:tcPr>
            <w:tcW w:w="2126" w:type="dxa"/>
          </w:tcPr>
          <w:p w:rsidR="00067D89" w:rsidRDefault="00A57D41">
            <w:pPr>
              <w:jc w:val="center"/>
              <w:rPr>
                <w:color w:val="000000"/>
                <w:sz w:val="20"/>
                <w:szCs w:val="20"/>
              </w:rPr>
            </w:pPr>
            <w:r>
              <w:rPr>
                <w:color w:val="000000"/>
                <w:sz w:val="20"/>
                <w:szCs w:val="20"/>
              </w:rPr>
              <w:t>3</w:t>
            </w:r>
          </w:p>
        </w:tc>
      </w:tr>
      <w:tr w:rsidR="00067D89">
        <w:trPr>
          <w:trHeight w:val="288"/>
        </w:trPr>
        <w:tc>
          <w:tcPr>
            <w:tcW w:w="3119" w:type="dxa"/>
          </w:tcPr>
          <w:p w:rsidR="00067D89" w:rsidRDefault="00A57D41">
            <w:pPr>
              <w:jc w:val="both"/>
              <w:rPr>
                <w:color w:val="000000"/>
                <w:sz w:val="20"/>
                <w:szCs w:val="20"/>
              </w:rPr>
            </w:pPr>
            <w:r>
              <w:rPr>
                <w:color w:val="000000"/>
                <w:sz w:val="20"/>
                <w:szCs w:val="20"/>
              </w:rPr>
              <w:t>Total</w:t>
            </w:r>
          </w:p>
        </w:tc>
        <w:tc>
          <w:tcPr>
            <w:tcW w:w="2126" w:type="dxa"/>
          </w:tcPr>
          <w:p w:rsidR="00067D89" w:rsidRDefault="00A57D41">
            <w:pPr>
              <w:jc w:val="center"/>
              <w:rPr>
                <w:color w:val="000000"/>
                <w:sz w:val="20"/>
                <w:szCs w:val="20"/>
              </w:rPr>
            </w:pPr>
            <w:r>
              <w:rPr>
                <w:color w:val="000000"/>
                <w:sz w:val="20"/>
                <w:szCs w:val="20"/>
              </w:rPr>
              <w:t>20</w:t>
            </w:r>
          </w:p>
        </w:tc>
      </w:tr>
    </w:tbl>
    <w:p w:rsidR="00067D89" w:rsidRDefault="00067D89">
      <w:pPr>
        <w:jc w:val="both"/>
      </w:pPr>
    </w:p>
    <w:p w:rsidR="00067D89" w:rsidRDefault="00A57D41">
      <w:pPr>
        <w:spacing w:line="360" w:lineRule="auto"/>
        <w:jc w:val="both"/>
      </w:pPr>
      <w:r>
        <w:t xml:space="preserve">En la tabla 5, se muestra la distribución de las revistas por el comité editorial, donde 17 revistas cuentan con un comité editorial, esto representa el 85% del total de las revistas. Solo 3 revistas no cuentan con un comité editorial, el cual representa el 15% del total. </w:t>
      </w:r>
    </w:p>
    <w:p w:rsidR="00067D89" w:rsidRDefault="00067D89"/>
    <w:p w:rsidR="00067D89" w:rsidRDefault="00A57D41">
      <w:pPr>
        <w:rPr>
          <w:sz w:val="20"/>
          <w:szCs w:val="20"/>
        </w:rPr>
      </w:pPr>
      <w:r>
        <w:rPr>
          <w:sz w:val="20"/>
          <w:szCs w:val="20"/>
        </w:rPr>
        <w:t>Tabla 6</w:t>
      </w:r>
    </w:p>
    <w:p w:rsidR="00067D89" w:rsidRDefault="00A57D41">
      <w:pPr>
        <w:spacing w:line="360" w:lineRule="auto"/>
        <w:rPr>
          <w:i/>
          <w:sz w:val="20"/>
          <w:szCs w:val="20"/>
        </w:rPr>
      </w:pPr>
      <w:r>
        <w:rPr>
          <w:i/>
          <w:sz w:val="20"/>
          <w:szCs w:val="20"/>
        </w:rPr>
        <w:t xml:space="preserve">Distribución de director(a) y editor(a) según el </w:t>
      </w:r>
      <w:r>
        <w:rPr>
          <w:color w:val="000000"/>
          <w:sz w:val="20"/>
          <w:szCs w:val="20"/>
        </w:rPr>
        <w:t xml:space="preserve">género </w:t>
      </w:r>
    </w:p>
    <w:tbl>
      <w:tblPr>
        <w:tblStyle w:val="afffffffd"/>
        <w:tblW w:w="7220" w:type="dxa"/>
        <w:tblInd w:w="-5" w:type="dxa"/>
        <w:tblBorders>
          <w:top w:val="single" w:sz="4" w:space="0" w:color="000000"/>
          <w:bottom w:val="single" w:sz="4" w:space="0" w:color="000000"/>
        </w:tblBorders>
        <w:tblLayout w:type="fixed"/>
        <w:tblLook w:val="0400" w:firstRow="0" w:lastRow="0" w:firstColumn="0" w:lastColumn="0" w:noHBand="0" w:noVBand="1"/>
      </w:tblPr>
      <w:tblGrid>
        <w:gridCol w:w="1701"/>
        <w:gridCol w:w="1276"/>
        <w:gridCol w:w="1139"/>
        <w:gridCol w:w="2121"/>
        <w:gridCol w:w="983"/>
      </w:tblGrid>
      <w:tr w:rsidR="00067D89">
        <w:trPr>
          <w:trHeight w:val="288"/>
        </w:trPr>
        <w:tc>
          <w:tcPr>
            <w:tcW w:w="1701" w:type="dxa"/>
            <w:tcBorders>
              <w:bottom w:val="single" w:sz="4" w:space="0" w:color="000000"/>
            </w:tcBorders>
            <w:shd w:val="clear" w:color="auto" w:fill="auto"/>
            <w:vAlign w:val="center"/>
          </w:tcPr>
          <w:p w:rsidR="00067D89" w:rsidRDefault="00A57D41">
            <w:pPr>
              <w:jc w:val="center"/>
              <w:rPr>
                <w:color w:val="000000"/>
                <w:sz w:val="20"/>
                <w:szCs w:val="20"/>
              </w:rPr>
            </w:pPr>
            <w:r>
              <w:rPr>
                <w:color w:val="000000"/>
                <w:sz w:val="20"/>
                <w:szCs w:val="20"/>
              </w:rPr>
              <w:t>Género</w:t>
            </w:r>
          </w:p>
        </w:tc>
        <w:tc>
          <w:tcPr>
            <w:tcW w:w="1276" w:type="dxa"/>
            <w:tcBorders>
              <w:bottom w:val="single" w:sz="4" w:space="0" w:color="000000"/>
            </w:tcBorders>
            <w:shd w:val="clear" w:color="auto" w:fill="auto"/>
            <w:vAlign w:val="center"/>
          </w:tcPr>
          <w:p w:rsidR="00067D89" w:rsidRDefault="00A57D41">
            <w:pPr>
              <w:jc w:val="center"/>
              <w:rPr>
                <w:color w:val="000000"/>
                <w:sz w:val="20"/>
                <w:szCs w:val="20"/>
              </w:rPr>
            </w:pPr>
            <w:r>
              <w:rPr>
                <w:color w:val="000000"/>
                <w:sz w:val="20"/>
                <w:szCs w:val="20"/>
              </w:rPr>
              <w:t>Director(</w:t>
            </w:r>
            <w:proofErr w:type="gramStart"/>
            <w:r>
              <w:rPr>
                <w:color w:val="000000"/>
                <w:sz w:val="20"/>
                <w:szCs w:val="20"/>
              </w:rPr>
              <w:t xml:space="preserve">a)   </w:t>
            </w:r>
            <w:proofErr w:type="gramEnd"/>
            <w:r>
              <w:rPr>
                <w:color w:val="000000"/>
                <w:sz w:val="20"/>
                <w:szCs w:val="20"/>
              </w:rPr>
              <w:t xml:space="preserve"> </w:t>
            </w:r>
          </w:p>
        </w:tc>
        <w:tc>
          <w:tcPr>
            <w:tcW w:w="1139" w:type="dxa"/>
            <w:tcBorders>
              <w:bottom w:val="single" w:sz="4" w:space="0" w:color="000000"/>
            </w:tcBorders>
            <w:shd w:val="clear" w:color="auto" w:fill="auto"/>
            <w:vAlign w:val="center"/>
          </w:tcPr>
          <w:p w:rsidR="00067D89" w:rsidRDefault="00A57D41">
            <w:pPr>
              <w:jc w:val="center"/>
              <w:rPr>
                <w:color w:val="000000"/>
                <w:sz w:val="20"/>
                <w:szCs w:val="20"/>
              </w:rPr>
            </w:pPr>
            <w:r>
              <w:rPr>
                <w:color w:val="000000"/>
                <w:sz w:val="20"/>
                <w:szCs w:val="20"/>
              </w:rPr>
              <w:t>Editor(a)</w:t>
            </w:r>
          </w:p>
        </w:tc>
        <w:tc>
          <w:tcPr>
            <w:tcW w:w="2121" w:type="dxa"/>
            <w:tcBorders>
              <w:bottom w:val="single" w:sz="4" w:space="0" w:color="000000"/>
            </w:tcBorders>
          </w:tcPr>
          <w:p w:rsidR="00067D89" w:rsidRDefault="00A57D41">
            <w:pPr>
              <w:jc w:val="center"/>
              <w:rPr>
                <w:color w:val="000000"/>
                <w:sz w:val="20"/>
                <w:szCs w:val="20"/>
              </w:rPr>
            </w:pPr>
            <w:r>
              <w:rPr>
                <w:color w:val="000000"/>
                <w:sz w:val="20"/>
                <w:szCs w:val="20"/>
              </w:rPr>
              <w:t xml:space="preserve">Director(a) y editor(a) </w:t>
            </w:r>
          </w:p>
        </w:tc>
        <w:tc>
          <w:tcPr>
            <w:tcW w:w="983" w:type="dxa"/>
            <w:tcBorders>
              <w:bottom w:val="single" w:sz="4" w:space="0" w:color="000000"/>
            </w:tcBorders>
            <w:shd w:val="clear" w:color="auto" w:fill="auto"/>
            <w:vAlign w:val="center"/>
          </w:tcPr>
          <w:p w:rsidR="00067D89" w:rsidRDefault="00A57D41">
            <w:pPr>
              <w:jc w:val="center"/>
              <w:rPr>
                <w:color w:val="000000"/>
                <w:sz w:val="20"/>
                <w:szCs w:val="20"/>
              </w:rPr>
            </w:pPr>
            <w:r>
              <w:rPr>
                <w:color w:val="000000"/>
                <w:sz w:val="20"/>
                <w:szCs w:val="20"/>
              </w:rPr>
              <w:t xml:space="preserve">Total </w:t>
            </w:r>
          </w:p>
        </w:tc>
      </w:tr>
      <w:tr w:rsidR="00067D89">
        <w:trPr>
          <w:trHeight w:val="268"/>
        </w:trPr>
        <w:tc>
          <w:tcPr>
            <w:tcW w:w="1701" w:type="dxa"/>
            <w:tcBorders>
              <w:top w:val="single" w:sz="4" w:space="0" w:color="000000"/>
            </w:tcBorders>
            <w:shd w:val="clear" w:color="auto" w:fill="auto"/>
            <w:vAlign w:val="center"/>
          </w:tcPr>
          <w:p w:rsidR="00067D89" w:rsidRDefault="00A57D41">
            <w:pPr>
              <w:rPr>
                <w:color w:val="000000"/>
                <w:sz w:val="20"/>
                <w:szCs w:val="20"/>
              </w:rPr>
            </w:pPr>
            <w:r>
              <w:rPr>
                <w:color w:val="000000"/>
                <w:sz w:val="20"/>
                <w:szCs w:val="20"/>
              </w:rPr>
              <w:t>Masculino</w:t>
            </w:r>
          </w:p>
        </w:tc>
        <w:tc>
          <w:tcPr>
            <w:tcW w:w="1276" w:type="dxa"/>
            <w:tcBorders>
              <w:top w:val="single" w:sz="4" w:space="0" w:color="000000"/>
            </w:tcBorders>
            <w:shd w:val="clear" w:color="auto" w:fill="auto"/>
            <w:vAlign w:val="bottom"/>
          </w:tcPr>
          <w:p w:rsidR="00067D89" w:rsidRDefault="00A57D41">
            <w:pPr>
              <w:jc w:val="center"/>
              <w:rPr>
                <w:color w:val="000000"/>
                <w:sz w:val="20"/>
                <w:szCs w:val="20"/>
              </w:rPr>
            </w:pPr>
            <w:r>
              <w:rPr>
                <w:color w:val="000000"/>
                <w:sz w:val="20"/>
                <w:szCs w:val="20"/>
              </w:rPr>
              <w:t>3</w:t>
            </w:r>
          </w:p>
        </w:tc>
        <w:tc>
          <w:tcPr>
            <w:tcW w:w="1139" w:type="dxa"/>
            <w:tcBorders>
              <w:top w:val="single" w:sz="4" w:space="0" w:color="000000"/>
            </w:tcBorders>
            <w:shd w:val="clear" w:color="auto" w:fill="auto"/>
            <w:vAlign w:val="bottom"/>
          </w:tcPr>
          <w:p w:rsidR="00067D89" w:rsidRDefault="00A57D41">
            <w:pPr>
              <w:jc w:val="center"/>
              <w:rPr>
                <w:color w:val="000000"/>
                <w:sz w:val="20"/>
                <w:szCs w:val="20"/>
              </w:rPr>
            </w:pPr>
            <w:r>
              <w:rPr>
                <w:color w:val="000000"/>
                <w:sz w:val="20"/>
                <w:szCs w:val="20"/>
              </w:rPr>
              <w:t>4</w:t>
            </w:r>
          </w:p>
        </w:tc>
        <w:tc>
          <w:tcPr>
            <w:tcW w:w="2121" w:type="dxa"/>
            <w:tcBorders>
              <w:top w:val="single" w:sz="4" w:space="0" w:color="000000"/>
            </w:tcBorders>
          </w:tcPr>
          <w:p w:rsidR="00067D89" w:rsidRDefault="00A57D41">
            <w:pPr>
              <w:jc w:val="center"/>
              <w:rPr>
                <w:color w:val="000000"/>
                <w:sz w:val="20"/>
                <w:szCs w:val="20"/>
              </w:rPr>
            </w:pPr>
            <w:r>
              <w:rPr>
                <w:color w:val="000000"/>
                <w:sz w:val="20"/>
                <w:szCs w:val="20"/>
              </w:rPr>
              <w:t>4</w:t>
            </w:r>
          </w:p>
        </w:tc>
        <w:tc>
          <w:tcPr>
            <w:tcW w:w="983" w:type="dxa"/>
            <w:tcBorders>
              <w:top w:val="single" w:sz="4" w:space="0" w:color="000000"/>
            </w:tcBorders>
            <w:shd w:val="clear" w:color="auto" w:fill="auto"/>
            <w:vAlign w:val="center"/>
          </w:tcPr>
          <w:p w:rsidR="00067D89" w:rsidRDefault="00A57D41">
            <w:pPr>
              <w:jc w:val="center"/>
              <w:rPr>
                <w:color w:val="000000"/>
                <w:sz w:val="20"/>
                <w:szCs w:val="20"/>
              </w:rPr>
            </w:pPr>
            <w:r>
              <w:rPr>
                <w:color w:val="000000"/>
                <w:sz w:val="20"/>
                <w:szCs w:val="20"/>
              </w:rPr>
              <w:t>11</w:t>
            </w:r>
          </w:p>
        </w:tc>
      </w:tr>
      <w:tr w:rsidR="00067D89">
        <w:trPr>
          <w:trHeight w:val="272"/>
        </w:trPr>
        <w:tc>
          <w:tcPr>
            <w:tcW w:w="1701" w:type="dxa"/>
            <w:shd w:val="clear" w:color="auto" w:fill="auto"/>
            <w:vAlign w:val="center"/>
          </w:tcPr>
          <w:p w:rsidR="00067D89" w:rsidRDefault="00A57D41">
            <w:pPr>
              <w:rPr>
                <w:color w:val="000000"/>
                <w:sz w:val="20"/>
                <w:szCs w:val="20"/>
              </w:rPr>
            </w:pPr>
            <w:r>
              <w:rPr>
                <w:color w:val="000000"/>
                <w:sz w:val="20"/>
                <w:szCs w:val="20"/>
              </w:rPr>
              <w:t>Femenino</w:t>
            </w:r>
          </w:p>
        </w:tc>
        <w:tc>
          <w:tcPr>
            <w:tcW w:w="1276" w:type="dxa"/>
            <w:shd w:val="clear" w:color="auto" w:fill="auto"/>
            <w:vAlign w:val="bottom"/>
          </w:tcPr>
          <w:p w:rsidR="00067D89" w:rsidRDefault="00A57D41">
            <w:pPr>
              <w:jc w:val="center"/>
              <w:rPr>
                <w:color w:val="000000"/>
                <w:sz w:val="20"/>
                <w:szCs w:val="20"/>
              </w:rPr>
            </w:pPr>
            <w:r>
              <w:rPr>
                <w:color w:val="000000"/>
                <w:sz w:val="20"/>
                <w:szCs w:val="20"/>
              </w:rPr>
              <w:t>1</w:t>
            </w:r>
          </w:p>
        </w:tc>
        <w:tc>
          <w:tcPr>
            <w:tcW w:w="1139" w:type="dxa"/>
            <w:shd w:val="clear" w:color="auto" w:fill="auto"/>
            <w:vAlign w:val="bottom"/>
          </w:tcPr>
          <w:p w:rsidR="00067D89" w:rsidRDefault="00A57D41">
            <w:pPr>
              <w:jc w:val="center"/>
              <w:rPr>
                <w:color w:val="000000"/>
                <w:sz w:val="20"/>
                <w:szCs w:val="20"/>
              </w:rPr>
            </w:pPr>
            <w:r>
              <w:rPr>
                <w:color w:val="000000"/>
                <w:sz w:val="20"/>
                <w:szCs w:val="20"/>
              </w:rPr>
              <w:t>2</w:t>
            </w:r>
          </w:p>
        </w:tc>
        <w:tc>
          <w:tcPr>
            <w:tcW w:w="2121" w:type="dxa"/>
          </w:tcPr>
          <w:p w:rsidR="00067D89" w:rsidRDefault="00A57D41">
            <w:pPr>
              <w:jc w:val="center"/>
              <w:rPr>
                <w:color w:val="000000"/>
                <w:sz w:val="20"/>
                <w:szCs w:val="20"/>
              </w:rPr>
            </w:pPr>
            <w:r>
              <w:rPr>
                <w:color w:val="000000"/>
                <w:sz w:val="20"/>
                <w:szCs w:val="20"/>
              </w:rPr>
              <w:t>2</w:t>
            </w:r>
          </w:p>
        </w:tc>
        <w:tc>
          <w:tcPr>
            <w:tcW w:w="983" w:type="dxa"/>
            <w:shd w:val="clear" w:color="auto" w:fill="auto"/>
            <w:vAlign w:val="center"/>
          </w:tcPr>
          <w:p w:rsidR="00067D89" w:rsidRDefault="00A57D41">
            <w:pPr>
              <w:jc w:val="center"/>
              <w:rPr>
                <w:color w:val="000000"/>
                <w:sz w:val="20"/>
                <w:szCs w:val="20"/>
              </w:rPr>
            </w:pPr>
            <w:r>
              <w:rPr>
                <w:color w:val="000000"/>
                <w:sz w:val="20"/>
                <w:szCs w:val="20"/>
              </w:rPr>
              <w:t>5</w:t>
            </w:r>
          </w:p>
        </w:tc>
      </w:tr>
      <w:tr w:rsidR="00067D89">
        <w:trPr>
          <w:trHeight w:val="288"/>
        </w:trPr>
        <w:tc>
          <w:tcPr>
            <w:tcW w:w="1701" w:type="dxa"/>
            <w:shd w:val="clear" w:color="auto" w:fill="auto"/>
            <w:vAlign w:val="center"/>
          </w:tcPr>
          <w:p w:rsidR="00067D89" w:rsidRDefault="00A57D41">
            <w:pPr>
              <w:rPr>
                <w:color w:val="000000"/>
                <w:sz w:val="20"/>
                <w:szCs w:val="20"/>
              </w:rPr>
            </w:pPr>
            <w:r>
              <w:rPr>
                <w:color w:val="000000"/>
                <w:sz w:val="20"/>
                <w:szCs w:val="20"/>
              </w:rPr>
              <w:t>Masculino/Femenino</w:t>
            </w:r>
          </w:p>
        </w:tc>
        <w:tc>
          <w:tcPr>
            <w:tcW w:w="1276" w:type="dxa"/>
            <w:shd w:val="clear" w:color="auto" w:fill="auto"/>
            <w:vAlign w:val="bottom"/>
          </w:tcPr>
          <w:p w:rsidR="00067D89" w:rsidRDefault="00A57D41">
            <w:pPr>
              <w:jc w:val="center"/>
              <w:rPr>
                <w:color w:val="000000"/>
                <w:sz w:val="20"/>
                <w:szCs w:val="20"/>
              </w:rPr>
            </w:pPr>
            <w:r>
              <w:rPr>
                <w:color w:val="000000"/>
                <w:sz w:val="20"/>
                <w:szCs w:val="20"/>
              </w:rPr>
              <w:t>0</w:t>
            </w:r>
          </w:p>
        </w:tc>
        <w:tc>
          <w:tcPr>
            <w:tcW w:w="1139" w:type="dxa"/>
            <w:shd w:val="clear" w:color="auto" w:fill="auto"/>
            <w:vAlign w:val="bottom"/>
          </w:tcPr>
          <w:p w:rsidR="00067D89" w:rsidRDefault="00A57D41">
            <w:pPr>
              <w:jc w:val="center"/>
              <w:rPr>
                <w:color w:val="000000"/>
                <w:sz w:val="20"/>
                <w:szCs w:val="20"/>
              </w:rPr>
            </w:pPr>
            <w:r>
              <w:rPr>
                <w:color w:val="000000"/>
                <w:sz w:val="20"/>
                <w:szCs w:val="20"/>
              </w:rPr>
              <w:t>0</w:t>
            </w:r>
          </w:p>
        </w:tc>
        <w:tc>
          <w:tcPr>
            <w:tcW w:w="2121" w:type="dxa"/>
          </w:tcPr>
          <w:p w:rsidR="00067D89" w:rsidRDefault="00A57D41">
            <w:pPr>
              <w:jc w:val="center"/>
              <w:rPr>
                <w:color w:val="000000"/>
                <w:sz w:val="20"/>
                <w:szCs w:val="20"/>
              </w:rPr>
            </w:pPr>
            <w:r>
              <w:rPr>
                <w:color w:val="000000"/>
                <w:sz w:val="20"/>
                <w:szCs w:val="20"/>
              </w:rPr>
              <w:t>2</w:t>
            </w:r>
          </w:p>
        </w:tc>
        <w:tc>
          <w:tcPr>
            <w:tcW w:w="983" w:type="dxa"/>
            <w:shd w:val="clear" w:color="auto" w:fill="auto"/>
            <w:vAlign w:val="bottom"/>
          </w:tcPr>
          <w:p w:rsidR="00067D89" w:rsidRDefault="00A57D41">
            <w:pPr>
              <w:jc w:val="center"/>
              <w:rPr>
                <w:color w:val="000000"/>
                <w:sz w:val="20"/>
                <w:szCs w:val="20"/>
              </w:rPr>
            </w:pPr>
            <w:r>
              <w:rPr>
                <w:color w:val="000000"/>
                <w:sz w:val="20"/>
                <w:szCs w:val="20"/>
              </w:rPr>
              <w:t>2</w:t>
            </w:r>
          </w:p>
        </w:tc>
      </w:tr>
      <w:tr w:rsidR="00067D89">
        <w:trPr>
          <w:trHeight w:val="288"/>
        </w:trPr>
        <w:tc>
          <w:tcPr>
            <w:tcW w:w="1701" w:type="dxa"/>
            <w:shd w:val="clear" w:color="auto" w:fill="auto"/>
            <w:vAlign w:val="center"/>
          </w:tcPr>
          <w:p w:rsidR="00067D89" w:rsidRDefault="00A57D41">
            <w:pPr>
              <w:rPr>
                <w:color w:val="000000"/>
                <w:sz w:val="20"/>
                <w:szCs w:val="20"/>
              </w:rPr>
            </w:pPr>
            <w:r>
              <w:rPr>
                <w:color w:val="000000"/>
                <w:sz w:val="20"/>
                <w:szCs w:val="20"/>
              </w:rPr>
              <w:t>Ninguno</w:t>
            </w:r>
          </w:p>
        </w:tc>
        <w:tc>
          <w:tcPr>
            <w:tcW w:w="1276" w:type="dxa"/>
            <w:shd w:val="clear" w:color="auto" w:fill="auto"/>
            <w:vAlign w:val="bottom"/>
          </w:tcPr>
          <w:p w:rsidR="00067D89" w:rsidRDefault="00A57D41">
            <w:pPr>
              <w:jc w:val="center"/>
              <w:rPr>
                <w:color w:val="000000"/>
                <w:sz w:val="20"/>
                <w:szCs w:val="20"/>
              </w:rPr>
            </w:pPr>
            <w:r>
              <w:rPr>
                <w:color w:val="000000"/>
                <w:sz w:val="20"/>
                <w:szCs w:val="20"/>
              </w:rPr>
              <w:t>0</w:t>
            </w:r>
          </w:p>
        </w:tc>
        <w:tc>
          <w:tcPr>
            <w:tcW w:w="1139" w:type="dxa"/>
            <w:shd w:val="clear" w:color="auto" w:fill="auto"/>
            <w:vAlign w:val="bottom"/>
          </w:tcPr>
          <w:p w:rsidR="00067D89" w:rsidRDefault="00A57D41">
            <w:pPr>
              <w:jc w:val="center"/>
              <w:rPr>
                <w:color w:val="000000"/>
                <w:sz w:val="20"/>
                <w:szCs w:val="20"/>
              </w:rPr>
            </w:pPr>
            <w:r>
              <w:rPr>
                <w:color w:val="000000"/>
                <w:sz w:val="20"/>
                <w:szCs w:val="20"/>
              </w:rPr>
              <w:t>0</w:t>
            </w:r>
          </w:p>
        </w:tc>
        <w:tc>
          <w:tcPr>
            <w:tcW w:w="2121" w:type="dxa"/>
          </w:tcPr>
          <w:p w:rsidR="00067D89" w:rsidRDefault="00A57D41">
            <w:pPr>
              <w:jc w:val="center"/>
              <w:rPr>
                <w:color w:val="000000"/>
                <w:sz w:val="20"/>
                <w:szCs w:val="20"/>
              </w:rPr>
            </w:pPr>
            <w:r>
              <w:rPr>
                <w:color w:val="000000"/>
                <w:sz w:val="20"/>
                <w:szCs w:val="20"/>
              </w:rPr>
              <w:t>2</w:t>
            </w:r>
          </w:p>
        </w:tc>
        <w:tc>
          <w:tcPr>
            <w:tcW w:w="983" w:type="dxa"/>
            <w:shd w:val="clear" w:color="auto" w:fill="auto"/>
            <w:vAlign w:val="bottom"/>
          </w:tcPr>
          <w:p w:rsidR="00067D89" w:rsidRDefault="00A57D41">
            <w:pPr>
              <w:jc w:val="center"/>
              <w:rPr>
                <w:color w:val="000000"/>
                <w:sz w:val="20"/>
                <w:szCs w:val="20"/>
              </w:rPr>
            </w:pPr>
            <w:r>
              <w:rPr>
                <w:color w:val="000000"/>
                <w:sz w:val="20"/>
                <w:szCs w:val="20"/>
              </w:rPr>
              <w:t>2</w:t>
            </w:r>
          </w:p>
        </w:tc>
      </w:tr>
      <w:tr w:rsidR="00067D89">
        <w:trPr>
          <w:trHeight w:val="288"/>
        </w:trPr>
        <w:tc>
          <w:tcPr>
            <w:tcW w:w="1701" w:type="dxa"/>
            <w:shd w:val="clear" w:color="auto" w:fill="auto"/>
            <w:vAlign w:val="center"/>
          </w:tcPr>
          <w:p w:rsidR="00067D89" w:rsidRDefault="00A57D41">
            <w:pPr>
              <w:rPr>
                <w:color w:val="000000"/>
                <w:sz w:val="20"/>
                <w:szCs w:val="20"/>
              </w:rPr>
            </w:pPr>
            <w:proofErr w:type="gramStart"/>
            <w:r>
              <w:rPr>
                <w:color w:val="000000"/>
                <w:sz w:val="20"/>
                <w:szCs w:val="20"/>
              </w:rPr>
              <w:t>Total</w:t>
            </w:r>
            <w:proofErr w:type="gramEnd"/>
            <w:r>
              <w:rPr>
                <w:color w:val="000000"/>
                <w:sz w:val="20"/>
                <w:szCs w:val="20"/>
              </w:rPr>
              <w:t xml:space="preserve"> de revistas</w:t>
            </w:r>
          </w:p>
        </w:tc>
        <w:tc>
          <w:tcPr>
            <w:tcW w:w="4536" w:type="dxa"/>
            <w:gridSpan w:val="3"/>
            <w:shd w:val="clear" w:color="auto" w:fill="auto"/>
            <w:vAlign w:val="center"/>
          </w:tcPr>
          <w:p w:rsidR="00067D89" w:rsidRDefault="00067D89">
            <w:pPr>
              <w:rPr>
                <w:color w:val="000000"/>
                <w:sz w:val="20"/>
                <w:szCs w:val="20"/>
              </w:rPr>
            </w:pPr>
          </w:p>
        </w:tc>
        <w:tc>
          <w:tcPr>
            <w:tcW w:w="983" w:type="dxa"/>
            <w:shd w:val="clear" w:color="auto" w:fill="auto"/>
            <w:vAlign w:val="bottom"/>
          </w:tcPr>
          <w:p w:rsidR="00067D89" w:rsidRDefault="00A57D41">
            <w:pPr>
              <w:jc w:val="center"/>
              <w:rPr>
                <w:color w:val="000000"/>
                <w:sz w:val="20"/>
                <w:szCs w:val="20"/>
              </w:rPr>
            </w:pPr>
            <w:r>
              <w:rPr>
                <w:color w:val="000000"/>
                <w:sz w:val="20"/>
                <w:szCs w:val="20"/>
              </w:rPr>
              <w:t>20</w:t>
            </w:r>
          </w:p>
        </w:tc>
      </w:tr>
    </w:tbl>
    <w:p w:rsidR="00067D89" w:rsidRDefault="00067D89"/>
    <w:p w:rsidR="00067D89" w:rsidRDefault="00A57D41">
      <w:pPr>
        <w:spacing w:line="360" w:lineRule="auto"/>
        <w:jc w:val="both"/>
      </w:pPr>
      <w:r>
        <w:t xml:space="preserve">En la tabla 6, se muestra la distribución de las revistas según el </w:t>
      </w:r>
      <w:r>
        <w:rPr>
          <w:color w:val="000000"/>
        </w:rPr>
        <w:t>género</w:t>
      </w:r>
      <w:r>
        <w:t xml:space="preserve"> de los editores y director. Donde 11 revistas están dirigidas por directores y/o editores únicamente del género masculino, 5 </w:t>
      </w:r>
      <w:r>
        <w:lastRenderedPageBreak/>
        <w:t>revistas están dirigidas por directoras y/o editoras por el género femenino, y 2 revistas están dirigidas por directores y editores del género masculino y femenino. Más de la mitad, 11 (55%) de las revistas de psicología son editadas y/o direccionadas por el género masculino.</w:t>
      </w:r>
    </w:p>
    <w:p w:rsidR="00067D89" w:rsidRDefault="00A57D41">
      <w:pPr>
        <w:rPr>
          <w:i/>
          <w:sz w:val="20"/>
          <w:szCs w:val="20"/>
        </w:rPr>
      </w:pPr>
      <w:r>
        <w:rPr>
          <w:noProof/>
        </w:rPr>
        <w:drawing>
          <wp:inline distT="0" distB="0" distL="0" distR="0">
            <wp:extent cx="4610100" cy="2714625"/>
            <wp:effectExtent l="0" t="0" r="0" b="0"/>
            <wp:docPr id="130" name="Gráfico 1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67D89" w:rsidRDefault="00A57D41">
      <w:pPr>
        <w:rPr>
          <w:sz w:val="20"/>
          <w:szCs w:val="20"/>
        </w:rPr>
      </w:pPr>
      <w:r>
        <w:rPr>
          <w:i/>
          <w:sz w:val="20"/>
          <w:szCs w:val="20"/>
        </w:rPr>
        <w:t>Figura 2</w:t>
      </w:r>
      <w:r>
        <w:rPr>
          <w:sz w:val="20"/>
          <w:szCs w:val="20"/>
        </w:rPr>
        <w:t xml:space="preserve">. Distribución de comité editorial por </w:t>
      </w:r>
      <w:r>
        <w:rPr>
          <w:color w:val="000000"/>
          <w:sz w:val="20"/>
          <w:szCs w:val="20"/>
        </w:rPr>
        <w:t xml:space="preserve">género </w:t>
      </w:r>
    </w:p>
    <w:p w:rsidR="00067D89" w:rsidRDefault="00067D89">
      <w:pPr>
        <w:rPr>
          <w:sz w:val="20"/>
          <w:szCs w:val="20"/>
        </w:rPr>
      </w:pPr>
    </w:p>
    <w:p w:rsidR="00067D89" w:rsidRDefault="00A57D41">
      <w:pPr>
        <w:spacing w:line="360" w:lineRule="auto"/>
        <w:jc w:val="both"/>
      </w:pPr>
      <w:r>
        <w:t>En la figura 2, se muestra la distribución de los integrantes de los comités editoriales de las revistas según el</w:t>
      </w:r>
      <w:r>
        <w:rPr>
          <w:color w:val="000000"/>
        </w:rPr>
        <w:t xml:space="preserve"> género</w:t>
      </w:r>
      <w:r>
        <w:t xml:space="preserve">. Donde el 65% de los integrantes son del género masculino y el 35% son del género femenino. Se puede resaltar que existe una predominancia del </w:t>
      </w:r>
      <w:r>
        <w:rPr>
          <w:color w:val="000000"/>
        </w:rPr>
        <w:t>género</w:t>
      </w:r>
      <w:r>
        <w:t xml:space="preserve"> masculino en la integración de los comités editoriales de las revistas de psicología en el Perú. </w:t>
      </w:r>
    </w:p>
    <w:p w:rsidR="00067D89" w:rsidRDefault="00067D89">
      <w:pPr>
        <w:rPr>
          <w:i/>
          <w:sz w:val="20"/>
          <w:szCs w:val="20"/>
        </w:rPr>
      </w:pPr>
    </w:p>
    <w:p w:rsidR="00067D89" w:rsidRDefault="00A57D41">
      <w:pPr>
        <w:rPr>
          <w:i/>
          <w:sz w:val="20"/>
          <w:szCs w:val="20"/>
        </w:rPr>
      </w:pPr>
      <w:r>
        <w:rPr>
          <w:noProof/>
        </w:rPr>
        <w:drawing>
          <wp:inline distT="0" distB="0" distL="0" distR="0">
            <wp:extent cx="4610100" cy="2714625"/>
            <wp:effectExtent l="0" t="0" r="0" b="0"/>
            <wp:docPr id="133" name="Gráfico 1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67D89" w:rsidRDefault="00A57D41">
      <w:pPr>
        <w:rPr>
          <w:sz w:val="20"/>
          <w:szCs w:val="20"/>
        </w:rPr>
      </w:pPr>
      <w:r>
        <w:rPr>
          <w:i/>
          <w:sz w:val="20"/>
          <w:szCs w:val="20"/>
        </w:rPr>
        <w:t>Figura 3</w:t>
      </w:r>
      <w:r>
        <w:rPr>
          <w:sz w:val="20"/>
          <w:szCs w:val="20"/>
        </w:rPr>
        <w:t>. Distribución de la procedencia de los integrantes del comité editorial</w:t>
      </w:r>
    </w:p>
    <w:p w:rsidR="00067D89" w:rsidRDefault="00067D89">
      <w:pPr>
        <w:rPr>
          <w:sz w:val="20"/>
          <w:szCs w:val="20"/>
        </w:rPr>
      </w:pPr>
    </w:p>
    <w:p w:rsidR="00067D89" w:rsidRDefault="00A57D41">
      <w:pPr>
        <w:spacing w:line="360" w:lineRule="auto"/>
        <w:jc w:val="both"/>
      </w:pPr>
      <w:r>
        <w:lastRenderedPageBreak/>
        <w:t>En la figura 3, se observa la distribución de la procedencia de los integrantes de los comités editoriales de las revistas de psicología en el Perú. Donde el 50% de integrantes tienen una procedencia internacional y el otro 50% tienen una procedencia nacional. De este último el 24% tienen procedencia interna (de la misma universidad, institución o asociación que edita la revista). y el 26% tienen una procedencia externa nacional (de una universidad, institución o asociación diferente a donde se edita la revista).</w:t>
      </w:r>
    </w:p>
    <w:p w:rsidR="00067D89" w:rsidRDefault="00067D89">
      <w:pPr>
        <w:spacing w:line="360" w:lineRule="auto"/>
        <w:jc w:val="both"/>
        <w:rPr>
          <w:sz w:val="20"/>
          <w:szCs w:val="20"/>
        </w:rPr>
      </w:pPr>
    </w:p>
    <w:p w:rsidR="00067D89" w:rsidRDefault="00A57D41">
      <w:pPr>
        <w:rPr>
          <w:sz w:val="20"/>
          <w:szCs w:val="20"/>
        </w:rPr>
      </w:pPr>
      <w:r>
        <w:rPr>
          <w:sz w:val="20"/>
          <w:szCs w:val="20"/>
        </w:rPr>
        <w:t>Tabla 7</w:t>
      </w:r>
    </w:p>
    <w:p w:rsidR="00067D89" w:rsidRDefault="00A57D41">
      <w:pPr>
        <w:spacing w:line="360" w:lineRule="auto"/>
        <w:rPr>
          <w:i/>
          <w:sz w:val="20"/>
          <w:szCs w:val="20"/>
        </w:rPr>
      </w:pPr>
      <w:r>
        <w:rPr>
          <w:i/>
          <w:sz w:val="20"/>
          <w:szCs w:val="20"/>
        </w:rPr>
        <w:t xml:space="preserve">Solicitan la aprobación de un comité de ética o declaración de ética </w:t>
      </w:r>
    </w:p>
    <w:tbl>
      <w:tblPr>
        <w:tblStyle w:val="afffffffe"/>
        <w:tblW w:w="5665"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560"/>
        <w:gridCol w:w="1404"/>
        <w:gridCol w:w="993"/>
        <w:gridCol w:w="708"/>
      </w:tblGrid>
      <w:tr w:rsidR="00067D89">
        <w:trPr>
          <w:trHeight w:val="288"/>
        </w:trPr>
        <w:tc>
          <w:tcPr>
            <w:tcW w:w="2560" w:type="dxa"/>
          </w:tcPr>
          <w:p w:rsidR="00067D89" w:rsidRDefault="00067D89">
            <w:pPr>
              <w:rPr>
                <w:color w:val="000000"/>
                <w:sz w:val="20"/>
                <w:szCs w:val="20"/>
              </w:rPr>
            </w:pPr>
          </w:p>
        </w:tc>
        <w:tc>
          <w:tcPr>
            <w:tcW w:w="2397" w:type="dxa"/>
            <w:gridSpan w:val="2"/>
          </w:tcPr>
          <w:p w:rsidR="00067D89" w:rsidRDefault="00A57D41">
            <w:pPr>
              <w:jc w:val="center"/>
              <w:rPr>
                <w:color w:val="000000"/>
                <w:sz w:val="20"/>
                <w:szCs w:val="20"/>
              </w:rPr>
            </w:pPr>
            <w:r>
              <w:rPr>
                <w:color w:val="000000"/>
                <w:sz w:val="20"/>
                <w:szCs w:val="20"/>
              </w:rPr>
              <w:t>Declaración de ética</w:t>
            </w:r>
          </w:p>
        </w:tc>
        <w:tc>
          <w:tcPr>
            <w:tcW w:w="708" w:type="dxa"/>
          </w:tcPr>
          <w:p w:rsidR="00067D89" w:rsidRDefault="00067D89">
            <w:pPr>
              <w:rPr>
                <w:sz w:val="20"/>
                <w:szCs w:val="20"/>
              </w:rPr>
            </w:pPr>
          </w:p>
        </w:tc>
      </w:tr>
      <w:tr w:rsidR="00067D89">
        <w:trPr>
          <w:trHeight w:val="288"/>
        </w:trPr>
        <w:tc>
          <w:tcPr>
            <w:tcW w:w="2560" w:type="dxa"/>
            <w:tcBorders>
              <w:bottom w:val="single" w:sz="4" w:space="0" w:color="000000"/>
            </w:tcBorders>
          </w:tcPr>
          <w:p w:rsidR="00067D89" w:rsidRDefault="00A57D41">
            <w:pPr>
              <w:rPr>
                <w:color w:val="000000"/>
                <w:sz w:val="20"/>
                <w:szCs w:val="20"/>
              </w:rPr>
            </w:pPr>
            <w:r>
              <w:rPr>
                <w:color w:val="000000"/>
                <w:sz w:val="20"/>
                <w:szCs w:val="20"/>
              </w:rPr>
              <w:t xml:space="preserve">Comité de ética </w:t>
            </w:r>
          </w:p>
        </w:tc>
        <w:tc>
          <w:tcPr>
            <w:tcW w:w="1404" w:type="dxa"/>
            <w:tcBorders>
              <w:bottom w:val="single" w:sz="4" w:space="0" w:color="000000"/>
            </w:tcBorders>
          </w:tcPr>
          <w:p w:rsidR="00067D89" w:rsidRDefault="00A57D41">
            <w:pPr>
              <w:rPr>
                <w:color w:val="000000"/>
                <w:sz w:val="20"/>
                <w:szCs w:val="20"/>
              </w:rPr>
            </w:pPr>
            <w:r>
              <w:rPr>
                <w:color w:val="000000"/>
                <w:sz w:val="20"/>
                <w:szCs w:val="20"/>
              </w:rPr>
              <w:t>No solicita</w:t>
            </w:r>
          </w:p>
        </w:tc>
        <w:tc>
          <w:tcPr>
            <w:tcW w:w="993" w:type="dxa"/>
            <w:tcBorders>
              <w:bottom w:val="single" w:sz="4" w:space="0" w:color="000000"/>
            </w:tcBorders>
          </w:tcPr>
          <w:p w:rsidR="00067D89" w:rsidRDefault="00A57D41">
            <w:pPr>
              <w:rPr>
                <w:color w:val="000000"/>
                <w:sz w:val="20"/>
                <w:szCs w:val="20"/>
              </w:rPr>
            </w:pPr>
            <w:r>
              <w:rPr>
                <w:color w:val="000000"/>
                <w:sz w:val="20"/>
                <w:szCs w:val="20"/>
              </w:rPr>
              <w:t>Solicita</w:t>
            </w:r>
          </w:p>
        </w:tc>
        <w:tc>
          <w:tcPr>
            <w:tcW w:w="708" w:type="dxa"/>
            <w:tcBorders>
              <w:bottom w:val="single" w:sz="4" w:space="0" w:color="000000"/>
            </w:tcBorders>
          </w:tcPr>
          <w:p w:rsidR="00067D89" w:rsidRDefault="00A57D41">
            <w:pPr>
              <w:rPr>
                <w:color w:val="000000"/>
                <w:sz w:val="20"/>
                <w:szCs w:val="20"/>
              </w:rPr>
            </w:pPr>
            <w:r>
              <w:rPr>
                <w:color w:val="000000"/>
                <w:sz w:val="20"/>
                <w:szCs w:val="20"/>
              </w:rPr>
              <w:t xml:space="preserve">Total </w:t>
            </w:r>
          </w:p>
        </w:tc>
      </w:tr>
      <w:tr w:rsidR="00067D89">
        <w:trPr>
          <w:trHeight w:val="288"/>
        </w:trPr>
        <w:tc>
          <w:tcPr>
            <w:tcW w:w="2560" w:type="dxa"/>
            <w:tcBorders>
              <w:top w:val="single" w:sz="4" w:space="0" w:color="000000"/>
            </w:tcBorders>
          </w:tcPr>
          <w:p w:rsidR="00067D89" w:rsidRDefault="00A57D41">
            <w:pPr>
              <w:rPr>
                <w:color w:val="000000"/>
                <w:sz w:val="20"/>
                <w:szCs w:val="20"/>
              </w:rPr>
            </w:pPr>
            <w:r>
              <w:rPr>
                <w:color w:val="000000"/>
                <w:sz w:val="20"/>
                <w:szCs w:val="20"/>
              </w:rPr>
              <w:t>No solicita la aprobación</w:t>
            </w:r>
          </w:p>
        </w:tc>
        <w:tc>
          <w:tcPr>
            <w:tcW w:w="1404" w:type="dxa"/>
            <w:tcBorders>
              <w:top w:val="single" w:sz="4" w:space="0" w:color="000000"/>
            </w:tcBorders>
          </w:tcPr>
          <w:p w:rsidR="00067D89" w:rsidRDefault="00A57D41">
            <w:pPr>
              <w:jc w:val="center"/>
              <w:rPr>
                <w:color w:val="000000"/>
                <w:sz w:val="20"/>
                <w:szCs w:val="20"/>
              </w:rPr>
            </w:pPr>
            <w:r>
              <w:rPr>
                <w:color w:val="000000"/>
                <w:sz w:val="20"/>
                <w:szCs w:val="20"/>
              </w:rPr>
              <w:t>11</w:t>
            </w:r>
          </w:p>
        </w:tc>
        <w:tc>
          <w:tcPr>
            <w:tcW w:w="993" w:type="dxa"/>
            <w:tcBorders>
              <w:top w:val="single" w:sz="4" w:space="0" w:color="000000"/>
            </w:tcBorders>
          </w:tcPr>
          <w:p w:rsidR="00067D89" w:rsidRDefault="00A57D41">
            <w:pPr>
              <w:jc w:val="center"/>
              <w:rPr>
                <w:color w:val="000000"/>
                <w:sz w:val="20"/>
                <w:szCs w:val="20"/>
              </w:rPr>
            </w:pPr>
            <w:r>
              <w:rPr>
                <w:color w:val="000000"/>
                <w:sz w:val="20"/>
                <w:szCs w:val="20"/>
              </w:rPr>
              <w:t>6</w:t>
            </w:r>
          </w:p>
        </w:tc>
        <w:tc>
          <w:tcPr>
            <w:tcW w:w="708" w:type="dxa"/>
            <w:tcBorders>
              <w:top w:val="single" w:sz="4" w:space="0" w:color="000000"/>
            </w:tcBorders>
          </w:tcPr>
          <w:p w:rsidR="00067D89" w:rsidRDefault="00A57D41">
            <w:pPr>
              <w:jc w:val="center"/>
              <w:rPr>
                <w:color w:val="000000"/>
                <w:sz w:val="20"/>
                <w:szCs w:val="20"/>
              </w:rPr>
            </w:pPr>
            <w:r>
              <w:rPr>
                <w:color w:val="000000"/>
                <w:sz w:val="20"/>
                <w:szCs w:val="20"/>
              </w:rPr>
              <w:t>17</w:t>
            </w:r>
          </w:p>
        </w:tc>
      </w:tr>
      <w:tr w:rsidR="00067D89">
        <w:trPr>
          <w:trHeight w:val="288"/>
        </w:trPr>
        <w:tc>
          <w:tcPr>
            <w:tcW w:w="2560" w:type="dxa"/>
          </w:tcPr>
          <w:p w:rsidR="00067D89" w:rsidRDefault="00A57D41">
            <w:pPr>
              <w:rPr>
                <w:color w:val="000000"/>
                <w:sz w:val="20"/>
                <w:szCs w:val="20"/>
              </w:rPr>
            </w:pPr>
            <w:r>
              <w:rPr>
                <w:color w:val="000000"/>
                <w:sz w:val="20"/>
                <w:szCs w:val="20"/>
              </w:rPr>
              <w:t>Solicita la aprobación</w:t>
            </w:r>
          </w:p>
        </w:tc>
        <w:tc>
          <w:tcPr>
            <w:tcW w:w="1404" w:type="dxa"/>
          </w:tcPr>
          <w:p w:rsidR="00067D89" w:rsidRDefault="00A57D41">
            <w:pPr>
              <w:jc w:val="center"/>
              <w:rPr>
                <w:color w:val="000000"/>
                <w:sz w:val="20"/>
                <w:szCs w:val="20"/>
              </w:rPr>
            </w:pPr>
            <w:r>
              <w:rPr>
                <w:color w:val="000000"/>
                <w:sz w:val="20"/>
                <w:szCs w:val="20"/>
              </w:rPr>
              <w:t>0</w:t>
            </w:r>
          </w:p>
        </w:tc>
        <w:tc>
          <w:tcPr>
            <w:tcW w:w="993" w:type="dxa"/>
          </w:tcPr>
          <w:p w:rsidR="00067D89" w:rsidRDefault="00A57D41">
            <w:pPr>
              <w:jc w:val="center"/>
              <w:rPr>
                <w:color w:val="000000"/>
                <w:sz w:val="20"/>
                <w:szCs w:val="20"/>
              </w:rPr>
            </w:pPr>
            <w:r>
              <w:rPr>
                <w:color w:val="000000"/>
                <w:sz w:val="20"/>
                <w:szCs w:val="20"/>
              </w:rPr>
              <w:t>3</w:t>
            </w:r>
          </w:p>
        </w:tc>
        <w:tc>
          <w:tcPr>
            <w:tcW w:w="708" w:type="dxa"/>
          </w:tcPr>
          <w:p w:rsidR="00067D89" w:rsidRDefault="00A57D41">
            <w:pPr>
              <w:jc w:val="center"/>
              <w:rPr>
                <w:color w:val="000000"/>
                <w:sz w:val="20"/>
                <w:szCs w:val="20"/>
              </w:rPr>
            </w:pPr>
            <w:r>
              <w:rPr>
                <w:color w:val="000000"/>
                <w:sz w:val="20"/>
                <w:szCs w:val="20"/>
              </w:rPr>
              <w:t>3</w:t>
            </w:r>
          </w:p>
        </w:tc>
      </w:tr>
      <w:tr w:rsidR="00067D89">
        <w:trPr>
          <w:trHeight w:val="288"/>
        </w:trPr>
        <w:tc>
          <w:tcPr>
            <w:tcW w:w="2560" w:type="dxa"/>
          </w:tcPr>
          <w:p w:rsidR="00067D89" w:rsidRDefault="00A57D41">
            <w:pPr>
              <w:rPr>
                <w:color w:val="000000"/>
                <w:sz w:val="20"/>
                <w:szCs w:val="20"/>
              </w:rPr>
            </w:pPr>
            <w:r>
              <w:rPr>
                <w:color w:val="000000"/>
                <w:sz w:val="20"/>
                <w:szCs w:val="20"/>
              </w:rPr>
              <w:t xml:space="preserve">Total </w:t>
            </w:r>
          </w:p>
        </w:tc>
        <w:tc>
          <w:tcPr>
            <w:tcW w:w="1404" w:type="dxa"/>
          </w:tcPr>
          <w:p w:rsidR="00067D89" w:rsidRDefault="00A57D41">
            <w:pPr>
              <w:jc w:val="center"/>
              <w:rPr>
                <w:color w:val="000000"/>
                <w:sz w:val="20"/>
                <w:szCs w:val="20"/>
              </w:rPr>
            </w:pPr>
            <w:r>
              <w:rPr>
                <w:color w:val="000000"/>
                <w:sz w:val="20"/>
                <w:szCs w:val="20"/>
              </w:rPr>
              <w:t>11</w:t>
            </w:r>
          </w:p>
        </w:tc>
        <w:tc>
          <w:tcPr>
            <w:tcW w:w="993" w:type="dxa"/>
          </w:tcPr>
          <w:p w:rsidR="00067D89" w:rsidRDefault="00A57D41">
            <w:pPr>
              <w:jc w:val="center"/>
              <w:rPr>
                <w:color w:val="000000"/>
                <w:sz w:val="20"/>
                <w:szCs w:val="20"/>
              </w:rPr>
            </w:pPr>
            <w:r>
              <w:rPr>
                <w:color w:val="000000"/>
                <w:sz w:val="20"/>
                <w:szCs w:val="20"/>
              </w:rPr>
              <w:t>9</w:t>
            </w:r>
          </w:p>
        </w:tc>
        <w:tc>
          <w:tcPr>
            <w:tcW w:w="708" w:type="dxa"/>
          </w:tcPr>
          <w:p w:rsidR="00067D89" w:rsidRDefault="00A57D41">
            <w:pPr>
              <w:jc w:val="center"/>
              <w:rPr>
                <w:color w:val="000000"/>
                <w:sz w:val="20"/>
                <w:szCs w:val="20"/>
              </w:rPr>
            </w:pPr>
            <w:r>
              <w:rPr>
                <w:color w:val="000000"/>
                <w:sz w:val="20"/>
                <w:szCs w:val="20"/>
              </w:rPr>
              <w:t>20</w:t>
            </w:r>
          </w:p>
        </w:tc>
      </w:tr>
    </w:tbl>
    <w:p w:rsidR="00067D89" w:rsidRDefault="00067D89"/>
    <w:p w:rsidR="00067D89" w:rsidRDefault="00A57D41">
      <w:pPr>
        <w:spacing w:line="360" w:lineRule="auto"/>
        <w:jc w:val="both"/>
      </w:pPr>
      <w:r>
        <w:t xml:space="preserve">En la tabla 7, se observa si las revistas antes de publicar algún artículo, solicitan que la investigación haya obtenido la aprobación de un comité de ética o una declaración de ética antes de ser publicada. Donde 11 revistas no solicitan la aprobación de un comité de ética, y tampoco solicitan declaración de ética. No obstante, 9 revistas solicitan la aprobación de un comité de ética o una declaración de ética. </w:t>
      </w:r>
    </w:p>
    <w:p w:rsidR="00067D89" w:rsidRDefault="00067D89">
      <w:pPr>
        <w:rPr>
          <w:sz w:val="20"/>
          <w:szCs w:val="20"/>
        </w:rPr>
      </w:pPr>
    </w:p>
    <w:p w:rsidR="00067D89" w:rsidRDefault="00A57D41">
      <w:pPr>
        <w:rPr>
          <w:sz w:val="20"/>
          <w:szCs w:val="20"/>
        </w:rPr>
      </w:pPr>
      <w:r>
        <w:rPr>
          <w:i/>
        </w:rPr>
        <w:t>4) Análisis del proceso de publicación de las revistas</w:t>
      </w:r>
    </w:p>
    <w:p w:rsidR="00067D89" w:rsidRDefault="00067D89">
      <w:pPr>
        <w:rPr>
          <w:sz w:val="20"/>
          <w:szCs w:val="20"/>
        </w:rPr>
      </w:pPr>
    </w:p>
    <w:p w:rsidR="00067D89" w:rsidRDefault="00A57D41">
      <w:pPr>
        <w:rPr>
          <w:sz w:val="20"/>
          <w:szCs w:val="20"/>
        </w:rPr>
      </w:pPr>
      <w:r>
        <w:rPr>
          <w:sz w:val="20"/>
          <w:szCs w:val="20"/>
        </w:rPr>
        <w:t>Tabla 8</w:t>
      </w:r>
    </w:p>
    <w:p w:rsidR="00067D89" w:rsidRDefault="00A57D41">
      <w:pPr>
        <w:spacing w:line="360" w:lineRule="auto"/>
        <w:rPr>
          <w:i/>
          <w:sz w:val="20"/>
          <w:szCs w:val="20"/>
        </w:rPr>
      </w:pPr>
      <w:r>
        <w:rPr>
          <w:i/>
          <w:sz w:val="20"/>
          <w:szCs w:val="20"/>
        </w:rPr>
        <w:t xml:space="preserve">Proceso de publicación de los artículos  </w:t>
      </w:r>
    </w:p>
    <w:tbl>
      <w:tblPr>
        <w:tblStyle w:val="affffffff"/>
        <w:tblW w:w="8075"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964"/>
        <w:gridCol w:w="1418"/>
        <w:gridCol w:w="1337"/>
        <w:gridCol w:w="1356"/>
      </w:tblGrid>
      <w:tr w:rsidR="00067D89">
        <w:trPr>
          <w:trHeight w:val="286"/>
        </w:trPr>
        <w:tc>
          <w:tcPr>
            <w:tcW w:w="3964" w:type="dxa"/>
          </w:tcPr>
          <w:p w:rsidR="00067D89" w:rsidRDefault="00067D89">
            <w:pPr>
              <w:rPr>
                <w:color w:val="000000"/>
                <w:sz w:val="20"/>
                <w:szCs w:val="20"/>
              </w:rPr>
            </w:pPr>
          </w:p>
        </w:tc>
        <w:tc>
          <w:tcPr>
            <w:tcW w:w="2755" w:type="dxa"/>
            <w:gridSpan w:val="2"/>
          </w:tcPr>
          <w:p w:rsidR="00067D89" w:rsidRDefault="00A57D41">
            <w:pPr>
              <w:jc w:val="center"/>
              <w:rPr>
                <w:color w:val="000000"/>
                <w:sz w:val="20"/>
                <w:szCs w:val="20"/>
              </w:rPr>
            </w:pPr>
            <w:r>
              <w:rPr>
                <w:color w:val="000000"/>
                <w:sz w:val="20"/>
                <w:szCs w:val="20"/>
              </w:rPr>
              <w:t>Revisión por pares</w:t>
            </w:r>
          </w:p>
        </w:tc>
        <w:tc>
          <w:tcPr>
            <w:tcW w:w="1356" w:type="dxa"/>
          </w:tcPr>
          <w:p w:rsidR="00067D89" w:rsidRDefault="00067D89">
            <w:pPr>
              <w:rPr>
                <w:color w:val="000000"/>
                <w:sz w:val="20"/>
                <w:szCs w:val="20"/>
              </w:rPr>
            </w:pPr>
          </w:p>
        </w:tc>
      </w:tr>
      <w:tr w:rsidR="00067D89">
        <w:trPr>
          <w:trHeight w:val="286"/>
        </w:trPr>
        <w:tc>
          <w:tcPr>
            <w:tcW w:w="3964" w:type="dxa"/>
            <w:tcBorders>
              <w:bottom w:val="single" w:sz="4" w:space="0" w:color="000000"/>
            </w:tcBorders>
          </w:tcPr>
          <w:p w:rsidR="00067D89" w:rsidRDefault="00A57D41">
            <w:pPr>
              <w:rPr>
                <w:color w:val="000000"/>
                <w:sz w:val="20"/>
                <w:szCs w:val="20"/>
              </w:rPr>
            </w:pPr>
            <w:r>
              <w:rPr>
                <w:color w:val="000000"/>
                <w:sz w:val="20"/>
                <w:szCs w:val="20"/>
              </w:rPr>
              <w:t xml:space="preserve">Convocatoria / Normas de publicación </w:t>
            </w:r>
          </w:p>
        </w:tc>
        <w:tc>
          <w:tcPr>
            <w:tcW w:w="1418" w:type="dxa"/>
            <w:tcBorders>
              <w:bottom w:val="single" w:sz="4" w:space="0" w:color="000000"/>
            </w:tcBorders>
          </w:tcPr>
          <w:p w:rsidR="00067D89" w:rsidRDefault="00A57D41">
            <w:pPr>
              <w:rPr>
                <w:color w:val="000000"/>
                <w:sz w:val="20"/>
                <w:szCs w:val="20"/>
              </w:rPr>
            </w:pPr>
            <w:r>
              <w:rPr>
                <w:color w:val="000000"/>
                <w:sz w:val="20"/>
                <w:szCs w:val="20"/>
              </w:rPr>
              <w:t xml:space="preserve">No realizan </w:t>
            </w:r>
          </w:p>
        </w:tc>
        <w:tc>
          <w:tcPr>
            <w:tcW w:w="1337" w:type="dxa"/>
            <w:tcBorders>
              <w:bottom w:val="single" w:sz="4" w:space="0" w:color="000000"/>
            </w:tcBorders>
          </w:tcPr>
          <w:p w:rsidR="00067D89" w:rsidRDefault="00A57D41">
            <w:pPr>
              <w:rPr>
                <w:color w:val="000000"/>
                <w:sz w:val="20"/>
                <w:szCs w:val="20"/>
              </w:rPr>
            </w:pPr>
            <w:r>
              <w:rPr>
                <w:color w:val="000000"/>
                <w:sz w:val="20"/>
                <w:szCs w:val="20"/>
              </w:rPr>
              <w:t xml:space="preserve">Realizan </w:t>
            </w:r>
          </w:p>
        </w:tc>
        <w:tc>
          <w:tcPr>
            <w:tcW w:w="1356" w:type="dxa"/>
            <w:tcBorders>
              <w:bottom w:val="single" w:sz="4" w:space="0" w:color="000000"/>
            </w:tcBorders>
          </w:tcPr>
          <w:p w:rsidR="00067D89" w:rsidRDefault="00A57D41">
            <w:pPr>
              <w:jc w:val="center"/>
              <w:rPr>
                <w:color w:val="000000"/>
                <w:sz w:val="20"/>
                <w:szCs w:val="20"/>
              </w:rPr>
            </w:pPr>
            <w:r>
              <w:rPr>
                <w:color w:val="000000"/>
                <w:sz w:val="20"/>
                <w:szCs w:val="20"/>
              </w:rPr>
              <w:t>Total</w:t>
            </w:r>
          </w:p>
        </w:tc>
      </w:tr>
      <w:tr w:rsidR="00067D89">
        <w:trPr>
          <w:trHeight w:val="286"/>
        </w:trPr>
        <w:tc>
          <w:tcPr>
            <w:tcW w:w="3964" w:type="dxa"/>
            <w:tcBorders>
              <w:top w:val="single" w:sz="4" w:space="0" w:color="000000"/>
            </w:tcBorders>
          </w:tcPr>
          <w:p w:rsidR="00067D89" w:rsidRDefault="00A57D41">
            <w:pPr>
              <w:rPr>
                <w:color w:val="000000"/>
                <w:sz w:val="20"/>
                <w:szCs w:val="20"/>
              </w:rPr>
            </w:pPr>
            <w:r>
              <w:rPr>
                <w:color w:val="000000"/>
                <w:sz w:val="20"/>
                <w:szCs w:val="20"/>
              </w:rPr>
              <w:t>Abierta todo el año</w:t>
            </w:r>
          </w:p>
        </w:tc>
        <w:tc>
          <w:tcPr>
            <w:tcW w:w="1418" w:type="dxa"/>
            <w:tcBorders>
              <w:top w:val="single" w:sz="4" w:space="0" w:color="000000"/>
            </w:tcBorders>
          </w:tcPr>
          <w:p w:rsidR="00067D89" w:rsidRDefault="00A57D41">
            <w:pPr>
              <w:jc w:val="center"/>
              <w:rPr>
                <w:color w:val="000000"/>
                <w:sz w:val="20"/>
                <w:szCs w:val="20"/>
              </w:rPr>
            </w:pPr>
            <w:r>
              <w:rPr>
                <w:color w:val="000000"/>
                <w:sz w:val="20"/>
                <w:szCs w:val="20"/>
              </w:rPr>
              <w:t>0</w:t>
            </w:r>
          </w:p>
        </w:tc>
        <w:tc>
          <w:tcPr>
            <w:tcW w:w="1337" w:type="dxa"/>
            <w:tcBorders>
              <w:top w:val="single" w:sz="4" w:space="0" w:color="000000"/>
            </w:tcBorders>
          </w:tcPr>
          <w:p w:rsidR="00067D89" w:rsidRDefault="00A57D41">
            <w:pPr>
              <w:jc w:val="center"/>
              <w:rPr>
                <w:color w:val="000000"/>
                <w:sz w:val="20"/>
                <w:szCs w:val="20"/>
              </w:rPr>
            </w:pPr>
            <w:r>
              <w:rPr>
                <w:color w:val="000000"/>
                <w:sz w:val="20"/>
                <w:szCs w:val="20"/>
              </w:rPr>
              <w:t>13</w:t>
            </w:r>
          </w:p>
        </w:tc>
        <w:tc>
          <w:tcPr>
            <w:tcW w:w="1356" w:type="dxa"/>
            <w:tcBorders>
              <w:top w:val="single" w:sz="4" w:space="0" w:color="000000"/>
            </w:tcBorders>
          </w:tcPr>
          <w:p w:rsidR="00067D89" w:rsidRDefault="00A57D41">
            <w:pPr>
              <w:jc w:val="center"/>
              <w:rPr>
                <w:color w:val="000000"/>
                <w:sz w:val="20"/>
                <w:szCs w:val="20"/>
              </w:rPr>
            </w:pPr>
            <w:r>
              <w:rPr>
                <w:color w:val="000000"/>
                <w:sz w:val="20"/>
                <w:szCs w:val="20"/>
              </w:rPr>
              <w:t>13</w:t>
            </w:r>
          </w:p>
        </w:tc>
      </w:tr>
      <w:tr w:rsidR="00067D89">
        <w:trPr>
          <w:trHeight w:val="286"/>
        </w:trPr>
        <w:tc>
          <w:tcPr>
            <w:tcW w:w="3964" w:type="dxa"/>
          </w:tcPr>
          <w:p w:rsidR="00067D89" w:rsidRDefault="00A57D41">
            <w:pPr>
              <w:ind w:firstLine="200"/>
              <w:rPr>
                <w:color w:val="000000"/>
                <w:sz w:val="20"/>
                <w:szCs w:val="20"/>
              </w:rPr>
            </w:pPr>
            <w:r>
              <w:rPr>
                <w:color w:val="000000"/>
                <w:sz w:val="20"/>
                <w:szCs w:val="20"/>
              </w:rPr>
              <w:t>Poseen normas de publicación</w:t>
            </w:r>
          </w:p>
        </w:tc>
        <w:tc>
          <w:tcPr>
            <w:tcW w:w="1418" w:type="dxa"/>
          </w:tcPr>
          <w:p w:rsidR="00067D89" w:rsidRDefault="00A57D41">
            <w:pPr>
              <w:jc w:val="center"/>
              <w:rPr>
                <w:color w:val="000000"/>
                <w:sz w:val="20"/>
                <w:szCs w:val="20"/>
              </w:rPr>
            </w:pPr>
            <w:r>
              <w:rPr>
                <w:color w:val="000000"/>
                <w:sz w:val="20"/>
                <w:szCs w:val="20"/>
              </w:rPr>
              <w:t>0</w:t>
            </w:r>
          </w:p>
        </w:tc>
        <w:tc>
          <w:tcPr>
            <w:tcW w:w="1337" w:type="dxa"/>
          </w:tcPr>
          <w:p w:rsidR="00067D89" w:rsidRDefault="00A57D41">
            <w:pPr>
              <w:jc w:val="center"/>
              <w:rPr>
                <w:color w:val="000000"/>
                <w:sz w:val="20"/>
                <w:szCs w:val="20"/>
              </w:rPr>
            </w:pPr>
            <w:r>
              <w:rPr>
                <w:color w:val="000000"/>
                <w:sz w:val="20"/>
                <w:szCs w:val="20"/>
              </w:rPr>
              <w:t>13</w:t>
            </w:r>
          </w:p>
        </w:tc>
        <w:tc>
          <w:tcPr>
            <w:tcW w:w="1356" w:type="dxa"/>
          </w:tcPr>
          <w:p w:rsidR="00067D89" w:rsidRDefault="00A57D41">
            <w:pPr>
              <w:jc w:val="center"/>
              <w:rPr>
                <w:color w:val="000000"/>
                <w:sz w:val="20"/>
                <w:szCs w:val="20"/>
              </w:rPr>
            </w:pPr>
            <w:r>
              <w:rPr>
                <w:color w:val="000000"/>
                <w:sz w:val="20"/>
                <w:szCs w:val="20"/>
              </w:rPr>
              <w:t>13</w:t>
            </w:r>
          </w:p>
        </w:tc>
      </w:tr>
      <w:tr w:rsidR="00067D89">
        <w:trPr>
          <w:trHeight w:val="286"/>
        </w:trPr>
        <w:tc>
          <w:tcPr>
            <w:tcW w:w="3964" w:type="dxa"/>
          </w:tcPr>
          <w:p w:rsidR="00067D89" w:rsidRDefault="00A57D41">
            <w:pPr>
              <w:rPr>
                <w:color w:val="000000"/>
                <w:sz w:val="20"/>
                <w:szCs w:val="20"/>
              </w:rPr>
            </w:pPr>
            <w:r>
              <w:rPr>
                <w:color w:val="000000"/>
                <w:sz w:val="20"/>
                <w:szCs w:val="20"/>
              </w:rPr>
              <w:t>Lanzan fechas de convocatoria</w:t>
            </w:r>
          </w:p>
        </w:tc>
        <w:tc>
          <w:tcPr>
            <w:tcW w:w="1418" w:type="dxa"/>
          </w:tcPr>
          <w:p w:rsidR="00067D89" w:rsidRDefault="00A57D41">
            <w:pPr>
              <w:jc w:val="center"/>
              <w:rPr>
                <w:color w:val="000000"/>
                <w:sz w:val="20"/>
                <w:szCs w:val="20"/>
              </w:rPr>
            </w:pPr>
            <w:r>
              <w:rPr>
                <w:color w:val="000000"/>
                <w:sz w:val="20"/>
                <w:szCs w:val="20"/>
              </w:rPr>
              <w:t>0</w:t>
            </w:r>
          </w:p>
        </w:tc>
        <w:tc>
          <w:tcPr>
            <w:tcW w:w="1337" w:type="dxa"/>
          </w:tcPr>
          <w:p w:rsidR="00067D89" w:rsidRDefault="00A57D41">
            <w:pPr>
              <w:jc w:val="center"/>
              <w:rPr>
                <w:color w:val="000000"/>
                <w:sz w:val="20"/>
                <w:szCs w:val="20"/>
              </w:rPr>
            </w:pPr>
            <w:r>
              <w:rPr>
                <w:color w:val="000000"/>
                <w:sz w:val="20"/>
                <w:szCs w:val="20"/>
              </w:rPr>
              <w:t>1</w:t>
            </w:r>
          </w:p>
        </w:tc>
        <w:tc>
          <w:tcPr>
            <w:tcW w:w="1356" w:type="dxa"/>
          </w:tcPr>
          <w:p w:rsidR="00067D89" w:rsidRDefault="00A57D41">
            <w:pPr>
              <w:jc w:val="center"/>
              <w:rPr>
                <w:color w:val="000000"/>
                <w:sz w:val="20"/>
                <w:szCs w:val="20"/>
              </w:rPr>
            </w:pPr>
            <w:r>
              <w:rPr>
                <w:color w:val="000000"/>
                <w:sz w:val="20"/>
                <w:szCs w:val="20"/>
              </w:rPr>
              <w:t>1</w:t>
            </w:r>
          </w:p>
        </w:tc>
      </w:tr>
      <w:tr w:rsidR="00067D89">
        <w:trPr>
          <w:trHeight w:val="286"/>
        </w:trPr>
        <w:tc>
          <w:tcPr>
            <w:tcW w:w="3964" w:type="dxa"/>
          </w:tcPr>
          <w:p w:rsidR="00067D89" w:rsidRDefault="00A57D41">
            <w:pPr>
              <w:ind w:firstLine="200"/>
              <w:rPr>
                <w:color w:val="000000"/>
                <w:sz w:val="20"/>
                <w:szCs w:val="20"/>
              </w:rPr>
            </w:pPr>
            <w:r>
              <w:rPr>
                <w:color w:val="000000"/>
                <w:sz w:val="20"/>
                <w:szCs w:val="20"/>
              </w:rPr>
              <w:t>Poseen normas de publicación</w:t>
            </w:r>
          </w:p>
        </w:tc>
        <w:tc>
          <w:tcPr>
            <w:tcW w:w="1418" w:type="dxa"/>
          </w:tcPr>
          <w:p w:rsidR="00067D89" w:rsidRDefault="00A57D41">
            <w:pPr>
              <w:jc w:val="center"/>
              <w:rPr>
                <w:color w:val="000000"/>
                <w:sz w:val="20"/>
                <w:szCs w:val="20"/>
              </w:rPr>
            </w:pPr>
            <w:r>
              <w:rPr>
                <w:color w:val="000000"/>
                <w:sz w:val="20"/>
                <w:szCs w:val="20"/>
              </w:rPr>
              <w:t>0</w:t>
            </w:r>
          </w:p>
        </w:tc>
        <w:tc>
          <w:tcPr>
            <w:tcW w:w="1337" w:type="dxa"/>
          </w:tcPr>
          <w:p w:rsidR="00067D89" w:rsidRDefault="00A57D41">
            <w:pPr>
              <w:jc w:val="center"/>
              <w:rPr>
                <w:color w:val="000000"/>
                <w:sz w:val="20"/>
                <w:szCs w:val="20"/>
              </w:rPr>
            </w:pPr>
            <w:r>
              <w:rPr>
                <w:color w:val="000000"/>
                <w:sz w:val="20"/>
                <w:szCs w:val="20"/>
              </w:rPr>
              <w:t>1</w:t>
            </w:r>
          </w:p>
        </w:tc>
        <w:tc>
          <w:tcPr>
            <w:tcW w:w="1356" w:type="dxa"/>
          </w:tcPr>
          <w:p w:rsidR="00067D89" w:rsidRDefault="00A57D41">
            <w:pPr>
              <w:jc w:val="center"/>
              <w:rPr>
                <w:color w:val="000000"/>
                <w:sz w:val="20"/>
                <w:szCs w:val="20"/>
              </w:rPr>
            </w:pPr>
            <w:r>
              <w:rPr>
                <w:color w:val="000000"/>
                <w:sz w:val="20"/>
                <w:szCs w:val="20"/>
              </w:rPr>
              <w:t>1</w:t>
            </w:r>
          </w:p>
        </w:tc>
      </w:tr>
      <w:tr w:rsidR="00067D89">
        <w:trPr>
          <w:trHeight w:val="286"/>
        </w:trPr>
        <w:tc>
          <w:tcPr>
            <w:tcW w:w="3964" w:type="dxa"/>
          </w:tcPr>
          <w:p w:rsidR="00067D89" w:rsidRDefault="00A57D41">
            <w:pPr>
              <w:rPr>
                <w:color w:val="000000"/>
                <w:sz w:val="20"/>
                <w:szCs w:val="20"/>
              </w:rPr>
            </w:pPr>
            <w:r>
              <w:rPr>
                <w:color w:val="000000"/>
                <w:sz w:val="20"/>
                <w:szCs w:val="20"/>
              </w:rPr>
              <w:t>No hay información</w:t>
            </w:r>
          </w:p>
        </w:tc>
        <w:tc>
          <w:tcPr>
            <w:tcW w:w="1418" w:type="dxa"/>
          </w:tcPr>
          <w:p w:rsidR="00067D89" w:rsidRDefault="00A57D41">
            <w:pPr>
              <w:jc w:val="center"/>
              <w:rPr>
                <w:color w:val="000000"/>
                <w:sz w:val="20"/>
                <w:szCs w:val="20"/>
              </w:rPr>
            </w:pPr>
            <w:r>
              <w:rPr>
                <w:color w:val="000000"/>
                <w:sz w:val="20"/>
                <w:szCs w:val="20"/>
              </w:rPr>
              <w:t>4</w:t>
            </w:r>
          </w:p>
        </w:tc>
        <w:tc>
          <w:tcPr>
            <w:tcW w:w="1337" w:type="dxa"/>
          </w:tcPr>
          <w:p w:rsidR="00067D89" w:rsidRDefault="00A57D41">
            <w:pPr>
              <w:jc w:val="center"/>
              <w:rPr>
                <w:color w:val="000000"/>
                <w:sz w:val="20"/>
                <w:szCs w:val="20"/>
              </w:rPr>
            </w:pPr>
            <w:r>
              <w:rPr>
                <w:color w:val="000000"/>
                <w:sz w:val="20"/>
                <w:szCs w:val="20"/>
              </w:rPr>
              <w:t>2</w:t>
            </w:r>
          </w:p>
        </w:tc>
        <w:tc>
          <w:tcPr>
            <w:tcW w:w="1356" w:type="dxa"/>
          </w:tcPr>
          <w:p w:rsidR="00067D89" w:rsidRDefault="00A57D41">
            <w:pPr>
              <w:jc w:val="center"/>
              <w:rPr>
                <w:color w:val="000000"/>
                <w:sz w:val="20"/>
                <w:szCs w:val="20"/>
              </w:rPr>
            </w:pPr>
            <w:r>
              <w:rPr>
                <w:color w:val="000000"/>
                <w:sz w:val="20"/>
                <w:szCs w:val="20"/>
              </w:rPr>
              <w:t>6</w:t>
            </w:r>
          </w:p>
        </w:tc>
      </w:tr>
      <w:tr w:rsidR="00067D89">
        <w:trPr>
          <w:trHeight w:val="286"/>
        </w:trPr>
        <w:tc>
          <w:tcPr>
            <w:tcW w:w="3964" w:type="dxa"/>
          </w:tcPr>
          <w:p w:rsidR="00067D89" w:rsidRDefault="00A57D41">
            <w:pPr>
              <w:ind w:firstLine="200"/>
              <w:rPr>
                <w:color w:val="000000"/>
                <w:sz w:val="20"/>
                <w:szCs w:val="20"/>
              </w:rPr>
            </w:pPr>
            <w:r>
              <w:rPr>
                <w:color w:val="000000"/>
                <w:sz w:val="20"/>
                <w:szCs w:val="20"/>
              </w:rPr>
              <w:t>No poseen normas de publicación</w:t>
            </w:r>
          </w:p>
        </w:tc>
        <w:tc>
          <w:tcPr>
            <w:tcW w:w="1418" w:type="dxa"/>
          </w:tcPr>
          <w:p w:rsidR="00067D89" w:rsidRDefault="00A57D41">
            <w:pPr>
              <w:jc w:val="center"/>
              <w:rPr>
                <w:color w:val="000000"/>
                <w:sz w:val="20"/>
                <w:szCs w:val="20"/>
              </w:rPr>
            </w:pPr>
            <w:r>
              <w:rPr>
                <w:color w:val="000000"/>
                <w:sz w:val="20"/>
                <w:szCs w:val="20"/>
              </w:rPr>
              <w:t>3</w:t>
            </w:r>
          </w:p>
        </w:tc>
        <w:tc>
          <w:tcPr>
            <w:tcW w:w="1337" w:type="dxa"/>
          </w:tcPr>
          <w:p w:rsidR="00067D89" w:rsidRDefault="00A57D41">
            <w:pPr>
              <w:jc w:val="center"/>
              <w:rPr>
                <w:color w:val="000000"/>
                <w:sz w:val="20"/>
                <w:szCs w:val="20"/>
              </w:rPr>
            </w:pPr>
            <w:r>
              <w:rPr>
                <w:color w:val="000000"/>
                <w:sz w:val="20"/>
                <w:szCs w:val="20"/>
              </w:rPr>
              <w:t>0</w:t>
            </w:r>
          </w:p>
        </w:tc>
        <w:tc>
          <w:tcPr>
            <w:tcW w:w="1356" w:type="dxa"/>
          </w:tcPr>
          <w:p w:rsidR="00067D89" w:rsidRDefault="00A57D41">
            <w:pPr>
              <w:jc w:val="center"/>
              <w:rPr>
                <w:color w:val="000000"/>
                <w:sz w:val="20"/>
                <w:szCs w:val="20"/>
              </w:rPr>
            </w:pPr>
            <w:r>
              <w:rPr>
                <w:color w:val="000000"/>
                <w:sz w:val="20"/>
                <w:szCs w:val="20"/>
              </w:rPr>
              <w:t>3</w:t>
            </w:r>
          </w:p>
        </w:tc>
      </w:tr>
      <w:tr w:rsidR="00067D89">
        <w:trPr>
          <w:trHeight w:val="286"/>
        </w:trPr>
        <w:tc>
          <w:tcPr>
            <w:tcW w:w="3964" w:type="dxa"/>
          </w:tcPr>
          <w:p w:rsidR="00067D89" w:rsidRDefault="00A57D41">
            <w:pPr>
              <w:ind w:firstLine="200"/>
              <w:rPr>
                <w:color w:val="000000"/>
                <w:sz w:val="20"/>
                <w:szCs w:val="20"/>
              </w:rPr>
            </w:pPr>
            <w:r>
              <w:rPr>
                <w:color w:val="000000"/>
                <w:sz w:val="20"/>
                <w:szCs w:val="20"/>
              </w:rPr>
              <w:t>Poseen normas de publicación</w:t>
            </w:r>
          </w:p>
        </w:tc>
        <w:tc>
          <w:tcPr>
            <w:tcW w:w="1418" w:type="dxa"/>
          </w:tcPr>
          <w:p w:rsidR="00067D89" w:rsidRDefault="00A57D41">
            <w:pPr>
              <w:jc w:val="center"/>
              <w:rPr>
                <w:color w:val="000000"/>
                <w:sz w:val="20"/>
                <w:szCs w:val="20"/>
              </w:rPr>
            </w:pPr>
            <w:r>
              <w:rPr>
                <w:color w:val="000000"/>
                <w:sz w:val="20"/>
                <w:szCs w:val="20"/>
              </w:rPr>
              <w:t>1</w:t>
            </w:r>
          </w:p>
        </w:tc>
        <w:tc>
          <w:tcPr>
            <w:tcW w:w="1337" w:type="dxa"/>
          </w:tcPr>
          <w:p w:rsidR="00067D89" w:rsidRDefault="00A57D41">
            <w:pPr>
              <w:jc w:val="center"/>
              <w:rPr>
                <w:color w:val="000000"/>
                <w:sz w:val="20"/>
                <w:szCs w:val="20"/>
              </w:rPr>
            </w:pPr>
            <w:r>
              <w:rPr>
                <w:color w:val="000000"/>
                <w:sz w:val="20"/>
                <w:szCs w:val="20"/>
              </w:rPr>
              <w:t>2</w:t>
            </w:r>
          </w:p>
        </w:tc>
        <w:tc>
          <w:tcPr>
            <w:tcW w:w="1356" w:type="dxa"/>
          </w:tcPr>
          <w:p w:rsidR="00067D89" w:rsidRDefault="00A57D41">
            <w:pPr>
              <w:jc w:val="center"/>
              <w:rPr>
                <w:color w:val="000000"/>
                <w:sz w:val="20"/>
                <w:szCs w:val="20"/>
              </w:rPr>
            </w:pPr>
            <w:r>
              <w:rPr>
                <w:color w:val="000000"/>
                <w:sz w:val="20"/>
                <w:szCs w:val="20"/>
              </w:rPr>
              <w:t>3</w:t>
            </w:r>
          </w:p>
        </w:tc>
      </w:tr>
      <w:tr w:rsidR="00067D89">
        <w:trPr>
          <w:trHeight w:val="286"/>
        </w:trPr>
        <w:tc>
          <w:tcPr>
            <w:tcW w:w="3964" w:type="dxa"/>
          </w:tcPr>
          <w:p w:rsidR="00067D89" w:rsidRDefault="00A57D41">
            <w:pPr>
              <w:rPr>
                <w:color w:val="000000"/>
                <w:sz w:val="20"/>
                <w:szCs w:val="20"/>
              </w:rPr>
            </w:pPr>
            <w:r>
              <w:rPr>
                <w:color w:val="000000"/>
                <w:sz w:val="20"/>
                <w:szCs w:val="20"/>
              </w:rPr>
              <w:t xml:space="preserve">Total </w:t>
            </w:r>
          </w:p>
        </w:tc>
        <w:tc>
          <w:tcPr>
            <w:tcW w:w="1418" w:type="dxa"/>
          </w:tcPr>
          <w:p w:rsidR="00067D89" w:rsidRDefault="00A57D41">
            <w:pPr>
              <w:jc w:val="center"/>
              <w:rPr>
                <w:color w:val="000000"/>
                <w:sz w:val="20"/>
                <w:szCs w:val="20"/>
              </w:rPr>
            </w:pPr>
            <w:r>
              <w:rPr>
                <w:color w:val="000000"/>
                <w:sz w:val="20"/>
                <w:szCs w:val="20"/>
              </w:rPr>
              <w:t>4</w:t>
            </w:r>
          </w:p>
        </w:tc>
        <w:tc>
          <w:tcPr>
            <w:tcW w:w="1337" w:type="dxa"/>
          </w:tcPr>
          <w:p w:rsidR="00067D89" w:rsidRDefault="00A57D41">
            <w:pPr>
              <w:jc w:val="center"/>
              <w:rPr>
                <w:color w:val="000000"/>
                <w:sz w:val="20"/>
                <w:szCs w:val="20"/>
              </w:rPr>
            </w:pPr>
            <w:r>
              <w:rPr>
                <w:color w:val="000000"/>
                <w:sz w:val="20"/>
                <w:szCs w:val="20"/>
              </w:rPr>
              <w:t>16</w:t>
            </w:r>
          </w:p>
        </w:tc>
        <w:tc>
          <w:tcPr>
            <w:tcW w:w="1356" w:type="dxa"/>
          </w:tcPr>
          <w:p w:rsidR="00067D89" w:rsidRDefault="00A57D41">
            <w:pPr>
              <w:jc w:val="center"/>
              <w:rPr>
                <w:color w:val="000000"/>
                <w:sz w:val="20"/>
                <w:szCs w:val="20"/>
              </w:rPr>
            </w:pPr>
            <w:r>
              <w:rPr>
                <w:color w:val="000000"/>
                <w:sz w:val="20"/>
                <w:szCs w:val="20"/>
              </w:rPr>
              <w:t>20</w:t>
            </w:r>
          </w:p>
        </w:tc>
      </w:tr>
    </w:tbl>
    <w:p w:rsidR="00067D89" w:rsidRDefault="00067D89"/>
    <w:p w:rsidR="00067D89" w:rsidRDefault="00A57D41">
      <w:pPr>
        <w:spacing w:line="360" w:lineRule="auto"/>
        <w:jc w:val="both"/>
      </w:pPr>
      <w:r>
        <w:t xml:space="preserve">En la tabla 8, se presenta el proceso de publicación de los artículos por parte de las revistas. Donde 13 revistas tienen una convocatoria abierta todo el año y cuentan con normas de publicación para los autores. Una revista lanza fechas de convocatorias específicas y cuentan con normas de </w:t>
      </w:r>
      <w:r>
        <w:lastRenderedPageBreak/>
        <w:t xml:space="preserve">publicación para los autores. 6 revistas no reportan información sobre las convocatorias, de ellas 3 no poseen normas de publicación y 3 si poseen normas de publicación para los autores. También se muestra el proceso de revisión por pares de los artículos por parte de las revistas. En el cual 16 revistas se someten a una revisión por pares y 4 revistas no realizan la revisión por pares de los artículos antes de ser publicados. </w:t>
      </w:r>
    </w:p>
    <w:p w:rsidR="00067D89" w:rsidRDefault="00067D89">
      <w:pPr>
        <w:spacing w:line="360" w:lineRule="auto"/>
        <w:jc w:val="both"/>
      </w:pPr>
    </w:p>
    <w:p w:rsidR="00067D89" w:rsidRDefault="00A57D41">
      <w:pPr>
        <w:rPr>
          <w:i/>
        </w:rPr>
      </w:pPr>
      <w:r>
        <w:rPr>
          <w:i/>
        </w:rPr>
        <w:t>5) Análisis del contenido publicado por las revistas</w:t>
      </w:r>
    </w:p>
    <w:p w:rsidR="00067D89" w:rsidRDefault="00067D89">
      <w:pPr>
        <w:rPr>
          <w:sz w:val="20"/>
          <w:szCs w:val="20"/>
        </w:rPr>
      </w:pPr>
    </w:p>
    <w:p w:rsidR="00067D89" w:rsidRDefault="00067D89"/>
    <w:p w:rsidR="00067D89" w:rsidRDefault="00A57D41">
      <w:r>
        <w:rPr>
          <w:noProof/>
        </w:rPr>
        <w:drawing>
          <wp:inline distT="0" distB="0" distL="0" distR="0">
            <wp:extent cx="5379522" cy="2743200"/>
            <wp:effectExtent l="0" t="0" r="0" b="0"/>
            <wp:docPr id="132" name="Gráfico 1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67D89" w:rsidRDefault="00A57D41">
      <w:pPr>
        <w:rPr>
          <w:i/>
          <w:sz w:val="20"/>
          <w:szCs w:val="20"/>
        </w:rPr>
      </w:pPr>
      <w:r>
        <w:rPr>
          <w:i/>
          <w:sz w:val="20"/>
          <w:szCs w:val="20"/>
        </w:rPr>
        <w:t xml:space="preserve">Nota: AE es artículo empírico, ART es artículo teórico, CE es carta al editor y RL es reseña de libro.  </w:t>
      </w:r>
    </w:p>
    <w:p w:rsidR="00067D89" w:rsidRDefault="00A57D41">
      <w:pPr>
        <w:rPr>
          <w:sz w:val="20"/>
          <w:szCs w:val="20"/>
        </w:rPr>
      </w:pPr>
      <w:r>
        <w:rPr>
          <w:i/>
          <w:sz w:val="20"/>
          <w:szCs w:val="20"/>
        </w:rPr>
        <w:t xml:space="preserve">Figura 4. </w:t>
      </w:r>
      <w:r>
        <w:rPr>
          <w:sz w:val="20"/>
          <w:szCs w:val="20"/>
        </w:rPr>
        <w:t xml:space="preserve">Tipos de artículos contenidos en las revistas. </w:t>
      </w:r>
    </w:p>
    <w:p w:rsidR="00067D89" w:rsidRDefault="00067D89"/>
    <w:p w:rsidR="00067D89" w:rsidRDefault="00067D89"/>
    <w:p w:rsidR="00067D89" w:rsidRDefault="00A57D41">
      <w:pPr>
        <w:spacing w:line="360" w:lineRule="auto"/>
        <w:jc w:val="both"/>
      </w:pPr>
      <w:r>
        <w:t xml:space="preserve">En la figura 4, se observa los tipos de artículos que publican las revistas de psicología en el Perú. 4 revistas publican artículos empíricos y teóricos. Dos revistas publican artículos empíricos, teóricos y cartas al editor. Nueve revistas publican artículos empíricos, teóricos y reseñas de libros. Cuatro revistas publican artículos empíricos, artículos teóricos, reseñas de libros y cartas al editor. Una revista no especifica el tipo de artículos que publican. Cabe resaltar que los artículos empíricos y teóricos son los más publicados por las revistas de psicología en el Perú. </w:t>
      </w:r>
    </w:p>
    <w:p w:rsidR="00067D89" w:rsidRDefault="00067D89">
      <w:pPr>
        <w:spacing w:line="360" w:lineRule="auto"/>
        <w:jc w:val="both"/>
      </w:pPr>
    </w:p>
    <w:p w:rsidR="00067D89" w:rsidRDefault="00067D89">
      <w:pPr>
        <w:spacing w:line="360" w:lineRule="auto"/>
        <w:jc w:val="both"/>
      </w:pPr>
    </w:p>
    <w:p w:rsidR="00067D89" w:rsidRDefault="00067D89">
      <w:pPr>
        <w:spacing w:line="360" w:lineRule="auto"/>
        <w:jc w:val="both"/>
      </w:pPr>
    </w:p>
    <w:p w:rsidR="00067D89" w:rsidRDefault="00067D89">
      <w:pPr>
        <w:spacing w:line="360" w:lineRule="auto"/>
        <w:jc w:val="both"/>
      </w:pPr>
    </w:p>
    <w:p w:rsidR="00067D89" w:rsidRDefault="00A57D41">
      <w:pPr>
        <w:rPr>
          <w:sz w:val="20"/>
          <w:szCs w:val="20"/>
        </w:rPr>
      </w:pPr>
      <w:r>
        <w:rPr>
          <w:sz w:val="20"/>
          <w:szCs w:val="20"/>
        </w:rPr>
        <w:lastRenderedPageBreak/>
        <w:t>Tabla 9</w:t>
      </w:r>
    </w:p>
    <w:p w:rsidR="00067D89" w:rsidRDefault="00A57D41">
      <w:pPr>
        <w:spacing w:line="360" w:lineRule="auto"/>
        <w:rPr>
          <w:i/>
          <w:sz w:val="20"/>
          <w:szCs w:val="20"/>
        </w:rPr>
      </w:pPr>
      <w:r>
        <w:rPr>
          <w:i/>
          <w:sz w:val="20"/>
          <w:szCs w:val="20"/>
        </w:rPr>
        <w:t xml:space="preserve">Idiomas de edición de las revistas </w:t>
      </w:r>
    </w:p>
    <w:tbl>
      <w:tblPr>
        <w:tblStyle w:val="affffffff0"/>
        <w:tblW w:w="7230" w:type="dxa"/>
        <w:tblInd w:w="0" w:type="dxa"/>
        <w:tblBorders>
          <w:top w:val="single" w:sz="4" w:space="0" w:color="000000"/>
          <w:bottom w:val="single" w:sz="4" w:space="0" w:color="000000"/>
        </w:tblBorders>
        <w:tblLayout w:type="fixed"/>
        <w:tblLook w:val="0400" w:firstRow="0" w:lastRow="0" w:firstColumn="0" w:lastColumn="0" w:noHBand="0" w:noVBand="1"/>
      </w:tblPr>
      <w:tblGrid>
        <w:gridCol w:w="3119"/>
        <w:gridCol w:w="4111"/>
      </w:tblGrid>
      <w:tr w:rsidR="00067D89">
        <w:trPr>
          <w:trHeight w:val="268"/>
        </w:trPr>
        <w:tc>
          <w:tcPr>
            <w:tcW w:w="3119" w:type="dxa"/>
            <w:tcBorders>
              <w:bottom w:val="single" w:sz="4" w:space="0" w:color="000000"/>
            </w:tcBorders>
            <w:shd w:val="clear" w:color="auto" w:fill="auto"/>
            <w:vAlign w:val="bottom"/>
          </w:tcPr>
          <w:p w:rsidR="00067D89" w:rsidRDefault="00A57D41">
            <w:pPr>
              <w:jc w:val="center"/>
              <w:rPr>
                <w:color w:val="000000"/>
                <w:sz w:val="20"/>
                <w:szCs w:val="20"/>
              </w:rPr>
            </w:pPr>
            <w:r>
              <w:rPr>
                <w:color w:val="000000"/>
                <w:sz w:val="20"/>
                <w:szCs w:val="20"/>
              </w:rPr>
              <w:t>Idioma</w:t>
            </w:r>
          </w:p>
        </w:tc>
        <w:tc>
          <w:tcPr>
            <w:tcW w:w="4111" w:type="dxa"/>
            <w:tcBorders>
              <w:bottom w:val="single" w:sz="4" w:space="0" w:color="000000"/>
            </w:tcBorders>
            <w:shd w:val="clear" w:color="auto" w:fill="auto"/>
            <w:vAlign w:val="bottom"/>
          </w:tcPr>
          <w:p w:rsidR="00067D89" w:rsidRDefault="00A57D41">
            <w:pPr>
              <w:jc w:val="center"/>
              <w:rPr>
                <w:color w:val="000000"/>
                <w:sz w:val="20"/>
                <w:szCs w:val="20"/>
              </w:rPr>
            </w:pPr>
            <w:proofErr w:type="spellStart"/>
            <w:r>
              <w:rPr>
                <w:color w:val="000000"/>
                <w:sz w:val="20"/>
                <w:szCs w:val="20"/>
              </w:rPr>
              <w:t>N°</w:t>
            </w:r>
            <w:proofErr w:type="spellEnd"/>
            <w:r>
              <w:rPr>
                <w:color w:val="000000"/>
                <w:sz w:val="20"/>
                <w:szCs w:val="20"/>
              </w:rPr>
              <w:t xml:space="preserve"> de revistas</w:t>
            </w:r>
          </w:p>
        </w:tc>
      </w:tr>
      <w:tr w:rsidR="00067D89">
        <w:trPr>
          <w:trHeight w:val="288"/>
        </w:trPr>
        <w:tc>
          <w:tcPr>
            <w:tcW w:w="3119" w:type="dxa"/>
            <w:shd w:val="clear" w:color="auto" w:fill="auto"/>
            <w:vAlign w:val="bottom"/>
          </w:tcPr>
          <w:p w:rsidR="00067D89" w:rsidRDefault="00A57D41">
            <w:pPr>
              <w:rPr>
                <w:color w:val="000000"/>
                <w:sz w:val="20"/>
                <w:szCs w:val="20"/>
              </w:rPr>
            </w:pPr>
            <w:r>
              <w:rPr>
                <w:color w:val="000000"/>
                <w:sz w:val="20"/>
                <w:szCs w:val="20"/>
              </w:rPr>
              <w:t>Español</w:t>
            </w:r>
          </w:p>
        </w:tc>
        <w:tc>
          <w:tcPr>
            <w:tcW w:w="4111" w:type="dxa"/>
            <w:shd w:val="clear" w:color="auto" w:fill="auto"/>
            <w:vAlign w:val="bottom"/>
          </w:tcPr>
          <w:p w:rsidR="00067D89" w:rsidRDefault="00A57D41">
            <w:pPr>
              <w:jc w:val="center"/>
              <w:rPr>
                <w:color w:val="000000"/>
                <w:sz w:val="20"/>
                <w:szCs w:val="20"/>
              </w:rPr>
            </w:pPr>
            <w:r>
              <w:rPr>
                <w:color w:val="000000"/>
                <w:sz w:val="20"/>
                <w:szCs w:val="20"/>
              </w:rPr>
              <w:t>11</w:t>
            </w:r>
          </w:p>
        </w:tc>
      </w:tr>
      <w:tr w:rsidR="00067D89">
        <w:trPr>
          <w:trHeight w:val="288"/>
        </w:trPr>
        <w:tc>
          <w:tcPr>
            <w:tcW w:w="3119" w:type="dxa"/>
            <w:shd w:val="clear" w:color="auto" w:fill="auto"/>
            <w:vAlign w:val="bottom"/>
          </w:tcPr>
          <w:p w:rsidR="00067D89" w:rsidRDefault="00A57D41">
            <w:pPr>
              <w:rPr>
                <w:color w:val="000000"/>
                <w:sz w:val="20"/>
                <w:szCs w:val="20"/>
              </w:rPr>
            </w:pPr>
            <w:r>
              <w:rPr>
                <w:color w:val="000000"/>
                <w:sz w:val="20"/>
                <w:szCs w:val="20"/>
              </w:rPr>
              <w:t>Español-</w:t>
            </w:r>
            <w:proofErr w:type="gramStart"/>
            <w:r>
              <w:rPr>
                <w:color w:val="000000"/>
                <w:sz w:val="20"/>
                <w:szCs w:val="20"/>
              </w:rPr>
              <w:t>Inglés</w:t>
            </w:r>
            <w:proofErr w:type="gramEnd"/>
          </w:p>
        </w:tc>
        <w:tc>
          <w:tcPr>
            <w:tcW w:w="4111" w:type="dxa"/>
            <w:shd w:val="clear" w:color="auto" w:fill="auto"/>
            <w:vAlign w:val="bottom"/>
          </w:tcPr>
          <w:p w:rsidR="00067D89" w:rsidRDefault="00A57D41">
            <w:pPr>
              <w:jc w:val="center"/>
              <w:rPr>
                <w:color w:val="000000"/>
                <w:sz w:val="20"/>
                <w:szCs w:val="20"/>
              </w:rPr>
            </w:pPr>
            <w:r>
              <w:rPr>
                <w:color w:val="000000"/>
                <w:sz w:val="20"/>
                <w:szCs w:val="20"/>
              </w:rPr>
              <w:t>6</w:t>
            </w:r>
          </w:p>
        </w:tc>
      </w:tr>
      <w:tr w:rsidR="00067D89">
        <w:trPr>
          <w:trHeight w:val="288"/>
        </w:trPr>
        <w:tc>
          <w:tcPr>
            <w:tcW w:w="3119" w:type="dxa"/>
            <w:shd w:val="clear" w:color="auto" w:fill="auto"/>
            <w:vAlign w:val="bottom"/>
          </w:tcPr>
          <w:p w:rsidR="00067D89" w:rsidRDefault="00A57D41">
            <w:pPr>
              <w:rPr>
                <w:color w:val="000000"/>
                <w:sz w:val="20"/>
                <w:szCs w:val="20"/>
              </w:rPr>
            </w:pPr>
            <w:r>
              <w:rPr>
                <w:color w:val="000000"/>
                <w:sz w:val="20"/>
                <w:szCs w:val="20"/>
              </w:rPr>
              <w:t>Español-</w:t>
            </w:r>
            <w:proofErr w:type="gramStart"/>
            <w:r>
              <w:rPr>
                <w:color w:val="000000"/>
                <w:sz w:val="20"/>
                <w:szCs w:val="20"/>
              </w:rPr>
              <w:t>Inglés</w:t>
            </w:r>
            <w:proofErr w:type="gramEnd"/>
            <w:r>
              <w:rPr>
                <w:color w:val="000000"/>
                <w:sz w:val="20"/>
                <w:szCs w:val="20"/>
              </w:rPr>
              <w:t>-Otros*</w:t>
            </w:r>
          </w:p>
        </w:tc>
        <w:tc>
          <w:tcPr>
            <w:tcW w:w="4111" w:type="dxa"/>
            <w:shd w:val="clear" w:color="auto" w:fill="auto"/>
            <w:vAlign w:val="bottom"/>
          </w:tcPr>
          <w:p w:rsidR="00067D89" w:rsidRDefault="00A57D41">
            <w:pPr>
              <w:jc w:val="center"/>
              <w:rPr>
                <w:color w:val="000000"/>
                <w:sz w:val="20"/>
                <w:szCs w:val="20"/>
              </w:rPr>
            </w:pPr>
            <w:r>
              <w:rPr>
                <w:color w:val="000000"/>
                <w:sz w:val="20"/>
                <w:szCs w:val="20"/>
              </w:rPr>
              <w:t>3</w:t>
            </w:r>
          </w:p>
        </w:tc>
      </w:tr>
      <w:tr w:rsidR="00067D89">
        <w:trPr>
          <w:trHeight w:val="288"/>
        </w:trPr>
        <w:tc>
          <w:tcPr>
            <w:tcW w:w="3119" w:type="dxa"/>
            <w:shd w:val="clear" w:color="auto" w:fill="auto"/>
            <w:vAlign w:val="bottom"/>
          </w:tcPr>
          <w:p w:rsidR="00067D89" w:rsidRDefault="00A57D41">
            <w:pPr>
              <w:rPr>
                <w:color w:val="000000"/>
                <w:sz w:val="20"/>
                <w:szCs w:val="20"/>
              </w:rPr>
            </w:pPr>
            <w:r>
              <w:rPr>
                <w:color w:val="000000"/>
                <w:sz w:val="20"/>
                <w:szCs w:val="20"/>
              </w:rPr>
              <w:t xml:space="preserve">Total </w:t>
            </w:r>
          </w:p>
        </w:tc>
        <w:tc>
          <w:tcPr>
            <w:tcW w:w="4111" w:type="dxa"/>
            <w:shd w:val="clear" w:color="auto" w:fill="auto"/>
            <w:vAlign w:val="bottom"/>
          </w:tcPr>
          <w:p w:rsidR="00067D89" w:rsidRDefault="00A57D41">
            <w:pPr>
              <w:jc w:val="center"/>
              <w:rPr>
                <w:color w:val="000000"/>
                <w:sz w:val="20"/>
                <w:szCs w:val="20"/>
              </w:rPr>
            </w:pPr>
            <w:r>
              <w:rPr>
                <w:color w:val="000000"/>
                <w:sz w:val="20"/>
                <w:szCs w:val="20"/>
              </w:rPr>
              <w:t>20</w:t>
            </w:r>
          </w:p>
        </w:tc>
      </w:tr>
    </w:tbl>
    <w:p w:rsidR="00067D89" w:rsidRDefault="00A57D41">
      <w:pPr>
        <w:rPr>
          <w:sz w:val="20"/>
          <w:szCs w:val="20"/>
        </w:rPr>
      </w:pPr>
      <w:r>
        <w:rPr>
          <w:sz w:val="20"/>
          <w:szCs w:val="20"/>
        </w:rPr>
        <w:t>*Otros idiomas son: portugués, francés y alemán.</w:t>
      </w:r>
    </w:p>
    <w:p w:rsidR="00067D89" w:rsidRDefault="00067D89">
      <w:pPr>
        <w:rPr>
          <w:sz w:val="20"/>
          <w:szCs w:val="20"/>
        </w:rPr>
      </w:pPr>
    </w:p>
    <w:p w:rsidR="00067D89" w:rsidRDefault="00A57D41">
      <w:pPr>
        <w:spacing w:line="360" w:lineRule="auto"/>
        <w:jc w:val="both"/>
      </w:pPr>
      <w:r>
        <w:t xml:space="preserve">En la tabla 9 se observa el idioma en el cual se publican los artículos de las revistas de psicología en el Perú. Donde 11 revistas publican exclusivamente en idioma español. 6 revistas publican en idiomas español e inglés y 3 revistas publican en español, inglés y otros idiomas como portugués, francés y alemán. Se observa la predominancia del idioma español en las publicaciones de los artículos en las revistas de psicología en el Perú. </w:t>
      </w:r>
    </w:p>
    <w:p w:rsidR="00067D89" w:rsidRDefault="00067D89">
      <w:pPr>
        <w:spacing w:line="360" w:lineRule="auto"/>
        <w:jc w:val="both"/>
        <w:rPr>
          <w:b/>
        </w:rPr>
      </w:pPr>
    </w:p>
    <w:p w:rsidR="00067D89" w:rsidRDefault="00A57D41">
      <w:bookmarkStart w:id="10" w:name="_heading=h.1fob9te" w:colFirst="0" w:colLast="0"/>
      <w:bookmarkEnd w:id="10"/>
      <w:r>
        <w:rPr>
          <w:noProof/>
        </w:rPr>
        <w:drawing>
          <wp:inline distT="0" distB="0" distL="0" distR="0">
            <wp:extent cx="5943600" cy="3063455"/>
            <wp:effectExtent l="0" t="0" r="0" b="0"/>
            <wp:docPr id="134" name="Gráfico 1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67D89" w:rsidRDefault="00A57D41">
      <w:pPr>
        <w:rPr>
          <w:sz w:val="20"/>
          <w:szCs w:val="20"/>
        </w:rPr>
      </w:pPr>
      <w:r>
        <w:rPr>
          <w:i/>
          <w:sz w:val="20"/>
          <w:szCs w:val="20"/>
        </w:rPr>
        <w:t xml:space="preserve">Figura 5. </w:t>
      </w:r>
      <w:r>
        <w:rPr>
          <w:sz w:val="20"/>
          <w:szCs w:val="20"/>
        </w:rPr>
        <w:t>Promedio de artículos en las revistas</w:t>
      </w:r>
    </w:p>
    <w:p w:rsidR="00067D89" w:rsidRDefault="00067D89"/>
    <w:p w:rsidR="00067D89" w:rsidRDefault="00A57D41">
      <w:pPr>
        <w:spacing w:line="360" w:lineRule="auto"/>
        <w:jc w:val="both"/>
      </w:pPr>
      <w:r>
        <w:t xml:space="preserve">En la figura 5, se presenta el promedio de los artículos que publican las revistas de psicología en el Perú. Donde el menor número de artículos, que son tres, se publica en una revista. La mayor cantidad de revistas (17) publican en promedio entre 6 y 12.5 artículos por edición. Dos revistas publican en promedio 18.5 artículos por edición. </w:t>
      </w:r>
    </w:p>
    <w:p w:rsidR="00067D89" w:rsidRDefault="00067D89"/>
    <w:p w:rsidR="00067D89" w:rsidRDefault="00067D89"/>
    <w:p w:rsidR="00067D89" w:rsidRDefault="00067D89"/>
    <w:p w:rsidR="00067D89" w:rsidRDefault="00A57D41">
      <w:pPr>
        <w:rPr>
          <w:i/>
        </w:rPr>
      </w:pPr>
      <w:r>
        <w:rPr>
          <w:i/>
        </w:rPr>
        <w:lastRenderedPageBreak/>
        <w:t>6) Análisis de la difusión de las revistas</w:t>
      </w:r>
    </w:p>
    <w:p w:rsidR="00067D89" w:rsidRDefault="00067D89"/>
    <w:p w:rsidR="00067D89" w:rsidRDefault="00A57D41">
      <w:pPr>
        <w:rPr>
          <w:sz w:val="20"/>
          <w:szCs w:val="20"/>
        </w:rPr>
      </w:pPr>
      <w:r>
        <w:rPr>
          <w:sz w:val="20"/>
          <w:szCs w:val="20"/>
        </w:rPr>
        <w:t>Tabla 10</w:t>
      </w:r>
    </w:p>
    <w:p w:rsidR="00067D89" w:rsidRDefault="00A57D41">
      <w:pPr>
        <w:spacing w:line="360" w:lineRule="auto"/>
        <w:rPr>
          <w:sz w:val="20"/>
          <w:szCs w:val="20"/>
        </w:rPr>
      </w:pPr>
      <w:r>
        <w:rPr>
          <w:i/>
          <w:sz w:val="20"/>
          <w:szCs w:val="20"/>
        </w:rPr>
        <w:t xml:space="preserve">Actividad en redes sociales de las revistas </w:t>
      </w:r>
    </w:p>
    <w:tbl>
      <w:tblPr>
        <w:tblStyle w:val="affffffff1"/>
        <w:tblW w:w="7224" w:type="dxa"/>
        <w:tblInd w:w="0" w:type="dxa"/>
        <w:tblBorders>
          <w:top w:val="single" w:sz="4" w:space="0" w:color="000000"/>
          <w:bottom w:val="single" w:sz="4" w:space="0" w:color="000000"/>
        </w:tblBorders>
        <w:tblLayout w:type="fixed"/>
        <w:tblLook w:val="0400" w:firstRow="0" w:lastRow="0" w:firstColumn="0" w:lastColumn="0" w:noHBand="0" w:noVBand="1"/>
      </w:tblPr>
      <w:tblGrid>
        <w:gridCol w:w="2971"/>
        <w:gridCol w:w="851"/>
        <w:gridCol w:w="1275"/>
        <w:gridCol w:w="1134"/>
        <w:gridCol w:w="993"/>
      </w:tblGrid>
      <w:tr w:rsidR="00067D89">
        <w:trPr>
          <w:trHeight w:val="278"/>
        </w:trPr>
        <w:tc>
          <w:tcPr>
            <w:tcW w:w="2971" w:type="dxa"/>
            <w:shd w:val="clear" w:color="auto" w:fill="auto"/>
            <w:vAlign w:val="bottom"/>
          </w:tcPr>
          <w:p w:rsidR="00067D89" w:rsidRDefault="00067D89">
            <w:pPr>
              <w:rPr>
                <w:color w:val="000000"/>
                <w:sz w:val="20"/>
                <w:szCs w:val="20"/>
              </w:rPr>
            </w:pPr>
          </w:p>
        </w:tc>
        <w:tc>
          <w:tcPr>
            <w:tcW w:w="4253" w:type="dxa"/>
            <w:gridSpan w:val="4"/>
            <w:tcBorders>
              <w:bottom w:val="single" w:sz="4" w:space="0" w:color="000000"/>
            </w:tcBorders>
            <w:shd w:val="clear" w:color="auto" w:fill="auto"/>
            <w:vAlign w:val="bottom"/>
          </w:tcPr>
          <w:p w:rsidR="00067D89" w:rsidRDefault="00A57D41">
            <w:pPr>
              <w:jc w:val="center"/>
              <w:rPr>
                <w:color w:val="000000"/>
                <w:sz w:val="20"/>
                <w:szCs w:val="20"/>
              </w:rPr>
            </w:pPr>
            <w:r>
              <w:rPr>
                <w:color w:val="000000"/>
                <w:sz w:val="20"/>
                <w:szCs w:val="20"/>
              </w:rPr>
              <w:t xml:space="preserve">Actividad en el último mes </w:t>
            </w:r>
          </w:p>
        </w:tc>
      </w:tr>
      <w:tr w:rsidR="00067D89">
        <w:trPr>
          <w:trHeight w:val="278"/>
        </w:trPr>
        <w:tc>
          <w:tcPr>
            <w:tcW w:w="2971" w:type="dxa"/>
            <w:tcBorders>
              <w:bottom w:val="single" w:sz="4" w:space="0" w:color="000000"/>
            </w:tcBorders>
            <w:shd w:val="clear" w:color="auto" w:fill="auto"/>
            <w:vAlign w:val="bottom"/>
          </w:tcPr>
          <w:p w:rsidR="00067D89" w:rsidRDefault="00A57D41">
            <w:pPr>
              <w:rPr>
                <w:color w:val="000000"/>
                <w:sz w:val="20"/>
                <w:szCs w:val="20"/>
              </w:rPr>
            </w:pPr>
            <w:r>
              <w:rPr>
                <w:color w:val="000000"/>
                <w:sz w:val="20"/>
                <w:szCs w:val="20"/>
              </w:rPr>
              <w:t xml:space="preserve">Redes sociales </w:t>
            </w:r>
          </w:p>
        </w:tc>
        <w:tc>
          <w:tcPr>
            <w:tcW w:w="851" w:type="dxa"/>
            <w:tcBorders>
              <w:top w:val="single" w:sz="4" w:space="0" w:color="000000"/>
              <w:bottom w:val="single" w:sz="4" w:space="0" w:color="000000"/>
            </w:tcBorders>
            <w:shd w:val="clear" w:color="auto" w:fill="auto"/>
            <w:vAlign w:val="bottom"/>
          </w:tcPr>
          <w:p w:rsidR="00067D89" w:rsidRDefault="00A57D41">
            <w:pPr>
              <w:jc w:val="center"/>
              <w:rPr>
                <w:color w:val="000000"/>
                <w:sz w:val="20"/>
                <w:szCs w:val="20"/>
              </w:rPr>
            </w:pPr>
            <w:r>
              <w:rPr>
                <w:color w:val="000000"/>
                <w:sz w:val="20"/>
                <w:szCs w:val="20"/>
              </w:rPr>
              <w:t>No</w:t>
            </w:r>
          </w:p>
        </w:tc>
        <w:tc>
          <w:tcPr>
            <w:tcW w:w="1275" w:type="dxa"/>
            <w:tcBorders>
              <w:top w:val="single" w:sz="4" w:space="0" w:color="000000"/>
              <w:bottom w:val="single" w:sz="4" w:space="0" w:color="000000"/>
            </w:tcBorders>
            <w:shd w:val="clear" w:color="auto" w:fill="auto"/>
            <w:vAlign w:val="bottom"/>
          </w:tcPr>
          <w:p w:rsidR="00067D89" w:rsidRDefault="00A57D41">
            <w:pPr>
              <w:jc w:val="center"/>
              <w:rPr>
                <w:color w:val="000000"/>
                <w:sz w:val="20"/>
                <w:szCs w:val="20"/>
              </w:rPr>
            </w:pPr>
            <w:r>
              <w:rPr>
                <w:color w:val="000000"/>
                <w:sz w:val="20"/>
                <w:szCs w:val="20"/>
              </w:rPr>
              <w:t>Si Facebook</w:t>
            </w:r>
          </w:p>
        </w:tc>
        <w:tc>
          <w:tcPr>
            <w:tcW w:w="1134" w:type="dxa"/>
            <w:tcBorders>
              <w:top w:val="single" w:sz="4" w:space="0" w:color="000000"/>
              <w:bottom w:val="single" w:sz="4" w:space="0" w:color="000000"/>
            </w:tcBorders>
            <w:shd w:val="clear" w:color="auto" w:fill="auto"/>
            <w:vAlign w:val="bottom"/>
          </w:tcPr>
          <w:p w:rsidR="00067D89" w:rsidRDefault="00A57D41">
            <w:pPr>
              <w:jc w:val="center"/>
              <w:rPr>
                <w:color w:val="000000"/>
                <w:sz w:val="20"/>
                <w:szCs w:val="20"/>
              </w:rPr>
            </w:pPr>
            <w:r>
              <w:rPr>
                <w:color w:val="000000"/>
                <w:sz w:val="20"/>
                <w:szCs w:val="20"/>
              </w:rPr>
              <w:t>Si Twitter</w:t>
            </w:r>
          </w:p>
        </w:tc>
        <w:tc>
          <w:tcPr>
            <w:tcW w:w="993" w:type="dxa"/>
            <w:tcBorders>
              <w:top w:val="single" w:sz="4" w:space="0" w:color="000000"/>
              <w:bottom w:val="single" w:sz="4" w:space="0" w:color="000000"/>
            </w:tcBorders>
            <w:shd w:val="clear" w:color="auto" w:fill="auto"/>
            <w:vAlign w:val="bottom"/>
          </w:tcPr>
          <w:p w:rsidR="00067D89" w:rsidRDefault="00A57D41">
            <w:pPr>
              <w:jc w:val="center"/>
              <w:rPr>
                <w:color w:val="000000"/>
                <w:sz w:val="20"/>
                <w:szCs w:val="20"/>
              </w:rPr>
            </w:pPr>
            <w:r>
              <w:rPr>
                <w:color w:val="000000"/>
                <w:sz w:val="20"/>
                <w:szCs w:val="20"/>
              </w:rPr>
              <w:t>Total</w:t>
            </w:r>
          </w:p>
        </w:tc>
      </w:tr>
      <w:tr w:rsidR="00067D89">
        <w:trPr>
          <w:trHeight w:val="278"/>
        </w:trPr>
        <w:tc>
          <w:tcPr>
            <w:tcW w:w="2971" w:type="dxa"/>
            <w:tcBorders>
              <w:top w:val="single" w:sz="4" w:space="0" w:color="000000"/>
            </w:tcBorders>
            <w:shd w:val="clear" w:color="auto" w:fill="auto"/>
            <w:vAlign w:val="bottom"/>
          </w:tcPr>
          <w:p w:rsidR="00067D89" w:rsidRDefault="00A57D41">
            <w:pPr>
              <w:rPr>
                <w:color w:val="000000"/>
                <w:sz w:val="20"/>
                <w:szCs w:val="20"/>
              </w:rPr>
            </w:pPr>
            <w:r>
              <w:rPr>
                <w:color w:val="000000"/>
                <w:sz w:val="20"/>
                <w:szCs w:val="20"/>
              </w:rPr>
              <w:t>Facebook</w:t>
            </w:r>
          </w:p>
        </w:tc>
        <w:tc>
          <w:tcPr>
            <w:tcW w:w="851" w:type="dxa"/>
            <w:tcBorders>
              <w:top w:val="single" w:sz="4" w:space="0" w:color="000000"/>
            </w:tcBorders>
            <w:shd w:val="clear" w:color="auto" w:fill="auto"/>
            <w:vAlign w:val="bottom"/>
          </w:tcPr>
          <w:p w:rsidR="00067D89" w:rsidRDefault="00A57D41">
            <w:pPr>
              <w:jc w:val="center"/>
              <w:rPr>
                <w:color w:val="000000"/>
                <w:sz w:val="20"/>
                <w:szCs w:val="20"/>
              </w:rPr>
            </w:pPr>
            <w:r>
              <w:rPr>
                <w:color w:val="000000"/>
                <w:sz w:val="20"/>
                <w:szCs w:val="20"/>
              </w:rPr>
              <w:t>2</w:t>
            </w:r>
          </w:p>
        </w:tc>
        <w:tc>
          <w:tcPr>
            <w:tcW w:w="1275" w:type="dxa"/>
            <w:tcBorders>
              <w:top w:val="single" w:sz="4" w:space="0" w:color="000000"/>
            </w:tcBorders>
            <w:shd w:val="clear" w:color="auto" w:fill="auto"/>
            <w:vAlign w:val="bottom"/>
          </w:tcPr>
          <w:p w:rsidR="00067D89" w:rsidRDefault="00A57D41">
            <w:pPr>
              <w:jc w:val="center"/>
              <w:rPr>
                <w:color w:val="000000"/>
                <w:sz w:val="20"/>
                <w:szCs w:val="20"/>
              </w:rPr>
            </w:pPr>
            <w:r>
              <w:rPr>
                <w:color w:val="000000"/>
                <w:sz w:val="20"/>
                <w:szCs w:val="20"/>
              </w:rPr>
              <w:t>3</w:t>
            </w:r>
          </w:p>
        </w:tc>
        <w:tc>
          <w:tcPr>
            <w:tcW w:w="1134" w:type="dxa"/>
            <w:tcBorders>
              <w:top w:val="single" w:sz="4" w:space="0" w:color="000000"/>
            </w:tcBorders>
            <w:shd w:val="clear" w:color="auto" w:fill="auto"/>
            <w:vAlign w:val="bottom"/>
          </w:tcPr>
          <w:p w:rsidR="00067D89" w:rsidRDefault="00A57D41">
            <w:pPr>
              <w:jc w:val="center"/>
              <w:rPr>
                <w:color w:val="000000"/>
                <w:sz w:val="20"/>
                <w:szCs w:val="20"/>
              </w:rPr>
            </w:pPr>
            <w:r>
              <w:rPr>
                <w:color w:val="000000"/>
                <w:sz w:val="20"/>
                <w:szCs w:val="20"/>
              </w:rPr>
              <w:t>0</w:t>
            </w:r>
          </w:p>
        </w:tc>
        <w:tc>
          <w:tcPr>
            <w:tcW w:w="993" w:type="dxa"/>
            <w:tcBorders>
              <w:top w:val="single" w:sz="4" w:space="0" w:color="000000"/>
            </w:tcBorders>
            <w:shd w:val="clear" w:color="auto" w:fill="auto"/>
            <w:vAlign w:val="bottom"/>
          </w:tcPr>
          <w:p w:rsidR="00067D89" w:rsidRDefault="00A57D41">
            <w:pPr>
              <w:jc w:val="center"/>
              <w:rPr>
                <w:color w:val="000000"/>
                <w:sz w:val="20"/>
                <w:szCs w:val="20"/>
              </w:rPr>
            </w:pPr>
            <w:r>
              <w:rPr>
                <w:color w:val="000000"/>
                <w:sz w:val="20"/>
                <w:szCs w:val="20"/>
              </w:rPr>
              <w:t>5</w:t>
            </w:r>
          </w:p>
        </w:tc>
      </w:tr>
      <w:tr w:rsidR="00067D89">
        <w:trPr>
          <w:trHeight w:val="278"/>
        </w:trPr>
        <w:tc>
          <w:tcPr>
            <w:tcW w:w="2971" w:type="dxa"/>
            <w:shd w:val="clear" w:color="auto" w:fill="auto"/>
            <w:vAlign w:val="bottom"/>
          </w:tcPr>
          <w:p w:rsidR="00067D89" w:rsidRDefault="00A57D41">
            <w:pPr>
              <w:rPr>
                <w:color w:val="000000"/>
                <w:sz w:val="20"/>
                <w:szCs w:val="20"/>
              </w:rPr>
            </w:pPr>
            <w:r>
              <w:rPr>
                <w:color w:val="000000"/>
                <w:sz w:val="20"/>
                <w:szCs w:val="20"/>
              </w:rPr>
              <w:t>Twitter</w:t>
            </w:r>
          </w:p>
        </w:tc>
        <w:tc>
          <w:tcPr>
            <w:tcW w:w="851" w:type="dxa"/>
            <w:shd w:val="clear" w:color="auto" w:fill="auto"/>
            <w:vAlign w:val="bottom"/>
          </w:tcPr>
          <w:p w:rsidR="00067D89" w:rsidRDefault="00A57D41">
            <w:pPr>
              <w:jc w:val="center"/>
              <w:rPr>
                <w:color w:val="000000"/>
                <w:sz w:val="20"/>
                <w:szCs w:val="20"/>
              </w:rPr>
            </w:pPr>
            <w:r>
              <w:rPr>
                <w:color w:val="000000"/>
                <w:sz w:val="20"/>
                <w:szCs w:val="20"/>
              </w:rPr>
              <w:t>0</w:t>
            </w:r>
          </w:p>
        </w:tc>
        <w:tc>
          <w:tcPr>
            <w:tcW w:w="1275" w:type="dxa"/>
            <w:shd w:val="clear" w:color="auto" w:fill="auto"/>
            <w:vAlign w:val="bottom"/>
          </w:tcPr>
          <w:p w:rsidR="00067D89" w:rsidRDefault="00A57D41">
            <w:pPr>
              <w:jc w:val="center"/>
              <w:rPr>
                <w:color w:val="000000"/>
                <w:sz w:val="20"/>
                <w:szCs w:val="20"/>
              </w:rPr>
            </w:pPr>
            <w:r>
              <w:rPr>
                <w:color w:val="000000"/>
                <w:sz w:val="20"/>
                <w:szCs w:val="20"/>
              </w:rPr>
              <w:t>0</w:t>
            </w:r>
          </w:p>
        </w:tc>
        <w:tc>
          <w:tcPr>
            <w:tcW w:w="1134" w:type="dxa"/>
            <w:shd w:val="clear" w:color="auto" w:fill="auto"/>
            <w:vAlign w:val="bottom"/>
          </w:tcPr>
          <w:p w:rsidR="00067D89" w:rsidRDefault="00A57D41">
            <w:pPr>
              <w:jc w:val="center"/>
              <w:rPr>
                <w:color w:val="000000"/>
                <w:sz w:val="20"/>
                <w:szCs w:val="20"/>
              </w:rPr>
            </w:pPr>
            <w:r>
              <w:rPr>
                <w:color w:val="000000"/>
                <w:sz w:val="20"/>
                <w:szCs w:val="20"/>
              </w:rPr>
              <w:t>1</w:t>
            </w:r>
          </w:p>
        </w:tc>
        <w:tc>
          <w:tcPr>
            <w:tcW w:w="993" w:type="dxa"/>
            <w:shd w:val="clear" w:color="auto" w:fill="auto"/>
            <w:vAlign w:val="bottom"/>
          </w:tcPr>
          <w:p w:rsidR="00067D89" w:rsidRDefault="00A57D41">
            <w:pPr>
              <w:jc w:val="center"/>
              <w:rPr>
                <w:color w:val="000000"/>
                <w:sz w:val="20"/>
                <w:szCs w:val="20"/>
              </w:rPr>
            </w:pPr>
            <w:r>
              <w:rPr>
                <w:color w:val="000000"/>
                <w:sz w:val="20"/>
                <w:szCs w:val="20"/>
              </w:rPr>
              <w:t>1</w:t>
            </w:r>
          </w:p>
        </w:tc>
      </w:tr>
      <w:tr w:rsidR="00067D89">
        <w:trPr>
          <w:trHeight w:val="278"/>
        </w:trPr>
        <w:tc>
          <w:tcPr>
            <w:tcW w:w="2971" w:type="dxa"/>
            <w:shd w:val="clear" w:color="auto" w:fill="auto"/>
            <w:vAlign w:val="bottom"/>
          </w:tcPr>
          <w:p w:rsidR="00067D89" w:rsidRDefault="00A57D41">
            <w:pPr>
              <w:rPr>
                <w:color w:val="000000"/>
                <w:sz w:val="20"/>
                <w:szCs w:val="20"/>
              </w:rPr>
            </w:pPr>
            <w:r>
              <w:rPr>
                <w:color w:val="000000"/>
                <w:sz w:val="20"/>
                <w:szCs w:val="20"/>
              </w:rPr>
              <w:t>Facebook - Twitter</w:t>
            </w:r>
          </w:p>
        </w:tc>
        <w:tc>
          <w:tcPr>
            <w:tcW w:w="851" w:type="dxa"/>
            <w:shd w:val="clear" w:color="auto" w:fill="auto"/>
            <w:vAlign w:val="bottom"/>
          </w:tcPr>
          <w:p w:rsidR="00067D89" w:rsidRDefault="00A57D41">
            <w:pPr>
              <w:jc w:val="center"/>
              <w:rPr>
                <w:color w:val="000000"/>
                <w:sz w:val="20"/>
                <w:szCs w:val="20"/>
              </w:rPr>
            </w:pPr>
            <w:r>
              <w:rPr>
                <w:color w:val="000000"/>
                <w:sz w:val="20"/>
                <w:szCs w:val="20"/>
              </w:rPr>
              <w:t>0</w:t>
            </w:r>
          </w:p>
        </w:tc>
        <w:tc>
          <w:tcPr>
            <w:tcW w:w="1275" w:type="dxa"/>
            <w:shd w:val="clear" w:color="auto" w:fill="auto"/>
            <w:vAlign w:val="bottom"/>
          </w:tcPr>
          <w:p w:rsidR="00067D89" w:rsidRDefault="00A57D41">
            <w:pPr>
              <w:jc w:val="center"/>
              <w:rPr>
                <w:color w:val="000000"/>
                <w:sz w:val="20"/>
                <w:szCs w:val="20"/>
              </w:rPr>
            </w:pPr>
            <w:r>
              <w:rPr>
                <w:color w:val="000000"/>
                <w:sz w:val="20"/>
                <w:szCs w:val="20"/>
              </w:rPr>
              <w:t>1</w:t>
            </w:r>
          </w:p>
        </w:tc>
        <w:tc>
          <w:tcPr>
            <w:tcW w:w="1134" w:type="dxa"/>
            <w:shd w:val="clear" w:color="auto" w:fill="auto"/>
            <w:vAlign w:val="bottom"/>
          </w:tcPr>
          <w:p w:rsidR="00067D89" w:rsidRDefault="00A57D41">
            <w:pPr>
              <w:jc w:val="center"/>
              <w:rPr>
                <w:color w:val="000000"/>
                <w:sz w:val="20"/>
                <w:szCs w:val="20"/>
              </w:rPr>
            </w:pPr>
            <w:r>
              <w:rPr>
                <w:color w:val="000000"/>
                <w:sz w:val="20"/>
                <w:szCs w:val="20"/>
              </w:rPr>
              <w:t>0</w:t>
            </w:r>
          </w:p>
        </w:tc>
        <w:tc>
          <w:tcPr>
            <w:tcW w:w="993" w:type="dxa"/>
            <w:shd w:val="clear" w:color="auto" w:fill="auto"/>
            <w:vAlign w:val="bottom"/>
          </w:tcPr>
          <w:p w:rsidR="00067D89" w:rsidRDefault="00A57D41">
            <w:pPr>
              <w:jc w:val="center"/>
              <w:rPr>
                <w:color w:val="000000"/>
                <w:sz w:val="20"/>
                <w:szCs w:val="20"/>
              </w:rPr>
            </w:pPr>
            <w:r>
              <w:rPr>
                <w:color w:val="000000"/>
                <w:sz w:val="20"/>
                <w:szCs w:val="20"/>
              </w:rPr>
              <w:t>1</w:t>
            </w:r>
          </w:p>
        </w:tc>
      </w:tr>
      <w:tr w:rsidR="00067D89">
        <w:trPr>
          <w:trHeight w:val="278"/>
        </w:trPr>
        <w:tc>
          <w:tcPr>
            <w:tcW w:w="2971" w:type="dxa"/>
            <w:shd w:val="clear" w:color="auto" w:fill="auto"/>
            <w:vAlign w:val="bottom"/>
          </w:tcPr>
          <w:p w:rsidR="00067D89" w:rsidRDefault="00A57D41">
            <w:pPr>
              <w:rPr>
                <w:color w:val="000000"/>
                <w:sz w:val="20"/>
                <w:szCs w:val="20"/>
              </w:rPr>
            </w:pPr>
            <w:r>
              <w:rPr>
                <w:color w:val="000000"/>
                <w:sz w:val="20"/>
                <w:szCs w:val="20"/>
              </w:rPr>
              <w:t>Ninguna</w:t>
            </w:r>
          </w:p>
        </w:tc>
        <w:tc>
          <w:tcPr>
            <w:tcW w:w="851" w:type="dxa"/>
            <w:shd w:val="clear" w:color="auto" w:fill="auto"/>
            <w:vAlign w:val="bottom"/>
          </w:tcPr>
          <w:p w:rsidR="00067D89" w:rsidRDefault="00A57D41">
            <w:pPr>
              <w:jc w:val="center"/>
              <w:rPr>
                <w:color w:val="000000"/>
                <w:sz w:val="20"/>
                <w:szCs w:val="20"/>
              </w:rPr>
            </w:pPr>
            <w:r>
              <w:rPr>
                <w:color w:val="000000"/>
                <w:sz w:val="20"/>
                <w:szCs w:val="20"/>
              </w:rPr>
              <w:t>13</w:t>
            </w:r>
          </w:p>
        </w:tc>
        <w:tc>
          <w:tcPr>
            <w:tcW w:w="1275" w:type="dxa"/>
            <w:shd w:val="clear" w:color="auto" w:fill="auto"/>
            <w:vAlign w:val="bottom"/>
          </w:tcPr>
          <w:p w:rsidR="00067D89" w:rsidRDefault="00A57D41">
            <w:pPr>
              <w:jc w:val="center"/>
              <w:rPr>
                <w:color w:val="000000"/>
                <w:sz w:val="20"/>
                <w:szCs w:val="20"/>
              </w:rPr>
            </w:pPr>
            <w:r>
              <w:rPr>
                <w:color w:val="000000"/>
                <w:sz w:val="20"/>
                <w:szCs w:val="20"/>
              </w:rPr>
              <w:t>0</w:t>
            </w:r>
          </w:p>
        </w:tc>
        <w:tc>
          <w:tcPr>
            <w:tcW w:w="1134" w:type="dxa"/>
            <w:shd w:val="clear" w:color="auto" w:fill="auto"/>
            <w:vAlign w:val="bottom"/>
          </w:tcPr>
          <w:p w:rsidR="00067D89" w:rsidRDefault="00A57D41">
            <w:pPr>
              <w:jc w:val="center"/>
              <w:rPr>
                <w:color w:val="000000"/>
                <w:sz w:val="20"/>
                <w:szCs w:val="20"/>
              </w:rPr>
            </w:pPr>
            <w:r>
              <w:rPr>
                <w:color w:val="000000"/>
                <w:sz w:val="20"/>
                <w:szCs w:val="20"/>
              </w:rPr>
              <w:t>0</w:t>
            </w:r>
          </w:p>
        </w:tc>
        <w:tc>
          <w:tcPr>
            <w:tcW w:w="993" w:type="dxa"/>
            <w:shd w:val="clear" w:color="auto" w:fill="auto"/>
            <w:vAlign w:val="bottom"/>
          </w:tcPr>
          <w:p w:rsidR="00067D89" w:rsidRDefault="00A57D41">
            <w:pPr>
              <w:jc w:val="center"/>
              <w:rPr>
                <w:color w:val="000000"/>
                <w:sz w:val="20"/>
                <w:szCs w:val="20"/>
              </w:rPr>
            </w:pPr>
            <w:r>
              <w:rPr>
                <w:color w:val="000000"/>
                <w:sz w:val="20"/>
                <w:szCs w:val="20"/>
              </w:rPr>
              <w:t>13</w:t>
            </w:r>
          </w:p>
        </w:tc>
      </w:tr>
      <w:tr w:rsidR="00067D89">
        <w:trPr>
          <w:trHeight w:val="278"/>
        </w:trPr>
        <w:tc>
          <w:tcPr>
            <w:tcW w:w="2971" w:type="dxa"/>
            <w:shd w:val="clear" w:color="auto" w:fill="auto"/>
            <w:vAlign w:val="bottom"/>
          </w:tcPr>
          <w:p w:rsidR="00067D89" w:rsidRDefault="00A57D41">
            <w:pPr>
              <w:rPr>
                <w:color w:val="000000"/>
                <w:sz w:val="20"/>
                <w:szCs w:val="20"/>
              </w:rPr>
            </w:pPr>
            <w:r>
              <w:rPr>
                <w:color w:val="000000"/>
                <w:sz w:val="20"/>
                <w:szCs w:val="20"/>
              </w:rPr>
              <w:t xml:space="preserve">Total </w:t>
            </w:r>
          </w:p>
        </w:tc>
        <w:tc>
          <w:tcPr>
            <w:tcW w:w="851" w:type="dxa"/>
            <w:shd w:val="clear" w:color="auto" w:fill="auto"/>
            <w:vAlign w:val="bottom"/>
          </w:tcPr>
          <w:p w:rsidR="00067D89" w:rsidRDefault="00A57D41">
            <w:pPr>
              <w:jc w:val="center"/>
              <w:rPr>
                <w:color w:val="000000"/>
                <w:sz w:val="20"/>
                <w:szCs w:val="20"/>
              </w:rPr>
            </w:pPr>
            <w:r>
              <w:rPr>
                <w:color w:val="000000"/>
                <w:sz w:val="20"/>
                <w:szCs w:val="20"/>
              </w:rPr>
              <w:t>15</w:t>
            </w:r>
          </w:p>
        </w:tc>
        <w:tc>
          <w:tcPr>
            <w:tcW w:w="1275" w:type="dxa"/>
            <w:shd w:val="clear" w:color="auto" w:fill="auto"/>
            <w:vAlign w:val="bottom"/>
          </w:tcPr>
          <w:p w:rsidR="00067D89" w:rsidRDefault="00A57D41">
            <w:pPr>
              <w:jc w:val="center"/>
              <w:rPr>
                <w:color w:val="000000"/>
                <w:sz w:val="20"/>
                <w:szCs w:val="20"/>
              </w:rPr>
            </w:pPr>
            <w:r>
              <w:rPr>
                <w:color w:val="000000"/>
                <w:sz w:val="20"/>
                <w:szCs w:val="20"/>
              </w:rPr>
              <w:t>4</w:t>
            </w:r>
          </w:p>
        </w:tc>
        <w:tc>
          <w:tcPr>
            <w:tcW w:w="1134" w:type="dxa"/>
            <w:shd w:val="clear" w:color="auto" w:fill="auto"/>
            <w:vAlign w:val="bottom"/>
          </w:tcPr>
          <w:p w:rsidR="00067D89" w:rsidRDefault="00A57D41">
            <w:pPr>
              <w:jc w:val="center"/>
              <w:rPr>
                <w:color w:val="000000"/>
                <w:sz w:val="20"/>
                <w:szCs w:val="20"/>
              </w:rPr>
            </w:pPr>
            <w:r>
              <w:rPr>
                <w:color w:val="000000"/>
                <w:sz w:val="20"/>
                <w:szCs w:val="20"/>
              </w:rPr>
              <w:t>1</w:t>
            </w:r>
          </w:p>
        </w:tc>
        <w:tc>
          <w:tcPr>
            <w:tcW w:w="993" w:type="dxa"/>
            <w:shd w:val="clear" w:color="auto" w:fill="auto"/>
            <w:vAlign w:val="bottom"/>
          </w:tcPr>
          <w:p w:rsidR="00067D89" w:rsidRDefault="00A57D41">
            <w:pPr>
              <w:jc w:val="center"/>
              <w:rPr>
                <w:color w:val="000000"/>
                <w:sz w:val="20"/>
                <w:szCs w:val="20"/>
              </w:rPr>
            </w:pPr>
            <w:r>
              <w:rPr>
                <w:color w:val="000000"/>
                <w:sz w:val="20"/>
                <w:szCs w:val="20"/>
              </w:rPr>
              <w:t>20</w:t>
            </w:r>
          </w:p>
        </w:tc>
      </w:tr>
    </w:tbl>
    <w:p w:rsidR="00067D89" w:rsidRDefault="00067D89"/>
    <w:p w:rsidR="00067D89" w:rsidRDefault="00A57D41">
      <w:pPr>
        <w:spacing w:line="360" w:lineRule="auto"/>
        <w:jc w:val="both"/>
      </w:pPr>
      <w:r>
        <w:t xml:space="preserve">En la tabla 10, se muestra las redes sociales con las que cuentan las revistas de psicología en el Perú. Donde 5 revistas cuentan con una página de Facebook, 1 tiene una cuenta de Twitter, una revista tiene una cuenta de Facebook y Twitter, y 13 revistas no cuentan con ninguna red social para la difusión de sus actividades. De aquellas que cuentas con alguna red social, 4 tuvieron actividad en el último mes en Facebook y una en Twitter. </w:t>
      </w:r>
    </w:p>
    <w:p w:rsidR="00067D89" w:rsidRDefault="00067D89"/>
    <w:p w:rsidR="00067D89" w:rsidRDefault="00A57D41">
      <w:pPr>
        <w:rPr>
          <w:sz w:val="20"/>
          <w:szCs w:val="20"/>
        </w:rPr>
      </w:pPr>
      <w:r>
        <w:rPr>
          <w:sz w:val="20"/>
          <w:szCs w:val="20"/>
        </w:rPr>
        <w:t>Tabla 11</w:t>
      </w:r>
    </w:p>
    <w:p w:rsidR="00067D89" w:rsidRDefault="00A57D41">
      <w:pPr>
        <w:spacing w:line="360" w:lineRule="auto"/>
        <w:rPr>
          <w:sz w:val="20"/>
          <w:szCs w:val="20"/>
        </w:rPr>
      </w:pPr>
      <w:r>
        <w:rPr>
          <w:i/>
          <w:sz w:val="20"/>
          <w:szCs w:val="20"/>
        </w:rPr>
        <w:t xml:space="preserve">Base de datos de indización de las revistas </w:t>
      </w:r>
    </w:p>
    <w:tbl>
      <w:tblPr>
        <w:tblStyle w:val="affffffff2"/>
        <w:tblW w:w="8989" w:type="dxa"/>
        <w:tblInd w:w="0" w:type="dxa"/>
        <w:tblBorders>
          <w:top w:val="single" w:sz="4" w:space="0" w:color="000000"/>
          <w:bottom w:val="single" w:sz="4" w:space="0" w:color="000000"/>
        </w:tblBorders>
        <w:tblLayout w:type="fixed"/>
        <w:tblLook w:val="0400" w:firstRow="0" w:lastRow="0" w:firstColumn="0" w:lastColumn="0" w:noHBand="0" w:noVBand="1"/>
      </w:tblPr>
      <w:tblGrid>
        <w:gridCol w:w="3441"/>
        <w:gridCol w:w="1090"/>
        <w:gridCol w:w="939"/>
        <w:gridCol w:w="781"/>
        <w:gridCol w:w="991"/>
        <w:gridCol w:w="887"/>
        <w:gridCol w:w="860"/>
      </w:tblGrid>
      <w:tr w:rsidR="00067D89">
        <w:trPr>
          <w:trHeight w:val="306"/>
        </w:trPr>
        <w:tc>
          <w:tcPr>
            <w:tcW w:w="3441" w:type="dxa"/>
            <w:vMerge w:val="restart"/>
            <w:shd w:val="clear" w:color="auto" w:fill="auto"/>
            <w:vAlign w:val="bottom"/>
          </w:tcPr>
          <w:p w:rsidR="00067D89" w:rsidRDefault="00A57D41">
            <w:pPr>
              <w:jc w:val="center"/>
              <w:rPr>
                <w:color w:val="000000"/>
                <w:sz w:val="20"/>
                <w:szCs w:val="20"/>
              </w:rPr>
            </w:pPr>
            <w:r>
              <w:rPr>
                <w:color w:val="000000"/>
                <w:sz w:val="20"/>
                <w:szCs w:val="20"/>
              </w:rPr>
              <w:t>Revistas</w:t>
            </w:r>
          </w:p>
        </w:tc>
        <w:tc>
          <w:tcPr>
            <w:tcW w:w="4688" w:type="dxa"/>
            <w:gridSpan w:val="5"/>
            <w:tcBorders>
              <w:bottom w:val="single" w:sz="4" w:space="0" w:color="000000"/>
            </w:tcBorders>
            <w:shd w:val="clear" w:color="auto" w:fill="auto"/>
            <w:vAlign w:val="bottom"/>
          </w:tcPr>
          <w:p w:rsidR="00067D89" w:rsidRDefault="00A57D41">
            <w:pPr>
              <w:jc w:val="center"/>
              <w:rPr>
                <w:color w:val="000000"/>
                <w:sz w:val="20"/>
                <w:szCs w:val="20"/>
              </w:rPr>
            </w:pPr>
            <w:r>
              <w:rPr>
                <w:color w:val="000000"/>
                <w:sz w:val="20"/>
                <w:szCs w:val="20"/>
              </w:rPr>
              <w:t>Base de datos indexada</w:t>
            </w:r>
          </w:p>
        </w:tc>
        <w:tc>
          <w:tcPr>
            <w:tcW w:w="860" w:type="dxa"/>
            <w:tcBorders>
              <w:bottom w:val="single" w:sz="4" w:space="0" w:color="000000"/>
            </w:tcBorders>
            <w:shd w:val="clear" w:color="auto" w:fill="auto"/>
            <w:vAlign w:val="bottom"/>
          </w:tcPr>
          <w:p w:rsidR="00067D89" w:rsidRDefault="00067D89">
            <w:pPr>
              <w:jc w:val="center"/>
              <w:rPr>
                <w:color w:val="000000"/>
                <w:sz w:val="20"/>
                <w:szCs w:val="20"/>
              </w:rPr>
            </w:pPr>
          </w:p>
        </w:tc>
      </w:tr>
      <w:tr w:rsidR="00067D89">
        <w:trPr>
          <w:trHeight w:val="306"/>
        </w:trPr>
        <w:tc>
          <w:tcPr>
            <w:tcW w:w="3441" w:type="dxa"/>
            <w:vMerge/>
            <w:shd w:val="clear" w:color="auto" w:fill="auto"/>
            <w:vAlign w:val="bottom"/>
          </w:tcPr>
          <w:p w:rsidR="00067D89" w:rsidRDefault="00067D89">
            <w:pPr>
              <w:widowControl w:val="0"/>
              <w:pBdr>
                <w:top w:val="nil"/>
                <w:left w:val="nil"/>
                <w:bottom w:val="nil"/>
                <w:right w:val="nil"/>
                <w:between w:val="nil"/>
              </w:pBdr>
              <w:spacing w:line="276" w:lineRule="auto"/>
              <w:rPr>
                <w:color w:val="000000"/>
                <w:sz w:val="20"/>
                <w:szCs w:val="20"/>
              </w:rPr>
            </w:pPr>
          </w:p>
        </w:tc>
        <w:tc>
          <w:tcPr>
            <w:tcW w:w="1090" w:type="dxa"/>
            <w:tcBorders>
              <w:top w:val="single" w:sz="4" w:space="0" w:color="000000"/>
              <w:bottom w:val="single" w:sz="4" w:space="0" w:color="000000"/>
            </w:tcBorders>
            <w:shd w:val="clear" w:color="auto" w:fill="auto"/>
            <w:vAlign w:val="bottom"/>
          </w:tcPr>
          <w:p w:rsidR="00067D89" w:rsidRDefault="00A57D41">
            <w:pPr>
              <w:jc w:val="center"/>
              <w:rPr>
                <w:color w:val="000000"/>
                <w:sz w:val="20"/>
                <w:szCs w:val="20"/>
              </w:rPr>
            </w:pPr>
            <w:r>
              <w:rPr>
                <w:color w:val="000000"/>
                <w:sz w:val="20"/>
                <w:szCs w:val="20"/>
              </w:rPr>
              <w:t>Latindex</w:t>
            </w:r>
          </w:p>
        </w:tc>
        <w:tc>
          <w:tcPr>
            <w:tcW w:w="939" w:type="dxa"/>
            <w:tcBorders>
              <w:top w:val="single" w:sz="4" w:space="0" w:color="000000"/>
              <w:bottom w:val="single" w:sz="4" w:space="0" w:color="000000"/>
            </w:tcBorders>
            <w:shd w:val="clear" w:color="auto" w:fill="auto"/>
            <w:vAlign w:val="bottom"/>
          </w:tcPr>
          <w:p w:rsidR="00067D89" w:rsidRDefault="00A57D41">
            <w:pPr>
              <w:jc w:val="center"/>
              <w:rPr>
                <w:color w:val="000000"/>
                <w:sz w:val="20"/>
                <w:szCs w:val="20"/>
              </w:rPr>
            </w:pPr>
            <w:r>
              <w:rPr>
                <w:color w:val="000000"/>
                <w:sz w:val="20"/>
                <w:szCs w:val="20"/>
              </w:rPr>
              <w:t>Dialnet</w:t>
            </w:r>
          </w:p>
        </w:tc>
        <w:tc>
          <w:tcPr>
            <w:tcW w:w="781" w:type="dxa"/>
            <w:tcBorders>
              <w:top w:val="single" w:sz="4" w:space="0" w:color="000000"/>
              <w:bottom w:val="single" w:sz="4" w:space="0" w:color="000000"/>
            </w:tcBorders>
            <w:shd w:val="clear" w:color="auto" w:fill="auto"/>
            <w:vAlign w:val="bottom"/>
          </w:tcPr>
          <w:p w:rsidR="00067D89" w:rsidRDefault="00A57D41">
            <w:pPr>
              <w:jc w:val="center"/>
              <w:rPr>
                <w:color w:val="000000"/>
                <w:sz w:val="20"/>
                <w:szCs w:val="20"/>
              </w:rPr>
            </w:pPr>
            <w:r>
              <w:rPr>
                <w:color w:val="000000"/>
                <w:sz w:val="20"/>
                <w:szCs w:val="20"/>
              </w:rPr>
              <w:t>Scielo</w:t>
            </w:r>
          </w:p>
        </w:tc>
        <w:tc>
          <w:tcPr>
            <w:tcW w:w="991" w:type="dxa"/>
            <w:tcBorders>
              <w:top w:val="single" w:sz="4" w:space="0" w:color="000000"/>
              <w:bottom w:val="single" w:sz="4" w:space="0" w:color="000000"/>
            </w:tcBorders>
            <w:shd w:val="clear" w:color="auto" w:fill="auto"/>
            <w:vAlign w:val="bottom"/>
          </w:tcPr>
          <w:p w:rsidR="00067D89" w:rsidRDefault="00A57D41">
            <w:pPr>
              <w:jc w:val="center"/>
              <w:rPr>
                <w:color w:val="000000"/>
                <w:sz w:val="20"/>
                <w:szCs w:val="20"/>
              </w:rPr>
            </w:pPr>
            <w:r>
              <w:rPr>
                <w:color w:val="000000"/>
                <w:sz w:val="20"/>
                <w:szCs w:val="20"/>
              </w:rPr>
              <w:t>Redalyc</w:t>
            </w:r>
          </w:p>
        </w:tc>
        <w:tc>
          <w:tcPr>
            <w:tcW w:w="887" w:type="dxa"/>
            <w:tcBorders>
              <w:top w:val="single" w:sz="4" w:space="0" w:color="000000"/>
              <w:bottom w:val="single" w:sz="4" w:space="0" w:color="000000"/>
            </w:tcBorders>
            <w:shd w:val="clear" w:color="auto" w:fill="auto"/>
            <w:vAlign w:val="bottom"/>
          </w:tcPr>
          <w:p w:rsidR="00067D89" w:rsidRDefault="00A57D41">
            <w:pPr>
              <w:jc w:val="center"/>
              <w:rPr>
                <w:color w:val="000000"/>
                <w:sz w:val="20"/>
                <w:szCs w:val="20"/>
              </w:rPr>
            </w:pPr>
            <w:r>
              <w:rPr>
                <w:color w:val="000000"/>
                <w:sz w:val="20"/>
                <w:szCs w:val="20"/>
              </w:rPr>
              <w:t>Scopus</w:t>
            </w:r>
          </w:p>
        </w:tc>
        <w:tc>
          <w:tcPr>
            <w:tcW w:w="860" w:type="dxa"/>
            <w:tcBorders>
              <w:top w:val="single" w:sz="4" w:space="0" w:color="000000"/>
              <w:bottom w:val="single" w:sz="4" w:space="0" w:color="000000"/>
            </w:tcBorders>
            <w:shd w:val="clear" w:color="auto" w:fill="auto"/>
            <w:vAlign w:val="bottom"/>
          </w:tcPr>
          <w:p w:rsidR="00067D89" w:rsidRDefault="00A57D41">
            <w:pPr>
              <w:jc w:val="center"/>
              <w:rPr>
                <w:color w:val="000000"/>
                <w:sz w:val="20"/>
                <w:szCs w:val="20"/>
              </w:rPr>
            </w:pPr>
            <w:r>
              <w:rPr>
                <w:color w:val="000000"/>
                <w:sz w:val="20"/>
                <w:szCs w:val="20"/>
              </w:rPr>
              <w:t>WOS</w:t>
            </w:r>
          </w:p>
        </w:tc>
      </w:tr>
      <w:tr w:rsidR="00067D89">
        <w:trPr>
          <w:trHeight w:val="306"/>
        </w:trPr>
        <w:tc>
          <w:tcPr>
            <w:tcW w:w="3441" w:type="dxa"/>
            <w:tcBorders>
              <w:top w:val="single" w:sz="4" w:space="0" w:color="000000"/>
            </w:tcBorders>
            <w:shd w:val="clear" w:color="auto" w:fill="auto"/>
            <w:vAlign w:val="bottom"/>
          </w:tcPr>
          <w:p w:rsidR="00067D89" w:rsidRDefault="00A57D41">
            <w:pPr>
              <w:rPr>
                <w:color w:val="000000"/>
                <w:sz w:val="20"/>
                <w:szCs w:val="20"/>
              </w:rPr>
            </w:pPr>
            <w:r>
              <w:rPr>
                <w:color w:val="000000"/>
                <w:sz w:val="20"/>
                <w:szCs w:val="20"/>
              </w:rPr>
              <w:t>Revista de Psicología de la PUCP</w:t>
            </w:r>
          </w:p>
        </w:tc>
        <w:tc>
          <w:tcPr>
            <w:tcW w:w="1090" w:type="dxa"/>
            <w:tcBorders>
              <w:top w:val="single" w:sz="4" w:space="0" w:color="000000"/>
            </w:tcBorders>
            <w:shd w:val="clear" w:color="auto" w:fill="auto"/>
            <w:vAlign w:val="bottom"/>
          </w:tcPr>
          <w:p w:rsidR="00067D89" w:rsidRDefault="00A57D41">
            <w:pPr>
              <w:jc w:val="center"/>
              <w:rPr>
                <w:color w:val="000000"/>
                <w:sz w:val="20"/>
                <w:szCs w:val="20"/>
              </w:rPr>
            </w:pPr>
            <w:r>
              <w:rPr>
                <w:color w:val="000000"/>
                <w:sz w:val="20"/>
                <w:szCs w:val="20"/>
              </w:rPr>
              <w:t>1</w:t>
            </w:r>
          </w:p>
        </w:tc>
        <w:tc>
          <w:tcPr>
            <w:tcW w:w="939" w:type="dxa"/>
            <w:tcBorders>
              <w:top w:val="single" w:sz="4" w:space="0" w:color="000000"/>
            </w:tcBorders>
            <w:shd w:val="clear" w:color="auto" w:fill="auto"/>
            <w:vAlign w:val="bottom"/>
          </w:tcPr>
          <w:p w:rsidR="00067D89" w:rsidRDefault="00A57D41">
            <w:pPr>
              <w:jc w:val="center"/>
              <w:rPr>
                <w:color w:val="000000"/>
                <w:sz w:val="20"/>
                <w:szCs w:val="20"/>
              </w:rPr>
            </w:pPr>
            <w:r>
              <w:rPr>
                <w:color w:val="000000"/>
                <w:sz w:val="20"/>
                <w:szCs w:val="20"/>
              </w:rPr>
              <w:t>1</w:t>
            </w:r>
          </w:p>
        </w:tc>
        <w:tc>
          <w:tcPr>
            <w:tcW w:w="781" w:type="dxa"/>
            <w:tcBorders>
              <w:top w:val="single" w:sz="4" w:space="0" w:color="000000"/>
            </w:tcBorders>
            <w:shd w:val="clear" w:color="auto" w:fill="auto"/>
            <w:vAlign w:val="bottom"/>
          </w:tcPr>
          <w:p w:rsidR="00067D89" w:rsidRDefault="00A57D41">
            <w:pPr>
              <w:jc w:val="center"/>
              <w:rPr>
                <w:color w:val="000000"/>
                <w:sz w:val="20"/>
                <w:szCs w:val="20"/>
              </w:rPr>
            </w:pPr>
            <w:r>
              <w:rPr>
                <w:color w:val="000000"/>
                <w:sz w:val="20"/>
                <w:szCs w:val="20"/>
              </w:rPr>
              <w:t>1</w:t>
            </w:r>
          </w:p>
        </w:tc>
        <w:tc>
          <w:tcPr>
            <w:tcW w:w="991" w:type="dxa"/>
            <w:tcBorders>
              <w:top w:val="single" w:sz="4" w:space="0" w:color="000000"/>
            </w:tcBorders>
            <w:shd w:val="clear" w:color="auto" w:fill="auto"/>
            <w:vAlign w:val="bottom"/>
          </w:tcPr>
          <w:p w:rsidR="00067D89" w:rsidRDefault="00A57D41">
            <w:pPr>
              <w:jc w:val="center"/>
              <w:rPr>
                <w:color w:val="000000"/>
                <w:sz w:val="20"/>
                <w:szCs w:val="20"/>
              </w:rPr>
            </w:pPr>
            <w:r>
              <w:rPr>
                <w:color w:val="000000"/>
                <w:sz w:val="20"/>
                <w:szCs w:val="20"/>
              </w:rPr>
              <w:t>1</w:t>
            </w:r>
          </w:p>
        </w:tc>
        <w:tc>
          <w:tcPr>
            <w:tcW w:w="887" w:type="dxa"/>
            <w:tcBorders>
              <w:top w:val="single" w:sz="4" w:space="0" w:color="000000"/>
            </w:tcBorders>
            <w:shd w:val="clear" w:color="auto" w:fill="auto"/>
            <w:vAlign w:val="bottom"/>
          </w:tcPr>
          <w:p w:rsidR="00067D89" w:rsidRDefault="00A57D41">
            <w:pPr>
              <w:jc w:val="center"/>
              <w:rPr>
                <w:color w:val="000000"/>
                <w:sz w:val="20"/>
                <w:szCs w:val="20"/>
              </w:rPr>
            </w:pPr>
            <w:r>
              <w:rPr>
                <w:color w:val="000000"/>
                <w:sz w:val="20"/>
                <w:szCs w:val="20"/>
              </w:rPr>
              <w:t>1</w:t>
            </w:r>
          </w:p>
        </w:tc>
        <w:tc>
          <w:tcPr>
            <w:tcW w:w="860" w:type="dxa"/>
            <w:tcBorders>
              <w:top w:val="single" w:sz="4" w:space="0" w:color="000000"/>
            </w:tcBorders>
            <w:shd w:val="clear" w:color="auto" w:fill="auto"/>
            <w:vAlign w:val="bottom"/>
          </w:tcPr>
          <w:p w:rsidR="00067D89" w:rsidRDefault="00A57D41">
            <w:pPr>
              <w:jc w:val="center"/>
              <w:rPr>
                <w:color w:val="000000"/>
                <w:sz w:val="20"/>
                <w:szCs w:val="20"/>
              </w:rPr>
            </w:pPr>
            <w:r>
              <w:rPr>
                <w:color w:val="000000"/>
                <w:sz w:val="20"/>
                <w:szCs w:val="20"/>
              </w:rPr>
              <w:t>0</w:t>
            </w:r>
          </w:p>
        </w:tc>
      </w:tr>
      <w:tr w:rsidR="00067D89">
        <w:trPr>
          <w:trHeight w:val="306"/>
        </w:trPr>
        <w:tc>
          <w:tcPr>
            <w:tcW w:w="3441" w:type="dxa"/>
            <w:shd w:val="clear" w:color="auto" w:fill="auto"/>
            <w:vAlign w:val="bottom"/>
          </w:tcPr>
          <w:p w:rsidR="00067D89" w:rsidRDefault="00A57D41">
            <w:pPr>
              <w:rPr>
                <w:color w:val="000000"/>
                <w:sz w:val="20"/>
                <w:szCs w:val="20"/>
              </w:rPr>
            </w:pPr>
            <w:r>
              <w:rPr>
                <w:color w:val="000000"/>
                <w:sz w:val="20"/>
                <w:szCs w:val="20"/>
              </w:rPr>
              <w:t>Interacciones</w:t>
            </w:r>
          </w:p>
        </w:tc>
        <w:tc>
          <w:tcPr>
            <w:tcW w:w="1090" w:type="dxa"/>
            <w:shd w:val="clear" w:color="auto" w:fill="auto"/>
            <w:vAlign w:val="bottom"/>
          </w:tcPr>
          <w:p w:rsidR="00067D89" w:rsidRDefault="00A57D41">
            <w:pPr>
              <w:jc w:val="center"/>
              <w:rPr>
                <w:color w:val="000000"/>
                <w:sz w:val="20"/>
                <w:szCs w:val="20"/>
              </w:rPr>
            </w:pPr>
            <w:r>
              <w:rPr>
                <w:color w:val="000000"/>
                <w:sz w:val="20"/>
                <w:szCs w:val="20"/>
              </w:rPr>
              <w:t>1</w:t>
            </w:r>
          </w:p>
        </w:tc>
        <w:tc>
          <w:tcPr>
            <w:tcW w:w="939" w:type="dxa"/>
            <w:shd w:val="clear" w:color="auto" w:fill="auto"/>
            <w:vAlign w:val="bottom"/>
          </w:tcPr>
          <w:p w:rsidR="00067D89" w:rsidRDefault="00A57D41">
            <w:pPr>
              <w:jc w:val="center"/>
              <w:rPr>
                <w:color w:val="000000"/>
                <w:sz w:val="20"/>
                <w:szCs w:val="20"/>
              </w:rPr>
            </w:pPr>
            <w:r>
              <w:rPr>
                <w:color w:val="000000"/>
                <w:sz w:val="20"/>
                <w:szCs w:val="20"/>
              </w:rPr>
              <w:t>1</w:t>
            </w:r>
          </w:p>
        </w:tc>
        <w:tc>
          <w:tcPr>
            <w:tcW w:w="781" w:type="dxa"/>
            <w:shd w:val="clear" w:color="auto" w:fill="auto"/>
            <w:vAlign w:val="bottom"/>
          </w:tcPr>
          <w:p w:rsidR="00067D89" w:rsidRDefault="00A57D41">
            <w:pPr>
              <w:jc w:val="center"/>
              <w:rPr>
                <w:color w:val="000000"/>
                <w:sz w:val="20"/>
                <w:szCs w:val="20"/>
              </w:rPr>
            </w:pPr>
            <w:r>
              <w:rPr>
                <w:color w:val="000000"/>
                <w:sz w:val="20"/>
                <w:szCs w:val="20"/>
              </w:rPr>
              <w:t>1</w:t>
            </w:r>
          </w:p>
        </w:tc>
        <w:tc>
          <w:tcPr>
            <w:tcW w:w="991" w:type="dxa"/>
            <w:shd w:val="clear" w:color="auto" w:fill="auto"/>
            <w:vAlign w:val="bottom"/>
          </w:tcPr>
          <w:p w:rsidR="00067D89" w:rsidRDefault="00A57D41">
            <w:pPr>
              <w:jc w:val="center"/>
              <w:rPr>
                <w:color w:val="000000"/>
                <w:sz w:val="20"/>
                <w:szCs w:val="20"/>
              </w:rPr>
            </w:pPr>
            <w:r>
              <w:rPr>
                <w:color w:val="000000"/>
                <w:sz w:val="20"/>
                <w:szCs w:val="20"/>
              </w:rPr>
              <w:t>1</w:t>
            </w:r>
          </w:p>
        </w:tc>
        <w:tc>
          <w:tcPr>
            <w:tcW w:w="887" w:type="dxa"/>
            <w:shd w:val="clear" w:color="auto" w:fill="auto"/>
            <w:vAlign w:val="bottom"/>
          </w:tcPr>
          <w:p w:rsidR="00067D89" w:rsidRDefault="00067D89">
            <w:pPr>
              <w:jc w:val="center"/>
              <w:rPr>
                <w:color w:val="000000"/>
                <w:sz w:val="20"/>
                <w:szCs w:val="20"/>
              </w:rPr>
            </w:pPr>
          </w:p>
        </w:tc>
        <w:tc>
          <w:tcPr>
            <w:tcW w:w="860" w:type="dxa"/>
            <w:shd w:val="clear" w:color="auto" w:fill="auto"/>
            <w:vAlign w:val="bottom"/>
          </w:tcPr>
          <w:p w:rsidR="00067D89" w:rsidRDefault="00067D89">
            <w:pPr>
              <w:jc w:val="center"/>
              <w:rPr>
                <w:color w:val="000000"/>
                <w:sz w:val="20"/>
                <w:szCs w:val="20"/>
              </w:rPr>
            </w:pPr>
          </w:p>
        </w:tc>
      </w:tr>
      <w:tr w:rsidR="00067D89">
        <w:trPr>
          <w:trHeight w:val="306"/>
        </w:trPr>
        <w:tc>
          <w:tcPr>
            <w:tcW w:w="3441" w:type="dxa"/>
            <w:shd w:val="clear" w:color="auto" w:fill="auto"/>
            <w:vAlign w:val="bottom"/>
          </w:tcPr>
          <w:p w:rsidR="00067D89" w:rsidRDefault="00A57D41">
            <w:pPr>
              <w:rPr>
                <w:color w:val="000000"/>
                <w:sz w:val="20"/>
                <w:szCs w:val="20"/>
              </w:rPr>
            </w:pPr>
            <w:proofErr w:type="spellStart"/>
            <w:r>
              <w:rPr>
                <w:color w:val="000000"/>
                <w:sz w:val="20"/>
                <w:szCs w:val="20"/>
              </w:rPr>
              <w:t>Liberabit</w:t>
            </w:r>
            <w:proofErr w:type="spellEnd"/>
          </w:p>
        </w:tc>
        <w:tc>
          <w:tcPr>
            <w:tcW w:w="1090" w:type="dxa"/>
            <w:shd w:val="clear" w:color="auto" w:fill="auto"/>
            <w:vAlign w:val="bottom"/>
          </w:tcPr>
          <w:p w:rsidR="00067D89" w:rsidRDefault="00A57D41">
            <w:pPr>
              <w:jc w:val="center"/>
              <w:rPr>
                <w:color w:val="000000"/>
                <w:sz w:val="20"/>
                <w:szCs w:val="20"/>
              </w:rPr>
            </w:pPr>
            <w:r>
              <w:rPr>
                <w:color w:val="000000"/>
                <w:sz w:val="20"/>
                <w:szCs w:val="20"/>
              </w:rPr>
              <w:t>1</w:t>
            </w:r>
          </w:p>
        </w:tc>
        <w:tc>
          <w:tcPr>
            <w:tcW w:w="939" w:type="dxa"/>
            <w:shd w:val="clear" w:color="auto" w:fill="auto"/>
            <w:vAlign w:val="bottom"/>
          </w:tcPr>
          <w:p w:rsidR="00067D89" w:rsidRDefault="00A57D41">
            <w:pPr>
              <w:jc w:val="center"/>
              <w:rPr>
                <w:color w:val="000000"/>
                <w:sz w:val="20"/>
                <w:szCs w:val="20"/>
              </w:rPr>
            </w:pPr>
            <w:r>
              <w:rPr>
                <w:color w:val="000000"/>
                <w:sz w:val="20"/>
                <w:szCs w:val="20"/>
              </w:rPr>
              <w:t>1</w:t>
            </w:r>
          </w:p>
        </w:tc>
        <w:tc>
          <w:tcPr>
            <w:tcW w:w="781" w:type="dxa"/>
            <w:shd w:val="clear" w:color="auto" w:fill="auto"/>
            <w:vAlign w:val="bottom"/>
          </w:tcPr>
          <w:p w:rsidR="00067D89" w:rsidRDefault="00A57D41">
            <w:pPr>
              <w:jc w:val="center"/>
              <w:rPr>
                <w:color w:val="000000"/>
                <w:sz w:val="20"/>
                <w:szCs w:val="20"/>
              </w:rPr>
            </w:pPr>
            <w:r>
              <w:rPr>
                <w:color w:val="000000"/>
                <w:sz w:val="20"/>
                <w:szCs w:val="20"/>
              </w:rPr>
              <w:t>1</w:t>
            </w:r>
          </w:p>
        </w:tc>
        <w:tc>
          <w:tcPr>
            <w:tcW w:w="991" w:type="dxa"/>
            <w:shd w:val="clear" w:color="auto" w:fill="auto"/>
            <w:vAlign w:val="bottom"/>
          </w:tcPr>
          <w:p w:rsidR="00067D89" w:rsidRDefault="00A57D41">
            <w:pPr>
              <w:jc w:val="center"/>
              <w:rPr>
                <w:color w:val="000000"/>
                <w:sz w:val="20"/>
                <w:szCs w:val="20"/>
              </w:rPr>
            </w:pPr>
            <w:r>
              <w:rPr>
                <w:color w:val="000000"/>
                <w:sz w:val="20"/>
                <w:szCs w:val="20"/>
              </w:rPr>
              <w:t>1</w:t>
            </w:r>
          </w:p>
        </w:tc>
        <w:tc>
          <w:tcPr>
            <w:tcW w:w="887" w:type="dxa"/>
            <w:shd w:val="clear" w:color="auto" w:fill="auto"/>
            <w:vAlign w:val="bottom"/>
          </w:tcPr>
          <w:p w:rsidR="00067D89" w:rsidRDefault="00067D89">
            <w:pPr>
              <w:jc w:val="center"/>
              <w:rPr>
                <w:color w:val="000000"/>
                <w:sz w:val="20"/>
                <w:szCs w:val="20"/>
              </w:rPr>
            </w:pPr>
          </w:p>
        </w:tc>
        <w:tc>
          <w:tcPr>
            <w:tcW w:w="860" w:type="dxa"/>
            <w:shd w:val="clear" w:color="auto" w:fill="auto"/>
            <w:vAlign w:val="bottom"/>
          </w:tcPr>
          <w:p w:rsidR="00067D89" w:rsidRDefault="00067D89">
            <w:pPr>
              <w:jc w:val="center"/>
              <w:rPr>
                <w:color w:val="000000"/>
                <w:sz w:val="20"/>
                <w:szCs w:val="20"/>
              </w:rPr>
            </w:pPr>
          </w:p>
        </w:tc>
      </w:tr>
      <w:tr w:rsidR="00067D89">
        <w:trPr>
          <w:trHeight w:val="306"/>
        </w:trPr>
        <w:tc>
          <w:tcPr>
            <w:tcW w:w="3441" w:type="dxa"/>
            <w:shd w:val="clear" w:color="auto" w:fill="auto"/>
            <w:vAlign w:val="bottom"/>
          </w:tcPr>
          <w:p w:rsidR="00067D89" w:rsidRDefault="00A57D41">
            <w:pPr>
              <w:rPr>
                <w:color w:val="000000"/>
                <w:sz w:val="20"/>
                <w:szCs w:val="20"/>
              </w:rPr>
            </w:pPr>
            <w:r>
              <w:rPr>
                <w:color w:val="000000"/>
                <w:sz w:val="20"/>
                <w:szCs w:val="20"/>
              </w:rPr>
              <w:t>Persona</w:t>
            </w:r>
          </w:p>
        </w:tc>
        <w:tc>
          <w:tcPr>
            <w:tcW w:w="1090" w:type="dxa"/>
            <w:shd w:val="clear" w:color="auto" w:fill="auto"/>
            <w:vAlign w:val="bottom"/>
          </w:tcPr>
          <w:p w:rsidR="00067D89" w:rsidRDefault="00A57D41">
            <w:pPr>
              <w:jc w:val="center"/>
              <w:rPr>
                <w:color w:val="000000"/>
                <w:sz w:val="20"/>
                <w:szCs w:val="20"/>
              </w:rPr>
            </w:pPr>
            <w:r>
              <w:rPr>
                <w:color w:val="000000"/>
                <w:sz w:val="20"/>
                <w:szCs w:val="20"/>
              </w:rPr>
              <w:t>1</w:t>
            </w:r>
          </w:p>
        </w:tc>
        <w:tc>
          <w:tcPr>
            <w:tcW w:w="939" w:type="dxa"/>
            <w:shd w:val="clear" w:color="auto" w:fill="auto"/>
            <w:vAlign w:val="bottom"/>
          </w:tcPr>
          <w:p w:rsidR="00067D89" w:rsidRDefault="00A57D41">
            <w:pPr>
              <w:jc w:val="center"/>
              <w:rPr>
                <w:color w:val="000000"/>
                <w:sz w:val="20"/>
                <w:szCs w:val="20"/>
              </w:rPr>
            </w:pPr>
            <w:r>
              <w:rPr>
                <w:color w:val="000000"/>
                <w:sz w:val="20"/>
                <w:szCs w:val="20"/>
              </w:rPr>
              <w:t>1</w:t>
            </w:r>
          </w:p>
        </w:tc>
        <w:tc>
          <w:tcPr>
            <w:tcW w:w="781" w:type="dxa"/>
            <w:shd w:val="clear" w:color="auto" w:fill="auto"/>
            <w:vAlign w:val="bottom"/>
          </w:tcPr>
          <w:p w:rsidR="00067D89" w:rsidRDefault="00067D89">
            <w:pPr>
              <w:jc w:val="center"/>
              <w:rPr>
                <w:color w:val="000000"/>
                <w:sz w:val="20"/>
                <w:szCs w:val="20"/>
              </w:rPr>
            </w:pPr>
          </w:p>
        </w:tc>
        <w:tc>
          <w:tcPr>
            <w:tcW w:w="991" w:type="dxa"/>
            <w:shd w:val="clear" w:color="auto" w:fill="auto"/>
            <w:vAlign w:val="bottom"/>
          </w:tcPr>
          <w:p w:rsidR="00067D89" w:rsidRDefault="00A57D41">
            <w:pPr>
              <w:jc w:val="center"/>
              <w:rPr>
                <w:color w:val="000000"/>
                <w:sz w:val="20"/>
                <w:szCs w:val="20"/>
              </w:rPr>
            </w:pPr>
            <w:r>
              <w:rPr>
                <w:color w:val="000000"/>
                <w:sz w:val="20"/>
                <w:szCs w:val="20"/>
              </w:rPr>
              <w:t>1</w:t>
            </w:r>
          </w:p>
        </w:tc>
        <w:tc>
          <w:tcPr>
            <w:tcW w:w="887" w:type="dxa"/>
            <w:shd w:val="clear" w:color="auto" w:fill="auto"/>
            <w:vAlign w:val="bottom"/>
          </w:tcPr>
          <w:p w:rsidR="00067D89" w:rsidRDefault="00067D89">
            <w:pPr>
              <w:jc w:val="center"/>
              <w:rPr>
                <w:color w:val="000000"/>
                <w:sz w:val="20"/>
                <w:szCs w:val="20"/>
              </w:rPr>
            </w:pPr>
          </w:p>
        </w:tc>
        <w:tc>
          <w:tcPr>
            <w:tcW w:w="860" w:type="dxa"/>
            <w:shd w:val="clear" w:color="auto" w:fill="auto"/>
            <w:vAlign w:val="bottom"/>
          </w:tcPr>
          <w:p w:rsidR="00067D89" w:rsidRDefault="00067D89">
            <w:pPr>
              <w:jc w:val="center"/>
              <w:rPr>
                <w:color w:val="000000"/>
                <w:sz w:val="20"/>
                <w:szCs w:val="20"/>
              </w:rPr>
            </w:pPr>
          </w:p>
        </w:tc>
      </w:tr>
      <w:tr w:rsidR="00067D89">
        <w:trPr>
          <w:trHeight w:val="306"/>
        </w:trPr>
        <w:tc>
          <w:tcPr>
            <w:tcW w:w="3441" w:type="dxa"/>
            <w:shd w:val="clear" w:color="auto" w:fill="auto"/>
            <w:vAlign w:val="bottom"/>
          </w:tcPr>
          <w:p w:rsidR="00067D89" w:rsidRDefault="00A57D41">
            <w:pPr>
              <w:rPr>
                <w:color w:val="000000"/>
                <w:sz w:val="20"/>
                <w:szCs w:val="20"/>
              </w:rPr>
            </w:pPr>
            <w:r>
              <w:rPr>
                <w:color w:val="000000"/>
                <w:sz w:val="20"/>
                <w:szCs w:val="20"/>
              </w:rPr>
              <w:t>Propósitos y representaciones</w:t>
            </w:r>
          </w:p>
        </w:tc>
        <w:tc>
          <w:tcPr>
            <w:tcW w:w="1090" w:type="dxa"/>
            <w:shd w:val="clear" w:color="auto" w:fill="auto"/>
            <w:vAlign w:val="bottom"/>
          </w:tcPr>
          <w:p w:rsidR="00067D89" w:rsidRDefault="00A57D41">
            <w:pPr>
              <w:jc w:val="center"/>
              <w:rPr>
                <w:color w:val="000000"/>
                <w:sz w:val="20"/>
                <w:szCs w:val="20"/>
              </w:rPr>
            </w:pPr>
            <w:r>
              <w:rPr>
                <w:color w:val="000000"/>
                <w:sz w:val="20"/>
                <w:szCs w:val="20"/>
              </w:rPr>
              <w:t>1</w:t>
            </w:r>
          </w:p>
        </w:tc>
        <w:tc>
          <w:tcPr>
            <w:tcW w:w="939" w:type="dxa"/>
            <w:shd w:val="clear" w:color="auto" w:fill="auto"/>
            <w:vAlign w:val="bottom"/>
          </w:tcPr>
          <w:p w:rsidR="00067D89" w:rsidRDefault="00A57D41">
            <w:pPr>
              <w:jc w:val="center"/>
              <w:rPr>
                <w:color w:val="000000"/>
                <w:sz w:val="20"/>
                <w:szCs w:val="20"/>
              </w:rPr>
            </w:pPr>
            <w:r>
              <w:rPr>
                <w:color w:val="000000"/>
                <w:sz w:val="20"/>
                <w:szCs w:val="20"/>
              </w:rPr>
              <w:t>1</w:t>
            </w:r>
          </w:p>
        </w:tc>
        <w:tc>
          <w:tcPr>
            <w:tcW w:w="781" w:type="dxa"/>
            <w:shd w:val="clear" w:color="auto" w:fill="auto"/>
            <w:vAlign w:val="bottom"/>
          </w:tcPr>
          <w:p w:rsidR="00067D89" w:rsidRDefault="00A57D41">
            <w:pPr>
              <w:jc w:val="center"/>
              <w:rPr>
                <w:color w:val="000000"/>
                <w:sz w:val="20"/>
                <w:szCs w:val="20"/>
              </w:rPr>
            </w:pPr>
            <w:r>
              <w:rPr>
                <w:color w:val="000000"/>
                <w:sz w:val="20"/>
                <w:szCs w:val="20"/>
              </w:rPr>
              <w:t>1</w:t>
            </w:r>
          </w:p>
        </w:tc>
        <w:tc>
          <w:tcPr>
            <w:tcW w:w="991" w:type="dxa"/>
            <w:shd w:val="clear" w:color="auto" w:fill="auto"/>
            <w:vAlign w:val="bottom"/>
          </w:tcPr>
          <w:p w:rsidR="00067D89" w:rsidRDefault="00067D89">
            <w:pPr>
              <w:jc w:val="center"/>
              <w:rPr>
                <w:color w:val="000000"/>
                <w:sz w:val="20"/>
                <w:szCs w:val="20"/>
              </w:rPr>
            </w:pPr>
          </w:p>
        </w:tc>
        <w:tc>
          <w:tcPr>
            <w:tcW w:w="887" w:type="dxa"/>
            <w:shd w:val="clear" w:color="auto" w:fill="auto"/>
            <w:vAlign w:val="bottom"/>
          </w:tcPr>
          <w:p w:rsidR="00067D89" w:rsidRDefault="00067D89">
            <w:pPr>
              <w:jc w:val="center"/>
              <w:rPr>
                <w:color w:val="000000"/>
                <w:sz w:val="20"/>
                <w:szCs w:val="20"/>
              </w:rPr>
            </w:pPr>
          </w:p>
        </w:tc>
        <w:tc>
          <w:tcPr>
            <w:tcW w:w="860" w:type="dxa"/>
            <w:shd w:val="clear" w:color="auto" w:fill="auto"/>
            <w:vAlign w:val="bottom"/>
          </w:tcPr>
          <w:p w:rsidR="00067D89" w:rsidRDefault="00067D89">
            <w:pPr>
              <w:jc w:val="center"/>
              <w:rPr>
                <w:color w:val="000000"/>
                <w:sz w:val="20"/>
                <w:szCs w:val="20"/>
              </w:rPr>
            </w:pPr>
          </w:p>
        </w:tc>
      </w:tr>
      <w:tr w:rsidR="00067D89">
        <w:trPr>
          <w:trHeight w:val="306"/>
        </w:trPr>
        <w:tc>
          <w:tcPr>
            <w:tcW w:w="3441" w:type="dxa"/>
            <w:shd w:val="clear" w:color="auto" w:fill="auto"/>
            <w:vAlign w:val="bottom"/>
          </w:tcPr>
          <w:p w:rsidR="00067D89" w:rsidRDefault="00A57D41">
            <w:pPr>
              <w:rPr>
                <w:color w:val="000000"/>
                <w:sz w:val="20"/>
                <w:szCs w:val="20"/>
              </w:rPr>
            </w:pPr>
            <w:proofErr w:type="spellStart"/>
            <w:r>
              <w:rPr>
                <w:color w:val="000000"/>
                <w:sz w:val="20"/>
                <w:szCs w:val="20"/>
              </w:rPr>
              <w:t>PsiqueMag</w:t>
            </w:r>
            <w:proofErr w:type="spellEnd"/>
          </w:p>
        </w:tc>
        <w:tc>
          <w:tcPr>
            <w:tcW w:w="1090" w:type="dxa"/>
            <w:shd w:val="clear" w:color="auto" w:fill="auto"/>
            <w:vAlign w:val="bottom"/>
          </w:tcPr>
          <w:p w:rsidR="00067D89" w:rsidRDefault="00A57D41">
            <w:pPr>
              <w:jc w:val="center"/>
              <w:rPr>
                <w:color w:val="000000"/>
                <w:sz w:val="20"/>
                <w:szCs w:val="20"/>
              </w:rPr>
            </w:pPr>
            <w:r>
              <w:rPr>
                <w:color w:val="000000"/>
                <w:sz w:val="20"/>
                <w:szCs w:val="20"/>
              </w:rPr>
              <w:t>1</w:t>
            </w:r>
          </w:p>
        </w:tc>
        <w:tc>
          <w:tcPr>
            <w:tcW w:w="939" w:type="dxa"/>
            <w:shd w:val="clear" w:color="auto" w:fill="auto"/>
            <w:vAlign w:val="bottom"/>
          </w:tcPr>
          <w:p w:rsidR="00067D89" w:rsidRDefault="00067D89">
            <w:pPr>
              <w:jc w:val="center"/>
              <w:rPr>
                <w:color w:val="000000"/>
                <w:sz w:val="20"/>
                <w:szCs w:val="20"/>
              </w:rPr>
            </w:pPr>
          </w:p>
        </w:tc>
        <w:tc>
          <w:tcPr>
            <w:tcW w:w="781" w:type="dxa"/>
            <w:shd w:val="clear" w:color="auto" w:fill="auto"/>
            <w:vAlign w:val="bottom"/>
          </w:tcPr>
          <w:p w:rsidR="00067D89" w:rsidRDefault="00067D89">
            <w:pPr>
              <w:jc w:val="center"/>
              <w:rPr>
                <w:color w:val="000000"/>
                <w:sz w:val="20"/>
                <w:szCs w:val="20"/>
              </w:rPr>
            </w:pPr>
          </w:p>
        </w:tc>
        <w:tc>
          <w:tcPr>
            <w:tcW w:w="991" w:type="dxa"/>
            <w:shd w:val="clear" w:color="auto" w:fill="auto"/>
            <w:vAlign w:val="bottom"/>
          </w:tcPr>
          <w:p w:rsidR="00067D89" w:rsidRDefault="00067D89">
            <w:pPr>
              <w:jc w:val="center"/>
              <w:rPr>
                <w:color w:val="000000"/>
                <w:sz w:val="20"/>
                <w:szCs w:val="20"/>
              </w:rPr>
            </w:pPr>
          </w:p>
        </w:tc>
        <w:tc>
          <w:tcPr>
            <w:tcW w:w="887" w:type="dxa"/>
            <w:shd w:val="clear" w:color="auto" w:fill="auto"/>
            <w:vAlign w:val="bottom"/>
          </w:tcPr>
          <w:p w:rsidR="00067D89" w:rsidRDefault="00067D89">
            <w:pPr>
              <w:jc w:val="center"/>
              <w:rPr>
                <w:color w:val="000000"/>
                <w:sz w:val="20"/>
                <w:szCs w:val="20"/>
              </w:rPr>
            </w:pPr>
          </w:p>
        </w:tc>
        <w:tc>
          <w:tcPr>
            <w:tcW w:w="860" w:type="dxa"/>
            <w:shd w:val="clear" w:color="auto" w:fill="auto"/>
            <w:vAlign w:val="bottom"/>
          </w:tcPr>
          <w:p w:rsidR="00067D89" w:rsidRDefault="00067D89">
            <w:pPr>
              <w:jc w:val="center"/>
              <w:rPr>
                <w:color w:val="000000"/>
                <w:sz w:val="20"/>
                <w:szCs w:val="20"/>
              </w:rPr>
            </w:pPr>
          </w:p>
        </w:tc>
      </w:tr>
      <w:tr w:rsidR="00067D89">
        <w:trPr>
          <w:trHeight w:val="306"/>
        </w:trPr>
        <w:tc>
          <w:tcPr>
            <w:tcW w:w="3441" w:type="dxa"/>
            <w:shd w:val="clear" w:color="auto" w:fill="auto"/>
            <w:vAlign w:val="bottom"/>
          </w:tcPr>
          <w:p w:rsidR="00067D89" w:rsidRDefault="00A57D41">
            <w:pPr>
              <w:rPr>
                <w:color w:val="000000"/>
                <w:sz w:val="20"/>
                <w:szCs w:val="20"/>
              </w:rPr>
            </w:pPr>
            <w:r>
              <w:rPr>
                <w:color w:val="000000"/>
                <w:sz w:val="20"/>
                <w:szCs w:val="20"/>
              </w:rPr>
              <w:t>Revista Avances en Psicología</w:t>
            </w:r>
          </w:p>
        </w:tc>
        <w:tc>
          <w:tcPr>
            <w:tcW w:w="1090" w:type="dxa"/>
            <w:shd w:val="clear" w:color="auto" w:fill="auto"/>
            <w:vAlign w:val="bottom"/>
          </w:tcPr>
          <w:p w:rsidR="00067D89" w:rsidRDefault="00A57D41">
            <w:pPr>
              <w:jc w:val="center"/>
              <w:rPr>
                <w:color w:val="000000"/>
                <w:sz w:val="20"/>
                <w:szCs w:val="20"/>
              </w:rPr>
            </w:pPr>
            <w:r>
              <w:rPr>
                <w:color w:val="000000"/>
                <w:sz w:val="20"/>
                <w:szCs w:val="20"/>
              </w:rPr>
              <w:t>1</w:t>
            </w:r>
          </w:p>
        </w:tc>
        <w:tc>
          <w:tcPr>
            <w:tcW w:w="939" w:type="dxa"/>
            <w:shd w:val="clear" w:color="auto" w:fill="auto"/>
            <w:vAlign w:val="bottom"/>
          </w:tcPr>
          <w:p w:rsidR="00067D89" w:rsidRDefault="00067D89">
            <w:pPr>
              <w:jc w:val="center"/>
              <w:rPr>
                <w:color w:val="000000"/>
                <w:sz w:val="20"/>
                <w:szCs w:val="20"/>
              </w:rPr>
            </w:pPr>
          </w:p>
        </w:tc>
        <w:tc>
          <w:tcPr>
            <w:tcW w:w="781" w:type="dxa"/>
            <w:shd w:val="clear" w:color="auto" w:fill="auto"/>
            <w:vAlign w:val="bottom"/>
          </w:tcPr>
          <w:p w:rsidR="00067D89" w:rsidRDefault="00067D89">
            <w:pPr>
              <w:jc w:val="center"/>
              <w:rPr>
                <w:color w:val="000000"/>
                <w:sz w:val="20"/>
                <w:szCs w:val="20"/>
              </w:rPr>
            </w:pPr>
          </w:p>
        </w:tc>
        <w:tc>
          <w:tcPr>
            <w:tcW w:w="991" w:type="dxa"/>
            <w:shd w:val="clear" w:color="auto" w:fill="auto"/>
            <w:vAlign w:val="bottom"/>
          </w:tcPr>
          <w:p w:rsidR="00067D89" w:rsidRDefault="00067D89">
            <w:pPr>
              <w:jc w:val="center"/>
              <w:rPr>
                <w:color w:val="000000"/>
                <w:sz w:val="20"/>
                <w:szCs w:val="20"/>
              </w:rPr>
            </w:pPr>
          </w:p>
        </w:tc>
        <w:tc>
          <w:tcPr>
            <w:tcW w:w="887" w:type="dxa"/>
            <w:shd w:val="clear" w:color="auto" w:fill="auto"/>
            <w:vAlign w:val="bottom"/>
          </w:tcPr>
          <w:p w:rsidR="00067D89" w:rsidRDefault="00067D89">
            <w:pPr>
              <w:jc w:val="center"/>
              <w:rPr>
                <w:color w:val="000000"/>
                <w:sz w:val="20"/>
                <w:szCs w:val="20"/>
              </w:rPr>
            </w:pPr>
          </w:p>
        </w:tc>
        <w:tc>
          <w:tcPr>
            <w:tcW w:w="860" w:type="dxa"/>
            <w:shd w:val="clear" w:color="auto" w:fill="auto"/>
            <w:vAlign w:val="bottom"/>
          </w:tcPr>
          <w:p w:rsidR="00067D89" w:rsidRDefault="00067D89">
            <w:pPr>
              <w:jc w:val="center"/>
              <w:rPr>
                <w:color w:val="000000"/>
                <w:sz w:val="20"/>
                <w:szCs w:val="20"/>
              </w:rPr>
            </w:pPr>
          </w:p>
        </w:tc>
      </w:tr>
      <w:tr w:rsidR="00067D89">
        <w:trPr>
          <w:trHeight w:val="306"/>
        </w:trPr>
        <w:tc>
          <w:tcPr>
            <w:tcW w:w="3441" w:type="dxa"/>
            <w:shd w:val="clear" w:color="auto" w:fill="auto"/>
            <w:vAlign w:val="bottom"/>
          </w:tcPr>
          <w:p w:rsidR="00067D89" w:rsidRDefault="00A57D41">
            <w:pPr>
              <w:rPr>
                <w:color w:val="000000"/>
                <w:sz w:val="20"/>
                <w:szCs w:val="20"/>
              </w:rPr>
            </w:pPr>
            <w:r>
              <w:rPr>
                <w:color w:val="000000"/>
                <w:sz w:val="20"/>
                <w:szCs w:val="20"/>
              </w:rPr>
              <w:t>Revista de investigación en Psicología</w:t>
            </w:r>
          </w:p>
        </w:tc>
        <w:tc>
          <w:tcPr>
            <w:tcW w:w="1090" w:type="dxa"/>
            <w:shd w:val="clear" w:color="auto" w:fill="auto"/>
            <w:vAlign w:val="bottom"/>
          </w:tcPr>
          <w:p w:rsidR="00067D89" w:rsidRDefault="00A57D41">
            <w:pPr>
              <w:jc w:val="center"/>
              <w:rPr>
                <w:color w:val="000000"/>
                <w:sz w:val="20"/>
                <w:szCs w:val="20"/>
              </w:rPr>
            </w:pPr>
            <w:r>
              <w:rPr>
                <w:color w:val="000000"/>
                <w:sz w:val="20"/>
                <w:szCs w:val="20"/>
              </w:rPr>
              <w:t>1</w:t>
            </w:r>
          </w:p>
        </w:tc>
        <w:tc>
          <w:tcPr>
            <w:tcW w:w="939" w:type="dxa"/>
            <w:shd w:val="clear" w:color="auto" w:fill="auto"/>
            <w:vAlign w:val="bottom"/>
          </w:tcPr>
          <w:p w:rsidR="00067D89" w:rsidRDefault="00067D89">
            <w:pPr>
              <w:jc w:val="center"/>
              <w:rPr>
                <w:color w:val="000000"/>
                <w:sz w:val="20"/>
                <w:szCs w:val="20"/>
              </w:rPr>
            </w:pPr>
          </w:p>
        </w:tc>
        <w:tc>
          <w:tcPr>
            <w:tcW w:w="781" w:type="dxa"/>
            <w:shd w:val="clear" w:color="auto" w:fill="auto"/>
            <w:vAlign w:val="bottom"/>
          </w:tcPr>
          <w:p w:rsidR="00067D89" w:rsidRDefault="00A57D41">
            <w:pPr>
              <w:jc w:val="center"/>
              <w:rPr>
                <w:color w:val="000000"/>
                <w:sz w:val="20"/>
                <w:szCs w:val="20"/>
              </w:rPr>
            </w:pPr>
            <w:r>
              <w:rPr>
                <w:color w:val="000000"/>
                <w:sz w:val="20"/>
                <w:szCs w:val="20"/>
              </w:rPr>
              <w:t>1</w:t>
            </w:r>
          </w:p>
        </w:tc>
        <w:tc>
          <w:tcPr>
            <w:tcW w:w="991" w:type="dxa"/>
            <w:shd w:val="clear" w:color="auto" w:fill="auto"/>
            <w:vAlign w:val="bottom"/>
          </w:tcPr>
          <w:p w:rsidR="00067D89" w:rsidRDefault="00067D89">
            <w:pPr>
              <w:jc w:val="center"/>
              <w:rPr>
                <w:color w:val="000000"/>
                <w:sz w:val="20"/>
                <w:szCs w:val="20"/>
              </w:rPr>
            </w:pPr>
          </w:p>
        </w:tc>
        <w:tc>
          <w:tcPr>
            <w:tcW w:w="887" w:type="dxa"/>
            <w:shd w:val="clear" w:color="auto" w:fill="auto"/>
            <w:vAlign w:val="bottom"/>
          </w:tcPr>
          <w:p w:rsidR="00067D89" w:rsidRDefault="00067D89">
            <w:pPr>
              <w:jc w:val="center"/>
              <w:rPr>
                <w:color w:val="000000"/>
                <w:sz w:val="20"/>
                <w:szCs w:val="20"/>
              </w:rPr>
            </w:pPr>
          </w:p>
        </w:tc>
        <w:tc>
          <w:tcPr>
            <w:tcW w:w="860" w:type="dxa"/>
            <w:shd w:val="clear" w:color="auto" w:fill="auto"/>
            <w:vAlign w:val="bottom"/>
          </w:tcPr>
          <w:p w:rsidR="00067D89" w:rsidRDefault="00067D89">
            <w:pPr>
              <w:jc w:val="center"/>
              <w:rPr>
                <w:color w:val="000000"/>
                <w:sz w:val="20"/>
                <w:szCs w:val="20"/>
              </w:rPr>
            </w:pPr>
          </w:p>
        </w:tc>
      </w:tr>
      <w:tr w:rsidR="00067D89">
        <w:trPr>
          <w:trHeight w:val="306"/>
        </w:trPr>
        <w:tc>
          <w:tcPr>
            <w:tcW w:w="3441" w:type="dxa"/>
            <w:shd w:val="clear" w:color="auto" w:fill="auto"/>
            <w:vAlign w:val="bottom"/>
          </w:tcPr>
          <w:p w:rsidR="00067D89" w:rsidRDefault="00A57D41">
            <w:pPr>
              <w:rPr>
                <w:color w:val="000000"/>
                <w:sz w:val="20"/>
                <w:szCs w:val="20"/>
              </w:rPr>
            </w:pPr>
            <w:r>
              <w:rPr>
                <w:color w:val="000000"/>
                <w:sz w:val="20"/>
                <w:szCs w:val="20"/>
              </w:rPr>
              <w:t>Revista de psicología de la UCSP</w:t>
            </w:r>
          </w:p>
        </w:tc>
        <w:tc>
          <w:tcPr>
            <w:tcW w:w="1090" w:type="dxa"/>
            <w:shd w:val="clear" w:color="auto" w:fill="auto"/>
            <w:vAlign w:val="bottom"/>
          </w:tcPr>
          <w:p w:rsidR="00067D89" w:rsidRDefault="00A57D41">
            <w:pPr>
              <w:jc w:val="center"/>
              <w:rPr>
                <w:color w:val="000000"/>
                <w:sz w:val="20"/>
                <w:szCs w:val="20"/>
              </w:rPr>
            </w:pPr>
            <w:r>
              <w:rPr>
                <w:color w:val="000000"/>
                <w:sz w:val="20"/>
                <w:szCs w:val="20"/>
              </w:rPr>
              <w:t>1</w:t>
            </w:r>
          </w:p>
        </w:tc>
        <w:tc>
          <w:tcPr>
            <w:tcW w:w="939" w:type="dxa"/>
            <w:shd w:val="clear" w:color="auto" w:fill="auto"/>
            <w:vAlign w:val="bottom"/>
          </w:tcPr>
          <w:p w:rsidR="00067D89" w:rsidRDefault="00A57D41">
            <w:pPr>
              <w:jc w:val="center"/>
              <w:rPr>
                <w:color w:val="000000"/>
                <w:sz w:val="20"/>
                <w:szCs w:val="20"/>
              </w:rPr>
            </w:pPr>
            <w:r>
              <w:rPr>
                <w:color w:val="000000"/>
                <w:sz w:val="20"/>
                <w:szCs w:val="20"/>
              </w:rPr>
              <w:t>1</w:t>
            </w:r>
          </w:p>
        </w:tc>
        <w:tc>
          <w:tcPr>
            <w:tcW w:w="781" w:type="dxa"/>
            <w:shd w:val="clear" w:color="auto" w:fill="auto"/>
            <w:vAlign w:val="bottom"/>
          </w:tcPr>
          <w:p w:rsidR="00067D89" w:rsidRDefault="00067D89">
            <w:pPr>
              <w:jc w:val="center"/>
              <w:rPr>
                <w:color w:val="000000"/>
                <w:sz w:val="20"/>
                <w:szCs w:val="20"/>
              </w:rPr>
            </w:pPr>
          </w:p>
        </w:tc>
        <w:tc>
          <w:tcPr>
            <w:tcW w:w="991" w:type="dxa"/>
            <w:shd w:val="clear" w:color="auto" w:fill="auto"/>
            <w:vAlign w:val="bottom"/>
          </w:tcPr>
          <w:p w:rsidR="00067D89" w:rsidRDefault="00067D89">
            <w:pPr>
              <w:jc w:val="center"/>
              <w:rPr>
                <w:color w:val="000000"/>
                <w:sz w:val="20"/>
                <w:szCs w:val="20"/>
              </w:rPr>
            </w:pPr>
          </w:p>
        </w:tc>
        <w:tc>
          <w:tcPr>
            <w:tcW w:w="887" w:type="dxa"/>
            <w:shd w:val="clear" w:color="auto" w:fill="auto"/>
            <w:vAlign w:val="bottom"/>
          </w:tcPr>
          <w:p w:rsidR="00067D89" w:rsidRDefault="00067D89">
            <w:pPr>
              <w:jc w:val="center"/>
              <w:rPr>
                <w:color w:val="000000"/>
                <w:sz w:val="20"/>
                <w:szCs w:val="20"/>
              </w:rPr>
            </w:pPr>
          </w:p>
        </w:tc>
        <w:tc>
          <w:tcPr>
            <w:tcW w:w="860" w:type="dxa"/>
            <w:shd w:val="clear" w:color="auto" w:fill="auto"/>
            <w:vAlign w:val="bottom"/>
          </w:tcPr>
          <w:p w:rsidR="00067D89" w:rsidRDefault="00067D89">
            <w:pPr>
              <w:jc w:val="center"/>
              <w:rPr>
                <w:color w:val="000000"/>
                <w:sz w:val="20"/>
                <w:szCs w:val="20"/>
              </w:rPr>
            </w:pPr>
          </w:p>
        </w:tc>
      </w:tr>
      <w:tr w:rsidR="00067D89">
        <w:trPr>
          <w:trHeight w:val="306"/>
        </w:trPr>
        <w:tc>
          <w:tcPr>
            <w:tcW w:w="3441" w:type="dxa"/>
            <w:shd w:val="clear" w:color="auto" w:fill="auto"/>
            <w:vAlign w:val="bottom"/>
          </w:tcPr>
          <w:p w:rsidR="00067D89" w:rsidRDefault="00A57D41">
            <w:pPr>
              <w:rPr>
                <w:color w:val="000000"/>
                <w:sz w:val="20"/>
                <w:szCs w:val="20"/>
              </w:rPr>
            </w:pPr>
            <w:r>
              <w:rPr>
                <w:color w:val="000000"/>
                <w:sz w:val="20"/>
                <w:szCs w:val="20"/>
              </w:rPr>
              <w:t>Revista de psicología de la UCV</w:t>
            </w:r>
          </w:p>
        </w:tc>
        <w:tc>
          <w:tcPr>
            <w:tcW w:w="1090" w:type="dxa"/>
            <w:shd w:val="clear" w:color="auto" w:fill="auto"/>
            <w:vAlign w:val="bottom"/>
          </w:tcPr>
          <w:p w:rsidR="00067D89" w:rsidRDefault="00A57D41">
            <w:pPr>
              <w:jc w:val="center"/>
              <w:rPr>
                <w:color w:val="000000"/>
                <w:sz w:val="20"/>
                <w:szCs w:val="20"/>
              </w:rPr>
            </w:pPr>
            <w:r>
              <w:rPr>
                <w:color w:val="000000"/>
                <w:sz w:val="20"/>
                <w:szCs w:val="20"/>
              </w:rPr>
              <w:t>1</w:t>
            </w:r>
          </w:p>
        </w:tc>
        <w:tc>
          <w:tcPr>
            <w:tcW w:w="939" w:type="dxa"/>
            <w:shd w:val="clear" w:color="auto" w:fill="auto"/>
            <w:vAlign w:val="bottom"/>
          </w:tcPr>
          <w:p w:rsidR="00067D89" w:rsidRDefault="00067D89">
            <w:pPr>
              <w:jc w:val="center"/>
              <w:rPr>
                <w:color w:val="000000"/>
                <w:sz w:val="20"/>
                <w:szCs w:val="20"/>
              </w:rPr>
            </w:pPr>
          </w:p>
        </w:tc>
        <w:tc>
          <w:tcPr>
            <w:tcW w:w="781" w:type="dxa"/>
            <w:shd w:val="clear" w:color="auto" w:fill="auto"/>
            <w:vAlign w:val="bottom"/>
          </w:tcPr>
          <w:p w:rsidR="00067D89" w:rsidRDefault="00067D89">
            <w:pPr>
              <w:jc w:val="center"/>
              <w:rPr>
                <w:color w:val="000000"/>
                <w:sz w:val="20"/>
                <w:szCs w:val="20"/>
              </w:rPr>
            </w:pPr>
          </w:p>
        </w:tc>
        <w:tc>
          <w:tcPr>
            <w:tcW w:w="991" w:type="dxa"/>
            <w:shd w:val="clear" w:color="auto" w:fill="auto"/>
            <w:vAlign w:val="bottom"/>
          </w:tcPr>
          <w:p w:rsidR="00067D89" w:rsidRDefault="00067D89">
            <w:pPr>
              <w:jc w:val="center"/>
              <w:rPr>
                <w:color w:val="000000"/>
                <w:sz w:val="20"/>
                <w:szCs w:val="20"/>
              </w:rPr>
            </w:pPr>
          </w:p>
        </w:tc>
        <w:tc>
          <w:tcPr>
            <w:tcW w:w="887" w:type="dxa"/>
            <w:shd w:val="clear" w:color="auto" w:fill="auto"/>
            <w:vAlign w:val="bottom"/>
          </w:tcPr>
          <w:p w:rsidR="00067D89" w:rsidRDefault="00067D89">
            <w:pPr>
              <w:jc w:val="center"/>
              <w:rPr>
                <w:color w:val="000000"/>
                <w:sz w:val="20"/>
                <w:szCs w:val="20"/>
              </w:rPr>
            </w:pPr>
          </w:p>
        </w:tc>
        <w:tc>
          <w:tcPr>
            <w:tcW w:w="860" w:type="dxa"/>
            <w:shd w:val="clear" w:color="auto" w:fill="auto"/>
            <w:vAlign w:val="bottom"/>
          </w:tcPr>
          <w:p w:rsidR="00067D89" w:rsidRDefault="00067D89">
            <w:pPr>
              <w:jc w:val="center"/>
              <w:rPr>
                <w:color w:val="000000"/>
                <w:sz w:val="20"/>
                <w:szCs w:val="20"/>
              </w:rPr>
            </w:pPr>
          </w:p>
        </w:tc>
      </w:tr>
      <w:tr w:rsidR="00067D89">
        <w:trPr>
          <w:trHeight w:val="306"/>
        </w:trPr>
        <w:tc>
          <w:tcPr>
            <w:tcW w:w="3441" w:type="dxa"/>
            <w:shd w:val="clear" w:color="auto" w:fill="auto"/>
            <w:vAlign w:val="bottom"/>
          </w:tcPr>
          <w:p w:rsidR="00067D89" w:rsidRDefault="00A57D41">
            <w:pPr>
              <w:rPr>
                <w:color w:val="000000"/>
                <w:sz w:val="20"/>
                <w:szCs w:val="20"/>
              </w:rPr>
            </w:pPr>
            <w:r>
              <w:rPr>
                <w:color w:val="000000"/>
                <w:sz w:val="20"/>
                <w:szCs w:val="20"/>
              </w:rPr>
              <w:t>Revista Psicológica Herediana</w:t>
            </w:r>
          </w:p>
        </w:tc>
        <w:tc>
          <w:tcPr>
            <w:tcW w:w="1090" w:type="dxa"/>
            <w:shd w:val="clear" w:color="auto" w:fill="auto"/>
            <w:vAlign w:val="bottom"/>
          </w:tcPr>
          <w:p w:rsidR="00067D89" w:rsidRDefault="00A57D41">
            <w:pPr>
              <w:jc w:val="center"/>
              <w:rPr>
                <w:color w:val="000000"/>
                <w:sz w:val="20"/>
                <w:szCs w:val="20"/>
              </w:rPr>
            </w:pPr>
            <w:r>
              <w:rPr>
                <w:color w:val="000000"/>
                <w:sz w:val="20"/>
                <w:szCs w:val="20"/>
              </w:rPr>
              <w:t>1</w:t>
            </w:r>
          </w:p>
        </w:tc>
        <w:tc>
          <w:tcPr>
            <w:tcW w:w="939" w:type="dxa"/>
            <w:shd w:val="clear" w:color="auto" w:fill="auto"/>
            <w:vAlign w:val="bottom"/>
          </w:tcPr>
          <w:p w:rsidR="00067D89" w:rsidRDefault="00067D89">
            <w:pPr>
              <w:jc w:val="center"/>
              <w:rPr>
                <w:color w:val="000000"/>
                <w:sz w:val="20"/>
                <w:szCs w:val="20"/>
              </w:rPr>
            </w:pPr>
          </w:p>
        </w:tc>
        <w:tc>
          <w:tcPr>
            <w:tcW w:w="781" w:type="dxa"/>
            <w:shd w:val="clear" w:color="auto" w:fill="auto"/>
            <w:vAlign w:val="bottom"/>
          </w:tcPr>
          <w:p w:rsidR="00067D89" w:rsidRDefault="00067D89">
            <w:pPr>
              <w:jc w:val="center"/>
              <w:rPr>
                <w:color w:val="000000"/>
                <w:sz w:val="20"/>
                <w:szCs w:val="20"/>
              </w:rPr>
            </w:pPr>
          </w:p>
        </w:tc>
        <w:tc>
          <w:tcPr>
            <w:tcW w:w="991" w:type="dxa"/>
            <w:shd w:val="clear" w:color="auto" w:fill="auto"/>
            <w:vAlign w:val="bottom"/>
          </w:tcPr>
          <w:p w:rsidR="00067D89" w:rsidRDefault="00067D89">
            <w:pPr>
              <w:jc w:val="center"/>
              <w:rPr>
                <w:color w:val="000000"/>
                <w:sz w:val="20"/>
                <w:szCs w:val="20"/>
              </w:rPr>
            </w:pPr>
          </w:p>
        </w:tc>
        <w:tc>
          <w:tcPr>
            <w:tcW w:w="887" w:type="dxa"/>
            <w:shd w:val="clear" w:color="auto" w:fill="auto"/>
            <w:vAlign w:val="bottom"/>
          </w:tcPr>
          <w:p w:rsidR="00067D89" w:rsidRDefault="00067D89">
            <w:pPr>
              <w:jc w:val="center"/>
              <w:rPr>
                <w:color w:val="000000"/>
                <w:sz w:val="20"/>
                <w:szCs w:val="20"/>
              </w:rPr>
            </w:pPr>
          </w:p>
        </w:tc>
        <w:tc>
          <w:tcPr>
            <w:tcW w:w="860" w:type="dxa"/>
            <w:shd w:val="clear" w:color="auto" w:fill="auto"/>
            <w:vAlign w:val="bottom"/>
          </w:tcPr>
          <w:p w:rsidR="00067D89" w:rsidRDefault="00067D89">
            <w:pPr>
              <w:jc w:val="center"/>
              <w:rPr>
                <w:color w:val="000000"/>
                <w:sz w:val="20"/>
                <w:szCs w:val="20"/>
              </w:rPr>
            </w:pPr>
          </w:p>
        </w:tc>
      </w:tr>
      <w:tr w:rsidR="00067D89">
        <w:trPr>
          <w:trHeight w:val="306"/>
        </w:trPr>
        <w:tc>
          <w:tcPr>
            <w:tcW w:w="3441" w:type="dxa"/>
            <w:shd w:val="clear" w:color="auto" w:fill="auto"/>
            <w:vAlign w:val="bottom"/>
          </w:tcPr>
          <w:p w:rsidR="00067D89" w:rsidRDefault="00A57D41">
            <w:pPr>
              <w:rPr>
                <w:color w:val="000000"/>
                <w:sz w:val="20"/>
                <w:szCs w:val="20"/>
              </w:rPr>
            </w:pPr>
            <w:r>
              <w:rPr>
                <w:color w:val="000000"/>
                <w:sz w:val="20"/>
                <w:szCs w:val="20"/>
              </w:rPr>
              <w:t xml:space="preserve">Total </w:t>
            </w:r>
          </w:p>
        </w:tc>
        <w:tc>
          <w:tcPr>
            <w:tcW w:w="1090" w:type="dxa"/>
            <w:shd w:val="clear" w:color="auto" w:fill="auto"/>
            <w:vAlign w:val="bottom"/>
          </w:tcPr>
          <w:p w:rsidR="00067D89" w:rsidRDefault="00A57D41">
            <w:pPr>
              <w:jc w:val="center"/>
              <w:rPr>
                <w:color w:val="000000"/>
                <w:sz w:val="20"/>
                <w:szCs w:val="20"/>
              </w:rPr>
            </w:pPr>
            <w:r>
              <w:rPr>
                <w:color w:val="000000"/>
                <w:sz w:val="20"/>
                <w:szCs w:val="20"/>
              </w:rPr>
              <w:t>11</w:t>
            </w:r>
          </w:p>
        </w:tc>
        <w:tc>
          <w:tcPr>
            <w:tcW w:w="939" w:type="dxa"/>
            <w:shd w:val="clear" w:color="auto" w:fill="auto"/>
            <w:vAlign w:val="bottom"/>
          </w:tcPr>
          <w:p w:rsidR="00067D89" w:rsidRDefault="00A57D41">
            <w:pPr>
              <w:jc w:val="center"/>
              <w:rPr>
                <w:color w:val="000000"/>
                <w:sz w:val="20"/>
                <w:szCs w:val="20"/>
              </w:rPr>
            </w:pPr>
            <w:r>
              <w:rPr>
                <w:color w:val="000000"/>
                <w:sz w:val="20"/>
                <w:szCs w:val="20"/>
              </w:rPr>
              <w:t>6</w:t>
            </w:r>
          </w:p>
        </w:tc>
        <w:tc>
          <w:tcPr>
            <w:tcW w:w="781" w:type="dxa"/>
            <w:shd w:val="clear" w:color="auto" w:fill="auto"/>
            <w:vAlign w:val="bottom"/>
          </w:tcPr>
          <w:p w:rsidR="00067D89" w:rsidRDefault="00A57D41">
            <w:pPr>
              <w:jc w:val="center"/>
              <w:rPr>
                <w:color w:val="000000"/>
                <w:sz w:val="20"/>
                <w:szCs w:val="20"/>
              </w:rPr>
            </w:pPr>
            <w:r>
              <w:rPr>
                <w:color w:val="000000"/>
                <w:sz w:val="20"/>
                <w:szCs w:val="20"/>
              </w:rPr>
              <w:t>5</w:t>
            </w:r>
          </w:p>
        </w:tc>
        <w:tc>
          <w:tcPr>
            <w:tcW w:w="991" w:type="dxa"/>
            <w:shd w:val="clear" w:color="auto" w:fill="auto"/>
            <w:vAlign w:val="bottom"/>
          </w:tcPr>
          <w:p w:rsidR="00067D89" w:rsidRDefault="00A57D41">
            <w:pPr>
              <w:jc w:val="center"/>
              <w:rPr>
                <w:color w:val="000000"/>
                <w:sz w:val="20"/>
                <w:szCs w:val="20"/>
              </w:rPr>
            </w:pPr>
            <w:r>
              <w:rPr>
                <w:color w:val="000000"/>
                <w:sz w:val="20"/>
                <w:szCs w:val="20"/>
              </w:rPr>
              <w:t>4</w:t>
            </w:r>
          </w:p>
        </w:tc>
        <w:tc>
          <w:tcPr>
            <w:tcW w:w="887" w:type="dxa"/>
            <w:shd w:val="clear" w:color="auto" w:fill="auto"/>
            <w:vAlign w:val="bottom"/>
          </w:tcPr>
          <w:p w:rsidR="00067D89" w:rsidRDefault="00A57D41">
            <w:pPr>
              <w:jc w:val="center"/>
              <w:rPr>
                <w:color w:val="000000"/>
                <w:sz w:val="20"/>
                <w:szCs w:val="20"/>
              </w:rPr>
            </w:pPr>
            <w:r>
              <w:rPr>
                <w:color w:val="000000"/>
                <w:sz w:val="20"/>
                <w:szCs w:val="20"/>
              </w:rPr>
              <w:t>1</w:t>
            </w:r>
          </w:p>
        </w:tc>
        <w:tc>
          <w:tcPr>
            <w:tcW w:w="860" w:type="dxa"/>
            <w:shd w:val="clear" w:color="auto" w:fill="auto"/>
            <w:vAlign w:val="bottom"/>
          </w:tcPr>
          <w:p w:rsidR="00067D89" w:rsidRDefault="00A57D41">
            <w:pPr>
              <w:jc w:val="center"/>
              <w:rPr>
                <w:color w:val="000000"/>
                <w:sz w:val="20"/>
                <w:szCs w:val="20"/>
              </w:rPr>
            </w:pPr>
            <w:r>
              <w:rPr>
                <w:color w:val="000000"/>
                <w:sz w:val="20"/>
                <w:szCs w:val="20"/>
              </w:rPr>
              <w:t>0</w:t>
            </w:r>
          </w:p>
        </w:tc>
      </w:tr>
    </w:tbl>
    <w:p w:rsidR="00067D89" w:rsidRDefault="00067D89"/>
    <w:p w:rsidR="00067D89" w:rsidRDefault="00A57D41">
      <w:pPr>
        <w:spacing w:line="360" w:lineRule="auto"/>
        <w:jc w:val="both"/>
      </w:pPr>
      <w:bookmarkStart w:id="11" w:name="_heading=h.3znysh7" w:colFirst="0" w:colLast="0"/>
      <w:bookmarkEnd w:id="11"/>
      <w:r>
        <w:t xml:space="preserve">En la tabla 11, se observa las bases de datos en las cuales están indexadas las revistas de psicología en el Perú. Donde once revistas están indexadas mínimamente en Latindex, seis revistas están indexadas adicional en Dialnet, cinco adicional en Scielo, cuatro adicional en Redalyc, una revista está indizada adicional en Scopus. Una revista está indizada en Latindex, Dialnet, Scielo, Redalyc y Scopus. Dos revistas están indexadas en Latindex, Dialnet, Scielo y Redalyc. Dos revistas están </w:t>
      </w:r>
      <w:r>
        <w:lastRenderedPageBreak/>
        <w:t xml:space="preserve">indexadas en Latindex, Dialnet y Redalyc, una revista está indizada en Latindex, Dialnet y Scielo. Una revista está indizada en Latindex y Scielo y una revista está indizada en Latindex y Dialnet. Por último, ninguna revista está indizada en WOS. </w:t>
      </w:r>
    </w:p>
    <w:p w:rsidR="00067D89" w:rsidRDefault="00067D89">
      <w:pPr>
        <w:spacing w:line="360" w:lineRule="auto"/>
        <w:jc w:val="both"/>
        <w:rPr>
          <w:b/>
          <w:color w:val="000000"/>
        </w:rPr>
      </w:pPr>
    </w:p>
    <w:p w:rsidR="00067D89" w:rsidRDefault="00A57D41">
      <w:pPr>
        <w:spacing w:line="360" w:lineRule="auto"/>
        <w:jc w:val="center"/>
        <w:rPr>
          <w:b/>
          <w:color w:val="000000"/>
        </w:rPr>
      </w:pPr>
      <w:r>
        <w:rPr>
          <w:b/>
          <w:color w:val="000000"/>
        </w:rPr>
        <w:t>Discusión</w:t>
      </w:r>
    </w:p>
    <w:p w:rsidR="00067D89" w:rsidRDefault="00067D89">
      <w:pPr>
        <w:jc w:val="both"/>
        <w:rPr>
          <w:sz w:val="20"/>
          <w:szCs w:val="20"/>
        </w:rPr>
      </w:pPr>
      <w:bookmarkStart w:id="12" w:name="_heading=h.v7qucv28hhge" w:colFirst="0" w:colLast="0"/>
      <w:bookmarkEnd w:id="12"/>
    </w:p>
    <w:p w:rsidR="00067D89" w:rsidRDefault="00A57D41">
      <w:pPr>
        <w:pBdr>
          <w:top w:val="nil"/>
          <w:left w:val="nil"/>
          <w:bottom w:val="nil"/>
          <w:right w:val="nil"/>
          <w:between w:val="nil"/>
        </w:pBdr>
        <w:spacing w:line="360" w:lineRule="auto"/>
        <w:ind w:firstLine="708"/>
        <w:jc w:val="both"/>
        <w:rPr>
          <w:color w:val="000000"/>
        </w:rPr>
      </w:pPr>
      <w:r>
        <w:t>A modo de introducción el estudio realiza una revisión histórica de las publicaciones psicológicas hasta el inicio de las publicaciones sistematizadas. En el</w:t>
      </w:r>
      <w:r>
        <w:rPr>
          <w:color w:val="000000"/>
        </w:rPr>
        <w:t xml:space="preserve"> Perú las primeras publicaciones relacionadas a tópicos </w:t>
      </w:r>
      <w:r>
        <w:t>psicológicos</w:t>
      </w:r>
      <w:r>
        <w:rPr>
          <w:color w:val="000000"/>
        </w:rPr>
        <w:t xml:space="preserve"> se hicieron en prensa, gacetas y periódicos hasta fines del siglo XIX. Durante la primera mitad </w:t>
      </w:r>
      <w:r>
        <w:t>del siglo XX</w:t>
      </w:r>
      <w:r>
        <w:rPr>
          <w:color w:val="000000"/>
        </w:rPr>
        <w:t xml:space="preserve">, las investigaciones psicológicas se publicaron en revistas afines a la disciplina, como la medicina, filosofía, educación y psiquiatría. Panorama similar ocurrió en </w:t>
      </w:r>
      <w:r>
        <w:t xml:space="preserve">países como </w:t>
      </w:r>
      <w:r>
        <w:rPr>
          <w:color w:val="000000"/>
        </w:rPr>
        <w:t>Argentina donde las publicaciones iniciales también se dieron en medios afines al campo disciplinar de la psicología (</w:t>
      </w:r>
      <w:proofErr w:type="spellStart"/>
      <w:r>
        <w:rPr>
          <w:color w:val="000000"/>
        </w:rPr>
        <w:t>Visca</w:t>
      </w:r>
      <w:proofErr w:type="spellEnd"/>
      <w:r>
        <w:rPr>
          <w:color w:val="000000"/>
        </w:rPr>
        <w:t xml:space="preserve"> et al., 2018).  La década de 1950 en la psicología peruana tuvo grandes avances, como la creación de la Sociedad Peruana de Psicología en 1954 (Alarcón, 2017) y la edición de “Revista de Psicología” en 1959. Esto </w:t>
      </w:r>
      <w:r>
        <w:t>inició</w:t>
      </w:r>
      <w:r>
        <w:rPr>
          <w:color w:val="000000"/>
        </w:rPr>
        <w:t xml:space="preserve"> las publicaciones sistematizadas de la disciplina, y como consecuencia la edición de varias revistas de psicología. Parece ser que estos hechos no ocurrieron de forma aislada, ya que sucesos similares ocurrieron en Argentina, Colombia y Chile (</w:t>
      </w:r>
      <w:proofErr w:type="spellStart"/>
      <w:r>
        <w:rPr>
          <w:color w:val="000000"/>
        </w:rPr>
        <w:t>Visca</w:t>
      </w:r>
      <w:proofErr w:type="spellEnd"/>
      <w:r>
        <w:rPr>
          <w:color w:val="000000"/>
        </w:rPr>
        <w:t xml:space="preserve"> et al., 2018; Ossa y </w:t>
      </w:r>
      <w:proofErr w:type="spellStart"/>
      <w:r>
        <w:rPr>
          <w:color w:val="000000"/>
        </w:rPr>
        <w:t>Cudina</w:t>
      </w:r>
      <w:proofErr w:type="spellEnd"/>
      <w:r>
        <w:rPr>
          <w:color w:val="000000"/>
        </w:rPr>
        <w:t xml:space="preserve">, 2016; Varas et al., 2023, </w:t>
      </w:r>
      <w:proofErr w:type="spellStart"/>
      <w:r>
        <w:rPr>
          <w:color w:val="000000"/>
        </w:rPr>
        <w:t>Miguez</w:t>
      </w:r>
      <w:proofErr w:type="spellEnd"/>
      <w:r>
        <w:rPr>
          <w:color w:val="000000"/>
        </w:rPr>
        <w:t xml:space="preserve"> et al., 2010).</w:t>
      </w:r>
    </w:p>
    <w:p w:rsidR="00067D89" w:rsidRDefault="00A57D41">
      <w:pPr>
        <w:spacing w:line="360" w:lineRule="auto"/>
        <w:ind w:firstLine="708"/>
        <w:jc w:val="both"/>
        <w:rPr>
          <w:color w:val="000000"/>
        </w:rPr>
      </w:pPr>
      <w:r>
        <w:t>La presente investigación tuvo el objetivo de analizar los principales indicadores socio-bibliométrico de las revistas de psicología que cuentan con el código ISSN físico y/o electrónico. A continuación, se discuten los principales resultados realizando contrastes con experiencias comparadas en Latinoamérica. Se identificaron</w:t>
      </w:r>
      <w:r>
        <w:rPr>
          <w:color w:val="000000"/>
        </w:rPr>
        <w:t xml:space="preserve"> 20 Revistas de Psicología en el Perú que cuentan con el código ISSN. De las cuales 13 están activas actualmente, similar a</w:t>
      </w:r>
      <w:r>
        <w:t>l país de</w:t>
      </w:r>
      <w:r>
        <w:rPr>
          <w:color w:val="000000"/>
        </w:rPr>
        <w:t xml:space="preserve"> Chile donde se editan 14 </w:t>
      </w:r>
      <w:r>
        <w:t>revistas</w:t>
      </w:r>
      <w:r>
        <w:rPr>
          <w:color w:val="000000"/>
        </w:rPr>
        <w:t xml:space="preserve"> de forma periódica (</w:t>
      </w:r>
      <w:r>
        <w:t>Polanco-Carrasco et al., 2017</w:t>
      </w:r>
      <w:r>
        <w:rPr>
          <w:color w:val="000000"/>
        </w:rPr>
        <w:t>).</w:t>
      </w:r>
    </w:p>
    <w:p w:rsidR="00067D89" w:rsidRDefault="00A57D41">
      <w:pPr>
        <w:pBdr>
          <w:top w:val="nil"/>
          <w:left w:val="nil"/>
          <w:bottom w:val="nil"/>
          <w:right w:val="nil"/>
          <w:between w:val="nil"/>
        </w:pBdr>
        <w:spacing w:line="360" w:lineRule="auto"/>
        <w:ind w:firstLine="708"/>
        <w:jc w:val="both"/>
        <w:rPr>
          <w:color w:val="000000"/>
          <w:highlight w:val="white"/>
        </w:rPr>
      </w:pPr>
      <w:bookmarkStart w:id="13" w:name="_heading=h.44sinio" w:colFirst="0" w:colLast="0"/>
      <w:bookmarkEnd w:id="13"/>
      <w:r>
        <w:rPr>
          <w:color w:val="000000"/>
        </w:rPr>
        <w:t xml:space="preserve">En igual cantidad 13 revistas se editan en la ciudad de Lima (capital del Perú) y 7 se editan en las provincias como Arequipa y Trujillo, evidenciando </w:t>
      </w:r>
      <w:r>
        <w:t>un</w:t>
      </w:r>
      <w:r>
        <w:rPr>
          <w:color w:val="000000"/>
        </w:rPr>
        <w:t xml:space="preserve"> centralismo y concentración de las publicaciones científicas. La concentración de la producción científica parece seguir un patrón establecido décadas atrás. Ya en la década de 1920 según Guerra (1979), la publicación científica estaba establecida en la ciudad de </w:t>
      </w:r>
      <w:r>
        <w:t>Lima</w:t>
      </w:r>
      <w:r>
        <w:rPr>
          <w:color w:val="000000"/>
        </w:rPr>
        <w:t xml:space="preserve">, fuera de la capital solo Arequipa, </w:t>
      </w:r>
      <w:r>
        <w:t>Cusco</w:t>
      </w:r>
      <w:r>
        <w:rPr>
          <w:color w:val="000000"/>
        </w:rPr>
        <w:t xml:space="preserve"> y Trujillo evidenciaban alguna actividad y producción científica.</w:t>
      </w:r>
      <w:r>
        <w:t xml:space="preserve"> </w:t>
      </w:r>
      <w:r>
        <w:rPr>
          <w:color w:val="222222"/>
          <w:highlight w:val="white"/>
        </w:rPr>
        <w:t xml:space="preserve">Quispe-Gerónimo, </w:t>
      </w:r>
      <w:proofErr w:type="gramStart"/>
      <w:r>
        <w:rPr>
          <w:color w:val="222222"/>
          <w:highlight w:val="white"/>
        </w:rPr>
        <w:t>et al.,(</w:t>
      </w:r>
      <w:proofErr w:type="gramEnd"/>
      <w:r>
        <w:rPr>
          <w:color w:val="222222"/>
          <w:highlight w:val="white"/>
        </w:rPr>
        <w:t>2013)</w:t>
      </w:r>
      <w:r>
        <w:rPr>
          <w:color w:val="000000"/>
        </w:rPr>
        <w:t xml:space="preserve">, volvió a encontrar que </w:t>
      </w:r>
      <w:r>
        <w:t>Lima</w:t>
      </w:r>
      <w:r>
        <w:rPr>
          <w:color w:val="000000"/>
        </w:rPr>
        <w:t xml:space="preserve"> concentra </w:t>
      </w:r>
      <w:r>
        <w:t>más</w:t>
      </w:r>
      <w:r>
        <w:rPr>
          <w:color w:val="000000"/>
        </w:rPr>
        <w:t xml:space="preserve"> del 90% de la producción de revistas científicas. A pesar de </w:t>
      </w:r>
      <w:r>
        <w:rPr>
          <w:color w:val="000000"/>
        </w:rPr>
        <w:lastRenderedPageBreak/>
        <w:t xml:space="preserve">que los estudios mencionados se realizaron </w:t>
      </w:r>
      <w:r>
        <w:t>en la producción</w:t>
      </w:r>
      <w:r>
        <w:rPr>
          <w:color w:val="000000"/>
        </w:rPr>
        <w:t xml:space="preserve"> y edición de revistas científicas de todas las áreas, la producción científica en psicología parece seguir el mismo patrón de concentración</w:t>
      </w:r>
      <w:r>
        <w:t xml:space="preserve"> capitalista que ha reflejado el Perú en otras áreas de su desarroll</w:t>
      </w:r>
      <w:r>
        <w:rPr>
          <w:highlight w:val="white"/>
        </w:rPr>
        <w:t>o (Lynch, 2023)</w:t>
      </w:r>
      <w:r>
        <w:rPr>
          <w:color w:val="000000"/>
          <w:highlight w:val="white"/>
        </w:rPr>
        <w:t xml:space="preserve">. </w:t>
      </w:r>
    </w:p>
    <w:p w:rsidR="00067D89" w:rsidRDefault="00A57D41">
      <w:pPr>
        <w:pBdr>
          <w:top w:val="nil"/>
          <w:left w:val="nil"/>
          <w:bottom w:val="nil"/>
          <w:right w:val="nil"/>
          <w:between w:val="nil"/>
        </w:pBdr>
        <w:spacing w:line="360" w:lineRule="auto"/>
        <w:ind w:firstLine="708"/>
        <w:jc w:val="both"/>
        <w:rPr>
          <w:color w:val="000000"/>
        </w:rPr>
      </w:pPr>
      <w:bookmarkStart w:id="14" w:name="_heading=h.tyjcwt" w:colFirst="0" w:colLast="0"/>
      <w:bookmarkEnd w:id="14"/>
      <w:r>
        <w:rPr>
          <w:color w:val="000000"/>
        </w:rPr>
        <w:t>La organización y edición de las revistas en su mayoría (85%) está dirigida por</w:t>
      </w:r>
      <w:r>
        <w:t xml:space="preserve"> instituciones, asociaciones o universidades privadas. Esto refleja algo que ocurre en las revistas científicas de otras disciplinas en el Perú </w:t>
      </w:r>
      <w:r>
        <w:rPr>
          <w:color w:val="222222"/>
          <w:highlight w:val="white"/>
        </w:rPr>
        <w:t>(Quispe-Gerónimo, et al., 2013)</w:t>
      </w:r>
      <w:r>
        <w:t>. Contrario al Perú, Argentina evidencia una gestión de las revistas más proporcional entre</w:t>
      </w:r>
      <w:r>
        <w:rPr>
          <w:color w:val="000000"/>
        </w:rPr>
        <w:t xml:space="preserve"> las universidades (estatales o privadas), colegios profesionales y sociedades científicas</w:t>
      </w:r>
      <w:r>
        <w:rPr>
          <w:highlight w:val="white"/>
        </w:rPr>
        <w:t xml:space="preserve"> </w:t>
      </w:r>
      <w:r>
        <w:rPr>
          <w:color w:val="000000"/>
          <w:highlight w:val="white"/>
        </w:rPr>
        <w:t>(</w:t>
      </w:r>
      <w:proofErr w:type="spellStart"/>
      <w:r>
        <w:rPr>
          <w:color w:val="000000"/>
          <w:highlight w:val="white"/>
        </w:rPr>
        <w:t>V</w:t>
      </w:r>
      <w:r>
        <w:rPr>
          <w:color w:val="000000"/>
        </w:rPr>
        <w:t>isca</w:t>
      </w:r>
      <w:proofErr w:type="spellEnd"/>
      <w:r>
        <w:rPr>
          <w:color w:val="000000"/>
        </w:rPr>
        <w:t xml:space="preserve"> et al., 2018). </w:t>
      </w:r>
    </w:p>
    <w:p w:rsidR="00067D89" w:rsidRDefault="00A57D41">
      <w:pPr>
        <w:pBdr>
          <w:top w:val="nil"/>
          <w:left w:val="nil"/>
          <w:bottom w:val="nil"/>
          <w:right w:val="nil"/>
          <w:between w:val="nil"/>
        </w:pBdr>
        <w:spacing w:line="360" w:lineRule="auto"/>
        <w:ind w:firstLine="708"/>
        <w:jc w:val="both"/>
      </w:pPr>
      <w:r>
        <w:rPr>
          <w:color w:val="000000"/>
        </w:rPr>
        <w:t xml:space="preserve">El mayor incremento del número de revistas se dio entre los años 2011 y 2017, donde se </w:t>
      </w:r>
      <w:r>
        <w:t>comenzaron</w:t>
      </w:r>
      <w:r>
        <w:rPr>
          <w:color w:val="000000"/>
        </w:rPr>
        <w:t xml:space="preserve"> a editar 12 nuevas revistas de psicología, lo </w:t>
      </w:r>
      <w:r>
        <w:t>cual podría tener relación con la creación de La Superintendencia Nacional de Educación Superior Universitaria (SUNEDU) en el 2014, la misma que favoreció reformular los estándares de calidad en la docencia universitaria, creando una serie de requisitos de formación científica, entre estos la ejecución de investigación y espacios de divulgación científicas (como las revistas) permitiendo la continuidad de la universidad y la oferta de sus carreras</w:t>
      </w:r>
      <w:r>
        <w:rPr>
          <w:color w:val="000000"/>
        </w:rPr>
        <w:t xml:space="preserve">. Esto es diferente a lo ocurrido en Chile, donde el mayor crecimiento se dio en la década del año 2000, donde se fundaron 21 </w:t>
      </w:r>
      <w:r>
        <w:t>revistas</w:t>
      </w:r>
      <w:r>
        <w:rPr>
          <w:color w:val="000000"/>
        </w:rPr>
        <w:t xml:space="preserve"> de psicología (Polanco-Carrasco et al., 2017). La frecuencia de publicación de más del 50% de las revistas científicas en el Perú es semestral </w:t>
      </w:r>
      <w:r>
        <w:rPr>
          <w:color w:val="222222"/>
          <w:highlight w:val="white"/>
        </w:rPr>
        <w:t>(Quispe-Gerónimo, et al., 2013)</w:t>
      </w:r>
      <w:r>
        <w:rPr>
          <w:color w:val="000000"/>
        </w:rPr>
        <w:t xml:space="preserve">, esto también se observa en las revistas de psicología. No se observó contingencia entre la frecuencia de edición de las revistas y el estar activas. </w:t>
      </w:r>
    </w:p>
    <w:p w:rsidR="00067D89" w:rsidRDefault="00A57D41">
      <w:pPr>
        <w:pBdr>
          <w:top w:val="nil"/>
          <w:left w:val="nil"/>
          <w:bottom w:val="nil"/>
          <w:right w:val="nil"/>
          <w:between w:val="nil"/>
        </w:pBdr>
        <w:spacing w:line="360" w:lineRule="auto"/>
        <w:ind w:firstLine="708"/>
        <w:jc w:val="both"/>
        <w:rPr>
          <w:color w:val="000000"/>
        </w:rPr>
      </w:pPr>
      <w:r>
        <w:rPr>
          <w:color w:val="000000"/>
        </w:rPr>
        <w:t xml:space="preserve">Las revistas de psicología del Perú en su mayoría (85%) cuentan con un comité editorial. Existiendo una </w:t>
      </w:r>
      <w:r>
        <w:t>mayor proporción el género masculino</w:t>
      </w:r>
      <w:r>
        <w:rPr>
          <w:color w:val="000000"/>
        </w:rPr>
        <w:t xml:space="preserve"> en su dirección y edición. No obstante, se observa una proporción equitativa entre los integrantes nacionales e </w:t>
      </w:r>
      <w:r>
        <w:t>internacionales</w:t>
      </w:r>
      <w:r>
        <w:rPr>
          <w:color w:val="000000"/>
        </w:rPr>
        <w:t xml:space="preserve"> de los comités editoriales de las revistas. En el proceso de publicación de los artículos, más de la mitad (65%) cuentan con normas para los autores y la convocatoria es </w:t>
      </w:r>
      <w:r>
        <w:t>permanente</w:t>
      </w:r>
      <w:r>
        <w:rPr>
          <w:color w:val="000000"/>
        </w:rPr>
        <w:t xml:space="preserve">. En relación al contenido, los artículos publicados en su mayoría son empíricos y teóricos, y en idioma español.  Sobre el número de artículos publicados, hay una gran variedad desde los 3 hasta los 18.5 artículos en promedio por edición. La edición de las revistas científicas en el Perú tiene una predominancia en su formato electrónico (74%) </w:t>
      </w:r>
      <w:r>
        <w:rPr>
          <w:color w:val="222222"/>
          <w:highlight w:val="white"/>
        </w:rPr>
        <w:t>(Quispe-Gerónimo, et al., 2013)</w:t>
      </w:r>
      <w:r>
        <w:rPr>
          <w:color w:val="000000"/>
        </w:rPr>
        <w:t xml:space="preserve">, lo cual se ve reflejado en el 75% de las revistas de psicología. </w:t>
      </w:r>
    </w:p>
    <w:p w:rsidR="00067D89" w:rsidRDefault="00A57D41">
      <w:pPr>
        <w:pBdr>
          <w:top w:val="nil"/>
          <w:left w:val="nil"/>
          <w:bottom w:val="nil"/>
          <w:right w:val="nil"/>
          <w:between w:val="nil"/>
        </w:pBdr>
        <w:spacing w:line="360" w:lineRule="auto"/>
        <w:ind w:firstLine="708"/>
        <w:jc w:val="both"/>
        <w:rPr>
          <w:color w:val="000000"/>
        </w:rPr>
      </w:pPr>
      <w:r>
        <w:rPr>
          <w:color w:val="000000"/>
        </w:rPr>
        <w:t xml:space="preserve">Uno de los indicadores con menos frecuencia es la difusión de las revistas, ya que </w:t>
      </w:r>
      <w:r>
        <w:t>más</w:t>
      </w:r>
      <w:r>
        <w:rPr>
          <w:color w:val="000000"/>
        </w:rPr>
        <w:t xml:space="preserve"> de la mitad (65%) de las revistas no cuentan con alguna red social y por ende la difusión de las </w:t>
      </w:r>
      <w:r>
        <w:rPr>
          <w:color w:val="000000"/>
        </w:rPr>
        <w:lastRenderedPageBreak/>
        <w:t xml:space="preserve">actividades es limitada. Respecto a indización de las revistas en bases de datos, más de la mitad (55%) de las revistas están indexadas mínimamente en Latindex. No obstante, solo una revista </w:t>
      </w:r>
      <w:r>
        <w:t>está</w:t>
      </w:r>
      <w:r>
        <w:rPr>
          <w:color w:val="000000"/>
        </w:rPr>
        <w:t xml:space="preserve"> indizada en Scopus una de dos principales bases de datos, mientras que ninguna revista </w:t>
      </w:r>
      <w:r>
        <w:t>está</w:t>
      </w:r>
      <w:r>
        <w:rPr>
          <w:color w:val="000000"/>
        </w:rPr>
        <w:t xml:space="preserve"> indizada en WoS. La indización de revistas en las principales bases de datos en los países vecinos es diferente, en Chile tres revistas están indizadas en Scopus y WoS (Polanco-Carrasco et al., 2017), en el caso de Colombia tres revistas están indizadas en Scopus y WoS (Vázquez -</w:t>
      </w:r>
      <w:proofErr w:type="spellStart"/>
      <w:r>
        <w:rPr>
          <w:color w:val="000000"/>
        </w:rPr>
        <w:t>Miraz</w:t>
      </w:r>
      <w:proofErr w:type="spellEnd"/>
      <w:r>
        <w:rPr>
          <w:color w:val="000000"/>
        </w:rPr>
        <w:t>, 2021), en A</w:t>
      </w:r>
      <w:r>
        <w:t xml:space="preserve">rgentina tres revistas están indizadas en Scopus y WoS </w:t>
      </w:r>
      <w:r>
        <w:rPr>
          <w:color w:val="000000"/>
        </w:rPr>
        <w:t>(</w:t>
      </w:r>
      <w:proofErr w:type="spellStart"/>
      <w:r>
        <w:rPr>
          <w:color w:val="000000"/>
        </w:rPr>
        <w:t>Visca</w:t>
      </w:r>
      <w:proofErr w:type="spellEnd"/>
      <w:r>
        <w:rPr>
          <w:color w:val="000000"/>
        </w:rPr>
        <w:t xml:space="preserve"> et al., 2018). La diferencia en el número de revistas indizadas en las principales bases de datos, evidencia el largo camino que aún queda a las instituciones públicas y privadas por impulsar la investigación y publicación científica peruana hacia la mejora de la calidad de las revistas de psicología.</w:t>
      </w:r>
    </w:p>
    <w:p w:rsidR="00067D89" w:rsidRDefault="00067D89">
      <w:pPr>
        <w:pBdr>
          <w:top w:val="nil"/>
          <w:left w:val="nil"/>
          <w:bottom w:val="nil"/>
          <w:right w:val="nil"/>
          <w:between w:val="nil"/>
        </w:pBdr>
        <w:spacing w:line="360" w:lineRule="auto"/>
        <w:ind w:firstLine="708"/>
        <w:jc w:val="both"/>
        <w:rPr>
          <w:color w:val="000000"/>
        </w:rPr>
      </w:pPr>
    </w:p>
    <w:p w:rsidR="00067D89" w:rsidRDefault="00A57D41">
      <w:pPr>
        <w:pBdr>
          <w:top w:val="nil"/>
          <w:left w:val="nil"/>
          <w:bottom w:val="nil"/>
          <w:right w:val="nil"/>
          <w:between w:val="nil"/>
        </w:pBdr>
        <w:spacing w:line="360" w:lineRule="auto"/>
        <w:ind w:firstLine="708"/>
        <w:jc w:val="both"/>
        <w:rPr>
          <w:color w:val="000000"/>
        </w:rPr>
      </w:pPr>
      <w:bookmarkStart w:id="15" w:name="_heading=h.26in1rg" w:colFirst="0" w:colLast="0"/>
      <w:bookmarkEnd w:id="15"/>
      <w:r>
        <w:rPr>
          <w:color w:val="000000"/>
        </w:rPr>
        <w:t xml:space="preserve">Por último, </w:t>
      </w:r>
      <w:r>
        <w:t>existe una mejora en los procesos de edición de las revistas de psicología en el Perú. A</w:t>
      </w:r>
      <w:r>
        <w:rPr>
          <w:color w:val="000000"/>
        </w:rPr>
        <w:t xml:space="preserve"> diferencia de algunos países de latino América (Polanco-Carrasco et al., 2017), todas las revistas peruanas de psicología son de acceso abierto, </w:t>
      </w:r>
      <w:r>
        <w:t>y la mayoría se encuentran en formato electrónico. Esto</w:t>
      </w:r>
      <w:r>
        <w:rPr>
          <w:color w:val="000000"/>
        </w:rPr>
        <w:t xml:space="preserve"> contribuye a la difusión del conocimiento científico, adoptando una cultura de Open Access de la información. B</w:t>
      </w:r>
      <w:r>
        <w:t xml:space="preserve">eneficiando tanto a la comunidad científica de investigadores como a profesionales de la psicología peruana. </w:t>
      </w:r>
      <w:r>
        <w:rPr>
          <w:color w:val="000000"/>
        </w:rPr>
        <w:t xml:space="preserve"> Las revistas analizadas fueron aquellas registradas hasta octubre de 2022. Es posible que después se hayan agregado más revistas al registro del ISSN, las cuales no fueron analizadas en el presente estudio. </w:t>
      </w:r>
      <w:r>
        <w:t xml:space="preserve">Dado que uno de los objetivos de la investigación fue analizar los principales indicadores bibliométricos. No se analizó de forma exhaustiva (individualmente) el contenido de las revistas, como qué autores publican más, los temas más publicados, número de citas de los artículos, por citar algunas. Se espera que esto sea desarrollado por los futuros investigadores de la psicología peruana. </w:t>
      </w:r>
    </w:p>
    <w:p w:rsidR="00067D89" w:rsidRDefault="00067D89">
      <w:pPr>
        <w:pBdr>
          <w:top w:val="nil"/>
          <w:left w:val="nil"/>
          <w:bottom w:val="nil"/>
          <w:right w:val="nil"/>
          <w:between w:val="nil"/>
        </w:pBdr>
        <w:spacing w:line="360" w:lineRule="auto"/>
        <w:ind w:firstLine="708"/>
        <w:jc w:val="both"/>
        <w:rPr>
          <w:color w:val="000000"/>
        </w:rPr>
      </w:pPr>
    </w:p>
    <w:p w:rsidR="00067D89" w:rsidRDefault="00067D89">
      <w:pPr>
        <w:spacing w:line="360" w:lineRule="auto"/>
        <w:jc w:val="both"/>
        <w:rPr>
          <w:b/>
        </w:rPr>
      </w:pPr>
    </w:p>
    <w:p w:rsidR="00067D89" w:rsidRDefault="00067D89">
      <w:pPr>
        <w:spacing w:line="360" w:lineRule="auto"/>
        <w:jc w:val="both"/>
        <w:rPr>
          <w:b/>
        </w:rPr>
      </w:pPr>
    </w:p>
    <w:p w:rsidR="00067D89" w:rsidRDefault="00067D89">
      <w:pPr>
        <w:spacing w:line="360" w:lineRule="auto"/>
        <w:jc w:val="both"/>
        <w:rPr>
          <w:b/>
        </w:rPr>
      </w:pPr>
      <w:bookmarkStart w:id="16" w:name="_heading=h.3dy6vkm" w:colFirst="0" w:colLast="0"/>
      <w:bookmarkEnd w:id="16"/>
    </w:p>
    <w:p w:rsidR="00067D89" w:rsidRDefault="00067D89">
      <w:pPr>
        <w:spacing w:line="360" w:lineRule="auto"/>
        <w:jc w:val="both"/>
        <w:rPr>
          <w:b/>
        </w:rPr>
      </w:pPr>
    </w:p>
    <w:p w:rsidR="007164AA" w:rsidRDefault="007164AA">
      <w:pPr>
        <w:spacing w:line="360" w:lineRule="auto"/>
        <w:jc w:val="both"/>
        <w:rPr>
          <w:b/>
        </w:rPr>
      </w:pPr>
    </w:p>
    <w:p w:rsidR="007164AA" w:rsidRDefault="007164AA">
      <w:pPr>
        <w:spacing w:line="360" w:lineRule="auto"/>
        <w:jc w:val="both"/>
        <w:rPr>
          <w:b/>
        </w:rPr>
      </w:pPr>
    </w:p>
    <w:p w:rsidR="00067D89" w:rsidRDefault="00067D89">
      <w:pPr>
        <w:pBdr>
          <w:top w:val="nil"/>
          <w:left w:val="nil"/>
          <w:bottom w:val="nil"/>
          <w:right w:val="nil"/>
          <w:between w:val="nil"/>
        </w:pBdr>
        <w:jc w:val="center"/>
        <w:rPr>
          <w:b/>
          <w:color w:val="000000"/>
        </w:rPr>
      </w:pPr>
      <w:bookmarkStart w:id="17" w:name="_heading=h.lnxbz9" w:colFirst="0" w:colLast="0"/>
      <w:bookmarkEnd w:id="17"/>
    </w:p>
    <w:p w:rsidR="00067D89" w:rsidRDefault="00A57D41">
      <w:pPr>
        <w:pBdr>
          <w:top w:val="nil"/>
          <w:left w:val="nil"/>
          <w:bottom w:val="nil"/>
          <w:right w:val="nil"/>
          <w:between w:val="nil"/>
        </w:pBdr>
        <w:jc w:val="center"/>
        <w:rPr>
          <w:b/>
          <w:color w:val="000000"/>
        </w:rPr>
      </w:pPr>
      <w:r>
        <w:rPr>
          <w:b/>
          <w:color w:val="000000"/>
        </w:rPr>
        <w:lastRenderedPageBreak/>
        <w:t>Referencias</w:t>
      </w:r>
    </w:p>
    <w:p w:rsidR="00067D89" w:rsidRDefault="00067D89">
      <w:pPr>
        <w:ind w:left="709" w:hanging="709"/>
        <w:jc w:val="both"/>
        <w:rPr>
          <w:highlight w:val="white"/>
        </w:rPr>
      </w:pPr>
    </w:p>
    <w:p w:rsidR="00067D89" w:rsidRDefault="00A57D41">
      <w:pPr>
        <w:ind w:left="709" w:hanging="709"/>
        <w:jc w:val="both"/>
        <w:rPr>
          <w:highlight w:val="yellow"/>
        </w:rPr>
      </w:pPr>
      <w:r>
        <w:rPr>
          <w:highlight w:val="white"/>
        </w:rPr>
        <w:t>Alarcón, R. (1968). Último adiós a Walter Blumenfeld. </w:t>
      </w:r>
      <w:r>
        <w:rPr>
          <w:i/>
          <w:highlight w:val="white"/>
        </w:rPr>
        <w:t>Letras (Lima)</w:t>
      </w:r>
      <w:r>
        <w:rPr>
          <w:highlight w:val="white"/>
        </w:rPr>
        <w:t>, </w:t>
      </w:r>
      <w:r>
        <w:rPr>
          <w:i/>
          <w:highlight w:val="white"/>
        </w:rPr>
        <w:t>40</w:t>
      </w:r>
      <w:r>
        <w:rPr>
          <w:highlight w:val="white"/>
        </w:rPr>
        <w:t xml:space="preserve">(80-81), 170-202. </w:t>
      </w:r>
    </w:p>
    <w:p w:rsidR="00067D89" w:rsidRDefault="00A57D41">
      <w:pPr>
        <w:ind w:left="709" w:hanging="709"/>
        <w:jc w:val="both"/>
      </w:pPr>
      <w:r>
        <w:t xml:space="preserve">Alarcón, R. (1998). Publicaciones psicológicas peruanas entre 1930-1950. </w:t>
      </w:r>
      <w:r>
        <w:rPr>
          <w:i/>
        </w:rPr>
        <w:t>Revista Peruana de Psicología, 3</w:t>
      </w:r>
      <w:r>
        <w:t>(5), 11-24.</w:t>
      </w:r>
    </w:p>
    <w:p w:rsidR="00067D89" w:rsidRDefault="00A57D41">
      <w:pPr>
        <w:ind w:left="709" w:hanging="709"/>
        <w:jc w:val="both"/>
      </w:pPr>
      <w:r>
        <w:t xml:space="preserve">Alarcón, R. (2017). </w:t>
      </w:r>
      <w:r>
        <w:rPr>
          <w:i/>
        </w:rPr>
        <w:t>Historia de la psicología en el Perú: de la colonia a la república</w:t>
      </w:r>
      <w:r>
        <w:t xml:space="preserve">. Editorial Universitaria. </w:t>
      </w:r>
    </w:p>
    <w:p w:rsidR="00067D89" w:rsidRDefault="00A57D41">
      <w:pPr>
        <w:ind w:left="709" w:hanging="709"/>
        <w:jc w:val="both"/>
        <w:rPr>
          <w:color w:val="222222"/>
          <w:highlight w:val="white"/>
        </w:rPr>
      </w:pPr>
      <w:r>
        <w:rPr>
          <w:color w:val="222222"/>
          <w:highlight w:val="white"/>
        </w:rPr>
        <w:t xml:space="preserve">Anderson, S., y </w:t>
      </w:r>
      <w:proofErr w:type="spellStart"/>
      <w:r>
        <w:rPr>
          <w:color w:val="222222"/>
          <w:highlight w:val="white"/>
        </w:rPr>
        <w:t>Sweeney</w:t>
      </w:r>
      <w:proofErr w:type="spellEnd"/>
      <w:r>
        <w:rPr>
          <w:color w:val="222222"/>
          <w:highlight w:val="white"/>
        </w:rPr>
        <w:t xml:space="preserve">, D. Williams (2008) </w:t>
      </w:r>
      <w:r>
        <w:rPr>
          <w:i/>
          <w:color w:val="222222"/>
          <w:highlight w:val="white"/>
        </w:rPr>
        <w:t xml:space="preserve">Estadística para administración y economía </w:t>
      </w:r>
      <w:r>
        <w:rPr>
          <w:color w:val="222222"/>
          <w:highlight w:val="white"/>
        </w:rPr>
        <w:t xml:space="preserve">(10ª ed.). Cengage </w:t>
      </w:r>
      <w:proofErr w:type="spellStart"/>
      <w:r>
        <w:rPr>
          <w:color w:val="222222"/>
          <w:highlight w:val="white"/>
        </w:rPr>
        <w:t>Learning</w:t>
      </w:r>
      <w:proofErr w:type="spellEnd"/>
      <w:r>
        <w:rPr>
          <w:color w:val="222222"/>
          <w:highlight w:val="white"/>
        </w:rPr>
        <w:t xml:space="preserve"> ed. </w:t>
      </w:r>
    </w:p>
    <w:p w:rsidR="00067D89" w:rsidRDefault="00A57D41">
      <w:pPr>
        <w:ind w:left="709" w:hanging="709"/>
        <w:jc w:val="both"/>
      </w:pPr>
      <w:proofErr w:type="spellStart"/>
      <w:r>
        <w:rPr>
          <w:color w:val="000000"/>
        </w:rPr>
        <w:t>Angles</w:t>
      </w:r>
      <w:proofErr w:type="spellEnd"/>
      <w:r>
        <w:rPr>
          <w:color w:val="000000"/>
        </w:rPr>
        <w:t xml:space="preserve">, C. (1938). Correlación entre el </w:t>
      </w:r>
      <w:proofErr w:type="spellStart"/>
      <w:r>
        <w:rPr>
          <w:color w:val="000000"/>
        </w:rPr>
        <w:t>cuociente</w:t>
      </w:r>
      <w:proofErr w:type="spellEnd"/>
      <w:r>
        <w:rPr>
          <w:color w:val="000000"/>
        </w:rPr>
        <w:t xml:space="preserve"> intelectual y la habilidad numérica. </w:t>
      </w:r>
      <w:r>
        <w:rPr>
          <w:i/>
          <w:color w:val="000000"/>
        </w:rPr>
        <w:t>Revista de Educación, 7</w:t>
      </w:r>
      <w:r>
        <w:rPr>
          <w:color w:val="000000"/>
        </w:rPr>
        <w:t xml:space="preserve">(2), 17-23. </w:t>
      </w:r>
    </w:p>
    <w:p w:rsidR="00067D89" w:rsidRDefault="00A57D41">
      <w:pPr>
        <w:ind w:left="709" w:hanging="709"/>
        <w:jc w:val="both"/>
      </w:pPr>
      <w:r>
        <w:rPr>
          <w:color w:val="000000"/>
        </w:rPr>
        <w:t xml:space="preserve">Arrieta, A. (1936). La selección y educación de los niños anormales. </w:t>
      </w:r>
      <w:r>
        <w:rPr>
          <w:i/>
          <w:color w:val="000000"/>
        </w:rPr>
        <w:t>Revista de la Universidad Católica, 5</w:t>
      </w:r>
      <w:r>
        <w:rPr>
          <w:color w:val="000000"/>
        </w:rPr>
        <w:t xml:space="preserve">(24), 213-228. </w:t>
      </w:r>
    </w:p>
    <w:p w:rsidR="00067D89" w:rsidRDefault="00A57D41">
      <w:pPr>
        <w:ind w:left="709" w:hanging="709"/>
        <w:jc w:val="both"/>
        <w:rPr>
          <w:color w:val="000000"/>
        </w:rPr>
      </w:pPr>
      <w:r>
        <w:rPr>
          <w:color w:val="000000"/>
        </w:rPr>
        <w:t xml:space="preserve">Avendano, L., Bambaren, C. A. y Vargas, L. (1944). Personalidad psicopática y homicidio. </w:t>
      </w:r>
      <w:r>
        <w:rPr>
          <w:i/>
          <w:color w:val="000000"/>
        </w:rPr>
        <w:t>Crónica Médica, 61</w:t>
      </w:r>
      <w:r>
        <w:rPr>
          <w:color w:val="000000"/>
        </w:rPr>
        <w:t>,3-10. 33-40, 90-97, 120-130.</w:t>
      </w:r>
    </w:p>
    <w:p w:rsidR="00067D89" w:rsidRDefault="00A57D41">
      <w:pPr>
        <w:ind w:left="709" w:hanging="709"/>
        <w:jc w:val="both"/>
        <w:rPr>
          <w:color w:val="000000"/>
        </w:rPr>
      </w:pPr>
      <w:r>
        <w:rPr>
          <w:color w:val="000000"/>
        </w:rPr>
        <w:t xml:space="preserve">Bambaren, C. A. (1933). El niño anormal y las obligaciones de la sociedad. </w:t>
      </w:r>
      <w:r>
        <w:rPr>
          <w:i/>
          <w:color w:val="000000"/>
        </w:rPr>
        <w:t>Crónica Médica, 50</w:t>
      </w:r>
      <w:r>
        <w:rPr>
          <w:color w:val="000000"/>
        </w:rPr>
        <w:t>(838),118-122.</w:t>
      </w:r>
    </w:p>
    <w:p w:rsidR="00067D89" w:rsidRDefault="00A57D41">
      <w:pPr>
        <w:ind w:left="709" w:hanging="709"/>
        <w:jc w:val="both"/>
        <w:rPr>
          <w:color w:val="000000"/>
        </w:rPr>
      </w:pPr>
      <w:r>
        <w:rPr>
          <w:color w:val="000000"/>
        </w:rPr>
        <w:t xml:space="preserve">Bambaren, C. A. (1935). Orientación profesional y enseñanza técnica. </w:t>
      </w:r>
      <w:r>
        <w:rPr>
          <w:i/>
          <w:color w:val="000000"/>
        </w:rPr>
        <w:t>Crónica Médica, 52</w:t>
      </w:r>
      <w:r>
        <w:rPr>
          <w:color w:val="000000"/>
        </w:rPr>
        <w:t>(862),130-134.</w:t>
      </w:r>
    </w:p>
    <w:p w:rsidR="00067D89" w:rsidRDefault="00A57D41">
      <w:pPr>
        <w:ind w:left="709" w:hanging="709"/>
        <w:jc w:val="both"/>
        <w:rPr>
          <w:color w:val="000000"/>
        </w:rPr>
      </w:pPr>
      <w:r>
        <w:rPr>
          <w:color w:val="000000"/>
        </w:rPr>
        <w:t xml:space="preserve">Bambaren, C. A. y Stanley, W. (1933). Educación sexual. </w:t>
      </w:r>
      <w:r>
        <w:rPr>
          <w:i/>
          <w:color w:val="000000"/>
        </w:rPr>
        <w:t>Crónica Médica, 50</w:t>
      </w:r>
      <w:r>
        <w:rPr>
          <w:color w:val="000000"/>
        </w:rPr>
        <w:t>(845),369-373.</w:t>
      </w:r>
    </w:p>
    <w:p w:rsidR="00067D89" w:rsidRDefault="00A57D41">
      <w:pPr>
        <w:ind w:left="709" w:hanging="709"/>
        <w:jc w:val="both"/>
        <w:rPr>
          <w:highlight w:val="yellow"/>
        </w:rPr>
      </w:pPr>
      <w:r>
        <w:rPr>
          <w:highlight w:val="white"/>
        </w:rPr>
        <w:t xml:space="preserve">Blumenfeld, W. (1938). Sobre el concepto de inteligencia y su </w:t>
      </w:r>
      <w:proofErr w:type="spellStart"/>
      <w:r>
        <w:rPr>
          <w:highlight w:val="white"/>
        </w:rPr>
        <w:t>perfectabilidad</w:t>
      </w:r>
      <w:proofErr w:type="spellEnd"/>
      <w:r>
        <w:rPr>
          <w:highlight w:val="white"/>
        </w:rPr>
        <w:t xml:space="preserve"> metódica. </w:t>
      </w:r>
      <w:r>
        <w:rPr>
          <w:i/>
          <w:highlight w:val="white"/>
        </w:rPr>
        <w:t>Letras (Lima)</w:t>
      </w:r>
      <w:r>
        <w:rPr>
          <w:highlight w:val="white"/>
        </w:rPr>
        <w:t>, </w:t>
      </w:r>
      <w:r>
        <w:rPr>
          <w:i/>
          <w:highlight w:val="white"/>
        </w:rPr>
        <w:t>4</w:t>
      </w:r>
      <w:r>
        <w:rPr>
          <w:highlight w:val="white"/>
        </w:rPr>
        <w:t xml:space="preserve">(9), 26-50. </w:t>
      </w:r>
      <w:hyperlink r:id="rId20">
        <w:r>
          <w:rPr>
            <w:color w:val="0000FF"/>
            <w:highlight w:val="white"/>
            <w:u w:val="single"/>
          </w:rPr>
          <w:t>https://doi.org/10.30920/letras.4.9.3</w:t>
        </w:r>
      </w:hyperlink>
      <w:r>
        <w:rPr>
          <w:highlight w:val="white"/>
        </w:rPr>
        <w:t xml:space="preserve"> </w:t>
      </w:r>
    </w:p>
    <w:p w:rsidR="00067D89" w:rsidRDefault="00A57D41">
      <w:pPr>
        <w:ind w:left="709" w:hanging="709"/>
        <w:jc w:val="both"/>
        <w:rPr>
          <w:color w:val="000000"/>
        </w:rPr>
      </w:pPr>
      <w:r>
        <w:t>Blumenfeld</w:t>
      </w:r>
      <w:r>
        <w:rPr>
          <w:color w:val="000000"/>
        </w:rPr>
        <w:t xml:space="preserve">, W. (1942). La psicología de la pubertad. </w:t>
      </w:r>
      <w:r>
        <w:rPr>
          <w:i/>
          <w:color w:val="000000"/>
        </w:rPr>
        <w:t>Boletín del Instituto Psicopedagógico Nacional, 1</w:t>
      </w:r>
      <w:r>
        <w:rPr>
          <w:color w:val="000000"/>
        </w:rPr>
        <w:t xml:space="preserve">(1), 9-46.   </w:t>
      </w:r>
    </w:p>
    <w:p w:rsidR="00067D89" w:rsidRDefault="00A57D41">
      <w:pPr>
        <w:ind w:left="709" w:hanging="709"/>
        <w:jc w:val="both"/>
        <w:rPr>
          <w:color w:val="000000"/>
        </w:rPr>
      </w:pPr>
      <w:r>
        <w:t>Blumenfeld</w:t>
      </w:r>
      <w:r>
        <w:rPr>
          <w:color w:val="000000"/>
        </w:rPr>
        <w:t xml:space="preserve">, W. (1946). El nivel mental de los alumnos de ambos sexos determinado mediante el Test Colectivo de Terman. </w:t>
      </w:r>
      <w:r>
        <w:rPr>
          <w:i/>
          <w:color w:val="000000"/>
        </w:rPr>
        <w:t>Boletín del Instituto Psicopedagógico Nacional, 5</w:t>
      </w:r>
      <w:r>
        <w:rPr>
          <w:color w:val="000000"/>
        </w:rPr>
        <w:t xml:space="preserve">(1), 3-64.   </w:t>
      </w:r>
    </w:p>
    <w:p w:rsidR="00067D89" w:rsidRDefault="00A57D41">
      <w:pPr>
        <w:ind w:left="709" w:hanging="709"/>
        <w:jc w:val="both"/>
        <w:rPr>
          <w:color w:val="000000"/>
        </w:rPr>
      </w:pPr>
      <w:r>
        <w:t>Blumenfeld</w:t>
      </w:r>
      <w:r>
        <w:rPr>
          <w:color w:val="000000"/>
        </w:rPr>
        <w:t xml:space="preserve">, W. (1947a). El desarrollo de dos formas equivalentes del Test Colectivo de Terman (revisión de Lima). </w:t>
      </w:r>
      <w:r>
        <w:rPr>
          <w:i/>
          <w:color w:val="000000"/>
        </w:rPr>
        <w:t>Boletín del Instituto Psicopedagógico Nacional, 6</w:t>
      </w:r>
      <w:r>
        <w:rPr>
          <w:color w:val="000000"/>
        </w:rPr>
        <w:t xml:space="preserve">(1), 56-71.   </w:t>
      </w:r>
    </w:p>
    <w:p w:rsidR="00067D89" w:rsidRDefault="00A57D41">
      <w:pPr>
        <w:ind w:left="709" w:hanging="709"/>
        <w:jc w:val="both"/>
        <w:rPr>
          <w:color w:val="000000"/>
        </w:rPr>
      </w:pPr>
      <w:r>
        <w:t>Blumenfeld</w:t>
      </w:r>
      <w:r>
        <w:rPr>
          <w:color w:val="000000"/>
        </w:rPr>
        <w:t xml:space="preserve">, W. (1947b). Nota sobre la relación entre la habilidad y la edad cronológica de los jóvenes egresados de los colegios. </w:t>
      </w:r>
      <w:r>
        <w:rPr>
          <w:i/>
          <w:color w:val="000000"/>
        </w:rPr>
        <w:t>Boletín del Instituto Psicopedagógico Nacional, 6</w:t>
      </w:r>
      <w:r>
        <w:rPr>
          <w:color w:val="000000"/>
        </w:rPr>
        <w:t xml:space="preserve">(1), 72-76.   </w:t>
      </w:r>
    </w:p>
    <w:p w:rsidR="00067D89" w:rsidRDefault="00A57D41">
      <w:pPr>
        <w:ind w:left="709" w:hanging="709"/>
        <w:jc w:val="both"/>
        <w:rPr>
          <w:color w:val="000000"/>
        </w:rPr>
      </w:pPr>
      <w:r>
        <w:t>Blumenfeld</w:t>
      </w:r>
      <w:r>
        <w:rPr>
          <w:color w:val="000000"/>
        </w:rPr>
        <w:t xml:space="preserve">, W. (1948). La tendencia a la introversión y la extraversión en la juventud peruana a base del Inventario de la personalidad de R.G. Bernreuter. </w:t>
      </w:r>
      <w:r>
        <w:rPr>
          <w:i/>
          <w:color w:val="000000"/>
        </w:rPr>
        <w:t>Boletín del Instituto Psicopedagógico Nacional, 7</w:t>
      </w:r>
      <w:r>
        <w:rPr>
          <w:color w:val="000000"/>
        </w:rPr>
        <w:t xml:space="preserve">(2), 3-35.   </w:t>
      </w:r>
    </w:p>
    <w:p w:rsidR="00067D89" w:rsidRDefault="00A57D41">
      <w:pPr>
        <w:ind w:left="709" w:hanging="709"/>
        <w:jc w:val="both"/>
        <w:rPr>
          <w:color w:val="000000"/>
        </w:rPr>
      </w:pPr>
      <w:r>
        <w:t>Blumenfeld</w:t>
      </w:r>
      <w:r>
        <w:rPr>
          <w:color w:val="000000"/>
        </w:rPr>
        <w:t xml:space="preserve">, W. (1949). Análisis de las tendencias a la introversión y a la extraversión en el Perú y en los EE.UU. a base del inventario de personalidad de Bernreuter. </w:t>
      </w:r>
      <w:r>
        <w:rPr>
          <w:i/>
          <w:color w:val="000000"/>
        </w:rPr>
        <w:t>Boletín del Instituto Psicopedagógico Nacional, 8</w:t>
      </w:r>
      <w:r>
        <w:rPr>
          <w:color w:val="000000"/>
        </w:rPr>
        <w:t>(1), 3</w:t>
      </w:r>
      <w:r>
        <w:t xml:space="preserve">-33.   </w:t>
      </w:r>
    </w:p>
    <w:p w:rsidR="00067D89" w:rsidRDefault="00A57D41">
      <w:pPr>
        <w:ind w:left="709" w:hanging="709"/>
        <w:jc w:val="both"/>
        <w:rPr>
          <w:color w:val="000000"/>
        </w:rPr>
      </w:pPr>
      <w:r>
        <w:t>Blumenfeld</w:t>
      </w:r>
      <w:r>
        <w:rPr>
          <w:color w:val="000000"/>
        </w:rPr>
        <w:t xml:space="preserve">, W. y Sardón, M. (1943a). Los rendimientos en el test colectivo de Terman en su dependencia de la edad cronológica y del grado escolar. </w:t>
      </w:r>
      <w:r>
        <w:rPr>
          <w:i/>
          <w:color w:val="000000"/>
        </w:rPr>
        <w:t>Revista de Educación, 17</w:t>
      </w:r>
      <w:r>
        <w:rPr>
          <w:color w:val="000000"/>
        </w:rPr>
        <w:t>(2-3), 17-41.</w:t>
      </w:r>
    </w:p>
    <w:p w:rsidR="00067D89" w:rsidRDefault="00A57D41">
      <w:pPr>
        <w:ind w:left="709" w:hanging="709"/>
        <w:jc w:val="both"/>
        <w:rPr>
          <w:color w:val="000000"/>
        </w:rPr>
      </w:pPr>
      <w:r>
        <w:t>Blumenfeld</w:t>
      </w:r>
      <w:r>
        <w:rPr>
          <w:color w:val="000000"/>
        </w:rPr>
        <w:t xml:space="preserve">, W. y Sardón, M. (1943b). Los rendimientos en el test colectivo de Terman en su dependencia de la edad cronológica y del grado escolar. </w:t>
      </w:r>
      <w:r>
        <w:rPr>
          <w:i/>
          <w:color w:val="000000"/>
        </w:rPr>
        <w:t>Boletín del Instituto Psicopedagógico Nacional, 2</w:t>
      </w:r>
      <w:r>
        <w:rPr>
          <w:color w:val="000000"/>
        </w:rPr>
        <w:t xml:space="preserve">(1), 3-27.   </w:t>
      </w:r>
    </w:p>
    <w:p w:rsidR="00067D89" w:rsidRDefault="00A57D41">
      <w:pPr>
        <w:ind w:left="709" w:hanging="709"/>
        <w:jc w:val="both"/>
        <w:rPr>
          <w:color w:val="000000"/>
        </w:rPr>
      </w:pPr>
      <w:r>
        <w:t>Blumenfeld</w:t>
      </w:r>
      <w:r>
        <w:rPr>
          <w:color w:val="000000"/>
        </w:rPr>
        <w:t xml:space="preserve">, W. y Sardón, M. (1945). Revisión de Lima de la forma “A” de test colectivo de Terman y resultados de su aplicación. </w:t>
      </w:r>
      <w:r>
        <w:rPr>
          <w:i/>
          <w:color w:val="000000"/>
        </w:rPr>
        <w:t>Boletín del Instituto Psicopedagógico Nacional, 4</w:t>
      </w:r>
      <w:r>
        <w:rPr>
          <w:color w:val="000000"/>
        </w:rPr>
        <w:t xml:space="preserve">(1), 3-122.   </w:t>
      </w:r>
    </w:p>
    <w:p w:rsidR="00067D89" w:rsidRDefault="00A57D41">
      <w:pPr>
        <w:ind w:left="709" w:hanging="709"/>
        <w:jc w:val="both"/>
      </w:pPr>
      <w:proofErr w:type="spellStart"/>
      <w:r>
        <w:rPr>
          <w:color w:val="222222"/>
          <w:highlight w:val="white"/>
        </w:rPr>
        <w:lastRenderedPageBreak/>
        <w:t>Bordons</w:t>
      </w:r>
      <w:proofErr w:type="spellEnd"/>
      <w:r>
        <w:rPr>
          <w:color w:val="222222"/>
          <w:highlight w:val="white"/>
        </w:rPr>
        <w:t xml:space="preserve">, M., y Zulueta, M. A. (1999). </w:t>
      </w:r>
      <w:r w:rsidRPr="007164AA">
        <w:rPr>
          <w:color w:val="222222"/>
          <w:highlight w:val="white"/>
          <w:lang w:val="en-US"/>
        </w:rPr>
        <w:t>Evaluation of the scientific activity through bibliometric indices. </w:t>
      </w:r>
      <w:r>
        <w:rPr>
          <w:i/>
          <w:color w:val="222222"/>
          <w:highlight w:val="white"/>
        </w:rPr>
        <w:t xml:space="preserve">Revista Española De </w:t>
      </w:r>
      <w:r>
        <w:rPr>
          <w:i/>
          <w:highlight w:val="white"/>
        </w:rPr>
        <w:t>Cardiología</w:t>
      </w:r>
      <w:r>
        <w:rPr>
          <w:highlight w:val="white"/>
        </w:rPr>
        <w:t>, </w:t>
      </w:r>
      <w:r>
        <w:rPr>
          <w:i/>
          <w:highlight w:val="white"/>
        </w:rPr>
        <w:t>52</w:t>
      </w:r>
      <w:r>
        <w:rPr>
          <w:highlight w:val="white"/>
        </w:rPr>
        <w:t xml:space="preserve">(10), 790-800. </w:t>
      </w:r>
    </w:p>
    <w:p w:rsidR="00067D89" w:rsidRDefault="00A57D41">
      <w:pPr>
        <w:ind w:left="709" w:hanging="709"/>
        <w:jc w:val="both"/>
        <w:rPr>
          <w:highlight w:val="white"/>
        </w:rPr>
      </w:pPr>
      <w:proofErr w:type="spellStart"/>
      <w:r>
        <w:rPr>
          <w:highlight w:val="white"/>
        </w:rPr>
        <w:t>Brožek</w:t>
      </w:r>
      <w:proofErr w:type="spellEnd"/>
      <w:r>
        <w:rPr>
          <w:highlight w:val="white"/>
        </w:rPr>
        <w:t xml:space="preserve">, J. (1991). </w:t>
      </w:r>
      <w:proofErr w:type="spellStart"/>
      <w:r>
        <w:rPr>
          <w:highlight w:val="white"/>
        </w:rPr>
        <w:t>Quantifying</w:t>
      </w:r>
      <w:proofErr w:type="spellEnd"/>
      <w:r>
        <w:rPr>
          <w:highlight w:val="white"/>
        </w:rPr>
        <w:t xml:space="preserve"> </w:t>
      </w:r>
      <w:proofErr w:type="spellStart"/>
      <w:r>
        <w:rPr>
          <w:highlight w:val="white"/>
        </w:rPr>
        <w:t>history</w:t>
      </w:r>
      <w:proofErr w:type="spellEnd"/>
      <w:r>
        <w:rPr>
          <w:highlight w:val="white"/>
        </w:rPr>
        <w:t xml:space="preserve"> </w:t>
      </w:r>
      <w:proofErr w:type="spellStart"/>
      <w:r>
        <w:rPr>
          <w:highlight w:val="white"/>
        </w:rPr>
        <w:t>of</w:t>
      </w:r>
      <w:proofErr w:type="spellEnd"/>
      <w:r>
        <w:rPr>
          <w:highlight w:val="white"/>
        </w:rPr>
        <w:t xml:space="preserve"> </w:t>
      </w:r>
      <w:proofErr w:type="spellStart"/>
      <w:r>
        <w:rPr>
          <w:highlight w:val="white"/>
        </w:rPr>
        <w:t>psychology</w:t>
      </w:r>
      <w:proofErr w:type="spellEnd"/>
      <w:r>
        <w:rPr>
          <w:highlight w:val="white"/>
        </w:rPr>
        <w:t xml:space="preserve">: </w:t>
      </w:r>
      <w:proofErr w:type="spellStart"/>
      <w:r>
        <w:rPr>
          <w:highlight w:val="white"/>
        </w:rPr>
        <w:t>Bibliometry</w:t>
      </w:r>
      <w:proofErr w:type="spellEnd"/>
      <w:r>
        <w:rPr>
          <w:highlight w:val="white"/>
        </w:rPr>
        <w:t> </w:t>
      </w:r>
      <w:proofErr w:type="spellStart"/>
      <w:r>
        <w:rPr>
          <w:i/>
          <w:highlight w:val="white"/>
        </w:rPr>
        <w:t>alla</w:t>
      </w:r>
      <w:proofErr w:type="spellEnd"/>
      <w:r>
        <w:rPr>
          <w:i/>
          <w:highlight w:val="white"/>
        </w:rPr>
        <w:t xml:space="preserve"> valenciana</w:t>
      </w:r>
      <w:r>
        <w:rPr>
          <w:highlight w:val="white"/>
        </w:rPr>
        <w:t>. </w:t>
      </w:r>
      <w:r>
        <w:rPr>
          <w:i/>
          <w:highlight w:val="white"/>
        </w:rPr>
        <w:t>Revista de Historia de la Psicología, 12</w:t>
      </w:r>
      <w:r>
        <w:rPr>
          <w:highlight w:val="white"/>
        </w:rPr>
        <w:t>(2), 15-36.</w:t>
      </w:r>
    </w:p>
    <w:p w:rsidR="00067D89" w:rsidRDefault="00A57D41">
      <w:pPr>
        <w:ind w:left="709" w:hanging="709"/>
        <w:jc w:val="both"/>
        <w:rPr>
          <w:highlight w:val="white"/>
        </w:rPr>
      </w:pPr>
      <w:r>
        <w:rPr>
          <w:highlight w:val="white"/>
        </w:rPr>
        <w:t>Bustamante Ruíz, C. E. (1937). La atención y su medida: estudio experimental del test del doctor Valdizán. </w:t>
      </w:r>
      <w:r>
        <w:rPr>
          <w:i/>
          <w:highlight w:val="white"/>
        </w:rPr>
        <w:t>Anales De La Facultad De Medicina</w:t>
      </w:r>
      <w:r>
        <w:rPr>
          <w:highlight w:val="white"/>
        </w:rPr>
        <w:t>, </w:t>
      </w:r>
      <w:r>
        <w:rPr>
          <w:i/>
          <w:highlight w:val="white"/>
        </w:rPr>
        <w:t>20</w:t>
      </w:r>
      <w:r>
        <w:rPr>
          <w:highlight w:val="white"/>
        </w:rPr>
        <w:t xml:space="preserve">(1), 88-181. </w:t>
      </w:r>
      <w:hyperlink r:id="rId21">
        <w:r>
          <w:rPr>
            <w:color w:val="0000FF"/>
            <w:highlight w:val="white"/>
            <w:u w:val="single"/>
          </w:rPr>
          <w:t>https://doi.org/10.15381/anales.v20i1.9759</w:t>
        </w:r>
      </w:hyperlink>
    </w:p>
    <w:p w:rsidR="00067D89" w:rsidRDefault="00A57D41">
      <w:pPr>
        <w:ind w:left="709" w:hanging="709"/>
        <w:jc w:val="both"/>
      </w:pPr>
      <w:r>
        <w:t xml:space="preserve">Bustamante, L. (1930). Crónica del libro I. P. Pávlov “Los reflejos condicionados”. </w:t>
      </w:r>
      <w:r>
        <w:rPr>
          <w:i/>
        </w:rPr>
        <w:t>Amauta, 4</w:t>
      </w:r>
      <w:r>
        <w:t>(28), 99-102.</w:t>
      </w:r>
    </w:p>
    <w:p w:rsidR="00067D89" w:rsidRDefault="00A57D41">
      <w:pPr>
        <w:ind w:left="709" w:hanging="709"/>
        <w:jc w:val="both"/>
      </w:pPr>
      <w:r>
        <w:t xml:space="preserve">Calderón, R. (1950). Función de extensión social que compete a la universidad en aplicaciones de la psicotecnia. </w:t>
      </w:r>
      <w:r>
        <w:rPr>
          <w:i/>
        </w:rPr>
        <w:t>Revista Universitaria, 39</w:t>
      </w:r>
      <w:r>
        <w:t>(98), 3-57.</w:t>
      </w:r>
    </w:p>
    <w:p w:rsidR="00067D89" w:rsidRDefault="00A57D41">
      <w:pPr>
        <w:ind w:left="709" w:hanging="709"/>
        <w:jc w:val="both"/>
        <w:rPr>
          <w:color w:val="000000"/>
        </w:rPr>
      </w:pPr>
      <w:r>
        <w:rPr>
          <w:color w:val="000000"/>
        </w:rPr>
        <w:t xml:space="preserve">Caravedo Carranza, B. (1941). Algunas consideraciones sobre la esquizofrenia en el Perú. </w:t>
      </w:r>
      <w:r>
        <w:rPr>
          <w:i/>
          <w:color w:val="000000"/>
        </w:rPr>
        <w:t>Archivos Peruanos de Higiene Mental, 5</w:t>
      </w:r>
      <w:r>
        <w:rPr>
          <w:color w:val="000000"/>
        </w:rPr>
        <w:t xml:space="preserve">(5), 1-87. </w:t>
      </w:r>
    </w:p>
    <w:p w:rsidR="00067D89" w:rsidRPr="007164AA" w:rsidRDefault="00A57D41">
      <w:pPr>
        <w:ind w:left="709" w:hanging="709"/>
        <w:jc w:val="both"/>
        <w:rPr>
          <w:color w:val="000000"/>
          <w:lang w:val="en-US"/>
        </w:rPr>
      </w:pPr>
      <w:r>
        <w:rPr>
          <w:color w:val="000000"/>
        </w:rPr>
        <w:t xml:space="preserve">Caravedo Prado, B. (1937). Clasificación americana de los desórdenes mentales. </w:t>
      </w:r>
      <w:proofErr w:type="spellStart"/>
      <w:r w:rsidRPr="007164AA">
        <w:rPr>
          <w:i/>
          <w:color w:val="000000"/>
          <w:lang w:val="en-US"/>
        </w:rPr>
        <w:t>Archivos</w:t>
      </w:r>
      <w:proofErr w:type="spellEnd"/>
      <w:r w:rsidRPr="007164AA">
        <w:rPr>
          <w:i/>
          <w:color w:val="000000"/>
          <w:lang w:val="en-US"/>
        </w:rPr>
        <w:t xml:space="preserve"> </w:t>
      </w:r>
      <w:proofErr w:type="spellStart"/>
      <w:r w:rsidRPr="007164AA">
        <w:rPr>
          <w:i/>
          <w:color w:val="000000"/>
          <w:lang w:val="en-US"/>
        </w:rPr>
        <w:t>Peruanos</w:t>
      </w:r>
      <w:proofErr w:type="spellEnd"/>
      <w:r w:rsidRPr="007164AA">
        <w:rPr>
          <w:i/>
          <w:color w:val="000000"/>
          <w:lang w:val="en-US"/>
        </w:rPr>
        <w:t xml:space="preserve"> de </w:t>
      </w:r>
      <w:proofErr w:type="spellStart"/>
      <w:r w:rsidRPr="007164AA">
        <w:rPr>
          <w:i/>
          <w:color w:val="000000"/>
          <w:lang w:val="en-US"/>
        </w:rPr>
        <w:t>Higiene</w:t>
      </w:r>
      <w:proofErr w:type="spellEnd"/>
      <w:r w:rsidRPr="007164AA">
        <w:rPr>
          <w:i/>
          <w:color w:val="000000"/>
          <w:lang w:val="en-US"/>
        </w:rPr>
        <w:t xml:space="preserve"> Mental, 1</w:t>
      </w:r>
      <w:r w:rsidRPr="007164AA">
        <w:rPr>
          <w:color w:val="000000"/>
          <w:lang w:val="en-US"/>
        </w:rPr>
        <w:t xml:space="preserve">(1), 37-48. </w:t>
      </w:r>
    </w:p>
    <w:p w:rsidR="00067D89" w:rsidRDefault="00A57D41">
      <w:pPr>
        <w:ind w:left="709" w:hanging="709"/>
        <w:jc w:val="both"/>
      </w:pPr>
      <w:r w:rsidRPr="007164AA">
        <w:rPr>
          <w:lang w:val="en-US"/>
        </w:rPr>
        <w:t xml:space="preserve">Card, N. (2012). Applied Meta-Analysis for Social Science Research. </w:t>
      </w:r>
      <w:proofErr w:type="spellStart"/>
      <w:r>
        <w:t>The</w:t>
      </w:r>
      <w:proofErr w:type="spellEnd"/>
      <w:r>
        <w:t xml:space="preserve"> Guilford </w:t>
      </w:r>
      <w:proofErr w:type="spellStart"/>
      <w:r>
        <w:t>Press</w:t>
      </w:r>
      <w:proofErr w:type="spellEnd"/>
      <w:r>
        <w:t>.</w:t>
      </w:r>
    </w:p>
    <w:p w:rsidR="00067D89" w:rsidRDefault="00A57D41">
      <w:pPr>
        <w:ind w:left="709" w:hanging="709"/>
        <w:jc w:val="both"/>
      </w:pPr>
      <w:proofErr w:type="spellStart"/>
      <w:r>
        <w:rPr>
          <w:color w:val="222222"/>
          <w:highlight w:val="white"/>
        </w:rPr>
        <w:t>Carosio</w:t>
      </w:r>
      <w:proofErr w:type="spellEnd"/>
      <w:r>
        <w:rPr>
          <w:color w:val="222222"/>
          <w:highlight w:val="white"/>
        </w:rPr>
        <w:t xml:space="preserve">, P., y </w:t>
      </w:r>
      <w:proofErr w:type="spellStart"/>
      <w:r>
        <w:rPr>
          <w:color w:val="222222"/>
          <w:highlight w:val="white"/>
        </w:rPr>
        <w:t>Klappenbach</w:t>
      </w:r>
      <w:proofErr w:type="spellEnd"/>
      <w:r>
        <w:rPr>
          <w:color w:val="222222"/>
          <w:highlight w:val="white"/>
        </w:rPr>
        <w:t>, H. (2017). Estudio bibliométrico de tesinas de psicología sobre el niño y el adolescente en la Universidad Católica de Cuyo, 1970-1995. </w:t>
      </w:r>
      <w:r>
        <w:rPr>
          <w:i/>
          <w:color w:val="222222"/>
          <w:highlight w:val="white"/>
        </w:rPr>
        <w:t>Revista Guillermo de Ockham</w:t>
      </w:r>
      <w:r>
        <w:rPr>
          <w:color w:val="222222"/>
          <w:highlight w:val="white"/>
        </w:rPr>
        <w:t>, </w:t>
      </w:r>
      <w:r>
        <w:rPr>
          <w:i/>
          <w:color w:val="222222"/>
          <w:highlight w:val="white"/>
        </w:rPr>
        <w:t>15</w:t>
      </w:r>
      <w:r>
        <w:rPr>
          <w:color w:val="222222"/>
          <w:highlight w:val="white"/>
        </w:rPr>
        <w:t xml:space="preserve">(2), 29-39. </w:t>
      </w:r>
      <w:hyperlink r:id="rId22">
        <w:r>
          <w:rPr>
            <w:color w:val="0000FF"/>
            <w:u w:val="single"/>
          </w:rPr>
          <w:t>https://doi.org/10.21500/22563202.3130</w:t>
        </w:r>
      </w:hyperlink>
    </w:p>
    <w:p w:rsidR="00067D89" w:rsidRDefault="00A57D41">
      <w:pPr>
        <w:ind w:left="709" w:hanging="709"/>
        <w:jc w:val="both"/>
      </w:pPr>
      <w:proofErr w:type="spellStart"/>
      <w:r>
        <w:rPr>
          <w:color w:val="000000"/>
        </w:rPr>
        <w:t>Cavazzana</w:t>
      </w:r>
      <w:proofErr w:type="spellEnd"/>
      <w:r>
        <w:rPr>
          <w:color w:val="000000"/>
        </w:rPr>
        <w:t xml:space="preserve">, J. (1934). La psicología de Alfredo Adler. </w:t>
      </w:r>
      <w:r>
        <w:rPr>
          <w:i/>
          <w:color w:val="000000"/>
        </w:rPr>
        <w:t>Revista de la Universidad Católica, 3</w:t>
      </w:r>
      <w:r>
        <w:rPr>
          <w:color w:val="000000"/>
        </w:rPr>
        <w:t xml:space="preserve">(11), 276-286. </w:t>
      </w:r>
    </w:p>
    <w:p w:rsidR="00067D89" w:rsidRDefault="00A57D41">
      <w:pPr>
        <w:ind w:left="709" w:hanging="709"/>
        <w:jc w:val="both"/>
      </w:pPr>
      <w:r>
        <w:rPr>
          <w:color w:val="000000"/>
        </w:rPr>
        <w:t xml:space="preserve">Chávez F. (1926). El problema sexual y el pensamiento contemporáneo. </w:t>
      </w:r>
      <w:r>
        <w:rPr>
          <w:i/>
        </w:rPr>
        <w:t>Amauta, 1</w:t>
      </w:r>
      <w:r>
        <w:t xml:space="preserve">(4), 32. </w:t>
      </w:r>
    </w:p>
    <w:p w:rsidR="00067D89" w:rsidRDefault="00A57D41">
      <w:pPr>
        <w:ind w:left="709" w:hanging="709"/>
        <w:jc w:val="both"/>
      </w:pPr>
      <w:r>
        <w:rPr>
          <w:color w:val="000000"/>
        </w:rPr>
        <w:t>Chávez Sánchez, H. G. (2022). Calidad de las revistas científicas peruanas y su impacto en la investigación. </w:t>
      </w:r>
      <w:r>
        <w:rPr>
          <w:i/>
          <w:color w:val="000000"/>
        </w:rPr>
        <w:t>Revista de Ciencias Humanísticas y Sociales (</w:t>
      </w:r>
      <w:proofErr w:type="spellStart"/>
      <w:r>
        <w:rPr>
          <w:i/>
          <w:color w:val="000000"/>
        </w:rPr>
        <w:t>ReHuSo</w:t>
      </w:r>
      <w:proofErr w:type="spellEnd"/>
      <w:r>
        <w:rPr>
          <w:i/>
          <w:color w:val="000000"/>
        </w:rPr>
        <w:t>)</w:t>
      </w:r>
      <w:r>
        <w:rPr>
          <w:color w:val="000000"/>
        </w:rPr>
        <w:t>, </w:t>
      </w:r>
      <w:r>
        <w:rPr>
          <w:i/>
          <w:color w:val="000000"/>
        </w:rPr>
        <w:t>7</w:t>
      </w:r>
      <w:r>
        <w:rPr>
          <w:color w:val="000000"/>
        </w:rPr>
        <w:t xml:space="preserve">(1), 51-66. </w:t>
      </w:r>
      <w:hyperlink r:id="rId23">
        <w:r>
          <w:rPr>
            <w:color w:val="0000FF"/>
            <w:u w:val="single"/>
          </w:rPr>
          <w:t>https://doi.org/10.5281/zenodo.5814056</w:t>
        </w:r>
      </w:hyperlink>
    </w:p>
    <w:p w:rsidR="00067D89" w:rsidRDefault="00A57D41">
      <w:pPr>
        <w:ind w:left="709" w:hanging="709"/>
        <w:jc w:val="both"/>
        <w:rPr>
          <w:highlight w:val="white"/>
        </w:rPr>
      </w:pPr>
      <w:r>
        <w:rPr>
          <w:highlight w:val="white"/>
        </w:rPr>
        <w:t>Chueca, F. (1920). Estudio sobre la capacidad intelectual de los niños en las escuelas de Lima. </w:t>
      </w:r>
      <w:r>
        <w:rPr>
          <w:i/>
          <w:highlight w:val="white"/>
        </w:rPr>
        <w:t>Anales De La Facultad De Medicina</w:t>
      </w:r>
      <w:r>
        <w:rPr>
          <w:highlight w:val="white"/>
        </w:rPr>
        <w:t>, </w:t>
      </w:r>
      <w:r>
        <w:rPr>
          <w:i/>
          <w:highlight w:val="white"/>
        </w:rPr>
        <w:t>6</w:t>
      </w:r>
      <w:r>
        <w:rPr>
          <w:highlight w:val="white"/>
        </w:rPr>
        <w:t xml:space="preserve">, 46-57. </w:t>
      </w:r>
      <w:hyperlink r:id="rId24">
        <w:r>
          <w:rPr>
            <w:color w:val="0000FF"/>
            <w:highlight w:val="white"/>
            <w:u w:val="single"/>
          </w:rPr>
          <w:t>https://doi.org/10.15381/anales.v6i0.10631</w:t>
        </w:r>
      </w:hyperlink>
      <w:r>
        <w:rPr>
          <w:highlight w:val="white"/>
        </w:rPr>
        <w:t xml:space="preserve"> </w:t>
      </w:r>
    </w:p>
    <w:p w:rsidR="00067D89" w:rsidRDefault="00A57D41">
      <w:pPr>
        <w:ind w:left="709" w:hanging="709"/>
        <w:jc w:val="both"/>
        <w:rPr>
          <w:color w:val="000000"/>
        </w:rPr>
      </w:pPr>
      <w:r>
        <w:rPr>
          <w:color w:val="000000"/>
        </w:rPr>
        <w:t>Coz, A. (1937a). Estudio estadístico del rendimiento escolar de los alumnos de instrucción media matriculados en el colegio nacional de Ica en 1934 en relación a su capacidad mental, raza, edad pedagógica, ocupación de los padres y otros factores.</w:t>
      </w:r>
      <w:r>
        <w:t xml:space="preserve"> </w:t>
      </w:r>
      <w:r>
        <w:rPr>
          <w:i/>
          <w:color w:val="000000"/>
        </w:rPr>
        <w:t>Revista de Educación, 6</w:t>
      </w:r>
      <w:r>
        <w:rPr>
          <w:color w:val="000000"/>
        </w:rPr>
        <w:t xml:space="preserve">(5), 37-62. </w:t>
      </w:r>
    </w:p>
    <w:p w:rsidR="00067D89" w:rsidRDefault="00A57D41">
      <w:pPr>
        <w:ind w:left="709" w:hanging="709"/>
        <w:jc w:val="both"/>
        <w:rPr>
          <w:color w:val="000000"/>
        </w:rPr>
      </w:pPr>
      <w:r>
        <w:rPr>
          <w:color w:val="000000"/>
        </w:rPr>
        <w:t>Coz, A. (1937b). Estudio estadístico del rendimiento escolar de los alumnos de instrucción media matriculados en el colegio nacional de Ica en 1934 en relación a su capacidad mental, raza, edad pedagógica, ocupación de los padres y otros factores(</w:t>
      </w:r>
      <w:r>
        <w:rPr>
          <w:i/>
          <w:color w:val="000000"/>
        </w:rPr>
        <w:t>continuación)</w:t>
      </w:r>
      <w:r>
        <w:rPr>
          <w:color w:val="000000"/>
        </w:rPr>
        <w:t>.</w:t>
      </w:r>
      <w:r>
        <w:t xml:space="preserve"> </w:t>
      </w:r>
      <w:r>
        <w:rPr>
          <w:i/>
          <w:color w:val="000000"/>
        </w:rPr>
        <w:t>Revista de Educación, 6</w:t>
      </w:r>
      <w:r>
        <w:rPr>
          <w:color w:val="000000"/>
        </w:rPr>
        <w:t xml:space="preserve">(6), 47-70. </w:t>
      </w:r>
    </w:p>
    <w:p w:rsidR="00067D89" w:rsidRDefault="00A57D41">
      <w:pPr>
        <w:pBdr>
          <w:top w:val="nil"/>
          <w:left w:val="nil"/>
          <w:bottom w:val="nil"/>
          <w:right w:val="nil"/>
          <w:between w:val="nil"/>
        </w:pBdr>
        <w:ind w:left="709" w:hanging="709"/>
        <w:jc w:val="both"/>
        <w:rPr>
          <w:color w:val="000000"/>
          <w:highlight w:val="white"/>
        </w:rPr>
      </w:pPr>
      <w:r>
        <w:rPr>
          <w:color w:val="222222"/>
          <w:highlight w:val="white"/>
        </w:rPr>
        <w:t>Cueto, M. (2015). La organización de una cultura científica en Lima: 1890-1930. </w:t>
      </w:r>
      <w:r>
        <w:rPr>
          <w:i/>
          <w:color w:val="222222"/>
          <w:highlight w:val="white"/>
        </w:rPr>
        <w:t>Apuntes: Revista de Ciencias Sociales</w:t>
      </w:r>
      <w:r>
        <w:rPr>
          <w:color w:val="222222"/>
          <w:highlight w:val="white"/>
        </w:rPr>
        <w:t xml:space="preserve">, (18), 129-139. </w:t>
      </w:r>
      <w:hyperlink r:id="rId25">
        <w:r>
          <w:rPr>
            <w:color w:val="0000FF"/>
            <w:highlight w:val="white"/>
            <w:u w:val="single"/>
          </w:rPr>
          <w:t>https://doi.org/10.21678/apuntes.18.229</w:t>
        </w:r>
      </w:hyperlink>
      <w:r>
        <w:rPr>
          <w:color w:val="000000"/>
          <w:highlight w:val="white"/>
        </w:rPr>
        <w:t xml:space="preserve"> </w:t>
      </w:r>
    </w:p>
    <w:p w:rsidR="00067D89" w:rsidRDefault="00A57D41">
      <w:pPr>
        <w:ind w:left="709" w:hanging="709"/>
        <w:jc w:val="both"/>
        <w:rPr>
          <w:color w:val="333333"/>
          <w:shd w:val="clear" w:color="auto" w:fill="FCFCFC"/>
        </w:rPr>
      </w:pPr>
      <w:r>
        <w:rPr>
          <w:color w:val="333333"/>
          <w:shd w:val="clear" w:color="auto" w:fill="FCFCFC"/>
        </w:rPr>
        <w:t xml:space="preserve">De Marchi, M., </w:t>
      </w:r>
      <w:r>
        <w:t xml:space="preserve">y </w:t>
      </w:r>
      <w:r>
        <w:rPr>
          <w:color w:val="333333"/>
          <w:shd w:val="clear" w:color="auto" w:fill="FCFCFC"/>
        </w:rPr>
        <w:t xml:space="preserve">Lorenzetti, E. (2016). </w:t>
      </w:r>
      <w:r w:rsidRPr="007164AA">
        <w:rPr>
          <w:color w:val="333333"/>
          <w:shd w:val="clear" w:color="auto" w:fill="FCFCFC"/>
          <w:lang w:val="en-US"/>
        </w:rPr>
        <w:t>Measuring the impact of scholarly journals in the humanities field. </w:t>
      </w:r>
      <w:proofErr w:type="spellStart"/>
      <w:r>
        <w:rPr>
          <w:i/>
          <w:color w:val="333333"/>
          <w:shd w:val="clear" w:color="auto" w:fill="FCFCFC"/>
        </w:rPr>
        <w:t>Scientometrics</w:t>
      </w:r>
      <w:proofErr w:type="spellEnd"/>
      <w:r>
        <w:rPr>
          <w:color w:val="333333"/>
          <w:shd w:val="clear" w:color="auto" w:fill="FCFCFC"/>
        </w:rPr>
        <w:t> 106, 253-261.</w:t>
      </w:r>
    </w:p>
    <w:p w:rsidR="00067D89" w:rsidRDefault="00A57D41">
      <w:pPr>
        <w:ind w:left="1429" w:hanging="709"/>
        <w:jc w:val="both"/>
      </w:pPr>
      <w:r>
        <w:rPr>
          <w:color w:val="333333"/>
          <w:shd w:val="clear" w:color="auto" w:fill="FCFCFC"/>
        </w:rPr>
        <w:t xml:space="preserve"> </w:t>
      </w:r>
      <w:hyperlink r:id="rId26">
        <w:r>
          <w:rPr>
            <w:color w:val="0000FF"/>
            <w:u w:val="single"/>
            <w:shd w:val="clear" w:color="auto" w:fill="FCFCFC"/>
          </w:rPr>
          <w:t>https://doi.org/10.1007/s11192-015-1787-z</w:t>
        </w:r>
      </w:hyperlink>
      <w:r>
        <w:rPr>
          <w:color w:val="333333"/>
          <w:shd w:val="clear" w:color="auto" w:fill="FCFCFC"/>
        </w:rPr>
        <w:t xml:space="preserve"> </w:t>
      </w:r>
    </w:p>
    <w:p w:rsidR="00067D89" w:rsidRDefault="00A57D41">
      <w:pPr>
        <w:ind w:left="709" w:hanging="709"/>
        <w:jc w:val="both"/>
        <w:rPr>
          <w:color w:val="000000"/>
        </w:rPr>
      </w:pPr>
      <w:r>
        <w:rPr>
          <w:color w:val="000000"/>
        </w:rPr>
        <w:t xml:space="preserve">De Romana, J. (1942). Nota de redacción. </w:t>
      </w:r>
      <w:r>
        <w:rPr>
          <w:i/>
          <w:color w:val="000000"/>
        </w:rPr>
        <w:t>Boletín del Instituto Psicopedagógico Nacional, 1</w:t>
      </w:r>
      <w:r>
        <w:rPr>
          <w:color w:val="000000"/>
        </w:rPr>
        <w:t xml:space="preserve">(1), 145-148.   </w:t>
      </w:r>
    </w:p>
    <w:p w:rsidR="00067D89" w:rsidRDefault="00A57D41">
      <w:pPr>
        <w:ind w:left="709" w:hanging="709"/>
        <w:jc w:val="both"/>
        <w:rPr>
          <w:color w:val="000000"/>
        </w:rPr>
      </w:pPr>
      <w:r>
        <w:rPr>
          <w:color w:val="000000"/>
        </w:rPr>
        <w:t xml:space="preserve">Delgado, H. (1918a). La nueva faz de la psicología normal y clínica. </w:t>
      </w:r>
      <w:r>
        <w:rPr>
          <w:i/>
          <w:color w:val="000000"/>
        </w:rPr>
        <w:t>Revista de Psiquiatría y Disciplinas Conexas, 1</w:t>
      </w:r>
      <w:r>
        <w:rPr>
          <w:color w:val="000000"/>
        </w:rPr>
        <w:t>, 37-43.</w:t>
      </w:r>
    </w:p>
    <w:p w:rsidR="00067D89" w:rsidRDefault="00A57D41">
      <w:pPr>
        <w:ind w:left="709" w:hanging="709"/>
        <w:jc w:val="both"/>
        <w:rPr>
          <w:color w:val="000000"/>
        </w:rPr>
      </w:pPr>
      <w:r>
        <w:rPr>
          <w:color w:val="000000"/>
        </w:rPr>
        <w:lastRenderedPageBreak/>
        <w:t xml:space="preserve">Delgado, H. (1918b). La psiquiatría psicológica. </w:t>
      </w:r>
      <w:r>
        <w:rPr>
          <w:i/>
          <w:color w:val="000000"/>
        </w:rPr>
        <w:t>Revista de Psiquiatría y Disciplinas Conexas, 1</w:t>
      </w:r>
      <w:r>
        <w:rPr>
          <w:color w:val="000000"/>
        </w:rPr>
        <w:t xml:space="preserve">, 147-165. </w:t>
      </w:r>
    </w:p>
    <w:p w:rsidR="00067D89" w:rsidRDefault="00A57D41">
      <w:pPr>
        <w:ind w:left="709" w:hanging="709"/>
        <w:jc w:val="both"/>
        <w:rPr>
          <w:highlight w:val="white"/>
        </w:rPr>
      </w:pPr>
      <w:r>
        <w:rPr>
          <w:highlight w:val="white"/>
        </w:rPr>
        <w:t>Delgado, H. (1918c). El psicoanálisis. </w:t>
      </w:r>
      <w:r>
        <w:rPr>
          <w:i/>
          <w:highlight w:val="white"/>
        </w:rPr>
        <w:t>Anales De La Facultad De Medicina</w:t>
      </w:r>
      <w:r>
        <w:rPr>
          <w:highlight w:val="white"/>
        </w:rPr>
        <w:t>, </w:t>
      </w:r>
      <w:r>
        <w:rPr>
          <w:i/>
          <w:highlight w:val="white"/>
        </w:rPr>
        <w:t>1</w:t>
      </w:r>
      <w:r>
        <w:rPr>
          <w:highlight w:val="white"/>
        </w:rPr>
        <w:t xml:space="preserve">, 186–200. </w:t>
      </w:r>
      <w:hyperlink r:id="rId27">
        <w:r>
          <w:rPr>
            <w:color w:val="0000FF"/>
            <w:highlight w:val="white"/>
            <w:u w:val="single"/>
          </w:rPr>
          <w:t>https://doi.org/10.15381/anales.v1i0.10694</w:t>
        </w:r>
      </w:hyperlink>
      <w:r>
        <w:rPr>
          <w:highlight w:val="white"/>
        </w:rPr>
        <w:t xml:space="preserve"> </w:t>
      </w:r>
    </w:p>
    <w:p w:rsidR="00067D89" w:rsidRDefault="00A57D41">
      <w:pPr>
        <w:ind w:left="709" w:hanging="709"/>
        <w:jc w:val="both"/>
        <w:rPr>
          <w:color w:val="000000"/>
        </w:rPr>
      </w:pPr>
      <w:r>
        <w:rPr>
          <w:color w:val="000000"/>
        </w:rPr>
        <w:t xml:space="preserve">Delgado, H. (1922). La instrucción psicoanalítica como tratamiento de la alienación mental. </w:t>
      </w:r>
      <w:r>
        <w:rPr>
          <w:i/>
          <w:color w:val="000000"/>
        </w:rPr>
        <w:t>Revista de Psiquiatría y Disciplinas Conexas, 4</w:t>
      </w:r>
      <w:r>
        <w:rPr>
          <w:color w:val="000000"/>
        </w:rPr>
        <w:t xml:space="preserve">(1), 235-248. </w:t>
      </w:r>
    </w:p>
    <w:p w:rsidR="00067D89" w:rsidRDefault="00A57D41">
      <w:pPr>
        <w:ind w:left="709" w:hanging="709"/>
        <w:jc w:val="both"/>
        <w:rPr>
          <w:color w:val="000000"/>
        </w:rPr>
      </w:pPr>
      <w:r>
        <w:rPr>
          <w:color w:val="000000"/>
        </w:rPr>
        <w:t xml:space="preserve">Delgado, H. (1924). Granville Stanley Hall. </w:t>
      </w:r>
      <w:r>
        <w:rPr>
          <w:i/>
          <w:color w:val="000000"/>
        </w:rPr>
        <w:t>Revista de Psiquiatría y Disciplinas Conexas, 5</w:t>
      </w:r>
      <w:r>
        <w:rPr>
          <w:color w:val="000000"/>
        </w:rPr>
        <w:t xml:space="preserve">(3), 193-206. </w:t>
      </w:r>
    </w:p>
    <w:p w:rsidR="00067D89" w:rsidRDefault="00A57D41">
      <w:pPr>
        <w:ind w:left="709" w:hanging="709"/>
        <w:jc w:val="both"/>
      </w:pPr>
      <w:r>
        <w:rPr>
          <w:color w:val="000000"/>
        </w:rPr>
        <w:t xml:space="preserve">Delgado, H. (1936). </w:t>
      </w:r>
      <w:proofErr w:type="spellStart"/>
      <w:r>
        <w:rPr>
          <w:color w:val="000000"/>
        </w:rPr>
        <w:t>Ivan</w:t>
      </w:r>
      <w:proofErr w:type="spellEnd"/>
      <w:r>
        <w:rPr>
          <w:color w:val="000000"/>
        </w:rPr>
        <w:t xml:space="preserve"> </w:t>
      </w:r>
      <w:proofErr w:type="spellStart"/>
      <w:r>
        <w:rPr>
          <w:color w:val="000000"/>
        </w:rPr>
        <w:t>Petrovich</w:t>
      </w:r>
      <w:proofErr w:type="spellEnd"/>
      <w:r>
        <w:rPr>
          <w:color w:val="000000"/>
        </w:rPr>
        <w:t xml:space="preserve"> </w:t>
      </w:r>
      <w:proofErr w:type="spellStart"/>
      <w:r>
        <w:rPr>
          <w:color w:val="000000"/>
        </w:rPr>
        <w:t>Pavlov</w:t>
      </w:r>
      <w:proofErr w:type="spellEnd"/>
      <w:r>
        <w:rPr>
          <w:color w:val="000000"/>
        </w:rPr>
        <w:t xml:space="preserve">. </w:t>
      </w:r>
      <w:r>
        <w:rPr>
          <w:i/>
          <w:color w:val="000000"/>
        </w:rPr>
        <w:t>Revista de la Universidad Católica, 5</w:t>
      </w:r>
      <w:r>
        <w:rPr>
          <w:color w:val="000000"/>
        </w:rPr>
        <w:t xml:space="preserve">(21), 58-59. </w:t>
      </w:r>
    </w:p>
    <w:p w:rsidR="00067D89" w:rsidRDefault="00A57D41">
      <w:pPr>
        <w:ind w:left="709" w:hanging="709"/>
        <w:jc w:val="both"/>
        <w:rPr>
          <w:highlight w:val="white"/>
        </w:rPr>
      </w:pPr>
      <w:r>
        <w:rPr>
          <w:highlight w:val="white"/>
        </w:rPr>
        <w:t>Delgado, H. (1938). Psicología general y psicopatologías de las tendencias instintivas. </w:t>
      </w:r>
      <w:r>
        <w:rPr>
          <w:i/>
          <w:highlight w:val="white"/>
        </w:rPr>
        <w:t>Revista de Neuro-Psiquiatría</w:t>
      </w:r>
      <w:r>
        <w:rPr>
          <w:highlight w:val="white"/>
        </w:rPr>
        <w:t>, </w:t>
      </w:r>
      <w:r>
        <w:rPr>
          <w:i/>
          <w:highlight w:val="white"/>
        </w:rPr>
        <w:t>1</w:t>
      </w:r>
      <w:r>
        <w:rPr>
          <w:highlight w:val="white"/>
        </w:rPr>
        <w:t>(3), 255-353.</w:t>
      </w:r>
    </w:p>
    <w:p w:rsidR="00067D89" w:rsidRDefault="00A57D41">
      <w:pPr>
        <w:ind w:left="709" w:hanging="709"/>
        <w:jc w:val="both"/>
        <w:rPr>
          <w:highlight w:val="white"/>
        </w:rPr>
      </w:pPr>
      <w:r>
        <w:rPr>
          <w:highlight w:val="white"/>
        </w:rPr>
        <w:t>Delgado, H. (1939a). Psicología general y psicopatología de la voluntad. </w:t>
      </w:r>
      <w:r>
        <w:rPr>
          <w:i/>
          <w:highlight w:val="white"/>
        </w:rPr>
        <w:t>Revista de Neuro-Psiquiatría</w:t>
      </w:r>
      <w:r>
        <w:rPr>
          <w:highlight w:val="white"/>
        </w:rPr>
        <w:t>, </w:t>
      </w:r>
      <w:r>
        <w:rPr>
          <w:i/>
          <w:highlight w:val="white"/>
        </w:rPr>
        <w:t>2</w:t>
      </w:r>
      <w:r>
        <w:rPr>
          <w:highlight w:val="white"/>
        </w:rPr>
        <w:t>(1), 1-61.</w:t>
      </w:r>
    </w:p>
    <w:p w:rsidR="00067D89" w:rsidRDefault="00A57D41">
      <w:pPr>
        <w:ind w:left="709" w:hanging="709"/>
        <w:jc w:val="both"/>
      </w:pPr>
      <w:r>
        <w:rPr>
          <w:color w:val="000000"/>
        </w:rPr>
        <w:t xml:space="preserve">Delgado, H. (1939b). El sentido de la acción y los reflejos condicionados. </w:t>
      </w:r>
      <w:r>
        <w:rPr>
          <w:i/>
          <w:color w:val="000000"/>
        </w:rPr>
        <w:t>Revista de la Universidad Católica, 7</w:t>
      </w:r>
      <w:r>
        <w:rPr>
          <w:color w:val="000000"/>
        </w:rPr>
        <w:t xml:space="preserve">(4-5), 213-228. </w:t>
      </w:r>
    </w:p>
    <w:p w:rsidR="00067D89" w:rsidRDefault="00A57D41">
      <w:pPr>
        <w:ind w:left="709" w:hanging="709"/>
        <w:jc w:val="both"/>
        <w:rPr>
          <w:highlight w:val="yellow"/>
        </w:rPr>
      </w:pPr>
      <w:r>
        <w:rPr>
          <w:highlight w:val="white"/>
        </w:rPr>
        <w:t>Delgado, H. (1942). Psicología y ecología, o del instinto en el orden de la naturaleza. </w:t>
      </w:r>
      <w:r>
        <w:rPr>
          <w:i/>
          <w:highlight w:val="white"/>
        </w:rPr>
        <w:t>Letras (Lima)</w:t>
      </w:r>
      <w:r>
        <w:rPr>
          <w:highlight w:val="white"/>
        </w:rPr>
        <w:t>, </w:t>
      </w:r>
      <w:r>
        <w:rPr>
          <w:i/>
          <w:highlight w:val="white"/>
        </w:rPr>
        <w:t>8</w:t>
      </w:r>
      <w:r>
        <w:rPr>
          <w:highlight w:val="white"/>
        </w:rPr>
        <w:t xml:space="preserve">(21), 19-86. </w:t>
      </w:r>
      <w:hyperlink r:id="rId28">
        <w:r>
          <w:rPr>
            <w:color w:val="0000FF"/>
            <w:highlight w:val="white"/>
            <w:u w:val="single"/>
          </w:rPr>
          <w:t>https://doi.org/10.30920/letras.8.21.2</w:t>
        </w:r>
      </w:hyperlink>
      <w:r>
        <w:rPr>
          <w:highlight w:val="white"/>
        </w:rPr>
        <w:t xml:space="preserve"> </w:t>
      </w:r>
    </w:p>
    <w:p w:rsidR="00067D89" w:rsidRDefault="00A57D41">
      <w:pPr>
        <w:ind w:left="709" w:hanging="709"/>
        <w:jc w:val="both"/>
      </w:pPr>
      <w:r>
        <w:t xml:space="preserve">Diahitio, E. (1793, 31 de agosto). Noticia de un acto público de filosofía y matemáticas dedicado a la Real Universidad de San Marcos, y breve extracto de las tesis que ofreció sustentar el Actuante, </w:t>
      </w:r>
      <w:r>
        <w:rPr>
          <w:i/>
        </w:rPr>
        <w:t>Mercurio Peruano</w:t>
      </w:r>
      <w:r>
        <w:t>, Tomo VIII, 280-300.</w:t>
      </w:r>
    </w:p>
    <w:p w:rsidR="00067D89" w:rsidRDefault="00A57D41">
      <w:pPr>
        <w:ind w:left="709" w:hanging="709"/>
        <w:jc w:val="both"/>
      </w:pPr>
      <w:r>
        <w:t xml:space="preserve">El </w:t>
      </w:r>
      <w:proofErr w:type="gramStart"/>
      <w:r>
        <w:t>Peruano</w:t>
      </w:r>
      <w:proofErr w:type="gramEnd"/>
      <w:r>
        <w:t xml:space="preserve"> (1850, 18 de mayo). Suicidios. </w:t>
      </w:r>
      <w:r>
        <w:rPr>
          <w:i/>
        </w:rPr>
        <w:t>El peruano periódico oficial</w:t>
      </w:r>
      <w:r>
        <w:t>, 164.  N°41.</w:t>
      </w:r>
    </w:p>
    <w:p w:rsidR="00067D89" w:rsidRDefault="00A57D41">
      <w:pPr>
        <w:ind w:left="709" w:hanging="709"/>
        <w:jc w:val="both"/>
      </w:pPr>
      <w:r>
        <w:t xml:space="preserve">El </w:t>
      </w:r>
      <w:proofErr w:type="gramStart"/>
      <w:r>
        <w:t>Peruano</w:t>
      </w:r>
      <w:proofErr w:type="gramEnd"/>
      <w:r>
        <w:t xml:space="preserve"> (1860, 11 de abril). Proyecto de reglamento para el hospicio de insanos. </w:t>
      </w:r>
      <w:r>
        <w:rPr>
          <w:i/>
        </w:rPr>
        <w:t>El peruano publicación oficial</w:t>
      </w:r>
      <w:r>
        <w:t>, 164.  N°33.</w:t>
      </w:r>
    </w:p>
    <w:p w:rsidR="00067D89" w:rsidRDefault="00A57D41">
      <w:pPr>
        <w:ind w:left="709" w:hanging="709"/>
        <w:jc w:val="both"/>
      </w:pPr>
      <w:r>
        <w:rPr>
          <w:color w:val="000000"/>
        </w:rPr>
        <w:t xml:space="preserve">Encinas, E. (1960). Oskar Vogt. </w:t>
      </w:r>
      <w:r>
        <w:rPr>
          <w:i/>
          <w:color w:val="000000"/>
        </w:rPr>
        <w:t>Revista de Psicología, 2</w:t>
      </w:r>
      <w:r>
        <w:rPr>
          <w:color w:val="000000"/>
        </w:rPr>
        <w:t>(1-2), 93-94.</w:t>
      </w:r>
    </w:p>
    <w:p w:rsidR="00067D89" w:rsidRDefault="00A57D41">
      <w:pPr>
        <w:ind w:left="709" w:hanging="709"/>
        <w:jc w:val="both"/>
        <w:rPr>
          <w:color w:val="000000"/>
        </w:rPr>
      </w:pPr>
      <w:r>
        <w:rPr>
          <w:highlight w:val="white"/>
        </w:rPr>
        <w:t>Espejo, L. D. (1919). El lenguaje normal y patológico. </w:t>
      </w:r>
      <w:r>
        <w:rPr>
          <w:i/>
          <w:highlight w:val="white"/>
        </w:rPr>
        <w:t>Anales De La Facultad De Medicina</w:t>
      </w:r>
      <w:r>
        <w:rPr>
          <w:highlight w:val="white"/>
        </w:rPr>
        <w:t>, </w:t>
      </w:r>
      <w:r>
        <w:rPr>
          <w:i/>
          <w:highlight w:val="white"/>
        </w:rPr>
        <w:t>3</w:t>
      </w:r>
      <w:r>
        <w:rPr>
          <w:highlight w:val="white"/>
        </w:rPr>
        <w:t xml:space="preserve">, 169-189. </w:t>
      </w:r>
      <w:hyperlink r:id="rId29">
        <w:r>
          <w:rPr>
            <w:color w:val="0000FF"/>
            <w:highlight w:val="white"/>
            <w:u w:val="single"/>
          </w:rPr>
          <w:t>https://doi.org/10.15381/anales.v3i0.10658</w:t>
        </w:r>
      </w:hyperlink>
      <w:r>
        <w:rPr>
          <w:highlight w:val="white"/>
        </w:rPr>
        <w:t xml:space="preserve"> </w:t>
      </w:r>
    </w:p>
    <w:p w:rsidR="00067D89" w:rsidRDefault="00A57D41">
      <w:pPr>
        <w:ind w:left="709" w:hanging="709"/>
        <w:jc w:val="both"/>
        <w:rPr>
          <w:highlight w:val="white"/>
        </w:rPr>
      </w:pPr>
      <w:r>
        <w:rPr>
          <w:highlight w:val="white"/>
        </w:rPr>
        <w:t xml:space="preserve">Fernández Quintana, A. (1939). Estudio experimental de la atención en enfermos mentales tratados con </w:t>
      </w:r>
      <w:proofErr w:type="spellStart"/>
      <w:r>
        <w:rPr>
          <w:highlight w:val="white"/>
        </w:rPr>
        <w:t>Cardiazol</w:t>
      </w:r>
      <w:proofErr w:type="spellEnd"/>
      <w:r>
        <w:rPr>
          <w:highlight w:val="white"/>
        </w:rPr>
        <w:t>. </w:t>
      </w:r>
      <w:r>
        <w:rPr>
          <w:i/>
          <w:highlight w:val="white"/>
        </w:rPr>
        <w:t>Anales De La Facultad De Medicina</w:t>
      </w:r>
      <w:r>
        <w:rPr>
          <w:highlight w:val="white"/>
        </w:rPr>
        <w:t>, </w:t>
      </w:r>
      <w:r>
        <w:rPr>
          <w:i/>
          <w:highlight w:val="white"/>
        </w:rPr>
        <w:t>22</w:t>
      </w:r>
      <w:r>
        <w:rPr>
          <w:highlight w:val="white"/>
        </w:rPr>
        <w:t xml:space="preserve">(1), 132-165. </w:t>
      </w:r>
      <w:hyperlink r:id="rId30">
        <w:r>
          <w:rPr>
            <w:color w:val="0000FF"/>
            <w:highlight w:val="white"/>
            <w:u w:val="single"/>
          </w:rPr>
          <w:t>https://doi.org/10.15381/anales.v22i1.9737</w:t>
        </w:r>
      </w:hyperlink>
    </w:p>
    <w:p w:rsidR="00067D89" w:rsidRDefault="00A57D41">
      <w:pPr>
        <w:ind w:left="709" w:hanging="709"/>
        <w:jc w:val="both"/>
        <w:rPr>
          <w:color w:val="222222"/>
          <w:highlight w:val="white"/>
        </w:rPr>
      </w:pPr>
      <w:r>
        <w:rPr>
          <w:color w:val="222222"/>
          <w:highlight w:val="white"/>
        </w:rPr>
        <w:t xml:space="preserve">Fierro, C., Di Doménico, M. C., y </w:t>
      </w:r>
      <w:proofErr w:type="spellStart"/>
      <w:r>
        <w:rPr>
          <w:color w:val="222222"/>
          <w:highlight w:val="white"/>
        </w:rPr>
        <w:t>Klappenbach</w:t>
      </w:r>
      <w:proofErr w:type="spellEnd"/>
      <w:r>
        <w:rPr>
          <w:color w:val="222222"/>
          <w:highlight w:val="white"/>
        </w:rPr>
        <w:t xml:space="preserve">, H. A. (2019). Análisis </w:t>
      </w:r>
      <w:proofErr w:type="spellStart"/>
      <w:r>
        <w:rPr>
          <w:color w:val="222222"/>
          <w:highlight w:val="white"/>
        </w:rPr>
        <w:t>sociobibliométrico</w:t>
      </w:r>
      <w:proofErr w:type="spellEnd"/>
      <w:r>
        <w:rPr>
          <w:color w:val="222222"/>
          <w:highlight w:val="white"/>
        </w:rPr>
        <w:t xml:space="preserve"> comparativo de la carrera de Psicología de la Universidad de Buenos Aires (1996-2017). </w:t>
      </w:r>
      <w:proofErr w:type="spellStart"/>
      <w:r>
        <w:rPr>
          <w:i/>
          <w:color w:val="222222"/>
          <w:highlight w:val="white"/>
        </w:rPr>
        <w:t>Universitas</w:t>
      </w:r>
      <w:proofErr w:type="spellEnd"/>
      <w:r>
        <w:rPr>
          <w:i/>
          <w:color w:val="222222"/>
          <w:highlight w:val="white"/>
        </w:rPr>
        <w:t xml:space="preserve"> </w:t>
      </w:r>
      <w:proofErr w:type="spellStart"/>
      <w:r>
        <w:rPr>
          <w:i/>
          <w:color w:val="222222"/>
          <w:highlight w:val="white"/>
        </w:rPr>
        <w:t>Psychologica</w:t>
      </w:r>
      <w:proofErr w:type="spellEnd"/>
      <w:r>
        <w:rPr>
          <w:color w:val="222222"/>
          <w:highlight w:val="white"/>
        </w:rPr>
        <w:t>, </w:t>
      </w:r>
      <w:r>
        <w:rPr>
          <w:i/>
          <w:color w:val="222222"/>
          <w:highlight w:val="white"/>
        </w:rPr>
        <w:t>18</w:t>
      </w:r>
      <w:r>
        <w:rPr>
          <w:color w:val="222222"/>
          <w:highlight w:val="white"/>
        </w:rPr>
        <w:t xml:space="preserve">(2), 1-29. </w:t>
      </w:r>
      <w:hyperlink r:id="rId31">
        <w:r>
          <w:rPr>
            <w:color w:val="0000FF"/>
            <w:highlight w:val="white"/>
            <w:u w:val="single"/>
          </w:rPr>
          <w:t>https://doi.org/10.11144/Javeriana.upsy18-2.asbc</w:t>
        </w:r>
      </w:hyperlink>
      <w:r>
        <w:rPr>
          <w:color w:val="000000"/>
          <w:highlight w:val="white"/>
        </w:rPr>
        <w:t xml:space="preserve"> </w:t>
      </w:r>
    </w:p>
    <w:p w:rsidR="00067D89" w:rsidRDefault="00A57D41">
      <w:pPr>
        <w:ind w:left="709" w:hanging="709"/>
        <w:jc w:val="both"/>
      </w:pPr>
      <w:r>
        <w:rPr>
          <w:color w:val="000000"/>
        </w:rPr>
        <w:t xml:space="preserve">Flores, A. (1960). El resentimiento. </w:t>
      </w:r>
      <w:r>
        <w:rPr>
          <w:i/>
          <w:color w:val="000000"/>
        </w:rPr>
        <w:t>Revista de Psicología, 2</w:t>
      </w:r>
      <w:r>
        <w:rPr>
          <w:color w:val="000000"/>
        </w:rPr>
        <w:t>(1-2), 61-78.</w:t>
      </w:r>
    </w:p>
    <w:p w:rsidR="00067D89" w:rsidRDefault="00A57D41">
      <w:pPr>
        <w:ind w:left="709" w:hanging="709"/>
        <w:jc w:val="both"/>
      </w:pPr>
      <w:r>
        <w:rPr>
          <w:color w:val="333333"/>
          <w:highlight w:val="white"/>
        </w:rPr>
        <w:t xml:space="preserve">Gallegos, M., Pérez-Acosta, A. M., </w:t>
      </w:r>
      <w:proofErr w:type="spellStart"/>
      <w:r>
        <w:rPr>
          <w:color w:val="333333"/>
          <w:highlight w:val="white"/>
        </w:rPr>
        <w:t>Klappenbach</w:t>
      </w:r>
      <w:proofErr w:type="spellEnd"/>
      <w:r>
        <w:rPr>
          <w:color w:val="333333"/>
          <w:highlight w:val="white"/>
        </w:rPr>
        <w:t xml:space="preserve">, H., López </w:t>
      </w:r>
      <w:proofErr w:type="spellStart"/>
      <w:r>
        <w:rPr>
          <w:color w:val="333333"/>
          <w:highlight w:val="white"/>
        </w:rPr>
        <w:t>López</w:t>
      </w:r>
      <w:proofErr w:type="spellEnd"/>
      <w:r>
        <w:rPr>
          <w:color w:val="333333"/>
          <w:highlight w:val="white"/>
        </w:rPr>
        <w:t xml:space="preserve">, W., y </w:t>
      </w:r>
      <w:proofErr w:type="spellStart"/>
      <w:r>
        <w:rPr>
          <w:color w:val="333333"/>
          <w:highlight w:val="white"/>
        </w:rPr>
        <w:t>Bregman</w:t>
      </w:r>
      <w:proofErr w:type="spellEnd"/>
      <w:r>
        <w:rPr>
          <w:color w:val="333333"/>
          <w:highlight w:val="white"/>
        </w:rPr>
        <w:t xml:space="preserve">, C. (2020). Los estudios bibliométricos en el campo de la psicología iberoamericana: Una revisión </w:t>
      </w:r>
      <w:proofErr w:type="spellStart"/>
      <w:r>
        <w:rPr>
          <w:color w:val="333333"/>
          <w:highlight w:val="white"/>
        </w:rPr>
        <w:t>metabibliométrica</w:t>
      </w:r>
      <w:proofErr w:type="spellEnd"/>
      <w:r>
        <w:rPr>
          <w:color w:val="333333"/>
          <w:highlight w:val="white"/>
        </w:rPr>
        <w:t>. </w:t>
      </w:r>
      <w:r>
        <w:rPr>
          <w:i/>
          <w:color w:val="333333"/>
          <w:highlight w:val="white"/>
        </w:rPr>
        <w:t>Interdisciplinaria Revista de Psicología y Ciencias Afines, 37</w:t>
      </w:r>
      <w:r>
        <w:rPr>
          <w:color w:val="333333"/>
          <w:highlight w:val="white"/>
        </w:rPr>
        <w:t>(2), 95-115. </w:t>
      </w:r>
      <w:hyperlink r:id="rId32">
        <w:r>
          <w:rPr>
            <w:color w:val="0070C0"/>
            <w:highlight w:val="white"/>
            <w:u w:val="single"/>
          </w:rPr>
          <w:t>https://doi.org/10.16888/interd.2020.37.2.6</w:t>
        </w:r>
      </w:hyperlink>
    </w:p>
    <w:p w:rsidR="00067D89" w:rsidRDefault="00A57D41">
      <w:pPr>
        <w:ind w:left="709" w:hanging="709"/>
        <w:jc w:val="both"/>
        <w:rPr>
          <w:color w:val="000000"/>
        </w:rPr>
      </w:pPr>
      <w:r>
        <w:rPr>
          <w:color w:val="000000"/>
        </w:rPr>
        <w:t xml:space="preserve">Godiño, J. M. (1947). Experiencias sobre la conceptualización de los alumnos de bajo nivel social de varias escuelas primarias de segundo grado. </w:t>
      </w:r>
      <w:r>
        <w:rPr>
          <w:i/>
          <w:color w:val="000000"/>
        </w:rPr>
        <w:t>Boletín del Instituto Psicopedagógico Nacional, 6</w:t>
      </w:r>
      <w:r>
        <w:rPr>
          <w:color w:val="000000"/>
        </w:rPr>
        <w:t xml:space="preserve">(1), 77-106.   </w:t>
      </w:r>
    </w:p>
    <w:p w:rsidR="00067D89" w:rsidRDefault="00A57D41">
      <w:pPr>
        <w:ind w:left="709" w:hanging="709"/>
        <w:jc w:val="both"/>
        <w:rPr>
          <w:color w:val="000000"/>
        </w:rPr>
      </w:pPr>
      <w:r>
        <w:rPr>
          <w:color w:val="000000"/>
        </w:rPr>
        <w:t xml:space="preserve">Godiño, J. M. (1949). Captación de conceptos en los alumnos de alto nivel social de varios colegios particulares y su comparación con los resultados de bajo nivel. </w:t>
      </w:r>
      <w:r>
        <w:rPr>
          <w:i/>
          <w:color w:val="000000"/>
        </w:rPr>
        <w:t>Boletín del Instituto Psicopedagógico Nacional, 8</w:t>
      </w:r>
      <w:r>
        <w:rPr>
          <w:color w:val="000000"/>
        </w:rPr>
        <w:t>(1), 128-</w:t>
      </w:r>
      <w:r>
        <w:t xml:space="preserve">157.   </w:t>
      </w:r>
    </w:p>
    <w:p w:rsidR="00067D89" w:rsidRDefault="00A57D41">
      <w:pPr>
        <w:ind w:left="709" w:hanging="709"/>
        <w:jc w:val="both"/>
      </w:pPr>
      <w:r>
        <w:rPr>
          <w:color w:val="222222"/>
          <w:highlight w:val="white"/>
        </w:rPr>
        <w:lastRenderedPageBreak/>
        <w:t>González, E. N. (2015). Las publicaciones periódicas en el marco de la enseñanza de la psicología en la Universidad Nacional de La Plata (Argentina): 1976-2000. </w:t>
      </w:r>
      <w:proofErr w:type="spellStart"/>
      <w:r>
        <w:rPr>
          <w:i/>
          <w:color w:val="222222"/>
          <w:highlight w:val="white"/>
        </w:rPr>
        <w:t>Universitas</w:t>
      </w:r>
      <w:proofErr w:type="spellEnd"/>
      <w:r>
        <w:rPr>
          <w:i/>
          <w:color w:val="222222"/>
          <w:highlight w:val="white"/>
        </w:rPr>
        <w:t xml:space="preserve"> </w:t>
      </w:r>
      <w:proofErr w:type="spellStart"/>
      <w:r>
        <w:rPr>
          <w:i/>
          <w:color w:val="222222"/>
          <w:highlight w:val="white"/>
        </w:rPr>
        <w:t>Psychologica</w:t>
      </w:r>
      <w:proofErr w:type="spellEnd"/>
      <w:r>
        <w:rPr>
          <w:color w:val="222222"/>
          <w:highlight w:val="white"/>
        </w:rPr>
        <w:t>, </w:t>
      </w:r>
      <w:r>
        <w:rPr>
          <w:i/>
          <w:color w:val="222222"/>
          <w:highlight w:val="white"/>
        </w:rPr>
        <w:t>14</w:t>
      </w:r>
      <w:r>
        <w:rPr>
          <w:color w:val="222222"/>
          <w:highlight w:val="white"/>
        </w:rPr>
        <w:t xml:space="preserve">(2), 579-588. </w:t>
      </w:r>
      <w:hyperlink r:id="rId33">
        <w:r>
          <w:rPr>
            <w:color w:val="0000FF"/>
            <w:highlight w:val="white"/>
            <w:u w:val="single"/>
          </w:rPr>
          <w:t>http://dx.doi.org.10.1H44/Javeriana.upsy14-2.ppme</w:t>
        </w:r>
      </w:hyperlink>
    </w:p>
    <w:p w:rsidR="00067D89" w:rsidRDefault="00A57D41">
      <w:pPr>
        <w:ind w:left="709" w:hanging="709"/>
        <w:jc w:val="both"/>
      </w:pPr>
      <w:r>
        <w:rPr>
          <w:color w:val="222222"/>
          <w:highlight w:val="white"/>
        </w:rPr>
        <w:t xml:space="preserve">Guerra, R. (1979). La investigación científica en el Perú en los años veinte. </w:t>
      </w:r>
      <w:r>
        <w:rPr>
          <w:i/>
        </w:rPr>
        <w:t>Revista de la Universidad Católica</w:t>
      </w:r>
      <w:r>
        <w:t>, 5, 25-42.</w:t>
      </w:r>
    </w:p>
    <w:p w:rsidR="00067D89" w:rsidRDefault="00A57D41">
      <w:pPr>
        <w:ind w:left="709" w:hanging="709"/>
        <w:jc w:val="both"/>
        <w:rPr>
          <w:color w:val="000000"/>
        </w:rPr>
      </w:pPr>
      <w:r>
        <w:rPr>
          <w:color w:val="000000"/>
        </w:rPr>
        <w:t xml:space="preserve">Guillén, E. (1949). Tendencia a la sociabilidad de la juventud peruana a base del Inventario de R.G. Bernreuter y la Escala F2-S. de J.C. Flanagan. </w:t>
      </w:r>
      <w:r>
        <w:rPr>
          <w:i/>
          <w:color w:val="000000"/>
        </w:rPr>
        <w:t>Boletín del Instituto Psicopedagógico Nacional, 8</w:t>
      </w:r>
      <w:r>
        <w:rPr>
          <w:color w:val="000000"/>
        </w:rPr>
        <w:t>(1), 93-</w:t>
      </w:r>
      <w:r>
        <w:t xml:space="preserve">127.   </w:t>
      </w:r>
    </w:p>
    <w:p w:rsidR="00067D89" w:rsidRPr="007164AA" w:rsidRDefault="00A57D41">
      <w:pPr>
        <w:ind w:left="709" w:hanging="709"/>
        <w:jc w:val="both"/>
        <w:rPr>
          <w:highlight w:val="white"/>
          <w:lang w:val="en-US"/>
        </w:rPr>
      </w:pPr>
      <w:r>
        <w:rPr>
          <w:highlight w:val="white"/>
        </w:rPr>
        <w:t>Gutiérrez-Noriega, C. y Zapata, V. (1950). La inteligencia y la personalidad en los habituados a la coca. </w:t>
      </w:r>
      <w:proofErr w:type="spellStart"/>
      <w:r w:rsidRPr="007164AA">
        <w:rPr>
          <w:i/>
          <w:highlight w:val="white"/>
          <w:lang w:val="en-US"/>
        </w:rPr>
        <w:t>Revista</w:t>
      </w:r>
      <w:proofErr w:type="spellEnd"/>
      <w:r w:rsidRPr="007164AA">
        <w:rPr>
          <w:i/>
          <w:highlight w:val="white"/>
          <w:lang w:val="en-US"/>
        </w:rPr>
        <w:t xml:space="preserve"> de Neuro-</w:t>
      </w:r>
      <w:proofErr w:type="spellStart"/>
      <w:r w:rsidRPr="007164AA">
        <w:rPr>
          <w:i/>
          <w:highlight w:val="white"/>
          <w:lang w:val="en-US"/>
        </w:rPr>
        <w:t>Psiquiatría</w:t>
      </w:r>
      <w:proofErr w:type="spellEnd"/>
      <w:r w:rsidRPr="007164AA">
        <w:rPr>
          <w:highlight w:val="white"/>
          <w:lang w:val="en-US"/>
        </w:rPr>
        <w:t>, </w:t>
      </w:r>
      <w:r w:rsidRPr="007164AA">
        <w:rPr>
          <w:i/>
          <w:highlight w:val="white"/>
          <w:lang w:val="en-US"/>
        </w:rPr>
        <w:t>13</w:t>
      </w:r>
      <w:r w:rsidRPr="007164AA">
        <w:rPr>
          <w:highlight w:val="white"/>
          <w:lang w:val="en-US"/>
        </w:rPr>
        <w:t>(1), 22-60.</w:t>
      </w:r>
    </w:p>
    <w:p w:rsidR="00067D89" w:rsidRDefault="00A57D41">
      <w:pPr>
        <w:ind w:left="709" w:hanging="709"/>
        <w:jc w:val="both"/>
        <w:rPr>
          <w:sz w:val="28"/>
          <w:szCs w:val="28"/>
        </w:rPr>
      </w:pPr>
      <w:proofErr w:type="spellStart"/>
      <w:r w:rsidRPr="007164AA">
        <w:rPr>
          <w:color w:val="333333"/>
          <w:shd w:val="clear" w:color="auto" w:fill="FCFCFC"/>
          <w:lang w:val="en-US"/>
        </w:rPr>
        <w:t>Haustein</w:t>
      </w:r>
      <w:proofErr w:type="spellEnd"/>
      <w:r w:rsidRPr="007164AA">
        <w:rPr>
          <w:color w:val="333333"/>
          <w:shd w:val="clear" w:color="auto" w:fill="FCFCFC"/>
          <w:lang w:val="en-US"/>
        </w:rPr>
        <w:t xml:space="preserve">, S., </w:t>
      </w:r>
      <w:proofErr w:type="spellStart"/>
      <w:r w:rsidRPr="007164AA">
        <w:rPr>
          <w:color w:val="333333"/>
          <w:shd w:val="clear" w:color="auto" w:fill="FCFCFC"/>
          <w:lang w:val="en-US"/>
        </w:rPr>
        <w:t>Larivière</w:t>
      </w:r>
      <w:proofErr w:type="spellEnd"/>
      <w:r w:rsidRPr="007164AA">
        <w:rPr>
          <w:color w:val="333333"/>
          <w:shd w:val="clear" w:color="auto" w:fill="FCFCFC"/>
          <w:lang w:val="en-US"/>
        </w:rPr>
        <w:t xml:space="preserve">, V. (2015). The Use of Bibliometrics for Assessing Research: Possibilities, Limitations and Adverse Effects. </w:t>
      </w:r>
      <w:proofErr w:type="spellStart"/>
      <w:r w:rsidRPr="007164AA">
        <w:rPr>
          <w:color w:val="333333"/>
          <w:shd w:val="clear" w:color="auto" w:fill="FCFCFC"/>
          <w:lang w:val="en-US"/>
        </w:rPr>
        <w:t>En</w:t>
      </w:r>
      <w:proofErr w:type="spellEnd"/>
      <w:r w:rsidRPr="007164AA">
        <w:rPr>
          <w:color w:val="333333"/>
          <w:shd w:val="clear" w:color="auto" w:fill="FCFCFC"/>
          <w:lang w:val="en-US"/>
        </w:rPr>
        <w:t xml:space="preserve"> </w:t>
      </w:r>
      <w:proofErr w:type="spellStart"/>
      <w:r w:rsidRPr="007164AA">
        <w:rPr>
          <w:color w:val="333333"/>
          <w:shd w:val="clear" w:color="auto" w:fill="FCFCFC"/>
          <w:lang w:val="en-US"/>
        </w:rPr>
        <w:t>Welpe</w:t>
      </w:r>
      <w:proofErr w:type="spellEnd"/>
      <w:r w:rsidRPr="007164AA">
        <w:rPr>
          <w:color w:val="333333"/>
          <w:shd w:val="clear" w:color="auto" w:fill="FCFCFC"/>
          <w:lang w:val="en-US"/>
        </w:rPr>
        <w:t xml:space="preserve">, I., </w:t>
      </w:r>
      <w:proofErr w:type="spellStart"/>
      <w:r w:rsidRPr="007164AA">
        <w:rPr>
          <w:color w:val="333333"/>
          <w:shd w:val="clear" w:color="auto" w:fill="FCFCFC"/>
          <w:lang w:val="en-US"/>
        </w:rPr>
        <w:t>Wollersheim</w:t>
      </w:r>
      <w:proofErr w:type="spellEnd"/>
      <w:r w:rsidRPr="007164AA">
        <w:rPr>
          <w:color w:val="333333"/>
          <w:shd w:val="clear" w:color="auto" w:fill="FCFCFC"/>
          <w:lang w:val="en-US"/>
        </w:rPr>
        <w:t xml:space="preserve">, J., </w:t>
      </w:r>
      <w:proofErr w:type="spellStart"/>
      <w:r w:rsidRPr="007164AA">
        <w:rPr>
          <w:color w:val="333333"/>
          <w:shd w:val="clear" w:color="auto" w:fill="FCFCFC"/>
          <w:lang w:val="en-US"/>
        </w:rPr>
        <w:t>Ringelhan</w:t>
      </w:r>
      <w:proofErr w:type="spellEnd"/>
      <w:r w:rsidRPr="007164AA">
        <w:rPr>
          <w:color w:val="333333"/>
          <w:shd w:val="clear" w:color="auto" w:fill="FCFCFC"/>
          <w:lang w:val="en-US"/>
        </w:rPr>
        <w:t xml:space="preserve">, S., </w:t>
      </w:r>
      <w:proofErr w:type="spellStart"/>
      <w:r w:rsidRPr="007164AA">
        <w:rPr>
          <w:color w:val="333333"/>
          <w:shd w:val="clear" w:color="auto" w:fill="FCFCFC"/>
          <w:lang w:val="en-US"/>
        </w:rPr>
        <w:t>Osterloh</w:t>
      </w:r>
      <w:proofErr w:type="spellEnd"/>
      <w:r w:rsidRPr="007164AA">
        <w:rPr>
          <w:color w:val="333333"/>
          <w:shd w:val="clear" w:color="auto" w:fill="FCFCFC"/>
          <w:lang w:val="en-US"/>
        </w:rPr>
        <w:t xml:space="preserve">, M. (eds) Incentives and Performance. </w:t>
      </w:r>
      <w:r>
        <w:rPr>
          <w:color w:val="333333"/>
          <w:shd w:val="clear" w:color="auto" w:fill="FCFCFC"/>
        </w:rPr>
        <w:t xml:space="preserve">Springer, </w:t>
      </w:r>
      <w:proofErr w:type="spellStart"/>
      <w:r>
        <w:rPr>
          <w:color w:val="333333"/>
          <w:shd w:val="clear" w:color="auto" w:fill="FCFCFC"/>
        </w:rPr>
        <w:t>Cham</w:t>
      </w:r>
      <w:proofErr w:type="spellEnd"/>
      <w:r>
        <w:rPr>
          <w:color w:val="333333"/>
          <w:shd w:val="clear" w:color="auto" w:fill="FCFCFC"/>
        </w:rPr>
        <w:t xml:space="preserve">. </w:t>
      </w:r>
      <w:hyperlink r:id="rId34">
        <w:r>
          <w:rPr>
            <w:color w:val="0000FF"/>
            <w:u w:val="single"/>
            <w:shd w:val="clear" w:color="auto" w:fill="FCFCFC"/>
          </w:rPr>
          <w:t>https://doi.org/10.1007/978-3-319-09785-5_8</w:t>
        </w:r>
      </w:hyperlink>
      <w:r>
        <w:rPr>
          <w:color w:val="0000FF"/>
          <w:u w:val="single"/>
          <w:shd w:val="clear" w:color="auto" w:fill="FCFCFC"/>
        </w:rPr>
        <w:t xml:space="preserve">  </w:t>
      </w:r>
    </w:p>
    <w:p w:rsidR="00067D89" w:rsidRDefault="00A57D41">
      <w:pPr>
        <w:ind w:left="709" w:hanging="709"/>
        <w:jc w:val="both"/>
      </w:pPr>
      <w:r>
        <w:t xml:space="preserve">Hesperióphylo (1791a, 6 de enero). Historia de la hermandad y hospital de la caridad. </w:t>
      </w:r>
      <w:r>
        <w:rPr>
          <w:i/>
        </w:rPr>
        <w:t>Mercurio Peruano</w:t>
      </w:r>
      <w:r>
        <w:t>, Tomo I, 9-13.</w:t>
      </w:r>
      <w:r>
        <w:rPr>
          <w:i/>
        </w:rPr>
        <w:t xml:space="preserve"> </w:t>
      </w:r>
      <w:r>
        <w:t xml:space="preserve"> </w:t>
      </w:r>
    </w:p>
    <w:p w:rsidR="00067D89" w:rsidRDefault="00A57D41">
      <w:pPr>
        <w:ind w:left="709" w:hanging="709"/>
        <w:jc w:val="both"/>
      </w:pPr>
      <w:r>
        <w:t xml:space="preserve">Hesperióphylo (1791b, 3 de febrero). Reflexiones históricas y políticas sobre el estado de la población de esta capital, que se acompaña por su suplemento. </w:t>
      </w:r>
      <w:r>
        <w:rPr>
          <w:i/>
        </w:rPr>
        <w:t>Mercurio Peruano</w:t>
      </w:r>
      <w:r>
        <w:t>, Tomo I, 90-98.</w:t>
      </w:r>
      <w:r>
        <w:rPr>
          <w:i/>
        </w:rPr>
        <w:t xml:space="preserve"> </w:t>
      </w:r>
      <w:r>
        <w:t xml:space="preserve">  </w:t>
      </w:r>
    </w:p>
    <w:p w:rsidR="00067D89" w:rsidRDefault="00A57D41">
      <w:pPr>
        <w:ind w:left="709" w:hanging="709"/>
        <w:jc w:val="both"/>
      </w:pPr>
      <w:r>
        <w:rPr>
          <w:color w:val="000000"/>
        </w:rPr>
        <w:t xml:space="preserve">Ibarra, T. (1937). Nociones de psicología empírica en la filosofía de Descartes. </w:t>
      </w:r>
      <w:r>
        <w:rPr>
          <w:i/>
          <w:color w:val="000000"/>
        </w:rPr>
        <w:t>Revista de la Universidad Católica, 6</w:t>
      </w:r>
      <w:r>
        <w:rPr>
          <w:color w:val="000000"/>
        </w:rPr>
        <w:t xml:space="preserve">(35), 509-539. </w:t>
      </w:r>
    </w:p>
    <w:p w:rsidR="00067D89" w:rsidRDefault="00A57D41">
      <w:pPr>
        <w:ind w:left="709" w:hanging="709"/>
        <w:jc w:val="both"/>
      </w:pPr>
      <w:r>
        <w:t xml:space="preserve">ISSN (2015). Manual de ISSN catalogación. </w:t>
      </w:r>
    </w:p>
    <w:p w:rsidR="00067D89" w:rsidRDefault="00A57D41">
      <w:pPr>
        <w:ind w:left="709" w:hanging="709"/>
        <w:jc w:val="both"/>
        <w:rPr>
          <w:color w:val="222222"/>
          <w:highlight w:val="white"/>
        </w:rPr>
      </w:pPr>
      <w:proofErr w:type="spellStart"/>
      <w:r>
        <w:rPr>
          <w:color w:val="222222"/>
          <w:highlight w:val="white"/>
        </w:rPr>
        <w:t>Klappenbach</w:t>
      </w:r>
      <w:proofErr w:type="spellEnd"/>
      <w:r>
        <w:rPr>
          <w:color w:val="222222"/>
          <w:highlight w:val="white"/>
        </w:rPr>
        <w:t xml:space="preserve">, H. (2017). Los aportes de la </w:t>
      </w:r>
      <w:proofErr w:type="spellStart"/>
      <w:r>
        <w:rPr>
          <w:color w:val="222222"/>
          <w:highlight w:val="white"/>
        </w:rPr>
        <w:t>sociobibliometría</w:t>
      </w:r>
      <w:proofErr w:type="spellEnd"/>
      <w:r>
        <w:rPr>
          <w:color w:val="222222"/>
          <w:highlight w:val="white"/>
        </w:rPr>
        <w:t xml:space="preserve"> a la historia de las disciplinas científicas. </w:t>
      </w:r>
      <w:r>
        <w:rPr>
          <w:i/>
          <w:color w:val="222222"/>
          <w:highlight w:val="white"/>
        </w:rPr>
        <w:t>Revista Guillermo de Ockham</w:t>
      </w:r>
      <w:r>
        <w:rPr>
          <w:color w:val="222222"/>
          <w:highlight w:val="white"/>
        </w:rPr>
        <w:t>, </w:t>
      </w:r>
      <w:r>
        <w:rPr>
          <w:i/>
          <w:color w:val="222222"/>
          <w:highlight w:val="white"/>
        </w:rPr>
        <w:t>15</w:t>
      </w:r>
      <w:r>
        <w:rPr>
          <w:color w:val="222222"/>
          <w:highlight w:val="white"/>
        </w:rPr>
        <w:t>(2), 5-7.</w:t>
      </w:r>
    </w:p>
    <w:p w:rsidR="00067D89" w:rsidRDefault="00A57D41">
      <w:pPr>
        <w:ind w:left="709" w:hanging="709"/>
        <w:jc w:val="both"/>
      </w:pPr>
      <w:proofErr w:type="spellStart"/>
      <w:r>
        <w:rPr>
          <w:color w:val="222222"/>
          <w:highlight w:val="white"/>
        </w:rPr>
        <w:t>Klappenbach</w:t>
      </w:r>
      <w:proofErr w:type="spellEnd"/>
      <w:r>
        <w:rPr>
          <w:color w:val="222222"/>
          <w:highlight w:val="white"/>
        </w:rPr>
        <w:t>, H. A. A. (2016). Enfoques cuantitativos y cualitativos en la investigación histórica de las psicologías locales y nativas</w:t>
      </w:r>
      <w:r>
        <w:rPr>
          <w:color w:val="222222"/>
        </w:rPr>
        <w:t>. En Mardones</w:t>
      </w:r>
      <w:r>
        <w:rPr>
          <w:color w:val="222222"/>
          <w:highlight w:val="white"/>
        </w:rPr>
        <w:t>-Barrera, R. (</w:t>
      </w:r>
      <w:proofErr w:type="spellStart"/>
      <w:r>
        <w:rPr>
          <w:color w:val="222222"/>
          <w:highlight w:val="white"/>
        </w:rPr>
        <w:t>ed</w:t>
      </w:r>
      <w:proofErr w:type="spellEnd"/>
      <w:r>
        <w:rPr>
          <w:color w:val="222222"/>
          <w:highlight w:val="white"/>
        </w:rPr>
        <w:t xml:space="preserve">) </w:t>
      </w:r>
      <w:r>
        <w:rPr>
          <w:i/>
          <w:color w:val="222222"/>
          <w:highlight w:val="white"/>
        </w:rPr>
        <w:t>Historia local de la psicología</w:t>
      </w:r>
      <w:r>
        <w:rPr>
          <w:color w:val="222222"/>
          <w:highlight w:val="white"/>
        </w:rPr>
        <w:t xml:space="preserve">. </w:t>
      </w:r>
      <w:proofErr w:type="spellStart"/>
      <w:r>
        <w:rPr>
          <w:color w:val="222222"/>
          <w:highlight w:val="white"/>
        </w:rPr>
        <w:t>RiL</w:t>
      </w:r>
      <w:proofErr w:type="spellEnd"/>
      <w:r>
        <w:rPr>
          <w:color w:val="222222"/>
          <w:highlight w:val="white"/>
        </w:rPr>
        <w:t xml:space="preserve"> editores.</w:t>
      </w:r>
    </w:p>
    <w:p w:rsidR="00067D89" w:rsidRDefault="00A57D41">
      <w:pPr>
        <w:ind w:left="709" w:hanging="709"/>
        <w:jc w:val="both"/>
        <w:rPr>
          <w:color w:val="000000"/>
          <w:highlight w:val="white"/>
        </w:rPr>
      </w:pPr>
      <w:proofErr w:type="spellStart"/>
      <w:r>
        <w:rPr>
          <w:color w:val="222222"/>
          <w:highlight w:val="white"/>
        </w:rPr>
        <w:t>Klappenbach</w:t>
      </w:r>
      <w:proofErr w:type="spellEnd"/>
      <w:r>
        <w:rPr>
          <w:color w:val="222222"/>
          <w:highlight w:val="white"/>
        </w:rPr>
        <w:t>, H., Vázquez-Ferrero, S., Mariñelarena-</w:t>
      </w:r>
      <w:proofErr w:type="spellStart"/>
      <w:r>
        <w:rPr>
          <w:color w:val="222222"/>
          <w:highlight w:val="white"/>
        </w:rPr>
        <w:t>Dondena</w:t>
      </w:r>
      <w:proofErr w:type="spellEnd"/>
      <w:r>
        <w:rPr>
          <w:color w:val="222222"/>
          <w:highlight w:val="white"/>
        </w:rPr>
        <w:t xml:space="preserve">, L., Polanco, F., </w:t>
      </w:r>
      <w:proofErr w:type="spellStart"/>
      <w:r>
        <w:rPr>
          <w:color w:val="222222"/>
          <w:highlight w:val="white"/>
        </w:rPr>
        <w:t>Beria</w:t>
      </w:r>
      <w:proofErr w:type="spellEnd"/>
      <w:r>
        <w:rPr>
          <w:color w:val="222222"/>
          <w:highlight w:val="white"/>
        </w:rPr>
        <w:t xml:space="preserve">, J. S., Muñoz, M., </w:t>
      </w:r>
      <w:proofErr w:type="spellStart"/>
      <w:r>
        <w:rPr>
          <w:color w:val="222222"/>
          <w:highlight w:val="white"/>
        </w:rPr>
        <w:t>Piñeda</w:t>
      </w:r>
      <w:proofErr w:type="spellEnd"/>
      <w:r>
        <w:rPr>
          <w:color w:val="222222"/>
          <w:highlight w:val="white"/>
        </w:rPr>
        <w:t xml:space="preserve">, M. A., y </w:t>
      </w:r>
      <w:proofErr w:type="spellStart"/>
      <w:r>
        <w:rPr>
          <w:color w:val="222222"/>
          <w:highlight w:val="white"/>
        </w:rPr>
        <w:t>Gonzalez</w:t>
      </w:r>
      <w:proofErr w:type="spellEnd"/>
      <w:r>
        <w:rPr>
          <w:color w:val="222222"/>
          <w:highlight w:val="white"/>
        </w:rPr>
        <w:t>, E. (2022). Los estudios sobre formación en psicología en la Revista Puertorriqueña de Psicología: Análisis de indicadores de internacionalización. </w:t>
      </w:r>
      <w:r>
        <w:rPr>
          <w:i/>
          <w:color w:val="222222"/>
          <w:highlight w:val="white"/>
        </w:rPr>
        <w:t>Revista Puertorriqueña de Psicología</w:t>
      </w:r>
      <w:r>
        <w:rPr>
          <w:color w:val="222222"/>
          <w:highlight w:val="white"/>
        </w:rPr>
        <w:t>, </w:t>
      </w:r>
      <w:r>
        <w:rPr>
          <w:i/>
          <w:color w:val="222222"/>
          <w:highlight w:val="white"/>
        </w:rPr>
        <w:t>33</w:t>
      </w:r>
      <w:r>
        <w:rPr>
          <w:color w:val="222222"/>
          <w:highlight w:val="white"/>
        </w:rPr>
        <w:t>(1), 78-93.</w:t>
      </w:r>
      <w:r>
        <w:rPr>
          <w:color w:val="000000"/>
          <w:highlight w:val="white"/>
        </w:rPr>
        <w:t xml:space="preserve"> </w:t>
      </w:r>
      <w:hyperlink r:id="rId35">
        <w:r>
          <w:rPr>
            <w:color w:val="0000FF"/>
            <w:highlight w:val="white"/>
            <w:u w:val="single"/>
          </w:rPr>
          <w:t>https://doi.org/10.55611/reps.3301.06</w:t>
        </w:r>
      </w:hyperlink>
      <w:r>
        <w:rPr>
          <w:color w:val="000000"/>
          <w:highlight w:val="white"/>
        </w:rPr>
        <w:t xml:space="preserve"> </w:t>
      </w:r>
    </w:p>
    <w:p w:rsidR="00067D89" w:rsidRDefault="00A57D41">
      <w:pPr>
        <w:ind w:left="709" w:hanging="709"/>
        <w:jc w:val="both"/>
      </w:pPr>
      <w:r>
        <w:t xml:space="preserve">León, R. (1993). </w:t>
      </w:r>
      <w:r>
        <w:rPr>
          <w:i/>
        </w:rPr>
        <w:t>Contribuciones a la historia de la psicología en el Perú</w:t>
      </w:r>
      <w:r>
        <w:t xml:space="preserve">. </w:t>
      </w:r>
      <w:proofErr w:type="spellStart"/>
      <w:r>
        <w:t>Concytec</w:t>
      </w:r>
      <w:proofErr w:type="spellEnd"/>
      <w:r>
        <w:t>.</w:t>
      </w:r>
    </w:p>
    <w:p w:rsidR="00067D89" w:rsidRDefault="00A57D41">
      <w:pPr>
        <w:ind w:left="709" w:hanging="709"/>
        <w:jc w:val="both"/>
      </w:pPr>
      <w:r>
        <w:t xml:space="preserve">López, E. (1926). Sobre la psicología del indio. </w:t>
      </w:r>
      <w:r>
        <w:rPr>
          <w:i/>
        </w:rPr>
        <w:t>Amauta, 1</w:t>
      </w:r>
      <w:r>
        <w:t>(4), 1-2.</w:t>
      </w:r>
    </w:p>
    <w:p w:rsidR="00067D89" w:rsidRDefault="00A57D41">
      <w:pPr>
        <w:ind w:left="709" w:hanging="709"/>
        <w:jc w:val="both"/>
      </w:pPr>
      <w:r>
        <w:t xml:space="preserve">Luna, H. (1913). Paidología; el niño del Cuzco. </w:t>
      </w:r>
      <w:r>
        <w:rPr>
          <w:i/>
        </w:rPr>
        <w:t>Revista Universitaria, 2</w:t>
      </w:r>
      <w:r>
        <w:t>(7), 2-34.</w:t>
      </w:r>
    </w:p>
    <w:p w:rsidR="00067D89" w:rsidRDefault="00A57D41">
      <w:pPr>
        <w:ind w:left="709" w:hanging="709"/>
        <w:jc w:val="both"/>
      </w:pPr>
      <w:r>
        <w:t xml:space="preserve">Luna, H. (1914). Paidología; el niño del Cuzco (Conclusión). </w:t>
      </w:r>
      <w:r>
        <w:rPr>
          <w:i/>
        </w:rPr>
        <w:t>Revista Universitaria, 3</w:t>
      </w:r>
      <w:r>
        <w:t>(8), 12-57.</w:t>
      </w:r>
    </w:p>
    <w:p w:rsidR="00067D89" w:rsidRDefault="00A57D41">
      <w:pPr>
        <w:ind w:left="709" w:hanging="709"/>
        <w:jc w:val="both"/>
      </w:pPr>
      <w:r>
        <w:t>Luna-Morales, M. E., y Collazo-Reyes, F. (2007). Análisis histórico bibliométrico de las revistas latinoamericanas y caribeñas en los índices de la ciencia internacional: 1961-2005. </w:t>
      </w:r>
      <w:r>
        <w:rPr>
          <w:i/>
        </w:rPr>
        <w:t>Revista Española De Documentación Científica</w:t>
      </w:r>
      <w:r>
        <w:t>, </w:t>
      </w:r>
      <w:r>
        <w:rPr>
          <w:i/>
        </w:rPr>
        <w:t>30</w:t>
      </w:r>
      <w:r>
        <w:t xml:space="preserve">(4), 523-543. </w:t>
      </w:r>
      <w:hyperlink r:id="rId36">
        <w:r>
          <w:rPr>
            <w:color w:val="0000FF"/>
            <w:u w:val="single"/>
          </w:rPr>
          <w:t>https://doi.org/10.3989/redc.2007.v30.i4.403</w:t>
        </w:r>
      </w:hyperlink>
    </w:p>
    <w:p w:rsidR="00067D89" w:rsidRDefault="00A57D41">
      <w:pPr>
        <w:ind w:left="709" w:hanging="709"/>
        <w:jc w:val="both"/>
      </w:pPr>
      <w:proofErr w:type="spellStart"/>
      <w:r>
        <w:rPr>
          <w:color w:val="000000"/>
        </w:rPr>
        <w:t>Luza</w:t>
      </w:r>
      <w:proofErr w:type="spellEnd"/>
      <w:r>
        <w:rPr>
          <w:color w:val="000000"/>
        </w:rPr>
        <w:t xml:space="preserve">, S. (1960a). La muerte en filosofía y en psicología. </w:t>
      </w:r>
      <w:r>
        <w:rPr>
          <w:i/>
          <w:color w:val="000000"/>
        </w:rPr>
        <w:t>Revista de Psicología, 2</w:t>
      </w:r>
      <w:r>
        <w:rPr>
          <w:color w:val="000000"/>
        </w:rPr>
        <w:t>(1-2), 79-91.</w:t>
      </w:r>
    </w:p>
    <w:p w:rsidR="00067D89" w:rsidRDefault="00A57D41">
      <w:pPr>
        <w:ind w:left="709" w:hanging="709"/>
        <w:jc w:val="both"/>
      </w:pPr>
      <w:proofErr w:type="spellStart"/>
      <w:r>
        <w:rPr>
          <w:color w:val="000000"/>
        </w:rPr>
        <w:t>Luza</w:t>
      </w:r>
      <w:proofErr w:type="spellEnd"/>
      <w:r>
        <w:rPr>
          <w:color w:val="000000"/>
        </w:rPr>
        <w:t xml:space="preserve">, S. (1960b). Leopoldo </w:t>
      </w:r>
      <w:proofErr w:type="spellStart"/>
      <w:r>
        <w:rPr>
          <w:color w:val="000000"/>
        </w:rPr>
        <w:t>Chiapo</w:t>
      </w:r>
      <w:proofErr w:type="spellEnd"/>
      <w:r>
        <w:rPr>
          <w:color w:val="000000"/>
        </w:rPr>
        <w:t xml:space="preserve">: La alteración de la actitud abstractiva y la prueba de configuración noético-perceptiva en pacientes con lesiones cerebrales. </w:t>
      </w:r>
      <w:r>
        <w:rPr>
          <w:i/>
          <w:color w:val="000000"/>
        </w:rPr>
        <w:t>Revista de Psicología, 2</w:t>
      </w:r>
      <w:r>
        <w:rPr>
          <w:color w:val="000000"/>
        </w:rPr>
        <w:t>(1-2), 79-91.</w:t>
      </w:r>
    </w:p>
    <w:p w:rsidR="00067D89" w:rsidRPr="007164AA" w:rsidRDefault="00A57D41">
      <w:pPr>
        <w:ind w:left="709" w:hanging="709"/>
        <w:jc w:val="both"/>
        <w:rPr>
          <w:color w:val="000000"/>
          <w:lang w:val="en-US"/>
        </w:rPr>
      </w:pPr>
      <w:r>
        <w:rPr>
          <w:color w:val="000000"/>
        </w:rPr>
        <w:t xml:space="preserve">Lynch, N. (2023). Perú en crisis: la difícil búsqueda de su destino. </w:t>
      </w:r>
      <w:r w:rsidRPr="007164AA">
        <w:rPr>
          <w:i/>
          <w:color w:val="000000"/>
          <w:lang w:val="en-US"/>
        </w:rPr>
        <w:t>CIBOD notes internationals</w:t>
      </w:r>
      <w:r w:rsidRPr="007164AA">
        <w:rPr>
          <w:color w:val="000000"/>
          <w:lang w:val="en-US"/>
        </w:rPr>
        <w:t xml:space="preserve">, (287), 1-6. </w:t>
      </w:r>
      <w:hyperlink r:id="rId37">
        <w:r w:rsidRPr="007164AA">
          <w:rPr>
            <w:color w:val="0000FF"/>
            <w:u w:val="single"/>
            <w:lang w:val="en-US"/>
          </w:rPr>
          <w:t>https://doi.org/10.24241/NotesInt.2023/287/es</w:t>
        </w:r>
      </w:hyperlink>
      <w:r w:rsidRPr="007164AA">
        <w:rPr>
          <w:color w:val="000000"/>
          <w:lang w:val="en-US"/>
        </w:rPr>
        <w:t xml:space="preserve"> </w:t>
      </w:r>
    </w:p>
    <w:p w:rsidR="00067D89" w:rsidRDefault="00A57D41">
      <w:pPr>
        <w:ind w:left="709" w:hanging="709"/>
        <w:jc w:val="both"/>
        <w:rPr>
          <w:color w:val="000000"/>
        </w:rPr>
      </w:pPr>
      <w:r w:rsidRPr="007164AA">
        <w:rPr>
          <w:color w:val="000000"/>
          <w:lang w:val="en-US"/>
        </w:rPr>
        <w:lastRenderedPageBreak/>
        <w:t xml:space="preserve">Mac-Lean y </w:t>
      </w:r>
      <w:proofErr w:type="spellStart"/>
      <w:r w:rsidRPr="007164AA">
        <w:rPr>
          <w:color w:val="000000"/>
          <w:lang w:val="en-US"/>
        </w:rPr>
        <w:t>Etenos</w:t>
      </w:r>
      <w:proofErr w:type="spellEnd"/>
      <w:r w:rsidRPr="007164AA">
        <w:rPr>
          <w:color w:val="000000"/>
          <w:lang w:val="en-US"/>
        </w:rPr>
        <w:t xml:space="preserve">, R. (1940). </w:t>
      </w:r>
      <w:r>
        <w:rPr>
          <w:color w:val="000000"/>
        </w:rPr>
        <w:t xml:space="preserve">Pedagogía sexual. </w:t>
      </w:r>
      <w:r>
        <w:rPr>
          <w:i/>
          <w:color w:val="000000"/>
        </w:rPr>
        <w:t>Crónica Médica, 57</w:t>
      </w:r>
      <w:r>
        <w:rPr>
          <w:color w:val="000000"/>
        </w:rPr>
        <w:t>,3-9.</w:t>
      </w:r>
    </w:p>
    <w:p w:rsidR="00067D89" w:rsidRDefault="00A57D41">
      <w:pPr>
        <w:ind w:left="709" w:hanging="709"/>
        <w:jc w:val="both"/>
      </w:pPr>
      <w:r>
        <w:rPr>
          <w:color w:val="000000"/>
        </w:rPr>
        <w:t>Mendoza, Sara, y Paravic, Tatiana. (2006). Origen, clasificación y desafíos de las Revistas Científicas. </w:t>
      </w:r>
      <w:r>
        <w:rPr>
          <w:i/>
          <w:color w:val="000000"/>
        </w:rPr>
        <w:t>Investigación y Postgrado</w:t>
      </w:r>
      <w:r>
        <w:rPr>
          <w:color w:val="000000"/>
        </w:rPr>
        <w:t>, </w:t>
      </w:r>
      <w:r>
        <w:rPr>
          <w:i/>
          <w:color w:val="000000"/>
        </w:rPr>
        <w:t>21</w:t>
      </w:r>
      <w:r>
        <w:rPr>
          <w:color w:val="000000"/>
        </w:rPr>
        <w:t xml:space="preserve">(1), 49-75. </w:t>
      </w:r>
    </w:p>
    <w:p w:rsidR="00067D89" w:rsidRDefault="00A57D41">
      <w:pPr>
        <w:ind w:left="709" w:hanging="709"/>
        <w:jc w:val="both"/>
        <w:rPr>
          <w:color w:val="222222"/>
          <w:highlight w:val="white"/>
        </w:rPr>
      </w:pPr>
      <w:proofErr w:type="spellStart"/>
      <w:r>
        <w:rPr>
          <w:color w:val="222222"/>
          <w:highlight w:val="white"/>
        </w:rPr>
        <w:t>Miguez</w:t>
      </w:r>
      <w:proofErr w:type="spellEnd"/>
      <w:r>
        <w:rPr>
          <w:color w:val="222222"/>
          <w:highlight w:val="white"/>
        </w:rPr>
        <w:t>, G., Betancourt, R., y Vera-Villarroel. (2010). Historia de los laboratorios de psicología en Chile. En Laborda, M. A., y Quezada-</w:t>
      </w:r>
      <w:proofErr w:type="spellStart"/>
      <w:r>
        <w:rPr>
          <w:color w:val="222222"/>
          <w:highlight w:val="white"/>
        </w:rPr>
        <w:t>Scholtz</w:t>
      </w:r>
      <w:proofErr w:type="spellEnd"/>
      <w:r>
        <w:rPr>
          <w:color w:val="222222"/>
          <w:highlight w:val="white"/>
        </w:rPr>
        <w:t xml:space="preserve"> V., (eds.) </w:t>
      </w:r>
      <w:r>
        <w:rPr>
          <w:i/>
          <w:color w:val="222222"/>
          <w:highlight w:val="white"/>
        </w:rPr>
        <w:t>Notas históricas de la psicología en Chile.</w:t>
      </w:r>
      <w:r>
        <w:rPr>
          <w:color w:val="222222"/>
          <w:highlight w:val="white"/>
        </w:rPr>
        <w:t xml:space="preserve"> Editorial Universitaria. </w:t>
      </w:r>
    </w:p>
    <w:p w:rsidR="00067D89" w:rsidRDefault="00A57D41">
      <w:pPr>
        <w:ind w:left="709" w:hanging="709"/>
        <w:jc w:val="both"/>
        <w:rPr>
          <w:color w:val="222222"/>
          <w:highlight w:val="white"/>
        </w:rPr>
      </w:pPr>
      <w:proofErr w:type="spellStart"/>
      <w:r>
        <w:rPr>
          <w:color w:val="222222"/>
          <w:highlight w:val="white"/>
        </w:rPr>
        <w:t>Miyahira</w:t>
      </w:r>
      <w:proofErr w:type="spellEnd"/>
      <w:r>
        <w:rPr>
          <w:color w:val="222222"/>
          <w:highlight w:val="white"/>
        </w:rPr>
        <w:t>, J. M. (2008). Criterios de calidad de las revistas científicas. </w:t>
      </w:r>
      <w:r>
        <w:rPr>
          <w:i/>
          <w:color w:val="222222"/>
          <w:highlight w:val="white"/>
        </w:rPr>
        <w:t>Revista Médica Herediana</w:t>
      </w:r>
      <w:r>
        <w:rPr>
          <w:color w:val="222222"/>
          <w:highlight w:val="white"/>
        </w:rPr>
        <w:t>, </w:t>
      </w:r>
      <w:r>
        <w:rPr>
          <w:i/>
          <w:color w:val="222222"/>
          <w:highlight w:val="white"/>
        </w:rPr>
        <w:t>19</w:t>
      </w:r>
      <w:r>
        <w:rPr>
          <w:color w:val="222222"/>
          <w:highlight w:val="white"/>
        </w:rPr>
        <w:t>(1), 01-04.</w:t>
      </w:r>
    </w:p>
    <w:p w:rsidR="00067D89" w:rsidRPr="007164AA" w:rsidRDefault="00A57D41">
      <w:pPr>
        <w:ind w:left="709" w:hanging="709"/>
        <w:jc w:val="both"/>
        <w:rPr>
          <w:color w:val="333333"/>
          <w:shd w:val="clear" w:color="auto" w:fill="FCFCFC"/>
          <w:lang w:val="en-US"/>
        </w:rPr>
      </w:pPr>
      <w:bookmarkStart w:id="18" w:name="_heading=h.1ksv4uv" w:colFirst="0" w:colLast="0"/>
      <w:bookmarkEnd w:id="18"/>
      <w:r>
        <w:rPr>
          <w:color w:val="333333"/>
          <w:shd w:val="clear" w:color="auto" w:fill="FCFCFC"/>
        </w:rPr>
        <w:t xml:space="preserve">Montoya-Roncancio, V., y Merlo-Vega, J.A. (2023). </w:t>
      </w:r>
      <w:r w:rsidRPr="007164AA">
        <w:rPr>
          <w:color w:val="333333"/>
          <w:shd w:val="clear" w:color="auto" w:fill="FCFCFC"/>
          <w:lang w:val="en-US"/>
        </w:rPr>
        <w:t xml:space="preserve">Methodological Approach to the Evaluation of Scientific Journals. </w:t>
      </w:r>
      <w:proofErr w:type="spellStart"/>
      <w:r w:rsidRPr="007164AA">
        <w:rPr>
          <w:color w:val="333333"/>
          <w:shd w:val="clear" w:color="auto" w:fill="FCFCFC"/>
          <w:lang w:val="en-US"/>
        </w:rPr>
        <w:t>En</w:t>
      </w:r>
      <w:proofErr w:type="spellEnd"/>
      <w:r w:rsidRPr="007164AA">
        <w:rPr>
          <w:color w:val="333333"/>
          <w:shd w:val="clear" w:color="auto" w:fill="FCFCFC"/>
          <w:lang w:val="en-US"/>
        </w:rPr>
        <w:t xml:space="preserve"> García-</w:t>
      </w:r>
      <w:proofErr w:type="spellStart"/>
      <w:r w:rsidRPr="007164AA">
        <w:rPr>
          <w:color w:val="333333"/>
          <w:shd w:val="clear" w:color="auto" w:fill="FCFCFC"/>
          <w:lang w:val="en-US"/>
        </w:rPr>
        <w:t>Peñalvo</w:t>
      </w:r>
      <w:proofErr w:type="spellEnd"/>
      <w:r w:rsidRPr="007164AA">
        <w:rPr>
          <w:color w:val="333333"/>
          <w:shd w:val="clear" w:color="auto" w:fill="FCFCFC"/>
          <w:lang w:val="en-US"/>
        </w:rPr>
        <w:t>, F.J., García-</w:t>
      </w:r>
      <w:proofErr w:type="spellStart"/>
      <w:r w:rsidRPr="007164AA">
        <w:rPr>
          <w:color w:val="333333"/>
          <w:shd w:val="clear" w:color="auto" w:fill="FCFCFC"/>
          <w:lang w:val="en-US"/>
        </w:rPr>
        <w:t>Holgado</w:t>
      </w:r>
      <w:proofErr w:type="spellEnd"/>
      <w:r w:rsidRPr="007164AA">
        <w:rPr>
          <w:color w:val="333333"/>
          <w:shd w:val="clear" w:color="auto" w:fill="FCFCFC"/>
          <w:lang w:val="en-US"/>
        </w:rPr>
        <w:t xml:space="preserve">, A. (eds) </w:t>
      </w:r>
      <w:r w:rsidRPr="007164AA">
        <w:rPr>
          <w:i/>
          <w:color w:val="333333"/>
          <w:shd w:val="clear" w:color="auto" w:fill="FCFCFC"/>
          <w:lang w:val="en-US"/>
        </w:rPr>
        <w:t>Proceedings TEEM 2022: Tenth International Conference on Technological Ecosystems for Enhancing Multiculturality.</w:t>
      </w:r>
      <w:r w:rsidRPr="007164AA">
        <w:rPr>
          <w:color w:val="333333"/>
          <w:shd w:val="clear" w:color="auto" w:fill="FCFCFC"/>
          <w:lang w:val="en-US"/>
        </w:rPr>
        <w:t xml:space="preserve"> TEEM 2022. Lecture Notes in Educational Technology. Springer, Singapore. </w:t>
      </w:r>
      <w:hyperlink r:id="rId38">
        <w:r w:rsidRPr="007164AA">
          <w:rPr>
            <w:color w:val="0000FF"/>
            <w:u w:val="single"/>
            <w:shd w:val="clear" w:color="auto" w:fill="FCFCFC"/>
            <w:lang w:val="en-US"/>
          </w:rPr>
          <w:t>https://doi.org/10.1007/978-981-99-0942-1_137</w:t>
        </w:r>
      </w:hyperlink>
    </w:p>
    <w:p w:rsidR="00067D89" w:rsidRDefault="00A57D41">
      <w:pPr>
        <w:ind w:left="709" w:hanging="709"/>
        <w:jc w:val="both"/>
        <w:rPr>
          <w:color w:val="333333"/>
          <w:highlight w:val="white"/>
        </w:rPr>
      </w:pPr>
      <w:r>
        <w:rPr>
          <w:color w:val="333333"/>
          <w:highlight w:val="white"/>
        </w:rPr>
        <w:t>Morales-Morante, L. F. (2016a). Producción e impacto de las revistas peruanas del ámbito de las Ciencias Sociales en el catálogo Latindex. </w:t>
      </w:r>
      <w:r>
        <w:rPr>
          <w:i/>
          <w:color w:val="333333"/>
          <w:highlight w:val="white"/>
        </w:rPr>
        <w:t>Investigación Bibliotecológica: Archivonomía, bibliotecología E información</w:t>
      </w:r>
      <w:r>
        <w:rPr>
          <w:color w:val="333333"/>
          <w:highlight w:val="white"/>
        </w:rPr>
        <w:t>, </w:t>
      </w:r>
      <w:r>
        <w:rPr>
          <w:i/>
          <w:color w:val="333333"/>
          <w:highlight w:val="white"/>
        </w:rPr>
        <w:t>30</w:t>
      </w:r>
      <w:r>
        <w:rPr>
          <w:color w:val="333333"/>
          <w:highlight w:val="white"/>
        </w:rPr>
        <w:t xml:space="preserve">(69), 179-204. </w:t>
      </w:r>
      <w:hyperlink r:id="rId39">
        <w:r>
          <w:rPr>
            <w:color w:val="0000FF"/>
            <w:highlight w:val="white"/>
            <w:u w:val="single"/>
          </w:rPr>
          <w:t>https://doi.org/10.1016/j.ibbai.2016.04.017</w:t>
        </w:r>
      </w:hyperlink>
    </w:p>
    <w:p w:rsidR="00067D89" w:rsidRDefault="00A57D41">
      <w:pPr>
        <w:ind w:left="709" w:hanging="709"/>
        <w:jc w:val="both"/>
        <w:rPr>
          <w:color w:val="222222"/>
          <w:highlight w:val="white"/>
        </w:rPr>
      </w:pPr>
      <w:r>
        <w:rPr>
          <w:color w:val="222222"/>
          <w:highlight w:val="white"/>
        </w:rPr>
        <w:t>Morales-Morante, L. F. (2016b). Visibilidad e impacto de las revistas peruanas de Ciencias Sociales en acceso abierto. </w:t>
      </w:r>
      <w:proofErr w:type="spellStart"/>
      <w:r>
        <w:rPr>
          <w:i/>
          <w:color w:val="222222"/>
          <w:highlight w:val="white"/>
        </w:rPr>
        <w:t>Biblios</w:t>
      </w:r>
      <w:proofErr w:type="spellEnd"/>
      <w:r>
        <w:rPr>
          <w:color w:val="222222"/>
          <w:highlight w:val="white"/>
        </w:rPr>
        <w:t>, (65), 29-51.</w:t>
      </w:r>
      <w:hyperlink r:id="rId40">
        <w:r>
          <w:rPr>
            <w:color w:val="0000FF"/>
            <w:highlight w:val="white"/>
            <w:u w:val="single"/>
          </w:rPr>
          <w:t>http://dx.doi.org/10.5195/biblios.2016.32029</w:t>
        </w:r>
      </w:hyperlink>
    </w:p>
    <w:p w:rsidR="00067D89" w:rsidRDefault="00A57D41">
      <w:pPr>
        <w:ind w:left="709" w:hanging="709"/>
        <w:jc w:val="both"/>
      </w:pPr>
      <w:r>
        <w:rPr>
          <w:color w:val="000000"/>
        </w:rPr>
        <w:t xml:space="preserve">Muñoz, A. (1886). Estado mental del suicida. </w:t>
      </w:r>
      <w:r>
        <w:rPr>
          <w:i/>
          <w:color w:val="000000"/>
        </w:rPr>
        <w:t>Crónica Médica, 3</w:t>
      </w:r>
      <w:r>
        <w:rPr>
          <w:color w:val="000000"/>
        </w:rPr>
        <w:t>(32),297-301.</w:t>
      </w:r>
    </w:p>
    <w:p w:rsidR="00067D89" w:rsidRDefault="00A57D41">
      <w:pPr>
        <w:ind w:left="709" w:hanging="709"/>
        <w:jc w:val="both"/>
        <w:rPr>
          <w:color w:val="212529"/>
        </w:rPr>
      </w:pPr>
      <w:r>
        <w:rPr>
          <w:color w:val="212529"/>
        </w:rPr>
        <w:t xml:space="preserve">Ossa, J. C., y </w:t>
      </w:r>
      <w:proofErr w:type="spellStart"/>
      <w:r>
        <w:rPr>
          <w:color w:val="212529"/>
        </w:rPr>
        <w:t>Cudina</w:t>
      </w:r>
      <w:proofErr w:type="spellEnd"/>
      <w:r>
        <w:rPr>
          <w:color w:val="212529"/>
        </w:rPr>
        <w:t>, J. N. (2016). Sesenta años de las revistas de psicología en Colombia. </w:t>
      </w:r>
      <w:r>
        <w:rPr>
          <w:i/>
          <w:color w:val="212529"/>
        </w:rPr>
        <w:t>Revista Guillermo De Ockham</w:t>
      </w:r>
      <w:r>
        <w:rPr>
          <w:color w:val="212529"/>
        </w:rPr>
        <w:t>, </w:t>
      </w:r>
      <w:r>
        <w:rPr>
          <w:i/>
          <w:color w:val="212529"/>
        </w:rPr>
        <w:t>14</w:t>
      </w:r>
      <w:r>
        <w:rPr>
          <w:color w:val="212529"/>
        </w:rPr>
        <w:t xml:space="preserve">(2), 7–17. </w:t>
      </w:r>
      <w:hyperlink r:id="rId41">
        <w:r>
          <w:rPr>
            <w:color w:val="0000FF"/>
            <w:u w:val="single"/>
          </w:rPr>
          <w:t>https://doi.org/10.21500/22563202.2720</w:t>
        </w:r>
      </w:hyperlink>
    </w:p>
    <w:p w:rsidR="00067D89" w:rsidRDefault="00A57D41">
      <w:pPr>
        <w:ind w:left="709" w:hanging="709"/>
        <w:jc w:val="both"/>
      </w:pPr>
      <w:r>
        <w:rPr>
          <w:color w:val="000000"/>
        </w:rPr>
        <w:t xml:space="preserve">Patrón, P. 1888). Psicología experimental.  </w:t>
      </w:r>
      <w:r>
        <w:rPr>
          <w:i/>
          <w:color w:val="000000"/>
        </w:rPr>
        <w:t>Crónica Médica, 5</w:t>
      </w:r>
      <w:r>
        <w:rPr>
          <w:color w:val="000000"/>
        </w:rPr>
        <w:t>(58),364-370.</w:t>
      </w:r>
    </w:p>
    <w:p w:rsidR="00067D89" w:rsidRDefault="00A57D41">
      <w:pPr>
        <w:ind w:left="709" w:hanging="709"/>
        <w:jc w:val="both"/>
      </w:pPr>
      <w:r>
        <w:t xml:space="preserve">Paz Soldan (1886, de 15 de septiembre hasta 29 de diciembre). Estudios espiritistas y la vida de loco. </w:t>
      </w:r>
      <w:r>
        <w:rPr>
          <w:i/>
        </w:rPr>
        <w:t>El Sol,</w:t>
      </w:r>
      <w:r>
        <w:t xml:space="preserve"> 237-474.</w:t>
      </w:r>
    </w:p>
    <w:p w:rsidR="00067D89" w:rsidRDefault="00A57D41">
      <w:pPr>
        <w:ind w:left="709" w:hanging="709"/>
        <w:jc w:val="both"/>
      </w:pPr>
      <w:r>
        <w:rPr>
          <w:color w:val="000000"/>
        </w:rPr>
        <w:t xml:space="preserve">Polanco-Carrasco, Roberto, </w:t>
      </w:r>
      <w:proofErr w:type="gramStart"/>
      <w:r>
        <w:rPr>
          <w:color w:val="000000"/>
        </w:rPr>
        <w:t>Gallegos</w:t>
      </w:r>
      <w:proofErr w:type="gramEnd"/>
      <w:r>
        <w:rPr>
          <w:color w:val="000000"/>
        </w:rPr>
        <w:t>, Miguel, Salas, Gonzalo, y López-López, Wilson. (2017). Las revistas de psicología en Chile: historia y situación actual. </w:t>
      </w:r>
      <w:r>
        <w:rPr>
          <w:i/>
          <w:color w:val="000000"/>
        </w:rPr>
        <w:t>Terapia psicológica</w:t>
      </w:r>
      <w:r>
        <w:rPr>
          <w:color w:val="000000"/>
        </w:rPr>
        <w:t>, </w:t>
      </w:r>
      <w:r>
        <w:rPr>
          <w:i/>
          <w:color w:val="000000"/>
        </w:rPr>
        <w:t>35</w:t>
      </w:r>
      <w:r>
        <w:rPr>
          <w:color w:val="000000"/>
        </w:rPr>
        <w:t>(1), 81-93. </w:t>
      </w:r>
      <w:hyperlink r:id="rId42">
        <w:r>
          <w:rPr>
            <w:color w:val="0000FF"/>
            <w:u w:val="single"/>
          </w:rPr>
          <w:t>http://dx.doi.org/10.4067/S0718-48082017000100008</w:t>
        </w:r>
      </w:hyperlink>
      <w:r>
        <w:t xml:space="preserve"> </w:t>
      </w:r>
    </w:p>
    <w:p w:rsidR="00067D89" w:rsidRDefault="00A57D41">
      <w:pPr>
        <w:ind w:left="709" w:hanging="709"/>
        <w:jc w:val="both"/>
        <w:rPr>
          <w:color w:val="222222"/>
          <w:highlight w:val="white"/>
        </w:rPr>
      </w:pPr>
      <w:r>
        <w:rPr>
          <w:highlight w:val="white"/>
        </w:rPr>
        <w:t>Ponce Rodríguez, E. (1939). Orientación profesional. </w:t>
      </w:r>
      <w:r>
        <w:rPr>
          <w:i/>
          <w:highlight w:val="white"/>
        </w:rPr>
        <w:t>Letras (Lima)</w:t>
      </w:r>
      <w:r>
        <w:rPr>
          <w:highlight w:val="white"/>
        </w:rPr>
        <w:t>, </w:t>
      </w:r>
      <w:r>
        <w:rPr>
          <w:i/>
          <w:highlight w:val="white"/>
        </w:rPr>
        <w:t>5</w:t>
      </w:r>
      <w:r>
        <w:rPr>
          <w:highlight w:val="white"/>
        </w:rPr>
        <w:t xml:space="preserve">(12), 79-84. </w:t>
      </w:r>
      <w:hyperlink r:id="rId43">
        <w:r>
          <w:rPr>
            <w:color w:val="0000FF"/>
            <w:highlight w:val="white"/>
            <w:u w:val="single"/>
          </w:rPr>
          <w:t>https://doi.org/10.30920/letras.5.12.4</w:t>
        </w:r>
      </w:hyperlink>
    </w:p>
    <w:p w:rsidR="00067D89" w:rsidRDefault="00A57D41">
      <w:pPr>
        <w:ind w:left="709" w:hanging="709"/>
        <w:jc w:val="both"/>
        <w:rPr>
          <w:color w:val="222222"/>
          <w:highlight w:val="white"/>
        </w:rPr>
      </w:pPr>
      <w:r>
        <w:rPr>
          <w:color w:val="222222"/>
          <w:highlight w:val="white"/>
        </w:rPr>
        <w:t xml:space="preserve">Quispe-Gerónimo, C., Santillán-Aldana, J., &amp; </w:t>
      </w:r>
      <w:proofErr w:type="spellStart"/>
      <w:r>
        <w:rPr>
          <w:color w:val="222222"/>
          <w:highlight w:val="white"/>
        </w:rPr>
        <w:t>Balcazar</w:t>
      </w:r>
      <w:proofErr w:type="spellEnd"/>
      <w:r>
        <w:rPr>
          <w:color w:val="222222"/>
          <w:highlight w:val="white"/>
        </w:rPr>
        <w:t xml:space="preserve">-Tafur, D. (2013). </w:t>
      </w:r>
      <w:r>
        <w:rPr>
          <w:i/>
          <w:color w:val="222222"/>
          <w:highlight w:val="white"/>
        </w:rPr>
        <w:t>Estado del acceso abierto en el Perú 2001-2013: pequeños pero sostenidos esfuerzos para la comunidad académica peruana.</w:t>
      </w:r>
      <w:hyperlink r:id="rId44">
        <w:r>
          <w:rPr>
            <w:color w:val="1155CC"/>
            <w:highlight w:val="white"/>
            <w:u w:val="single"/>
          </w:rPr>
          <w:t>10.13140/2.1.2093.4081</w:t>
        </w:r>
      </w:hyperlink>
    </w:p>
    <w:p w:rsidR="00067D89" w:rsidRDefault="00A57D41">
      <w:pPr>
        <w:ind w:left="709" w:hanging="709"/>
        <w:jc w:val="both"/>
        <w:rPr>
          <w:color w:val="222222"/>
          <w:highlight w:val="white"/>
        </w:rPr>
      </w:pPr>
      <w:r>
        <w:rPr>
          <w:color w:val="222222"/>
          <w:highlight w:val="white"/>
        </w:rPr>
        <w:t>Rengifo, G. (2019). Nuestra Revista hacia SciELO Perú. </w:t>
      </w:r>
      <w:r>
        <w:rPr>
          <w:i/>
          <w:color w:val="222222"/>
          <w:highlight w:val="white"/>
        </w:rPr>
        <w:t>Revista del Archivo General de la Nación</w:t>
      </w:r>
      <w:r>
        <w:rPr>
          <w:color w:val="222222"/>
          <w:highlight w:val="white"/>
        </w:rPr>
        <w:t>, (1), 5.</w:t>
      </w:r>
      <w:hyperlink r:id="rId45">
        <w:r>
          <w:rPr>
            <w:color w:val="0000FF"/>
            <w:u w:val="single"/>
          </w:rPr>
          <w:t>https://doi.org/10.37840/ragn.v34i1.89</w:t>
        </w:r>
      </w:hyperlink>
    </w:p>
    <w:p w:rsidR="00067D89" w:rsidRDefault="00A57D41">
      <w:pPr>
        <w:ind w:left="709" w:hanging="709"/>
        <w:jc w:val="both"/>
        <w:rPr>
          <w:color w:val="000000"/>
        </w:rPr>
      </w:pPr>
      <w:r>
        <w:rPr>
          <w:color w:val="000000"/>
        </w:rPr>
        <w:t xml:space="preserve">Rodríguez, M. (1946). La exactitud y la rapidez de un trabajo uniforme y continuado, en su relación con la edad cronológica y el grado escolar. </w:t>
      </w:r>
      <w:r>
        <w:rPr>
          <w:i/>
          <w:color w:val="000000"/>
        </w:rPr>
        <w:t>Boletín del Instituto Psicopedagógico Nacional, 5</w:t>
      </w:r>
      <w:r>
        <w:rPr>
          <w:color w:val="000000"/>
        </w:rPr>
        <w:t xml:space="preserve">(1), 65-102.   </w:t>
      </w:r>
    </w:p>
    <w:p w:rsidR="00067D89" w:rsidRDefault="00A57D41">
      <w:pPr>
        <w:ind w:left="709" w:hanging="709"/>
        <w:jc w:val="both"/>
        <w:rPr>
          <w:color w:val="000000"/>
        </w:rPr>
      </w:pPr>
      <w:r>
        <w:rPr>
          <w:color w:val="000000"/>
        </w:rPr>
        <w:t xml:space="preserve">Rodríguez, M. (1949). El desarrollo mental de los estudiantes varones de Lima, investigado mediante el Test de Series Geométricas de </w:t>
      </w:r>
      <w:proofErr w:type="spellStart"/>
      <w:r>
        <w:rPr>
          <w:color w:val="000000"/>
        </w:rPr>
        <w:t>Dunayevsky</w:t>
      </w:r>
      <w:proofErr w:type="spellEnd"/>
      <w:r>
        <w:rPr>
          <w:color w:val="000000"/>
        </w:rPr>
        <w:t xml:space="preserve">. </w:t>
      </w:r>
      <w:r>
        <w:rPr>
          <w:i/>
          <w:color w:val="000000"/>
        </w:rPr>
        <w:t>Boletín del Instituto Psicopedagógico Nacional, 8</w:t>
      </w:r>
      <w:r>
        <w:rPr>
          <w:color w:val="000000"/>
        </w:rPr>
        <w:t>(1), 3</w:t>
      </w:r>
      <w:r>
        <w:t xml:space="preserve">4-92.   </w:t>
      </w:r>
    </w:p>
    <w:p w:rsidR="00067D89" w:rsidRDefault="00A57D41">
      <w:pPr>
        <w:ind w:left="709" w:hanging="709"/>
        <w:jc w:val="both"/>
        <w:rPr>
          <w:highlight w:val="white"/>
        </w:rPr>
      </w:pPr>
      <w:r>
        <w:rPr>
          <w:highlight w:val="white"/>
        </w:rPr>
        <w:t>Rojas, N. (1939). Fobia sexual femenina y matrimonio. </w:t>
      </w:r>
      <w:r>
        <w:rPr>
          <w:i/>
          <w:highlight w:val="white"/>
        </w:rPr>
        <w:t>Revista de Neuro-Psiquiatría</w:t>
      </w:r>
      <w:r>
        <w:rPr>
          <w:highlight w:val="white"/>
        </w:rPr>
        <w:t>, </w:t>
      </w:r>
      <w:r>
        <w:rPr>
          <w:i/>
          <w:highlight w:val="white"/>
        </w:rPr>
        <w:t>2</w:t>
      </w:r>
      <w:r>
        <w:rPr>
          <w:highlight w:val="white"/>
        </w:rPr>
        <w:t>(4), 522-535.</w:t>
      </w:r>
    </w:p>
    <w:p w:rsidR="00067D89" w:rsidRDefault="00A57D41">
      <w:pPr>
        <w:ind w:left="709" w:hanging="709"/>
        <w:jc w:val="both"/>
      </w:pPr>
      <w:r>
        <w:lastRenderedPageBreak/>
        <w:t xml:space="preserve">Rossi y Rubi (1793, 9 de mayo). Carta en que se propone una nueva conjetura, sobre los remedios representativos y curativos de las pasiones violentas, especialmente la del amor. </w:t>
      </w:r>
      <w:r>
        <w:rPr>
          <w:i/>
        </w:rPr>
        <w:t>Mercurio Peruano</w:t>
      </w:r>
      <w:r>
        <w:t xml:space="preserve">, Tomo VIII, 17-25. </w:t>
      </w:r>
    </w:p>
    <w:p w:rsidR="00067D89" w:rsidRDefault="00A57D41">
      <w:pPr>
        <w:ind w:left="709" w:hanging="709"/>
        <w:jc w:val="both"/>
      </w:pPr>
      <w:r>
        <w:rPr>
          <w:color w:val="000000"/>
        </w:rPr>
        <w:t xml:space="preserve">Rotondo, H., Bambaren, C., García, C., Mariátegui, J. y De Delgado, B, (1960). Personalidad básica, dilemas y vida de familia de un grupo de mestizos. </w:t>
      </w:r>
      <w:r>
        <w:rPr>
          <w:i/>
          <w:color w:val="000000"/>
        </w:rPr>
        <w:t>Revista de Psicología, 2</w:t>
      </w:r>
      <w:r>
        <w:rPr>
          <w:color w:val="000000"/>
        </w:rPr>
        <w:t>(1-2), 3-60.</w:t>
      </w:r>
    </w:p>
    <w:p w:rsidR="00067D89" w:rsidRDefault="00A57D41">
      <w:pPr>
        <w:ind w:left="709" w:hanging="709"/>
        <w:jc w:val="both"/>
        <w:rPr>
          <w:color w:val="000000"/>
        </w:rPr>
      </w:pPr>
      <w:r>
        <w:rPr>
          <w:color w:val="000000"/>
        </w:rPr>
        <w:t xml:space="preserve">Sánchez, W. (1944). La personalidad y la educación. </w:t>
      </w:r>
      <w:r>
        <w:rPr>
          <w:i/>
          <w:color w:val="000000"/>
        </w:rPr>
        <w:t>Revista de Educación, 2</w:t>
      </w:r>
      <w:r>
        <w:rPr>
          <w:color w:val="000000"/>
        </w:rPr>
        <w:t xml:space="preserve">(1), 145-148.   </w:t>
      </w:r>
    </w:p>
    <w:p w:rsidR="00067D89" w:rsidRDefault="00A57D41">
      <w:pPr>
        <w:ind w:left="709" w:hanging="709"/>
        <w:jc w:val="both"/>
      </w:pPr>
      <w:r>
        <w:t xml:space="preserve">Santillán-Aldana, J., </w:t>
      </w:r>
      <w:proofErr w:type="spellStart"/>
      <w:r>
        <w:t>Arakaki</w:t>
      </w:r>
      <w:proofErr w:type="spellEnd"/>
      <w:r>
        <w:t>, M., de la Vega, A., Calderón-Carranza, M., y Pacheco-Mendoza, J. (2017). Características generales de las revistas científicas peruanas. </w:t>
      </w:r>
      <w:r>
        <w:rPr>
          <w:i/>
        </w:rPr>
        <w:t>Revista Española De Documentación Científica</w:t>
      </w:r>
      <w:r>
        <w:t>, </w:t>
      </w:r>
      <w:r>
        <w:rPr>
          <w:i/>
        </w:rPr>
        <w:t>40</w:t>
      </w:r>
      <w:r>
        <w:t xml:space="preserve">(3), e182. </w:t>
      </w:r>
      <w:hyperlink r:id="rId46">
        <w:r>
          <w:rPr>
            <w:color w:val="0000FF"/>
            <w:u w:val="single"/>
          </w:rPr>
          <w:t>https://doi.org/10.3989/redc.2017.3.1419</w:t>
        </w:r>
      </w:hyperlink>
    </w:p>
    <w:p w:rsidR="00067D89" w:rsidRDefault="00A57D41">
      <w:pPr>
        <w:ind w:left="709" w:hanging="709"/>
        <w:jc w:val="both"/>
      </w:pPr>
      <w:r>
        <w:rPr>
          <w:color w:val="000000"/>
        </w:rPr>
        <w:t xml:space="preserve">Sardón, M. (1944). El desarrollo de algunos manuales en el escolar de Lima. </w:t>
      </w:r>
      <w:r>
        <w:rPr>
          <w:i/>
          <w:color w:val="000000"/>
        </w:rPr>
        <w:t>Boletín del Instituto Psicopedagógico Nacional, 3</w:t>
      </w:r>
      <w:r>
        <w:rPr>
          <w:color w:val="000000"/>
        </w:rPr>
        <w:t xml:space="preserve">(1), 35-57.   </w:t>
      </w:r>
    </w:p>
    <w:p w:rsidR="00067D89" w:rsidRDefault="00A57D41">
      <w:pPr>
        <w:ind w:left="709" w:hanging="709"/>
        <w:jc w:val="both"/>
      </w:pPr>
      <w:r>
        <w:t xml:space="preserve">Sáez-Ibáñez, Ángeles, Zúñiga, Claudia, Lira, Daniela, San, Ana N., Salas, Paula, y Laborda, Mario </w:t>
      </w:r>
      <w:proofErr w:type="gramStart"/>
      <w:r>
        <w:t>A..</w:t>
      </w:r>
      <w:proofErr w:type="gramEnd"/>
      <w:r>
        <w:t xml:space="preserve"> (2018). Principales indicadores bibliométricos de la Revista de Psicología (1990-2016). </w:t>
      </w:r>
      <w:r>
        <w:rPr>
          <w:i/>
        </w:rPr>
        <w:t>Revista de psicología (Santiago)</w:t>
      </w:r>
      <w:r>
        <w:t xml:space="preserve">, </w:t>
      </w:r>
      <w:r>
        <w:rPr>
          <w:i/>
        </w:rPr>
        <w:t>27</w:t>
      </w:r>
      <w:r>
        <w:t xml:space="preserve">(2), 61-75. </w:t>
      </w:r>
      <w:hyperlink r:id="rId47">
        <w:r>
          <w:rPr>
            <w:color w:val="1155CC"/>
            <w:u w:val="single"/>
          </w:rPr>
          <w:t>http://dx.doi.org/10.5354/0719-0581.2019.52315</w:t>
        </w:r>
      </w:hyperlink>
      <w:r>
        <w:rPr>
          <w:b/>
          <w:color w:val="800000"/>
        </w:rPr>
        <w:t xml:space="preserve">  </w:t>
      </w:r>
      <w:r>
        <w:rPr>
          <w:color w:val="800000"/>
        </w:rPr>
        <w:t xml:space="preserve"> </w:t>
      </w:r>
    </w:p>
    <w:p w:rsidR="00067D89" w:rsidRDefault="00A57D41">
      <w:pPr>
        <w:ind w:left="709" w:hanging="709"/>
        <w:jc w:val="both"/>
        <w:rPr>
          <w:color w:val="000000"/>
        </w:rPr>
      </w:pPr>
      <w:r>
        <w:rPr>
          <w:color w:val="000000"/>
        </w:rPr>
        <w:t xml:space="preserve">Simón, M. (1943). Dos problemas de psicología en orientación profesional. </w:t>
      </w:r>
      <w:r>
        <w:rPr>
          <w:i/>
          <w:color w:val="000000"/>
        </w:rPr>
        <w:t>Boletín del Instituto Psicopedagógico Nacional, 2</w:t>
      </w:r>
      <w:r>
        <w:rPr>
          <w:color w:val="000000"/>
        </w:rPr>
        <w:t xml:space="preserve">(1), 29-48.   </w:t>
      </w:r>
    </w:p>
    <w:p w:rsidR="00067D89" w:rsidRDefault="00A57D41">
      <w:pPr>
        <w:ind w:left="709" w:hanging="709"/>
        <w:jc w:val="both"/>
      </w:pPr>
      <w:r>
        <w:t xml:space="preserve">Sofronio (1791, 27 de noviembre). Carta sobre los maricones. </w:t>
      </w:r>
      <w:r>
        <w:rPr>
          <w:i/>
        </w:rPr>
        <w:t>Mercurio Peruano</w:t>
      </w:r>
      <w:r>
        <w:t>, Tomo III, 230-239.</w:t>
      </w:r>
      <w:r>
        <w:rPr>
          <w:i/>
        </w:rPr>
        <w:t xml:space="preserve"> </w:t>
      </w:r>
      <w:r>
        <w:t xml:space="preserve"> </w:t>
      </w:r>
    </w:p>
    <w:p w:rsidR="00067D89" w:rsidRDefault="00A57D41">
      <w:pPr>
        <w:ind w:left="709" w:hanging="709"/>
        <w:jc w:val="both"/>
      </w:pPr>
      <w:r>
        <w:t xml:space="preserve">Thimeo (1791, 16 de enero). Manías particulares. </w:t>
      </w:r>
      <w:r>
        <w:rPr>
          <w:i/>
        </w:rPr>
        <w:t>Mercurio Peruano</w:t>
      </w:r>
      <w:r>
        <w:t>, Tomo I, 38-40.</w:t>
      </w:r>
      <w:r>
        <w:rPr>
          <w:i/>
        </w:rPr>
        <w:t xml:space="preserve"> </w:t>
      </w:r>
      <w:r>
        <w:t xml:space="preserve"> </w:t>
      </w:r>
    </w:p>
    <w:p w:rsidR="00067D89" w:rsidRDefault="00A57D41">
      <w:pPr>
        <w:ind w:left="709" w:hanging="709"/>
        <w:jc w:val="both"/>
      </w:pPr>
      <w:r>
        <w:t xml:space="preserve">Torpas de Ganarrila (1792, 9 de agosto). Disertación en que se trata si una mujer se puede convertir en hombre. </w:t>
      </w:r>
      <w:r>
        <w:rPr>
          <w:i/>
        </w:rPr>
        <w:t>Mercurio Peruano</w:t>
      </w:r>
      <w:r>
        <w:t>, Tomo V, 230-243.</w:t>
      </w:r>
    </w:p>
    <w:p w:rsidR="00067D89" w:rsidRDefault="00A57D41">
      <w:pPr>
        <w:ind w:left="709" w:hanging="709"/>
        <w:jc w:val="both"/>
      </w:pPr>
      <w:r>
        <w:t>Tortosa-Pérez, Macarena, Osca-Lluch, Julia, Alfaro-</w:t>
      </w:r>
      <w:proofErr w:type="spellStart"/>
      <w:r>
        <w:t>Ferreres</w:t>
      </w:r>
      <w:proofErr w:type="spellEnd"/>
      <w:r>
        <w:t xml:space="preserve">, Elisa, y López-López, Wilson. </w:t>
      </w:r>
      <w:r w:rsidRPr="007164AA">
        <w:rPr>
          <w:lang w:val="en-US"/>
        </w:rPr>
        <w:t xml:space="preserve">(2019). International positioning of the Spanish psychology journals. </w:t>
      </w:r>
      <w:proofErr w:type="spellStart"/>
      <w:r w:rsidRPr="007164AA">
        <w:rPr>
          <w:i/>
          <w:lang w:val="en-US"/>
        </w:rPr>
        <w:t>Anales</w:t>
      </w:r>
      <w:proofErr w:type="spellEnd"/>
      <w:r w:rsidRPr="007164AA">
        <w:rPr>
          <w:i/>
          <w:lang w:val="en-US"/>
        </w:rPr>
        <w:t xml:space="preserve"> de </w:t>
      </w:r>
      <w:proofErr w:type="spellStart"/>
      <w:r w:rsidRPr="007164AA">
        <w:rPr>
          <w:i/>
          <w:lang w:val="en-US"/>
        </w:rPr>
        <w:t>Psicología</w:t>
      </w:r>
      <w:proofErr w:type="spellEnd"/>
      <w:r w:rsidRPr="007164AA">
        <w:rPr>
          <w:lang w:val="en-US"/>
        </w:rPr>
        <w:t xml:space="preserve">, </w:t>
      </w:r>
      <w:r w:rsidRPr="007164AA">
        <w:rPr>
          <w:i/>
          <w:lang w:val="en-US"/>
        </w:rPr>
        <w:t>35</w:t>
      </w:r>
      <w:r w:rsidRPr="007164AA">
        <w:rPr>
          <w:lang w:val="en-US"/>
        </w:rPr>
        <w:t xml:space="preserve">(2), 332-340. </w:t>
      </w:r>
      <w:hyperlink r:id="rId48">
        <w:r>
          <w:rPr>
            <w:color w:val="1155CC"/>
            <w:u w:val="single"/>
          </w:rPr>
          <w:t>https://dx.doi.org/10.6018/analesps.35.2.332171</w:t>
        </w:r>
      </w:hyperlink>
      <w:r>
        <w:t xml:space="preserve">  </w:t>
      </w:r>
    </w:p>
    <w:p w:rsidR="00067D89" w:rsidRDefault="00A57D41">
      <w:pPr>
        <w:ind w:left="709" w:hanging="709"/>
        <w:jc w:val="both"/>
        <w:rPr>
          <w:color w:val="000000"/>
        </w:rPr>
      </w:pPr>
      <w:r>
        <w:rPr>
          <w:color w:val="000000"/>
        </w:rPr>
        <w:t xml:space="preserve">Valdizan, H. (1918). Locos de la colonia. </w:t>
      </w:r>
      <w:r>
        <w:rPr>
          <w:i/>
          <w:color w:val="000000"/>
        </w:rPr>
        <w:t>Anales de la Facultad de Medicina. 1</w:t>
      </w:r>
      <w:r>
        <w:rPr>
          <w:color w:val="000000"/>
        </w:rPr>
        <w:t xml:space="preserve">, 169-185. </w:t>
      </w:r>
      <w:hyperlink r:id="rId49">
        <w:r>
          <w:rPr>
            <w:color w:val="0000FF"/>
            <w:highlight w:val="white"/>
            <w:u w:val="single"/>
          </w:rPr>
          <w:t>https://doi.org/10.15381/anales.v1i0.10693</w:t>
        </w:r>
      </w:hyperlink>
      <w:r>
        <w:rPr>
          <w:highlight w:val="white"/>
        </w:rPr>
        <w:t xml:space="preserve">  </w:t>
      </w:r>
      <w:r>
        <w:rPr>
          <w:color w:val="000000"/>
        </w:rPr>
        <w:t xml:space="preserve"> </w:t>
      </w:r>
    </w:p>
    <w:p w:rsidR="00067D89" w:rsidRDefault="00A57D41">
      <w:pPr>
        <w:ind w:left="709" w:hanging="709"/>
        <w:jc w:val="both"/>
        <w:rPr>
          <w:color w:val="000000"/>
        </w:rPr>
      </w:pPr>
      <w:r>
        <w:rPr>
          <w:color w:val="000000"/>
        </w:rPr>
        <w:t xml:space="preserve">Valdizan, H. (1935). Las enfermedades mentales por insuficiencia de hogar. </w:t>
      </w:r>
      <w:r>
        <w:rPr>
          <w:i/>
          <w:color w:val="000000"/>
        </w:rPr>
        <w:t>Revista de Educación, 4</w:t>
      </w:r>
      <w:r>
        <w:rPr>
          <w:color w:val="000000"/>
        </w:rPr>
        <w:t xml:space="preserve">, 23-25. </w:t>
      </w:r>
    </w:p>
    <w:p w:rsidR="00067D89" w:rsidRDefault="00A57D41">
      <w:pPr>
        <w:ind w:left="709" w:hanging="709"/>
        <w:jc w:val="both"/>
        <w:rPr>
          <w:color w:val="000000"/>
        </w:rPr>
      </w:pPr>
      <w:r>
        <w:rPr>
          <w:color w:val="000000"/>
        </w:rPr>
        <w:t xml:space="preserve">Valdizan, H. y Delgado, H. (1923). Factores psicológicos de la demencia precoz. </w:t>
      </w:r>
      <w:r>
        <w:rPr>
          <w:i/>
          <w:color w:val="000000"/>
        </w:rPr>
        <w:t>Revista de Psiquiatría y Disciplinas Conexas, 4</w:t>
      </w:r>
      <w:r>
        <w:rPr>
          <w:color w:val="000000"/>
        </w:rPr>
        <w:t xml:space="preserve">(4), 264-286. </w:t>
      </w:r>
    </w:p>
    <w:p w:rsidR="00067D89" w:rsidRDefault="00A57D41">
      <w:pPr>
        <w:pBdr>
          <w:top w:val="nil"/>
          <w:left w:val="nil"/>
          <w:bottom w:val="nil"/>
          <w:right w:val="nil"/>
          <w:between w:val="nil"/>
        </w:pBdr>
        <w:ind w:left="709" w:hanging="709"/>
        <w:jc w:val="both"/>
        <w:rPr>
          <w:color w:val="222222"/>
          <w:highlight w:val="white"/>
        </w:rPr>
      </w:pPr>
      <w:r>
        <w:rPr>
          <w:color w:val="222222"/>
          <w:highlight w:val="white"/>
        </w:rPr>
        <w:t xml:space="preserve">Varas, F. I., Pardo, L., Urzúa, A., Soto, M., </w:t>
      </w:r>
      <w:proofErr w:type="spellStart"/>
      <w:r>
        <w:rPr>
          <w:color w:val="222222"/>
          <w:highlight w:val="white"/>
        </w:rPr>
        <w:t>Miguez</w:t>
      </w:r>
      <w:proofErr w:type="spellEnd"/>
      <w:r>
        <w:rPr>
          <w:color w:val="222222"/>
          <w:highlight w:val="white"/>
        </w:rPr>
        <w:t>, G., Quezada-</w:t>
      </w:r>
      <w:proofErr w:type="spellStart"/>
      <w:r>
        <w:rPr>
          <w:color w:val="222222"/>
          <w:highlight w:val="white"/>
        </w:rPr>
        <w:t>Scholtz</w:t>
      </w:r>
      <w:proofErr w:type="spellEnd"/>
      <w:r>
        <w:rPr>
          <w:color w:val="222222"/>
          <w:highlight w:val="white"/>
        </w:rPr>
        <w:t xml:space="preserve"> V., y Laborda, M. A. (2023). 75 años de formación en psicología en Chile: Historiografía e hitos históricos. En Vivanco, D., Chuchón, P., y Espinoza, A. (eds.) </w:t>
      </w:r>
      <w:r>
        <w:rPr>
          <w:i/>
          <w:color w:val="222222"/>
          <w:highlight w:val="white"/>
        </w:rPr>
        <w:t>La psicología en Iberoamérica pasado presente y perspectivas.</w:t>
      </w:r>
      <w:r>
        <w:rPr>
          <w:color w:val="222222"/>
          <w:highlight w:val="white"/>
        </w:rPr>
        <w:t xml:space="preserve"> Editorial Universitaria. </w:t>
      </w:r>
    </w:p>
    <w:p w:rsidR="00067D89" w:rsidRDefault="00A57D41">
      <w:pPr>
        <w:ind w:left="709" w:hanging="709"/>
        <w:jc w:val="both"/>
      </w:pPr>
      <w:r>
        <w:rPr>
          <w:color w:val="222222"/>
          <w:highlight w:val="white"/>
        </w:rPr>
        <w:t xml:space="preserve">Vázquez Ferrero, S. M., y </w:t>
      </w:r>
      <w:proofErr w:type="spellStart"/>
      <w:r>
        <w:rPr>
          <w:color w:val="222222"/>
          <w:highlight w:val="white"/>
        </w:rPr>
        <w:t>Klappenbach</w:t>
      </w:r>
      <w:proofErr w:type="spellEnd"/>
      <w:r>
        <w:rPr>
          <w:color w:val="222222"/>
          <w:highlight w:val="white"/>
        </w:rPr>
        <w:t>, H. A. A. (2021). Hacia el desarrollo y aplicación de modelos inferenciales para análisis bibliométricos en carreras de psicología.</w:t>
      </w:r>
      <w:r>
        <w:rPr>
          <w:color w:val="111111"/>
          <w:shd w:val="clear" w:color="auto" w:fill="F9F9F9"/>
        </w:rPr>
        <w:t xml:space="preserve">  </w:t>
      </w:r>
      <w:r>
        <w:rPr>
          <w:i/>
          <w:color w:val="111111"/>
          <w:shd w:val="clear" w:color="auto" w:fill="F9F9F9"/>
        </w:rPr>
        <w:t>Revista Peruana de Historia de la Psicología, 7</w:t>
      </w:r>
      <w:r>
        <w:rPr>
          <w:color w:val="111111"/>
          <w:shd w:val="clear" w:color="auto" w:fill="F9F9F9"/>
        </w:rPr>
        <w:t xml:space="preserve">, 45-58. </w:t>
      </w:r>
    </w:p>
    <w:p w:rsidR="00067D89" w:rsidRDefault="00A57D41">
      <w:pPr>
        <w:ind w:left="709" w:hanging="709"/>
        <w:jc w:val="both"/>
        <w:rPr>
          <w:color w:val="000000"/>
          <w:highlight w:val="white"/>
        </w:rPr>
      </w:pPr>
      <w:r>
        <w:rPr>
          <w:color w:val="222222"/>
          <w:highlight w:val="white"/>
        </w:rPr>
        <w:t>Vázquez-</w:t>
      </w:r>
      <w:proofErr w:type="spellStart"/>
      <w:r>
        <w:rPr>
          <w:color w:val="222222"/>
          <w:highlight w:val="white"/>
        </w:rPr>
        <w:t>Miraz</w:t>
      </w:r>
      <w:proofErr w:type="spellEnd"/>
      <w:r>
        <w:rPr>
          <w:color w:val="222222"/>
          <w:highlight w:val="white"/>
        </w:rPr>
        <w:t>, P. (2021). La indexación de las revistas de psicología de Colombia en las bases de datos científicas españolas: un estudio exploratorio. </w:t>
      </w:r>
      <w:proofErr w:type="spellStart"/>
      <w:r>
        <w:rPr>
          <w:i/>
          <w:color w:val="222222"/>
          <w:highlight w:val="white"/>
        </w:rPr>
        <w:t>Universitas</w:t>
      </w:r>
      <w:proofErr w:type="spellEnd"/>
      <w:r>
        <w:rPr>
          <w:i/>
          <w:color w:val="222222"/>
          <w:highlight w:val="white"/>
        </w:rPr>
        <w:t xml:space="preserve"> </w:t>
      </w:r>
      <w:proofErr w:type="spellStart"/>
      <w:r>
        <w:rPr>
          <w:i/>
          <w:color w:val="222222"/>
          <w:highlight w:val="white"/>
        </w:rPr>
        <w:t>Psychologica</w:t>
      </w:r>
      <w:proofErr w:type="spellEnd"/>
      <w:r>
        <w:rPr>
          <w:color w:val="222222"/>
          <w:highlight w:val="white"/>
        </w:rPr>
        <w:t>, </w:t>
      </w:r>
      <w:r>
        <w:rPr>
          <w:i/>
          <w:color w:val="222222"/>
          <w:highlight w:val="white"/>
        </w:rPr>
        <w:t>20</w:t>
      </w:r>
      <w:r>
        <w:rPr>
          <w:color w:val="222222"/>
          <w:highlight w:val="white"/>
        </w:rPr>
        <w:t>, 1-13.</w:t>
      </w:r>
      <w:r>
        <w:rPr>
          <w:color w:val="000000"/>
          <w:highlight w:val="white"/>
        </w:rPr>
        <w:t xml:space="preserve"> </w:t>
      </w:r>
      <w:hyperlink r:id="rId50">
        <w:r>
          <w:rPr>
            <w:color w:val="0000FF"/>
            <w:highlight w:val="white"/>
            <w:u w:val="single"/>
          </w:rPr>
          <w:t>https://doi.org/10.11144/Javeriana.upsy20.irpc</w:t>
        </w:r>
      </w:hyperlink>
    </w:p>
    <w:p w:rsidR="00067D89" w:rsidRDefault="00A57D41">
      <w:pPr>
        <w:ind w:left="709" w:hanging="709"/>
        <w:jc w:val="both"/>
      </w:pPr>
      <w:r>
        <w:t xml:space="preserve">Velázquez, C (1928). La enseñanza de la psicología en la universidad de San Marcos. </w:t>
      </w:r>
      <w:r>
        <w:rPr>
          <w:i/>
        </w:rPr>
        <w:t>Amauta, 3</w:t>
      </w:r>
      <w:r>
        <w:t>(11), 27-28.</w:t>
      </w:r>
    </w:p>
    <w:p w:rsidR="00067D89" w:rsidRPr="007164AA" w:rsidRDefault="00A57D41">
      <w:pPr>
        <w:ind w:left="709" w:hanging="709"/>
        <w:jc w:val="both"/>
        <w:rPr>
          <w:lang w:val="en-US"/>
        </w:rPr>
      </w:pPr>
      <w:r>
        <w:t xml:space="preserve">Velázquez, C. (1927). Los test psicológicos y la nueva educación. </w:t>
      </w:r>
      <w:proofErr w:type="spellStart"/>
      <w:r w:rsidRPr="007164AA">
        <w:rPr>
          <w:i/>
          <w:lang w:val="en-US"/>
        </w:rPr>
        <w:t>Amauta</w:t>
      </w:r>
      <w:proofErr w:type="spellEnd"/>
      <w:r w:rsidRPr="007164AA">
        <w:rPr>
          <w:i/>
          <w:lang w:val="en-US"/>
        </w:rPr>
        <w:t>, 2</w:t>
      </w:r>
      <w:r w:rsidRPr="007164AA">
        <w:rPr>
          <w:lang w:val="en-US"/>
        </w:rPr>
        <w:t>(6), 14-16.</w:t>
      </w:r>
    </w:p>
    <w:p w:rsidR="00067D89" w:rsidRDefault="00A57D41">
      <w:pPr>
        <w:ind w:left="709" w:hanging="709"/>
        <w:jc w:val="both"/>
      </w:pPr>
      <w:proofErr w:type="spellStart"/>
      <w:r w:rsidRPr="007164AA">
        <w:rPr>
          <w:color w:val="333333"/>
          <w:shd w:val="clear" w:color="auto" w:fill="FCFCFC"/>
          <w:lang w:val="en-US"/>
        </w:rPr>
        <w:lastRenderedPageBreak/>
        <w:t>Veretennik</w:t>
      </w:r>
      <w:proofErr w:type="spellEnd"/>
      <w:r w:rsidRPr="007164AA">
        <w:rPr>
          <w:color w:val="333333"/>
          <w:shd w:val="clear" w:color="auto" w:fill="FCFCFC"/>
          <w:lang w:val="en-US"/>
        </w:rPr>
        <w:t xml:space="preserve">, E., </w:t>
      </w:r>
      <w:proofErr w:type="spellStart"/>
      <w:r w:rsidRPr="007164AA">
        <w:rPr>
          <w:color w:val="333333"/>
          <w:shd w:val="clear" w:color="auto" w:fill="FCFCFC"/>
          <w:lang w:val="en-US"/>
        </w:rPr>
        <w:t>Yudkevich</w:t>
      </w:r>
      <w:proofErr w:type="spellEnd"/>
      <w:r w:rsidRPr="007164AA">
        <w:rPr>
          <w:color w:val="333333"/>
          <w:shd w:val="clear" w:color="auto" w:fill="FCFCFC"/>
          <w:lang w:val="en-US"/>
        </w:rPr>
        <w:t>, M. (2023). Inconsistent quality signals: Evidence from the regional journals. </w:t>
      </w:r>
      <w:proofErr w:type="spellStart"/>
      <w:r>
        <w:rPr>
          <w:i/>
          <w:color w:val="333333"/>
          <w:shd w:val="clear" w:color="auto" w:fill="FCFCFC"/>
        </w:rPr>
        <w:t>Scientometrics</w:t>
      </w:r>
      <w:proofErr w:type="spellEnd"/>
      <w:r>
        <w:rPr>
          <w:color w:val="333333"/>
          <w:shd w:val="clear" w:color="auto" w:fill="FCFCFC"/>
        </w:rPr>
        <w:t xml:space="preserve"> 128, 3675–3701. </w:t>
      </w:r>
      <w:hyperlink r:id="rId51">
        <w:r>
          <w:rPr>
            <w:color w:val="0000FF"/>
            <w:u w:val="single"/>
            <w:shd w:val="clear" w:color="auto" w:fill="FCFCFC"/>
          </w:rPr>
          <w:t>https://doi.org/10.1007/s11192-023-04723-4</w:t>
        </w:r>
      </w:hyperlink>
      <w:r>
        <w:rPr>
          <w:color w:val="333333"/>
          <w:shd w:val="clear" w:color="auto" w:fill="FCFCFC"/>
        </w:rPr>
        <w:t xml:space="preserve"> </w:t>
      </w:r>
    </w:p>
    <w:p w:rsidR="00067D89" w:rsidRDefault="00A57D41">
      <w:pPr>
        <w:ind w:left="709" w:hanging="709"/>
        <w:jc w:val="both"/>
      </w:pPr>
      <w:proofErr w:type="spellStart"/>
      <w:r>
        <w:t>Via</w:t>
      </w:r>
      <w:proofErr w:type="spellEnd"/>
      <w:r>
        <w:t xml:space="preserve"> Ortega, A. (1950). Hacia una metodología de la psicología cultural en el Perú. Letras (Lima), 16(45), 386-388. </w:t>
      </w:r>
    </w:p>
    <w:p w:rsidR="00067D89" w:rsidRDefault="00A57D41">
      <w:pPr>
        <w:ind w:left="709" w:hanging="709"/>
        <w:jc w:val="both"/>
        <w:rPr>
          <w:color w:val="000000"/>
        </w:rPr>
      </w:pPr>
      <w:r>
        <w:rPr>
          <w:color w:val="000000"/>
        </w:rPr>
        <w:t xml:space="preserve">Villacorta, F. (1941). El problema de la infancia anormal. </w:t>
      </w:r>
      <w:r>
        <w:rPr>
          <w:i/>
          <w:color w:val="000000"/>
        </w:rPr>
        <w:t>Revista de Educación, 15</w:t>
      </w:r>
      <w:r>
        <w:rPr>
          <w:color w:val="000000"/>
        </w:rPr>
        <w:t xml:space="preserve">(1), 167-178. </w:t>
      </w:r>
    </w:p>
    <w:p w:rsidR="00067D89" w:rsidRDefault="00A57D41">
      <w:pPr>
        <w:ind w:left="709" w:hanging="709"/>
        <w:jc w:val="both"/>
        <w:rPr>
          <w:color w:val="000000"/>
        </w:rPr>
      </w:pPr>
      <w:r>
        <w:rPr>
          <w:color w:val="000000"/>
        </w:rPr>
        <w:t xml:space="preserve">Vinatea, C. (1946). El test de Ballard desde el punto de vista de la orientación profesional. </w:t>
      </w:r>
      <w:r>
        <w:rPr>
          <w:i/>
          <w:color w:val="000000"/>
        </w:rPr>
        <w:t>Boletín del Instituto Psicopedagógico Nacional, 5</w:t>
      </w:r>
      <w:r>
        <w:rPr>
          <w:color w:val="000000"/>
        </w:rPr>
        <w:t xml:space="preserve">(1), 103-131.   </w:t>
      </w:r>
    </w:p>
    <w:p w:rsidR="00067D89" w:rsidRDefault="00A57D41">
      <w:pPr>
        <w:ind w:left="709" w:hanging="709"/>
        <w:jc w:val="both"/>
        <w:rPr>
          <w:color w:val="000000"/>
        </w:rPr>
      </w:pPr>
      <w:r>
        <w:rPr>
          <w:color w:val="000000"/>
        </w:rPr>
        <w:t xml:space="preserve">Vinatea, C. (1950). Algunas consideraciones referentes a la inteligencia de los adolescentes peruanos que cursan educación secundaria común. </w:t>
      </w:r>
      <w:r>
        <w:rPr>
          <w:i/>
          <w:color w:val="000000"/>
        </w:rPr>
        <w:t>Boletín del Instituto Psicopedagógico Nacional, 9</w:t>
      </w:r>
      <w:r>
        <w:rPr>
          <w:color w:val="000000"/>
        </w:rPr>
        <w:t>(2), 21</w:t>
      </w:r>
      <w:r>
        <w:t xml:space="preserve">-40.   </w:t>
      </w:r>
    </w:p>
    <w:p w:rsidR="00067D89" w:rsidRDefault="00A57D41">
      <w:pPr>
        <w:ind w:left="709" w:hanging="709"/>
        <w:jc w:val="both"/>
      </w:pPr>
      <w:proofErr w:type="spellStart"/>
      <w:r>
        <w:rPr>
          <w:color w:val="333333"/>
          <w:highlight w:val="white"/>
        </w:rPr>
        <w:t>Visca</w:t>
      </w:r>
      <w:proofErr w:type="spellEnd"/>
      <w:r>
        <w:rPr>
          <w:color w:val="333333"/>
          <w:highlight w:val="white"/>
        </w:rPr>
        <w:t xml:space="preserve">, J., </w:t>
      </w:r>
      <w:proofErr w:type="gramStart"/>
      <w:r>
        <w:rPr>
          <w:color w:val="333333"/>
          <w:highlight w:val="white"/>
        </w:rPr>
        <w:t>Gallegos</w:t>
      </w:r>
      <w:proofErr w:type="gramEnd"/>
      <w:r>
        <w:rPr>
          <w:color w:val="333333"/>
          <w:highlight w:val="white"/>
        </w:rPr>
        <w:t xml:space="preserve">, M., López, W. L., Polanco, R., y </w:t>
      </w:r>
      <w:proofErr w:type="spellStart"/>
      <w:r>
        <w:rPr>
          <w:color w:val="333333"/>
          <w:highlight w:val="white"/>
        </w:rPr>
        <w:t>Cervigni</w:t>
      </w:r>
      <w:proofErr w:type="spellEnd"/>
      <w:r>
        <w:rPr>
          <w:color w:val="333333"/>
          <w:highlight w:val="white"/>
        </w:rPr>
        <w:t xml:space="preserve">, M. (2018). Las publicaciones periódicas de psicología en Argentina: Revisión histórica y situación actual. </w:t>
      </w:r>
      <w:r>
        <w:rPr>
          <w:i/>
          <w:color w:val="333333"/>
          <w:highlight w:val="white"/>
        </w:rPr>
        <w:t>Revista Argentina de Clínica Psicológica, 27</w:t>
      </w:r>
      <w:r>
        <w:rPr>
          <w:color w:val="333333"/>
          <w:highlight w:val="white"/>
        </w:rPr>
        <w:t>(3), 478-491.</w:t>
      </w:r>
      <w:hyperlink r:id="rId52">
        <w:r>
          <w:rPr>
            <w:color w:val="0000FF"/>
            <w:u w:val="single"/>
          </w:rPr>
          <w:t>http://dx.doi.org/10.24205/03276716.2018.1076</w:t>
        </w:r>
      </w:hyperlink>
    </w:p>
    <w:p w:rsidR="00067D89" w:rsidRDefault="00A57D41">
      <w:pPr>
        <w:shd w:val="clear" w:color="auto" w:fill="FFFFFF"/>
        <w:jc w:val="right"/>
        <w:rPr>
          <w:i/>
          <w:sz w:val="20"/>
          <w:szCs w:val="20"/>
        </w:rPr>
      </w:pPr>
      <w:proofErr w:type="spellStart"/>
      <w:r>
        <w:rPr>
          <w:i/>
          <w:sz w:val="20"/>
          <w:szCs w:val="20"/>
        </w:rPr>
        <w:t>Received</w:t>
      </w:r>
      <w:proofErr w:type="spellEnd"/>
      <w:r>
        <w:rPr>
          <w:i/>
          <w:sz w:val="20"/>
          <w:szCs w:val="20"/>
        </w:rPr>
        <w:t xml:space="preserve">: </w:t>
      </w:r>
    </w:p>
    <w:p w:rsidR="00067D89" w:rsidRDefault="00A57D41">
      <w:pPr>
        <w:shd w:val="clear" w:color="auto" w:fill="FFFFFF"/>
        <w:jc w:val="right"/>
        <w:rPr>
          <w:i/>
          <w:sz w:val="20"/>
          <w:szCs w:val="20"/>
        </w:rPr>
      </w:pPr>
      <w:proofErr w:type="spellStart"/>
      <w:r>
        <w:rPr>
          <w:i/>
          <w:sz w:val="20"/>
          <w:szCs w:val="20"/>
        </w:rPr>
        <w:t>Accepted</w:t>
      </w:r>
      <w:proofErr w:type="spellEnd"/>
      <w:r>
        <w:rPr>
          <w:i/>
          <w:sz w:val="20"/>
          <w:szCs w:val="20"/>
        </w:rPr>
        <w:t>:</w:t>
      </w:r>
    </w:p>
    <w:sectPr w:rsidR="00067D8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6466" w:rsidRDefault="00E86466">
      <w:r>
        <w:separator/>
      </w:r>
    </w:p>
  </w:endnote>
  <w:endnote w:type="continuationSeparator" w:id="0">
    <w:p w:rsidR="00E86466" w:rsidRDefault="00E86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D89" w:rsidRDefault="00A57D41">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7164AA">
      <w:rPr>
        <w:rFonts w:ascii="Times" w:eastAsia="Times" w:hAnsi="Times" w:cs="Times"/>
        <w:noProof/>
        <w:color w:val="000000"/>
        <w:sz w:val="16"/>
        <w:szCs w:val="16"/>
      </w:rPr>
      <w:t>2</w:t>
    </w:r>
    <w:r>
      <w:rPr>
        <w:rFonts w:ascii="Times" w:eastAsia="Times" w:hAnsi="Times" w:cs="Times"/>
        <w:color w:val="000000"/>
        <w:sz w:val="16"/>
        <w:szCs w:val="16"/>
      </w:rPr>
      <w:fldChar w:fldCharType="end"/>
    </w:r>
  </w:p>
  <w:p w:rsidR="00067D89" w:rsidRDefault="00067D89">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D89" w:rsidRDefault="00A57D41">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7164AA">
      <w:rPr>
        <w:rFonts w:ascii="Times" w:eastAsia="Times" w:hAnsi="Times" w:cs="Times"/>
        <w:noProof/>
        <w:color w:val="000000"/>
        <w:sz w:val="16"/>
        <w:szCs w:val="16"/>
      </w:rPr>
      <w:t>1</w:t>
    </w:r>
    <w:r>
      <w:rPr>
        <w:rFonts w:ascii="Times" w:eastAsia="Times" w:hAnsi="Times" w:cs="Times"/>
        <w:color w:val="000000"/>
        <w:sz w:val="16"/>
        <w:szCs w:val="16"/>
      </w:rPr>
      <w:fldChar w:fldCharType="end"/>
    </w:r>
  </w:p>
  <w:p w:rsidR="00067D89" w:rsidRDefault="00067D89">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D89" w:rsidRDefault="00A57D41">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7164AA">
      <w:rPr>
        <w:rFonts w:ascii="Times" w:eastAsia="Times" w:hAnsi="Times" w:cs="Times"/>
        <w:noProof/>
        <w:color w:val="000000"/>
        <w:sz w:val="16"/>
        <w:szCs w:val="16"/>
      </w:rPr>
      <w:t>17</w:t>
    </w:r>
    <w:r>
      <w:rPr>
        <w:rFonts w:ascii="Times" w:eastAsia="Times" w:hAnsi="Times" w:cs="Times"/>
        <w:color w:val="000000"/>
        <w:sz w:val="16"/>
        <w:szCs w:val="16"/>
      </w:rPr>
      <w:fldChar w:fldCharType="end"/>
    </w:r>
  </w:p>
  <w:p w:rsidR="00067D89" w:rsidRDefault="00067D89">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6466" w:rsidRDefault="00E86466">
      <w:r>
        <w:separator/>
      </w:r>
    </w:p>
  </w:footnote>
  <w:footnote w:type="continuationSeparator" w:id="0">
    <w:p w:rsidR="00E86466" w:rsidRDefault="00E86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D89" w:rsidRDefault="00A57D41">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r>
      <w:rPr>
        <w:rFonts w:ascii="Times" w:eastAsia="Times" w:hAnsi="Times" w:cs="Times"/>
        <w:smallCaps/>
        <w:color w:val="000000"/>
        <w:sz w:val="20"/>
        <w:szCs w:val="20"/>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D89" w:rsidRDefault="00A57D41">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w:t>
    </w:r>
    <w:proofErr w:type="spellStart"/>
    <w:r>
      <w:rPr>
        <w:rFonts w:ascii="Times" w:eastAsia="Times" w:hAnsi="Times" w:cs="Times"/>
        <w:b/>
        <w:i/>
        <w:color w:val="000000"/>
        <w:sz w:val="18"/>
        <w:szCs w:val="18"/>
      </w:rPr>
      <w:t>Interamerican</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Journal</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of</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Psychology</w:t>
    </w:r>
    <w:proofErr w:type="spellEnd"/>
    <w:r>
      <w:rPr>
        <w:noProof/>
      </w:rPr>
      <w:drawing>
        <wp:anchor distT="0" distB="0" distL="114300" distR="114300" simplePos="0" relativeHeight="251658240" behindDoc="0" locked="0" layoutInCell="1" hidden="0" allowOverlap="1">
          <wp:simplePos x="0" y="0"/>
          <wp:positionH relativeFrom="column">
            <wp:posOffset>64672</wp:posOffset>
          </wp:positionH>
          <wp:positionV relativeFrom="paragraph">
            <wp:posOffset>-253516</wp:posOffset>
          </wp:positionV>
          <wp:extent cx="681164" cy="628073"/>
          <wp:effectExtent l="0" t="0" r="0" b="0"/>
          <wp:wrapNone/>
          <wp:docPr id="13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rsidR="00067D89" w:rsidRDefault="00A57D41">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Times" w:eastAsia="Times" w:hAnsi="Times" w:cs="Times"/>
        <w:i/>
        <w:color w:val="000000"/>
        <w:sz w:val="18"/>
        <w:szCs w:val="18"/>
      </w:rPr>
      <w:t>Modelo de Envío de Manuscrito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E15666"/>
    <w:multiLevelType w:val="multilevel"/>
    <w:tmpl w:val="7B1ECDC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D89"/>
    <w:rsid w:val="00067D89"/>
    <w:rsid w:val="001F1DC9"/>
    <w:rsid w:val="002158D4"/>
    <w:rsid w:val="003F7666"/>
    <w:rsid w:val="00620CBC"/>
    <w:rsid w:val="007164AA"/>
    <w:rsid w:val="00A57D41"/>
    <w:rsid w:val="00C26317"/>
    <w:rsid w:val="00E8646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E74C"/>
  <w15:docId w15:val="{E9D68807-0677-4E28-B61F-4CC318311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S_tradnl" w:eastAsia="es-P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13D4"/>
    <w:rPr>
      <w:lang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f0">
    <w:name w:val="Table Normal"/>
    <w:rsid w:val="00F92F1A"/>
    <w:pPr>
      <w:pBdr>
        <w:top w:val="nil"/>
        <w:left w:val="nil"/>
        <w:bottom w:val="nil"/>
        <w:right w:val="nil"/>
        <w:between w:val="nil"/>
        <w:bar w:val="nil"/>
      </w:pBdr>
    </w:pPr>
    <w:rPr>
      <w:rFonts w:eastAsia="Arial Unicode MS"/>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f0"/>
    <w:rPr>
      <w:rFonts w:eastAsia="Times New Roman"/>
    </w:rPr>
    <w:tblPr>
      <w:tblStyleRowBandSize w:val="1"/>
      <w:tblStyleColBandSize w:val="1"/>
    </w:tblPr>
  </w:style>
  <w:style w:type="table" w:customStyle="1" w:styleId="a0">
    <w:basedOn w:val="TableNormalf0"/>
    <w:rPr>
      <w:rFonts w:eastAsia="Times New Roman"/>
    </w:rPr>
    <w:tblPr>
      <w:tblStyleRowBandSize w:val="1"/>
      <w:tblStyleColBandSize w:val="1"/>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lang w:eastAsia="es-ES_tradnl"/>
    </w:rPr>
  </w:style>
  <w:style w:type="character" w:styleId="Refdecomentario">
    <w:name w:val="annotation reference"/>
    <w:basedOn w:val="Fuentedeprrafopredeter"/>
    <w:uiPriority w:val="99"/>
    <w:semiHidden/>
    <w:unhideWhenUsed/>
    <w:rPr>
      <w:sz w:val="16"/>
      <w:szCs w:val="16"/>
    </w:rPr>
  </w:style>
  <w:style w:type="table" w:customStyle="1" w:styleId="a1">
    <w:basedOn w:val="TableNormale"/>
    <w:pPr>
      <w:pBdr>
        <w:top w:val="nil"/>
        <w:left w:val="nil"/>
        <w:bottom w:val="nil"/>
        <w:right w:val="nil"/>
        <w:between w:val="nil"/>
      </w:pBdr>
    </w:pPr>
    <w:rPr>
      <w:sz w:val="20"/>
      <w:szCs w:val="20"/>
    </w:rPr>
    <w:tblPr>
      <w:tblStyleRowBandSize w:val="1"/>
      <w:tblStyleColBandSize w:val="1"/>
    </w:tblPr>
  </w:style>
  <w:style w:type="table" w:customStyle="1" w:styleId="a2">
    <w:basedOn w:val="TableNormald"/>
    <w:pPr>
      <w:pBdr>
        <w:top w:val="nil"/>
        <w:left w:val="nil"/>
        <w:bottom w:val="nil"/>
        <w:right w:val="nil"/>
        <w:between w:val="nil"/>
      </w:pBdr>
    </w:pPr>
    <w:rPr>
      <w:sz w:val="20"/>
      <w:szCs w:val="20"/>
    </w:rPr>
    <w:tblPr>
      <w:tblStyleRowBandSize w:val="1"/>
      <w:tblStyleColBandSize w:val="1"/>
    </w:tblPr>
  </w:style>
  <w:style w:type="paragraph" w:styleId="Prrafodelista">
    <w:name w:val="List Paragraph"/>
    <w:basedOn w:val="Normal"/>
    <w:uiPriority w:val="34"/>
    <w:qFormat/>
    <w:rsid w:val="00C319BC"/>
    <w:pPr>
      <w:ind w:left="720"/>
      <w:contextualSpacing/>
    </w:pPr>
  </w:style>
  <w:style w:type="character" w:styleId="Textodelmarcadordeposicin">
    <w:name w:val="Placeholder Text"/>
    <w:basedOn w:val="Fuentedeprrafopredeter"/>
    <w:uiPriority w:val="99"/>
    <w:semiHidden/>
    <w:rsid w:val="002F045E"/>
    <w:rPr>
      <w:color w:val="808080"/>
    </w:rPr>
  </w:style>
  <w:style w:type="table" w:customStyle="1" w:styleId="a3">
    <w:basedOn w:val="TableNormalc"/>
    <w:pPr>
      <w:pBdr>
        <w:top w:val="nil"/>
        <w:left w:val="nil"/>
        <w:bottom w:val="nil"/>
        <w:right w:val="nil"/>
        <w:between w:val="nil"/>
      </w:pBdr>
    </w:pPr>
    <w:rPr>
      <w:sz w:val="20"/>
      <w:szCs w:val="20"/>
    </w:rPr>
    <w:tblPr>
      <w:tblStyleRowBandSize w:val="1"/>
      <w:tblStyleColBandSize w:val="1"/>
    </w:tblPr>
  </w:style>
  <w:style w:type="table" w:customStyle="1" w:styleId="a4">
    <w:basedOn w:val="TableNormalb"/>
    <w:rPr>
      <w:color w:val="7B7B7B"/>
      <w:sz w:val="22"/>
      <w:szCs w:val="22"/>
    </w:rPr>
    <w:tblPr>
      <w:tblStyleRowBandSize w:val="1"/>
      <w:tblStyleColBandSize w:val="1"/>
      <w:tblCellMar>
        <w:left w:w="108" w:type="dxa"/>
        <w:right w:w="108" w:type="dxa"/>
      </w:tblCellMar>
    </w:tblPr>
  </w:style>
  <w:style w:type="table" w:customStyle="1" w:styleId="a5">
    <w:basedOn w:val="TableNormalb"/>
    <w:tblPr>
      <w:tblStyleRowBandSize w:val="1"/>
      <w:tblStyleColBandSize w:val="1"/>
      <w:tblCellMar>
        <w:left w:w="70" w:type="dxa"/>
        <w:right w:w="70" w:type="dxa"/>
      </w:tblCellMar>
    </w:tblPr>
  </w:style>
  <w:style w:type="table" w:customStyle="1" w:styleId="a6">
    <w:basedOn w:val="TableNormalb"/>
    <w:tblPr>
      <w:tblStyleRowBandSize w:val="1"/>
      <w:tblStyleColBandSize w:val="1"/>
      <w:tblCellMar>
        <w:left w:w="115" w:type="dxa"/>
        <w:right w:w="115" w:type="dxa"/>
      </w:tblCellMar>
    </w:tblPr>
  </w:style>
  <w:style w:type="table" w:customStyle="1" w:styleId="a7">
    <w:basedOn w:val="TableNormalb"/>
    <w:tblPr>
      <w:tblStyleRowBandSize w:val="1"/>
      <w:tblStyleColBandSize w:val="1"/>
      <w:tblCellMar>
        <w:left w:w="115" w:type="dxa"/>
        <w:right w:w="115" w:type="dxa"/>
      </w:tblCellMar>
    </w:tblPr>
  </w:style>
  <w:style w:type="table" w:customStyle="1" w:styleId="a8">
    <w:basedOn w:val="TableNormalb"/>
    <w:tblPr>
      <w:tblStyleRowBandSize w:val="1"/>
      <w:tblStyleColBandSize w:val="1"/>
      <w:tblCellMar>
        <w:left w:w="115" w:type="dxa"/>
        <w:right w:w="115" w:type="dxa"/>
      </w:tblCellMar>
    </w:tblPr>
  </w:style>
  <w:style w:type="table" w:customStyle="1" w:styleId="a9">
    <w:basedOn w:val="TableNormalb"/>
    <w:tblPr>
      <w:tblStyleRowBandSize w:val="1"/>
      <w:tblStyleColBandSize w:val="1"/>
      <w:tblCellMar>
        <w:left w:w="115" w:type="dxa"/>
        <w:right w:w="115" w:type="dxa"/>
      </w:tblCellMar>
    </w:tblPr>
  </w:style>
  <w:style w:type="table" w:customStyle="1" w:styleId="aa">
    <w:basedOn w:val="TableNormalb"/>
    <w:tblPr>
      <w:tblStyleRowBandSize w:val="1"/>
      <w:tblStyleColBandSize w:val="1"/>
      <w:tblCellMar>
        <w:left w:w="115" w:type="dxa"/>
        <w:right w:w="115" w:type="dxa"/>
      </w:tblCellMar>
    </w:tblPr>
  </w:style>
  <w:style w:type="table" w:customStyle="1" w:styleId="ab">
    <w:basedOn w:val="TableNormalb"/>
    <w:tblPr>
      <w:tblStyleRowBandSize w:val="1"/>
      <w:tblStyleColBandSize w:val="1"/>
      <w:tblCellMar>
        <w:left w:w="115" w:type="dxa"/>
        <w:right w:w="115" w:type="dxa"/>
      </w:tblCellMar>
    </w:tblPr>
  </w:style>
  <w:style w:type="table" w:customStyle="1" w:styleId="ac">
    <w:basedOn w:val="TableNormalb"/>
    <w:tblPr>
      <w:tblStyleRowBandSize w:val="1"/>
      <w:tblStyleColBandSize w:val="1"/>
      <w:tblCellMar>
        <w:left w:w="115" w:type="dxa"/>
        <w:right w:w="115" w:type="dxa"/>
      </w:tblCellMar>
    </w:tblPr>
  </w:style>
  <w:style w:type="table" w:customStyle="1" w:styleId="ad">
    <w:basedOn w:val="TableNormalb"/>
    <w:tblPr>
      <w:tblStyleRowBandSize w:val="1"/>
      <w:tblStyleColBandSize w:val="1"/>
      <w:tblCellMar>
        <w:left w:w="115" w:type="dxa"/>
        <w:right w:w="115" w:type="dxa"/>
      </w:tblCellMar>
    </w:tblPr>
  </w:style>
  <w:style w:type="paragraph" w:styleId="Asuntodelcomentario">
    <w:name w:val="annotation subject"/>
    <w:basedOn w:val="Textocomentario"/>
    <w:next w:val="Textocomentario"/>
    <w:link w:val="AsuntodelcomentarioCar"/>
    <w:uiPriority w:val="99"/>
    <w:semiHidden/>
    <w:unhideWhenUsed/>
    <w:rsid w:val="00FB7F1D"/>
    <w:rPr>
      <w:b/>
      <w:bCs/>
    </w:rPr>
  </w:style>
  <w:style w:type="character" w:customStyle="1" w:styleId="AsuntodelcomentarioCar">
    <w:name w:val="Asunto del comentario Car"/>
    <w:basedOn w:val="TextocomentarioCar"/>
    <w:link w:val="Asuntodelcomentario"/>
    <w:uiPriority w:val="99"/>
    <w:semiHidden/>
    <w:rsid w:val="00FB7F1D"/>
    <w:rPr>
      <w:b/>
      <w:bCs/>
      <w:sz w:val="20"/>
      <w:szCs w:val="20"/>
      <w:lang w:eastAsia="es-ES_tradnl"/>
    </w:rPr>
  </w:style>
  <w:style w:type="table" w:customStyle="1" w:styleId="ae">
    <w:basedOn w:val="TableNormala"/>
    <w:rPr>
      <w:color w:val="7B7B7B"/>
      <w:sz w:val="22"/>
      <w:szCs w:val="22"/>
    </w:rPr>
    <w:tblPr>
      <w:tblStyleRowBandSize w:val="1"/>
      <w:tblStyleColBandSize w:val="1"/>
      <w:tblCellMar>
        <w:left w:w="115" w:type="dxa"/>
        <w:right w:w="115" w:type="dxa"/>
      </w:tblCellMar>
    </w:tblPr>
  </w:style>
  <w:style w:type="table" w:customStyle="1" w:styleId="af">
    <w:basedOn w:val="TableNormala"/>
    <w:rPr>
      <w:color w:val="7B7B7B"/>
      <w:sz w:val="22"/>
      <w:szCs w:val="22"/>
    </w:rPr>
    <w:tblPr>
      <w:tblStyleRowBandSize w:val="1"/>
      <w:tblStyleColBandSize w:val="1"/>
      <w:tblCellMar>
        <w:left w:w="115" w:type="dxa"/>
        <w:right w:w="115" w:type="dxa"/>
      </w:tblCellMar>
    </w:tblPr>
  </w:style>
  <w:style w:type="table" w:customStyle="1" w:styleId="af0">
    <w:basedOn w:val="TableNormala"/>
    <w:rPr>
      <w:color w:val="7B7B7B"/>
      <w:sz w:val="22"/>
      <w:szCs w:val="22"/>
    </w:rPr>
    <w:tblPr>
      <w:tblStyleRowBandSize w:val="1"/>
      <w:tblStyleColBandSize w:val="1"/>
      <w:tblCellMar>
        <w:left w:w="115" w:type="dxa"/>
        <w:right w:w="115" w:type="dxa"/>
      </w:tblCellMar>
    </w:tblPr>
  </w:style>
  <w:style w:type="table" w:customStyle="1" w:styleId="af1">
    <w:basedOn w:val="TableNormala"/>
    <w:rPr>
      <w:color w:val="7B7B7B"/>
      <w:sz w:val="22"/>
      <w:szCs w:val="22"/>
    </w:rPr>
    <w:tblPr>
      <w:tblStyleRowBandSize w:val="1"/>
      <w:tblStyleColBandSize w:val="1"/>
      <w:tblCellMar>
        <w:left w:w="115" w:type="dxa"/>
        <w:right w:w="115" w:type="dxa"/>
      </w:tblCellMar>
    </w:tblPr>
  </w:style>
  <w:style w:type="table" w:customStyle="1" w:styleId="af2">
    <w:basedOn w:val="TableNormala"/>
    <w:rPr>
      <w:color w:val="7B7B7B"/>
      <w:sz w:val="22"/>
      <w:szCs w:val="22"/>
    </w:rPr>
    <w:tblPr>
      <w:tblStyleRowBandSize w:val="1"/>
      <w:tblStyleColBandSize w:val="1"/>
      <w:tblCellMar>
        <w:left w:w="115" w:type="dxa"/>
        <w:right w:w="115" w:type="dxa"/>
      </w:tblCellMar>
    </w:tblPr>
  </w:style>
  <w:style w:type="table" w:customStyle="1" w:styleId="af3">
    <w:basedOn w:val="TableNormala"/>
    <w:rPr>
      <w:color w:val="7B7B7B"/>
      <w:sz w:val="22"/>
      <w:szCs w:val="22"/>
    </w:rPr>
    <w:tblPr>
      <w:tblStyleRowBandSize w:val="1"/>
      <w:tblStyleColBandSize w:val="1"/>
      <w:tblCellMar>
        <w:left w:w="115" w:type="dxa"/>
        <w:right w:w="115" w:type="dxa"/>
      </w:tblCellMar>
    </w:tblPr>
  </w:style>
  <w:style w:type="table" w:customStyle="1" w:styleId="af4">
    <w:basedOn w:val="TableNormala"/>
    <w:rPr>
      <w:color w:val="7B7B7B"/>
      <w:sz w:val="22"/>
      <w:szCs w:val="22"/>
    </w:rPr>
    <w:tblPr>
      <w:tblStyleRowBandSize w:val="1"/>
      <w:tblStyleColBandSize w:val="1"/>
      <w:tblCellMar>
        <w:left w:w="115" w:type="dxa"/>
        <w:right w:w="115" w:type="dxa"/>
      </w:tblCellMar>
    </w:tblPr>
  </w:style>
  <w:style w:type="table" w:customStyle="1" w:styleId="af5">
    <w:basedOn w:val="TableNormala"/>
    <w:rPr>
      <w:color w:val="7B7B7B"/>
      <w:sz w:val="22"/>
      <w:szCs w:val="22"/>
    </w:rPr>
    <w:tblPr>
      <w:tblStyleRowBandSize w:val="1"/>
      <w:tblStyleColBandSize w:val="1"/>
      <w:tblCellMar>
        <w:left w:w="115" w:type="dxa"/>
        <w:right w:w="115" w:type="dxa"/>
      </w:tblCellMar>
    </w:tblPr>
  </w:style>
  <w:style w:type="table" w:customStyle="1" w:styleId="af6">
    <w:basedOn w:val="TableNormala"/>
    <w:rPr>
      <w:color w:val="7B7B7B"/>
      <w:sz w:val="22"/>
      <w:szCs w:val="22"/>
    </w:rPr>
    <w:tblPr>
      <w:tblStyleRowBandSize w:val="1"/>
      <w:tblStyleColBandSize w:val="1"/>
      <w:tblCellMar>
        <w:left w:w="115" w:type="dxa"/>
        <w:right w:w="115" w:type="dxa"/>
      </w:tblCellMar>
    </w:tblPr>
  </w:style>
  <w:style w:type="table" w:customStyle="1" w:styleId="af7">
    <w:basedOn w:val="TableNormala"/>
    <w:rPr>
      <w:color w:val="7B7B7B"/>
      <w:sz w:val="22"/>
      <w:szCs w:val="22"/>
    </w:rPr>
    <w:tblPr>
      <w:tblStyleRowBandSize w:val="1"/>
      <w:tblStyleColBandSize w:val="1"/>
      <w:tblCellMar>
        <w:left w:w="115" w:type="dxa"/>
        <w:right w:w="115" w:type="dxa"/>
      </w:tblCellMar>
    </w:tblPr>
  </w:style>
  <w:style w:type="table" w:customStyle="1" w:styleId="af8">
    <w:basedOn w:val="TableNormal9"/>
    <w:rPr>
      <w:color w:val="7B7B7B"/>
      <w:sz w:val="22"/>
      <w:szCs w:val="22"/>
    </w:rPr>
    <w:tblPr>
      <w:tblStyleRowBandSize w:val="1"/>
      <w:tblStyleColBandSize w:val="1"/>
      <w:tblCellMar>
        <w:left w:w="115" w:type="dxa"/>
        <w:right w:w="115" w:type="dxa"/>
      </w:tblCellMar>
    </w:tblPr>
  </w:style>
  <w:style w:type="table" w:customStyle="1" w:styleId="af9">
    <w:basedOn w:val="TableNormal9"/>
    <w:rPr>
      <w:color w:val="7B7B7B"/>
      <w:sz w:val="22"/>
      <w:szCs w:val="22"/>
    </w:rPr>
    <w:tblPr>
      <w:tblStyleRowBandSize w:val="1"/>
      <w:tblStyleColBandSize w:val="1"/>
      <w:tblCellMar>
        <w:left w:w="115" w:type="dxa"/>
        <w:right w:w="115" w:type="dxa"/>
      </w:tblCellMar>
    </w:tblPr>
  </w:style>
  <w:style w:type="table" w:customStyle="1" w:styleId="afa">
    <w:basedOn w:val="TableNormal9"/>
    <w:rPr>
      <w:color w:val="7B7B7B"/>
      <w:sz w:val="22"/>
      <w:szCs w:val="22"/>
    </w:rPr>
    <w:tblPr>
      <w:tblStyleRowBandSize w:val="1"/>
      <w:tblStyleColBandSize w:val="1"/>
      <w:tblCellMar>
        <w:left w:w="115" w:type="dxa"/>
        <w:right w:w="115" w:type="dxa"/>
      </w:tblCellMar>
    </w:tblPr>
  </w:style>
  <w:style w:type="table" w:customStyle="1" w:styleId="afb">
    <w:basedOn w:val="TableNormal9"/>
    <w:rPr>
      <w:color w:val="7B7B7B"/>
      <w:sz w:val="22"/>
      <w:szCs w:val="22"/>
    </w:rPr>
    <w:tblPr>
      <w:tblStyleRowBandSize w:val="1"/>
      <w:tblStyleColBandSize w:val="1"/>
      <w:tblCellMar>
        <w:left w:w="115" w:type="dxa"/>
        <w:right w:w="115" w:type="dxa"/>
      </w:tblCellMar>
    </w:tblPr>
  </w:style>
  <w:style w:type="table" w:customStyle="1" w:styleId="afc">
    <w:basedOn w:val="TableNormal9"/>
    <w:rPr>
      <w:color w:val="7B7B7B"/>
      <w:sz w:val="22"/>
      <w:szCs w:val="22"/>
    </w:rPr>
    <w:tblPr>
      <w:tblStyleRowBandSize w:val="1"/>
      <w:tblStyleColBandSize w:val="1"/>
      <w:tblCellMar>
        <w:left w:w="115" w:type="dxa"/>
        <w:right w:w="115" w:type="dxa"/>
      </w:tblCellMar>
    </w:tblPr>
  </w:style>
  <w:style w:type="table" w:customStyle="1" w:styleId="afd">
    <w:basedOn w:val="TableNormal9"/>
    <w:rPr>
      <w:color w:val="7B7B7B"/>
      <w:sz w:val="22"/>
      <w:szCs w:val="22"/>
    </w:rPr>
    <w:tblPr>
      <w:tblStyleRowBandSize w:val="1"/>
      <w:tblStyleColBandSize w:val="1"/>
      <w:tblCellMar>
        <w:left w:w="115" w:type="dxa"/>
        <w:right w:w="115" w:type="dxa"/>
      </w:tblCellMar>
    </w:tblPr>
  </w:style>
  <w:style w:type="table" w:customStyle="1" w:styleId="afe">
    <w:basedOn w:val="TableNormal9"/>
    <w:rPr>
      <w:color w:val="7B7B7B"/>
      <w:sz w:val="22"/>
      <w:szCs w:val="22"/>
    </w:rPr>
    <w:tblPr>
      <w:tblStyleRowBandSize w:val="1"/>
      <w:tblStyleColBandSize w:val="1"/>
      <w:tblCellMar>
        <w:left w:w="115" w:type="dxa"/>
        <w:right w:w="115" w:type="dxa"/>
      </w:tblCellMar>
    </w:tblPr>
  </w:style>
  <w:style w:type="table" w:customStyle="1" w:styleId="aff">
    <w:basedOn w:val="TableNormal9"/>
    <w:rPr>
      <w:color w:val="7B7B7B"/>
      <w:sz w:val="22"/>
      <w:szCs w:val="22"/>
    </w:rPr>
    <w:tblPr>
      <w:tblStyleRowBandSize w:val="1"/>
      <w:tblStyleColBandSize w:val="1"/>
      <w:tblCellMar>
        <w:left w:w="115" w:type="dxa"/>
        <w:right w:w="115" w:type="dxa"/>
      </w:tblCellMar>
    </w:tblPr>
  </w:style>
  <w:style w:type="table" w:customStyle="1" w:styleId="aff0">
    <w:basedOn w:val="TableNormal9"/>
    <w:rPr>
      <w:color w:val="7B7B7B"/>
      <w:sz w:val="22"/>
      <w:szCs w:val="22"/>
    </w:rPr>
    <w:tblPr>
      <w:tblStyleRowBandSize w:val="1"/>
      <w:tblStyleColBandSize w:val="1"/>
      <w:tblCellMar>
        <w:left w:w="115" w:type="dxa"/>
        <w:right w:w="115" w:type="dxa"/>
      </w:tblCellMar>
    </w:tblPr>
  </w:style>
  <w:style w:type="table" w:customStyle="1" w:styleId="aff1">
    <w:basedOn w:val="TableNormal9"/>
    <w:rPr>
      <w:color w:val="7B7B7B"/>
      <w:sz w:val="22"/>
      <w:szCs w:val="22"/>
    </w:rPr>
    <w:tblPr>
      <w:tblStyleRowBandSize w:val="1"/>
      <w:tblStyleColBandSize w:val="1"/>
      <w:tblCellMar>
        <w:left w:w="115" w:type="dxa"/>
        <w:right w:w="115" w:type="dxa"/>
      </w:tblCellMar>
    </w:tblPr>
  </w:style>
  <w:style w:type="table" w:customStyle="1" w:styleId="aff2">
    <w:basedOn w:val="TableNormal8"/>
    <w:rPr>
      <w:color w:val="7B7B7B"/>
      <w:sz w:val="22"/>
      <w:szCs w:val="22"/>
    </w:rPr>
    <w:tblPr>
      <w:tblStyleRowBandSize w:val="1"/>
      <w:tblStyleColBandSize w:val="1"/>
      <w:tblCellMar>
        <w:left w:w="115" w:type="dxa"/>
        <w:right w:w="115" w:type="dxa"/>
      </w:tblCellMar>
    </w:tblPr>
  </w:style>
  <w:style w:type="table" w:customStyle="1" w:styleId="aff3">
    <w:basedOn w:val="TableNormal8"/>
    <w:rPr>
      <w:color w:val="7B7B7B"/>
      <w:sz w:val="22"/>
      <w:szCs w:val="22"/>
    </w:rPr>
    <w:tblPr>
      <w:tblStyleRowBandSize w:val="1"/>
      <w:tblStyleColBandSize w:val="1"/>
      <w:tblCellMar>
        <w:left w:w="115" w:type="dxa"/>
        <w:right w:w="115" w:type="dxa"/>
      </w:tblCellMar>
    </w:tblPr>
  </w:style>
  <w:style w:type="table" w:customStyle="1" w:styleId="aff4">
    <w:basedOn w:val="TableNormal8"/>
    <w:rPr>
      <w:color w:val="7B7B7B"/>
      <w:sz w:val="22"/>
      <w:szCs w:val="22"/>
    </w:rPr>
    <w:tblPr>
      <w:tblStyleRowBandSize w:val="1"/>
      <w:tblStyleColBandSize w:val="1"/>
      <w:tblCellMar>
        <w:left w:w="115" w:type="dxa"/>
        <w:right w:w="115" w:type="dxa"/>
      </w:tblCellMar>
    </w:tblPr>
  </w:style>
  <w:style w:type="table" w:customStyle="1" w:styleId="aff5">
    <w:basedOn w:val="TableNormal8"/>
    <w:rPr>
      <w:color w:val="7B7B7B"/>
      <w:sz w:val="22"/>
      <w:szCs w:val="22"/>
    </w:rPr>
    <w:tblPr>
      <w:tblStyleRowBandSize w:val="1"/>
      <w:tblStyleColBandSize w:val="1"/>
      <w:tblCellMar>
        <w:left w:w="115" w:type="dxa"/>
        <w:right w:w="115" w:type="dxa"/>
      </w:tblCellMar>
    </w:tblPr>
  </w:style>
  <w:style w:type="table" w:customStyle="1" w:styleId="aff6">
    <w:basedOn w:val="TableNormal8"/>
    <w:rPr>
      <w:color w:val="7B7B7B"/>
      <w:sz w:val="22"/>
      <w:szCs w:val="22"/>
    </w:rPr>
    <w:tblPr>
      <w:tblStyleRowBandSize w:val="1"/>
      <w:tblStyleColBandSize w:val="1"/>
      <w:tblCellMar>
        <w:left w:w="115" w:type="dxa"/>
        <w:right w:w="115" w:type="dxa"/>
      </w:tblCellMar>
    </w:tblPr>
  </w:style>
  <w:style w:type="table" w:customStyle="1" w:styleId="aff7">
    <w:basedOn w:val="TableNormal8"/>
    <w:rPr>
      <w:color w:val="7B7B7B"/>
      <w:sz w:val="22"/>
      <w:szCs w:val="22"/>
    </w:rPr>
    <w:tblPr>
      <w:tblStyleRowBandSize w:val="1"/>
      <w:tblStyleColBandSize w:val="1"/>
      <w:tblCellMar>
        <w:left w:w="115" w:type="dxa"/>
        <w:right w:w="115" w:type="dxa"/>
      </w:tblCellMar>
    </w:tblPr>
  </w:style>
  <w:style w:type="table" w:customStyle="1" w:styleId="aff8">
    <w:basedOn w:val="TableNormal8"/>
    <w:rPr>
      <w:color w:val="7B7B7B"/>
      <w:sz w:val="22"/>
      <w:szCs w:val="22"/>
    </w:rPr>
    <w:tblPr>
      <w:tblStyleRowBandSize w:val="1"/>
      <w:tblStyleColBandSize w:val="1"/>
      <w:tblCellMar>
        <w:left w:w="115" w:type="dxa"/>
        <w:right w:w="115" w:type="dxa"/>
      </w:tblCellMar>
    </w:tblPr>
  </w:style>
  <w:style w:type="table" w:customStyle="1" w:styleId="aff9">
    <w:basedOn w:val="TableNormal8"/>
    <w:rPr>
      <w:color w:val="7B7B7B"/>
      <w:sz w:val="22"/>
      <w:szCs w:val="22"/>
    </w:rPr>
    <w:tblPr>
      <w:tblStyleRowBandSize w:val="1"/>
      <w:tblStyleColBandSize w:val="1"/>
      <w:tblCellMar>
        <w:left w:w="115" w:type="dxa"/>
        <w:right w:w="115" w:type="dxa"/>
      </w:tblCellMar>
    </w:tblPr>
  </w:style>
  <w:style w:type="table" w:customStyle="1" w:styleId="affa">
    <w:basedOn w:val="TableNormal8"/>
    <w:rPr>
      <w:color w:val="7B7B7B"/>
      <w:sz w:val="22"/>
      <w:szCs w:val="22"/>
    </w:rPr>
    <w:tblPr>
      <w:tblStyleRowBandSize w:val="1"/>
      <w:tblStyleColBandSize w:val="1"/>
      <w:tblCellMar>
        <w:left w:w="115" w:type="dxa"/>
        <w:right w:w="115" w:type="dxa"/>
      </w:tblCellMar>
    </w:tblPr>
  </w:style>
  <w:style w:type="table" w:customStyle="1" w:styleId="affb">
    <w:basedOn w:val="TableNormal8"/>
    <w:rPr>
      <w:color w:val="7B7B7B"/>
      <w:sz w:val="22"/>
      <w:szCs w:val="22"/>
    </w:rPr>
    <w:tblPr>
      <w:tblStyleRowBandSize w:val="1"/>
      <w:tblStyleColBandSize w:val="1"/>
      <w:tblCellMar>
        <w:left w:w="115" w:type="dxa"/>
        <w:right w:w="115" w:type="dxa"/>
      </w:tblCellMar>
    </w:tblPr>
  </w:style>
  <w:style w:type="table" w:customStyle="1" w:styleId="affc">
    <w:basedOn w:val="TableNormal7"/>
    <w:rPr>
      <w:color w:val="7B7B7B"/>
      <w:sz w:val="22"/>
      <w:szCs w:val="22"/>
    </w:rPr>
    <w:tblPr>
      <w:tblStyleRowBandSize w:val="1"/>
      <w:tblStyleColBandSize w:val="1"/>
      <w:tblCellMar>
        <w:left w:w="115" w:type="dxa"/>
        <w:right w:w="115" w:type="dxa"/>
      </w:tblCellMar>
    </w:tblPr>
  </w:style>
  <w:style w:type="table" w:customStyle="1" w:styleId="affd">
    <w:basedOn w:val="TableNormal7"/>
    <w:rPr>
      <w:color w:val="7B7B7B"/>
      <w:sz w:val="22"/>
      <w:szCs w:val="22"/>
    </w:rPr>
    <w:tblPr>
      <w:tblStyleRowBandSize w:val="1"/>
      <w:tblStyleColBandSize w:val="1"/>
      <w:tblCellMar>
        <w:left w:w="115" w:type="dxa"/>
        <w:right w:w="115" w:type="dxa"/>
      </w:tblCellMar>
    </w:tblPr>
  </w:style>
  <w:style w:type="table" w:customStyle="1" w:styleId="affe">
    <w:basedOn w:val="TableNormal7"/>
    <w:rPr>
      <w:color w:val="7B7B7B"/>
      <w:sz w:val="22"/>
      <w:szCs w:val="22"/>
    </w:rPr>
    <w:tblPr>
      <w:tblStyleRowBandSize w:val="1"/>
      <w:tblStyleColBandSize w:val="1"/>
      <w:tblCellMar>
        <w:left w:w="115" w:type="dxa"/>
        <w:right w:w="115" w:type="dxa"/>
      </w:tblCellMar>
    </w:tblPr>
  </w:style>
  <w:style w:type="table" w:customStyle="1" w:styleId="afff">
    <w:basedOn w:val="TableNormal7"/>
    <w:rPr>
      <w:color w:val="7B7B7B"/>
      <w:sz w:val="22"/>
      <w:szCs w:val="22"/>
    </w:rPr>
    <w:tblPr>
      <w:tblStyleRowBandSize w:val="1"/>
      <w:tblStyleColBandSize w:val="1"/>
      <w:tblCellMar>
        <w:left w:w="115" w:type="dxa"/>
        <w:right w:w="115" w:type="dxa"/>
      </w:tblCellMar>
    </w:tblPr>
  </w:style>
  <w:style w:type="table" w:customStyle="1" w:styleId="afff0">
    <w:basedOn w:val="TableNormal7"/>
    <w:rPr>
      <w:color w:val="7B7B7B"/>
      <w:sz w:val="22"/>
      <w:szCs w:val="22"/>
    </w:rPr>
    <w:tblPr>
      <w:tblStyleRowBandSize w:val="1"/>
      <w:tblStyleColBandSize w:val="1"/>
      <w:tblCellMar>
        <w:left w:w="115" w:type="dxa"/>
        <w:right w:w="115" w:type="dxa"/>
      </w:tblCellMar>
    </w:tblPr>
  </w:style>
  <w:style w:type="table" w:customStyle="1" w:styleId="afff1">
    <w:basedOn w:val="TableNormal7"/>
    <w:rPr>
      <w:color w:val="7B7B7B"/>
      <w:sz w:val="22"/>
      <w:szCs w:val="22"/>
    </w:rPr>
    <w:tblPr>
      <w:tblStyleRowBandSize w:val="1"/>
      <w:tblStyleColBandSize w:val="1"/>
      <w:tblCellMar>
        <w:left w:w="115" w:type="dxa"/>
        <w:right w:w="115" w:type="dxa"/>
      </w:tblCellMar>
    </w:tblPr>
  </w:style>
  <w:style w:type="table" w:customStyle="1" w:styleId="afff2">
    <w:basedOn w:val="TableNormal7"/>
    <w:rPr>
      <w:color w:val="7B7B7B"/>
      <w:sz w:val="22"/>
      <w:szCs w:val="22"/>
    </w:rPr>
    <w:tblPr>
      <w:tblStyleRowBandSize w:val="1"/>
      <w:tblStyleColBandSize w:val="1"/>
      <w:tblCellMar>
        <w:left w:w="115" w:type="dxa"/>
        <w:right w:w="115" w:type="dxa"/>
      </w:tblCellMar>
    </w:tblPr>
  </w:style>
  <w:style w:type="table" w:customStyle="1" w:styleId="afff3">
    <w:basedOn w:val="TableNormal7"/>
    <w:rPr>
      <w:color w:val="7B7B7B"/>
      <w:sz w:val="22"/>
      <w:szCs w:val="22"/>
    </w:rPr>
    <w:tblPr>
      <w:tblStyleRowBandSize w:val="1"/>
      <w:tblStyleColBandSize w:val="1"/>
      <w:tblCellMar>
        <w:left w:w="115" w:type="dxa"/>
        <w:right w:w="115" w:type="dxa"/>
      </w:tblCellMar>
    </w:tblPr>
  </w:style>
  <w:style w:type="table" w:customStyle="1" w:styleId="afff4">
    <w:basedOn w:val="TableNormal7"/>
    <w:rPr>
      <w:color w:val="7B7B7B"/>
      <w:sz w:val="22"/>
      <w:szCs w:val="22"/>
    </w:rPr>
    <w:tblPr>
      <w:tblStyleRowBandSize w:val="1"/>
      <w:tblStyleColBandSize w:val="1"/>
      <w:tblCellMar>
        <w:left w:w="115" w:type="dxa"/>
        <w:right w:w="115" w:type="dxa"/>
      </w:tblCellMar>
    </w:tblPr>
  </w:style>
  <w:style w:type="table" w:customStyle="1" w:styleId="afff5">
    <w:basedOn w:val="TableNormal7"/>
    <w:rPr>
      <w:color w:val="7B7B7B"/>
      <w:sz w:val="22"/>
      <w:szCs w:val="22"/>
    </w:rPr>
    <w:tblPr>
      <w:tblStyleRowBandSize w:val="1"/>
      <w:tblStyleColBandSize w:val="1"/>
      <w:tblCellMar>
        <w:left w:w="115" w:type="dxa"/>
        <w:right w:w="115" w:type="dxa"/>
      </w:tblCellMar>
    </w:tblPr>
  </w:style>
  <w:style w:type="table" w:customStyle="1" w:styleId="afff6">
    <w:basedOn w:val="TableNormal6"/>
    <w:tblPr>
      <w:tblStyleRowBandSize w:val="1"/>
      <w:tblStyleColBandSize w:val="1"/>
      <w:tblCellMar>
        <w:left w:w="70" w:type="dxa"/>
        <w:right w:w="70" w:type="dxa"/>
      </w:tblCellMar>
    </w:tblPr>
  </w:style>
  <w:style w:type="table" w:customStyle="1" w:styleId="afff7">
    <w:basedOn w:val="TableNormal6"/>
    <w:rPr>
      <w:color w:val="7B7B7B"/>
      <w:sz w:val="22"/>
      <w:szCs w:val="22"/>
    </w:rPr>
    <w:tblPr>
      <w:tblStyleRowBandSize w:val="1"/>
      <w:tblStyleColBandSize w:val="1"/>
      <w:tblCellMar>
        <w:left w:w="115" w:type="dxa"/>
        <w:right w:w="115" w:type="dxa"/>
      </w:tblCellMar>
    </w:tblPr>
  </w:style>
  <w:style w:type="table" w:customStyle="1" w:styleId="afff8">
    <w:basedOn w:val="TableNormal6"/>
    <w:rPr>
      <w:color w:val="7B7B7B"/>
      <w:sz w:val="22"/>
      <w:szCs w:val="22"/>
    </w:rPr>
    <w:tblPr>
      <w:tblStyleRowBandSize w:val="1"/>
      <w:tblStyleColBandSize w:val="1"/>
      <w:tblCellMar>
        <w:left w:w="115" w:type="dxa"/>
        <w:right w:w="115" w:type="dxa"/>
      </w:tblCellMar>
    </w:tblPr>
  </w:style>
  <w:style w:type="table" w:customStyle="1" w:styleId="afff9">
    <w:basedOn w:val="TableNormal6"/>
    <w:rPr>
      <w:color w:val="7B7B7B"/>
      <w:sz w:val="22"/>
      <w:szCs w:val="22"/>
    </w:rPr>
    <w:tblPr>
      <w:tblStyleRowBandSize w:val="1"/>
      <w:tblStyleColBandSize w:val="1"/>
      <w:tblCellMar>
        <w:left w:w="115" w:type="dxa"/>
        <w:right w:w="115" w:type="dxa"/>
      </w:tblCellMar>
    </w:tblPr>
  </w:style>
  <w:style w:type="table" w:customStyle="1" w:styleId="afffa">
    <w:basedOn w:val="TableNormal6"/>
    <w:rPr>
      <w:color w:val="7B7B7B"/>
      <w:sz w:val="22"/>
      <w:szCs w:val="22"/>
    </w:rPr>
    <w:tblPr>
      <w:tblStyleRowBandSize w:val="1"/>
      <w:tblStyleColBandSize w:val="1"/>
      <w:tblCellMar>
        <w:left w:w="115" w:type="dxa"/>
        <w:right w:w="115" w:type="dxa"/>
      </w:tblCellMar>
    </w:tblPr>
  </w:style>
  <w:style w:type="table" w:customStyle="1" w:styleId="afffb">
    <w:basedOn w:val="TableNormal6"/>
    <w:rPr>
      <w:color w:val="7B7B7B"/>
      <w:sz w:val="22"/>
      <w:szCs w:val="22"/>
    </w:rPr>
    <w:tblPr>
      <w:tblStyleRowBandSize w:val="1"/>
      <w:tblStyleColBandSize w:val="1"/>
      <w:tblCellMar>
        <w:left w:w="115" w:type="dxa"/>
        <w:right w:w="115" w:type="dxa"/>
      </w:tblCellMar>
    </w:tblPr>
  </w:style>
  <w:style w:type="table" w:customStyle="1" w:styleId="afffc">
    <w:basedOn w:val="TableNormal6"/>
    <w:rPr>
      <w:color w:val="7B7B7B"/>
      <w:sz w:val="22"/>
      <w:szCs w:val="22"/>
    </w:rPr>
    <w:tblPr>
      <w:tblStyleRowBandSize w:val="1"/>
      <w:tblStyleColBandSize w:val="1"/>
      <w:tblCellMar>
        <w:left w:w="115" w:type="dxa"/>
        <w:right w:w="115" w:type="dxa"/>
      </w:tblCellMar>
    </w:tblPr>
  </w:style>
  <w:style w:type="table" w:customStyle="1" w:styleId="afffd">
    <w:basedOn w:val="TableNormal6"/>
    <w:rPr>
      <w:color w:val="7B7B7B"/>
      <w:sz w:val="22"/>
      <w:szCs w:val="22"/>
    </w:rPr>
    <w:tblPr>
      <w:tblStyleRowBandSize w:val="1"/>
      <w:tblStyleColBandSize w:val="1"/>
      <w:tblCellMar>
        <w:left w:w="115" w:type="dxa"/>
        <w:right w:w="115" w:type="dxa"/>
      </w:tblCellMar>
    </w:tblPr>
  </w:style>
  <w:style w:type="table" w:customStyle="1" w:styleId="afffe">
    <w:basedOn w:val="TableNormal6"/>
    <w:rPr>
      <w:color w:val="7B7B7B"/>
      <w:sz w:val="22"/>
      <w:szCs w:val="22"/>
    </w:rPr>
    <w:tblPr>
      <w:tblStyleRowBandSize w:val="1"/>
      <w:tblStyleColBandSize w:val="1"/>
      <w:tblCellMar>
        <w:left w:w="115" w:type="dxa"/>
        <w:right w:w="115" w:type="dxa"/>
      </w:tblCellMar>
    </w:tblPr>
  </w:style>
  <w:style w:type="table" w:customStyle="1" w:styleId="affff">
    <w:basedOn w:val="TableNormal6"/>
    <w:rPr>
      <w:color w:val="7B7B7B"/>
      <w:sz w:val="22"/>
      <w:szCs w:val="22"/>
    </w:rPr>
    <w:tblPr>
      <w:tblStyleRowBandSize w:val="1"/>
      <w:tblStyleColBandSize w:val="1"/>
      <w:tblCellMar>
        <w:left w:w="115" w:type="dxa"/>
        <w:right w:w="115" w:type="dxa"/>
      </w:tblCellMar>
    </w:tblPr>
  </w:style>
  <w:style w:type="table" w:customStyle="1" w:styleId="affff0">
    <w:basedOn w:val="TableNormal6"/>
    <w:rPr>
      <w:color w:val="7B7B7B"/>
      <w:sz w:val="22"/>
      <w:szCs w:val="22"/>
    </w:rPr>
    <w:tblPr>
      <w:tblStyleRowBandSize w:val="1"/>
      <w:tblStyleColBandSize w:val="1"/>
      <w:tblCellMar>
        <w:left w:w="115" w:type="dxa"/>
        <w:right w:w="115" w:type="dxa"/>
      </w:tblCellMar>
    </w:tblPr>
  </w:style>
  <w:style w:type="table" w:customStyle="1" w:styleId="affff1">
    <w:basedOn w:val="TableNormal5"/>
    <w:rPr>
      <w:color w:val="7B7B7B"/>
      <w:sz w:val="22"/>
      <w:szCs w:val="22"/>
    </w:rPr>
    <w:tblPr>
      <w:tblStyleRowBandSize w:val="1"/>
      <w:tblStyleColBandSize w:val="1"/>
      <w:tblCellMar>
        <w:left w:w="115" w:type="dxa"/>
        <w:right w:w="115" w:type="dxa"/>
      </w:tblCellMar>
    </w:tblPr>
  </w:style>
  <w:style w:type="table" w:customStyle="1" w:styleId="affff2">
    <w:basedOn w:val="TableNormal5"/>
    <w:rPr>
      <w:color w:val="7B7B7B"/>
      <w:sz w:val="22"/>
      <w:szCs w:val="22"/>
    </w:rPr>
    <w:tblPr>
      <w:tblStyleRowBandSize w:val="1"/>
      <w:tblStyleColBandSize w:val="1"/>
      <w:tblCellMar>
        <w:left w:w="115" w:type="dxa"/>
        <w:right w:w="115" w:type="dxa"/>
      </w:tblCellMar>
    </w:tblPr>
  </w:style>
  <w:style w:type="table" w:customStyle="1" w:styleId="affff3">
    <w:basedOn w:val="TableNormal5"/>
    <w:rPr>
      <w:color w:val="7B7B7B"/>
      <w:sz w:val="22"/>
      <w:szCs w:val="22"/>
    </w:rPr>
    <w:tblPr>
      <w:tblStyleRowBandSize w:val="1"/>
      <w:tblStyleColBandSize w:val="1"/>
      <w:tblCellMar>
        <w:left w:w="115" w:type="dxa"/>
        <w:right w:w="115" w:type="dxa"/>
      </w:tblCellMar>
    </w:tblPr>
  </w:style>
  <w:style w:type="table" w:customStyle="1" w:styleId="affff4">
    <w:basedOn w:val="TableNormal5"/>
    <w:rPr>
      <w:color w:val="7B7B7B"/>
      <w:sz w:val="22"/>
      <w:szCs w:val="22"/>
    </w:rPr>
    <w:tblPr>
      <w:tblStyleRowBandSize w:val="1"/>
      <w:tblStyleColBandSize w:val="1"/>
      <w:tblCellMar>
        <w:left w:w="115" w:type="dxa"/>
        <w:right w:w="115" w:type="dxa"/>
      </w:tblCellMar>
    </w:tblPr>
  </w:style>
  <w:style w:type="table" w:customStyle="1" w:styleId="affff5">
    <w:basedOn w:val="TableNormal5"/>
    <w:rPr>
      <w:color w:val="7B7B7B"/>
      <w:sz w:val="22"/>
      <w:szCs w:val="22"/>
    </w:rPr>
    <w:tblPr>
      <w:tblStyleRowBandSize w:val="1"/>
      <w:tblStyleColBandSize w:val="1"/>
      <w:tblCellMar>
        <w:left w:w="115" w:type="dxa"/>
        <w:right w:w="115" w:type="dxa"/>
      </w:tblCellMar>
    </w:tblPr>
  </w:style>
  <w:style w:type="table" w:customStyle="1" w:styleId="affff6">
    <w:basedOn w:val="TableNormal5"/>
    <w:rPr>
      <w:color w:val="7B7B7B"/>
      <w:sz w:val="22"/>
      <w:szCs w:val="22"/>
    </w:rPr>
    <w:tblPr>
      <w:tblStyleRowBandSize w:val="1"/>
      <w:tblStyleColBandSize w:val="1"/>
      <w:tblCellMar>
        <w:left w:w="115" w:type="dxa"/>
        <w:right w:w="115" w:type="dxa"/>
      </w:tblCellMar>
    </w:tblPr>
  </w:style>
  <w:style w:type="table" w:customStyle="1" w:styleId="affff7">
    <w:basedOn w:val="TableNormal5"/>
    <w:rPr>
      <w:color w:val="7B7B7B"/>
      <w:sz w:val="22"/>
      <w:szCs w:val="22"/>
    </w:rPr>
    <w:tblPr>
      <w:tblStyleRowBandSize w:val="1"/>
      <w:tblStyleColBandSize w:val="1"/>
      <w:tblCellMar>
        <w:left w:w="115" w:type="dxa"/>
        <w:right w:w="115" w:type="dxa"/>
      </w:tblCellMar>
    </w:tblPr>
  </w:style>
  <w:style w:type="table" w:customStyle="1" w:styleId="affff8">
    <w:basedOn w:val="TableNormal5"/>
    <w:rPr>
      <w:color w:val="7B7B7B"/>
      <w:sz w:val="22"/>
      <w:szCs w:val="22"/>
    </w:rPr>
    <w:tblPr>
      <w:tblStyleRowBandSize w:val="1"/>
      <w:tblStyleColBandSize w:val="1"/>
      <w:tblCellMar>
        <w:left w:w="115" w:type="dxa"/>
        <w:right w:w="115" w:type="dxa"/>
      </w:tblCellMar>
    </w:tblPr>
  </w:style>
  <w:style w:type="table" w:customStyle="1" w:styleId="affff9">
    <w:basedOn w:val="TableNormal5"/>
    <w:rPr>
      <w:color w:val="7B7B7B"/>
      <w:sz w:val="22"/>
      <w:szCs w:val="22"/>
    </w:rPr>
    <w:tblPr>
      <w:tblStyleRowBandSize w:val="1"/>
      <w:tblStyleColBandSize w:val="1"/>
      <w:tblCellMar>
        <w:left w:w="115" w:type="dxa"/>
        <w:right w:w="115" w:type="dxa"/>
      </w:tblCellMar>
    </w:tblPr>
  </w:style>
  <w:style w:type="table" w:customStyle="1" w:styleId="affffa">
    <w:basedOn w:val="TableNormal5"/>
    <w:rPr>
      <w:color w:val="7B7B7B"/>
      <w:sz w:val="22"/>
      <w:szCs w:val="22"/>
    </w:rPr>
    <w:tblPr>
      <w:tblStyleRowBandSize w:val="1"/>
      <w:tblStyleColBandSize w:val="1"/>
      <w:tblCellMar>
        <w:left w:w="115" w:type="dxa"/>
        <w:right w:w="115" w:type="dxa"/>
      </w:tblCellMar>
    </w:tblPr>
  </w:style>
  <w:style w:type="table" w:customStyle="1" w:styleId="affffb">
    <w:basedOn w:val="TableNormal5"/>
    <w:rPr>
      <w:color w:val="7B7B7B"/>
      <w:sz w:val="22"/>
      <w:szCs w:val="22"/>
    </w:rPr>
    <w:tblPr>
      <w:tblStyleRowBandSize w:val="1"/>
      <w:tblStyleColBandSize w:val="1"/>
      <w:tblCellMar>
        <w:left w:w="115" w:type="dxa"/>
        <w:right w:w="115" w:type="dxa"/>
      </w:tblCellMar>
    </w:tblPr>
  </w:style>
  <w:style w:type="paragraph" w:customStyle="1" w:styleId="Default">
    <w:name w:val="Default"/>
    <w:rsid w:val="00CE3FEF"/>
    <w:pPr>
      <w:autoSpaceDE w:val="0"/>
      <w:autoSpaceDN w:val="0"/>
      <w:adjustRightInd w:val="0"/>
    </w:pPr>
    <w:rPr>
      <w:rFonts w:ascii="Georgia" w:eastAsiaTheme="minorHAnsi" w:hAnsi="Georgia" w:cs="Georgia"/>
      <w:color w:val="000000"/>
      <w:lang w:val="es-PE" w:eastAsia="en-US"/>
    </w:rPr>
  </w:style>
  <w:style w:type="character" w:customStyle="1" w:styleId="cs4vcb-pgl6qe-ysggef">
    <w:name w:val="cs4vcb-pgl6qe-ysggef"/>
    <w:basedOn w:val="Fuentedeprrafopredeter"/>
    <w:rsid w:val="00CE3FEF"/>
  </w:style>
  <w:style w:type="character" w:styleId="nfasis">
    <w:name w:val="Emphasis"/>
    <w:basedOn w:val="Fuentedeprrafopredeter"/>
    <w:uiPriority w:val="20"/>
    <w:qFormat/>
    <w:rsid w:val="00CE3FEF"/>
    <w:rPr>
      <w:i/>
      <w:iCs/>
    </w:rPr>
  </w:style>
  <w:style w:type="character" w:customStyle="1" w:styleId="A11">
    <w:name w:val="A11"/>
    <w:uiPriority w:val="99"/>
    <w:rsid w:val="00CE3FEF"/>
    <w:rPr>
      <w:color w:val="000000"/>
      <w:sz w:val="16"/>
      <w:szCs w:val="16"/>
    </w:rPr>
  </w:style>
  <w:style w:type="table" w:customStyle="1" w:styleId="affffc">
    <w:basedOn w:val="TableNormal4"/>
    <w:rPr>
      <w:color w:val="7B7B7B"/>
      <w:sz w:val="22"/>
      <w:szCs w:val="22"/>
    </w:rPr>
    <w:tblPr>
      <w:tblStyleRowBandSize w:val="1"/>
      <w:tblStyleColBandSize w:val="1"/>
      <w:tblCellMar>
        <w:left w:w="115" w:type="dxa"/>
        <w:right w:w="115" w:type="dxa"/>
      </w:tblCellMar>
    </w:tblPr>
  </w:style>
  <w:style w:type="table" w:customStyle="1" w:styleId="affffd">
    <w:basedOn w:val="TableNormal4"/>
    <w:rPr>
      <w:color w:val="7B7B7B"/>
      <w:sz w:val="22"/>
      <w:szCs w:val="22"/>
    </w:rPr>
    <w:tblPr>
      <w:tblStyleRowBandSize w:val="1"/>
      <w:tblStyleColBandSize w:val="1"/>
      <w:tblCellMar>
        <w:left w:w="115" w:type="dxa"/>
        <w:right w:w="115" w:type="dxa"/>
      </w:tblCellMar>
    </w:tblPr>
  </w:style>
  <w:style w:type="table" w:customStyle="1" w:styleId="affffe">
    <w:basedOn w:val="TableNormal4"/>
    <w:rPr>
      <w:color w:val="7B7B7B"/>
      <w:sz w:val="22"/>
      <w:szCs w:val="22"/>
    </w:rPr>
    <w:tblPr>
      <w:tblStyleRowBandSize w:val="1"/>
      <w:tblStyleColBandSize w:val="1"/>
      <w:tblCellMar>
        <w:left w:w="115" w:type="dxa"/>
        <w:right w:w="115" w:type="dxa"/>
      </w:tblCellMar>
    </w:tblPr>
  </w:style>
  <w:style w:type="table" w:customStyle="1" w:styleId="afffff">
    <w:basedOn w:val="TableNormal4"/>
    <w:rPr>
      <w:color w:val="7B7B7B"/>
      <w:sz w:val="22"/>
      <w:szCs w:val="22"/>
    </w:rPr>
    <w:tblPr>
      <w:tblStyleRowBandSize w:val="1"/>
      <w:tblStyleColBandSize w:val="1"/>
      <w:tblCellMar>
        <w:left w:w="115" w:type="dxa"/>
        <w:right w:w="115" w:type="dxa"/>
      </w:tblCellMar>
    </w:tblPr>
  </w:style>
  <w:style w:type="table" w:customStyle="1" w:styleId="afffff0">
    <w:basedOn w:val="TableNormal4"/>
    <w:rPr>
      <w:color w:val="7B7B7B"/>
      <w:sz w:val="22"/>
      <w:szCs w:val="22"/>
    </w:rPr>
    <w:tblPr>
      <w:tblStyleRowBandSize w:val="1"/>
      <w:tblStyleColBandSize w:val="1"/>
      <w:tblCellMar>
        <w:left w:w="115" w:type="dxa"/>
        <w:right w:w="115" w:type="dxa"/>
      </w:tblCellMar>
    </w:tblPr>
  </w:style>
  <w:style w:type="table" w:customStyle="1" w:styleId="afffff1">
    <w:basedOn w:val="TableNormal4"/>
    <w:rPr>
      <w:color w:val="7B7B7B"/>
      <w:sz w:val="22"/>
      <w:szCs w:val="22"/>
    </w:rPr>
    <w:tblPr>
      <w:tblStyleRowBandSize w:val="1"/>
      <w:tblStyleColBandSize w:val="1"/>
      <w:tblCellMar>
        <w:left w:w="115" w:type="dxa"/>
        <w:right w:w="115" w:type="dxa"/>
      </w:tblCellMar>
    </w:tblPr>
  </w:style>
  <w:style w:type="table" w:customStyle="1" w:styleId="afffff2">
    <w:basedOn w:val="TableNormal4"/>
    <w:rPr>
      <w:color w:val="7B7B7B"/>
      <w:sz w:val="22"/>
      <w:szCs w:val="22"/>
    </w:rPr>
    <w:tblPr>
      <w:tblStyleRowBandSize w:val="1"/>
      <w:tblStyleColBandSize w:val="1"/>
      <w:tblCellMar>
        <w:left w:w="115" w:type="dxa"/>
        <w:right w:w="115" w:type="dxa"/>
      </w:tblCellMar>
    </w:tblPr>
  </w:style>
  <w:style w:type="table" w:customStyle="1" w:styleId="afffff3">
    <w:basedOn w:val="TableNormal4"/>
    <w:rPr>
      <w:color w:val="7B7B7B"/>
      <w:sz w:val="22"/>
      <w:szCs w:val="22"/>
    </w:rPr>
    <w:tblPr>
      <w:tblStyleRowBandSize w:val="1"/>
      <w:tblStyleColBandSize w:val="1"/>
      <w:tblCellMar>
        <w:left w:w="115" w:type="dxa"/>
        <w:right w:w="115" w:type="dxa"/>
      </w:tblCellMar>
    </w:tblPr>
  </w:style>
  <w:style w:type="table" w:customStyle="1" w:styleId="afffff4">
    <w:basedOn w:val="TableNormal4"/>
    <w:rPr>
      <w:color w:val="7B7B7B"/>
      <w:sz w:val="22"/>
      <w:szCs w:val="22"/>
    </w:rPr>
    <w:tblPr>
      <w:tblStyleRowBandSize w:val="1"/>
      <w:tblStyleColBandSize w:val="1"/>
      <w:tblCellMar>
        <w:left w:w="115" w:type="dxa"/>
        <w:right w:w="115" w:type="dxa"/>
      </w:tblCellMar>
    </w:tblPr>
  </w:style>
  <w:style w:type="table" w:customStyle="1" w:styleId="afffff5">
    <w:basedOn w:val="TableNormal4"/>
    <w:rPr>
      <w:color w:val="7B7B7B"/>
      <w:sz w:val="22"/>
      <w:szCs w:val="22"/>
    </w:rPr>
    <w:tblPr>
      <w:tblStyleRowBandSize w:val="1"/>
      <w:tblStyleColBandSize w:val="1"/>
      <w:tblCellMar>
        <w:left w:w="115" w:type="dxa"/>
        <w:right w:w="115" w:type="dxa"/>
      </w:tblCellMar>
    </w:tblPr>
  </w:style>
  <w:style w:type="table" w:customStyle="1" w:styleId="afffff6">
    <w:basedOn w:val="TableNormal4"/>
    <w:rPr>
      <w:color w:val="7B7B7B"/>
      <w:sz w:val="22"/>
      <w:szCs w:val="22"/>
    </w:rPr>
    <w:tblPr>
      <w:tblStyleRowBandSize w:val="1"/>
      <w:tblStyleColBandSize w:val="1"/>
      <w:tblCellMar>
        <w:left w:w="115" w:type="dxa"/>
        <w:right w:w="115" w:type="dxa"/>
      </w:tblCellMar>
    </w:tblPr>
  </w:style>
  <w:style w:type="table" w:customStyle="1" w:styleId="afffff7">
    <w:basedOn w:val="TableNormal3"/>
    <w:rPr>
      <w:color w:val="7B7B7B"/>
      <w:sz w:val="22"/>
      <w:szCs w:val="22"/>
    </w:rPr>
    <w:tblPr>
      <w:tblStyleRowBandSize w:val="1"/>
      <w:tblStyleColBandSize w:val="1"/>
      <w:tblCellMar>
        <w:left w:w="115" w:type="dxa"/>
        <w:right w:w="115" w:type="dxa"/>
      </w:tblCellMar>
    </w:tblPr>
  </w:style>
  <w:style w:type="table" w:customStyle="1" w:styleId="afffff8">
    <w:basedOn w:val="TableNormal3"/>
    <w:rPr>
      <w:color w:val="7B7B7B"/>
      <w:sz w:val="22"/>
      <w:szCs w:val="22"/>
    </w:rPr>
    <w:tblPr>
      <w:tblStyleRowBandSize w:val="1"/>
      <w:tblStyleColBandSize w:val="1"/>
      <w:tblCellMar>
        <w:left w:w="115" w:type="dxa"/>
        <w:right w:w="115" w:type="dxa"/>
      </w:tblCellMar>
    </w:tblPr>
  </w:style>
  <w:style w:type="table" w:customStyle="1" w:styleId="afffff9">
    <w:basedOn w:val="TableNormal3"/>
    <w:rPr>
      <w:color w:val="7B7B7B"/>
      <w:sz w:val="22"/>
      <w:szCs w:val="22"/>
    </w:rPr>
    <w:tblPr>
      <w:tblStyleRowBandSize w:val="1"/>
      <w:tblStyleColBandSize w:val="1"/>
      <w:tblCellMar>
        <w:left w:w="115" w:type="dxa"/>
        <w:right w:w="115" w:type="dxa"/>
      </w:tblCellMar>
    </w:tblPr>
  </w:style>
  <w:style w:type="table" w:customStyle="1" w:styleId="afffffa">
    <w:basedOn w:val="TableNormal3"/>
    <w:rPr>
      <w:color w:val="7B7B7B"/>
      <w:sz w:val="22"/>
      <w:szCs w:val="22"/>
    </w:rPr>
    <w:tblPr>
      <w:tblStyleRowBandSize w:val="1"/>
      <w:tblStyleColBandSize w:val="1"/>
      <w:tblCellMar>
        <w:left w:w="115" w:type="dxa"/>
        <w:right w:w="115" w:type="dxa"/>
      </w:tblCellMar>
    </w:tblPr>
  </w:style>
  <w:style w:type="table" w:customStyle="1" w:styleId="afffffb">
    <w:basedOn w:val="TableNormal3"/>
    <w:rPr>
      <w:color w:val="7B7B7B"/>
      <w:sz w:val="22"/>
      <w:szCs w:val="22"/>
    </w:rPr>
    <w:tblPr>
      <w:tblStyleRowBandSize w:val="1"/>
      <w:tblStyleColBandSize w:val="1"/>
      <w:tblCellMar>
        <w:left w:w="115" w:type="dxa"/>
        <w:right w:w="115" w:type="dxa"/>
      </w:tblCellMar>
    </w:tblPr>
  </w:style>
  <w:style w:type="table" w:customStyle="1" w:styleId="afffffc">
    <w:basedOn w:val="TableNormal3"/>
    <w:rPr>
      <w:color w:val="7B7B7B"/>
      <w:sz w:val="22"/>
      <w:szCs w:val="22"/>
    </w:rPr>
    <w:tblPr>
      <w:tblStyleRowBandSize w:val="1"/>
      <w:tblStyleColBandSize w:val="1"/>
      <w:tblCellMar>
        <w:left w:w="115" w:type="dxa"/>
        <w:right w:w="115" w:type="dxa"/>
      </w:tblCellMar>
    </w:tblPr>
  </w:style>
  <w:style w:type="table" w:customStyle="1" w:styleId="afffffd">
    <w:basedOn w:val="TableNormal3"/>
    <w:rPr>
      <w:color w:val="7B7B7B"/>
      <w:sz w:val="22"/>
      <w:szCs w:val="22"/>
    </w:rPr>
    <w:tblPr>
      <w:tblStyleRowBandSize w:val="1"/>
      <w:tblStyleColBandSize w:val="1"/>
      <w:tblCellMar>
        <w:left w:w="115" w:type="dxa"/>
        <w:right w:w="115" w:type="dxa"/>
      </w:tblCellMar>
    </w:tblPr>
  </w:style>
  <w:style w:type="table" w:customStyle="1" w:styleId="afffffe">
    <w:basedOn w:val="TableNormal3"/>
    <w:rPr>
      <w:color w:val="7B7B7B"/>
      <w:sz w:val="22"/>
      <w:szCs w:val="22"/>
    </w:rPr>
    <w:tblPr>
      <w:tblStyleRowBandSize w:val="1"/>
      <w:tblStyleColBandSize w:val="1"/>
      <w:tblCellMar>
        <w:left w:w="115" w:type="dxa"/>
        <w:right w:w="115" w:type="dxa"/>
      </w:tblCellMar>
    </w:tblPr>
  </w:style>
  <w:style w:type="table" w:customStyle="1" w:styleId="affffff">
    <w:basedOn w:val="TableNormal3"/>
    <w:rPr>
      <w:color w:val="7B7B7B"/>
      <w:sz w:val="22"/>
      <w:szCs w:val="22"/>
    </w:rPr>
    <w:tblPr>
      <w:tblStyleRowBandSize w:val="1"/>
      <w:tblStyleColBandSize w:val="1"/>
      <w:tblCellMar>
        <w:left w:w="115" w:type="dxa"/>
        <w:right w:w="115" w:type="dxa"/>
      </w:tblCellMar>
    </w:tblPr>
  </w:style>
  <w:style w:type="table" w:customStyle="1" w:styleId="affffff0">
    <w:basedOn w:val="TableNormal3"/>
    <w:rPr>
      <w:color w:val="7B7B7B"/>
      <w:sz w:val="22"/>
      <w:szCs w:val="22"/>
    </w:rPr>
    <w:tblPr>
      <w:tblStyleRowBandSize w:val="1"/>
      <w:tblStyleColBandSize w:val="1"/>
      <w:tblCellMar>
        <w:left w:w="115" w:type="dxa"/>
        <w:right w:w="115" w:type="dxa"/>
      </w:tblCellMar>
    </w:tblPr>
  </w:style>
  <w:style w:type="table" w:customStyle="1" w:styleId="affffff1">
    <w:basedOn w:val="TableNormal3"/>
    <w:rPr>
      <w:color w:val="7B7B7B"/>
      <w:sz w:val="22"/>
      <w:szCs w:val="22"/>
    </w:rPr>
    <w:tblPr>
      <w:tblStyleRowBandSize w:val="1"/>
      <w:tblStyleColBandSize w:val="1"/>
      <w:tblCellMar>
        <w:left w:w="115" w:type="dxa"/>
        <w:right w:w="115" w:type="dxa"/>
      </w:tblCellMar>
    </w:tblPr>
  </w:style>
  <w:style w:type="table" w:customStyle="1" w:styleId="affffff2">
    <w:basedOn w:val="TableNormal2"/>
    <w:rPr>
      <w:color w:val="7B7B7B"/>
      <w:sz w:val="22"/>
      <w:szCs w:val="22"/>
    </w:rPr>
    <w:tblPr>
      <w:tblStyleRowBandSize w:val="1"/>
      <w:tblStyleColBandSize w:val="1"/>
      <w:tblCellMar>
        <w:left w:w="115" w:type="dxa"/>
        <w:right w:w="115" w:type="dxa"/>
      </w:tblCellMar>
    </w:tblPr>
  </w:style>
  <w:style w:type="table" w:customStyle="1" w:styleId="affffff3">
    <w:basedOn w:val="TableNormal2"/>
    <w:rPr>
      <w:color w:val="7B7B7B"/>
      <w:sz w:val="22"/>
      <w:szCs w:val="22"/>
    </w:rPr>
    <w:tblPr>
      <w:tblStyleRowBandSize w:val="1"/>
      <w:tblStyleColBandSize w:val="1"/>
      <w:tblCellMar>
        <w:left w:w="115" w:type="dxa"/>
        <w:right w:w="115" w:type="dxa"/>
      </w:tblCellMar>
    </w:tblPr>
  </w:style>
  <w:style w:type="table" w:customStyle="1" w:styleId="affffff4">
    <w:basedOn w:val="TableNormal2"/>
    <w:rPr>
      <w:color w:val="7B7B7B"/>
      <w:sz w:val="22"/>
      <w:szCs w:val="22"/>
    </w:rPr>
    <w:tblPr>
      <w:tblStyleRowBandSize w:val="1"/>
      <w:tblStyleColBandSize w:val="1"/>
      <w:tblCellMar>
        <w:left w:w="115" w:type="dxa"/>
        <w:right w:w="115" w:type="dxa"/>
      </w:tblCellMar>
    </w:tblPr>
  </w:style>
  <w:style w:type="table" w:customStyle="1" w:styleId="affffff5">
    <w:basedOn w:val="TableNormal2"/>
    <w:rPr>
      <w:color w:val="7B7B7B"/>
      <w:sz w:val="22"/>
      <w:szCs w:val="22"/>
    </w:rPr>
    <w:tblPr>
      <w:tblStyleRowBandSize w:val="1"/>
      <w:tblStyleColBandSize w:val="1"/>
      <w:tblCellMar>
        <w:left w:w="115" w:type="dxa"/>
        <w:right w:w="115" w:type="dxa"/>
      </w:tblCellMar>
    </w:tblPr>
  </w:style>
  <w:style w:type="table" w:customStyle="1" w:styleId="affffff6">
    <w:basedOn w:val="TableNormal2"/>
    <w:rPr>
      <w:color w:val="7B7B7B"/>
      <w:sz w:val="22"/>
      <w:szCs w:val="22"/>
    </w:rPr>
    <w:tblPr>
      <w:tblStyleRowBandSize w:val="1"/>
      <w:tblStyleColBandSize w:val="1"/>
      <w:tblCellMar>
        <w:left w:w="115" w:type="dxa"/>
        <w:right w:w="115" w:type="dxa"/>
      </w:tblCellMar>
    </w:tblPr>
  </w:style>
  <w:style w:type="table" w:customStyle="1" w:styleId="affffff7">
    <w:basedOn w:val="TableNormal2"/>
    <w:rPr>
      <w:color w:val="7B7B7B"/>
      <w:sz w:val="22"/>
      <w:szCs w:val="22"/>
    </w:rPr>
    <w:tblPr>
      <w:tblStyleRowBandSize w:val="1"/>
      <w:tblStyleColBandSize w:val="1"/>
      <w:tblCellMar>
        <w:left w:w="115" w:type="dxa"/>
        <w:right w:w="115" w:type="dxa"/>
      </w:tblCellMar>
    </w:tblPr>
  </w:style>
  <w:style w:type="table" w:customStyle="1" w:styleId="affffff8">
    <w:basedOn w:val="TableNormal2"/>
    <w:rPr>
      <w:color w:val="7B7B7B"/>
      <w:sz w:val="22"/>
      <w:szCs w:val="22"/>
    </w:rPr>
    <w:tblPr>
      <w:tblStyleRowBandSize w:val="1"/>
      <w:tblStyleColBandSize w:val="1"/>
      <w:tblCellMar>
        <w:left w:w="115" w:type="dxa"/>
        <w:right w:w="115" w:type="dxa"/>
      </w:tblCellMar>
    </w:tblPr>
  </w:style>
  <w:style w:type="table" w:customStyle="1" w:styleId="affffff9">
    <w:basedOn w:val="TableNormal2"/>
    <w:rPr>
      <w:color w:val="7B7B7B"/>
      <w:sz w:val="22"/>
      <w:szCs w:val="22"/>
    </w:rPr>
    <w:tblPr>
      <w:tblStyleRowBandSize w:val="1"/>
      <w:tblStyleColBandSize w:val="1"/>
      <w:tblCellMar>
        <w:left w:w="115" w:type="dxa"/>
        <w:right w:w="115" w:type="dxa"/>
      </w:tblCellMar>
    </w:tblPr>
  </w:style>
  <w:style w:type="table" w:customStyle="1" w:styleId="affffffa">
    <w:basedOn w:val="TableNormal2"/>
    <w:rPr>
      <w:color w:val="7B7B7B"/>
      <w:sz w:val="22"/>
      <w:szCs w:val="22"/>
    </w:rPr>
    <w:tblPr>
      <w:tblStyleRowBandSize w:val="1"/>
      <w:tblStyleColBandSize w:val="1"/>
      <w:tblCellMar>
        <w:left w:w="115" w:type="dxa"/>
        <w:right w:w="115" w:type="dxa"/>
      </w:tblCellMar>
    </w:tblPr>
  </w:style>
  <w:style w:type="table" w:customStyle="1" w:styleId="affffffb">
    <w:basedOn w:val="TableNormal2"/>
    <w:rPr>
      <w:color w:val="7B7B7B"/>
      <w:sz w:val="22"/>
      <w:szCs w:val="22"/>
    </w:rPr>
    <w:tblPr>
      <w:tblStyleRowBandSize w:val="1"/>
      <w:tblStyleColBandSize w:val="1"/>
      <w:tblCellMar>
        <w:left w:w="115" w:type="dxa"/>
        <w:right w:w="115" w:type="dxa"/>
      </w:tblCellMar>
    </w:tblPr>
  </w:style>
  <w:style w:type="table" w:customStyle="1" w:styleId="affffffc">
    <w:basedOn w:val="TableNormal2"/>
    <w:rPr>
      <w:color w:val="7B7B7B"/>
      <w:sz w:val="22"/>
      <w:szCs w:val="22"/>
    </w:rPr>
    <w:tblPr>
      <w:tblStyleRowBandSize w:val="1"/>
      <w:tblStyleColBandSize w:val="1"/>
      <w:tblCellMar>
        <w:left w:w="115" w:type="dxa"/>
        <w:right w:w="115" w:type="dxa"/>
      </w:tblCellMar>
    </w:tblPr>
  </w:style>
  <w:style w:type="table" w:customStyle="1" w:styleId="affffffd">
    <w:basedOn w:val="TableNormal1"/>
    <w:rPr>
      <w:color w:val="7B7B7B"/>
      <w:sz w:val="22"/>
      <w:szCs w:val="22"/>
    </w:rPr>
    <w:tblPr>
      <w:tblStyleRowBandSize w:val="1"/>
      <w:tblStyleColBandSize w:val="1"/>
      <w:tblCellMar>
        <w:left w:w="115" w:type="dxa"/>
        <w:right w:w="115" w:type="dxa"/>
      </w:tblCellMar>
    </w:tblPr>
  </w:style>
  <w:style w:type="table" w:customStyle="1" w:styleId="affffffe">
    <w:basedOn w:val="TableNormal1"/>
    <w:rPr>
      <w:color w:val="7B7B7B"/>
      <w:sz w:val="22"/>
      <w:szCs w:val="22"/>
    </w:rPr>
    <w:tblPr>
      <w:tblStyleRowBandSize w:val="1"/>
      <w:tblStyleColBandSize w:val="1"/>
      <w:tblCellMar>
        <w:left w:w="115" w:type="dxa"/>
        <w:right w:w="115" w:type="dxa"/>
      </w:tblCellMar>
    </w:tblPr>
  </w:style>
  <w:style w:type="table" w:customStyle="1" w:styleId="afffffff">
    <w:basedOn w:val="TableNormal1"/>
    <w:rPr>
      <w:color w:val="7B7B7B"/>
      <w:sz w:val="22"/>
      <w:szCs w:val="22"/>
    </w:rPr>
    <w:tblPr>
      <w:tblStyleRowBandSize w:val="1"/>
      <w:tblStyleColBandSize w:val="1"/>
      <w:tblCellMar>
        <w:left w:w="115" w:type="dxa"/>
        <w:right w:w="115" w:type="dxa"/>
      </w:tblCellMar>
    </w:tblPr>
  </w:style>
  <w:style w:type="table" w:customStyle="1" w:styleId="afffffff0">
    <w:basedOn w:val="TableNormal1"/>
    <w:rPr>
      <w:color w:val="7B7B7B"/>
      <w:sz w:val="22"/>
      <w:szCs w:val="22"/>
    </w:rPr>
    <w:tblPr>
      <w:tblStyleRowBandSize w:val="1"/>
      <w:tblStyleColBandSize w:val="1"/>
      <w:tblCellMar>
        <w:left w:w="115" w:type="dxa"/>
        <w:right w:w="115" w:type="dxa"/>
      </w:tblCellMar>
    </w:tblPr>
  </w:style>
  <w:style w:type="table" w:customStyle="1" w:styleId="afffffff1">
    <w:basedOn w:val="TableNormal1"/>
    <w:rPr>
      <w:color w:val="7B7B7B"/>
      <w:sz w:val="22"/>
      <w:szCs w:val="22"/>
    </w:rPr>
    <w:tblPr>
      <w:tblStyleRowBandSize w:val="1"/>
      <w:tblStyleColBandSize w:val="1"/>
      <w:tblCellMar>
        <w:left w:w="115" w:type="dxa"/>
        <w:right w:w="115" w:type="dxa"/>
      </w:tblCellMar>
    </w:tblPr>
  </w:style>
  <w:style w:type="table" w:customStyle="1" w:styleId="afffffff2">
    <w:basedOn w:val="TableNormal1"/>
    <w:rPr>
      <w:color w:val="7B7B7B"/>
      <w:sz w:val="22"/>
      <w:szCs w:val="22"/>
    </w:rPr>
    <w:tblPr>
      <w:tblStyleRowBandSize w:val="1"/>
      <w:tblStyleColBandSize w:val="1"/>
      <w:tblCellMar>
        <w:left w:w="115" w:type="dxa"/>
        <w:right w:w="115" w:type="dxa"/>
      </w:tblCellMar>
    </w:tblPr>
  </w:style>
  <w:style w:type="table" w:customStyle="1" w:styleId="afffffff3">
    <w:basedOn w:val="TableNormal1"/>
    <w:rPr>
      <w:color w:val="7B7B7B"/>
      <w:sz w:val="22"/>
      <w:szCs w:val="22"/>
    </w:rPr>
    <w:tblPr>
      <w:tblStyleRowBandSize w:val="1"/>
      <w:tblStyleColBandSize w:val="1"/>
      <w:tblCellMar>
        <w:left w:w="115" w:type="dxa"/>
        <w:right w:w="115" w:type="dxa"/>
      </w:tblCellMar>
    </w:tblPr>
  </w:style>
  <w:style w:type="table" w:customStyle="1" w:styleId="afffffff4">
    <w:basedOn w:val="TableNormal1"/>
    <w:rPr>
      <w:color w:val="7B7B7B"/>
      <w:sz w:val="22"/>
      <w:szCs w:val="22"/>
    </w:rPr>
    <w:tblPr>
      <w:tblStyleRowBandSize w:val="1"/>
      <w:tblStyleColBandSize w:val="1"/>
      <w:tblCellMar>
        <w:left w:w="115" w:type="dxa"/>
        <w:right w:w="115" w:type="dxa"/>
      </w:tblCellMar>
    </w:tblPr>
  </w:style>
  <w:style w:type="table" w:customStyle="1" w:styleId="afffffff5">
    <w:basedOn w:val="TableNormal1"/>
    <w:rPr>
      <w:color w:val="7B7B7B"/>
      <w:sz w:val="22"/>
      <w:szCs w:val="22"/>
    </w:rPr>
    <w:tblPr>
      <w:tblStyleRowBandSize w:val="1"/>
      <w:tblStyleColBandSize w:val="1"/>
      <w:tblCellMar>
        <w:left w:w="115" w:type="dxa"/>
        <w:right w:w="115" w:type="dxa"/>
      </w:tblCellMar>
    </w:tblPr>
  </w:style>
  <w:style w:type="table" w:customStyle="1" w:styleId="afffffff6">
    <w:basedOn w:val="TableNormal1"/>
    <w:rPr>
      <w:color w:val="7B7B7B"/>
      <w:sz w:val="22"/>
      <w:szCs w:val="22"/>
    </w:rPr>
    <w:tblPr>
      <w:tblStyleRowBandSize w:val="1"/>
      <w:tblStyleColBandSize w:val="1"/>
      <w:tblCellMar>
        <w:left w:w="115" w:type="dxa"/>
        <w:right w:w="115" w:type="dxa"/>
      </w:tblCellMar>
    </w:tblPr>
  </w:style>
  <w:style w:type="table" w:customStyle="1" w:styleId="afffffff7">
    <w:basedOn w:val="TableNormal1"/>
    <w:rPr>
      <w:color w:val="7B7B7B"/>
      <w:sz w:val="22"/>
      <w:szCs w:val="22"/>
    </w:rPr>
    <w:tblPr>
      <w:tblStyleRowBandSize w:val="1"/>
      <w:tblStyleColBandSize w:val="1"/>
      <w:tblCellMar>
        <w:left w:w="115" w:type="dxa"/>
        <w:right w:w="115" w:type="dxa"/>
      </w:tblCellMar>
    </w:tblPr>
  </w:style>
  <w:style w:type="table" w:customStyle="1" w:styleId="afffffff8">
    <w:basedOn w:val="TableNormal0"/>
    <w:rPr>
      <w:color w:val="7B7B7B"/>
      <w:sz w:val="22"/>
      <w:szCs w:val="22"/>
    </w:rPr>
    <w:tblPr>
      <w:tblStyleRowBandSize w:val="1"/>
      <w:tblStyleColBandSize w:val="1"/>
      <w:tblCellMar>
        <w:left w:w="115" w:type="dxa"/>
        <w:right w:w="115" w:type="dxa"/>
      </w:tblCellMar>
    </w:tblPr>
  </w:style>
  <w:style w:type="table" w:customStyle="1" w:styleId="afffffff9">
    <w:basedOn w:val="TableNormal0"/>
    <w:rPr>
      <w:color w:val="7B7B7B"/>
      <w:sz w:val="22"/>
      <w:szCs w:val="22"/>
    </w:rPr>
    <w:tblPr>
      <w:tblStyleRowBandSize w:val="1"/>
      <w:tblStyleColBandSize w:val="1"/>
      <w:tblCellMar>
        <w:left w:w="115" w:type="dxa"/>
        <w:right w:w="115" w:type="dxa"/>
      </w:tblCellMar>
    </w:tblPr>
  </w:style>
  <w:style w:type="table" w:customStyle="1" w:styleId="afffffffa">
    <w:basedOn w:val="TableNormal0"/>
    <w:rPr>
      <w:color w:val="7B7B7B"/>
      <w:sz w:val="22"/>
      <w:szCs w:val="22"/>
    </w:rPr>
    <w:tblPr>
      <w:tblStyleRowBandSize w:val="1"/>
      <w:tblStyleColBandSize w:val="1"/>
      <w:tblCellMar>
        <w:left w:w="115" w:type="dxa"/>
        <w:right w:w="115" w:type="dxa"/>
      </w:tblCellMar>
    </w:tblPr>
  </w:style>
  <w:style w:type="table" w:customStyle="1" w:styleId="afffffffb">
    <w:basedOn w:val="TableNormal0"/>
    <w:rPr>
      <w:color w:val="7B7B7B"/>
      <w:sz w:val="22"/>
      <w:szCs w:val="22"/>
    </w:rPr>
    <w:tblPr>
      <w:tblStyleRowBandSize w:val="1"/>
      <w:tblStyleColBandSize w:val="1"/>
      <w:tblCellMar>
        <w:left w:w="115" w:type="dxa"/>
        <w:right w:w="115" w:type="dxa"/>
      </w:tblCellMar>
    </w:tblPr>
  </w:style>
  <w:style w:type="table" w:customStyle="1" w:styleId="afffffffc">
    <w:basedOn w:val="TableNormal0"/>
    <w:rPr>
      <w:color w:val="7B7B7B"/>
      <w:sz w:val="22"/>
      <w:szCs w:val="22"/>
    </w:rPr>
    <w:tblPr>
      <w:tblStyleRowBandSize w:val="1"/>
      <w:tblStyleColBandSize w:val="1"/>
      <w:tblCellMar>
        <w:left w:w="115" w:type="dxa"/>
        <w:right w:w="115" w:type="dxa"/>
      </w:tblCellMar>
    </w:tblPr>
  </w:style>
  <w:style w:type="table" w:customStyle="1" w:styleId="afffffffd">
    <w:basedOn w:val="TableNormal0"/>
    <w:rPr>
      <w:color w:val="7B7B7B"/>
      <w:sz w:val="22"/>
      <w:szCs w:val="22"/>
    </w:rPr>
    <w:tblPr>
      <w:tblStyleRowBandSize w:val="1"/>
      <w:tblStyleColBandSize w:val="1"/>
      <w:tblCellMar>
        <w:left w:w="115" w:type="dxa"/>
        <w:right w:w="115" w:type="dxa"/>
      </w:tblCellMar>
    </w:tblPr>
  </w:style>
  <w:style w:type="table" w:customStyle="1" w:styleId="afffffffe">
    <w:basedOn w:val="TableNormal0"/>
    <w:rPr>
      <w:color w:val="7B7B7B"/>
      <w:sz w:val="22"/>
      <w:szCs w:val="22"/>
    </w:rPr>
    <w:tblPr>
      <w:tblStyleRowBandSize w:val="1"/>
      <w:tblStyleColBandSize w:val="1"/>
      <w:tblCellMar>
        <w:left w:w="115" w:type="dxa"/>
        <w:right w:w="115" w:type="dxa"/>
      </w:tblCellMar>
    </w:tblPr>
  </w:style>
  <w:style w:type="table" w:customStyle="1" w:styleId="affffffff">
    <w:basedOn w:val="TableNormal0"/>
    <w:rPr>
      <w:color w:val="7B7B7B"/>
      <w:sz w:val="22"/>
      <w:szCs w:val="22"/>
    </w:rPr>
    <w:tblPr>
      <w:tblStyleRowBandSize w:val="1"/>
      <w:tblStyleColBandSize w:val="1"/>
      <w:tblCellMar>
        <w:left w:w="115" w:type="dxa"/>
        <w:right w:w="115" w:type="dxa"/>
      </w:tblCellMar>
    </w:tblPr>
  </w:style>
  <w:style w:type="table" w:customStyle="1" w:styleId="affffffff0">
    <w:basedOn w:val="TableNormal0"/>
    <w:rPr>
      <w:color w:val="7B7B7B"/>
      <w:sz w:val="22"/>
      <w:szCs w:val="22"/>
    </w:rPr>
    <w:tblPr>
      <w:tblStyleRowBandSize w:val="1"/>
      <w:tblStyleColBandSize w:val="1"/>
      <w:tblCellMar>
        <w:left w:w="115" w:type="dxa"/>
        <w:right w:w="115" w:type="dxa"/>
      </w:tblCellMar>
    </w:tblPr>
  </w:style>
  <w:style w:type="table" w:customStyle="1" w:styleId="affffffff1">
    <w:basedOn w:val="TableNormal0"/>
    <w:rPr>
      <w:color w:val="7B7B7B"/>
      <w:sz w:val="22"/>
      <w:szCs w:val="22"/>
    </w:rPr>
    <w:tblPr>
      <w:tblStyleRowBandSize w:val="1"/>
      <w:tblStyleColBandSize w:val="1"/>
      <w:tblCellMar>
        <w:left w:w="115" w:type="dxa"/>
        <w:right w:w="115" w:type="dxa"/>
      </w:tblCellMar>
    </w:tblPr>
  </w:style>
  <w:style w:type="table" w:customStyle="1" w:styleId="affffffff2">
    <w:basedOn w:val="TableNormal0"/>
    <w:rPr>
      <w:color w:val="7B7B7B"/>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chart" Target="charts/chart4.xml"/><Relationship Id="rId26" Type="http://schemas.openxmlformats.org/officeDocument/2006/relationships/hyperlink" Target="https://doi.org/10.1007/s11192-015-1787-z" TargetMode="External"/><Relationship Id="rId39" Type="http://schemas.openxmlformats.org/officeDocument/2006/relationships/hyperlink" Target="https://doi.org/10.1016/j.ibbai.2016.04.017" TargetMode="External"/><Relationship Id="rId21" Type="http://schemas.openxmlformats.org/officeDocument/2006/relationships/hyperlink" Target="https://doi.org/10.15381/anales.v20i1.9759" TargetMode="External"/><Relationship Id="rId34" Type="http://schemas.openxmlformats.org/officeDocument/2006/relationships/hyperlink" Target="https://doi.org/10.1007/978-3-319-09785-5_8" TargetMode="External"/><Relationship Id="rId42" Type="http://schemas.openxmlformats.org/officeDocument/2006/relationships/hyperlink" Target="http://dx.doi.org/10.4067/S0718-48082017000100008" TargetMode="External"/><Relationship Id="rId47" Type="http://schemas.openxmlformats.org/officeDocument/2006/relationships/hyperlink" Target="http://dx.doi.org/10.5354/0719-0581.2019.52315" TargetMode="External"/><Relationship Id="rId50" Type="http://schemas.openxmlformats.org/officeDocument/2006/relationships/hyperlink" Target="https://doi.org/10.11144/Javeriana.upsy20.irpc"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2.xml"/><Relationship Id="rId29" Type="http://schemas.openxmlformats.org/officeDocument/2006/relationships/hyperlink" Target="https://doi.org/10.15381/anales.v3i0.10658" TargetMode="External"/><Relationship Id="rId11" Type="http://schemas.openxmlformats.org/officeDocument/2006/relationships/header" Target="header1.xml"/><Relationship Id="rId24" Type="http://schemas.openxmlformats.org/officeDocument/2006/relationships/hyperlink" Target="https://doi.org/10.15381/anales.v6i0.10631" TargetMode="External"/><Relationship Id="rId32" Type="http://schemas.openxmlformats.org/officeDocument/2006/relationships/hyperlink" Target="https://psycnet.apa.org/doi/10.16888/interd.2020.37.2.6" TargetMode="External"/><Relationship Id="rId37" Type="http://schemas.openxmlformats.org/officeDocument/2006/relationships/hyperlink" Target="https://doi.org/10.24241/NotesInt.2023/287/es" TargetMode="External"/><Relationship Id="rId40" Type="http://schemas.openxmlformats.org/officeDocument/2006/relationships/hyperlink" Target="http://dx.doi.org/10.5195/biblios.2016.32029" TargetMode="External"/><Relationship Id="rId45" Type="http://schemas.openxmlformats.org/officeDocument/2006/relationships/hyperlink" Target="https://doi.org/10.37840/ragn.v34i1.89"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19" Type="http://schemas.openxmlformats.org/officeDocument/2006/relationships/chart" Target="charts/chart5.xml"/><Relationship Id="rId31" Type="http://schemas.openxmlformats.org/officeDocument/2006/relationships/hyperlink" Target="https://doi.org/10.11144/Javeriana.upsy18-2.asbc" TargetMode="External"/><Relationship Id="rId44" Type="http://schemas.openxmlformats.org/officeDocument/2006/relationships/hyperlink" Target="http://dx.doi.org/10.13140/2.1.2093.4081" TargetMode="External"/><Relationship Id="rId52" Type="http://schemas.openxmlformats.org/officeDocument/2006/relationships/hyperlink" Target="http://dx.doi.org/10.24205/03276716.2018.1076"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doi.org/10.21500/22563202.3130" TargetMode="External"/><Relationship Id="rId27" Type="http://schemas.openxmlformats.org/officeDocument/2006/relationships/hyperlink" Target="https://doi.org/10.15381/anales.v1i0.10694" TargetMode="External"/><Relationship Id="rId30" Type="http://schemas.openxmlformats.org/officeDocument/2006/relationships/hyperlink" Target="https://doi.org/10.15381/anales.v22i1.9737" TargetMode="External"/><Relationship Id="rId35" Type="http://schemas.openxmlformats.org/officeDocument/2006/relationships/hyperlink" Target="https://doi.org/10.55611/reps.3301.06" TargetMode="External"/><Relationship Id="rId43" Type="http://schemas.openxmlformats.org/officeDocument/2006/relationships/hyperlink" Target="https://doi.org/10.30920/letras.5.12.4" TargetMode="External"/><Relationship Id="rId48" Type="http://schemas.openxmlformats.org/officeDocument/2006/relationships/hyperlink" Target="https://dx.doi.org/10.6018/analesps.35.2.332171" TargetMode="External"/><Relationship Id="rId8" Type="http://schemas.openxmlformats.org/officeDocument/2006/relationships/image" Target="media/image3.png"/><Relationship Id="rId51" Type="http://schemas.openxmlformats.org/officeDocument/2006/relationships/hyperlink" Target="https://doi.org/10.1007/s11192-023-04723-4"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chart" Target="charts/chart3.xml"/><Relationship Id="rId25" Type="http://schemas.openxmlformats.org/officeDocument/2006/relationships/hyperlink" Target="https://doi.org/10.21678/apuntes.18.229" TargetMode="External"/><Relationship Id="rId33" Type="http://schemas.openxmlformats.org/officeDocument/2006/relationships/hyperlink" Target="about:blank" TargetMode="External"/><Relationship Id="rId38" Type="http://schemas.openxmlformats.org/officeDocument/2006/relationships/hyperlink" Target="https://doi.org/10.1007/978-981-99-0942-1_137" TargetMode="External"/><Relationship Id="rId46" Type="http://schemas.openxmlformats.org/officeDocument/2006/relationships/hyperlink" Target="https://doi.org/10.3989/redc.2017.3.1419" TargetMode="External"/><Relationship Id="rId20" Type="http://schemas.openxmlformats.org/officeDocument/2006/relationships/hyperlink" Target="https://doi.org/10.30920/letras.4.9.3" TargetMode="External"/><Relationship Id="rId41" Type="http://schemas.openxmlformats.org/officeDocument/2006/relationships/hyperlink" Target="https://doi.org/10.21500/22563202.272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doi.org/10.5281/zenodo.5814056" TargetMode="External"/><Relationship Id="rId28" Type="http://schemas.openxmlformats.org/officeDocument/2006/relationships/hyperlink" Target="https://doi.org/10.30920/letras.8.21.2" TargetMode="External"/><Relationship Id="rId36" Type="http://schemas.openxmlformats.org/officeDocument/2006/relationships/hyperlink" Target="https://doi.org/10.3989/redc.2007.v30.i4.403" TargetMode="External"/><Relationship Id="rId49" Type="http://schemas.openxmlformats.org/officeDocument/2006/relationships/hyperlink" Target="https://doi.org/10.15381/anales.v1i0.1069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3" Type="http://schemas.openxmlformats.org/officeDocument/2006/relationships/oleObject" Target="file:///G:\Mi%20unidad\1.%20DOCTORADO%20U%20CHILE%202023\1%20CICLO%202023-1\TUTORIA%20EL%20CAMPO%20DE%20LA%20INVESTIGACION\1.%20SOBRE%20REVISTAS%20PERUANAS%20DE%20PS\1.PARA%20REDACTAR%20ARTICULO\BASE%20DE%20DATOS%20-%20COMPLETO%201-version%20final-resultados-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G:\Mi%20unidad\1.%20DOCTORADO%20U%20CHILE%202023\1%20CICLO%202023-1\TUTORIA%20EL%20CAMPO%20DE%20LA%20INVESTIGACION\1.%20SOBRE%20REVISTAS%20PERUANAS%20DE%20PS\1.PARA%20REDACTAR%20ARTICULO\BASE%20DE%20DATOS%20-%20COMPLETO%201-version%20final-resultados-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Mi%20unidad\1.%20DOCTORADO%20U%20CHILE%202023\1%20CICLO%202023-1\TUTORIA%20EL%20CAMPO%20DE%20LA%20INVESTIGACION\1.%20SOBRE%20REVISTAS%20PERUANAS%20DE%20PS\1.PARA%20REDACTAR%20ARTICULO\BASE%20DE%20DATOS%20-%20COMPLETO%201-version%20final-resultados-3.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D:\PRODUCCION%20CIENTIFICA\PRODUCCION%20CIENTIFICA-3\TRABAJO%20CON%20GONZALO\ARTICULO%20SOBRE%20RESVISTAS%20DE%20PS%20EN%20EL%20PERU\1.PARA%20REDACTAR%20ARTICULO\BASE%20DE%20DATOS%20-%20COMPLETO%201-version%20final-resultados-2(Recuperado.xlsx" TargetMode="External"/><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3" Type="http://schemas.openxmlformats.org/officeDocument/2006/relationships/oleObject" Target="file:///G:\Mi%20unidad\1.%20DOCTORADO%20U%20CHILE%202023\1%20CICLO%202023-1\TUTORIA%20EL%20CAMPO%20DE%20LA%20INVESTIGACION\1.%20SOBRE%20REVISTAS%20PERUANAS%20DE%20PS\1.PARA%20REDACTAR%20ARTICULO\BASE%20DE%20DATOS%20-%20COMPLETO%201-version%20final-resultados-3.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cked"/>
        <c:varyColors val="0"/>
        <c:ser>
          <c:idx val="0"/>
          <c:order val="0"/>
          <c:tx>
            <c:strRef>
              <c:f>Hoja2!$F$1</c:f>
              <c:strCache>
                <c:ptCount val="1"/>
                <c:pt idx="0">
                  <c:v>F acumulada</c:v>
                </c:pt>
              </c:strCache>
            </c:strRef>
          </c:tx>
          <c:spPr>
            <a:ln w="28575" cap="rnd">
              <a:solidFill>
                <a:schemeClr val="tx1"/>
              </a:solidFill>
              <a:round/>
            </a:ln>
            <a:effectLst/>
          </c:spPr>
          <c:marker>
            <c:symbol val="circle"/>
            <c:size val="5"/>
            <c:spPr>
              <a:solidFill>
                <a:schemeClr val="dk1">
                  <a:tint val="88500"/>
                </a:schemeClr>
              </a:solidFill>
              <a:ln w="9525">
                <a:solidFill>
                  <a:schemeClr val="dk1">
                    <a:tint val="88500"/>
                  </a:schemeClr>
                </a:solidFill>
              </a:ln>
              <a:effectLst/>
            </c:spPr>
          </c:marker>
          <c:cat>
            <c:numRef>
              <c:f>Hoja2!$D$2:$D$41</c:f>
              <c:numCache>
                <c:formatCode>General</c:formatCode>
                <c:ptCount val="40"/>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pt idx="29">
                  <c:v>2012</c:v>
                </c:pt>
                <c:pt idx="30">
                  <c:v>2013</c:v>
                </c:pt>
                <c:pt idx="31">
                  <c:v>2014</c:v>
                </c:pt>
                <c:pt idx="32">
                  <c:v>2015</c:v>
                </c:pt>
                <c:pt idx="33">
                  <c:v>2016</c:v>
                </c:pt>
                <c:pt idx="34">
                  <c:v>2017</c:v>
                </c:pt>
                <c:pt idx="35">
                  <c:v>2018</c:v>
                </c:pt>
                <c:pt idx="36">
                  <c:v>2019</c:v>
                </c:pt>
                <c:pt idx="37">
                  <c:v>2020</c:v>
                </c:pt>
                <c:pt idx="38">
                  <c:v>2021</c:v>
                </c:pt>
                <c:pt idx="39">
                  <c:v>2022</c:v>
                </c:pt>
              </c:numCache>
            </c:numRef>
          </c:cat>
          <c:val>
            <c:numRef>
              <c:f>Hoja2!$F$2:$F$41</c:f>
              <c:numCache>
                <c:formatCode>General</c:formatCode>
                <c:ptCount val="40"/>
                <c:pt idx="0">
                  <c:v>1</c:v>
                </c:pt>
                <c:pt idx="1">
                  <c:v>1</c:v>
                </c:pt>
                <c:pt idx="2">
                  <c:v>1</c:v>
                </c:pt>
                <c:pt idx="3">
                  <c:v>1</c:v>
                </c:pt>
                <c:pt idx="4">
                  <c:v>1</c:v>
                </c:pt>
                <c:pt idx="5">
                  <c:v>1</c:v>
                </c:pt>
                <c:pt idx="6">
                  <c:v>1</c:v>
                </c:pt>
                <c:pt idx="7">
                  <c:v>1</c:v>
                </c:pt>
                <c:pt idx="8">
                  <c:v>1</c:v>
                </c:pt>
                <c:pt idx="9">
                  <c:v>1</c:v>
                </c:pt>
                <c:pt idx="10">
                  <c:v>2</c:v>
                </c:pt>
                <c:pt idx="11">
                  <c:v>2</c:v>
                </c:pt>
                <c:pt idx="12">
                  <c:v>3</c:v>
                </c:pt>
                <c:pt idx="13">
                  <c:v>3</c:v>
                </c:pt>
                <c:pt idx="14">
                  <c:v>4</c:v>
                </c:pt>
                <c:pt idx="15">
                  <c:v>6</c:v>
                </c:pt>
                <c:pt idx="16">
                  <c:v>6</c:v>
                </c:pt>
                <c:pt idx="17">
                  <c:v>6</c:v>
                </c:pt>
                <c:pt idx="18">
                  <c:v>6</c:v>
                </c:pt>
                <c:pt idx="19">
                  <c:v>7</c:v>
                </c:pt>
                <c:pt idx="20">
                  <c:v>7</c:v>
                </c:pt>
                <c:pt idx="21">
                  <c:v>7</c:v>
                </c:pt>
                <c:pt idx="22">
                  <c:v>8</c:v>
                </c:pt>
                <c:pt idx="23">
                  <c:v>8</c:v>
                </c:pt>
                <c:pt idx="24">
                  <c:v>8</c:v>
                </c:pt>
                <c:pt idx="25">
                  <c:v>8</c:v>
                </c:pt>
                <c:pt idx="26">
                  <c:v>8</c:v>
                </c:pt>
                <c:pt idx="27">
                  <c:v>8</c:v>
                </c:pt>
                <c:pt idx="28">
                  <c:v>10</c:v>
                </c:pt>
                <c:pt idx="29">
                  <c:v>12</c:v>
                </c:pt>
                <c:pt idx="30">
                  <c:v>13</c:v>
                </c:pt>
                <c:pt idx="31">
                  <c:v>14</c:v>
                </c:pt>
                <c:pt idx="32">
                  <c:v>17</c:v>
                </c:pt>
                <c:pt idx="33">
                  <c:v>19</c:v>
                </c:pt>
                <c:pt idx="34">
                  <c:v>20</c:v>
                </c:pt>
                <c:pt idx="35">
                  <c:v>20</c:v>
                </c:pt>
                <c:pt idx="36">
                  <c:v>20</c:v>
                </c:pt>
                <c:pt idx="37">
                  <c:v>20</c:v>
                </c:pt>
                <c:pt idx="38">
                  <c:v>20</c:v>
                </c:pt>
                <c:pt idx="39">
                  <c:v>20</c:v>
                </c:pt>
              </c:numCache>
            </c:numRef>
          </c:val>
          <c:smooth val="0"/>
          <c:extLst>
            <c:ext xmlns:c16="http://schemas.microsoft.com/office/drawing/2014/chart" uri="{C3380CC4-5D6E-409C-BE32-E72D297353CC}">
              <c16:uniqueId val="{00000000-14EA-401D-AE5B-AFDEB1B8E13F}"/>
            </c:ext>
          </c:extLst>
        </c:ser>
        <c:dLbls>
          <c:showLegendKey val="0"/>
          <c:showVal val="0"/>
          <c:showCatName val="0"/>
          <c:showSerName val="0"/>
          <c:showPercent val="0"/>
          <c:showBubbleSize val="0"/>
        </c:dLbls>
        <c:upDownBars>
          <c:gapWidth val="150"/>
          <c:upBars>
            <c:spPr>
              <a:solidFill>
                <a:schemeClr val="lt1"/>
              </a:solidFill>
              <a:ln w="9525">
                <a:solidFill>
                  <a:schemeClr val="tx1">
                    <a:lumMod val="15000"/>
                    <a:lumOff val="85000"/>
                  </a:schemeClr>
                </a:solidFill>
              </a:ln>
              <a:effectLst/>
            </c:spPr>
          </c:upBars>
          <c:downBars>
            <c:spPr>
              <a:solidFill>
                <a:schemeClr val="dk1">
                  <a:lumMod val="65000"/>
                  <a:lumOff val="35000"/>
                </a:schemeClr>
              </a:solidFill>
              <a:ln w="9525">
                <a:solidFill>
                  <a:schemeClr val="tx1">
                    <a:lumMod val="65000"/>
                    <a:lumOff val="35000"/>
                  </a:schemeClr>
                </a:solidFill>
              </a:ln>
              <a:effectLst/>
            </c:spPr>
          </c:downBars>
        </c:upDownBars>
        <c:marker val="1"/>
        <c:smooth val="0"/>
        <c:axId val="1388129184"/>
        <c:axId val="1308275504"/>
      </c:lineChart>
      <c:catAx>
        <c:axId val="138812918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PE"/>
          </a:p>
        </c:txPr>
        <c:crossAx val="1308275504"/>
        <c:crosses val="autoZero"/>
        <c:auto val="1"/>
        <c:lblAlgn val="ctr"/>
        <c:lblOffset val="100"/>
        <c:noMultiLvlLbl val="0"/>
      </c:catAx>
      <c:valAx>
        <c:axId val="130827550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Número de revistas </a:t>
                </a:r>
                <a:endParaRPr lang="es-PE"/>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PE"/>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PE"/>
          </a:p>
        </c:txPr>
        <c:crossAx val="1388129184"/>
        <c:crosses val="autoZero"/>
        <c:crossBetween val="between"/>
      </c:valAx>
      <c:spPr>
        <a:noFill/>
        <a:ln>
          <a:noFill/>
        </a:ln>
        <a:effectLst/>
      </c:spPr>
    </c:plotArea>
    <c:plotVisOnly val="1"/>
    <c:dispBlanksAs val="zero"/>
    <c:showDLblsOverMax val="0"/>
  </c:chart>
  <c:spPr>
    <a:no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P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pPr>
            <a:r>
              <a:rPr lang="es-ES_tradnl" sz="1000" b="0" i="0" u="none" strike="noStrike" baseline="0">
                <a:effectLst/>
              </a:rPr>
              <a:t>Género del comite editorial  </a:t>
            </a:r>
            <a:endParaRPr lang="es-PE" sz="1000" b="0"/>
          </a:p>
        </c:rich>
      </c:tx>
      <c:overlay val="0"/>
    </c:title>
    <c:autoTitleDeleted val="0"/>
    <c:plotArea>
      <c:layout/>
      <c:barChart>
        <c:barDir val="col"/>
        <c:grouping val="clustered"/>
        <c:varyColors val="1"/>
        <c:ser>
          <c:idx val="0"/>
          <c:order val="0"/>
          <c:spPr>
            <a:solidFill>
              <a:srgbClr val="000000"/>
            </a:solidFill>
            <a:ln cmpd="sng">
              <a:solidFill>
                <a:srgbClr val="000000"/>
              </a:solidFill>
            </a:ln>
          </c:spPr>
          <c:invertIfNegative val="1"/>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'COMITE EDITORIAL'!$E$13:$E$14</c:f>
              <c:strCache>
                <c:ptCount val="2"/>
                <c:pt idx="0">
                  <c:v>Varón</c:v>
                </c:pt>
                <c:pt idx="1">
                  <c:v>Mujer</c:v>
                </c:pt>
              </c:strCache>
            </c:strRef>
          </c:cat>
          <c:val>
            <c:numRef>
              <c:f>'COMITE EDITORIAL'!$G$13:$G$14</c:f>
              <c:numCache>
                <c:formatCode>0</c:formatCode>
                <c:ptCount val="2"/>
                <c:pt idx="0">
                  <c:v>65.306122448979593</c:v>
                </c:pt>
                <c:pt idx="1">
                  <c:v>34.693877551020407</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0-8C5C-42EC-B6C6-740E0120D86E}"/>
            </c:ext>
          </c:extLst>
        </c:ser>
        <c:dLbls>
          <c:showLegendKey val="0"/>
          <c:showVal val="0"/>
          <c:showCatName val="0"/>
          <c:showSerName val="0"/>
          <c:showPercent val="0"/>
          <c:showBubbleSize val="0"/>
        </c:dLbls>
        <c:gapWidth val="150"/>
        <c:axId val="1589028305"/>
        <c:axId val="575024997"/>
      </c:barChart>
      <c:catAx>
        <c:axId val="1589028305"/>
        <c:scaling>
          <c:orientation val="minMax"/>
        </c:scaling>
        <c:delete val="0"/>
        <c:axPos val="b"/>
        <c:numFmt formatCode="General" sourceLinked="1"/>
        <c:majorTickMark val="none"/>
        <c:minorTickMark val="none"/>
        <c:tickLblPos val="nextTo"/>
        <c:crossAx val="575024997"/>
        <c:crosses val="autoZero"/>
        <c:auto val="1"/>
        <c:lblAlgn val="ctr"/>
        <c:lblOffset val="100"/>
        <c:noMultiLvlLbl val="1"/>
      </c:catAx>
      <c:valAx>
        <c:axId val="575024997"/>
        <c:scaling>
          <c:orientation val="minMax"/>
          <c:max val="100"/>
        </c:scaling>
        <c:delete val="0"/>
        <c:axPos val="l"/>
        <c:title>
          <c:tx>
            <c:rich>
              <a:bodyPr/>
              <a:lstStyle/>
              <a:p>
                <a:pPr>
                  <a:defRPr sz="1000"/>
                </a:pPr>
                <a:r>
                  <a:rPr lang="es-PE" sz="1000" b="0" i="0" baseline="0">
                    <a:effectLst/>
                  </a:rPr>
                  <a:t>% de integranes del comite editorial</a:t>
                </a:r>
                <a:endParaRPr lang="es-PE" sz="1000">
                  <a:effectLst/>
                </a:endParaRPr>
              </a:p>
            </c:rich>
          </c:tx>
          <c:overlay val="0"/>
        </c:title>
        <c:numFmt formatCode="0" sourceLinked="1"/>
        <c:majorTickMark val="none"/>
        <c:minorTickMark val="none"/>
        <c:tickLblPos val="nextTo"/>
        <c:spPr>
          <a:ln/>
        </c:spPr>
        <c:crossAx val="1589028305"/>
        <c:crosses val="autoZero"/>
        <c:crossBetween val="between"/>
      </c:valAx>
    </c:plotArea>
    <c:plotVisOnly val="1"/>
    <c:dispBlanksAs val="zero"/>
    <c:showDLblsOverMax val="1"/>
  </c:chart>
  <c:spPr>
    <a:ln>
      <a:noFill/>
    </a:ln>
  </c:spPr>
  <c:txPr>
    <a:bodyPr/>
    <a:lstStyle/>
    <a:p>
      <a:pPr>
        <a:defRPr sz="1000">
          <a:latin typeface="Times New Roman" panose="02020603050405020304" pitchFamily="18" charset="0"/>
          <a:cs typeface="Times New Roman" panose="02020603050405020304" pitchFamily="18" charset="0"/>
        </a:defRPr>
      </a:pPr>
      <a:endParaRPr lang="es-PE"/>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latin typeface="Times New Roman" panose="02020603050405020304" pitchFamily="18" charset="0"/>
                <a:cs typeface="Times New Roman" panose="02020603050405020304" pitchFamily="18" charset="0"/>
              </a:defRPr>
            </a:pPr>
            <a:r>
              <a:rPr lang="es-PE" sz="1000" b="0" i="0" u="none" strike="noStrike" baseline="0">
                <a:effectLst/>
                <a:latin typeface="Times New Roman" panose="02020603050405020304" pitchFamily="18" charset="0"/>
                <a:cs typeface="Times New Roman" panose="02020603050405020304" pitchFamily="18" charset="0"/>
              </a:rPr>
              <a:t>Procedencia de los integrantes del comite editorial </a:t>
            </a:r>
            <a:endParaRPr lang="es-PE" sz="1000" b="0">
              <a:latin typeface="Times New Roman" panose="02020603050405020304" pitchFamily="18" charset="0"/>
              <a:cs typeface="Times New Roman" panose="02020603050405020304" pitchFamily="18" charset="0"/>
            </a:endParaRPr>
          </a:p>
        </c:rich>
      </c:tx>
      <c:overlay val="0"/>
    </c:title>
    <c:autoTitleDeleted val="0"/>
    <c:plotArea>
      <c:layout/>
      <c:barChart>
        <c:barDir val="col"/>
        <c:grouping val="clustered"/>
        <c:varyColors val="1"/>
        <c:ser>
          <c:idx val="0"/>
          <c:order val="0"/>
          <c:spPr>
            <a:solidFill>
              <a:srgbClr val="000000"/>
            </a:solidFill>
            <a:ln cmpd="sng">
              <a:solidFill>
                <a:srgbClr val="000000"/>
              </a:solidFill>
            </a:ln>
          </c:spPr>
          <c:invertIfNegative val="1"/>
          <c:dPt>
            <c:idx val="0"/>
            <c:invertIfNegative val="1"/>
            <c:bubble3D val="0"/>
            <c:extLst>
              <c:ext xmlns:c16="http://schemas.microsoft.com/office/drawing/2014/chart" uri="{C3380CC4-5D6E-409C-BE32-E72D297353CC}">
                <c16:uniqueId val="{00000000-12D0-4049-A568-4B6EB9766601}"/>
              </c:ext>
            </c:extLst>
          </c:dPt>
          <c:dLbls>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es-P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'COMITE EDITORIAL'!$E$19:$E$21</c:f>
              <c:strCache>
                <c:ptCount val="3"/>
                <c:pt idx="0">
                  <c:v>Interno</c:v>
                </c:pt>
                <c:pt idx="1">
                  <c:v>Externo nacional</c:v>
                </c:pt>
                <c:pt idx="2">
                  <c:v>Externo internacional</c:v>
                </c:pt>
              </c:strCache>
            </c:strRef>
          </c:cat>
          <c:val>
            <c:numRef>
              <c:f>'COMITE EDITORIAL'!$G$19:$G$21</c:f>
              <c:numCache>
                <c:formatCode>0</c:formatCode>
                <c:ptCount val="3"/>
                <c:pt idx="0">
                  <c:v>23.893805309734514</c:v>
                </c:pt>
                <c:pt idx="1">
                  <c:v>25.663716814159294</c:v>
                </c:pt>
                <c:pt idx="2">
                  <c:v>50.442477876106196</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1-12D0-4049-A568-4B6EB9766601}"/>
            </c:ext>
          </c:extLst>
        </c:ser>
        <c:dLbls>
          <c:dLblPos val="outEnd"/>
          <c:showLegendKey val="0"/>
          <c:showVal val="1"/>
          <c:showCatName val="0"/>
          <c:showSerName val="0"/>
          <c:showPercent val="0"/>
          <c:showBubbleSize val="0"/>
        </c:dLbls>
        <c:gapWidth val="150"/>
        <c:axId val="1036291285"/>
        <c:axId val="425771934"/>
      </c:barChart>
      <c:catAx>
        <c:axId val="1036291285"/>
        <c:scaling>
          <c:orientation val="minMax"/>
        </c:scaling>
        <c:delete val="0"/>
        <c:axPos val="b"/>
        <c:numFmt formatCode="General" sourceLinked="1"/>
        <c:majorTickMark val="none"/>
        <c:minorTickMark val="none"/>
        <c:tickLblPos val="nextTo"/>
        <c:txPr>
          <a:bodyPr/>
          <a:lstStyle/>
          <a:p>
            <a:pPr lvl="0">
              <a:defRPr sz="1000" b="0" i="0">
                <a:solidFill>
                  <a:srgbClr val="000000"/>
                </a:solidFill>
                <a:latin typeface="Times New Roman" panose="02020603050405020304" pitchFamily="18" charset="0"/>
                <a:cs typeface="Times New Roman" panose="02020603050405020304" pitchFamily="18" charset="0"/>
              </a:defRPr>
            </a:pPr>
            <a:endParaRPr lang="es-PE"/>
          </a:p>
        </c:txPr>
        <c:crossAx val="425771934"/>
        <c:crosses val="autoZero"/>
        <c:auto val="1"/>
        <c:lblAlgn val="ctr"/>
        <c:lblOffset val="100"/>
        <c:noMultiLvlLbl val="1"/>
      </c:catAx>
      <c:valAx>
        <c:axId val="425771934"/>
        <c:scaling>
          <c:orientation val="minMax"/>
          <c:max val="100"/>
        </c:scaling>
        <c:delete val="0"/>
        <c:axPos val="l"/>
        <c:title>
          <c:tx>
            <c:rich>
              <a:bodyPr/>
              <a:lstStyle/>
              <a:p>
                <a:pPr>
                  <a:defRPr sz="1000">
                    <a:latin typeface="Times New Roman" panose="02020603050405020304" pitchFamily="18" charset="0"/>
                    <a:cs typeface="Times New Roman" panose="02020603050405020304" pitchFamily="18" charset="0"/>
                  </a:defRPr>
                </a:pPr>
                <a:r>
                  <a:rPr lang="es-PE" sz="1000" b="0" i="0" baseline="0">
                    <a:effectLst/>
                    <a:latin typeface="Times New Roman" panose="02020603050405020304" pitchFamily="18" charset="0"/>
                    <a:cs typeface="Times New Roman" panose="02020603050405020304" pitchFamily="18" charset="0"/>
                  </a:rPr>
                  <a:t>% de integranes del comite editorial</a:t>
                </a:r>
                <a:endParaRPr lang="es-PE" sz="1000">
                  <a:effectLst/>
                  <a:latin typeface="Times New Roman" panose="02020603050405020304" pitchFamily="18" charset="0"/>
                  <a:cs typeface="Times New Roman" panose="02020603050405020304" pitchFamily="18" charset="0"/>
                </a:endParaRPr>
              </a:p>
            </c:rich>
          </c:tx>
          <c:overlay val="0"/>
        </c:title>
        <c:numFmt formatCode="0" sourceLinked="1"/>
        <c:majorTickMark val="none"/>
        <c:minorTickMark val="none"/>
        <c:tickLblPos val="nextTo"/>
        <c:spPr>
          <a:ln/>
        </c:spPr>
        <c:txPr>
          <a:bodyPr/>
          <a:lstStyle/>
          <a:p>
            <a:pPr lvl="0">
              <a:defRPr sz="900" b="0" i="0">
                <a:solidFill>
                  <a:srgbClr val="000000"/>
                </a:solidFill>
                <a:latin typeface="Times New Roman" panose="02020603050405020304" pitchFamily="18" charset="0"/>
                <a:cs typeface="Times New Roman" panose="02020603050405020304" pitchFamily="18" charset="0"/>
              </a:defRPr>
            </a:pPr>
            <a:endParaRPr lang="es-PE"/>
          </a:p>
        </c:txPr>
        <c:crossAx val="1036291285"/>
        <c:crosses val="autoZero"/>
        <c:crossBetween val="between"/>
      </c:valAx>
    </c:plotArea>
    <c:plotVisOnly val="1"/>
    <c:dispBlanksAs val="zero"/>
    <c:showDLblsOverMax val="1"/>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s-PE" sz="1000" b="0" i="0" baseline="0">
                <a:effectLst/>
              </a:rPr>
              <a:t>Tipos de artículos</a:t>
            </a:r>
            <a:endParaRPr lang="es-PE" sz="1000">
              <a:effectLst/>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PE"/>
        </a:p>
      </c:txPr>
    </c:title>
    <c:autoTitleDeleted val="0"/>
    <c:plotArea>
      <c:layout/>
      <c:barChart>
        <c:barDir val="col"/>
        <c:grouping val="clustered"/>
        <c:varyColors val="0"/>
        <c:ser>
          <c:idx val="0"/>
          <c:order val="0"/>
          <c:tx>
            <c:strRef>
              <c:f>CONTENIDO!$T$2</c:f>
              <c:strCache>
                <c:ptCount val="1"/>
                <c:pt idx="0">
                  <c:v>N° de artículos</c:v>
                </c:pt>
              </c:strCache>
            </c:strRef>
          </c:tx>
          <c:spPr>
            <a:solidFill>
              <a:schemeClr val="tx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P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CONTENIDO!$S$3:$S$7</c:f>
              <c:strCache>
                <c:ptCount val="5"/>
                <c:pt idx="0">
                  <c:v>AE - ART</c:v>
                </c:pt>
                <c:pt idx="1">
                  <c:v>AE - ART - CE</c:v>
                </c:pt>
                <c:pt idx="2">
                  <c:v>AE - ART - RL </c:v>
                </c:pt>
                <c:pt idx="3">
                  <c:v>AE - ART - CE-RL</c:v>
                </c:pt>
                <c:pt idx="4">
                  <c:v>No especifica</c:v>
                </c:pt>
              </c:strCache>
            </c:strRef>
          </c:cat>
          <c:val>
            <c:numRef>
              <c:f>CONTENIDO!$T$3:$T$7</c:f>
              <c:numCache>
                <c:formatCode>General</c:formatCode>
                <c:ptCount val="5"/>
                <c:pt idx="0">
                  <c:v>4</c:v>
                </c:pt>
                <c:pt idx="1">
                  <c:v>2</c:v>
                </c:pt>
                <c:pt idx="2">
                  <c:v>9</c:v>
                </c:pt>
                <c:pt idx="3">
                  <c:v>4</c:v>
                </c:pt>
                <c:pt idx="4">
                  <c:v>1</c:v>
                </c:pt>
              </c:numCache>
            </c:numRef>
          </c:val>
          <c:extLst>
            <c:ext xmlns:c16="http://schemas.microsoft.com/office/drawing/2014/chart" uri="{C3380CC4-5D6E-409C-BE32-E72D297353CC}">
              <c16:uniqueId val="{00000000-C6FF-415F-98CC-2CC8E39D4C2E}"/>
            </c:ext>
          </c:extLst>
        </c:ser>
        <c:dLbls>
          <c:dLblPos val="outEnd"/>
          <c:showLegendKey val="0"/>
          <c:showVal val="1"/>
          <c:showCatName val="0"/>
          <c:showSerName val="0"/>
          <c:showPercent val="0"/>
          <c:showBubbleSize val="0"/>
        </c:dLbls>
        <c:gapWidth val="219"/>
        <c:overlap val="-27"/>
        <c:axId val="1892993136"/>
        <c:axId val="1894862896"/>
      </c:barChart>
      <c:catAx>
        <c:axId val="189299313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PE"/>
          </a:p>
        </c:txPr>
        <c:crossAx val="1894862896"/>
        <c:crosses val="autoZero"/>
        <c:auto val="1"/>
        <c:lblAlgn val="ctr"/>
        <c:lblOffset val="100"/>
        <c:noMultiLvlLbl val="0"/>
      </c:catAx>
      <c:valAx>
        <c:axId val="189486289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Número de revistas</a:t>
                </a:r>
                <a:endParaRPr lang="es-PE"/>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PE"/>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PE"/>
          </a:p>
        </c:txPr>
        <c:crossAx val="189299313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P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tx>
            <c:strRef>
              <c:f>Hoja5!$F$3</c:f>
              <c:strCache>
                <c:ptCount val="1"/>
                <c:pt idx="0">
                  <c:v>N° de revistas</c:v>
                </c:pt>
              </c:strCache>
            </c:strRef>
          </c:tx>
          <c:spPr>
            <a:ln w="19050" cap="rnd">
              <a:noFill/>
              <a:round/>
            </a:ln>
            <a:effectLst/>
          </c:spPr>
          <c:marker>
            <c:symbol val="circle"/>
            <c:size val="5"/>
            <c:spPr>
              <a:solidFill>
                <a:schemeClr val="dk1">
                  <a:tint val="88500"/>
                </a:schemeClr>
              </a:solidFill>
              <a:ln w="9525">
                <a:solidFill>
                  <a:schemeClr val="tx1"/>
                </a:solidFill>
              </a:ln>
              <a:effectLst/>
            </c:spPr>
          </c:marker>
          <c:xVal>
            <c:numRef>
              <c:f>Hoja5!$G$2:$Z$2</c:f>
              <c:numCache>
                <c:formatCode>General</c:formatCode>
                <c:ptCount val="20"/>
                <c:pt idx="0">
                  <c:v>10</c:v>
                </c:pt>
                <c:pt idx="1">
                  <c:v>18.5</c:v>
                </c:pt>
                <c:pt idx="2">
                  <c:v>7.5</c:v>
                </c:pt>
                <c:pt idx="3">
                  <c:v>6</c:v>
                </c:pt>
                <c:pt idx="4">
                  <c:v>18.5</c:v>
                </c:pt>
                <c:pt idx="5">
                  <c:v>9</c:v>
                </c:pt>
                <c:pt idx="6">
                  <c:v>6</c:v>
                </c:pt>
                <c:pt idx="7">
                  <c:v>6.5</c:v>
                </c:pt>
                <c:pt idx="8">
                  <c:v>6</c:v>
                </c:pt>
                <c:pt idx="9">
                  <c:v>10</c:v>
                </c:pt>
                <c:pt idx="10">
                  <c:v>6</c:v>
                </c:pt>
                <c:pt idx="11">
                  <c:v>7.5</c:v>
                </c:pt>
                <c:pt idx="12">
                  <c:v>6</c:v>
                </c:pt>
                <c:pt idx="13">
                  <c:v>6.5</c:v>
                </c:pt>
                <c:pt idx="14">
                  <c:v>11.5</c:v>
                </c:pt>
                <c:pt idx="15">
                  <c:v>6</c:v>
                </c:pt>
                <c:pt idx="16">
                  <c:v>12.5</c:v>
                </c:pt>
                <c:pt idx="17">
                  <c:v>6.5</c:v>
                </c:pt>
                <c:pt idx="18">
                  <c:v>3</c:v>
                </c:pt>
                <c:pt idx="19">
                  <c:v>7</c:v>
                </c:pt>
              </c:numCache>
            </c:numRef>
          </c:xVal>
          <c:yVal>
            <c:numRef>
              <c:f>Hoja5!$G$3:$Z$3</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yVal>
          <c:smooth val="0"/>
          <c:extLst>
            <c:ext xmlns:c16="http://schemas.microsoft.com/office/drawing/2014/chart" uri="{C3380CC4-5D6E-409C-BE32-E72D297353CC}">
              <c16:uniqueId val="{00000000-22F6-4D51-98DC-BF224439EC76}"/>
            </c:ext>
          </c:extLst>
        </c:ser>
        <c:dLbls>
          <c:showLegendKey val="0"/>
          <c:showVal val="0"/>
          <c:showCatName val="0"/>
          <c:showSerName val="0"/>
          <c:showPercent val="0"/>
          <c:showBubbleSize val="0"/>
        </c:dLbls>
        <c:axId val="1837461696"/>
        <c:axId val="1837652896"/>
      </c:scatterChart>
      <c:valAx>
        <c:axId val="1837461696"/>
        <c:scaling>
          <c:orientation val="minMax"/>
          <c:max val="20"/>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PE"/>
                  <a:t>Promedio</a:t>
                </a:r>
                <a:r>
                  <a:rPr lang="es-PE" baseline="0"/>
                  <a:t> de artículos</a:t>
                </a:r>
                <a:endParaRPr lang="es-PE"/>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PE"/>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PE"/>
          </a:p>
        </c:txPr>
        <c:crossAx val="1837652896"/>
        <c:crosses val="autoZero"/>
        <c:crossBetween val="midCat"/>
        <c:majorUnit val="1"/>
        <c:minorUnit val="0.5"/>
      </c:valAx>
      <c:valAx>
        <c:axId val="1837652896"/>
        <c:scaling>
          <c:orientation val="minMax"/>
          <c:max val="22"/>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Número de revistas</a:t>
                </a:r>
                <a:endParaRPr lang="es-PE"/>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PE"/>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PE"/>
          </a:p>
        </c:txPr>
        <c:crossAx val="1837461696"/>
        <c:crossesAt val="0"/>
        <c:crossBetween val="midCat"/>
        <c:majorUnit val="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PE"/>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qNbI+feLC9O45mxq+17v3kpZtQ==">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32</Pages>
  <Words>11860</Words>
  <Characters>65235</Characters>
  <Application>Microsoft Office Word</Application>
  <DocSecurity>0</DocSecurity>
  <Lines>543</Lines>
  <Paragraphs>153</Paragraphs>
  <ScaleCrop>false</ScaleCrop>
  <Company/>
  <LinksUpToDate>false</LinksUpToDate>
  <CharactersWithSpaces>76942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Kasely Esteban</cp:lastModifiedBy>
  <cp:revision>6</cp:revision>
  <dcterms:created xsi:type="dcterms:W3CDTF">2020-09-09T19:52:00Z</dcterms:created>
  <dcterms:modified xsi:type="dcterms:W3CDTF">2023-11-01T01:49:00Z</dcterms:modified>
</cp:coreProperties>
</file>