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1B55797D" w:rsidR="00C413D4" w:rsidRPr="00913016" w:rsidRDefault="00913016" w:rsidP="00913016">
      <w:pPr>
        <w:pStyle w:val="Titulodeartculo"/>
        <w:rPr>
          <w:lang w:val="en-US"/>
        </w:rPr>
      </w:pPr>
      <w:r w:rsidRPr="00913016">
        <w:rPr>
          <w:lang w:val="en-US"/>
        </w:rPr>
        <w:t>Psychometric Properties of the Orientations to Happiness Scale in Mexicans</w:t>
      </w:r>
      <w:r w:rsidR="005F5E6D">
        <w:rPr>
          <w:rStyle w:val="Refdenotaalpie"/>
          <w:lang w:val="en-US"/>
        </w:rPr>
        <w:footnoteReference w:id="1"/>
      </w:r>
    </w:p>
    <w:p w14:paraId="6C942DCA" w14:textId="7CF9CFB8" w:rsidR="00B845A1" w:rsidRPr="005F5E6D" w:rsidRDefault="00B845A1" w:rsidP="005F5E6D">
      <w:pPr>
        <w:rPr>
          <w:sz w:val="20"/>
          <w:szCs w:val="20"/>
          <w:lang w:val="es-AR"/>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2662197E" w14:textId="01786BC9" w:rsidR="000014C6" w:rsidRPr="000014C6" w:rsidRDefault="00C413D4" w:rsidP="000014C6">
      <w:pPr>
        <w:pStyle w:val="TtuloResumen"/>
        <w:rPr>
          <w:lang w:val="en-US"/>
        </w:rPr>
      </w:pPr>
      <w:r w:rsidRPr="00E25900">
        <w:rPr>
          <w:lang w:val="en-US"/>
        </w:rPr>
        <w:t>Abstract</w:t>
      </w:r>
    </w:p>
    <w:p w14:paraId="1F6A0340" w14:textId="54677E98" w:rsidR="00913016" w:rsidRPr="00913016" w:rsidRDefault="00913016" w:rsidP="00913016">
      <w:pPr>
        <w:jc w:val="both"/>
        <w:rPr>
          <w:sz w:val="20"/>
          <w:szCs w:val="20"/>
          <w:lang w:val="es-AR"/>
        </w:rPr>
      </w:pPr>
      <w:bookmarkStart w:id="0" w:name="OLE_LINK3"/>
      <w:bookmarkStart w:id="1" w:name="OLE_LINK4"/>
      <w:proofErr w:type="spellStart"/>
      <w:r w:rsidRPr="00913016">
        <w:rPr>
          <w:sz w:val="20"/>
          <w:szCs w:val="20"/>
          <w:lang w:val="es-AR"/>
        </w:rPr>
        <w:t>Exist</w:t>
      </w:r>
      <w:proofErr w:type="spellEnd"/>
      <w:r w:rsidRPr="00913016">
        <w:rPr>
          <w:sz w:val="20"/>
          <w:szCs w:val="20"/>
          <w:lang w:val="es-AR"/>
        </w:rPr>
        <w:t xml:space="preserve"> </w:t>
      </w:r>
      <w:proofErr w:type="spellStart"/>
      <w:r w:rsidRPr="00913016">
        <w:rPr>
          <w:sz w:val="20"/>
          <w:szCs w:val="20"/>
          <w:lang w:val="es-AR"/>
        </w:rPr>
        <w:t>researches</w:t>
      </w:r>
      <w:proofErr w:type="spellEnd"/>
      <w:r w:rsidRPr="00913016">
        <w:rPr>
          <w:sz w:val="20"/>
          <w:szCs w:val="20"/>
          <w:lang w:val="es-AR"/>
        </w:rPr>
        <w:t xml:space="preserve"> in </w:t>
      </w:r>
      <w:proofErr w:type="spellStart"/>
      <w:r w:rsidRPr="00913016">
        <w:rPr>
          <w:sz w:val="20"/>
          <w:szCs w:val="20"/>
          <w:lang w:val="es-AR"/>
        </w:rPr>
        <w:t>Europe</w:t>
      </w:r>
      <w:proofErr w:type="spellEnd"/>
      <w:r w:rsidRPr="00913016">
        <w:rPr>
          <w:sz w:val="20"/>
          <w:szCs w:val="20"/>
          <w:lang w:val="es-AR"/>
        </w:rPr>
        <w:t xml:space="preserve">, Asia, and North </w:t>
      </w:r>
      <w:proofErr w:type="spellStart"/>
      <w:r w:rsidRPr="00913016">
        <w:rPr>
          <w:sz w:val="20"/>
          <w:szCs w:val="20"/>
          <w:lang w:val="es-AR"/>
        </w:rPr>
        <w:t>America</w:t>
      </w:r>
      <w:proofErr w:type="spellEnd"/>
      <w:r w:rsidRPr="00913016">
        <w:rPr>
          <w:sz w:val="20"/>
          <w:szCs w:val="20"/>
          <w:lang w:val="es-AR"/>
        </w:rPr>
        <w:t xml:space="preserve"> </w:t>
      </w:r>
      <w:proofErr w:type="spellStart"/>
      <w:r w:rsidRPr="00913016">
        <w:rPr>
          <w:sz w:val="20"/>
          <w:szCs w:val="20"/>
          <w:lang w:val="es-AR"/>
        </w:rPr>
        <w:t>to</w:t>
      </w:r>
      <w:proofErr w:type="spellEnd"/>
      <w:r w:rsidRPr="00913016">
        <w:rPr>
          <w:sz w:val="20"/>
          <w:szCs w:val="20"/>
          <w:lang w:val="es-AR"/>
        </w:rPr>
        <w:t xml:space="preserve"> </w:t>
      </w:r>
      <w:proofErr w:type="spellStart"/>
      <w:r w:rsidRPr="00913016">
        <w:rPr>
          <w:sz w:val="20"/>
          <w:szCs w:val="20"/>
          <w:lang w:val="es-AR"/>
        </w:rPr>
        <w:t>kwnow</w:t>
      </w:r>
      <w:proofErr w:type="spellEnd"/>
      <w:r w:rsidRPr="00913016">
        <w:rPr>
          <w:sz w:val="20"/>
          <w:szCs w:val="20"/>
          <w:lang w:val="es-AR"/>
        </w:rPr>
        <w:t xml:space="preserve"> </w:t>
      </w:r>
      <w:proofErr w:type="spellStart"/>
      <w:r w:rsidRPr="00913016">
        <w:rPr>
          <w:sz w:val="20"/>
          <w:szCs w:val="20"/>
          <w:lang w:val="es-AR"/>
        </w:rPr>
        <w:t>how</w:t>
      </w:r>
      <w:proofErr w:type="spellEnd"/>
      <w:r w:rsidRPr="00913016">
        <w:rPr>
          <w:sz w:val="20"/>
          <w:szCs w:val="20"/>
          <w:lang w:val="es-AR"/>
        </w:rPr>
        <w:t xml:space="preserve"> </w:t>
      </w:r>
      <w:proofErr w:type="spellStart"/>
      <w:r w:rsidRPr="00913016">
        <w:rPr>
          <w:sz w:val="20"/>
          <w:szCs w:val="20"/>
          <w:lang w:val="es-AR"/>
        </w:rPr>
        <w:t>people</w:t>
      </w:r>
      <w:proofErr w:type="spellEnd"/>
      <w:r w:rsidRPr="00913016">
        <w:rPr>
          <w:sz w:val="20"/>
          <w:szCs w:val="20"/>
          <w:lang w:val="es-AR"/>
        </w:rPr>
        <w:t xml:space="preserve"> </w:t>
      </w:r>
      <w:proofErr w:type="spellStart"/>
      <w:r w:rsidRPr="00913016">
        <w:rPr>
          <w:sz w:val="20"/>
          <w:szCs w:val="20"/>
          <w:lang w:val="es-AR"/>
        </w:rPr>
        <w:t>pursue</w:t>
      </w:r>
      <w:proofErr w:type="spellEnd"/>
      <w:r w:rsidRPr="00913016">
        <w:rPr>
          <w:sz w:val="20"/>
          <w:szCs w:val="20"/>
          <w:lang w:val="es-AR"/>
        </w:rPr>
        <w:t xml:space="preserve"> </w:t>
      </w:r>
      <w:proofErr w:type="spellStart"/>
      <w:r w:rsidRPr="00913016">
        <w:rPr>
          <w:sz w:val="20"/>
          <w:szCs w:val="20"/>
          <w:lang w:val="es-AR"/>
        </w:rPr>
        <w:t>happiness</w:t>
      </w:r>
      <w:proofErr w:type="spellEnd"/>
      <w:r w:rsidRPr="00913016">
        <w:rPr>
          <w:sz w:val="20"/>
          <w:szCs w:val="20"/>
          <w:lang w:val="es-AR"/>
        </w:rPr>
        <w:t xml:space="preserve"> </w:t>
      </w:r>
      <w:proofErr w:type="spellStart"/>
      <w:r w:rsidRPr="00913016">
        <w:rPr>
          <w:sz w:val="20"/>
          <w:szCs w:val="20"/>
          <w:lang w:val="es-AR"/>
        </w:rPr>
        <w:t>through</w:t>
      </w:r>
      <w:proofErr w:type="spellEnd"/>
      <w:r w:rsidRPr="00913016">
        <w:rPr>
          <w:sz w:val="20"/>
          <w:szCs w:val="20"/>
          <w:lang w:val="es-AR"/>
        </w:rPr>
        <w:t xml:space="preserve"> </w:t>
      </w:r>
      <w:proofErr w:type="spellStart"/>
      <w:r w:rsidRPr="00913016">
        <w:rPr>
          <w:sz w:val="20"/>
          <w:szCs w:val="20"/>
          <w:lang w:val="es-AR"/>
        </w:rPr>
        <w:t>pleasure</w:t>
      </w:r>
      <w:proofErr w:type="spellEnd"/>
      <w:r w:rsidRPr="00913016">
        <w:rPr>
          <w:sz w:val="20"/>
          <w:szCs w:val="20"/>
          <w:lang w:val="es-AR"/>
        </w:rPr>
        <w:t xml:space="preserve">, </w:t>
      </w:r>
      <w:proofErr w:type="spellStart"/>
      <w:r w:rsidRPr="00913016">
        <w:rPr>
          <w:sz w:val="20"/>
          <w:szCs w:val="20"/>
          <w:lang w:val="es-AR"/>
        </w:rPr>
        <w:t>meaning</w:t>
      </w:r>
      <w:proofErr w:type="spellEnd"/>
      <w:r w:rsidRPr="00913016">
        <w:rPr>
          <w:sz w:val="20"/>
          <w:szCs w:val="20"/>
          <w:lang w:val="es-AR"/>
        </w:rPr>
        <w:t xml:space="preserve">, and </w:t>
      </w:r>
      <w:proofErr w:type="spellStart"/>
      <w:r w:rsidRPr="00913016">
        <w:rPr>
          <w:sz w:val="20"/>
          <w:szCs w:val="20"/>
          <w:lang w:val="es-AR"/>
        </w:rPr>
        <w:t>engagment</w:t>
      </w:r>
      <w:proofErr w:type="spellEnd"/>
      <w:r w:rsidRPr="00913016">
        <w:rPr>
          <w:sz w:val="20"/>
          <w:szCs w:val="20"/>
          <w:lang w:val="es-AR"/>
        </w:rPr>
        <w:t xml:space="preserve">. </w:t>
      </w:r>
      <w:proofErr w:type="spellStart"/>
      <w:r w:rsidRPr="00913016">
        <w:rPr>
          <w:sz w:val="20"/>
          <w:szCs w:val="20"/>
          <w:lang w:val="es-AR"/>
        </w:rPr>
        <w:t>However</w:t>
      </w:r>
      <w:proofErr w:type="spellEnd"/>
      <w:r w:rsidRPr="00913016">
        <w:rPr>
          <w:sz w:val="20"/>
          <w:szCs w:val="20"/>
          <w:lang w:val="es-AR"/>
        </w:rPr>
        <w:t xml:space="preserve">, </w:t>
      </w:r>
      <w:proofErr w:type="spellStart"/>
      <w:r w:rsidRPr="00913016">
        <w:rPr>
          <w:sz w:val="20"/>
          <w:szCs w:val="20"/>
          <w:lang w:val="es-AR"/>
        </w:rPr>
        <w:t>we</w:t>
      </w:r>
      <w:proofErr w:type="spellEnd"/>
      <w:r w:rsidRPr="00913016">
        <w:rPr>
          <w:sz w:val="20"/>
          <w:szCs w:val="20"/>
          <w:lang w:val="es-AR"/>
        </w:rPr>
        <w:t xml:space="preserve"> </w:t>
      </w:r>
      <w:proofErr w:type="spellStart"/>
      <w:r w:rsidRPr="00913016">
        <w:rPr>
          <w:sz w:val="20"/>
          <w:szCs w:val="20"/>
          <w:lang w:val="es-AR"/>
        </w:rPr>
        <w:t>unaware</w:t>
      </w:r>
      <w:proofErr w:type="spellEnd"/>
      <w:r w:rsidRPr="00913016">
        <w:rPr>
          <w:sz w:val="20"/>
          <w:szCs w:val="20"/>
          <w:lang w:val="es-AR"/>
        </w:rPr>
        <w:t xml:space="preserve"> </w:t>
      </w:r>
      <w:proofErr w:type="spellStart"/>
      <w:r w:rsidRPr="00913016">
        <w:rPr>
          <w:sz w:val="20"/>
          <w:szCs w:val="20"/>
          <w:lang w:val="es-AR"/>
        </w:rPr>
        <w:t>how</w:t>
      </w:r>
      <w:proofErr w:type="spellEnd"/>
      <w:r w:rsidRPr="00913016">
        <w:rPr>
          <w:sz w:val="20"/>
          <w:szCs w:val="20"/>
          <w:lang w:val="es-AR"/>
        </w:rPr>
        <w:t xml:space="preserve"> are </w:t>
      </w:r>
      <w:proofErr w:type="spellStart"/>
      <w:r w:rsidRPr="00913016">
        <w:rPr>
          <w:sz w:val="20"/>
          <w:szCs w:val="20"/>
          <w:lang w:val="es-AR"/>
        </w:rPr>
        <w:t>these</w:t>
      </w:r>
      <w:proofErr w:type="spellEnd"/>
      <w:r w:rsidRPr="00913016">
        <w:rPr>
          <w:sz w:val="20"/>
          <w:szCs w:val="20"/>
          <w:lang w:val="es-AR"/>
        </w:rPr>
        <w:t xml:space="preserve"> </w:t>
      </w:r>
      <w:proofErr w:type="spellStart"/>
      <w:r w:rsidRPr="00913016">
        <w:rPr>
          <w:sz w:val="20"/>
          <w:szCs w:val="20"/>
          <w:lang w:val="es-AR"/>
        </w:rPr>
        <w:t>pathways</w:t>
      </w:r>
      <w:proofErr w:type="spellEnd"/>
      <w:r w:rsidRPr="00913016">
        <w:rPr>
          <w:sz w:val="20"/>
          <w:szCs w:val="20"/>
          <w:lang w:val="es-AR"/>
        </w:rPr>
        <w:t xml:space="preserve"> </w:t>
      </w:r>
      <w:proofErr w:type="spellStart"/>
      <w:r w:rsidRPr="00913016">
        <w:rPr>
          <w:sz w:val="20"/>
          <w:szCs w:val="20"/>
          <w:lang w:val="es-AR"/>
        </w:rPr>
        <w:t>to</w:t>
      </w:r>
      <w:proofErr w:type="spellEnd"/>
      <w:r w:rsidRPr="00913016">
        <w:rPr>
          <w:sz w:val="20"/>
          <w:szCs w:val="20"/>
          <w:lang w:val="es-AR"/>
        </w:rPr>
        <w:t xml:space="preserve"> </w:t>
      </w:r>
      <w:proofErr w:type="spellStart"/>
      <w:r w:rsidRPr="00913016">
        <w:rPr>
          <w:sz w:val="20"/>
          <w:szCs w:val="20"/>
          <w:lang w:val="es-AR"/>
        </w:rPr>
        <w:t>happiness</w:t>
      </w:r>
      <w:proofErr w:type="spellEnd"/>
      <w:r w:rsidRPr="00913016">
        <w:rPr>
          <w:sz w:val="20"/>
          <w:szCs w:val="20"/>
          <w:lang w:val="es-AR"/>
        </w:rPr>
        <w:t xml:space="preserve"> in Latinos </w:t>
      </w:r>
      <w:proofErr w:type="spellStart"/>
      <w:r w:rsidRPr="00913016">
        <w:rPr>
          <w:sz w:val="20"/>
          <w:szCs w:val="20"/>
          <w:lang w:val="es-AR"/>
        </w:rPr>
        <w:t>due</w:t>
      </w:r>
      <w:proofErr w:type="spellEnd"/>
      <w:r w:rsidRPr="00913016">
        <w:rPr>
          <w:sz w:val="20"/>
          <w:szCs w:val="20"/>
          <w:lang w:val="es-AR"/>
        </w:rPr>
        <w:t xml:space="preserve"> </w:t>
      </w:r>
      <w:proofErr w:type="spellStart"/>
      <w:r w:rsidRPr="00913016">
        <w:rPr>
          <w:sz w:val="20"/>
          <w:szCs w:val="20"/>
          <w:lang w:val="es-AR"/>
        </w:rPr>
        <w:t>to</w:t>
      </w:r>
      <w:proofErr w:type="spellEnd"/>
      <w:r w:rsidRPr="00913016">
        <w:rPr>
          <w:sz w:val="20"/>
          <w:szCs w:val="20"/>
          <w:lang w:val="es-AR"/>
        </w:rPr>
        <w:t xml:space="preserve"> </w:t>
      </w:r>
      <w:proofErr w:type="spellStart"/>
      <w:r w:rsidRPr="00913016">
        <w:rPr>
          <w:sz w:val="20"/>
          <w:szCs w:val="20"/>
          <w:lang w:val="es-AR"/>
        </w:rPr>
        <w:t>the</w:t>
      </w:r>
      <w:proofErr w:type="spellEnd"/>
      <w:r w:rsidRPr="00913016">
        <w:rPr>
          <w:sz w:val="20"/>
          <w:szCs w:val="20"/>
          <w:lang w:val="es-AR"/>
        </w:rPr>
        <w:t xml:space="preserve"> cultural </w:t>
      </w:r>
      <w:proofErr w:type="spellStart"/>
      <w:r w:rsidRPr="00913016">
        <w:rPr>
          <w:sz w:val="20"/>
          <w:szCs w:val="20"/>
          <w:lang w:val="es-AR"/>
        </w:rPr>
        <w:t>validity</w:t>
      </w:r>
      <w:proofErr w:type="spellEnd"/>
      <w:r w:rsidRPr="00913016">
        <w:rPr>
          <w:sz w:val="20"/>
          <w:szCs w:val="20"/>
          <w:lang w:val="es-AR"/>
        </w:rPr>
        <w:t xml:space="preserve"> </w:t>
      </w:r>
      <w:proofErr w:type="spellStart"/>
      <w:r w:rsidRPr="00913016">
        <w:rPr>
          <w:sz w:val="20"/>
          <w:szCs w:val="20"/>
          <w:lang w:val="es-AR"/>
        </w:rPr>
        <w:t>of</w:t>
      </w:r>
      <w:proofErr w:type="spellEnd"/>
      <w:r w:rsidRPr="00913016">
        <w:rPr>
          <w:sz w:val="20"/>
          <w:szCs w:val="20"/>
          <w:lang w:val="es-AR"/>
        </w:rPr>
        <w:t xml:space="preserve"> </w:t>
      </w:r>
      <w:proofErr w:type="spellStart"/>
      <w:r w:rsidRPr="00913016">
        <w:rPr>
          <w:sz w:val="20"/>
          <w:szCs w:val="20"/>
          <w:lang w:val="es-AR"/>
        </w:rPr>
        <w:t>these</w:t>
      </w:r>
      <w:proofErr w:type="spellEnd"/>
      <w:r w:rsidRPr="00913016">
        <w:rPr>
          <w:sz w:val="20"/>
          <w:szCs w:val="20"/>
          <w:lang w:val="es-AR"/>
        </w:rPr>
        <w:t xml:space="preserve"> </w:t>
      </w:r>
      <w:proofErr w:type="spellStart"/>
      <w:r w:rsidRPr="00913016">
        <w:rPr>
          <w:sz w:val="20"/>
          <w:szCs w:val="20"/>
          <w:lang w:val="es-AR"/>
        </w:rPr>
        <w:t>measures</w:t>
      </w:r>
      <w:proofErr w:type="spellEnd"/>
      <w:r w:rsidRPr="00913016">
        <w:rPr>
          <w:sz w:val="20"/>
          <w:szCs w:val="20"/>
          <w:lang w:val="es-AR"/>
        </w:rPr>
        <w:t xml:space="preserve">. </w:t>
      </w:r>
      <w:proofErr w:type="spellStart"/>
      <w:r w:rsidRPr="00913016">
        <w:rPr>
          <w:sz w:val="20"/>
          <w:szCs w:val="20"/>
          <w:lang w:val="es-AR"/>
        </w:rPr>
        <w:t>This</w:t>
      </w:r>
      <w:proofErr w:type="spellEnd"/>
      <w:r w:rsidRPr="00913016">
        <w:rPr>
          <w:sz w:val="20"/>
          <w:szCs w:val="20"/>
          <w:lang w:val="es-AR"/>
        </w:rPr>
        <w:t xml:space="preserve"> </w:t>
      </w:r>
      <w:proofErr w:type="spellStart"/>
      <w:r w:rsidRPr="00913016">
        <w:rPr>
          <w:sz w:val="20"/>
          <w:szCs w:val="20"/>
          <w:lang w:val="es-AR"/>
        </w:rPr>
        <w:t>research</w:t>
      </w:r>
      <w:proofErr w:type="spellEnd"/>
      <w:r w:rsidRPr="00913016">
        <w:rPr>
          <w:sz w:val="20"/>
          <w:szCs w:val="20"/>
          <w:lang w:val="es-AR"/>
        </w:rPr>
        <w:t xml:space="preserve"> </w:t>
      </w:r>
      <w:proofErr w:type="spellStart"/>
      <w:r w:rsidRPr="00913016">
        <w:rPr>
          <w:sz w:val="20"/>
          <w:szCs w:val="20"/>
          <w:lang w:val="es-AR"/>
        </w:rPr>
        <w:t>had</w:t>
      </w:r>
      <w:proofErr w:type="spellEnd"/>
      <w:r w:rsidRPr="00913016">
        <w:rPr>
          <w:sz w:val="20"/>
          <w:szCs w:val="20"/>
          <w:lang w:val="es-AR"/>
        </w:rPr>
        <w:t xml:space="preserve"> </w:t>
      </w:r>
      <w:proofErr w:type="spellStart"/>
      <w:r w:rsidRPr="00913016">
        <w:rPr>
          <w:sz w:val="20"/>
          <w:szCs w:val="20"/>
          <w:lang w:val="es-AR"/>
        </w:rPr>
        <w:t>three</w:t>
      </w:r>
      <w:proofErr w:type="spellEnd"/>
      <w:r w:rsidRPr="00913016">
        <w:rPr>
          <w:sz w:val="20"/>
          <w:szCs w:val="20"/>
          <w:lang w:val="es-AR"/>
        </w:rPr>
        <w:t xml:space="preserve"> </w:t>
      </w:r>
      <w:proofErr w:type="spellStart"/>
      <w:r w:rsidRPr="00913016">
        <w:rPr>
          <w:sz w:val="20"/>
          <w:szCs w:val="20"/>
          <w:lang w:val="es-AR"/>
        </w:rPr>
        <w:t>studies</w:t>
      </w:r>
      <w:proofErr w:type="spellEnd"/>
      <w:r w:rsidRPr="00913016">
        <w:rPr>
          <w:sz w:val="20"/>
          <w:szCs w:val="20"/>
          <w:lang w:val="es-AR"/>
        </w:rPr>
        <w:t xml:space="preserve">. </w:t>
      </w:r>
      <w:proofErr w:type="spellStart"/>
      <w:r w:rsidRPr="00913016">
        <w:rPr>
          <w:sz w:val="20"/>
          <w:szCs w:val="20"/>
          <w:lang w:val="es-AR"/>
        </w:rPr>
        <w:t>The</w:t>
      </w:r>
      <w:proofErr w:type="spellEnd"/>
      <w:r w:rsidRPr="00913016">
        <w:rPr>
          <w:sz w:val="20"/>
          <w:szCs w:val="20"/>
          <w:lang w:val="es-AR"/>
        </w:rPr>
        <w:t xml:space="preserve"> </w:t>
      </w:r>
      <w:proofErr w:type="spellStart"/>
      <w:r w:rsidRPr="00913016">
        <w:rPr>
          <w:sz w:val="20"/>
          <w:szCs w:val="20"/>
          <w:lang w:val="es-AR"/>
        </w:rPr>
        <w:t>aims</w:t>
      </w:r>
      <w:proofErr w:type="spellEnd"/>
      <w:r w:rsidRPr="00913016">
        <w:rPr>
          <w:sz w:val="20"/>
          <w:szCs w:val="20"/>
          <w:lang w:val="es-AR"/>
        </w:rPr>
        <w:t xml:space="preserve"> </w:t>
      </w:r>
      <w:proofErr w:type="spellStart"/>
      <w:r w:rsidRPr="00913016">
        <w:rPr>
          <w:sz w:val="20"/>
          <w:szCs w:val="20"/>
          <w:lang w:val="es-AR"/>
        </w:rPr>
        <w:t>was</w:t>
      </w:r>
      <w:proofErr w:type="spellEnd"/>
      <w:r w:rsidRPr="00913016">
        <w:rPr>
          <w:sz w:val="20"/>
          <w:szCs w:val="20"/>
          <w:lang w:val="es-AR"/>
        </w:rPr>
        <w:t xml:space="preserve"> </w:t>
      </w:r>
      <w:proofErr w:type="spellStart"/>
      <w:r w:rsidRPr="00913016">
        <w:rPr>
          <w:sz w:val="20"/>
          <w:szCs w:val="20"/>
          <w:lang w:val="es-AR"/>
        </w:rPr>
        <w:t>analyzed</w:t>
      </w:r>
      <w:proofErr w:type="spellEnd"/>
      <w:r w:rsidRPr="00913016">
        <w:rPr>
          <w:sz w:val="20"/>
          <w:szCs w:val="20"/>
          <w:lang w:val="es-AR"/>
        </w:rPr>
        <w:t xml:space="preserve"> </w:t>
      </w:r>
      <w:proofErr w:type="spellStart"/>
      <w:r w:rsidRPr="00913016">
        <w:rPr>
          <w:sz w:val="20"/>
          <w:szCs w:val="20"/>
          <w:lang w:val="es-AR"/>
        </w:rPr>
        <w:t>the</w:t>
      </w:r>
      <w:proofErr w:type="spellEnd"/>
      <w:r w:rsidRPr="00913016">
        <w:rPr>
          <w:sz w:val="20"/>
          <w:szCs w:val="20"/>
          <w:lang w:val="es-AR"/>
        </w:rPr>
        <w:t xml:space="preserve"> </w:t>
      </w:r>
      <w:proofErr w:type="spellStart"/>
      <w:r w:rsidRPr="00913016">
        <w:rPr>
          <w:sz w:val="20"/>
          <w:szCs w:val="20"/>
          <w:lang w:val="es-AR"/>
        </w:rPr>
        <w:t>psychometric</w:t>
      </w:r>
      <w:proofErr w:type="spellEnd"/>
      <w:r w:rsidRPr="00913016">
        <w:rPr>
          <w:sz w:val="20"/>
          <w:szCs w:val="20"/>
          <w:lang w:val="es-AR"/>
        </w:rPr>
        <w:t xml:space="preserve"> </w:t>
      </w:r>
      <w:proofErr w:type="spellStart"/>
      <w:r w:rsidRPr="00913016">
        <w:rPr>
          <w:sz w:val="20"/>
          <w:szCs w:val="20"/>
          <w:lang w:val="es-AR"/>
        </w:rPr>
        <w:t>properties</w:t>
      </w:r>
      <w:proofErr w:type="spellEnd"/>
      <w:r w:rsidRPr="00913016">
        <w:rPr>
          <w:sz w:val="20"/>
          <w:szCs w:val="20"/>
          <w:lang w:val="es-AR"/>
        </w:rPr>
        <w:t xml:space="preserve"> </w:t>
      </w:r>
      <w:proofErr w:type="spellStart"/>
      <w:r w:rsidRPr="00913016">
        <w:rPr>
          <w:sz w:val="20"/>
          <w:szCs w:val="20"/>
          <w:lang w:val="es-AR"/>
        </w:rPr>
        <w:t>of</w:t>
      </w:r>
      <w:proofErr w:type="spellEnd"/>
      <w:r w:rsidRPr="00913016">
        <w:rPr>
          <w:sz w:val="20"/>
          <w:szCs w:val="20"/>
          <w:lang w:val="es-AR"/>
        </w:rPr>
        <w:t xml:space="preserve"> </w:t>
      </w:r>
      <w:proofErr w:type="spellStart"/>
      <w:r w:rsidRPr="00913016">
        <w:rPr>
          <w:sz w:val="20"/>
          <w:szCs w:val="20"/>
          <w:lang w:val="es-AR"/>
        </w:rPr>
        <w:t>the</w:t>
      </w:r>
      <w:proofErr w:type="spellEnd"/>
      <w:r w:rsidRPr="00913016">
        <w:rPr>
          <w:sz w:val="20"/>
          <w:szCs w:val="20"/>
          <w:lang w:val="es-AR"/>
        </w:rPr>
        <w:t xml:space="preserve"> </w:t>
      </w:r>
      <w:proofErr w:type="spellStart"/>
      <w:r w:rsidRPr="00913016">
        <w:rPr>
          <w:sz w:val="20"/>
          <w:szCs w:val="20"/>
          <w:lang w:val="es-AR"/>
        </w:rPr>
        <w:t>Orientations</w:t>
      </w:r>
      <w:proofErr w:type="spellEnd"/>
      <w:r w:rsidRPr="00913016">
        <w:rPr>
          <w:sz w:val="20"/>
          <w:szCs w:val="20"/>
          <w:lang w:val="es-AR"/>
        </w:rPr>
        <w:t xml:space="preserve"> </w:t>
      </w:r>
      <w:proofErr w:type="spellStart"/>
      <w:r w:rsidRPr="00913016">
        <w:rPr>
          <w:sz w:val="20"/>
          <w:szCs w:val="20"/>
          <w:lang w:val="es-AR"/>
        </w:rPr>
        <w:t>to</w:t>
      </w:r>
      <w:proofErr w:type="spellEnd"/>
      <w:r w:rsidRPr="00913016">
        <w:rPr>
          <w:sz w:val="20"/>
          <w:szCs w:val="20"/>
          <w:lang w:val="es-AR"/>
        </w:rPr>
        <w:t xml:space="preserve"> </w:t>
      </w:r>
      <w:proofErr w:type="spellStart"/>
      <w:r w:rsidRPr="00913016">
        <w:rPr>
          <w:sz w:val="20"/>
          <w:szCs w:val="20"/>
          <w:lang w:val="es-AR"/>
        </w:rPr>
        <w:t>Happiness</w:t>
      </w:r>
      <w:proofErr w:type="spellEnd"/>
      <w:r w:rsidRPr="00913016">
        <w:rPr>
          <w:sz w:val="20"/>
          <w:szCs w:val="20"/>
          <w:lang w:val="es-AR"/>
        </w:rPr>
        <w:t xml:space="preserve"> </w:t>
      </w:r>
      <w:proofErr w:type="spellStart"/>
      <w:r w:rsidRPr="00913016">
        <w:rPr>
          <w:sz w:val="20"/>
          <w:szCs w:val="20"/>
          <w:lang w:val="es-AR"/>
        </w:rPr>
        <w:t>Scale</w:t>
      </w:r>
      <w:proofErr w:type="spellEnd"/>
      <w:r w:rsidRPr="00913016">
        <w:rPr>
          <w:sz w:val="20"/>
          <w:szCs w:val="20"/>
          <w:lang w:val="es-AR"/>
        </w:rPr>
        <w:t xml:space="preserve"> (OTHS) </w:t>
      </w:r>
      <w:proofErr w:type="spellStart"/>
      <w:r w:rsidRPr="00913016">
        <w:rPr>
          <w:sz w:val="20"/>
          <w:szCs w:val="20"/>
          <w:lang w:val="es-AR"/>
        </w:rPr>
        <w:t>to</w:t>
      </w:r>
      <w:proofErr w:type="spellEnd"/>
      <w:r w:rsidRPr="00913016">
        <w:rPr>
          <w:sz w:val="20"/>
          <w:szCs w:val="20"/>
          <w:lang w:val="es-AR"/>
        </w:rPr>
        <w:t xml:space="preserve"> </w:t>
      </w:r>
      <w:proofErr w:type="spellStart"/>
      <w:r w:rsidRPr="00913016">
        <w:rPr>
          <w:sz w:val="20"/>
          <w:szCs w:val="20"/>
          <w:lang w:val="es-AR"/>
        </w:rPr>
        <w:t>propose</w:t>
      </w:r>
      <w:proofErr w:type="spellEnd"/>
      <w:r w:rsidRPr="00913016">
        <w:rPr>
          <w:sz w:val="20"/>
          <w:szCs w:val="20"/>
          <w:lang w:val="es-AR"/>
        </w:rPr>
        <w:t xml:space="preserve"> a </w:t>
      </w:r>
      <w:proofErr w:type="spellStart"/>
      <w:r w:rsidRPr="00913016">
        <w:rPr>
          <w:sz w:val="20"/>
          <w:szCs w:val="20"/>
          <w:lang w:val="es-AR"/>
        </w:rPr>
        <w:t>measurement</w:t>
      </w:r>
      <w:proofErr w:type="spellEnd"/>
      <w:r w:rsidRPr="00913016">
        <w:rPr>
          <w:sz w:val="20"/>
          <w:szCs w:val="20"/>
          <w:lang w:val="es-AR"/>
        </w:rPr>
        <w:t xml:space="preserve"> </w:t>
      </w:r>
      <w:proofErr w:type="spellStart"/>
      <w:r w:rsidRPr="00913016">
        <w:rPr>
          <w:sz w:val="20"/>
          <w:szCs w:val="20"/>
          <w:lang w:val="es-AR"/>
        </w:rPr>
        <w:t>model</w:t>
      </w:r>
      <w:proofErr w:type="spellEnd"/>
      <w:r w:rsidRPr="00913016">
        <w:rPr>
          <w:sz w:val="20"/>
          <w:szCs w:val="20"/>
          <w:lang w:val="es-AR"/>
        </w:rPr>
        <w:t xml:space="preserve"> </w:t>
      </w:r>
      <w:proofErr w:type="spellStart"/>
      <w:r w:rsidRPr="00913016">
        <w:rPr>
          <w:sz w:val="20"/>
          <w:szCs w:val="20"/>
          <w:lang w:val="es-AR"/>
        </w:rPr>
        <w:t>tailored</w:t>
      </w:r>
      <w:proofErr w:type="spellEnd"/>
      <w:r w:rsidRPr="00913016">
        <w:rPr>
          <w:sz w:val="20"/>
          <w:szCs w:val="20"/>
          <w:lang w:val="es-AR"/>
        </w:rPr>
        <w:t xml:space="preserve"> </w:t>
      </w:r>
      <w:proofErr w:type="spellStart"/>
      <w:r w:rsidRPr="00913016">
        <w:rPr>
          <w:sz w:val="20"/>
          <w:szCs w:val="20"/>
          <w:lang w:val="es-AR"/>
        </w:rPr>
        <w:t>to</w:t>
      </w:r>
      <w:proofErr w:type="spellEnd"/>
      <w:r w:rsidRPr="00913016">
        <w:rPr>
          <w:sz w:val="20"/>
          <w:szCs w:val="20"/>
          <w:lang w:val="es-AR"/>
        </w:rPr>
        <w:t xml:space="preserve"> </w:t>
      </w:r>
      <w:proofErr w:type="spellStart"/>
      <w:r w:rsidRPr="00913016">
        <w:rPr>
          <w:sz w:val="20"/>
          <w:szCs w:val="20"/>
          <w:lang w:val="es-AR"/>
        </w:rPr>
        <w:t>Mexican</w:t>
      </w:r>
      <w:proofErr w:type="spellEnd"/>
      <w:r w:rsidRPr="00913016">
        <w:rPr>
          <w:sz w:val="20"/>
          <w:szCs w:val="20"/>
          <w:lang w:val="es-AR"/>
        </w:rPr>
        <w:t xml:space="preserve"> culture. </w:t>
      </w:r>
      <w:proofErr w:type="spellStart"/>
      <w:r w:rsidRPr="00913016">
        <w:rPr>
          <w:sz w:val="20"/>
          <w:szCs w:val="20"/>
          <w:lang w:val="es-AR"/>
        </w:rPr>
        <w:t>The</w:t>
      </w:r>
      <w:proofErr w:type="spellEnd"/>
      <w:r w:rsidRPr="00913016">
        <w:rPr>
          <w:sz w:val="20"/>
          <w:szCs w:val="20"/>
          <w:lang w:val="es-AR"/>
        </w:rPr>
        <w:t xml:space="preserve"> </w:t>
      </w:r>
      <w:proofErr w:type="spellStart"/>
      <w:r w:rsidRPr="00913016">
        <w:rPr>
          <w:sz w:val="20"/>
          <w:szCs w:val="20"/>
          <w:lang w:val="es-AR"/>
        </w:rPr>
        <w:t>study</w:t>
      </w:r>
      <w:proofErr w:type="spellEnd"/>
      <w:r w:rsidRPr="00913016">
        <w:rPr>
          <w:sz w:val="20"/>
          <w:szCs w:val="20"/>
          <w:lang w:val="es-AR"/>
        </w:rPr>
        <w:t xml:space="preserve"> I </w:t>
      </w:r>
      <w:proofErr w:type="spellStart"/>
      <w:r w:rsidRPr="00913016">
        <w:rPr>
          <w:sz w:val="20"/>
          <w:szCs w:val="20"/>
          <w:lang w:val="es-AR"/>
        </w:rPr>
        <w:t>assessed</w:t>
      </w:r>
      <w:proofErr w:type="spellEnd"/>
      <w:r w:rsidRPr="00913016">
        <w:rPr>
          <w:sz w:val="20"/>
          <w:szCs w:val="20"/>
          <w:lang w:val="es-AR"/>
        </w:rPr>
        <w:t xml:space="preserve"> </w:t>
      </w:r>
      <w:proofErr w:type="spellStart"/>
      <w:r w:rsidRPr="00913016">
        <w:rPr>
          <w:sz w:val="20"/>
          <w:szCs w:val="20"/>
          <w:lang w:val="es-AR"/>
        </w:rPr>
        <w:t>content</w:t>
      </w:r>
      <w:proofErr w:type="spellEnd"/>
      <w:r w:rsidRPr="00913016">
        <w:rPr>
          <w:sz w:val="20"/>
          <w:szCs w:val="20"/>
          <w:lang w:val="es-AR"/>
        </w:rPr>
        <w:t xml:space="preserve"> </w:t>
      </w:r>
      <w:proofErr w:type="spellStart"/>
      <w:r w:rsidRPr="00913016">
        <w:rPr>
          <w:sz w:val="20"/>
          <w:szCs w:val="20"/>
          <w:lang w:val="es-AR"/>
        </w:rPr>
        <w:t>validity</w:t>
      </w:r>
      <w:proofErr w:type="spellEnd"/>
      <w:r w:rsidRPr="00913016">
        <w:rPr>
          <w:sz w:val="20"/>
          <w:szCs w:val="20"/>
          <w:lang w:val="es-AR"/>
        </w:rPr>
        <w:t xml:space="preserve"> </w:t>
      </w:r>
      <w:proofErr w:type="spellStart"/>
      <w:r w:rsidRPr="00913016">
        <w:rPr>
          <w:sz w:val="20"/>
          <w:szCs w:val="20"/>
          <w:lang w:val="es-AR"/>
        </w:rPr>
        <w:t>through</w:t>
      </w:r>
      <w:proofErr w:type="spellEnd"/>
      <w:r w:rsidRPr="00913016">
        <w:rPr>
          <w:sz w:val="20"/>
          <w:szCs w:val="20"/>
          <w:lang w:val="es-AR"/>
        </w:rPr>
        <w:t xml:space="preserve"> a </w:t>
      </w:r>
      <w:proofErr w:type="spellStart"/>
      <w:r w:rsidRPr="00913016">
        <w:rPr>
          <w:sz w:val="20"/>
          <w:szCs w:val="20"/>
          <w:lang w:val="es-AR"/>
        </w:rPr>
        <w:t>translation</w:t>
      </w:r>
      <w:proofErr w:type="spellEnd"/>
      <w:r w:rsidRPr="00913016">
        <w:rPr>
          <w:sz w:val="20"/>
          <w:szCs w:val="20"/>
          <w:lang w:val="es-AR"/>
        </w:rPr>
        <w:t>-back-</w:t>
      </w:r>
      <w:proofErr w:type="spellStart"/>
      <w:r w:rsidRPr="00913016">
        <w:rPr>
          <w:sz w:val="20"/>
          <w:szCs w:val="20"/>
          <w:lang w:val="es-AR"/>
        </w:rPr>
        <w:t>translation</w:t>
      </w:r>
      <w:proofErr w:type="spellEnd"/>
      <w:r w:rsidRPr="00913016">
        <w:rPr>
          <w:sz w:val="20"/>
          <w:szCs w:val="20"/>
          <w:lang w:val="es-AR"/>
        </w:rPr>
        <w:t xml:space="preserve"> </w:t>
      </w:r>
      <w:proofErr w:type="spellStart"/>
      <w:r w:rsidRPr="00913016">
        <w:rPr>
          <w:sz w:val="20"/>
          <w:szCs w:val="20"/>
          <w:lang w:val="es-AR"/>
        </w:rPr>
        <w:t>process</w:t>
      </w:r>
      <w:proofErr w:type="spellEnd"/>
      <w:r w:rsidRPr="00913016">
        <w:rPr>
          <w:sz w:val="20"/>
          <w:szCs w:val="20"/>
          <w:lang w:val="es-AR"/>
        </w:rPr>
        <w:t xml:space="preserve"> and </w:t>
      </w:r>
      <w:proofErr w:type="spellStart"/>
      <w:r w:rsidRPr="00913016">
        <w:rPr>
          <w:sz w:val="20"/>
          <w:szCs w:val="20"/>
          <w:lang w:val="es-AR"/>
        </w:rPr>
        <w:t>expert</w:t>
      </w:r>
      <w:proofErr w:type="spellEnd"/>
      <w:r w:rsidRPr="00913016">
        <w:rPr>
          <w:sz w:val="20"/>
          <w:szCs w:val="20"/>
          <w:lang w:val="es-AR"/>
        </w:rPr>
        <w:t xml:space="preserve"> </w:t>
      </w:r>
      <w:proofErr w:type="spellStart"/>
      <w:r w:rsidRPr="00913016">
        <w:rPr>
          <w:sz w:val="20"/>
          <w:szCs w:val="20"/>
          <w:lang w:val="es-AR"/>
        </w:rPr>
        <w:t>judgment</w:t>
      </w:r>
      <w:proofErr w:type="spellEnd"/>
      <w:r w:rsidRPr="00913016">
        <w:rPr>
          <w:sz w:val="20"/>
          <w:szCs w:val="20"/>
          <w:lang w:val="es-AR"/>
        </w:rPr>
        <w:t xml:space="preserve">. </w:t>
      </w:r>
      <w:proofErr w:type="spellStart"/>
      <w:r w:rsidRPr="00913016">
        <w:rPr>
          <w:sz w:val="20"/>
          <w:szCs w:val="20"/>
          <w:lang w:val="es-AR"/>
        </w:rPr>
        <w:t>Afterwards</w:t>
      </w:r>
      <w:proofErr w:type="spellEnd"/>
      <w:r w:rsidRPr="00913016">
        <w:rPr>
          <w:sz w:val="20"/>
          <w:szCs w:val="20"/>
          <w:lang w:val="es-AR"/>
        </w:rPr>
        <w:t xml:space="preserve">, </w:t>
      </w:r>
      <w:proofErr w:type="spellStart"/>
      <w:r w:rsidRPr="00913016">
        <w:rPr>
          <w:sz w:val="20"/>
          <w:szCs w:val="20"/>
          <w:lang w:val="es-AR"/>
        </w:rPr>
        <w:t>we</w:t>
      </w:r>
      <w:proofErr w:type="spellEnd"/>
      <w:r w:rsidRPr="00913016">
        <w:rPr>
          <w:sz w:val="20"/>
          <w:szCs w:val="20"/>
          <w:lang w:val="es-AR"/>
        </w:rPr>
        <w:t xml:space="preserve"> </w:t>
      </w:r>
      <w:proofErr w:type="spellStart"/>
      <w:r w:rsidRPr="00913016">
        <w:rPr>
          <w:sz w:val="20"/>
          <w:szCs w:val="20"/>
          <w:lang w:val="es-AR"/>
        </w:rPr>
        <w:t>estimated</w:t>
      </w:r>
      <w:proofErr w:type="spellEnd"/>
      <w:r w:rsidRPr="00913016">
        <w:rPr>
          <w:sz w:val="20"/>
          <w:szCs w:val="20"/>
          <w:lang w:val="es-AR"/>
        </w:rPr>
        <w:t xml:space="preserve"> </w:t>
      </w:r>
      <w:proofErr w:type="spellStart"/>
      <w:r w:rsidRPr="00913016">
        <w:rPr>
          <w:sz w:val="20"/>
          <w:szCs w:val="20"/>
          <w:lang w:val="es-AR"/>
        </w:rPr>
        <w:t>the</w:t>
      </w:r>
      <w:proofErr w:type="spellEnd"/>
      <w:r w:rsidRPr="00913016">
        <w:rPr>
          <w:sz w:val="20"/>
          <w:szCs w:val="20"/>
          <w:lang w:val="es-AR"/>
        </w:rPr>
        <w:t xml:space="preserve"> </w:t>
      </w:r>
      <w:proofErr w:type="spellStart"/>
      <w:r w:rsidRPr="00913016">
        <w:rPr>
          <w:sz w:val="20"/>
          <w:szCs w:val="20"/>
          <w:lang w:val="es-AR"/>
        </w:rPr>
        <w:t>Cohen's</w:t>
      </w:r>
      <w:proofErr w:type="spellEnd"/>
      <w:r w:rsidRPr="00913016">
        <w:rPr>
          <w:sz w:val="20"/>
          <w:szCs w:val="20"/>
          <w:lang w:val="es-AR"/>
        </w:rPr>
        <w:t xml:space="preserve"> Kappa </w:t>
      </w:r>
      <w:proofErr w:type="spellStart"/>
      <w:r w:rsidRPr="00913016">
        <w:rPr>
          <w:sz w:val="20"/>
          <w:szCs w:val="20"/>
          <w:lang w:val="es-AR"/>
        </w:rPr>
        <w:t>coefficient</w:t>
      </w:r>
      <w:proofErr w:type="spellEnd"/>
      <w:r w:rsidRPr="00913016">
        <w:rPr>
          <w:sz w:val="20"/>
          <w:szCs w:val="20"/>
          <w:lang w:val="es-AR"/>
        </w:rPr>
        <w:t xml:space="preserve">. </w:t>
      </w:r>
      <w:proofErr w:type="spellStart"/>
      <w:r w:rsidRPr="00913016">
        <w:rPr>
          <w:sz w:val="20"/>
          <w:szCs w:val="20"/>
          <w:lang w:val="es-AR"/>
        </w:rPr>
        <w:t>The</w:t>
      </w:r>
      <w:proofErr w:type="spellEnd"/>
      <w:r w:rsidRPr="00913016">
        <w:rPr>
          <w:sz w:val="20"/>
          <w:szCs w:val="20"/>
          <w:lang w:val="es-AR"/>
        </w:rPr>
        <w:t xml:space="preserve"> </w:t>
      </w:r>
      <w:proofErr w:type="spellStart"/>
      <w:r w:rsidRPr="00913016">
        <w:rPr>
          <w:sz w:val="20"/>
          <w:szCs w:val="20"/>
          <w:lang w:val="es-AR"/>
        </w:rPr>
        <w:t>Study</w:t>
      </w:r>
      <w:proofErr w:type="spellEnd"/>
      <w:r w:rsidRPr="00913016">
        <w:rPr>
          <w:sz w:val="20"/>
          <w:szCs w:val="20"/>
          <w:lang w:val="es-AR"/>
        </w:rPr>
        <w:t xml:space="preserve"> II </w:t>
      </w:r>
      <w:proofErr w:type="spellStart"/>
      <w:r w:rsidRPr="00913016">
        <w:rPr>
          <w:sz w:val="20"/>
          <w:szCs w:val="20"/>
          <w:lang w:val="es-AR"/>
        </w:rPr>
        <w:t>provided</w:t>
      </w:r>
      <w:proofErr w:type="spellEnd"/>
      <w:r w:rsidRPr="00913016">
        <w:rPr>
          <w:sz w:val="20"/>
          <w:szCs w:val="20"/>
          <w:lang w:val="es-AR"/>
        </w:rPr>
        <w:t xml:space="preserve"> </w:t>
      </w:r>
      <w:proofErr w:type="spellStart"/>
      <w:r w:rsidRPr="00913016">
        <w:rPr>
          <w:sz w:val="20"/>
          <w:szCs w:val="20"/>
          <w:lang w:val="es-AR"/>
        </w:rPr>
        <w:t>evidence</w:t>
      </w:r>
      <w:proofErr w:type="spellEnd"/>
      <w:r w:rsidRPr="00913016">
        <w:rPr>
          <w:sz w:val="20"/>
          <w:szCs w:val="20"/>
          <w:lang w:val="es-AR"/>
        </w:rPr>
        <w:t xml:space="preserve"> </w:t>
      </w:r>
      <w:proofErr w:type="spellStart"/>
      <w:r w:rsidRPr="00913016">
        <w:rPr>
          <w:sz w:val="20"/>
          <w:szCs w:val="20"/>
          <w:lang w:val="es-AR"/>
        </w:rPr>
        <w:t>of</w:t>
      </w:r>
      <w:proofErr w:type="spellEnd"/>
      <w:r w:rsidRPr="00913016">
        <w:rPr>
          <w:sz w:val="20"/>
          <w:szCs w:val="20"/>
          <w:lang w:val="es-AR"/>
        </w:rPr>
        <w:t xml:space="preserve"> </w:t>
      </w:r>
      <w:proofErr w:type="spellStart"/>
      <w:r w:rsidRPr="00913016">
        <w:rPr>
          <w:sz w:val="20"/>
          <w:szCs w:val="20"/>
          <w:lang w:val="es-AR"/>
        </w:rPr>
        <w:t>construct</w:t>
      </w:r>
      <w:proofErr w:type="spellEnd"/>
      <w:r w:rsidRPr="00913016">
        <w:rPr>
          <w:sz w:val="20"/>
          <w:szCs w:val="20"/>
          <w:lang w:val="es-AR"/>
        </w:rPr>
        <w:t xml:space="preserve"> </w:t>
      </w:r>
      <w:proofErr w:type="spellStart"/>
      <w:r w:rsidRPr="00913016">
        <w:rPr>
          <w:sz w:val="20"/>
          <w:szCs w:val="20"/>
          <w:lang w:val="es-AR"/>
        </w:rPr>
        <w:t>validity</w:t>
      </w:r>
      <w:proofErr w:type="spellEnd"/>
      <w:r w:rsidRPr="00913016">
        <w:rPr>
          <w:sz w:val="20"/>
          <w:szCs w:val="20"/>
          <w:lang w:val="es-AR"/>
        </w:rPr>
        <w:t xml:space="preserve">. </w:t>
      </w:r>
      <w:proofErr w:type="spellStart"/>
      <w:r w:rsidRPr="00913016">
        <w:rPr>
          <w:sz w:val="20"/>
          <w:szCs w:val="20"/>
          <w:lang w:val="es-AR"/>
        </w:rPr>
        <w:t>We</w:t>
      </w:r>
      <w:proofErr w:type="spellEnd"/>
      <w:r w:rsidRPr="00913016">
        <w:rPr>
          <w:sz w:val="20"/>
          <w:szCs w:val="20"/>
          <w:lang w:val="es-AR"/>
        </w:rPr>
        <w:t xml:space="preserve"> </w:t>
      </w:r>
      <w:proofErr w:type="spellStart"/>
      <w:r w:rsidRPr="00913016">
        <w:rPr>
          <w:sz w:val="20"/>
          <w:szCs w:val="20"/>
          <w:lang w:val="es-AR"/>
        </w:rPr>
        <w:t>compueted</w:t>
      </w:r>
      <w:proofErr w:type="spellEnd"/>
      <w:r w:rsidRPr="00913016">
        <w:rPr>
          <w:sz w:val="20"/>
          <w:szCs w:val="20"/>
          <w:lang w:val="es-AR"/>
        </w:rPr>
        <w:t xml:space="preserve"> </w:t>
      </w:r>
      <w:proofErr w:type="spellStart"/>
      <w:r w:rsidRPr="00913016">
        <w:rPr>
          <w:sz w:val="20"/>
          <w:szCs w:val="20"/>
          <w:lang w:val="es-AR"/>
        </w:rPr>
        <w:t>an</w:t>
      </w:r>
      <w:proofErr w:type="spellEnd"/>
      <w:r w:rsidRPr="00913016">
        <w:rPr>
          <w:sz w:val="20"/>
          <w:szCs w:val="20"/>
          <w:lang w:val="es-AR"/>
        </w:rPr>
        <w:t xml:space="preserve"> </w:t>
      </w:r>
      <w:proofErr w:type="spellStart"/>
      <w:r w:rsidRPr="00913016">
        <w:rPr>
          <w:sz w:val="20"/>
          <w:szCs w:val="20"/>
          <w:lang w:val="es-AR"/>
        </w:rPr>
        <w:t>Exploratory</w:t>
      </w:r>
      <w:proofErr w:type="spellEnd"/>
      <w:r w:rsidRPr="00913016">
        <w:rPr>
          <w:sz w:val="20"/>
          <w:szCs w:val="20"/>
          <w:lang w:val="es-AR"/>
        </w:rPr>
        <w:t xml:space="preserve"> Factor </w:t>
      </w:r>
      <w:proofErr w:type="spellStart"/>
      <w:r w:rsidRPr="00913016">
        <w:rPr>
          <w:sz w:val="20"/>
          <w:szCs w:val="20"/>
          <w:lang w:val="es-AR"/>
        </w:rPr>
        <w:t>Analysis</w:t>
      </w:r>
      <w:proofErr w:type="spellEnd"/>
      <w:r w:rsidRPr="00913016">
        <w:rPr>
          <w:sz w:val="20"/>
          <w:szCs w:val="20"/>
          <w:lang w:val="es-AR"/>
        </w:rPr>
        <w:t xml:space="preserve"> </w:t>
      </w:r>
      <w:proofErr w:type="spellStart"/>
      <w:r w:rsidRPr="00913016">
        <w:rPr>
          <w:sz w:val="20"/>
          <w:szCs w:val="20"/>
          <w:lang w:val="es-AR"/>
        </w:rPr>
        <w:t>with</w:t>
      </w:r>
      <w:proofErr w:type="spellEnd"/>
      <w:r w:rsidRPr="00913016">
        <w:rPr>
          <w:sz w:val="20"/>
          <w:szCs w:val="20"/>
          <w:lang w:val="es-AR"/>
        </w:rPr>
        <w:t xml:space="preserve"> a </w:t>
      </w:r>
      <w:proofErr w:type="spellStart"/>
      <w:r w:rsidRPr="00913016">
        <w:rPr>
          <w:sz w:val="20"/>
          <w:szCs w:val="20"/>
          <w:lang w:val="es-AR"/>
        </w:rPr>
        <w:t>sample</w:t>
      </w:r>
      <w:proofErr w:type="spellEnd"/>
      <w:r w:rsidRPr="00913016">
        <w:rPr>
          <w:sz w:val="20"/>
          <w:szCs w:val="20"/>
          <w:lang w:val="es-AR"/>
        </w:rPr>
        <w:t xml:space="preserve"> </w:t>
      </w:r>
      <w:proofErr w:type="spellStart"/>
      <w:r w:rsidRPr="00913016">
        <w:rPr>
          <w:sz w:val="20"/>
          <w:szCs w:val="20"/>
          <w:lang w:val="es-AR"/>
        </w:rPr>
        <w:t>of</w:t>
      </w:r>
      <w:proofErr w:type="spellEnd"/>
      <w:r w:rsidRPr="00913016">
        <w:rPr>
          <w:sz w:val="20"/>
          <w:szCs w:val="20"/>
          <w:lang w:val="es-AR"/>
        </w:rPr>
        <w:t xml:space="preserve"> 711 </w:t>
      </w:r>
      <w:proofErr w:type="spellStart"/>
      <w:r w:rsidRPr="00913016">
        <w:rPr>
          <w:sz w:val="20"/>
          <w:szCs w:val="20"/>
          <w:lang w:val="es-AR"/>
        </w:rPr>
        <w:t>Mexicans</w:t>
      </w:r>
      <w:proofErr w:type="spellEnd"/>
      <w:r w:rsidRPr="00913016">
        <w:rPr>
          <w:sz w:val="20"/>
          <w:szCs w:val="20"/>
          <w:lang w:val="es-AR"/>
        </w:rPr>
        <w:t xml:space="preserve">. </w:t>
      </w:r>
      <w:proofErr w:type="spellStart"/>
      <w:r w:rsidRPr="00913016">
        <w:rPr>
          <w:sz w:val="20"/>
          <w:szCs w:val="20"/>
          <w:lang w:val="es-AR"/>
        </w:rPr>
        <w:t>The</w:t>
      </w:r>
      <w:proofErr w:type="spellEnd"/>
      <w:r w:rsidRPr="00913016">
        <w:rPr>
          <w:sz w:val="20"/>
          <w:szCs w:val="20"/>
          <w:lang w:val="es-AR"/>
        </w:rPr>
        <w:t xml:space="preserve"> </w:t>
      </w:r>
      <w:proofErr w:type="spellStart"/>
      <w:r w:rsidRPr="00913016">
        <w:rPr>
          <w:sz w:val="20"/>
          <w:szCs w:val="20"/>
          <w:lang w:val="es-AR"/>
        </w:rPr>
        <w:t>study</w:t>
      </w:r>
      <w:proofErr w:type="spellEnd"/>
      <w:r w:rsidRPr="00913016">
        <w:rPr>
          <w:sz w:val="20"/>
          <w:szCs w:val="20"/>
          <w:lang w:val="es-AR"/>
        </w:rPr>
        <w:t xml:space="preserve"> III </w:t>
      </w:r>
      <w:proofErr w:type="spellStart"/>
      <w:r w:rsidRPr="00913016">
        <w:rPr>
          <w:sz w:val="20"/>
          <w:szCs w:val="20"/>
          <w:lang w:val="es-AR"/>
        </w:rPr>
        <w:t>realized</w:t>
      </w:r>
      <w:proofErr w:type="spellEnd"/>
      <w:r w:rsidRPr="00913016">
        <w:rPr>
          <w:sz w:val="20"/>
          <w:szCs w:val="20"/>
          <w:lang w:val="es-AR"/>
        </w:rPr>
        <w:t xml:space="preserve"> </w:t>
      </w:r>
      <w:proofErr w:type="spellStart"/>
      <w:r w:rsidRPr="00913016">
        <w:rPr>
          <w:sz w:val="20"/>
          <w:szCs w:val="20"/>
          <w:lang w:val="es-AR"/>
        </w:rPr>
        <w:t>cross-validation</w:t>
      </w:r>
      <w:proofErr w:type="spellEnd"/>
      <w:r w:rsidRPr="00913016">
        <w:rPr>
          <w:sz w:val="20"/>
          <w:szCs w:val="20"/>
          <w:lang w:val="es-AR"/>
        </w:rPr>
        <w:t xml:space="preserve"> </w:t>
      </w:r>
      <w:proofErr w:type="spellStart"/>
      <w:r w:rsidRPr="00913016">
        <w:rPr>
          <w:sz w:val="20"/>
          <w:szCs w:val="20"/>
          <w:lang w:val="es-AR"/>
        </w:rPr>
        <w:t>with</w:t>
      </w:r>
      <w:proofErr w:type="spellEnd"/>
      <w:r w:rsidRPr="00913016">
        <w:rPr>
          <w:sz w:val="20"/>
          <w:szCs w:val="20"/>
          <w:lang w:val="es-AR"/>
        </w:rPr>
        <w:t xml:space="preserve"> a </w:t>
      </w:r>
      <w:proofErr w:type="spellStart"/>
      <w:r w:rsidRPr="00913016">
        <w:rPr>
          <w:sz w:val="20"/>
          <w:szCs w:val="20"/>
          <w:lang w:val="es-AR"/>
        </w:rPr>
        <w:t>Confirmatory</w:t>
      </w:r>
      <w:proofErr w:type="spellEnd"/>
      <w:r w:rsidRPr="00913016">
        <w:rPr>
          <w:sz w:val="20"/>
          <w:szCs w:val="20"/>
          <w:lang w:val="es-AR"/>
        </w:rPr>
        <w:t xml:space="preserve"> Factor </w:t>
      </w:r>
      <w:proofErr w:type="spellStart"/>
      <w:r w:rsidRPr="00913016">
        <w:rPr>
          <w:sz w:val="20"/>
          <w:szCs w:val="20"/>
          <w:lang w:val="es-AR"/>
        </w:rPr>
        <w:t>Analysis</w:t>
      </w:r>
      <w:proofErr w:type="spellEnd"/>
      <w:r w:rsidRPr="00913016">
        <w:rPr>
          <w:sz w:val="20"/>
          <w:szCs w:val="20"/>
          <w:lang w:val="es-AR"/>
        </w:rPr>
        <w:t xml:space="preserve"> in a </w:t>
      </w:r>
      <w:proofErr w:type="spellStart"/>
      <w:r w:rsidRPr="00913016">
        <w:rPr>
          <w:sz w:val="20"/>
          <w:szCs w:val="20"/>
          <w:lang w:val="es-AR"/>
        </w:rPr>
        <w:t>sample</w:t>
      </w:r>
      <w:proofErr w:type="spellEnd"/>
      <w:r w:rsidRPr="00913016">
        <w:rPr>
          <w:sz w:val="20"/>
          <w:szCs w:val="20"/>
          <w:lang w:val="es-AR"/>
        </w:rPr>
        <w:t xml:space="preserve"> </w:t>
      </w:r>
      <w:proofErr w:type="spellStart"/>
      <w:r w:rsidRPr="00913016">
        <w:rPr>
          <w:sz w:val="20"/>
          <w:szCs w:val="20"/>
          <w:lang w:val="es-AR"/>
        </w:rPr>
        <w:t>of</w:t>
      </w:r>
      <w:proofErr w:type="spellEnd"/>
      <w:r w:rsidRPr="00913016">
        <w:rPr>
          <w:sz w:val="20"/>
          <w:szCs w:val="20"/>
          <w:lang w:val="es-AR"/>
        </w:rPr>
        <w:t xml:space="preserve"> 705 </w:t>
      </w:r>
      <w:proofErr w:type="spellStart"/>
      <w:r w:rsidRPr="00913016">
        <w:rPr>
          <w:sz w:val="20"/>
          <w:szCs w:val="20"/>
          <w:lang w:val="es-AR"/>
        </w:rPr>
        <w:t>Mexicans</w:t>
      </w:r>
      <w:proofErr w:type="spellEnd"/>
      <w:r w:rsidRPr="00913016">
        <w:rPr>
          <w:sz w:val="20"/>
          <w:szCs w:val="20"/>
          <w:lang w:val="es-AR"/>
        </w:rPr>
        <w:t xml:space="preserve">. </w:t>
      </w:r>
      <w:proofErr w:type="spellStart"/>
      <w:r w:rsidRPr="00913016">
        <w:rPr>
          <w:sz w:val="20"/>
          <w:szCs w:val="20"/>
          <w:lang w:val="es-AR"/>
        </w:rPr>
        <w:t>We</w:t>
      </w:r>
      <w:proofErr w:type="spellEnd"/>
      <w:r w:rsidRPr="00913016">
        <w:rPr>
          <w:sz w:val="20"/>
          <w:szCs w:val="20"/>
          <w:lang w:val="es-AR"/>
        </w:rPr>
        <w:t xml:space="preserve"> </w:t>
      </w:r>
      <w:proofErr w:type="spellStart"/>
      <w:r w:rsidRPr="00913016">
        <w:rPr>
          <w:sz w:val="20"/>
          <w:szCs w:val="20"/>
          <w:lang w:val="es-AR"/>
        </w:rPr>
        <w:t>presented</w:t>
      </w:r>
      <w:proofErr w:type="spellEnd"/>
      <w:r w:rsidRPr="00913016">
        <w:rPr>
          <w:sz w:val="20"/>
          <w:szCs w:val="20"/>
          <w:lang w:val="es-AR"/>
        </w:rPr>
        <w:t xml:space="preserve"> </w:t>
      </w:r>
      <w:proofErr w:type="spellStart"/>
      <w:r w:rsidRPr="00913016">
        <w:rPr>
          <w:sz w:val="20"/>
          <w:szCs w:val="20"/>
          <w:lang w:val="es-AR"/>
        </w:rPr>
        <w:t>evidence</w:t>
      </w:r>
      <w:proofErr w:type="spellEnd"/>
      <w:r w:rsidRPr="00913016">
        <w:rPr>
          <w:sz w:val="20"/>
          <w:szCs w:val="20"/>
          <w:lang w:val="es-AR"/>
        </w:rPr>
        <w:t xml:space="preserve"> </w:t>
      </w:r>
      <w:proofErr w:type="spellStart"/>
      <w:r w:rsidRPr="00913016">
        <w:rPr>
          <w:sz w:val="20"/>
          <w:szCs w:val="20"/>
          <w:lang w:val="es-AR"/>
        </w:rPr>
        <w:t>of</w:t>
      </w:r>
      <w:proofErr w:type="spellEnd"/>
      <w:r w:rsidRPr="00913016">
        <w:rPr>
          <w:sz w:val="20"/>
          <w:szCs w:val="20"/>
          <w:lang w:val="es-AR"/>
        </w:rPr>
        <w:t xml:space="preserve"> </w:t>
      </w:r>
      <w:proofErr w:type="spellStart"/>
      <w:r w:rsidRPr="00913016">
        <w:rPr>
          <w:sz w:val="20"/>
          <w:szCs w:val="20"/>
          <w:lang w:val="es-AR"/>
        </w:rPr>
        <w:t>model</w:t>
      </w:r>
      <w:proofErr w:type="spellEnd"/>
      <w:r w:rsidRPr="00913016">
        <w:rPr>
          <w:sz w:val="20"/>
          <w:szCs w:val="20"/>
          <w:lang w:val="es-AR"/>
        </w:rPr>
        <w:t xml:space="preserve"> </w:t>
      </w:r>
      <w:proofErr w:type="spellStart"/>
      <w:r w:rsidRPr="00913016">
        <w:rPr>
          <w:sz w:val="20"/>
          <w:szCs w:val="20"/>
          <w:lang w:val="es-AR"/>
        </w:rPr>
        <w:t>fit</w:t>
      </w:r>
      <w:proofErr w:type="spellEnd"/>
      <w:r w:rsidRPr="00913016">
        <w:rPr>
          <w:sz w:val="20"/>
          <w:szCs w:val="20"/>
          <w:lang w:val="es-AR"/>
        </w:rPr>
        <w:t xml:space="preserve"> and </w:t>
      </w:r>
      <w:proofErr w:type="spellStart"/>
      <w:r w:rsidRPr="00913016">
        <w:rPr>
          <w:sz w:val="20"/>
          <w:szCs w:val="20"/>
          <w:lang w:val="es-AR"/>
        </w:rPr>
        <w:t>discriminant</w:t>
      </w:r>
      <w:proofErr w:type="spellEnd"/>
      <w:r w:rsidRPr="00913016">
        <w:rPr>
          <w:sz w:val="20"/>
          <w:szCs w:val="20"/>
          <w:lang w:val="es-AR"/>
        </w:rPr>
        <w:t xml:space="preserve">, </w:t>
      </w:r>
      <w:proofErr w:type="spellStart"/>
      <w:r w:rsidRPr="00913016">
        <w:rPr>
          <w:sz w:val="20"/>
          <w:szCs w:val="20"/>
          <w:lang w:val="es-AR"/>
        </w:rPr>
        <w:t>convergent</w:t>
      </w:r>
      <w:proofErr w:type="spellEnd"/>
      <w:r w:rsidRPr="00913016">
        <w:rPr>
          <w:sz w:val="20"/>
          <w:szCs w:val="20"/>
          <w:lang w:val="es-AR"/>
        </w:rPr>
        <w:t xml:space="preserve">, and </w:t>
      </w:r>
      <w:proofErr w:type="spellStart"/>
      <w:r w:rsidRPr="00913016">
        <w:rPr>
          <w:sz w:val="20"/>
          <w:szCs w:val="20"/>
          <w:lang w:val="es-AR"/>
        </w:rPr>
        <w:t>criterion</w:t>
      </w:r>
      <w:proofErr w:type="spellEnd"/>
      <w:r w:rsidRPr="00913016">
        <w:rPr>
          <w:sz w:val="20"/>
          <w:szCs w:val="20"/>
          <w:lang w:val="es-AR"/>
        </w:rPr>
        <w:t xml:space="preserve"> </w:t>
      </w:r>
      <w:proofErr w:type="spellStart"/>
      <w:r w:rsidRPr="00913016">
        <w:rPr>
          <w:sz w:val="20"/>
          <w:szCs w:val="20"/>
          <w:lang w:val="es-AR"/>
        </w:rPr>
        <w:t>validity</w:t>
      </w:r>
      <w:proofErr w:type="spellEnd"/>
      <w:r w:rsidRPr="00913016">
        <w:rPr>
          <w:sz w:val="20"/>
          <w:szCs w:val="20"/>
          <w:lang w:val="es-AR"/>
        </w:rPr>
        <w:t xml:space="preserve">. </w:t>
      </w:r>
      <w:r w:rsidRPr="00913016">
        <w:rPr>
          <w:sz w:val="20"/>
          <w:szCs w:val="20"/>
        </w:rPr>
        <w:t>The findings indicate a divergence from the original OTHS model, proposing two factors: life of pleasure and life of meaning. The items designed to measure life of engagement were categorized under these two factors. The discussion emphasizes the role of cultural differences and the need to refine the scale to adapt it to Latin American idiosyncrasies.</w:t>
      </w:r>
    </w:p>
    <w:p w14:paraId="7FBCCE51" w14:textId="77777777" w:rsidR="00F04081" w:rsidRDefault="00F04081" w:rsidP="00F04081">
      <w:pPr>
        <w:jc w:val="both"/>
        <w:rPr>
          <w:sz w:val="20"/>
          <w:szCs w:val="20"/>
          <w:lang w:val="es-AR"/>
        </w:rPr>
      </w:pPr>
    </w:p>
    <w:p w14:paraId="0EB33005" w14:textId="72F8306B" w:rsidR="00C413D4" w:rsidRPr="00E25900" w:rsidRDefault="00C413D4" w:rsidP="00F04081">
      <w:pPr>
        <w:rPr>
          <w:b/>
          <w:sz w:val="20"/>
          <w:szCs w:val="20"/>
          <w:lang w:val="en-US"/>
        </w:rPr>
      </w:pPr>
      <w:r w:rsidRPr="00E25900">
        <w:rPr>
          <w:b/>
          <w:sz w:val="20"/>
          <w:szCs w:val="20"/>
          <w:lang w:val="en-US"/>
        </w:rPr>
        <w:t>Keywords</w:t>
      </w:r>
    </w:p>
    <w:bookmarkEnd w:id="0"/>
    <w:bookmarkEnd w:id="1"/>
    <w:p w14:paraId="120FF658" w14:textId="54CA536C" w:rsidR="00153DC5" w:rsidRDefault="00C71E42" w:rsidP="007A7C7C">
      <w:pPr>
        <w:jc w:val="both"/>
        <w:rPr>
          <w:bCs/>
          <w:sz w:val="20"/>
          <w:szCs w:val="20"/>
          <w:lang w:val="en-US"/>
        </w:rPr>
      </w:pPr>
      <w:r>
        <w:rPr>
          <w:bCs/>
          <w:sz w:val="20"/>
          <w:szCs w:val="20"/>
          <w:lang w:val="en-US"/>
        </w:rPr>
        <w:t>W</w:t>
      </w:r>
      <w:r w:rsidRPr="00C71E42">
        <w:rPr>
          <w:bCs/>
          <w:sz w:val="20"/>
          <w:szCs w:val="20"/>
          <w:lang w:val="en-US"/>
        </w:rPr>
        <w:t>ell-being</w:t>
      </w:r>
      <w:r w:rsidR="00B02133" w:rsidRPr="00B02133">
        <w:rPr>
          <w:bCs/>
          <w:sz w:val="20"/>
          <w:szCs w:val="20"/>
          <w:lang w:val="en-US"/>
        </w:rPr>
        <w:t xml:space="preserve">; </w:t>
      </w:r>
      <w:r w:rsidRPr="00C71E42">
        <w:rPr>
          <w:bCs/>
          <w:sz w:val="20"/>
          <w:szCs w:val="20"/>
          <w:lang w:val="en-US"/>
        </w:rPr>
        <w:t xml:space="preserve">Positive </w:t>
      </w:r>
      <w:r>
        <w:rPr>
          <w:bCs/>
          <w:sz w:val="20"/>
          <w:szCs w:val="20"/>
          <w:lang w:val="en-US"/>
        </w:rPr>
        <w:t>P</w:t>
      </w:r>
      <w:r w:rsidRPr="00C71E42">
        <w:rPr>
          <w:bCs/>
          <w:sz w:val="20"/>
          <w:szCs w:val="20"/>
          <w:lang w:val="en-US"/>
        </w:rPr>
        <w:t>sychology</w:t>
      </w:r>
      <w:r w:rsidR="00B02133" w:rsidRPr="00B02133">
        <w:rPr>
          <w:bCs/>
          <w:sz w:val="20"/>
          <w:szCs w:val="20"/>
          <w:lang w:val="en-US"/>
        </w:rPr>
        <w:t xml:space="preserve">; </w:t>
      </w:r>
      <w:r w:rsidRPr="00C71E42">
        <w:rPr>
          <w:bCs/>
          <w:sz w:val="20"/>
          <w:szCs w:val="20"/>
          <w:lang w:val="en-US"/>
        </w:rPr>
        <w:t>Psychometrics</w:t>
      </w:r>
      <w:r w:rsidR="00B02133" w:rsidRPr="00B02133">
        <w:rPr>
          <w:bCs/>
          <w:sz w:val="20"/>
          <w:szCs w:val="20"/>
          <w:lang w:val="en-US"/>
        </w:rPr>
        <w:t xml:space="preserve">; </w:t>
      </w:r>
      <w:r w:rsidRPr="00C71E42">
        <w:rPr>
          <w:bCs/>
          <w:sz w:val="20"/>
          <w:szCs w:val="20"/>
          <w:lang w:val="en-US"/>
        </w:rPr>
        <w:t>Latin Americans</w:t>
      </w:r>
      <w:r w:rsidR="00B02133" w:rsidRPr="00B02133">
        <w:rPr>
          <w:bCs/>
          <w:sz w:val="20"/>
          <w:szCs w:val="20"/>
          <w:lang w:val="en-US"/>
        </w:rPr>
        <w:t xml:space="preserve">; </w:t>
      </w:r>
      <w:r w:rsidR="00BA1859">
        <w:rPr>
          <w:bCs/>
          <w:sz w:val="20"/>
          <w:szCs w:val="20"/>
        </w:rPr>
        <w:t>C</w:t>
      </w:r>
      <w:r w:rsidR="00BA1859" w:rsidRPr="00BA1859">
        <w:rPr>
          <w:bCs/>
          <w:sz w:val="20"/>
          <w:szCs w:val="20"/>
        </w:rPr>
        <w:t>ultural validity</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1F6E0EF4" w14:textId="61E6402D" w:rsidR="000014C6" w:rsidRPr="000014C6" w:rsidRDefault="000014C6" w:rsidP="000014C6">
      <w:pPr>
        <w:jc w:val="both"/>
        <w:rPr>
          <w:sz w:val="20"/>
          <w:szCs w:val="20"/>
          <w:lang w:val="es-AR"/>
        </w:rPr>
      </w:pPr>
      <w:r w:rsidRPr="000014C6">
        <w:rPr>
          <w:sz w:val="20"/>
          <w:szCs w:val="20"/>
          <w:lang w:val="es-AR"/>
        </w:rPr>
        <w:t>Se ha</w:t>
      </w:r>
      <w:r w:rsidR="0078058C">
        <w:rPr>
          <w:sz w:val="20"/>
          <w:szCs w:val="20"/>
          <w:lang w:val="es-AR"/>
        </w:rPr>
        <w:t xml:space="preserve"> realizado </w:t>
      </w:r>
      <w:r w:rsidRPr="000014C6">
        <w:rPr>
          <w:sz w:val="20"/>
          <w:szCs w:val="20"/>
          <w:lang w:val="es-AR"/>
        </w:rPr>
        <w:t xml:space="preserve">investigación en Europa, Asía y Norteamérica sobre como las personas buscan la felicidad a través del placer, el significado y el compromiso. Sin embargo, existen desafíos dada la validez cultural de las medidas para evaluar estas rutas hacia la felicidad en latinos. Esta investigación, organizada en tres estudios, busca analizar las propiedades psicométricas de la </w:t>
      </w:r>
      <w:proofErr w:type="spellStart"/>
      <w:r w:rsidRPr="000014C6">
        <w:rPr>
          <w:i/>
          <w:iCs/>
          <w:sz w:val="20"/>
          <w:szCs w:val="20"/>
          <w:lang w:val="es-AR"/>
        </w:rPr>
        <w:t>Orientations</w:t>
      </w:r>
      <w:proofErr w:type="spellEnd"/>
      <w:r w:rsidRPr="000014C6">
        <w:rPr>
          <w:i/>
          <w:iCs/>
          <w:sz w:val="20"/>
          <w:szCs w:val="20"/>
          <w:lang w:val="es-AR"/>
        </w:rPr>
        <w:t xml:space="preserve"> </w:t>
      </w:r>
      <w:proofErr w:type="spellStart"/>
      <w:r w:rsidRPr="000014C6">
        <w:rPr>
          <w:i/>
          <w:iCs/>
          <w:sz w:val="20"/>
          <w:szCs w:val="20"/>
          <w:lang w:val="es-AR"/>
        </w:rPr>
        <w:t>to</w:t>
      </w:r>
      <w:proofErr w:type="spellEnd"/>
      <w:r w:rsidRPr="000014C6">
        <w:rPr>
          <w:i/>
          <w:iCs/>
          <w:sz w:val="20"/>
          <w:szCs w:val="20"/>
          <w:lang w:val="es-AR"/>
        </w:rPr>
        <w:t xml:space="preserve"> </w:t>
      </w:r>
      <w:proofErr w:type="spellStart"/>
      <w:r w:rsidRPr="000014C6">
        <w:rPr>
          <w:i/>
          <w:iCs/>
          <w:sz w:val="20"/>
          <w:szCs w:val="20"/>
          <w:lang w:val="es-AR"/>
        </w:rPr>
        <w:t>Happiness</w:t>
      </w:r>
      <w:proofErr w:type="spellEnd"/>
      <w:r w:rsidRPr="000014C6">
        <w:rPr>
          <w:i/>
          <w:iCs/>
          <w:sz w:val="20"/>
          <w:szCs w:val="20"/>
          <w:lang w:val="es-AR"/>
        </w:rPr>
        <w:t xml:space="preserve"> </w:t>
      </w:r>
      <w:proofErr w:type="spellStart"/>
      <w:r w:rsidRPr="000014C6">
        <w:rPr>
          <w:i/>
          <w:iCs/>
          <w:sz w:val="20"/>
          <w:szCs w:val="20"/>
          <w:lang w:val="es-AR"/>
        </w:rPr>
        <w:t>Scale</w:t>
      </w:r>
      <w:proofErr w:type="spellEnd"/>
      <w:r w:rsidRPr="000014C6">
        <w:rPr>
          <w:sz w:val="20"/>
          <w:szCs w:val="20"/>
          <w:lang w:val="es-AR"/>
        </w:rPr>
        <w:t xml:space="preserve"> (OTHS) con el fin de proponer un modelo de medida ajustado a la cultura mexicana. El Estudio I evalúa la validez de contenido mediante un proceso de traducción-</w:t>
      </w:r>
      <w:proofErr w:type="spellStart"/>
      <w:r w:rsidRPr="000014C6">
        <w:rPr>
          <w:sz w:val="20"/>
          <w:szCs w:val="20"/>
          <w:lang w:val="es-AR"/>
        </w:rPr>
        <w:t>retraducción</w:t>
      </w:r>
      <w:proofErr w:type="spellEnd"/>
      <w:r w:rsidRPr="000014C6">
        <w:rPr>
          <w:sz w:val="20"/>
          <w:szCs w:val="20"/>
          <w:lang w:val="es-AR"/>
        </w:rPr>
        <w:t xml:space="preserve"> y por medio del juicio de expertos usando el Coeficiente Kappa de Cohen. El Estudio II proporciona evidencia de la validez de constructo y explora la estructura factorial por medio del AFE en una muestra de 711 mexicanos. El Estudio III realiza una validación cruzada mediante el AFC con 705 participantes y se presentan evidencias del ajuste del modelo y la validez discriminante, convergente y de criterio. Los resultados revelan una discrepancia con el modelo de medida original de la OTHS, sugiriendo dos factores: vida de placer y significado. Se discute el papel de las diferencias culturales y la necesidad de refinar la escala para adaptarla a la idiosincrasia latinoamericana.</w:t>
      </w:r>
    </w:p>
    <w:p w14:paraId="3B7F585F" w14:textId="77777777" w:rsidR="000014C6" w:rsidRDefault="000014C6" w:rsidP="005B5614">
      <w:pPr>
        <w:jc w:val="both"/>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00812B61" w:rsidR="00153DC5" w:rsidRPr="00E25900" w:rsidRDefault="00C71E42" w:rsidP="007A7C7C">
      <w:pPr>
        <w:jc w:val="both"/>
        <w:rPr>
          <w:bCs/>
          <w:sz w:val="20"/>
          <w:szCs w:val="20"/>
          <w:lang w:val="es-AR"/>
        </w:rPr>
      </w:pPr>
      <w:r>
        <w:rPr>
          <w:bCs/>
          <w:sz w:val="20"/>
          <w:szCs w:val="20"/>
          <w:lang w:val="es-ES"/>
        </w:rPr>
        <w:t>Bienestar</w:t>
      </w:r>
      <w:r w:rsidR="009A583F" w:rsidRPr="00E25900">
        <w:rPr>
          <w:bCs/>
          <w:sz w:val="20"/>
          <w:szCs w:val="20"/>
          <w:lang w:val="es-ES"/>
        </w:rPr>
        <w:t xml:space="preserve">; </w:t>
      </w:r>
      <w:r>
        <w:rPr>
          <w:bCs/>
          <w:sz w:val="20"/>
          <w:szCs w:val="20"/>
          <w:lang w:val="es-ES"/>
        </w:rPr>
        <w:t>Psicología Positiva</w:t>
      </w:r>
      <w:r w:rsidR="009A583F" w:rsidRPr="00E25900">
        <w:rPr>
          <w:bCs/>
          <w:sz w:val="20"/>
          <w:szCs w:val="20"/>
          <w:lang w:val="es-ES"/>
        </w:rPr>
        <w:t xml:space="preserve">; </w:t>
      </w:r>
      <w:r>
        <w:rPr>
          <w:bCs/>
          <w:sz w:val="20"/>
          <w:szCs w:val="20"/>
          <w:lang w:val="es-ES"/>
        </w:rPr>
        <w:t>Psicometría</w:t>
      </w:r>
      <w:r w:rsidR="009A583F" w:rsidRPr="00E25900">
        <w:rPr>
          <w:bCs/>
          <w:sz w:val="20"/>
          <w:szCs w:val="20"/>
          <w:lang w:val="es-ES"/>
        </w:rPr>
        <w:t xml:space="preserve">; </w:t>
      </w:r>
      <w:r>
        <w:rPr>
          <w:bCs/>
          <w:sz w:val="20"/>
          <w:szCs w:val="20"/>
          <w:lang w:val="es-ES"/>
        </w:rPr>
        <w:t>Latinos</w:t>
      </w:r>
      <w:r w:rsidR="009A583F" w:rsidRPr="00E25900">
        <w:rPr>
          <w:bCs/>
          <w:sz w:val="20"/>
          <w:szCs w:val="20"/>
          <w:lang w:val="es-ES"/>
        </w:rPr>
        <w:t xml:space="preserve">; </w:t>
      </w:r>
      <w:r w:rsidR="00BA1859">
        <w:rPr>
          <w:bCs/>
          <w:sz w:val="20"/>
          <w:szCs w:val="20"/>
          <w:lang w:val="es-ES"/>
        </w:rPr>
        <w:t>Validez cultural</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6FB46639" w:rsidR="00153DC5" w:rsidRDefault="0059034C" w:rsidP="007A7CDC">
      <w:pPr>
        <w:pStyle w:val="Ttuloprincipiodeartculo"/>
        <w:rPr>
          <w:lang w:val="es-AR"/>
        </w:rPr>
      </w:pPr>
      <w:r w:rsidRPr="00E25900">
        <w:rPr>
          <w:lang w:val="es-AR"/>
        </w:rPr>
        <w:br w:type="page"/>
      </w:r>
    </w:p>
    <w:p w14:paraId="20DCAA01" w14:textId="01FCFCC8" w:rsidR="00913016" w:rsidRPr="00913016" w:rsidRDefault="00913016" w:rsidP="00913016">
      <w:pPr>
        <w:pStyle w:val="Ttuloprincipiodeartculo"/>
        <w:rPr>
          <w:lang w:val="es-AR"/>
        </w:rPr>
      </w:pPr>
      <w:r w:rsidRPr="00913016">
        <w:rPr>
          <w:lang w:val="es-AR"/>
        </w:rPr>
        <w:lastRenderedPageBreak/>
        <w:t xml:space="preserve">Propiedades psicométricas de la Escala de Orientaciones Hacia la Felicidad en Mexicanos </w:t>
      </w:r>
    </w:p>
    <w:p w14:paraId="12173F1B" w14:textId="77777777" w:rsidR="00913016" w:rsidRPr="00E25900" w:rsidRDefault="00913016" w:rsidP="007A7CDC">
      <w:pPr>
        <w:pStyle w:val="Ttuloprincipiodeartculo"/>
        <w:rPr>
          <w:lang w:val="es-AR"/>
        </w:rPr>
      </w:pPr>
    </w:p>
    <w:p w14:paraId="4FA726CB" w14:textId="2726F646" w:rsidR="006A1BA2" w:rsidRPr="0042142D" w:rsidRDefault="00153DC5" w:rsidP="00CE7D65">
      <w:pPr>
        <w:pStyle w:val="Ttulosinternos"/>
        <w:rPr>
          <w:bCs/>
        </w:rPr>
      </w:pPr>
      <w:r w:rsidRPr="00107993">
        <w:rPr>
          <w:lang w:val="es-ES_tradnl"/>
        </w:rPr>
        <w:t>Introduc</w:t>
      </w:r>
      <w:r w:rsidR="00107993" w:rsidRPr="00107993">
        <w:rPr>
          <w:lang w:val="es-ES_tradnl"/>
        </w:rPr>
        <w:t>ción</w:t>
      </w:r>
    </w:p>
    <w:p w14:paraId="2B4BFCFA" w14:textId="77777777" w:rsidR="005839DF" w:rsidRPr="005839DF" w:rsidRDefault="005839DF" w:rsidP="005839DF">
      <w:pPr>
        <w:pStyle w:val="Prrafocomn"/>
        <w:rPr>
          <w:lang w:val="es-AR" w:eastAsia="es-ES_tradnl"/>
        </w:rPr>
      </w:pPr>
      <w:r w:rsidRPr="005839DF">
        <w:rPr>
          <w:lang w:val="es-AR" w:eastAsia="es-ES_tradnl"/>
        </w:rPr>
        <w:t>Según Seligman (2018), la felicidad duradera se basa en tres componentes principales: a) la genética (</w:t>
      </w:r>
      <w:proofErr w:type="spellStart"/>
      <w:r w:rsidRPr="005839DF">
        <w:rPr>
          <w:lang w:val="es-AR" w:eastAsia="es-ES_tradnl"/>
        </w:rPr>
        <w:t>Bartels</w:t>
      </w:r>
      <w:proofErr w:type="spellEnd"/>
      <w:r w:rsidRPr="005839DF">
        <w:rPr>
          <w:lang w:val="es-AR" w:eastAsia="es-ES_tradnl"/>
        </w:rPr>
        <w:t>, 2015); b) las circunstancias del individuo, como el estado civil (Tao, 2018), los ingresos económicos (</w:t>
      </w:r>
      <w:proofErr w:type="spellStart"/>
      <w:r w:rsidRPr="005839DF">
        <w:rPr>
          <w:lang w:val="es-AR" w:eastAsia="es-ES_tradnl"/>
        </w:rPr>
        <w:t>Cimpoeru</w:t>
      </w:r>
      <w:proofErr w:type="spellEnd"/>
      <w:r w:rsidRPr="005839DF">
        <w:rPr>
          <w:lang w:val="es-AR" w:eastAsia="es-ES_tradnl"/>
        </w:rPr>
        <w:t>, 2022), la vida social (Jung, 2020), la edad (</w:t>
      </w:r>
      <w:proofErr w:type="spellStart"/>
      <w:r w:rsidRPr="005839DF">
        <w:rPr>
          <w:lang w:val="es-AR" w:eastAsia="es-ES_tradnl"/>
        </w:rPr>
        <w:t>Blanchflower</w:t>
      </w:r>
      <w:proofErr w:type="spellEnd"/>
      <w:r w:rsidRPr="005839DF">
        <w:rPr>
          <w:lang w:val="es-AR" w:eastAsia="es-ES_tradnl"/>
        </w:rPr>
        <w:t>, 2020), la salud (</w:t>
      </w:r>
      <w:proofErr w:type="spellStart"/>
      <w:r w:rsidRPr="005839DF">
        <w:rPr>
          <w:lang w:val="es-AR" w:eastAsia="es-ES_tradnl"/>
        </w:rPr>
        <w:t>Kushlev</w:t>
      </w:r>
      <w:proofErr w:type="spellEnd"/>
      <w:r w:rsidRPr="005839DF">
        <w:rPr>
          <w:lang w:val="es-AR" w:eastAsia="es-ES_tradnl"/>
        </w:rPr>
        <w:t xml:space="preserve"> et al., 2020), el nivel educativo (Cuñado &amp; de Gracia, 2012), entre otros; y c) variables voluntarias, que son de elección individual y donde se incluyen las emociones positivas, el significado de vida y compromiso (Seligman, 2011). A diferencia de las influencias genéticas y las circunstancias de vida, estas variables voluntarias pueden ser gestionadas, en algún nivel, por el individuo. En conjunto, estos elementos componen los factores explicativos fundamentales de la Teoría de la Felicidad Auténtica (TFA) de Seligman (2018).</w:t>
      </w:r>
    </w:p>
    <w:p w14:paraId="1D34DB3D" w14:textId="4D794690" w:rsidR="005839DF" w:rsidRPr="005839DF" w:rsidRDefault="005839DF" w:rsidP="005839DF">
      <w:pPr>
        <w:pStyle w:val="Prrafocomn"/>
        <w:rPr>
          <w:lang w:val="es-AR" w:eastAsia="es-ES_tradnl"/>
        </w:rPr>
      </w:pPr>
      <w:r w:rsidRPr="005839DF">
        <w:rPr>
          <w:lang w:val="es-AR" w:eastAsia="es-ES_tradnl"/>
        </w:rPr>
        <w:t xml:space="preserve">Para evaluar las variables voluntarias que sugiere la TFA, Peterson et al. (2005) construyeron la </w:t>
      </w:r>
      <w:proofErr w:type="spellStart"/>
      <w:r w:rsidRPr="005839DF">
        <w:rPr>
          <w:i/>
          <w:iCs/>
          <w:lang w:val="es-AR" w:eastAsia="es-ES_tradnl"/>
        </w:rPr>
        <w:t>Orientations</w:t>
      </w:r>
      <w:proofErr w:type="spellEnd"/>
      <w:r w:rsidRPr="005839DF">
        <w:rPr>
          <w:i/>
          <w:iCs/>
          <w:lang w:val="es-AR" w:eastAsia="es-ES_tradnl"/>
        </w:rPr>
        <w:t xml:space="preserve"> </w:t>
      </w:r>
      <w:proofErr w:type="spellStart"/>
      <w:r w:rsidRPr="005839DF">
        <w:rPr>
          <w:i/>
          <w:iCs/>
          <w:lang w:val="es-AR" w:eastAsia="es-ES_tradnl"/>
        </w:rPr>
        <w:t>to</w:t>
      </w:r>
      <w:proofErr w:type="spellEnd"/>
      <w:r w:rsidRPr="005839DF">
        <w:rPr>
          <w:i/>
          <w:iCs/>
          <w:lang w:val="es-AR" w:eastAsia="es-ES_tradnl"/>
        </w:rPr>
        <w:t xml:space="preserve"> </w:t>
      </w:r>
      <w:proofErr w:type="spellStart"/>
      <w:r w:rsidRPr="005839DF">
        <w:rPr>
          <w:i/>
          <w:iCs/>
          <w:lang w:val="es-AR" w:eastAsia="es-ES_tradnl"/>
        </w:rPr>
        <w:t>Happiness</w:t>
      </w:r>
      <w:proofErr w:type="spellEnd"/>
      <w:r w:rsidRPr="005839DF">
        <w:rPr>
          <w:i/>
          <w:iCs/>
          <w:lang w:val="es-AR" w:eastAsia="es-ES_tradnl"/>
        </w:rPr>
        <w:t xml:space="preserve"> </w:t>
      </w:r>
      <w:proofErr w:type="spellStart"/>
      <w:r w:rsidRPr="005839DF">
        <w:rPr>
          <w:i/>
          <w:iCs/>
          <w:lang w:val="es-AR" w:eastAsia="es-ES_tradnl"/>
        </w:rPr>
        <w:t>Scale</w:t>
      </w:r>
      <w:proofErr w:type="spellEnd"/>
      <w:r w:rsidRPr="005839DF">
        <w:rPr>
          <w:lang w:val="es-AR" w:eastAsia="es-ES_tradnl"/>
        </w:rPr>
        <w:t xml:space="preserve"> (OTHS) que evalúa tres orientaciones hacia la felicidad. La </w:t>
      </w:r>
      <w:r w:rsidRPr="0078058C">
        <w:rPr>
          <w:i/>
          <w:iCs/>
          <w:lang w:val="es-AR" w:eastAsia="es-ES_tradnl"/>
        </w:rPr>
        <w:t>orientación</w:t>
      </w:r>
      <w:r w:rsidRPr="005839DF">
        <w:rPr>
          <w:lang w:val="es-AR" w:eastAsia="es-ES_tradnl"/>
        </w:rPr>
        <w:t xml:space="preserve"> como categoría analítica, hace referencia a los motivos, valores, metas y prioridades encauzadas a buscar la felicidad (Huta, 2016; 2018). Así, la escala valora tres caminos hacia la felicidad: I) la vida placentera, que se centra en maximizar el placer y minimizar el dolor a través de experiencias sensoriales y emocionales efímeras, basada en el hedonismo (</w:t>
      </w:r>
      <w:proofErr w:type="spellStart"/>
      <w:r w:rsidRPr="005839DF">
        <w:rPr>
          <w:lang w:val="es-AR" w:eastAsia="es-ES_tradnl"/>
        </w:rPr>
        <w:t>Taquet</w:t>
      </w:r>
      <w:proofErr w:type="spellEnd"/>
      <w:r w:rsidRPr="005839DF">
        <w:rPr>
          <w:lang w:val="es-AR" w:eastAsia="es-ES_tradnl"/>
        </w:rPr>
        <w:t xml:space="preserve"> et al., 2016); II) la vida con significado, basada en la eudaimonía (</w:t>
      </w:r>
      <w:proofErr w:type="spellStart"/>
      <w:r w:rsidRPr="005839DF">
        <w:rPr>
          <w:lang w:val="es-AR" w:eastAsia="es-ES_tradnl"/>
        </w:rPr>
        <w:t>Tov</w:t>
      </w:r>
      <w:proofErr w:type="spellEnd"/>
      <w:r w:rsidRPr="005839DF">
        <w:rPr>
          <w:lang w:val="es-AR" w:eastAsia="es-ES_tradnl"/>
        </w:rPr>
        <w:t xml:space="preserve">, 2018), busca un propósito y sentido en la vida, conectándose con algo más grande que uno mismo y con un bien mayor -por ejemplo, religión, partido político, familia, etcétera- (Seligman, 2011; 2018); III) </w:t>
      </w:r>
      <w:r w:rsidR="006F2F56">
        <w:rPr>
          <w:lang w:val="es-AR" w:eastAsia="es-ES_tradnl"/>
        </w:rPr>
        <w:t>l</w:t>
      </w:r>
      <w:r w:rsidRPr="005839DF">
        <w:rPr>
          <w:lang w:val="es-AR" w:eastAsia="es-ES_tradnl"/>
        </w:rPr>
        <w:t>a vida con compromiso, que se logra a través de estados de flujo, donde las actividades desafiantes requieren alta concentración y conexión psicológica, promoviendo la felicidad (</w:t>
      </w:r>
      <w:proofErr w:type="spellStart"/>
      <w:r w:rsidRPr="005839DF">
        <w:rPr>
          <w:lang w:val="es-AR" w:eastAsia="es-ES_tradnl"/>
        </w:rPr>
        <w:t>Abuhamdeh</w:t>
      </w:r>
      <w:proofErr w:type="spellEnd"/>
      <w:r w:rsidRPr="005839DF">
        <w:rPr>
          <w:lang w:val="es-AR" w:eastAsia="es-ES_tradnl"/>
        </w:rPr>
        <w:t>, 2020). De este modo, la felicidad puede ser experimentada a través de estas rutas y estas orientaciones no se excluyen mutuamente, sino que pueden buscarse simultáneamente, lo que permite precipitar la vida plena (Seligman, 2018).</w:t>
      </w:r>
    </w:p>
    <w:p w14:paraId="0FCB7387" w14:textId="3AB4C2F0" w:rsidR="005839DF" w:rsidRPr="005839DF" w:rsidRDefault="005839DF" w:rsidP="005839DF">
      <w:pPr>
        <w:pStyle w:val="Prrafocomn"/>
        <w:rPr>
          <w:lang w:val="es-AR" w:eastAsia="es-ES_tradnl"/>
        </w:rPr>
      </w:pPr>
      <w:r w:rsidRPr="005839DF">
        <w:rPr>
          <w:lang w:val="es-AR" w:eastAsia="es-ES_tradnl"/>
        </w:rPr>
        <w:t xml:space="preserve">La OTHS se ha convertido en un “estándar de oro” (Brodsky &amp; </w:t>
      </w:r>
      <w:proofErr w:type="spellStart"/>
      <w:r w:rsidRPr="005839DF">
        <w:rPr>
          <w:lang w:val="es-AR" w:eastAsia="es-ES_tradnl"/>
        </w:rPr>
        <w:t>Lichtenstein</w:t>
      </w:r>
      <w:proofErr w:type="spellEnd"/>
      <w:r w:rsidRPr="005839DF">
        <w:rPr>
          <w:lang w:val="es-AR" w:eastAsia="es-ES_tradnl"/>
        </w:rPr>
        <w:t xml:space="preserve">, 2020) al adquirir reconocimiento a nivel internacional para evaluar el grado en qué las personas eligen formas para buscar la felicidad. Esta es la razón por la cual se ha traducido a varios idiomas, incluyendo el </w:t>
      </w:r>
      <w:r w:rsidR="0078058C">
        <w:rPr>
          <w:lang w:val="es-AR" w:eastAsia="es-ES_tradnl"/>
        </w:rPr>
        <w:t>a</w:t>
      </w:r>
      <w:r w:rsidRPr="005839DF">
        <w:rPr>
          <w:lang w:val="es-AR" w:eastAsia="es-ES_tradnl"/>
        </w:rPr>
        <w:t>lemán (</w:t>
      </w:r>
      <w:proofErr w:type="spellStart"/>
      <w:r w:rsidRPr="005839DF">
        <w:rPr>
          <w:lang w:val="es-AR" w:eastAsia="es-ES_tradnl"/>
        </w:rPr>
        <w:t>Ruch</w:t>
      </w:r>
      <w:proofErr w:type="spellEnd"/>
      <w:r w:rsidRPr="005839DF">
        <w:rPr>
          <w:lang w:val="es-AR" w:eastAsia="es-ES_tradnl"/>
        </w:rPr>
        <w:t xml:space="preserve"> et al., 2010), </w:t>
      </w:r>
      <w:r w:rsidR="0078058C">
        <w:rPr>
          <w:lang w:val="es-AR" w:eastAsia="es-ES_tradnl"/>
        </w:rPr>
        <w:t>c</w:t>
      </w:r>
      <w:r w:rsidRPr="005839DF">
        <w:rPr>
          <w:lang w:val="es-AR" w:eastAsia="es-ES_tradnl"/>
        </w:rPr>
        <w:t xml:space="preserve">hino (Chen, 2010), </w:t>
      </w:r>
      <w:r w:rsidR="0078058C">
        <w:rPr>
          <w:lang w:val="es-AR" w:eastAsia="es-ES_tradnl"/>
        </w:rPr>
        <w:t>e</w:t>
      </w:r>
      <w:r w:rsidRPr="005839DF">
        <w:rPr>
          <w:lang w:val="es-AR" w:eastAsia="es-ES_tradnl"/>
        </w:rPr>
        <w:t xml:space="preserve">spañol (San Martín et al., 2010), </w:t>
      </w:r>
      <w:r w:rsidR="0078058C">
        <w:rPr>
          <w:lang w:val="es-AR" w:eastAsia="es-ES_tradnl"/>
        </w:rPr>
        <w:t>j</w:t>
      </w:r>
      <w:r w:rsidRPr="005839DF">
        <w:rPr>
          <w:lang w:val="es-AR" w:eastAsia="es-ES_tradnl"/>
        </w:rPr>
        <w:t>aponés (</w:t>
      </w:r>
      <w:proofErr w:type="spellStart"/>
      <w:r w:rsidRPr="005839DF">
        <w:rPr>
          <w:lang w:val="es-AR" w:eastAsia="es-ES_tradnl"/>
        </w:rPr>
        <w:t>Kumano</w:t>
      </w:r>
      <w:proofErr w:type="spellEnd"/>
      <w:r w:rsidRPr="005839DF">
        <w:rPr>
          <w:lang w:val="es-AR" w:eastAsia="es-ES_tradnl"/>
        </w:rPr>
        <w:t xml:space="preserve">, 2011), </w:t>
      </w:r>
      <w:r w:rsidR="0078058C">
        <w:rPr>
          <w:lang w:val="es-AR" w:eastAsia="es-ES_tradnl"/>
        </w:rPr>
        <w:t>e</w:t>
      </w:r>
      <w:r w:rsidRPr="005839DF">
        <w:rPr>
          <w:lang w:val="es-AR" w:eastAsia="es-ES_tradnl"/>
        </w:rPr>
        <w:t>sloveno (</w:t>
      </w:r>
      <w:proofErr w:type="spellStart"/>
      <w:r w:rsidRPr="005839DF">
        <w:rPr>
          <w:lang w:val="es-AR" w:eastAsia="es-ES_tradnl"/>
        </w:rPr>
        <w:t>Avsec</w:t>
      </w:r>
      <w:proofErr w:type="spellEnd"/>
      <w:r w:rsidRPr="005839DF">
        <w:rPr>
          <w:lang w:val="es-AR" w:eastAsia="es-ES_tradnl"/>
        </w:rPr>
        <w:t xml:space="preserve"> &amp; </w:t>
      </w:r>
      <w:proofErr w:type="spellStart"/>
      <w:r w:rsidRPr="005839DF">
        <w:rPr>
          <w:lang w:val="es-AR" w:eastAsia="es-ES_tradnl"/>
        </w:rPr>
        <w:t>Kavčic</w:t>
      </w:r>
      <w:proofErr w:type="spellEnd"/>
      <w:r w:rsidRPr="005839DF">
        <w:rPr>
          <w:lang w:val="es-AR" w:eastAsia="es-ES_tradnl"/>
        </w:rPr>
        <w:t xml:space="preserve">̌, 2012), </w:t>
      </w:r>
      <w:r w:rsidR="0078058C">
        <w:rPr>
          <w:lang w:val="es-AR" w:eastAsia="es-ES_tradnl"/>
        </w:rPr>
        <w:t>c</w:t>
      </w:r>
      <w:r w:rsidRPr="005839DF">
        <w:rPr>
          <w:lang w:val="es-AR" w:eastAsia="es-ES_tradnl"/>
        </w:rPr>
        <w:t>roata (</w:t>
      </w:r>
      <w:proofErr w:type="spellStart"/>
      <w:r w:rsidRPr="005839DF">
        <w:rPr>
          <w:lang w:val="es-AR" w:eastAsia="es-ES_tradnl"/>
        </w:rPr>
        <w:t>Anic</w:t>
      </w:r>
      <w:proofErr w:type="spellEnd"/>
      <w:r w:rsidRPr="005839DF">
        <w:rPr>
          <w:lang w:val="es-AR" w:eastAsia="es-ES_tradnl"/>
        </w:rPr>
        <w:t xml:space="preserve">́ &amp; </w:t>
      </w:r>
      <w:proofErr w:type="spellStart"/>
      <w:r w:rsidRPr="005839DF">
        <w:rPr>
          <w:lang w:val="es-AR" w:eastAsia="es-ES_tradnl"/>
        </w:rPr>
        <w:t>Tončic</w:t>
      </w:r>
      <w:proofErr w:type="spellEnd"/>
      <w:r w:rsidRPr="005839DF">
        <w:rPr>
          <w:lang w:val="es-AR" w:eastAsia="es-ES_tradnl"/>
        </w:rPr>
        <w:t xml:space="preserve">́, 2013), </w:t>
      </w:r>
      <w:r w:rsidR="0078058C">
        <w:rPr>
          <w:lang w:val="es-AR" w:eastAsia="es-ES_tradnl"/>
        </w:rPr>
        <w:t>f</w:t>
      </w:r>
      <w:r w:rsidRPr="005839DF">
        <w:rPr>
          <w:lang w:val="es-AR" w:eastAsia="es-ES_tradnl"/>
        </w:rPr>
        <w:t xml:space="preserve">rancés </w:t>
      </w:r>
      <w:r w:rsidRPr="005839DF">
        <w:rPr>
          <w:lang w:val="es-AR" w:eastAsia="es-ES_tradnl"/>
        </w:rPr>
        <w:lastRenderedPageBreak/>
        <w:t>(Martin-</w:t>
      </w:r>
      <w:proofErr w:type="spellStart"/>
      <w:r w:rsidRPr="005839DF">
        <w:rPr>
          <w:lang w:val="es-AR" w:eastAsia="es-ES_tradnl"/>
        </w:rPr>
        <w:t>Krumm</w:t>
      </w:r>
      <w:proofErr w:type="spellEnd"/>
      <w:r w:rsidRPr="005839DF">
        <w:rPr>
          <w:lang w:val="es-AR" w:eastAsia="es-ES_tradnl"/>
        </w:rPr>
        <w:t xml:space="preserve"> et al., 2014), </w:t>
      </w:r>
      <w:r w:rsidR="0078058C">
        <w:rPr>
          <w:lang w:val="es-AR" w:eastAsia="es-ES_tradnl"/>
        </w:rPr>
        <w:t>h</w:t>
      </w:r>
      <w:r w:rsidRPr="005839DF">
        <w:rPr>
          <w:lang w:val="es-AR" w:eastAsia="es-ES_tradnl"/>
        </w:rPr>
        <w:t>úngaro (</w:t>
      </w:r>
      <w:proofErr w:type="spellStart"/>
      <w:r w:rsidRPr="005839DF">
        <w:rPr>
          <w:lang w:val="es-AR" w:eastAsia="es-ES_tradnl"/>
        </w:rPr>
        <w:t>Szondy</w:t>
      </w:r>
      <w:proofErr w:type="spellEnd"/>
      <w:r w:rsidRPr="005839DF">
        <w:rPr>
          <w:lang w:val="es-AR" w:eastAsia="es-ES_tradnl"/>
        </w:rPr>
        <w:t xml:space="preserve"> &amp; Martos, 2014), </w:t>
      </w:r>
      <w:r w:rsidR="0078058C">
        <w:rPr>
          <w:lang w:val="es-AR" w:eastAsia="es-ES_tradnl"/>
        </w:rPr>
        <w:t>t</w:t>
      </w:r>
      <w:r w:rsidRPr="005839DF">
        <w:rPr>
          <w:lang w:val="es-AR" w:eastAsia="es-ES_tradnl"/>
        </w:rPr>
        <w:t>urco (</w:t>
      </w:r>
      <w:proofErr w:type="spellStart"/>
      <w:r w:rsidRPr="005839DF">
        <w:rPr>
          <w:lang w:val="es-AR" w:eastAsia="es-ES_tradnl"/>
        </w:rPr>
        <w:t>Alper-Köse</w:t>
      </w:r>
      <w:proofErr w:type="spellEnd"/>
      <w:r w:rsidRPr="005839DF">
        <w:rPr>
          <w:lang w:val="es-AR" w:eastAsia="es-ES_tradnl"/>
        </w:rPr>
        <w:t xml:space="preserve">, 2014) y </w:t>
      </w:r>
      <w:r w:rsidR="0078058C">
        <w:rPr>
          <w:lang w:val="es-AR" w:eastAsia="es-ES_tradnl"/>
        </w:rPr>
        <w:t>u</w:t>
      </w:r>
      <w:r w:rsidRPr="005839DF">
        <w:rPr>
          <w:lang w:val="es-AR" w:eastAsia="es-ES_tradnl"/>
        </w:rPr>
        <w:t>craniano (</w:t>
      </w:r>
      <w:proofErr w:type="spellStart"/>
      <w:r w:rsidRPr="005839DF">
        <w:rPr>
          <w:lang w:val="es-AR" w:eastAsia="es-ES_tradnl"/>
        </w:rPr>
        <w:t>Kryvenko</w:t>
      </w:r>
      <w:proofErr w:type="spellEnd"/>
      <w:r w:rsidRPr="005839DF">
        <w:rPr>
          <w:lang w:val="es-AR" w:eastAsia="es-ES_tradnl"/>
        </w:rPr>
        <w:t xml:space="preserve"> &amp; </w:t>
      </w:r>
      <w:proofErr w:type="spellStart"/>
      <w:r w:rsidRPr="005839DF">
        <w:rPr>
          <w:lang w:val="es-AR" w:eastAsia="es-ES_tradnl"/>
        </w:rPr>
        <w:t>Petryk</w:t>
      </w:r>
      <w:proofErr w:type="spellEnd"/>
      <w:r w:rsidRPr="005839DF">
        <w:rPr>
          <w:lang w:val="es-AR" w:eastAsia="es-ES_tradnl"/>
        </w:rPr>
        <w:t>, 2019). Además, esta escala ha sido utilizada para medir las orientaciones hacia la felicidad en más de cien países (</w:t>
      </w:r>
      <w:proofErr w:type="spellStart"/>
      <w:r w:rsidRPr="005839DF">
        <w:rPr>
          <w:lang w:val="es-AR" w:eastAsia="es-ES_tradnl"/>
        </w:rPr>
        <w:t>Schueller</w:t>
      </w:r>
      <w:proofErr w:type="spellEnd"/>
      <w:r w:rsidRPr="005839DF">
        <w:rPr>
          <w:lang w:val="es-AR" w:eastAsia="es-ES_tradnl"/>
        </w:rPr>
        <w:t xml:space="preserve"> &amp; Seligman, 2010) y se han llevado a cabo comparaciones transculturales con este instrumento (Park et al., 2009; </w:t>
      </w:r>
      <w:proofErr w:type="spellStart"/>
      <w:r w:rsidRPr="005839DF">
        <w:rPr>
          <w:lang w:val="es-AR" w:eastAsia="es-ES_tradnl"/>
        </w:rPr>
        <w:t>Gaston</w:t>
      </w:r>
      <w:proofErr w:type="spellEnd"/>
      <w:r w:rsidRPr="005839DF">
        <w:rPr>
          <w:lang w:val="es-AR" w:eastAsia="es-ES_tradnl"/>
        </w:rPr>
        <w:t>-Breton et al., 2021).</w:t>
      </w:r>
    </w:p>
    <w:p w14:paraId="0B1BB6A5" w14:textId="43A753B8" w:rsidR="005839DF" w:rsidRPr="005839DF" w:rsidRDefault="005839DF" w:rsidP="005839DF">
      <w:pPr>
        <w:pStyle w:val="Prrafocomn"/>
        <w:rPr>
          <w:lang w:val="es-AR" w:eastAsia="es-ES_tradnl"/>
        </w:rPr>
      </w:pPr>
      <w:r w:rsidRPr="005839DF">
        <w:rPr>
          <w:lang w:val="es-AR" w:eastAsia="es-ES_tradnl"/>
        </w:rPr>
        <w:t> Es relevante destacar que esta escala se originó en inglés y se enfocó en investigaciones con muestras estadounidenses (Peterson et al., 2005). No obstante, la disponibilidad de datos que respalden su validez en otros idiomas y culturas es limitada, lo que ha impulsado la necesidad de evaluar el modelo de medición en diversos contextos, identificando desafíos y discrepancias debido a las diferencias culturales (</w:t>
      </w:r>
      <w:proofErr w:type="spellStart"/>
      <w:r w:rsidRPr="005839DF">
        <w:rPr>
          <w:lang w:val="es-AR" w:eastAsia="es-ES_tradnl"/>
        </w:rPr>
        <w:t>Avsec</w:t>
      </w:r>
      <w:proofErr w:type="spellEnd"/>
      <w:r w:rsidRPr="005839DF">
        <w:rPr>
          <w:lang w:val="es-AR" w:eastAsia="es-ES_tradnl"/>
        </w:rPr>
        <w:t xml:space="preserve"> &amp; </w:t>
      </w:r>
      <w:proofErr w:type="spellStart"/>
      <w:r w:rsidRPr="005839DF">
        <w:rPr>
          <w:lang w:val="es-AR" w:eastAsia="es-ES_tradnl"/>
        </w:rPr>
        <w:t>Kavčic</w:t>
      </w:r>
      <w:proofErr w:type="spellEnd"/>
      <w:r w:rsidRPr="005839DF">
        <w:rPr>
          <w:lang w:val="es-AR" w:eastAsia="es-ES_tradnl"/>
        </w:rPr>
        <w:t>̌, 2012). Por ejemplo, en varios estudios (</w:t>
      </w:r>
      <w:proofErr w:type="spellStart"/>
      <w:r w:rsidRPr="005839DF">
        <w:rPr>
          <w:lang w:val="es-AR" w:eastAsia="es-ES_tradnl"/>
        </w:rPr>
        <w:t>Alper-Köse</w:t>
      </w:r>
      <w:proofErr w:type="spellEnd"/>
      <w:r w:rsidRPr="005839DF">
        <w:rPr>
          <w:lang w:val="es-AR" w:eastAsia="es-ES_tradnl"/>
        </w:rPr>
        <w:t xml:space="preserve">, 2014; </w:t>
      </w:r>
      <w:proofErr w:type="spellStart"/>
      <w:r w:rsidRPr="005839DF">
        <w:rPr>
          <w:lang w:val="es-AR" w:eastAsia="es-ES_tradnl"/>
        </w:rPr>
        <w:t>Avsec</w:t>
      </w:r>
      <w:proofErr w:type="spellEnd"/>
      <w:r w:rsidRPr="005839DF">
        <w:rPr>
          <w:lang w:val="es-AR" w:eastAsia="es-ES_tradnl"/>
        </w:rPr>
        <w:t xml:space="preserve"> &amp; </w:t>
      </w:r>
      <w:proofErr w:type="spellStart"/>
      <w:r w:rsidRPr="005839DF">
        <w:rPr>
          <w:lang w:val="es-AR" w:eastAsia="es-ES_tradnl"/>
        </w:rPr>
        <w:t>Kavčic</w:t>
      </w:r>
      <w:proofErr w:type="spellEnd"/>
      <w:r w:rsidRPr="005839DF">
        <w:rPr>
          <w:lang w:val="es-AR" w:eastAsia="es-ES_tradnl"/>
        </w:rPr>
        <w:t xml:space="preserve">̌ 2012; Chen, 2010; </w:t>
      </w:r>
      <w:proofErr w:type="spellStart"/>
      <w:r w:rsidRPr="005839DF">
        <w:rPr>
          <w:lang w:val="es-AR" w:eastAsia="es-ES_tradnl"/>
        </w:rPr>
        <w:t>Gaston</w:t>
      </w:r>
      <w:proofErr w:type="spellEnd"/>
      <w:r w:rsidRPr="005839DF">
        <w:rPr>
          <w:lang w:val="es-AR" w:eastAsia="es-ES_tradnl"/>
        </w:rPr>
        <w:t xml:space="preserve">-Breton et al., 2021; </w:t>
      </w:r>
      <w:proofErr w:type="spellStart"/>
      <w:r w:rsidRPr="005839DF">
        <w:rPr>
          <w:lang w:val="es-AR" w:eastAsia="es-ES_tradnl"/>
        </w:rPr>
        <w:t>Kumano</w:t>
      </w:r>
      <w:proofErr w:type="spellEnd"/>
      <w:r w:rsidRPr="005839DF">
        <w:rPr>
          <w:lang w:val="es-AR" w:eastAsia="es-ES_tradnl"/>
        </w:rPr>
        <w:t xml:space="preserve">, 2011; </w:t>
      </w:r>
      <w:proofErr w:type="spellStart"/>
      <w:r w:rsidRPr="005839DF">
        <w:rPr>
          <w:lang w:val="es-AR" w:eastAsia="es-ES_tradnl"/>
        </w:rPr>
        <w:t>Kryvenko</w:t>
      </w:r>
      <w:proofErr w:type="spellEnd"/>
      <w:r w:rsidRPr="005839DF">
        <w:rPr>
          <w:lang w:val="es-AR" w:eastAsia="es-ES_tradnl"/>
        </w:rPr>
        <w:t xml:space="preserve"> &amp; </w:t>
      </w:r>
      <w:proofErr w:type="spellStart"/>
      <w:r w:rsidRPr="005839DF">
        <w:rPr>
          <w:lang w:val="es-AR" w:eastAsia="es-ES_tradnl"/>
        </w:rPr>
        <w:t>Petryk</w:t>
      </w:r>
      <w:proofErr w:type="spellEnd"/>
      <w:r w:rsidRPr="005839DF">
        <w:rPr>
          <w:lang w:val="es-AR" w:eastAsia="es-ES_tradnl"/>
        </w:rPr>
        <w:t xml:space="preserve"> 2019; Lorente et al 2019; Martin-</w:t>
      </w:r>
      <w:proofErr w:type="spellStart"/>
      <w:r w:rsidRPr="005839DF">
        <w:rPr>
          <w:lang w:val="es-AR" w:eastAsia="es-ES_tradnl"/>
        </w:rPr>
        <w:t>Krumm</w:t>
      </w:r>
      <w:proofErr w:type="spellEnd"/>
      <w:r w:rsidRPr="005839DF">
        <w:rPr>
          <w:lang w:val="es-AR" w:eastAsia="es-ES_tradnl"/>
        </w:rPr>
        <w:t xml:space="preserve"> et al. 2014; </w:t>
      </w:r>
      <w:proofErr w:type="spellStart"/>
      <w:r w:rsidRPr="005839DF">
        <w:rPr>
          <w:lang w:val="es-AR" w:eastAsia="es-ES_tradnl"/>
        </w:rPr>
        <w:t>Ruch</w:t>
      </w:r>
      <w:proofErr w:type="spellEnd"/>
      <w:r w:rsidRPr="005839DF">
        <w:rPr>
          <w:lang w:val="es-AR" w:eastAsia="es-ES_tradnl"/>
        </w:rPr>
        <w:t xml:space="preserve"> et al., 2010; </w:t>
      </w:r>
      <w:proofErr w:type="spellStart"/>
      <w:r w:rsidRPr="005839DF">
        <w:rPr>
          <w:lang w:val="es-AR" w:eastAsia="es-ES_tradnl"/>
        </w:rPr>
        <w:t>Saricam</w:t>
      </w:r>
      <w:proofErr w:type="spellEnd"/>
      <w:r w:rsidRPr="005839DF">
        <w:rPr>
          <w:lang w:val="es-AR" w:eastAsia="es-ES_tradnl"/>
        </w:rPr>
        <w:t xml:space="preserve"> &amp; </w:t>
      </w:r>
      <w:proofErr w:type="spellStart"/>
      <w:r w:rsidRPr="005839DF">
        <w:rPr>
          <w:lang w:val="es-AR" w:eastAsia="es-ES_tradnl"/>
        </w:rPr>
        <w:t>Canatan</w:t>
      </w:r>
      <w:proofErr w:type="spellEnd"/>
      <w:r w:rsidRPr="005839DF">
        <w:rPr>
          <w:lang w:val="es-AR" w:eastAsia="es-ES_tradnl"/>
        </w:rPr>
        <w:t xml:space="preserve"> 2015; </w:t>
      </w:r>
      <w:proofErr w:type="spellStart"/>
      <w:r w:rsidRPr="005839DF">
        <w:rPr>
          <w:lang w:val="es-AR" w:eastAsia="es-ES_tradnl"/>
        </w:rPr>
        <w:t>Szondy</w:t>
      </w:r>
      <w:proofErr w:type="spellEnd"/>
      <w:r w:rsidRPr="005839DF">
        <w:rPr>
          <w:lang w:val="es-AR" w:eastAsia="es-ES_tradnl"/>
        </w:rPr>
        <w:t xml:space="preserve"> &amp; Martos, 2014; Wagner et al., 2014), se busca establecer la validez de contenido mediante procesos de traducción- </w:t>
      </w:r>
      <w:proofErr w:type="spellStart"/>
      <w:r w:rsidRPr="005839DF">
        <w:rPr>
          <w:lang w:val="es-AR" w:eastAsia="es-ES_tradnl"/>
        </w:rPr>
        <w:t>retraducción</w:t>
      </w:r>
      <w:proofErr w:type="spellEnd"/>
      <w:r w:rsidRPr="005839DF">
        <w:rPr>
          <w:lang w:val="es-AR" w:eastAsia="es-ES_tradnl"/>
        </w:rPr>
        <w:t>. Sin embargo, en ocasiones, no se presentan pruebas específicas de la validez de contenido, como la evaluación de la concordancia entre expertos al valorar los ítems que componen la escala (Pedrosa et al., 2013). Algunos estudios cualitativamente señalan problemas en el desempeño de ciertos ítems en relación con la cultura (</w:t>
      </w:r>
      <w:proofErr w:type="spellStart"/>
      <w:r w:rsidRPr="005839DF">
        <w:rPr>
          <w:lang w:val="es-AR" w:eastAsia="es-ES_tradnl"/>
        </w:rPr>
        <w:t>Alper-Köse</w:t>
      </w:r>
      <w:proofErr w:type="spellEnd"/>
      <w:r w:rsidRPr="005839DF">
        <w:rPr>
          <w:lang w:val="es-AR" w:eastAsia="es-ES_tradnl"/>
        </w:rPr>
        <w:t>, 2014; Martin-</w:t>
      </w:r>
      <w:proofErr w:type="spellStart"/>
      <w:r w:rsidRPr="005839DF">
        <w:rPr>
          <w:lang w:val="es-AR" w:eastAsia="es-ES_tradnl"/>
        </w:rPr>
        <w:t>Krumm</w:t>
      </w:r>
      <w:proofErr w:type="spellEnd"/>
      <w:r w:rsidRPr="005839DF">
        <w:rPr>
          <w:lang w:val="es-AR" w:eastAsia="es-ES_tradnl"/>
        </w:rPr>
        <w:t xml:space="preserve"> et al., 2014), pero no se dispone de información sobre el grado de acuerdo entre expertos al evaluar el contenido de dichos ítems.</w:t>
      </w:r>
    </w:p>
    <w:p w14:paraId="413A9F0C" w14:textId="265D4B6A" w:rsidR="005839DF" w:rsidRPr="005839DF" w:rsidRDefault="005839DF" w:rsidP="005839DF">
      <w:pPr>
        <w:pStyle w:val="Prrafocomn"/>
        <w:rPr>
          <w:lang w:val="es-AR" w:eastAsia="es-ES_tradnl"/>
        </w:rPr>
      </w:pPr>
      <w:r w:rsidRPr="005839DF">
        <w:rPr>
          <w:lang w:val="es-AR" w:eastAsia="es-ES_tradnl"/>
        </w:rPr>
        <w:t>Las discrepancias culturales en la interpretación de los ítems pueden incidir en la validez de constructo, siendo la validez de contenido la base subyacente (Pedrosa et al., 2013). Así, la versión original de la OTHS (Peterson et al., 2005) propone tres factores, hallazgos congruentes en muestras de alemanes (</w:t>
      </w:r>
      <w:proofErr w:type="spellStart"/>
      <w:r w:rsidRPr="005839DF">
        <w:rPr>
          <w:lang w:val="es-AR" w:eastAsia="es-ES_tradnl"/>
        </w:rPr>
        <w:t>Ruch</w:t>
      </w:r>
      <w:proofErr w:type="spellEnd"/>
      <w:r w:rsidRPr="005839DF">
        <w:rPr>
          <w:lang w:val="es-AR" w:eastAsia="es-ES_tradnl"/>
        </w:rPr>
        <w:t xml:space="preserve"> et al., 2010; </w:t>
      </w:r>
      <w:proofErr w:type="spellStart"/>
      <w:r w:rsidRPr="005839DF">
        <w:rPr>
          <w:lang w:val="es-AR" w:eastAsia="es-ES_tradnl"/>
        </w:rPr>
        <w:t>Ruch</w:t>
      </w:r>
      <w:proofErr w:type="spellEnd"/>
      <w:r w:rsidRPr="005839DF">
        <w:rPr>
          <w:lang w:val="es-AR" w:eastAsia="es-ES_tradnl"/>
        </w:rPr>
        <w:t xml:space="preserve"> et al., 2014), hongkoneses (Chan, 2009), españoles (San Martín et al., 2010), húngaros (</w:t>
      </w:r>
      <w:proofErr w:type="spellStart"/>
      <w:r w:rsidRPr="005839DF">
        <w:rPr>
          <w:lang w:val="es-AR" w:eastAsia="es-ES_tradnl"/>
        </w:rPr>
        <w:t>Szondy</w:t>
      </w:r>
      <w:proofErr w:type="spellEnd"/>
      <w:r w:rsidRPr="005839DF">
        <w:rPr>
          <w:lang w:val="es-AR" w:eastAsia="es-ES_tradnl"/>
        </w:rPr>
        <w:t xml:space="preserve"> &amp; Martos, 2014), japoneses (</w:t>
      </w:r>
      <w:proofErr w:type="spellStart"/>
      <w:r w:rsidRPr="005839DF">
        <w:rPr>
          <w:lang w:val="es-AR" w:eastAsia="es-ES_tradnl"/>
        </w:rPr>
        <w:t>Kumano</w:t>
      </w:r>
      <w:proofErr w:type="spellEnd"/>
      <w:r w:rsidRPr="005839DF">
        <w:rPr>
          <w:lang w:val="es-AR" w:eastAsia="es-ES_tradnl"/>
        </w:rPr>
        <w:t>, 2011), rusos (</w:t>
      </w:r>
      <w:proofErr w:type="spellStart"/>
      <w:r w:rsidRPr="005839DF">
        <w:rPr>
          <w:lang w:val="es-AR" w:eastAsia="es-ES_tradnl"/>
        </w:rPr>
        <w:t>Alper-Köse</w:t>
      </w:r>
      <w:proofErr w:type="spellEnd"/>
      <w:r w:rsidRPr="005839DF">
        <w:rPr>
          <w:lang w:val="es-AR" w:eastAsia="es-ES_tradnl"/>
        </w:rPr>
        <w:t>, 2014), eslovenos (</w:t>
      </w:r>
      <w:proofErr w:type="spellStart"/>
      <w:r w:rsidRPr="005839DF">
        <w:rPr>
          <w:lang w:val="es-AR" w:eastAsia="es-ES_tradnl"/>
        </w:rPr>
        <w:t>Avsec</w:t>
      </w:r>
      <w:proofErr w:type="spellEnd"/>
      <w:r w:rsidRPr="005839DF">
        <w:rPr>
          <w:lang w:val="es-AR" w:eastAsia="es-ES_tradnl"/>
        </w:rPr>
        <w:t xml:space="preserve"> &amp; </w:t>
      </w:r>
      <w:proofErr w:type="spellStart"/>
      <w:r w:rsidRPr="005839DF">
        <w:rPr>
          <w:lang w:val="es-AR" w:eastAsia="es-ES_tradnl"/>
        </w:rPr>
        <w:t>Kavčic</w:t>
      </w:r>
      <w:proofErr w:type="spellEnd"/>
      <w:r w:rsidRPr="005839DF">
        <w:rPr>
          <w:lang w:val="es-AR" w:eastAsia="es-ES_tradnl"/>
        </w:rPr>
        <w:t>̌ 2012), taiwaneses (Chen et al., 2010), ucranianos (</w:t>
      </w:r>
      <w:proofErr w:type="spellStart"/>
      <w:r w:rsidRPr="005839DF">
        <w:rPr>
          <w:lang w:val="es-AR" w:eastAsia="es-ES_tradnl"/>
        </w:rPr>
        <w:t>Kryvenko</w:t>
      </w:r>
      <w:proofErr w:type="spellEnd"/>
      <w:r w:rsidRPr="005839DF">
        <w:rPr>
          <w:lang w:val="es-AR" w:eastAsia="es-ES_tradnl"/>
        </w:rPr>
        <w:t xml:space="preserve"> &amp; </w:t>
      </w:r>
      <w:proofErr w:type="spellStart"/>
      <w:r w:rsidRPr="005839DF">
        <w:rPr>
          <w:lang w:val="es-AR" w:eastAsia="es-ES_tradnl"/>
        </w:rPr>
        <w:t>Petryk</w:t>
      </w:r>
      <w:proofErr w:type="spellEnd"/>
      <w:r w:rsidRPr="005839DF">
        <w:rPr>
          <w:lang w:val="es-AR" w:eastAsia="es-ES_tradnl"/>
        </w:rPr>
        <w:t>, 2019), y mexicanos (</w:t>
      </w:r>
      <w:proofErr w:type="spellStart"/>
      <w:r w:rsidRPr="005839DF">
        <w:rPr>
          <w:lang w:val="es-AR" w:eastAsia="es-ES_tradnl"/>
        </w:rPr>
        <w:t>Duron</w:t>
      </w:r>
      <w:proofErr w:type="spellEnd"/>
      <w:r w:rsidRPr="005839DF">
        <w:rPr>
          <w:lang w:val="es-AR" w:eastAsia="es-ES_tradnl"/>
        </w:rPr>
        <w:t xml:space="preserve"> et al., 2016). Sin embargo, </w:t>
      </w:r>
      <w:proofErr w:type="spellStart"/>
      <w:r w:rsidRPr="005839DF">
        <w:rPr>
          <w:lang w:val="es-AR" w:eastAsia="es-ES_tradnl"/>
        </w:rPr>
        <w:t>Schueller</w:t>
      </w:r>
      <w:proofErr w:type="spellEnd"/>
      <w:r w:rsidRPr="005839DF">
        <w:rPr>
          <w:lang w:val="es-AR" w:eastAsia="es-ES_tradnl"/>
        </w:rPr>
        <w:t xml:space="preserve"> y Seligman (2010) probaron este modelo de medida tripartita en 112 países encontrando algunas deficiencias en los índices de ajuste; concluyendo que podría haber una estructura factorial más apropiada, sin brindar sugerencias al respecto. En otras poblaciones, el modelo se ajusta satisfactoriamente con solo dos factores, como en croatas (</w:t>
      </w:r>
      <w:proofErr w:type="spellStart"/>
      <w:r w:rsidRPr="005839DF">
        <w:rPr>
          <w:lang w:val="es-AR" w:eastAsia="es-ES_tradnl"/>
        </w:rPr>
        <w:t>Anic</w:t>
      </w:r>
      <w:proofErr w:type="spellEnd"/>
      <w:r w:rsidRPr="005839DF">
        <w:rPr>
          <w:lang w:val="es-AR" w:eastAsia="es-ES_tradnl"/>
        </w:rPr>
        <w:t xml:space="preserve">́ &amp; </w:t>
      </w:r>
      <w:proofErr w:type="spellStart"/>
      <w:r w:rsidRPr="005839DF">
        <w:rPr>
          <w:lang w:val="es-AR" w:eastAsia="es-ES_tradnl"/>
        </w:rPr>
        <w:t>Tončic</w:t>
      </w:r>
      <w:proofErr w:type="spellEnd"/>
      <w:r w:rsidRPr="005839DF">
        <w:rPr>
          <w:lang w:val="es-AR" w:eastAsia="es-ES_tradnl"/>
        </w:rPr>
        <w:t xml:space="preserve">́, 2013) y en una versión abreviada de la escala en españoles (Lorente et al., 2019). La discrepancia en el número de </w:t>
      </w:r>
      <w:r w:rsidRPr="005839DF">
        <w:rPr>
          <w:lang w:val="es-AR" w:eastAsia="es-ES_tradnl"/>
        </w:rPr>
        <w:lastRenderedPageBreak/>
        <w:t>dimensiones se acentúa al considerar que algunos estudios han obtenido índices de bondad de ajuste adecuados incluso con cuatro factores en turcos (</w:t>
      </w:r>
      <w:proofErr w:type="spellStart"/>
      <w:r w:rsidRPr="005839DF">
        <w:rPr>
          <w:lang w:val="es-AR" w:eastAsia="es-ES_tradnl"/>
        </w:rPr>
        <w:t>Alper-Köse</w:t>
      </w:r>
      <w:proofErr w:type="spellEnd"/>
      <w:r w:rsidRPr="005839DF">
        <w:rPr>
          <w:lang w:val="es-AR" w:eastAsia="es-ES_tradnl"/>
        </w:rPr>
        <w:t>, 2014) y alemanes (</w:t>
      </w:r>
      <w:proofErr w:type="spellStart"/>
      <w:r w:rsidRPr="005839DF">
        <w:rPr>
          <w:lang w:val="es-AR" w:eastAsia="es-ES_tradnl"/>
        </w:rPr>
        <w:t>Ruch</w:t>
      </w:r>
      <w:proofErr w:type="spellEnd"/>
      <w:r w:rsidRPr="005839DF">
        <w:rPr>
          <w:lang w:val="es-AR" w:eastAsia="es-ES_tradnl"/>
        </w:rPr>
        <w:t xml:space="preserve"> et al., 2010).</w:t>
      </w:r>
    </w:p>
    <w:p w14:paraId="00F477AA" w14:textId="4793398E" w:rsidR="005839DF" w:rsidRPr="005839DF" w:rsidRDefault="005839DF" w:rsidP="005839DF">
      <w:pPr>
        <w:pStyle w:val="Prrafocomn"/>
        <w:rPr>
          <w:lang w:val="es-AR" w:eastAsia="es-ES_tradnl"/>
        </w:rPr>
      </w:pPr>
      <w:r w:rsidRPr="005839DF">
        <w:rPr>
          <w:lang w:val="es-AR" w:eastAsia="es-ES_tradnl"/>
        </w:rPr>
        <w:t xml:space="preserve">En esta línea de análisis, </w:t>
      </w:r>
      <w:proofErr w:type="spellStart"/>
      <w:r w:rsidRPr="005839DF">
        <w:rPr>
          <w:lang w:val="es-AR" w:eastAsia="es-ES_tradnl"/>
        </w:rPr>
        <w:t>Avsec</w:t>
      </w:r>
      <w:proofErr w:type="spellEnd"/>
      <w:r w:rsidRPr="005839DF">
        <w:rPr>
          <w:lang w:val="es-AR" w:eastAsia="es-ES_tradnl"/>
        </w:rPr>
        <w:t xml:space="preserve"> y </w:t>
      </w:r>
      <w:proofErr w:type="spellStart"/>
      <w:r w:rsidRPr="005839DF">
        <w:rPr>
          <w:lang w:val="es-AR" w:eastAsia="es-ES_tradnl"/>
        </w:rPr>
        <w:t>Kavčic</w:t>
      </w:r>
      <w:proofErr w:type="spellEnd"/>
      <w:r w:rsidRPr="005839DF">
        <w:rPr>
          <w:lang w:val="es-AR" w:eastAsia="es-ES_tradnl"/>
        </w:rPr>
        <w:t xml:space="preserve">̌ (2012) señalan que este resultado inconsistente no permite tomar un posicionamiento claro sobre si existen dos o tres rutas para experimentar la felicidad. Ya que desde la postura de Peterson et al. (2005) la vida con compromiso fue incluida en la OTHS, justificada por </w:t>
      </w:r>
      <w:r w:rsidR="003232E9" w:rsidRPr="005839DF">
        <w:rPr>
          <w:lang w:val="es-AR" w:eastAsia="es-ES_tradnl"/>
        </w:rPr>
        <w:t>la teoría</w:t>
      </w:r>
      <w:r w:rsidRPr="005839DF">
        <w:rPr>
          <w:lang w:val="es-AR" w:eastAsia="es-ES_tradnl"/>
        </w:rPr>
        <w:t xml:space="preserve"> del "flujo" (</w:t>
      </w:r>
      <w:proofErr w:type="spellStart"/>
      <w:r w:rsidRPr="005839DF">
        <w:rPr>
          <w:lang w:val="es-AR" w:eastAsia="es-ES_tradnl"/>
        </w:rPr>
        <w:t>Csikszentmihalyi</w:t>
      </w:r>
      <w:proofErr w:type="spellEnd"/>
      <w:r w:rsidRPr="005839DF">
        <w:rPr>
          <w:lang w:val="es-AR" w:eastAsia="es-ES_tradnl"/>
        </w:rPr>
        <w:t xml:space="preserve">, 1990), como una ruta independiente de la vida de placer (hedonismo) y la vida con significado (eudaimonia). Sin embargo, desde el punto de vista de </w:t>
      </w:r>
      <w:proofErr w:type="spellStart"/>
      <w:r w:rsidRPr="005839DF">
        <w:rPr>
          <w:lang w:val="es-AR" w:eastAsia="es-ES_tradnl"/>
        </w:rPr>
        <w:t>Waterman</w:t>
      </w:r>
      <w:proofErr w:type="spellEnd"/>
      <w:r w:rsidRPr="005839DF">
        <w:rPr>
          <w:lang w:val="es-AR" w:eastAsia="es-ES_tradnl"/>
        </w:rPr>
        <w:t xml:space="preserve"> (1993), el flujo es inherente a las actividades hedónicas y </w:t>
      </w:r>
      <w:proofErr w:type="spellStart"/>
      <w:r w:rsidRPr="005839DF">
        <w:rPr>
          <w:lang w:val="es-AR" w:eastAsia="es-ES_tradnl"/>
        </w:rPr>
        <w:t>eudamónicas</w:t>
      </w:r>
      <w:proofErr w:type="spellEnd"/>
      <w:r w:rsidRPr="005839DF">
        <w:rPr>
          <w:lang w:val="es-AR" w:eastAsia="es-ES_tradnl"/>
        </w:rPr>
        <w:t>; lo que permitiría justificar una solución factorial de dos dimensiones.</w:t>
      </w:r>
    </w:p>
    <w:p w14:paraId="3D9F623D" w14:textId="05438E38" w:rsidR="005839DF" w:rsidRPr="005839DF" w:rsidRDefault="005839DF" w:rsidP="005839DF">
      <w:pPr>
        <w:pStyle w:val="Prrafocomn"/>
        <w:rPr>
          <w:lang w:val="es-AR" w:eastAsia="es-ES_tradnl"/>
        </w:rPr>
      </w:pPr>
      <w:r w:rsidRPr="005839DF">
        <w:rPr>
          <w:lang w:val="es-AR" w:eastAsia="es-ES_tradnl"/>
        </w:rPr>
        <w:t xml:space="preserve">La agrupación de los reactivos en dos o tres dimensiones en la OTHS ha presentado desafíos significativos debido a las cargas factoriales cruzadas. </w:t>
      </w:r>
      <w:proofErr w:type="spellStart"/>
      <w:r w:rsidRPr="005839DF">
        <w:rPr>
          <w:lang w:val="es-AR" w:eastAsia="es-ES_tradnl"/>
        </w:rPr>
        <w:t>Ruch</w:t>
      </w:r>
      <w:proofErr w:type="spellEnd"/>
      <w:r w:rsidRPr="005839DF">
        <w:rPr>
          <w:lang w:val="es-AR" w:eastAsia="es-ES_tradnl"/>
        </w:rPr>
        <w:t xml:space="preserve"> et al. (2010) señala</w:t>
      </w:r>
      <w:r w:rsidR="0078058C">
        <w:rPr>
          <w:lang w:val="es-AR" w:eastAsia="es-ES_tradnl"/>
        </w:rPr>
        <w:t>n</w:t>
      </w:r>
      <w:r w:rsidRPr="005839DF">
        <w:rPr>
          <w:lang w:val="es-AR" w:eastAsia="es-ES_tradnl"/>
        </w:rPr>
        <w:t xml:space="preserve"> en la escala original de Peterson et al. (2005) que varios reactivos exhiben cargas factoriales compartidas en más de un factor. Según </w:t>
      </w:r>
      <w:proofErr w:type="spellStart"/>
      <w:r w:rsidRPr="005839DF">
        <w:rPr>
          <w:lang w:val="es-AR" w:eastAsia="es-ES_tradnl"/>
        </w:rPr>
        <w:t>Kryvenko</w:t>
      </w:r>
      <w:proofErr w:type="spellEnd"/>
      <w:r w:rsidRPr="005839DF">
        <w:rPr>
          <w:lang w:val="es-AR" w:eastAsia="es-ES_tradnl"/>
        </w:rPr>
        <w:t xml:space="preserve"> y </w:t>
      </w:r>
      <w:proofErr w:type="spellStart"/>
      <w:r w:rsidRPr="005839DF">
        <w:rPr>
          <w:lang w:val="es-AR" w:eastAsia="es-ES_tradnl"/>
        </w:rPr>
        <w:t>Petryk</w:t>
      </w:r>
      <w:proofErr w:type="spellEnd"/>
      <w:r w:rsidRPr="005839DF">
        <w:rPr>
          <w:lang w:val="es-AR" w:eastAsia="es-ES_tradnl"/>
        </w:rPr>
        <w:t xml:space="preserve"> (2019), esta observación indica que los reactivos carecen de </w:t>
      </w:r>
      <w:proofErr w:type="spellStart"/>
      <w:r w:rsidRPr="005839DF">
        <w:rPr>
          <w:lang w:val="es-AR" w:eastAsia="es-ES_tradnl"/>
        </w:rPr>
        <w:t>monosemanticidad</w:t>
      </w:r>
      <w:proofErr w:type="spellEnd"/>
      <w:r w:rsidRPr="005839DF">
        <w:rPr>
          <w:lang w:val="es-AR" w:eastAsia="es-ES_tradnl"/>
        </w:rPr>
        <w:t xml:space="preserve">, lo que resulta, según </w:t>
      </w:r>
      <w:proofErr w:type="spellStart"/>
      <w:r w:rsidRPr="005839DF">
        <w:rPr>
          <w:lang w:val="es-AR" w:eastAsia="es-ES_tradnl"/>
        </w:rPr>
        <w:t>Avsec</w:t>
      </w:r>
      <w:proofErr w:type="spellEnd"/>
      <w:r w:rsidRPr="005839DF">
        <w:rPr>
          <w:lang w:val="es-AR" w:eastAsia="es-ES_tradnl"/>
        </w:rPr>
        <w:t xml:space="preserve"> y </w:t>
      </w:r>
      <w:proofErr w:type="spellStart"/>
      <w:r w:rsidRPr="005839DF">
        <w:rPr>
          <w:lang w:val="es-AR" w:eastAsia="es-ES_tradnl"/>
        </w:rPr>
        <w:t>Kavčic</w:t>
      </w:r>
      <w:proofErr w:type="spellEnd"/>
      <w:r w:rsidRPr="005839DF">
        <w:rPr>
          <w:lang w:val="es-AR" w:eastAsia="es-ES_tradnl"/>
        </w:rPr>
        <w:t>̌ (2012) en la superposición de ítems entre las orientaciones. Por ejemplo, Chen (2010), en una muestra de adultos chinos evidenció que los reactivos 8 y 17 tuvieron cargas factoriales casi idénticas en los factores de vida de placer y compromiso. Este fenómeno complica la toma de decisiones, ya que implica la necesidad de basar las elecciones en la teoría y en indicadores estadísticos. Estas consideraciones tienen un impacto directo en las posibles soluciones factoriales de la escala (Lloret et al., 2014).</w:t>
      </w:r>
    </w:p>
    <w:p w14:paraId="2688A1D1" w14:textId="0BB39BB1" w:rsidR="005839DF" w:rsidRPr="005839DF" w:rsidRDefault="005839DF" w:rsidP="005839DF">
      <w:pPr>
        <w:pStyle w:val="Prrafocomn"/>
        <w:rPr>
          <w:lang w:val="es-AR" w:eastAsia="es-ES_tradnl"/>
        </w:rPr>
      </w:pPr>
      <w:r w:rsidRPr="005839DF">
        <w:rPr>
          <w:lang w:val="es-AR" w:eastAsia="es-ES_tradnl"/>
        </w:rPr>
        <w:t>Adicionalmente, en determinadas muestras, las cargas factoriales muestran puntuaciones más elevadas o se distribuyen de manera diferenciada en un factor distinto al que Peterson et al. (2005) propusieron durante la construcción de su escala. Por ejemplo, se ha registrado que ciertos ítems presentan cargas factoriales más elevadas en el dominio de la vida placentera y no en la vida con compromiso (Martin-</w:t>
      </w:r>
      <w:proofErr w:type="spellStart"/>
      <w:r w:rsidRPr="005839DF">
        <w:rPr>
          <w:lang w:val="es-AR" w:eastAsia="es-ES_tradnl"/>
        </w:rPr>
        <w:t>Krumm</w:t>
      </w:r>
      <w:proofErr w:type="spellEnd"/>
      <w:r w:rsidRPr="005839DF">
        <w:rPr>
          <w:lang w:val="es-AR" w:eastAsia="es-ES_tradnl"/>
        </w:rPr>
        <w:t xml:space="preserve"> et al. 2014; </w:t>
      </w:r>
      <w:proofErr w:type="spellStart"/>
      <w:r w:rsidRPr="005839DF">
        <w:rPr>
          <w:lang w:val="es-AR" w:eastAsia="es-ES_tradnl"/>
        </w:rPr>
        <w:t>Ruch</w:t>
      </w:r>
      <w:proofErr w:type="spellEnd"/>
      <w:r w:rsidRPr="005839DF">
        <w:rPr>
          <w:lang w:val="es-AR" w:eastAsia="es-ES_tradnl"/>
        </w:rPr>
        <w:t xml:space="preserve"> et al., 2010). Asimismo, algunos reactivos muestran una carga factorial más pronunciada en la vida con significado en lugar de la vida con compromiso (Chen, 2010; </w:t>
      </w:r>
      <w:proofErr w:type="spellStart"/>
      <w:r w:rsidRPr="005839DF">
        <w:rPr>
          <w:lang w:val="es-AR" w:eastAsia="es-ES_tradnl"/>
        </w:rPr>
        <w:t>Kryvenko</w:t>
      </w:r>
      <w:proofErr w:type="spellEnd"/>
      <w:r w:rsidRPr="005839DF">
        <w:rPr>
          <w:lang w:val="es-AR" w:eastAsia="es-ES_tradnl"/>
        </w:rPr>
        <w:t xml:space="preserve"> &amp; </w:t>
      </w:r>
      <w:proofErr w:type="spellStart"/>
      <w:r w:rsidRPr="005839DF">
        <w:rPr>
          <w:lang w:val="es-AR" w:eastAsia="es-ES_tradnl"/>
        </w:rPr>
        <w:t>Petryk</w:t>
      </w:r>
      <w:proofErr w:type="spellEnd"/>
      <w:r w:rsidRPr="005839DF">
        <w:rPr>
          <w:lang w:val="es-AR" w:eastAsia="es-ES_tradnl"/>
        </w:rPr>
        <w:t>, 2019). Incluso existe evidencia de que algunos ítems destinados a evaluar la vida con significado cargan en el factor de la vida con compromiso (Martin-</w:t>
      </w:r>
      <w:proofErr w:type="spellStart"/>
      <w:r w:rsidRPr="005839DF">
        <w:rPr>
          <w:lang w:val="es-AR" w:eastAsia="es-ES_tradnl"/>
        </w:rPr>
        <w:t>Krumm</w:t>
      </w:r>
      <w:proofErr w:type="spellEnd"/>
      <w:r w:rsidRPr="005839DF">
        <w:rPr>
          <w:lang w:val="es-AR" w:eastAsia="es-ES_tradnl"/>
        </w:rPr>
        <w:t xml:space="preserve"> et al.</w:t>
      </w:r>
      <w:r w:rsidR="0078058C">
        <w:rPr>
          <w:lang w:val="es-AR" w:eastAsia="es-ES_tradnl"/>
        </w:rPr>
        <w:t>,</w:t>
      </w:r>
      <w:r w:rsidRPr="005839DF">
        <w:rPr>
          <w:lang w:val="es-AR" w:eastAsia="es-ES_tradnl"/>
        </w:rPr>
        <w:t xml:space="preserve"> 2014; </w:t>
      </w:r>
      <w:proofErr w:type="spellStart"/>
      <w:r w:rsidRPr="005839DF">
        <w:rPr>
          <w:lang w:val="es-AR" w:eastAsia="es-ES_tradnl"/>
        </w:rPr>
        <w:t>Kryvenko</w:t>
      </w:r>
      <w:proofErr w:type="spellEnd"/>
      <w:r w:rsidRPr="005839DF">
        <w:rPr>
          <w:lang w:val="es-AR" w:eastAsia="es-ES_tradnl"/>
        </w:rPr>
        <w:t xml:space="preserve"> &amp; </w:t>
      </w:r>
      <w:proofErr w:type="spellStart"/>
      <w:r w:rsidRPr="005839DF">
        <w:rPr>
          <w:lang w:val="es-AR" w:eastAsia="es-ES_tradnl"/>
        </w:rPr>
        <w:t>Petryk</w:t>
      </w:r>
      <w:proofErr w:type="spellEnd"/>
      <w:r w:rsidRPr="005839DF">
        <w:rPr>
          <w:lang w:val="es-AR" w:eastAsia="es-ES_tradnl"/>
        </w:rPr>
        <w:t xml:space="preserve">, 2019), lo cual difiere de la propuesta original de la OTHS. Estos resultados muestran la variabilidad, de acuerdo con la cultura, que pueden tener </w:t>
      </w:r>
      <w:r w:rsidRPr="005839DF">
        <w:rPr>
          <w:lang w:val="es-AR" w:eastAsia="es-ES_tradnl"/>
        </w:rPr>
        <w:lastRenderedPageBreak/>
        <w:t xml:space="preserve">ciertos reactivos para contribuir a la medición de alguno de los factores; siendo importante mencionar, que algunos ítems diseñados originalmente para medir la vida con compromiso, obtienen cargas factoriales más altas en la vida con sentido y la vida de placer; lo que podría apoyar la postura de </w:t>
      </w:r>
      <w:proofErr w:type="spellStart"/>
      <w:r w:rsidRPr="005839DF">
        <w:rPr>
          <w:lang w:val="es-AR" w:eastAsia="es-ES_tradnl"/>
        </w:rPr>
        <w:t>Waterman</w:t>
      </w:r>
      <w:proofErr w:type="spellEnd"/>
      <w:r w:rsidRPr="005839DF">
        <w:rPr>
          <w:lang w:val="es-AR" w:eastAsia="es-ES_tradnl"/>
        </w:rPr>
        <w:t xml:space="preserve"> (1993) sobre la cualidad del flujo en actividades hedónicas y </w:t>
      </w:r>
      <w:proofErr w:type="spellStart"/>
      <w:r w:rsidRPr="005839DF">
        <w:rPr>
          <w:lang w:val="es-AR" w:eastAsia="es-ES_tradnl"/>
        </w:rPr>
        <w:t>eudaimónicas</w:t>
      </w:r>
      <w:proofErr w:type="spellEnd"/>
      <w:r w:rsidRPr="005839DF">
        <w:rPr>
          <w:lang w:val="es-AR" w:eastAsia="es-ES_tradnl"/>
        </w:rPr>
        <w:t>.</w:t>
      </w:r>
    </w:p>
    <w:p w14:paraId="62B4A431" w14:textId="77777777" w:rsidR="005839DF" w:rsidRPr="005839DF" w:rsidRDefault="005839DF" w:rsidP="005839DF">
      <w:pPr>
        <w:pStyle w:val="Prrafocomn"/>
        <w:rPr>
          <w:lang w:val="es-AR" w:eastAsia="es-ES_tradnl"/>
        </w:rPr>
      </w:pPr>
      <w:r w:rsidRPr="005839DF">
        <w:rPr>
          <w:lang w:val="es-AR" w:eastAsia="es-ES_tradnl"/>
        </w:rPr>
        <w:t xml:space="preserve">Chen et al. (2010) criticaron el análisis de datos realizado por Peterson et al. (2005) al limitarse al Análisis Factorial Exploratorio (AFE) para justificar la escala, sin considerar las ventajas del </w:t>
      </w:r>
      <w:r w:rsidRPr="0078058C">
        <w:rPr>
          <w:lang w:val="es-AR" w:eastAsia="es-ES_tradnl"/>
        </w:rPr>
        <w:t>Análisis Factorial Confirmatorio (AFC)</w:t>
      </w:r>
      <w:r w:rsidRPr="005839DF">
        <w:rPr>
          <w:lang w:val="es-AR" w:eastAsia="es-ES_tradnl"/>
        </w:rPr>
        <w:t xml:space="preserve">. Según </w:t>
      </w:r>
      <w:proofErr w:type="spellStart"/>
      <w:r w:rsidRPr="005839DF">
        <w:rPr>
          <w:lang w:val="es-AR" w:eastAsia="es-ES_tradnl"/>
        </w:rPr>
        <w:t>Dominguez</w:t>
      </w:r>
      <w:proofErr w:type="spellEnd"/>
      <w:r w:rsidRPr="005839DF">
        <w:rPr>
          <w:lang w:val="es-AR" w:eastAsia="es-ES_tradnl"/>
        </w:rPr>
        <w:t xml:space="preserve">-Lara (2019) y Lloret et al. (2014), el AFC no solo identifica las posibles correlaciones residuales entre los ítems, revelando fuentes de error, sino que también facilita la detección de áreas problemáticas en los instrumentos de medición, impulsando así mejoras en futuras versiones. Además, el AFC, es más robusto que el AFE, y permite explorar varias soluciones factoriales en el modelo de medida. Esto se torna relevante ya que la varianza explicada que arroja el AFE no constituye un indicador suficiente para evaluar la adecuación del número de factores comunes identificados. Finalmente, en el estudio instrumental de Peterson et al. (2005), se omite el uso de un Análisis Paralelo (AP), un criterio más objetivo que la regla de Kaiser, para identificar el número de factores del modelo, según Frías-Navarro y Pascual-Soler (2012) y </w:t>
      </w:r>
      <w:proofErr w:type="spellStart"/>
      <w:r w:rsidRPr="005839DF">
        <w:rPr>
          <w:lang w:val="es-AR" w:eastAsia="es-ES_tradnl"/>
        </w:rPr>
        <w:t>Gaskin</w:t>
      </w:r>
      <w:proofErr w:type="spellEnd"/>
      <w:r w:rsidRPr="005839DF">
        <w:rPr>
          <w:lang w:val="es-AR" w:eastAsia="es-ES_tradnl"/>
        </w:rPr>
        <w:t xml:space="preserve"> y </w:t>
      </w:r>
      <w:proofErr w:type="spellStart"/>
      <w:r w:rsidRPr="005839DF">
        <w:rPr>
          <w:lang w:val="es-AR" w:eastAsia="es-ES_tradnl"/>
        </w:rPr>
        <w:t>Happell</w:t>
      </w:r>
      <w:proofErr w:type="spellEnd"/>
      <w:r w:rsidRPr="005839DF">
        <w:rPr>
          <w:lang w:val="es-AR" w:eastAsia="es-ES_tradnl"/>
        </w:rPr>
        <w:t xml:space="preserve"> (2014).</w:t>
      </w:r>
    </w:p>
    <w:p w14:paraId="470BE0C4" w14:textId="1637F699" w:rsidR="005839DF" w:rsidRPr="005839DF" w:rsidRDefault="005839DF" w:rsidP="005839DF">
      <w:pPr>
        <w:pStyle w:val="Prrafocomn"/>
        <w:rPr>
          <w:lang w:val="es-AR" w:eastAsia="es-ES_tradnl"/>
        </w:rPr>
      </w:pPr>
      <w:r w:rsidRPr="005839DF">
        <w:rPr>
          <w:lang w:val="es-AR" w:eastAsia="es-ES_tradnl"/>
        </w:rPr>
        <w:t xml:space="preserve">Dada la variabilidad en las soluciones factoriales, las cargas cruzadas y la agrupación de ítems en dimensiones que difieren de la escala original (Peterson et al., 2005), es común utilizar los índices de modificación en el AFC para </w:t>
      </w:r>
      <w:proofErr w:type="spellStart"/>
      <w:r w:rsidRPr="005839DF">
        <w:rPr>
          <w:lang w:val="es-AR" w:eastAsia="es-ES_tradnl"/>
        </w:rPr>
        <w:t>reespecificar</w:t>
      </w:r>
      <w:proofErr w:type="spellEnd"/>
      <w:r w:rsidRPr="005839DF">
        <w:rPr>
          <w:lang w:val="es-AR" w:eastAsia="es-ES_tradnl"/>
        </w:rPr>
        <w:t xml:space="preserve"> el modelo de medida y mejorar la bondad de ajuste. Esto implica la posibilidad de añadir o eliminar ítems de la escala original (Escobedo et al., 2016). Algunos estudios han logrado mejorar los resultados del ajuste del modelo mediante la eliminación de ítems (</w:t>
      </w:r>
      <w:proofErr w:type="spellStart"/>
      <w:r w:rsidRPr="005839DF">
        <w:rPr>
          <w:lang w:val="es-AR" w:eastAsia="es-ES_tradnl"/>
        </w:rPr>
        <w:t>Anic</w:t>
      </w:r>
      <w:proofErr w:type="spellEnd"/>
      <w:r w:rsidRPr="005839DF">
        <w:rPr>
          <w:lang w:val="es-AR" w:eastAsia="es-ES_tradnl"/>
        </w:rPr>
        <w:t xml:space="preserve">́ &amp; </w:t>
      </w:r>
      <w:proofErr w:type="spellStart"/>
      <w:r w:rsidRPr="005839DF">
        <w:rPr>
          <w:lang w:val="es-AR" w:eastAsia="es-ES_tradnl"/>
        </w:rPr>
        <w:t>Tončic</w:t>
      </w:r>
      <w:proofErr w:type="spellEnd"/>
      <w:r w:rsidRPr="005839DF">
        <w:rPr>
          <w:lang w:val="es-AR" w:eastAsia="es-ES_tradnl"/>
        </w:rPr>
        <w:t xml:space="preserve">́, 2013; Chen et al., 2010; </w:t>
      </w:r>
      <w:proofErr w:type="spellStart"/>
      <w:r w:rsidRPr="005839DF">
        <w:rPr>
          <w:lang w:val="es-AR" w:eastAsia="es-ES_tradnl"/>
        </w:rPr>
        <w:t>Gaston</w:t>
      </w:r>
      <w:proofErr w:type="spellEnd"/>
      <w:r w:rsidRPr="005839DF">
        <w:rPr>
          <w:lang w:val="es-AR" w:eastAsia="es-ES_tradnl"/>
        </w:rPr>
        <w:t xml:space="preserve">-Breton et al., 2021; </w:t>
      </w:r>
      <w:proofErr w:type="spellStart"/>
      <w:r w:rsidRPr="005839DF">
        <w:rPr>
          <w:lang w:val="es-AR" w:eastAsia="es-ES_tradnl"/>
        </w:rPr>
        <w:t>Kumano</w:t>
      </w:r>
      <w:proofErr w:type="spellEnd"/>
      <w:r w:rsidRPr="005839DF">
        <w:rPr>
          <w:lang w:val="es-AR" w:eastAsia="es-ES_tradnl"/>
        </w:rPr>
        <w:t>, 2011; Martin-</w:t>
      </w:r>
      <w:proofErr w:type="spellStart"/>
      <w:r w:rsidRPr="005839DF">
        <w:rPr>
          <w:lang w:val="es-AR" w:eastAsia="es-ES_tradnl"/>
        </w:rPr>
        <w:t>Krumm</w:t>
      </w:r>
      <w:proofErr w:type="spellEnd"/>
      <w:r w:rsidRPr="005839DF">
        <w:rPr>
          <w:lang w:val="es-AR" w:eastAsia="es-ES_tradnl"/>
        </w:rPr>
        <w:t xml:space="preserve"> et al., 2014) seleccionando el reactivo de acuerdo con las particularidades del grupo cultural. Por otro lado, algunos estudios, además de eliminar ítems, buscan mejorar el modelo mediante la correlación de los errores de medida entre las variables observadas del modelo (</w:t>
      </w:r>
      <w:proofErr w:type="spellStart"/>
      <w:r w:rsidRPr="005839DF">
        <w:rPr>
          <w:lang w:val="es-AR" w:eastAsia="es-ES_tradnl"/>
        </w:rPr>
        <w:t>Alper-Köse</w:t>
      </w:r>
      <w:proofErr w:type="spellEnd"/>
      <w:r w:rsidRPr="005839DF">
        <w:rPr>
          <w:lang w:val="es-AR" w:eastAsia="es-ES_tradnl"/>
        </w:rPr>
        <w:t>, 2014; Chen, 2010).</w:t>
      </w:r>
    </w:p>
    <w:p w14:paraId="2DBA876F" w14:textId="77777777" w:rsidR="005839DF" w:rsidRPr="005839DF" w:rsidRDefault="005839DF" w:rsidP="005839DF">
      <w:pPr>
        <w:pStyle w:val="Prrafocomn"/>
        <w:rPr>
          <w:lang w:val="es-AR" w:eastAsia="es-ES_tradnl"/>
        </w:rPr>
      </w:pPr>
      <w:r w:rsidRPr="005839DF">
        <w:rPr>
          <w:lang w:val="es-AR" w:eastAsia="es-ES_tradnl"/>
        </w:rPr>
        <w:t>Aunque en ciertos casos, tomar decisiones como excluir algunos reactivos de la escala o correlacionar errores de medida entre las variables observables podría conducir a la obtención de índices de bondad de ajuste aceptables, esto solo sucede con algunas muestras, principalmente en estudios con participantes alemanes (</w:t>
      </w:r>
      <w:proofErr w:type="spellStart"/>
      <w:r w:rsidRPr="005839DF">
        <w:rPr>
          <w:lang w:val="es-AR" w:eastAsia="es-ES_tradnl"/>
        </w:rPr>
        <w:t>Ruch</w:t>
      </w:r>
      <w:proofErr w:type="spellEnd"/>
      <w:r w:rsidRPr="005839DF">
        <w:rPr>
          <w:lang w:val="es-AR" w:eastAsia="es-ES_tradnl"/>
        </w:rPr>
        <w:t xml:space="preserve"> et al., 2010; </w:t>
      </w:r>
      <w:proofErr w:type="spellStart"/>
      <w:r w:rsidRPr="005839DF">
        <w:rPr>
          <w:lang w:val="es-AR" w:eastAsia="es-ES_tradnl"/>
        </w:rPr>
        <w:t>Ruch</w:t>
      </w:r>
      <w:proofErr w:type="spellEnd"/>
      <w:r w:rsidRPr="005839DF">
        <w:rPr>
          <w:lang w:val="es-AR" w:eastAsia="es-ES_tradnl"/>
        </w:rPr>
        <w:t xml:space="preserve"> et al., 2014), chinos (Chen, 2010), </w:t>
      </w:r>
      <w:r w:rsidRPr="005839DF">
        <w:rPr>
          <w:lang w:val="es-AR" w:eastAsia="es-ES_tradnl"/>
        </w:rPr>
        <w:lastRenderedPageBreak/>
        <w:t>españoles (Lorente et al., 2019), franceses (Martin-</w:t>
      </w:r>
      <w:proofErr w:type="spellStart"/>
      <w:r w:rsidRPr="005839DF">
        <w:rPr>
          <w:lang w:val="es-AR" w:eastAsia="es-ES_tradnl"/>
        </w:rPr>
        <w:t>Krumm</w:t>
      </w:r>
      <w:proofErr w:type="spellEnd"/>
      <w:r w:rsidRPr="005839DF">
        <w:rPr>
          <w:lang w:val="es-AR" w:eastAsia="es-ES_tradnl"/>
        </w:rPr>
        <w:t xml:space="preserve"> et al., 2014), rusos (</w:t>
      </w:r>
      <w:proofErr w:type="spellStart"/>
      <w:r w:rsidRPr="005839DF">
        <w:rPr>
          <w:lang w:val="es-AR" w:eastAsia="es-ES_tradnl"/>
        </w:rPr>
        <w:t>Alper-Köse</w:t>
      </w:r>
      <w:proofErr w:type="spellEnd"/>
      <w:r w:rsidRPr="005839DF">
        <w:rPr>
          <w:lang w:val="es-AR" w:eastAsia="es-ES_tradnl"/>
        </w:rPr>
        <w:t>, 2014), turcos (</w:t>
      </w:r>
      <w:proofErr w:type="spellStart"/>
      <w:r w:rsidRPr="005839DF">
        <w:rPr>
          <w:lang w:val="es-AR" w:eastAsia="es-ES_tradnl"/>
        </w:rPr>
        <w:t>Saricam</w:t>
      </w:r>
      <w:proofErr w:type="spellEnd"/>
      <w:r w:rsidRPr="005839DF">
        <w:rPr>
          <w:lang w:val="es-AR" w:eastAsia="es-ES_tradnl"/>
        </w:rPr>
        <w:t xml:space="preserve"> &amp; </w:t>
      </w:r>
      <w:proofErr w:type="spellStart"/>
      <w:r w:rsidRPr="005839DF">
        <w:rPr>
          <w:lang w:val="es-AR" w:eastAsia="es-ES_tradnl"/>
        </w:rPr>
        <w:t>Canatan</w:t>
      </w:r>
      <w:proofErr w:type="spellEnd"/>
      <w:r w:rsidRPr="005839DF">
        <w:rPr>
          <w:lang w:val="es-AR" w:eastAsia="es-ES_tradnl"/>
        </w:rPr>
        <w:t>, 2014) y taiwaneses (Chen et al., 2010). Es importante señalar que, en algunos casos, los valores del Índice de Ajuste Comparativo (CFI) oscilan entre 0.91 y 0.94 (Chen, 2010; Chen et al., 2010; Martin-</w:t>
      </w:r>
      <w:proofErr w:type="spellStart"/>
      <w:r w:rsidRPr="005839DF">
        <w:rPr>
          <w:lang w:val="es-AR" w:eastAsia="es-ES_tradnl"/>
        </w:rPr>
        <w:t>Krumm</w:t>
      </w:r>
      <w:proofErr w:type="spellEnd"/>
      <w:r w:rsidRPr="005839DF">
        <w:rPr>
          <w:lang w:val="es-AR" w:eastAsia="es-ES_tradnl"/>
        </w:rPr>
        <w:t xml:space="preserve"> et al., 2014), en lugar de cumplir con el valor esperado de ≥ 0.95 (</w:t>
      </w:r>
      <w:proofErr w:type="spellStart"/>
      <w:r w:rsidRPr="005839DF">
        <w:rPr>
          <w:lang w:val="es-AR" w:eastAsia="es-ES_tradnl"/>
        </w:rPr>
        <w:t>Hu</w:t>
      </w:r>
      <w:proofErr w:type="spellEnd"/>
      <w:r w:rsidRPr="005839DF">
        <w:rPr>
          <w:lang w:val="es-AR" w:eastAsia="es-ES_tradnl"/>
        </w:rPr>
        <w:t xml:space="preserve"> &amp; </w:t>
      </w:r>
      <w:proofErr w:type="spellStart"/>
      <w:r w:rsidRPr="005839DF">
        <w:rPr>
          <w:lang w:val="es-AR" w:eastAsia="es-ES_tradnl"/>
        </w:rPr>
        <w:t>Bentler</w:t>
      </w:r>
      <w:proofErr w:type="spellEnd"/>
      <w:r w:rsidRPr="005839DF">
        <w:rPr>
          <w:lang w:val="es-AR" w:eastAsia="es-ES_tradnl"/>
        </w:rPr>
        <w:t>, 1999). Además, existen investigaciones donde el modelo de medida podría considerarse poco aceptable, como en el caso de las muestras con húngaros (CFI = 0.82) (</w:t>
      </w:r>
      <w:proofErr w:type="spellStart"/>
      <w:r w:rsidRPr="005839DF">
        <w:rPr>
          <w:lang w:val="es-AR" w:eastAsia="es-ES_tradnl"/>
        </w:rPr>
        <w:t>Szondy</w:t>
      </w:r>
      <w:proofErr w:type="spellEnd"/>
      <w:r w:rsidRPr="005839DF">
        <w:rPr>
          <w:lang w:val="es-AR" w:eastAsia="es-ES_tradnl"/>
        </w:rPr>
        <w:t xml:space="preserve"> &amp; Martos, 2014), turcos (CFI = 0.90) (</w:t>
      </w:r>
      <w:proofErr w:type="spellStart"/>
      <w:r w:rsidRPr="005839DF">
        <w:rPr>
          <w:lang w:val="es-AR" w:eastAsia="es-ES_tradnl"/>
        </w:rPr>
        <w:t>Alper-Köse</w:t>
      </w:r>
      <w:proofErr w:type="spellEnd"/>
      <w:r w:rsidRPr="005839DF">
        <w:rPr>
          <w:lang w:val="es-AR" w:eastAsia="es-ES_tradnl"/>
        </w:rPr>
        <w:t>, 2014) y eslovenos (Índice Normado de Ajuste = 0.85) (</w:t>
      </w:r>
      <w:proofErr w:type="spellStart"/>
      <w:r w:rsidRPr="005839DF">
        <w:rPr>
          <w:lang w:val="es-AR" w:eastAsia="es-ES_tradnl"/>
        </w:rPr>
        <w:t>Avsec</w:t>
      </w:r>
      <w:proofErr w:type="spellEnd"/>
      <w:r w:rsidRPr="005839DF">
        <w:rPr>
          <w:lang w:val="es-AR" w:eastAsia="es-ES_tradnl"/>
        </w:rPr>
        <w:t xml:space="preserve"> &amp; </w:t>
      </w:r>
      <w:proofErr w:type="spellStart"/>
      <w:r w:rsidRPr="005839DF">
        <w:rPr>
          <w:lang w:val="es-AR" w:eastAsia="es-ES_tradnl"/>
        </w:rPr>
        <w:t>Kavčic</w:t>
      </w:r>
      <w:proofErr w:type="spellEnd"/>
      <w:r w:rsidRPr="005839DF">
        <w:rPr>
          <w:lang w:val="es-AR" w:eastAsia="es-ES_tradnl"/>
        </w:rPr>
        <w:t>̌ 2012).</w:t>
      </w:r>
    </w:p>
    <w:p w14:paraId="67EA8B0F" w14:textId="77777777" w:rsidR="005839DF" w:rsidRPr="005839DF" w:rsidRDefault="005839DF" w:rsidP="005839DF">
      <w:pPr>
        <w:pStyle w:val="Prrafocomn"/>
        <w:rPr>
          <w:lang w:val="es-AR" w:eastAsia="es-ES_tradnl"/>
        </w:rPr>
      </w:pPr>
      <w:r w:rsidRPr="005839DF">
        <w:rPr>
          <w:lang w:val="es-AR" w:eastAsia="es-ES_tradnl"/>
        </w:rPr>
        <w:t>En este contexto y considerando la variabilidad de resultados debido a las diferencias culturales (</w:t>
      </w:r>
      <w:proofErr w:type="spellStart"/>
      <w:r w:rsidRPr="005839DF">
        <w:rPr>
          <w:lang w:val="es-AR" w:eastAsia="es-ES_tradnl"/>
        </w:rPr>
        <w:t>Kryvenko</w:t>
      </w:r>
      <w:proofErr w:type="spellEnd"/>
      <w:r w:rsidRPr="005839DF">
        <w:rPr>
          <w:lang w:val="es-AR" w:eastAsia="es-ES_tradnl"/>
        </w:rPr>
        <w:t xml:space="preserve"> &amp; </w:t>
      </w:r>
      <w:proofErr w:type="spellStart"/>
      <w:r w:rsidRPr="005839DF">
        <w:rPr>
          <w:lang w:val="es-AR" w:eastAsia="es-ES_tradnl"/>
        </w:rPr>
        <w:t>Petryk</w:t>
      </w:r>
      <w:proofErr w:type="spellEnd"/>
      <w:r w:rsidRPr="005839DF">
        <w:rPr>
          <w:lang w:val="es-AR" w:eastAsia="es-ES_tradnl"/>
        </w:rPr>
        <w:t>, 2019), se sugieren desarrollar investigaciones que aborden estas diferencias y ajusten la escala con una solución de dos o tres factores, según sea pertinente a la cultura (Chen, 2010). Respecto al idioma, San Martín et al. (2010) y Lorente et al. (2019) han presentado resultados de la escala con muestras de españoles; no obstante, las características culturales pueden divergir en grupos latinos, como los mexicanos. El estudio de Durón et al. (2016) constituye un antecedente de validación de esta escala con mexicanos (n = 179); no obstante, se limita a señalar la traducción al español y presenta los índices de consistencia interna de los tres factores que componen la OTHS, junto con los estadísticos de bondad de ajuste del modelo (BBNNFI = 0.96, CFI = 0.97, IFI = 0.97, RMSEA = 0.035). Sin embargo, Yasir (2016) destaca que la traducción es solo una fase en la adaptación cultural de una escala, mientras que Lorente et al. (2019) subrayan la necesidad de estudios en poblaciones culturales específicas que puedan evidenciar otras fuentes de validez.</w:t>
      </w:r>
    </w:p>
    <w:p w14:paraId="2BE5A135" w14:textId="77777777" w:rsidR="005839DF" w:rsidRPr="005839DF" w:rsidRDefault="005839DF" w:rsidP="005839DF">
      <w:pPr>
        <w:pStyle w:val="Prrafocomn"/>
        <w:rPr>
          <w:lang w:val="es-AR" w:eastAsia="es-ES_tradnl"/>
        </w:rPr>
      </w:pPr>
      <w:r w:rsidRPr="005839DF">
        <w:rPr>
          <w:lang w:val="es-AR" w:eastAsia="es-ES_tradnl"/>
        </w:rPr>
        <w:t>La exposición de resultados empíricos y la evidencia de diferentes fuentes de validez de esta escala, podría constituirse en una vía para el refinamiento del instrumento que posibilite la comparación de las formas en que las personas buscan experimentar la felicidad entre naciones (Chen et al., 2010; Martin-</w:t>
      </w:r>
      <w:proofErr w:type="spellStart"/>
      <w:r w:rsidRPr="005839DF">
        <w:rPr>
          <w:lang w:val="es-AR" w:eastAsia="es-ES_tradnl"/>
        </w:rPr>
        <w:t>Krumm</w:t>
      </w:r>
      <w:proofErr w:type="spellEnd"/>
      <w:r w:rsidRPr="005839DF">
        <w:rPr>
          <w:lang w:val="es-AR" w:eastAsia="es-ES_tradnl"/>
        </w:rPr>
        <w:t xml:space="preserve"> et al., 2014). Asimismo, este proceso contribuirá simultáneamente a la comprensión de las diversas perspectivas culturales sobre las orientaciones hacia la felicidad (</w:t>
      </w:r>
      <w:proofErr w:type="spellStart"/>
      <w:r w:rsidRPr="005839DF">
        <w:rPr>
          <w:lang w:val="es-AR" w:eastAsia="es-ES_tradnl"/>
        </w:rPr>
        <w:t>Ruch</w:t>
      </w:r>
      <w:proofErr w:type="spellEnd"/>
      <w:r w:rsidRPr="005839DF">
        <w:rPr>
          <w:lang w:val="es-AR" w:eastAsia="es-ES_tradnl"/>
        </w:rPr>
        <w:t xml:space="preserve"> et al., 2010). Dada la variabilidad del ajuste de la escala debida a las diferencias culturales, la presente investigación expone tres estudios que tienen como objetivo: evaluar las propiedades psicométricas de la OTHS, proporcionando datos empíricos que respalden la aplicación de la escala en otros contextos culturales; a través de la presentación de diversas fuentes de validez que respalden la utilización de la escala en el análisis de las orientaciones hacia </w:t>
      </w:r>
      <w:r w:rsidRPr="005839DF">
        <w:rPr>
          <w:lang w:val="es-AR" w:eastAsia="es-ES_tradnl"/>
        </w:rPr>
        <w:lastRenderedPageBreak/>
        <w:t>la felicidad y valorando el ajuste del modelo de medida en población mexicana; para discutir su validez cultural en este contexto. A través de esta ruta se pretende mejorar la utilidad y aplicabilidad de la escala, considerando las particularidades culturales en la evaluación de la felicidad.</w:t>
      </w:r>
    </w:p>
    <w:p w14:paraId="007AECD1" w14:textId="454E9DD5" w:rsidR="00DE7EB8" w:rsidRDefault="00DE7EB8" w:rsidP="00DE7EB8">
      <w:pPr>
        <w:pStyle w:val="SubtituloInterno"/>
        <w:rPr>
          <w:lang w:val="es-AR"/>
        </w:rPr>
      </w:pPr>
      <w:r w:rsidRPr="00DE7EB8">
        <w:rPr>
          <w:lang w:val="es-AR"/>
        </w:rPr>
        <w:t>E</w:t>
      </w:r>
      <w:r w:rsidR="005839DF">
        <w:rPr>
          <w:lang w:val="es-AR"/>
        </w:rPr>
        <w:t>studio I. Validez de contenido</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2F19162A" w14:textId="324531C5" w:rsidR="006F7E7E" w:rsidRDefault="005B24FF" w:rsidP="007E3B8D">
      <w:pPr>
        <w:pStyle w:val="SubtituloInterno"/>
        <w:rPr>
          <w:rFonts w:eastAsia="Calibri"/>
          <w:lang w:val="es-ES_tradnl"/>
        </w:rPr>
      </w:pPr>
      <w:r w:rsidRPr="005B24FF">
        <w:rPr>
          <w:rFonts w:eastAsia="Calibri"/>
          <w:lang w:val="es-ES_tradnl"/>
        </w:rPr>
        <w:t>Participa</w:t>
      </w:r>
      <w:r>
        <w:rPr>
          <w:rFonts w:eastAsia="Calibri"/>
          <w:lang w:val="es-ES_tradnl"/>
        </w:rPr>
        <w:t>ntes</w:t>
      </w:r>
    </w:p>
    <w:p w14:paraId="0F498610" w14:textId="0D9172D5" w:rsidR="005839DF" w:rsidRPr="005839DF" w:rsidRDefault="005839DF" w:rsidP="005839DF">
      <w:pPr>
        <w:pStyle w:val="Prrafocomn"/>
        <w:rPr>
          <w:lang w:val="es-AR" w:eastAsia="en-US"/>
        </w:rPr>
      </w:pPr>
      <w:r w:rsidRPr="005839DF">
        <w:rPr>
          <w:lang w:val="es-AR" w:eastAsia="en-US"/>
        </w:rPr>
        <w:t xml:space="preserve">En este estudio, dos grupos de especialistas contribuyeron. Para el procedimiento de traducción y </w:t>
      </w:r>
      <w:proofErr w:type="spellStart"/>
      <w:r w:rsidRPr="005839DF">
        <w:rPr>
          <w:lang w:val="es-AR" w:eastAsia="en-US"/>
        </w:rPr>
        <w:t>retraducción</w:t>
      </w:r>
      <w:proofErr w:type="spellEnd"/>
      <w:r w:rsidRPr="005839DF">
        <w:rPr>
          <w:lang w:val="es-AR" w:eastAsia="en-US"/>
        </w:rPr>
        <w:t xml:space="preserve"> de la escala, cinco expertos participaron, todos ellos con dominio de la lengua </w:t>
      </w:r>
      <w:r w:rsidR="0078058C">
        <w:rPr>
          <w:lang w:val="es-AR" w:eastAsia="en-US"/>
        </w:rPr>
        <w:t>i</w:t>
      </w:r>
      <w:r w:rsidRPr="005839DF">
        <w:rPr>
          <w:lang w:val="es-AR" w:eastAsia="en-US"/>
        </w:rPr>
        <w:t>nglesa a nivel profesional. Por otro lado, para la evaluación del contenido de la escala, siete jueces fueron invitados para dictaminar el contenido de los reactivos.</w:t>
      </w:r>
    </w:p>
    <w:p w14:paraId="0FA29A56" w14:textId="1A3903E8" w:rsidR="006F7E7E" w:rsidRPr="005B24FF" w:rsidRDefault="005839DF" w:rsidP="007E3B8D">
      <w:pPr>
        <w:pStyle w:val="SubtituloInterno"/>
        <w:rPr>
          <w:lang w:val="es-AR"/>
        </w:rPr>
      </w:pPr>
      <w:r>
        <w:rPr>
          <w:lang w:val="es-AR"/>
        </w:rPr>
        <w:t>Selección de los jueces</w:t>
      </w:r>
    </w:p>
    <w:p w14:paraId="7B36C86E" w14:textId="1DA076DF" w:rsidR="006F7E7E" w:rsidRPr="005839DF" w:rsidRDefault="005839DF" w:rsidP="005B24FF">
      <w:pPr>
        <w:pStyle w:val="Prrafocomn"/>
        <w:rPr>
          <w:lang w:val="es-AR" w:eastAsia="en-US"/>
        </w:rPr>
      </w:pPr>
      <w:r w:rsidRPr="005839DF">
        <w:rPr>
          <w:lang w:val="es-AR" w:eastAsia="en-US"/>
        </w:rPr>
        <w:t>La selección de los jueces fue no aleatoria, a través de un muestreo de bola de nieve (</w:t>
      </w:r>
      <w:proofErr w:type="spellStart"/>
      <w:r w:rsidRPr="005839DF">
        <w:rPr>
          <w:lang w:val="es-AR" w:eastAsia="en-US"/>
        </w:rPr>
        <w:t>Kirchherr</w:t>
      </w:r>
      <w:proofErr w:type="spellEnd"/>
      <w:r w:rsidRPr="005839DF">
        <w:rPr>
          <w:lang w:val="es-AR" w:eastAsia="en-US"/>
        </w:rPr>
        <w:t xml:space="preserve"> &amp; Charles, 2018) se identificó a un experto como punto de partida, actuando como un nodo que permitió establecer conexiones con otros especialistas. Esta estrategia facilitó la comunicación con otros jueces potenciales. Se tuvo en cuenta a aquellos jueces que mostraron disposición y disponibilidad para participar en el estudio y que contaban con una formación profesional en psicología, así como conocimientos en psicología positiva y/o psicometría.</w:t>
      </w:r>
    </w:p>
    <w:p w14:paraId="42256443" w14:textId="7D9F0528" w:rsidR="005B24FF" w:rsidRDefault="005839DF" w:rsidP="005B24FF">
      <w:pPr>
        <w:pStyle w:val="SubtituloInterno"/>
      </w:pPr>
      <w:proofErr w:type="spellStart"/>
      <w:r>
        <w:t>Criterios</w:t>
      </w:r>
      <w:proofErr w:type="spellEnd"/>
      <w:r>
        <w:t xml:space="preserve"> de </w:t>
      </w:r>
      <w:proofErr w:type="spellStart"/>
      <w:r>
        <w:t>evaluación</w:t>
      </w:r>
      <w:proofErr w:type="spellEnd"/>
    </w:p>
    <w:p w14:paraId="31302CF1" w14:textId="24FB9FDE" w:rsidR="005839DF" w:rsidRDefault="005839DF" w:rsidP="005839DF">
      <w:pPr>
        <w:pStyle w:val="Prrafocomn"/>
        <w:rPr>
          <w:lang w:val="es-AR" w:eastAsia="en-US"/>
        </w:rPr>
      </w:pPr>
      <w:r w:rsidRPr="005839DF">
        <w:rPr>
          <w:lang w:val="es-AR" w:eastAsia="en-US"/>
        </w:rPr>
        <w:t xml:space="preserve">Los jueces utilizaron la rúbrica desarrollada por Escobar y Cuervo (2008) para la evaluación de los ítems de la versión en español de la </w:t>
      </w:r>
      <w:proofErr w:type="spellStart"/>
      <w:r w:rsidRPr="005839DF">
        <w:rPr>
          <w:i/>
          <w:iCs/>
          <w:lang w:val="es-AR" w:eastAsia="en-US"/>
        </w:rPr>
        <w:t>Orientations</w:t>
      </w:r>
      <w:proofErr w:type="spellEnd"/>
      <w:r w:rsidRPr="005839DF">
        <w:rPr>
          <w:i/>
          <w:iCs/>
          <w:lang w:val="es-AR" w:eastAsia="en-US"/>
        </w:rPr>
        <w:t xml:space="preserve"> </w:t>
      </w:r>
      <w:proofErr w:type="spellStart"/>
      <w:r w:rsidRPr="005839DF">
        <w:rPr>
          <w:i/>
          <w:iCs/>
          <w:lang w:val="es-AR" w:eastAsia="en-US"/>
        </w:rPr>
        <w:t>to</w:t>
      </w:r>
      <w:proofErr w:type="spellEnd"/>
      <w:r w:rsidRPr="005839DF">
        <w:rPr>
          <w:i/>
          <w:iCs/>
          <w:lang w:val="es-AR" w:eastAsia="en-US"/>
        </w:rPr>
        <w:t xml:space="preserve"> </w:t>
      </w:r>
      <w:proofErr w:type="spellStart"/>
      <w:r w:rsidRPr="005839DF">
        <w:rPr>
          <w:i/>
          <w:iCs/>
          <w:lang w:val="es-AR" w:eastAsia="en-US"/>
        </w:rPr>
        <w:t>Happiness</w:t>
      </w:r>
      <w:proofErr w:type="spellEnd"/>
      <w:r w:rsidRPr="005839DF">
        <w:rPr>
          <w:i/>
          <w:iCs/>
          <w:lang w:val="es-AR" w:eastAsia="en-US"/>
        </w:rPr>
        <w:t xml:space="preserve"> </w:t>
      </w:r>
      <w:proofErr w:type="spellStart"/>
      <w:r w:rsidRPr="005839DF">
        <w:rPr>
          <w:i/>
          <w:iCs/>
          <w:lang w:val="es-AR" w:eastAsia="en-US"/>
        </w:rPr>
        <w:t>Scale</w:t>
      </w:r>
      <w:proofErr w:type="spellEnd"/>
      <w:r w:rsidRPr="005839DF">
        <w:rPr>
          <w:lang w:val="es-AR" w:eastAsia="en-US"/>
        </w:rPr>
        <w:t xml:space="preserve"> tras su proceso de traducción y </w:t>
      </w:r>
      <w:proofErr w:type="spellStart"/>
      <w:r w:rsidRPr="005839DF">
        <w:rPr>
          <w:lang w:val="es-AR" w:eastAsia="en-US"/>
        </w:rPr>
        <w:t>retraducción</w:t>
      </w:r>
      <w:proofErr w:type="spellEnd"/>
      <w:r w:rsidRPr="005839DF">
        <w:rPr>
          <w:lang w:val="es-AR" w:eastAsia="en-US"/>
        </w:rPr>
        <w:t xml:space="preserve">. Los especialistas evaluaron cuatro categorías: suficiencia, claridad, coherencia y relevancia. Las opciones de respuesta posibles fueron: </w:t>
      </w:r>
      <w:r w:rsidR="0078058C">
        <w:rPr>
          <w:i/>
          <w:iCs/>
          <w:lang w:val="es-AR" w:eastAsia="en-US"/>
        </w:rPr>
        <w:t>n</w:t>
      </w:r>
      <w:r w:rsidRPr="0078058C">
        <w:rPr>
          <w:i/>
          <w:iCs/>
          <w:lang w:val="es-AR" w:eastAsia="en-US"/>
        </w:rPr>
        <w:t>o cumple con el criterio</w:t>
      </w:r>
      <w:r w:rsidRPr="005839DF">
        <w:rPr>
          <w:lang w:val="es-AR" w:eastAsia="en-US"/>
        </w:rPr>
        <w:t xml:space="preserve">, </w:t>
      </w:r>
      <w:r w:rsidR="0078058C">
        <w:rPr>
          <w:i/>
          <w:iCs/>
          <w:lang w:val="es-AR" w:eastAsia="en-US"/>
        </w:rPr>
        <w:t>b</w:t>
      </w:r>
      <w:r w:rsidRPr="0078058C">
        <w:rPr>
          <w:i/>
          <w:iCs/>
          <w:lang w:val="es-AR" w:eastAsia="en-US"/>
        </w:rPr>
        <w:t xml:space="preserve">ajo </w:t>
      </w:r>
      <w:r w:rsidR="0078058C">
        <w:rPr>
          <w:i/>
          <w:iCs/>
          <w:lang w:val="es-AR" w:eastAsia="en-US"/>
        </w:rPr>
        <w:t>n</w:t>
      </w:r>
      <w:r w:rsidRPr="0078058C">
        <w:rPr>
          <w:i/>
          <w:iCs/>
          <w:lang w:val="es-AR" w:eastAsia="en-US"/>
        </w:rPr>
        <w:t>ivel</w:t>
      </w:r>
      <w:r w:rsidRPr="005839DF">
        <w:rPr>
          <w:lang w:val="es-AR" w:eastAsia="en-US"/>
        </w:rPr>
        <w:t xml:space="preserve">, </w:t>
      </w:r>
      <w:r w:rsidR="0078058C" w:rsidRPr="0078058C">
        <w:rPr>
          <w:i/>
          <w:iCs/>
          <w:lang w:val="es-AR" w:eastAsia="en-US"/>
        </w:rPr>
        <w:t>m</w:t>
      </w:r>
      <w:r w:rsidRPr="0078058C">
        <w:rPr>
          <w:i/>
          <w:iCs/>
          <w:lang w:val="es-AR" w:eastAsia="en-US"/>
        </w:rPr>
        <w:t>oderado nivel</w:t>
      </w:r>
      <w:r w:rsidRPr="005839DF">
        <w:rPr>
          <w:lang w:val="es-AR" w:eastAsia="en-US"/>
        </w:rPr>
        <w:t xml:space="preserve"> y </w:t>
      </w:r>
      <w:r w:rsidR="0078058C" w:rsidRPr="0078058C">
        <w:rPr>
          <w:i/>
          <w:iCs/>
          <w:lang w:val="es-AR" w:eastAsia="en-US"/>
        </w:rPr>
        <w:t>a</w:t>
      </w:r>
      <w:r w:rsidRPr="0078058C">
        <w:rPr>
          <w:i/>
          <w:iCs/>
          <w:lang w:val="es-AR" w:eastAsia="en-US"/>
        </w:rPr>
        <w:t>lto nivel</w:t>
      </w:r>
      <w:r w:rsidRPr="005839DF">
        <w:rPr>
          <w:lang w:val="es-AR" w:eastAsia="en-US"/>
        </w:rPr>
        <w:t>.</w:t>
      </w:r>
    </w:p>
    <w:p w14:paraId="6B9B6733" w14:textId="7B6D4252" w:rsidR="005839DF" w:rsidRDefault="005839DF" w:rsidP="005839DF">
      <w:pPr>
        <w:pStyle w:val="SubtituloInterno"/>
      </w:pPr>
      <w:proofErr w:type="spellStart"/>
      <w:r>
        <w:t>Instrumento</w:t>
      </w:r>
      <w:proofErr w:type="spellEnd"/>
      <w:r>
        <w:t xml:space="preserve"> para </w:t>
      </w:r>
      <w:proofErr w:type="spellStart"/>
      <w:r>
        <w:t>dictaminar</w:t>
      </w:r>
      <w:proofErr w:type="spellEnd"/>
    </w:p>
    <w:p w14:paraId="49A63A57" w14:textId="51F98AB1" w:rsidR="005839DF" w:rsidRPr="005839DF" w:rsidRDefault="005839DF" w:rsidP="005839DF">
      <w:pPr>
        <w:pStyle w:val="Prrafocomn"/>
        <w:rPr>
          <w:lang w:val="es-AR" w:eastAsia="en-US"/>
        </w:rPr>
      </w:pPr>
      <w:r w:rsidRPr="005839DF">
        <w:rPr>
          <w:lang w:val="es-AR" w:eastAsia="en-US"/>
        </w:rPr>
        <w:lastRenderedPageBreak/>
        <w:t xml:space="preserve">La </w:t>
      </w:r>
      <w:proofErr w:type="spellStart"/>
      <w:r w:rsidRPr="005839DF">
        <w:rPr>
          <w:i/>
          <w:iCs/>
          <w:lang w:val="es-AR" w:eastAsia="en-US"/>
        </w:rPr>
        <w:t>Orientations</w:t>
      </w:r>
      <w:proofErr w:type="spellEnd"/>
      <w:r w:rsidRPr="005839DF">
        <w:rPr>
          <w:i/>
          <w:iCs/>
          <w:lang w:val="es-AR" w:eastAsia="en-US"/>
        </w:rPr>
        <w:t xml:space="preserve"> </w:t>
      </w:r>
      <w:proofErr w:type="spellStart"/>
      <w:r w:rsidRPr="005839DF">
        <w:rPr>
          <w:i/>
          <w:iCs/>
          <w:lang w:val="es-AR" w:eastAsia="en-US"/>
        </w:rPr>
        <w:t>to</w:t>
      </w:r>
      <w:proofErr w:type="spellEnd"/>
      <w:r w:rsidRPr="005839DF">
        <w:rPr>
          <w:i/>
          <w:iCs/>
          <w:lang w:val="es-AR" w:eastAsia="en-US"/>
        </w:rPr>
        <w:t xml:space="preserve"> </w:t>
      </w:r>
      <w:proofErr w:type="spellStart"/>
      <w:r w:rsidRPr="005839DF">
        <w:rPr>
          <w:i/>
          <w:iCs/>
          <w:lang w:val="es-AR" w:eastAsia="en-US"/>
        </w:rPr>
        <w:t>Happiness</w:t>
      </w:r>
      <w:proofErr w:type="spellEnd"/>
      <w:r w:rsidRPr="005839DF">
        <w:rPr>
          <w:i/>
          <w:iCs/>
          <w:lang w:val="es-AR" w:eastAsia="en-US"/>
        </w:rPr>
        <w:t xml:space="preserve"> </w:t>
      </w:r>
      <w:proofErr w:type="spellStart"/>
      <w:r w:rsidRPr="005839DF">
        <w:rPr>
          <w:i/>
          <w:iCs/>
          <w:lang w:val="es-AR" w:eastAsia="en-US"/>
        </w:rPr>
        <w:t>Scale</w:t>
      </w:r>
      <w:proofErr w:type="spellEnd"/>
      <w:r w:rsidRPr="005839DF">
        <w:rPr>
          <w:lang w:val="es-AR" w:eastAsia="en-US"/>
        </w:rPr>
        <w:t xml:space="preserve"> (Peterson et al., 2005) es una escala que evalúa las orientaciones hacia la felicidad. La categoría analítica de </w:t>
      </w:r>
      <w:r w:rsidRPr="0078058C">
        <w:rPr>
          <w:i/>
          <w:iCs/>
          <w:lang w:val="es-AR" w:eastAsia="en-US"/>
        </w:rPr>
        <w:t>orientación</w:t>
      </w:r>
      <w:r w:rsidRPr="005839DF">
        <w:rPr>
          <w:lang w:val="es-AR" w:eastAsia="en-US"/>
        </w:rPr>
        <w:t xml:space="preserve"> se refiere a las prioridades personales, razones, motivos, valores y objetivos detrás de los comportamientos elegidos de un individuo (Huta, 2016) para ser feliz (Peterson et al., 2005). Este instrumento se compone de 18 reactivos que se organizan en tres factores: I) vida con significado (ítems: 2, 5, 11, 12, 14, 17) que valora la búsqueda de un propósito y un sentido en la vida; las personas que tienen esta orientación buscan comprender el mundo y su lugar en él, además de contribuir con algo más grande que ellas mismas; II) vida de placer (ítems: 3, 8, 13, 15, 16, 18) se refiere a la búsqueda de emociones positivas y la evitación de emociones negativas; las personas que tienen esta orientación buscan sentirse bien en el momento presente y disfrutar de las cosas que les gustan; y III) vida con compromiso (ítems: 1, 4, 6, 7, 9, 10) se orienta hacia la participación en actividades que implican un esfuerzo y que pueden no ser agradables en el momento, pero que son valiosas a largo plazo; las personas que tienen esta orientación buscan involucrarse en actividades que les permitan crecer y desarrollarse. Todos los ítems tienen un formato de respuesta tipo Likert con cinco opciones de respuesta que van desde </w:t>
      </w:r>
      <w:r w:rsidRPr="0078058C">
        <w:rPr>
          <w:i/>
          <w:iCs/>
          <w:lang w:val="es-AR" w:eastAsia="en-US"/>
        </w:rPr>
        <w:t>Muy diferente a mí</w:t>
      </w:r>
      <w:r w:rsidRPr="005839DF">
        <w:rPr>
          <w:lang w:val="es-AR" w:eastAsia="en-US"/>
        </w:rPr>
        <w:t xml:space="preserve"> (1) hasta </w:t>
      </w:r>
      <w:r w:rsidRPr="0078058C">
        <w:rPr>
          <w:i/>
          <w:iCs/>
          <w:lang w:val="es-AR" w:eastAsia="en-US"/>
        </w:rPr>
        <w:t>Muy parecido a mí</w:t>
      </w:r>
      <w:r w:rsidRPr="005839DF">
        <w:rPr>
          <w:lang w:val="es-AR" w:eastAsia="en-US"/>
        </w:rPr>
        <w:t xml:space="preserve"> (5).</w:t>
      </w:r>
    </w:p>
    <w:p w14:paraId="0C40F423" w14:textId="578E0DA6" w:rsidR="005839DF" w:rsidRDefault="005839DF" w:rsidP="005839DF">
      <w:pPr>
        <w:pStyle w:val="SubtituloInterno"/>
      </w:pPr>
      <w:proofErr w:type="spellStart"/>
      <w:r>
        <w:t>Procedimiento</w:t>
      </w:r>
      <w:proofErr w:type="spellEnd"/>
    </w:p>
    <w:p w14:paraId="0919063B" w14:textId="0C7EC6EC" w:rsidR="005839DF" w:rsidRPr="005839DF" w:rsidRDefault="005839DF" w:rsidP="005839DF">
      <w:pPr>
        <w:pStyle w:val="Prrafocomn"/>
        <w:rPr>
          <w:lang w:val="es-AR" w:eastAsia="es-ES_tradnl"/>
        </w:rPr>
      </w:pPr>
      <w:r w:rsidRPr="005839DF">
        <w:rPr>
          <w:lang w:val="es-AR"/>
        </w:rPr>
        <w:t xml:space="preserve">I) Desarrollo del protocolo de Yasir (2016) para el ajuste cultural de escalas psicométricas, que involucró los siguientes pasos: a) traducción </w:t>
      </w:r>
      <w:r w:rsidR="0078058C">
        <w:rPr>
          <w:lang w:val="es-AR"/>
        </w:rPr>
        <w:t>i</w:t>
      </w:r>
      <w:r w:rsidRPr="005839DF">
        <w:rPr>
          <w:lang w:val="es-AR"/>
        </w:rPr>
        <w:t>nglés-</w:t>
      </w:r>
      <w:r w:rsidR="0078058C">
        <w:rPr>
          <w:lang w:val="es-AR"/>
        </w:rPr>
        <w:t>e</w:t>
      </w:r>
      <w:r w:rsidRPr="005839DF">
        <w:rPr>
          <w:lang w:val="es-AR"/>
        </w:rPr>
        <w:t xml:space="preserve">spañol: realizada de forma independiente por tres traductores bilingües, b) discusión y síntesis de las discrepancias en las traducciones, c) </w:t>
      </w:r>
      <w:proofErr w:type="spellStart"/>
      <w:r w:rsidRPr="005839DF">
        <w:rPr>
          <w:lang w:val="es-AR"/>
        </w:rPr>
        <w:t>retraducción</w:t>
      </w:r>
      <w:proofErr w:type="spellEnd"/>
      <w:r w:rsidRPr="005839DF">
        <w:rPr>
          <w:lang w:val="es-AR"/>
        </w:rPr>
        <w:t xml:space="preserve"> </w:t>
      </w:r>
      <w:r w:rsidR="0078058C">
        <w:rPr>
          <w:lang w:val="es-AR"/>
        </w:rPr>
        <w:t>e</w:t>
      </w:r>
      <w:r w:rsidRPr="005839DF">
        <w:rPr>
          <w:lang w:val="es-AR"/>
        </w:rPr>
        <w:t>spañol-</w:t>
      </w:r>
      <w:r w:rsidR="0078058C">
        <w:rPr>
          <w:lang w:val="es-AR"/>
        </w:rPr>
        <w:t>i</w:t>
      </w:r>
      <w:r w:rsidRPr="005839DF">
        <w:rPr>
          <w:lang w:val="es-AR"/>
        </w:rPr>
        <w:t xml:space="preserve">nglés, llevada a cabo por dos especialistas bilingües cuya lengua materna era el </w:t>
      </w:r>
      <w:r w:rsidR="0078058C">
        <w:rPr>
          <w:lang w:val="es-AR"/>
        </w:rPr>
        <w:t>i</w:t>
      </w:r>
      <w:r w:rsidRPr="005839DF">
        <w:rPr>
          <w:lang w:val="es-AR"/>
        </w:rPr>
        <w:t xml:space="preserve">nglés, d) comparación de la traducción y </w:t>
      </w:r>
      <w:proofErr w:type="spellStart"/>
      <w:r w:rsidRPr="005839DF">
        <w:rPr>
          <w:lang w:val="es-AR"/>
        </w:rPr>
        <w:t>retraducción</w:t>
      </w:r>
      <w:proofErr w:type="spellEnd"/>
      <w:r w:rsidRPr="005839DF">
        <w:rPr>
          <w:lang w:val="es-AR"/>
        </w:rPr>
        <w:t xml:space="preserve"> de la escala en </w:t>
      </w:r>
      <w:r w:rsidR="0078058C">
        <w:rPr>
          <w:lang w:val="es-AR"/>
        </w:rPr>
        <w:t>e</w:t>
      </w:r>
      <w:r w:rsidRPr="005839DF">
        <w:rPr>
          <w:lang w:val="es-AR"/>
        </w:rPr>
        <w:t xml:space="preserve">spañol; y </w:t>
      </w:r>
      <w:r>
        <w:rPr>
          <w:lang w:val="es-AR"/>
        </w:rPr>
        <w:t>II</w:t>
      </w:r>
      <w:r w:rsidRPr="005839DF">
        <w:rPr>
          <w:lang w:val="es-AR"/>
        </w:rPr>
        <w:t xml:space="preserve">) revisión de la escala por un panel de siete expertos que evaluaron por reactivo: </w:t>
      </w:r>
      <w:r w:rsidRPr="0078058C">
        <w:rPr>
          <w:i/>
          <w:iCs/>
          <w:lang w:val="es-AR"/>
        </w:rPr>
        <w:t>suficiencia</w:t>
      </w:r>
      <w:r w:rsidRPr="005839DF">
        <w:rPr>
          <w:lang w:val="es-AR"/>
        </w:rPr>
        <w:t xml:space="preserve">, </w:t>
      </w:r>
      <w:r w:rsidRPr="0078058C">
        <w:rPr>
          <w:i/>
          <w:iCs/>
          <w:lang w:val="es-AR"/>
        </w:rPr>
        <w:t>claridad</w:t>
      </w:r>
      <w:r w:rsidRPr="005839DF">
        <w:rPr>
          <w:lang w:val="es-AR"/>
        </w:rPr>
        <w:t xml:space="preserve">, </w:t>
      </w:r>
      <w:r w:rsidRPr="0078058C">
        <w:rPr>
          <w:i/>
          <w:iCs/>
          <w:lang w:val="es-AR"/>
        </w:rPr>
        <w:t>coherencia</w:t>
      </w:r>
      <w:r w:rsidRPr="005839DF">
        <w:rPr>
          <w:lang w:val="es-AR"/>
        </w:rPr>
        <w:t xml:space="preserve"> y </w:t>
      </w:r>
      <w:r w:rsidRPr="0078058C">
        <w:rPr>
          <w:i/>
          <w:iCs/>
          <w:lang w:val="es-AR"/>
        </w:rPr>
        <w:t>relevancia</w:t>
      </w:r>
      <w:r w:rsidRPr="005839DF">
        <w:rPr>
          <w:lang w:val="es-AR"/>
        </w:rPr>
        <w:t>.</w:t>
      </w:r>
    </w:p>
    <w:p w14:paraId="1B179924" w14:textId="77777777" w:rsidR="005839DF" w:rsidRPr="005B24FF" w:rsidRDefault="005839DF" w:rsidP="005839DF">
      <w:pPr>
        <w:pStyle w:val="SubtituloInterno"/>
        <w:rPr>
          <w:lang w:val="es-AR"/>
        </w:rPr>
      </w:pPr>
      <w:r>
        <w:rPr>
          <w:lang w:val="es-AR"/>
        </w:rPr>
        <w:t>Análisis de los datos</w:t>
      </w:r>
    </w:p>
    <w:p w14:paraId="4D43E399" w14:textId="77777777" w:rsidR="005839DF" w:rsidRPr="005839DF" w:rsidRDefault="005839DF" w:rsidP="005839DF">
      <w:pPr>
        <w:pStyle w:val="Prrafocomn"/>
        <w:rPr>
          <w:lang w:val="es-AR"/>
        </w:rPr>
      </w:pPr>
      <w:r w:rsidRPr="005839DF">
        <w:rPr>
          <w:lang w:val="es-AR"/>
        </w:rPr>
        <w:t xml:space="preserve">Cálculo del Coeficiente Kappa de Cohen para estimar la concordancia entre las opiniones de expertos según el ajuste y la estimación de Randolph (2008) a través de la </w:t>
      </w:r>
      <w:r w:rsidRPr="005839DF">
        <w:rPr>
          <w:i/>
          <w:iCs/>
          <w:lang w:val="es-AR"/>
        </w:rPr>
        <w:t xml:space="preserve">Online Kappa </w:t>
      </w:r>
      <w:proofErr w:type="spellStart"/>
      <w:r w:rsidRPr="005839DF">
        <w:rPr>
          <w:i/>
          <w:iCs/>
          <w:lang w:val="es-AR"/>
        </w:rPr>
        <w:t>Calculator</w:t>
      </w:r>
      <w:proofErr w:type="spellEnd"/>
      <w:r w:rsidRPr="005839DF">
        <w:rPr>
          <w:lang w:val="es-AR"/>
        </w:rPr>
        <w:t>.</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26DA0CCD" w14:textId="1C01AE6E" w:rsidR="005839DF" w:rsidRPr="005B24FF" w:rsidRDefault="005839DF" w:rsidP="005839DF">
      <w:pPr>
        <w:pStyle w:val="Prrafocomn"/>
        <w:rPr>
          <w:lang w:val="es-AR"/>
        </w:rPr>
      </w:pPr>
      <w:r>
        <w:rPr>
          <w:lang w:val="es-AR"/>
        </w:rPr>
        <w:lastRenderedPageBreak/>
        <w:t xml:space="preserve">Previo al desarrollo de los tres estudios que conforman la investigación, se obtuvo </w:t>
      </w:r>
      <w:r w:rsidRPr="005839DF">
        <w:rPr>
          <w:lang w:val="es-AR"/>
        </w:rPr>
        <w:t>la aprobación por parte del Comité de Bioética de la Facultad de Estudios Superiores Iztacala (FESI) (Oficio: CE/FESI/082021/1414)</w:t>
      </w:r>
      <w:r>
        <w:rPr>
          <w:lang w:val="es-AR"/>
        </w:rPr>
        <w:t xml:space="preserve"> de la Universidad Nacional Autónoma de México.</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7E71998E" w14:textId="77777777" w:rsidR="00E16F45" w:rsidRPr="00E16F45" w:rsidRDefault="00E16F45" w:rsidP="00E16F45">
      <w:pPr>
        <w:pStyle w:val="Prrafocomn"/>
        <w:rPr>
          <w:lang w:val="es-AR"/>
        </w:rPr>
      </w:pPr>
      <w:r w:rsidRPr="00E16F45">
        <w:rPr>
          <w:lang w:val="es-AR"/>
        </w:rPr>
        <w:t>Los resultados del Coeficiente Kappa de Cohen obtenidos fueron los siguientes: a) Suficiencia: Porcentaje de Acuerdo General (PAG) = 61.64%, Kappa marginal libre = 0.49 [Moderada], IC95% 0.43, 0.55]; b) Claridad: PAG = 73.02%, Kappa marginal libre = 0.64 [Considerable], IC95% [0.48, 0.80]; c) Coherencia: PAG = 89.42%, Kappa marginal libre = 0.86 [Casi perfecta], IC95% [0.76, 0.96]; y d) Relevancia: PAG = 86.77%, Kappa marginal libre = 0.82 [Casi perfecta], IC95% [0.71, 0.93]. Estos resultados reflejan la calidad de la validez de contenido en cada aspecto evaluado, que va desde "Moderado" en el dominio de suficiencia; a “Considerable” en la dimensión de claridad; hasta "Casi perfecta" en las áreas de coherencia y relevancia.</w:t>
      </w:r>
    </w:p>
    <w:p w14:paraId="649972F5" w14:textId="4179B336" w:rsidR="00E16F45" w:rsidRPr="00E16F45" w:rsidRDefault="00E16F45" w:rsidP="00E16F45">
      <w:pPr>
        <w:pStyle w:val="SubtituloInterno"/>
        <w:rPr>
          <w:lang w:val="es-AR"/>
        </w:rPr>
      </w:pPr>
      <w:r w:rsidRPr="00DE7EB8">
        <w:rPr>
          <w:lang w:val="es-AR"/>
        </w:rPr>
        <w:t>E</w:t>
      </w:r>
      <w:r>
        <w:rPr>
          <w:lang w:val="es-AR"/>
        </w:rPr>
        <w:t xml:space="preserve">studio II. </w:t>
      </w:r>
      <w:r w:rsidRPr="00E16F45">
        <w:rPr>
          <w:lang w:val="es-AR"/>
        </w:rPr>
        <w:t>Análisis exploratorio de la estructura factorial</w:t>
      </w:r>
    </w:p>
    <w:p w14:paraId="6B1CEED3" w14:textId="77777777" w:rsidR="00E16F45" w:rsidRPr="00107993" w:rsidRDefault="00E16F45" w:rsidP="00E16F45">
      <w:pPr>
        <w:pStyle w:val="Ttulosinternos"/>
        <w:rPr>
          <w:lang w:val="es-AR"/>
        </w:rPr>
      </w:pPr>
      <w:r w:rsidRPr="00107993">
        <w:rPr>
          <w:lang w:val="es-AR"/>
        </w:rPr>
        <w:t>Método</w:t>
      </w:r>
    </w:p>
    <w:p w14:paraId="5002FE9A" w14:textId="77777777" w:rsidR="00E16F45" w:rsidRDefault="00E16F45" w:rsidP="00E16F45">
      <w:pPr>
        <w:pStyle w:val="SubtituloInterno"/>
        <w:rPr>
          <w:rFonts w:eastAsia="Calibri"/>
          <w:lang w:val="es-ES_tradnl"/>
        </w:rPr>
      </w:pPr>
      <w:r w:rsidRPr="005B24FF">
        <w:rPr>
          <w:rFonts w:eastAsia="Calibri"/>
          <w:lang w:val="es-ES_tradnl"/>
        </w:rPr>
        <w:t>Participa</w:t>
      </w:r>
      <w:r>
        <w:rPr>
          <w:rFonts w:eastAsia="Calibri"/>
          <w:lang w:val="es-ES_tradnl"/>
        </w:rPr>
        <w:t>ntes</w:t>
      </w:r>
    </w:p>
    <w:p w14:paraId="2250598F" w14:textId="17D2CE12" w:rsidR="00E16F45" w:rsidRDefault="00E16F45" w:rsidP="00E16F45">
      <w:pPr>
        <w:pStyle w:val="Prrafocomn"/>
        <w:rPr>
          <w:lang w:val="es-AR"/>
        </w:rPr>
      </w:pPr>
      <w:r w:rsidRPr="00E16F45">
        <w:rPr>
          <w:lang w:val="es-AR"/>
        </w:rPr>
        <w:t>Participaron 711 mexicanos (31.5% varones y 68.5% mujeres) entre los 18 y 85 años (</w:t>
      </w:r>
      <m:oMath>
        <m:acc>
          <m:accPr>
            <m:chr m:val="̅"/>
            <m:ctrlPr>
              <w:rPr>
                <w:rFonts w:ascii="Cambria Math" w:eastAsiaTheme="minorHAnsi" w:hAnsi="Cambria Math" w:cs="Arial"/>
                <w:i/>
                <w:color w:val="000000" w:themeColor="text1"/>
                <w:lang w:eastAsia="en-US"/>
              </w:rPr>
            </m:ctrlPr>
          </m:accPr>
          <m:e>
            <m:r>
              <w:rPr>
                <w:rFonts w:ascii="Cambria Math" w:eastAsiaTheme="minorHAnsi" w:hAnsi="Cambria Math" w:cs="Arial"/>
                <w:color w:val="000000" w:themeColor="text1"/>
                <w:lang w:eastAsia="en-US"/>
              </w:rPr>
              <m:t>x</m:t>
            </m:r>
          </m:e>
        </m:acc>
      </m:oMath>
      <w:r w:rsidRPr="00225D2C">
        <w:rPr>
          <w:rFonts w:ascii="Arial" w:eastAsiaTheme="minorEastAsia" w:hAnsi="Arial" w:cs="Arial"/>
          <w:color w:val="000000" w:themeColor="text1"/>
          <w:lang w:eastAsia="en-US"/>
        </w:rPr>
        <w:t xml:space="preserve"> </w:t>
      </w:r>
      <w:r w:rsidRPr="00E16F45">
        <w:rPr>
          <w:lang w:val="es-AR"/>
        </w:rPr>
        <w:t xml:space="preserve"> = 37.46, D.E = 13.61); la mayoría se asumieron como heterosexuales (87.6%) con creencias católicas (58.2%); aunque cerca de una tercera parte de la muestra informó ser atea (28.6%). En Tabla 1 se muestra la información sociodemográfica complementaria de la muestra.</w:t>
      </w:r>
    </w:p>
    <w:p w14:paraId="3AE904CA" w14:textId="6044BF1A" w:rsidR="00261CC1" w:rsidRDefault="00261CC1" w:rsidP="00261CC1">
      <w:pPr>
        <w:autoSpaceDE w:val="0"/>
        <w:autoSpaceDN w:val="0"/>
        <w:adjustRightInd w:val="0"/>
        <w:ind w:right="-198"/>
        <w:jc w:val="both"/>
        <w:rPr>
          <w:rFonts w:ascii="Arial" w:eastAsiaTheme="minorHAnsi" w:hAnsi="Arial" w:cs="Arial"/>
          <w:color w:val="000000" w:themeColor="text1"/>
          <w:lang w:eastAsia="en-US"/>
        </w:rPr>
      </w:pPr>
      <w:proofErr w:type="spellStart"/>
      <w:r w:rsidRPr="00261CC1">
        <w:rPr>
          <w:color w:val="00000A"/>
          <w:sz w:val="20"/>
          <w:szCs w:val="20"/>
          <w:u w:color="00000A"/>
          <w:bdr w:val="nil"/>
          <w:lang w:val="en-US"/>
          <w14:textOutline w14:w="0" w14:cap="flat" w14:cmpd="sng" w14:algn="ctr">
            <w14:noFill/>
            <w14:prstDash w14:val="solid"/>
            <w14:bevel/>
          </w14:textOutline>
        </w:rPr>
        <w:t>Tabla</w:t>
      </w:r>
      <w:proofErr w:type="spellEnd"/>
      <w:r w:rsidRPr="00261CC1">
        <w:rPr>
          <w:color w:val="00000A"/>
          <w:sz w:val="20"/>
          <w:szCs w:val="20"/>
          <w:u w:color="00000A"/>
          <w:bdr w:val="nil"/>
          <w:lang w:val="en-US"/>
          <w14:textOutline w14:w="0" w14:cap="flat" w14:cmpd="sng" w14:algn="ctr">
            <w14:noFill/>
            <w14:prstDash w14:val="solid"/>
            <w14:bevel/>
          </w14:textOutline>
        </w:rPr>
        <w:t xml:space="preserve"> 1</w:t>
      </w:r>
      <w:r w:rsidRPr="00225D2C">
        <w:rPr>
          <w:rFonts w:ascii="Arial" w:eastAsiaTheme="minorHAnsi" w:hAnsi="Arial" w:cs="Arial"/>
          <w:color w:val="000000" w:themeColor="text1"/>
          <w:lang w:eastAsia="en-US"/>
        </w:rPr>
        <w:t xml:space="preserve"> </w:t>
      </w:r>
    </w:p>
    <w:p w14:paraId="72EDB8EE" w14:textId="276A3079" w:rsidR="00261CC1" w:rsidRPr="00261CC1" w:rsidRDefault="00261CC1" w:rsidP="00261CC1">
      <w:pPr>
        <w:autoSpaceDE w:val="0"/>
        <w:autoSpaceDN w:val="0"/>
        <w:adjustRightInd w:val="0"/>
        <w:ind w:right="-198"/>
        <w:jc w:val="both"/>
        <w:rPr>
          <w:i/>
          <w:iCs/>
          <w:color w:val="00000A"/>
          <w:sz w:val="20"/>
          <w:szCs w:val="20"/>
          <w:u w:color="00000A"/>
          <w:bdr w:val="nil"/>
          <w:lang w:val="en-US"/>
          <w14:textOutline w14:w="0" w14:cap="flat" w14:cmpd="sng" w14:algn="ctr">
            <w14:noFill/>
            <w14:prstDash w14:val="solid"/>
            <w14:bevel/>
          </w14:textOutline>
        </w:rPr>
      </w:pPr>
      <w:proofErr w:type="spellStart"/>
      <w:r w:rsidRPr="00261CC1">
        <w:rPr>
          <w:i/>
          <w:iCs/>
          <w:color w:val="00000A"/>
          <w:sz w:val="20"/>
          <w:szCs w:val="20"/>
          <w:u w:color="00000A"/>
          <w:bdr w:val="nil"/>
          <w:lang w:val="en-US"/>
          <w14:textOutline w14:w="0" w14:cap="flat" w14:cmpd="sng" w14:algn="ctr">
            <w14:noFill/>
            <w14:prstDash w14:val="solid"/>
            <w14:bevel/>
          </w14:textOutline>
        </w:rPr>
        <w:t>Descripción</w:t>
      </w:r>
      <w:proofErr w:type="spellEnd"/>
      <w:r w:rsidRPr="00261CC1">
        <w:rPr>
          <w:i/>
          <w:iCs/>
          <w:color w:val="00000A"/>
          <w:sz w:val="20"/>
          <w:szCs w:val="20"/>
          <w:u w:color="00000A"/>
          <w:bdr w:val="nil"/>
          <w:lang w:val="en-US"/>
          <w14:textOutline w14:w="0" w14:cap="flat" w14:cmpd="sng" w14:algn="ctr">
            <w14:noFill/>
            <w14:prstDash w14:val="solid"/>
            <w14:bevel/>
          </w14:textOutline>
        </w:rPr>
        <w:t xml:space="preserve"> de las variables </w:t>
      </w:r>
      <w:proofErr w:type="spellStart"/>
      <w:r w:rsidRPr="00261CC1">
        <w:rPr>
          <w:i/>
          <w:iCs/>
          <w:color w:val="00000A"/>
          <w:sz w:val="20"/>
          <w:szCs w:val="20"/>
          <w:u w:color="00000A"/>
          <w:bdr w:val="nil"/>
          <w:lang w:val="en-US"/>
          <w14:textOutline w14:w="0" w14:cap="flat" w14:cmpd="sng" w14:algn="ctr">
            <w14:noFill/>
            <w14:prstDash w14:val="solid"/>
            <w14:bevel/>
          </w14:textOutline>
        </w:rPr>
        <w:t>sociodemográficas</w:t>
      </w:r>
      <w:proofErr w:type="spellEnd"/>
      <w:r w:rsidRPr="00261CC1">
        <w:rPr>
          <w:i/>
          <w:iCs/>
          <w:color w:val="00000A"/>
          <w:sz w:val="20"/>
          <w:szCs w:val="20"/>
          <w:u w:color="00000A"/>
          <w:bdr w:val="nil"/>
          <w:lang w:val="en-US"/>
          <w14:textOutline w14:w="0" w14:cap="flat" w14:cmpd="sng" w14:algn="ctr">
            <w14:noFill/>
            <w14:prstDash w14:val="solid"/>
            <w14:bevel/>
          </w14:textOutline>
        </w:rPr>
        <w:t xml:space="preserve"> de la </w:t>
      </w:r>
      <w:proofErr w:type="spellStart"/>
      <w:r w:rsidRPr="00261CC1">
        <w:rPr>
          <w:i/>
          <w:iCs/>
          <w:color w:val="00000A"/>
          <w:sz w:val="20"/>
          <w:szCs w:val="20"/>
          <w:u w:color="00000A"/>
          <w:bdr w:val="nil"/>
          <w:lang w:val="en-US"/>
          <w14:textOutline w14:w="0" w14:cap="flat" w14:cmpd="sng" w14:algn="ctr">
            <w14:noFill/>
            <w14:prstDash w14:val="solid"/>
            <w14:bevel/>
          </w14:textOutline>
        </w:rPr>
        <w:t>muestra</w:t>
      </w:r>
      <w:proofErr w:type="spellEnd"/>
    </w:p>
    <w:tbl>
      <w:tblPr>
        <w:tblStyle w:val="Tablaconcuadrcula"/>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10"/>
        <w:gridCol w:w="566"/>
        <w:gridCol w:w="1843"/>
        <w:gridCol w:w="709"/>
        <w:gridCol w:w="567"/>
        <w:gridCol w:w="2126"/>
        <w:gridCol w:w="709"/>
        <w:gridCol w:w="567"/>
      </w:tblGrid>
      <w:tr w:rsidR="00261CC1" w:rsidRPr="0047243D" w14:paraId="2A12EF36" w14:textId="77777777" w:rsidTr="00261CC1">
        <w:tc>
          <w:tcPr>
            <w:tcW w:w="1985" w:type="dxa"/>
            <w:tcBorders>
              <w:bottom w:val="single" w:sz="4" w:space="0" w:color="auto"/>
            </w:tcBorders>
            <w:vAlign w:val="center"/>
          </w:tcPr>
          <w:p w14:paraId="24DC672B"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Variables</w:t>
            </w:r>
          </w:p>
        </w:tc>
        <w:tc>
          <w:tcPr>
            <w:tcW w:w="710" w:type="dxa"/>
            <w:tcBorders>
              <w:bottom w:val="single" w:sz="4" w:space="0" w:color="auto"/>
            </w:tcBorders>
            <w:vAlign w:val="center"/>
          </w:tcPr>
          <w:p w14:paraId="366E94E5" w14:textId="77777777" w:rsidR="00261CC1" w:rsidRPr="00261CC1" w:rsidRDefault="00261CC1" w:rsidP="00835C90">
            <w:pPr>
              <w:tabs>
                <w:tab w:val="left" w:pos="6219"/>
              </w:tabs>
              <w:jc w:val="center"/>
              <w:rPr>
                <w:i/>
                <w:iCs/>
                <w:color w:val="131413"/>
                <w:sz w:val="18"/>
                <w:szCs w:val="18"/>
                <w:shd w:val="clear" w:color="auto" w:fill="FFFFFF"/>
              </w:rPr>
            </w:pPr>
            <w:r w:rsidRPr="00261CC1">
              <w:rPr>
                <w:i/>
                <w:iCs/>
                <w:color w:val="131413"/>
                <w:sz w:val="18"/>
                <w:szCs w:val="18"/>
                <w:shd w:val="clear" w:color="auto" w:fill="FFFFFF"/>
              </w:rPr>
              <w:t>n (711)</w:t>
            </w:r>
          </w:p>
        </w:tc>
        <w:tc>
          <w:tcPr>
            <w:tcW w:w="566" w:type="dxa"/>
            <w:tcBorders>
              <w:bottom w:val="single" w:sz="4" w:space="0" w:color="auto"/>
            </w:tcBorders>
            <w:vAlign w:val="center"/>
          </w:tcPr>
          <w:p w14:paraId="4B52D87A" w14:textId="77777777" w:rsidR="00261CC1" w:rsidRPr="00261CC1" w:rsidRDefault="00261CC1" w:rsidP="00835C90">
            <w:pPr>
              <w:tabs>
                <w:tab w:val="left" w:pos="6219"/>
              </w:tabs>
              <w:jc w:val="center"/>
              <w:rPr>
                <w:i/>
                <w:iCs/>
                <w:color w:val="131413"/>
                <w:sz w:val="18"/>
                <w:szCs w:val="18"/>
                <w:shd w:val="clear" w:color="auto" w:fill="FFFFFF"/>
              </w:rPr>
            </w:pPr>
            <w:r w:rsidRPr="00261CC1">
              <w:rPr>
                <w:i/>
                <w:iCs/>
                <w:color w:val="131413"/>
                <w:sz w:val="18"/>
                <w:szCs w:val="18"/>
                <w:shd w:val="clear" w:color="auto" w:fill="FFFFFF"/>
              </w:rPr>
              <w:t>%</w:t>
            </w:r>
          </w:p>
        </w:tc>
        <w:tc>
          <w:tcPr>
            <w:tcW w:w="1843" w:type="dxa"/>
            <w:tcBorders>
              <w:bottom w:val="single" w:sz="4" w:space="0" w:color="auto"/>
            </w:tcBorders>
            <w:vAlign w:val="center"/>
          </w:tcPr>
          <w:p w14:paraId="44479E81"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Variables</w:t>
            </w:r>
          </w:p>
        </w:tc>
        <w:tc>
          <w:tcPr>
            <w:tcW w:w="709" w:type="dxa"/>
            <w:tcBorders>
              <w:bottom w:val="single" w:sz="4" w:space="0" w:color="auto"/>
            </w:tcBorders>
            <w:vAlign w:val="center"/>
          </w:tcPr>
          <w:p w14:paraId="0A98A112" w14:textId="77777777" w:rsidR="00261CC1" w:rsidRPr="00261CC1" w:rsidRDefault="00261CC1" w:rsidP="00835C90">
            <w:pPr>
              <w:tabs>
                <w:tab w:val="left" w:pos="6219"/>
              </w:tabs>
              <w:jc w:val="center"/>
              <w:rPr>
                <w:i/>
                <w:iCs/>
                <w:color w:val="131413"/>
                <w:sz w:val="18"/>
                <w:szCs w:val="18"/>
                <w:shd w:val="clear" w:color="auto" w:fill="FFFFFF"/>
              </w:rPr>
            </w:pPr>
            <w:r w:rsidRPr="00261CC1">
              <w:rPr>
                <w:i/>
                <w:iCs/>
                <w:color w:val="131413"/>
                <w:sz w:val="18"/>
                <w:szCs w:val="18"/>
                <w:shd w:val="clear" w:color="auto" w:fill="FFFFFF"/>
              </w:rPr>
              <w:t>n (711)</w:t>
            </w:r>
          </w:p>
        </w:tc>
        <w:tc>
          <w:tcPr>
            <w:tcW w:w="567" w:type="dxa"/>
            <w:tcBorders>
              <w:bottom w:val="single" w:sz="4" w:space="0" w:color="auto"/>
            </w:tcBorders>
            <w:vAlign w:val="center"/>
          </w:tcPr>
          <w:p w14:paraId="1C67D9BA" w14:textId="77777777" w:rsidR="00261CC1" w:rsidRPr="00261CC1" w:rsidRDefault="00261CC1" w:rsidP="00835C90">
            <w:pPr>
              <w:tabs>
                <w:tab w:val="left" w:pos="6219"/>
              </w:tabs>
              <w:jc w:val="center"/>
              <w:rPr>
                <w:i/>
                <w:iCs/>
                <w:color w:val="131413"/>
                <w:sz w:val="18"/>
                <w:szCs w:val="18"/>
                <w:shd w:val="clear" w:color="auto" w:fill="FFFFFF"/>
              </w:rPr>
            </w:pPr>
            <w:r w:rsidRPr="00261CC1">
              <w:rPr>
                <w:i/>
                <w:iCs/>
                <w:color w:val="131413"/>
                <w:sz w:val="18"/>
                <w:szCs w:val="18"/>
                <w:shd w:val="clear" w:color="auto" w:fill="FFFFFF"/>
              </w:rPr>
              <w:t>%</w:t>
            </w:r>
          </w:p>
        </w:tc>
        <w:tc>
          <w:tcPr>
            <w:tcW w:w="2126" w:type="dxa"/>
            <w:tcBorders>
              <w:bottom w:val="single" w:sz="4" w:space="0" w:color="auto"/>
            </w:tcBorders>
            <w:vAlign w:val="center"/>
          </w:tcPr>
          <w:p w14:paraId="57187229"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Variables</w:t>
            </w:r>
          </w:p>
        </w:tc>
        <w:tc>
          <w:tcPr>
            <w:tcW w:w="709" w:type="dxa"/>
            <w:tcBorders>
              <w:bottom w:val="single" w:sz="4" w:space="0" w:color="auto"/>
            </w:tcBorders>
            <w:vAlign w:val="center"/>
          </w:tcPr>
          <w:p w14:paraId="5FE07492" w14:textId="77777777" w:rsidR="00261CC1" w:rsidRPr="00261CC1" w:rsidRDefault="00261CC1" w:rsidP="00835C90">
            <w:pPr>
              <w:tabs>
                <w:tab w:val="left" w:pos="6219"/>
              </w:tabs>
              <w:jc w:val="center"/>
              <w:rPr>
                <w:i/>
                <w:iCs/>
                <w:color w:val="131413"/>
                <w:sz w:val="18"/>
                <w:szCs w:val="18"/>
                <w:shd w:val="clear" w:color="auto" w:fill="FFFFFF"/>
              </w:rPr>
            </w:pPr>
            <w:r w:rsidRPr="00261CC1">
              <w:rPr>
                <w:i/>
                <w:iCs/>
                <w:color w:val="131413"/>
                <w:sz w:val="18"/>
                <w:szCs w:val="18"/>
                <w:shd w:val="clear" w:color="auto" w:fill="FFFFFF"/>
              </w:rPr>
              <w:t>n (711)</w:t>
            </w:r>
          </w:p>
        </w:tc>
        <w:tc>
          <w:tcPr>
            <w:tcW w:w="567" w:type="dxa"/>
            <w:tcBorders>
              <w:bottom w:val="single" w:sz="4" w:space="0" w:color="auto"/>
            </w:tcBorders>
            <w:vAlign w:val="center"/>
          </w:tcPr>
          <w:p w14:paraId="40E4F189" w14:textId="77777777" w:rsidR="00261CC1" w:rsidRPr="00261CC1" w:rsidRDefault="00261CC1" w:rsidP="00835C90">
            <w:pPr>
              <w:tabs>
                <w:tab w:val="left" w:pos="6219"/>
              </w:tabs>
              <w:jc w:val="center"/>
              <w:rPr>
                <w:i/>
                <w:iCs/>
                <w:color w:val="131413"/>
                <w:sz w:val="18"/>
                <w:szCs w:val="18"/>
                <w:shd w:val="clear" w:color="auto" w:fill="FFFFFF"/>
              </w:rPr>
            </w:pPr>
            <w:r w:rsidRPr="00261CC1">
              <w:rPr>
                <w:i/>
                <w:iCs/>
                <w:color w:val="131413"/>
                <w:sz w:val="18"/>
                <w:szCs w:val="18"/>
                <w:shd w:val="clear" w:color="auto" w:fill="FFFFFF"/>
              </w:rPr>
              <w:t>%</w:t>
            </w:r>
          </w:p>
        </w:tc>
      </w:tr>
      <w:tr w:rsidR="00261CC1" w:rsidRPr="0047243D" w14:paraId="01200506" w14:textId="77777777" w:rsidTr="00261CC1">
        <w:tc>
          <w:tcPr>
            <w:tcW w:w="1985" w:type="dxa"/>
            <w:tcBorders>
              <w:top w:val="single" w:sz="4" w:space="0" w:color="auto"/>
            </w:tcBorders>
            <w:vAlign w:val="center"/>
          </w:tcPr>
          <w:p w14:paraId="336FA74F" w14:textId="77777777" w:rsidR="00261CC1" w:rsidRPr="00261CC1" w:rsidRDefault="00261CC1" w:rsidP="00835C90">
            <w:pPr>
              <w:tabs>
                <w:tab w:val="left" w:pos="6219"/>
              </w:tabs>
              <w:jc w:val="right"/>
              <w:rPr>
                <w:b/>
                <w:bCs/>
                <w:color w:val="131413"/>
                <w:sz w:val="18"/>
                <w:szCs w:val="18"/>
                <w:shd w:val="clear" w:color="auto" w:fill="FFFFFF"/>
              </w:rPr>
            </w:pPr>
            <w:r w:rsidRPr="00261CC1">
              <w:rPr>
                <w:b/>
                <w:bCs/>
                <w:color w:val="131413"/>
                <w:sz w:val="18"/>
                <w:szCs w:val="18"/>
                <w:shd w:val="clear" w:color="auto" w:fill="FFFFFF"/>
              </w:rPr>
              <w:t>Estado civil</w:t>
            </w:r>
          </w:p>
        </w:tc>
        <w:tc>
          <w:tcPr>
            <w:tcW w:w="710" w:type="dxa"/>
            <w:tcBorders>
              <w:top w:val="single" w:sz="4" w:space="0" w:color="auto"/>
            </w:tcBorders>
            <w:vAlign w:val="center"/>
          </w:tcPr>
          <w:p w14:paraId="5D72607B" w14:textId="77777777" w:rsidR="00261CC1" w:rsidRPr="00261CC1" w:rsidRDefault="00261CC1" w:rsidP="00835C90">
            <w:pPr>
              <w:tabs>
                <w:tab w:val="left" w:pos="6219"/>
              </w:tabs>
              <w:jc w:val="right"/>
              <w:rPr>
                <w:color w:val="131413"/>
                <w:sz w:val="18"/>
                <w:szCs w:val="18"/>
                <w:shd w:val="clear" w:color="auto" w:fill="FFFFFF"/>
              </w:rPr>
            </w:pPr>
          </w:p>
        </w:tc>
        <w:tc>
          <w:tcPr>
            <w:tcW w:w="566" w:type="dxa"/>
            <w:tcBorders>
              <w:top w:val="single" w:sz="4" w:space="0" w:color="auto"/>
            </w:tcBorders>
            <w:vAlign w:val="center"/>
          </w:tcPr>
          <w:p w14:paraId="07EC4646" w14:textId="77777777" w:rsidR="00261CC1" w:rsidRPr="00261CC1" w:rsidRDefault="00261CC1" w:rsidP="00835C90">
            <w:pPr>
              <w:tabs>
                <w:tab w:val="left" w:pos="6219"/>
              </w:tabs>
              <w:jc w:val="right"/>
              <w:rPr>
                <w:color w:val="131413"/>
                <w:sz w:val="18"/>
                <w:szCs w:val="18"/>
                <w:shd w:val="clear" w:color="auto" w:fill="FFFFFF"/>
              </w:rPr>
            </w:pPr>
          </w:p>
        </w:tc>
        <w:tc>
          <w:tcPr>
            <w:tcW w:w="1843" w:type="dxa"/>
            <w:tcBorders>
              <w:top w:val="single" w:sz="4" w:space="0" w:color="auto"/>
            </w:tcBorders>
            <w:vAlign w:val="center"/>
          </w:tcPr>
          <w:p w14:paraId="0E509B03" w14:textId="77777777" w:rsidR="00261CC1" w:rsidRPr="00261CC1" w:rsidRDefault="00261CC1" w:rsidP="00835C90">
            <w:pPr>
              <w:tabs>
                <w:tab w:val="left" w:pos="6219"/>
              </w:tabs>
              <w:jc w:val="right"/>
              <w:rPr>
                <w:color w:val="131413"/>
                <w:sz w:val="18"/>
                <w:szCs w:val="18"/>
                <w:shd w:val="clear" w:color="auto" w:fill="FFFFFF"/>
              </w:rPr>
            </w:pPr>
            <w:r w:rsidRPr="00261CC1">
              <w:rPr>
                <w:b/>
                <w:bCs/>
                <w:color w:val="131413"/>
                <w:sz w:val="18"/>
                <w:szCs w:val="18"/>
                <w:shd w:val="clear" w:color="auto" w:fill="FFFFFF"/>
              </w:rPr>
              <w:t>Nivel de estudios</w:t>
            </w:r>
          </w:p>
        </w:tc>
        <w:tc>
          <w:tcPr>
            <w:tcW w:w="709" w:type="dxa"/>
            <w:tcBorders>
              <w:top w:val="single" w:sz="4" w:space="0" w:color="auto"/>
            </w:tcBorders>
            <w:vAlign w:val="center"/>
          </w:tcPr>
          <w:p w14:paraId="455782AE" w14:textId="77777777" w:rsidR="00261CC1" w:rsidRPr="00261CC1" w:rsidRDefault="00261CC1" w:rsidP="00835C90">
            <w:pPr>
              <w:tabs>
                <w:tab w:val="left" w:pos="6219"/>
              </w:tabs>
              <w:jc w:val="right"/>
              <w:rPr>
                <w:color w:val="131413"/>
                <w:sz w:val="18"/>
                <w:szCs w:val="18"/>
                <w:shd w:val="clear" w:color="auto" w:fill="FFFFFF"/>
              </w:rPr>
            </w:pPr>
          </w:p>
        </w:tc>
        <w:tc>
          <w:tcPr>
            <w:tcW w:w="567" w:type="dxa"/>
            <w:tcBorders>
              <w:top w:val="single" w:sz="4" w:space="0" w:color="auto"/>
            </w:tcBorders>
            <w:vAlign w:val="center"/>
          </w:tcPr>
          <w:p w14:paraId="493D16B7" w14:textId="77777777" w:rsidR="00261CC1" w:rsidRPr="00261CC1" w:rsidRDefault="00261CC1" w:rsidP="00835C90">
            <w:pPr>
              <w:tabs>
                <w:tab w:val="left" w:pos="6219"/>
              </w:tabs>
              <w:jc w:val="right"/>
              <w:rPr>
                <w:color w:val="131413"/>
                <w:sz w:val="18"/>
                <w:szCs w:val="18"/>
                <w:shd w:val="clear" w:color="auto" w:fill="FFFFFF"/>
              </w:rPr>
            </w:pPr>
          </w:p>
        </w:tc>
        <w:tc>
          <w:tcPr>
            <w:tcW w:w="2126" w:type="dxa"/>
            <w:tcBorders>
              <w:top w:val="single" w:sz="4" w:space="0" w:color="auto"/>
            </w:tcBorders>
            <w:vAlign w:val="center"/>
          </w:tcPr>
          <w:p w14:paraId="479D4B96" w14:textId="77777777" w:rsidR="00261CC1" w:rsidRPr="00261CC1" w:rsidRDefault="00261CC1" w:rsidP="00835C90">
            <w:pPr>
              <w:tabs>
                <w:tab w:val="left" w:pos="6219"/>
              </w:tabs>
              <w:jc w:val="right"/>
              <w:rPr>
                <w:color w:val="131413"/>
                <w:sz w:val="18"/>
                <w:szCs w:val="18"/>
                <w:shd w:val="clear" w:color="auto" w:fill="FFFFFF"/>
              </w:rPr>
            </w:pPr>
            <w:r w:rsidRPr="00261CC1">
              <w:rPr>
                <w:b/>
                <w:bCs/>
                <w:color w:val="131413"/>
                <w:sz w:val="18"/>
                <w:szCs w:val="18"/>
                <w:shd w:val="clear" w:color="auto" w:fill="FFFFFF"/>
              </w:rPr>
              <w:t>Me dedico…</w:t>
            </w:r>
          </w:p>
        </w:tc>
        <w:tc>
          <w:tcPr>
            <w:tcW w:w="709" w:type="dxa"/>
            <w:tcBorders>
              <w:top w:val="single" w:sz="4" w:space="0" w:color="auto"/>
            </w:tcBorders>
          </w:tcPr>
          <w:p w14:paraId="7869A2EA" w14:textId="77777777" w:rsidR="00261CC1" w:rsidRPr="00261CC1" w:rsidRDefault="00261CC1" w:rsidP="00835C90">
            <w:pPr>
              <w:tabs>
                <w:tab w:val="left" w:pos="6219"/>
              </w:tabs>
              <w:jc w:val="right"/>
              <w:rPr>
                <w:color w:val="131413"/>
                <w:sz w:val="18"/>
                <w:szCs w:val="18"/>
                <w:shd w:val="clear" w:color="auto" w:fill="FFFFFF"/>
              </w:rPr>
            </w:pPr>
          </w:p>
        </w:tc>
        <w:tc>
          <w:tcPr>
            <w:tcW w:w="567" w:type="dxa"/>
            <w:tcBorders>
              <w:top w:val="single" w:sz="4" w:space="0" w:color="auto"/>
            </w:tcBorders>
          </w:tcPr>
          <w:p w14:paraId="079BDAA8" w14:textId="77777777" w:rsidR="00261CC1" w:rsidRPr="00261CC1" w:rsidRDefault="00261CC1" w:rsidP="00835C90">
            <w:pPr>
              <w:tabs>
                <w:tab w:val="left" w:pos="6219"/>
              </w:tabs>
              <w:jc w:val="right"/>
              <w:rPr>
                <w:color w:val="131413"/>
                <w:sz w:val="18"/>
                <w:szCs w:val="18"/>
                <w:shd w:val="clear" w:color="auto" w:fill="FFFFFF"/>
              </w:rPr>
            </w:pPr>
          </w:p>
        </w:tc>
      </w:tr>
      <w:tr w:rsidR="00261CC1" w:rsidRPr="0047243D" w14:paraId="6A16762D" w14:textId="77777777" w:rsidTr="00261CC1">
        <w:tc>
          <w:tcPr>
            <w:tcW w:w="1985" w:type="dxa"/>
            <w:vAlign w:val="center"/>
          </w:tcPr>
          <w:p w14:paraId="446D6E2D"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Soltero/a</w:t>
            </w:r>
          </w:p>
        </w:tc>
        <w:tc>
          <w:tcPr>
            <w:tcW w:w="710" w:type="dxa"/>
            <w:vAlign w:val="bottom"/>
          </w:tcPr>
          <w:p w14:paraId="35289AA0"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330</w:t>
            </w:r>
          </w:p>
        </w:tc>
        <w:tc>
          <w:tcPr>
            <w:tcW w:w="566" w:type="dxa"/>
            <w:vAlign w:val="bottom"/>
          </w:tcPr>
          <w:p w14:paraId="71C0CF1A"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46.4</w:t>
            </w:r>
          </w:p>
        </w:tc>
        <w:tc>
          <w:tcPr>
            <w:tcW w:w="1843" w:type="dxa"/>
            <w:vAlign w:val="center"/>
          </w:tcPr>
          <w:p w14:paraId="0CD616A1"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Preescolar</w:t>
            </w:r>
          </w:p>
        </w:tc>
        <w:tc>
          <w:tcPr>
            <w:tcW w:w="709" w:type="dxa"/>
            <w:vAlign w:val="bottom"/>
          </w:tcPr>
          <w:p w14:paraId="0C2ECD79"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3</w:t>
            </w:r>
          </w:p>
        </w:tc>
        <w:tc>
          <w:tcPr>
            <w:tcW w:w="567" w:type="dxa"/>
            <w:vAlign w:val="bottom"/>
          </w:tcPr>
          <w:p w14:paraId="7A8D4A29"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0.4</w:t>
            </w:r>
          </w:p>
        </w:tc>
        <w:tc>
          <w:tcPr>
            <w:tcW w:w="2126" w:type="dxa"/>
            <w:vAlign w:val="center"/>
          </w:tcPr>
          <w:p w14:paraId="1962F15F"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Hogar</w:t>
            </w:r>
          </w:p>
        </w:tc>
        <w:tc>
          <w:tcPr>
            <w:tcW w:w="709" w:type="dxa"/>
            <w:vAlign w:val="bottom"/>
          </w:tcPr>
          <w:p w14:paraId="03D28156"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73</w:t>
            </w:r>
          </w:p>
        </w:tc>
        <w:tc>
          <w:tcPr>
            <w:tcW w:w="567" w:type="dxa"/>
            <w:vAlign w:val="bottom"/>
          </w:tcPr>
          <w:p w14:paraId="3DB88015"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10.3</w:t>
            </w:r>
          </w:p>
        </w:tc>
      </w:tr>
      <w:tr w:rsidR="00261CC1" w:rsidRPr="0047243D" w14:paraId="06EDE297" w14:textId="77777777" w:rsidTr="00261CC1">
        <w:tc>
          <w:tcPr>
            <w:tcW w:w="1985" w:type="dxa"/>
            <w:vAlign w:val="center"/>
          </w:tcPr>
          <w:p w14:paraId="7AC0804C"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Casado/a</w:t>
            </w:r>
          </w:p>
        </w:tc>
        <w:tc>
          <w:tcPr>
            <w:tcW w:w="710" w:type="dxa"/>
            <w:vAlign w:val="bottom"/>
          </w:tcPr>
          <w:p w14:paraId="4606EFA6"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207</w:t>
            </w:r>
          </w:p>
        </w:tc>
        <w:tc>
          <w:tcPr>
            <w:tcW w:w="566" w:type="dxa"/>
            <w:vAlign w:val="bottom"/>
          </w:tcPr>
          <w:p w14:paraId="13249FE1"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29.1</w:t>
            </w:r>
          </w:p>
        </w:tc>
        <w:tc>
          <w:tcPr>
            <w:tcW w:w="1843" w:type="dxa"/>
            <w:vAlign w:val="center"/>
          </w:tcPr>
          <w:p w14:paraId="7F1635C7"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Primaria</w:t>
            </w:r>
          </w:p>
        </w:tc>
        <w:tc>
          <w:tcPr>
            <w:tcW w:w="709" w:type="dxa"/>
            <w:vAlign w:val="bottom"/>
          </w:tcPr>
          <w:p w14:paraId="121A1898"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w:t>
            </w:r>
          </w:p>
        </w:tc>
        <w:tc>
          <w:tcPr>
            <w:tcW w:w="567" w:type="dxa"/>
            <w:vAlign w:val="bottom"/>
          </w:tcPr>
          <w:p w14:paraId="0E2E3818"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0.1</w:t>
            </w:r>
          </w:p>
        </w:tc>
        <w:tc>
          <w:tcPr>
            <w:tcW w:w="2126" w:type="dxa"/>
            <w:vAlign w:val="center"/>
          </w:tcPr>
          <w:p w14:paraId="1E2A9F07"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Trabajar</w:t>
            </w:r>
          </w:p>
        </w:tc>
        <w:tc>
          <w:tcPr>
            <w:tcW w:w="709" w:type="dxa"/>
            <w:vAlign w:val="bottom"/>
          </w:tcPr>
          <w:p w14:paraId="64238CC2"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158</w:t>
            </w:r>
          </w:p>
        </w:tc>
        <w:tc>
          <w:tcPr>
            <w:tcW w:w="567" w:type="dxa"/>
            <w:vAlign w:val="bottom"/>
          </w:tcPr>
          <w:p w14:paraId="42DBD7AD"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22.2</w:t>
            </w:r>
          </w:p>
        </w:tc>
      </w:tr>
      <w:tr w:rsidR="00261CC1" w:rsidRPr="0047243D" w14:paraId="7366C505" w14:textId="77777777" w:rsidTr="00261CC1">
        <w:tc>
          <w:tcPr>
            <w:tcW w:w="1985" w:type="dxa"/>
            <w:vAlign w:val="center"/>
          </w:tcPr>
          <w:p w14:paraId="6F1A6D0E"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Separado/a</w:t>
            </w:r>
          </w:p>
        </w:tc>
        <w:tc>
          <w:tcPr>
            <w:tcW w:w="710" w:type="dxa"/>
            <w:vAlign w:val="bottom"/>
          </w:tcPr>
          <w:p w14:paraId="63D6A6BF"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83</w:t>
            </w:r>
          </w:p>
        </w:tc>
        <w:tc>
          <w:tcPr>
            <w:tcW w:w="566" w:type="dxa"/>
            <w:vAlign w:val="bottom"/>
          </w:tcPr>
          <w:p w14:paraId="3CC7E68C"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11.7</w:t>
            </w:r>
          </w:p>
        </w:tc>
        <w:tc>
          <w:tcPr>
            <w:tcW w:w="1843" w:type="dxa"/>
            <w:vAlign w:val="center"/>
          </w:tcPr>
          <w:p w14:paraId="5BE457AF"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Secundaria</w:t>
            </w:r>
          </w:p>
        </w:tc>
        <w:tc>
          <w:tcPr>
            <w:tcW w:w="709" w:type="dxa"/>
            <w:vAlign w:val="bottom"/>
          </w:tcPr>
          <w:p w14:paraId="6204B1B5"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36</w:t>
            </w:r>
          </w:p>
        </w:tc>
        <w:tc>
          <w:tcPr>
            <w:tcW w:w="567" w:type="dxa"/>
            <w:vAlign w:val="bottom"/>
          </w:tcPr>
          <w:p w14:paraId="6922647D"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5.1</w:t>
            </w:r>
          </w:p>
        </w:tc>
        <w:tc>
          <w:tcPr>
            <w:tcW w:w="2126" w:type="dxa"/>
            <w:vAlign w:val="center"/>
          </w:tcPr>
          <w:p w14:paraId="6775F34A"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Estudiar</w:t>
            </w:r>
          </w:p>
        </w:tc>
        <w:tc>
          <w:tcPr>
            <w:tcW w:w="709" w:type="dxa"/>
            <w:vAlign w:val="bottom"/>
          </w:tcPr>
          <w:p w14:paraId="33033C98"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113</w:t>
            </w:r>
          </w:p>
        </w:tc>
        <w:tc>
          <w:tcPr>
            <w:tcW w:w="567" w:type="dxa"/>
            <w:vAlign w:val="bottom"/>
          </w:tcPr>
          <w:p w14:paraId="1E385D7A"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15.9</w:t>
            </w:r>
          </w:p>
        </w:tc>
      </w:tr>
      <w:tr w:rsidR="00261CC1" w:rsidRPr="0047243D" w14:paraId="79AE9752" w14:textId="77777777" w:rsidTr="00261CC1">
        <w:tc>
          <w:tcPr>
            <w:tcW w:w="1985" w:type="dxa"/>
            <w:vAlign w:val="center"/>
          </w:tcPr>
          <w:p w14:paraId="48A13765"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Viudo/a</w:t>
            </w:r>
          </w:p>
        </w:tc>
        <w:tc>
          <w:tcPr>
            <w:tcW w:w="710" w:type="dxa"/>
            <w:vAlign w:val="bottom"/>
          </w:tcPr>
          <w:p w14:paraId="6BD6EACA"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7</w:t>
            </w:r>
          </w:p>
        </w:tc>
        <w:tc>
          <w:tcPr>
            <w:tcW w:w="566" w:type="dxa"/>
            <w:vAlign w:val="bottom"/>
          </w:tcPr>
          <w:p w14:paraId="2EFA4411"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1.0</w:t>
            </w:r>
          </w:p>
        </w:tc>
        <w:tc>
          <w:tcPr>
            <w:tcW w:w="1843" w:type="dxa"/>
            <w:vAlign w:val="center"/>
          </w:tcPr>
          <w:p w14:paraId="5211FD3E"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Media superior</w:t>
            </w:r>
          </w:p>
        </w:tc>
        <w:tc>
          <w:tcPr>
            <w:tcW w:w="709" w:type="dxa"/>
            <w:vAlign w:val="bottom"/>
          </w:tcPr>
          <w:p w14:paraId="172D0ECA"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201</w:t>
            </w:r>
          </w:p>
        </w:tc>
        <w:tc>
          <w:tcPr>
            <w:tcW w:w="567" w:type="dxa"/>
            <w:vAlign w:val="bottom"/>
          </w:tcPr>
          <w:p w14:paraId="369D1800"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28.3</w:t>
            </w:r>
          </w:p>
        </w:tc>
        <w:tc>
          <w:tcPr>
            <w:tcW w:w="2126" w:type="dxa"/>
            <w:vAlign w:val="center"/>
          </w:tcPr>
          <w:p w14:paraId="43AE8FD1"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Estudiar y trabajar</w:t>
            </w:r>
          </w:p>
        </w:tc>
        <w:tc>
          <w:tcPr>
            <w:tcW w:w="709" w:type="dxa"/>
            <w:vAlign w:val="bottom"/>
          </w:tcPr>
          <w:p w14:paraId="1AD01A46"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118</w:t>
            </w:r>
          </w:p>
        </w:tc>
        <w:tc>
          <w:tcPr>
            <w:tcW w:w="567" w:type="dxa"/>
            <w:vAlign w:val="bottom"/>
          </w:tcPr>
          <w:p w14:paraId="3C8C9EA3"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16.6</w:t>
            </w:r>
          </w:p>
        </w:tc>
      </w:tr>
      <w:tr w:rsidR="00261CC1" w:rsidRPr="0047243D" w14:paraId="7103CBBD" w14:textId="77777777" w:rsidTr="00261CC1">
        <w:tc>
          <w:tcPr>
            <w:tcW w:w="1985" w:type="dxa"/>
            <w:vAlign w:val="center"/>
          </w:tcPr>
          <w:p w14:paraId="39F02943"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Unión libre</w:t>
            </w:r>
          </w:p>
        </w:tc>
        <w:tc>
          <w:tcPr>
            <w:tcW w:w="710" w:type="dxa"/>
            <w:vAlign w:val="bottom"/>
          </w:tcPr>
          <w:p w14:paraId="4D6BCE93"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82</w:t>
            </w:r>
          </w:p>
        </w:tc>
        <w:tc>
          <w:tcPr>
            <w:tcW w:w="566" w:type="dxa"/>
            <w:vAlign w:val="bottom"/>
          </w:tcPr>
          <w:p w14:paraId="3BE0B212"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11.5</w:t>
            </w:r>
          </w:p>
        </w:tc>
        <w:tc>
          <w:tcPr>
            <w:tcW w:w="1843" w:type="dxa"/>
            <w:vAlign w:val="center"/>
          </w:tcPr>
          <w:p w14:paraId="361C401F"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Carrera técnica</w:t>
            </w:r>
          </w:p>
        </w:tc>
        <w:tc>
          <w:tcPr>
            <w:tcW w:w="709" w:type="dxa"/>
            <w:vAlign w:val="bottom"/>
          </w:tcPr>
          <w:p w14:paraId="74D4A818"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72</w:t>
            </w:r>
          </w:p>
        </w:tc>
        <w:tc>
          <w:tcPr>
            <w:tcW w:w="567" w:type="dxa"/>
            <w:vAlign w:val="bottom"/>
          </w:tcPr>
          <w:p w14:paraId="1D41A1D3"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10.1</w:t>
            </w:r>
          </w:p>
        </w:tc>
        <w:tc>
          <w:tcPr>
            <w:tcW w:w="2126" w:type="dxa"/>
            <w:vAlign w:val="center"/>
          </w:tcPr>
          <w:p w14:paraId="79E9CDED"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Estudiar y al hogar</w:t>
            </w:r>
          </w:p>
        </w:tc>
        <w:tc>
          <w:tcPr>
            <w:tcW w:w="709" w:type="dxa"/>
            <w:vAlign w:val="bottom"/>
          </w:tcPr>
          <w:p w14:paraId="198DF8BB"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56</w:t>
            </w:r>
          </w:p>
        </w:tc>
        <w:tc>
          <w:tcPr>
            <w:tcW w:w="567" w:type="dxa"/>
            <w:vAlign w:val="bottom"/>
          </w:tcPr>
          <w:p w14:paraId="768BECAE"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7.9</w:t>
            </w:r>
          </w:p>
        </w:tc>
      </w:tr>
      <w:tr w:rsidR="00261CC1" w:rsidRPr="0047243D" w14:paraId="214570C3" w14:textId="77777777" w:rsidTr="00261CC1">
        <w:tc>
          <w:tcPr>
            <w:tcW w:w="1985" w:type="dxa"/>
            <w:vAlign w:val="center"/>
          </w:tcPr>
          <w:p w14:paraId="39AC0DAB"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Otro</w:t>
            </w:r>
          </w:p>
        </w:tc>
        <w:tc>
          <w:tcPr>
            <w:tcW w:w="710" w:type="dxa"/>
            <w:vAlign w:val="bottom"/>
          </w:tcPr>
          <w:p w14:paraId="18952447"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2</w:t>
            </w:r>
          </w:p>
        </w:tc>
        <w:tc>
          <w:tcPr>
            <w:tcW w:w="566" w:type="dxa"/>
            <w:vAlign w:val="bottom"/>
          </w:tcPr>
          <w:p w14:paraId="2C9D7263"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0.3</w:t>
            </w:r>
          </w:p>
        </w:tc>
        <w:tc>
          <w:tcPr>
            <w:tcW w:w="1843" w:type="dxa"/>
            <w:vAlign w:val="center"/>
          </w:tcPr>
          <w:p w14:paraId="2F3A1B74"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Superior</w:t>
            </w:r>
          </w:p>
        </w:tc>
        <w:tc>
          <w:tcPr>
            <w:tcW w:w="709" w:type="dxa"/>
            <w:vAlign w:val="bottom"/>
          </w:tcPr>
          <w:p w14:paraId="633C02A9"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294</w:t>
            </w:r>
          </w:p>
        </w:tc>
        <w:tc>
          <w:tcPr>
            <w:tcW w:w="567" w:type="dxa"/>
            <w:vAlign w:val="bottom"/>
          </w:tcPr>
          <w:p w14:paraId="103EFF37"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41.4</w:t>
            </w:r>
          </w:p>
        </w:tc>
        <w:tc>
          <w:tcPr>
            <w:tcW w:w="2126" w:type="dxa"/>
            <w:vAlign w:val="center"/>
          </w:tcPr>
          <w:p w14:paraId="5BD19115" w14:textId="77777777" w:rsidR="00261CC1" w:rsidRPr="00261CC1" w:rsidRDefault="00261CC1" w:rsidP="00835C90">
            <w:pPr>
              <w:tabs>
                <w:tab w:val="left" w:pos="6219"/>
              </w:tabs>
              <w:jc w:val="right"/>
              <w:rPr>
                <w:color w:val="131413"/>
                <w:sz w:val="18"/>
                <w:szCs w:val="18"/>
                <w:shd w:val="clear" w:color="auto" w:fill="FFFFFF"/>
              </w:rPr>
            </w:pPr>
            <w:r w:rsidRPr="00261CC1">
              <w:rPr>
                <w:color w:val="131413"/>
                <w:sz w:val="18"/>
                <w:szCs w:val="18"/>
                <w:shd w:val="clear" w:color="auto" w:fill="FFFFFF"/>
              </w:rPr>
              <w:t>Hogar y a trabajar</w:t>
            </w:r>
          </w:p>
        </w:tc>
        <w:tc>
          <w:tcPr>
            <w:tcW w:w="709" w:type="dxa"/>
            <w:vAlign w:val="bottom"/>
          </w:tcPr>
          <w:p w14:paraId="11B7C400"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76</w:t>
            </w:r>
          </w:p>
        </w:tc>
        <w:tc>
          <w:tcPr>
            <w:tcW w:w="567" w:type="dxa"/>
            <w:vAlign w:val="bottom"/>
          </w:tcPr>
          <w:p w14:paraId="51E6E0A8" w14:textId="77777777" w:rsidR="00261CC1" w:rsidRPr="00261CC1" w:rsidRDefault="00261CC1" w:rsidP="00835C90">
            <w:pPr>
              <w:tabs>
                <w:tab w:val="left" w:pos="6219"/>
              </w:tabs>
              <w:jc w:val="center"/>
              <w:rPr>
                <w:color w:val="131413"/>
                <w:sz w:val="18"/>
                <w:szCs w:val="18"/>
                <w:shd w:val="clear" w:color="auto" w:fill="FFFFFF"/>
              </w:rPr>
            </w:pPr>
            <w:r w:rsidRPr="00261CC1">
              <w:rPr>
                <w:color w:val="131413"/>
                <w:sz w:val="18"/>
                <w:szCs w:val="18"/>
                <w:shd w:val="clear" w:color="auto" w:fill="FFFFFF"/>
              </w:rPr>
              <w:t>10.7</w:t>
            </w:r>
          </w:p>
        </w:tc>
      </w:tr>
      <w:tr w:rsidR="00261CC1" w:rsidRPr="0047243D" w14:paraId="4E66F64B" w14:textId="77777777" w:rsidTr="00261CC1">
        <w:tc>
          <w:tcPr>
            <w:tcW w:w="1985" w:type="dxa"/>
            <w:vAlign w:val="center"/>
          </w:tcPr>
          <w:p w14:paraId="0003B99E" w14:textId="34942C8B" w:rsidR="00261CC1" w:rsidRPr="00261CC1" w:rsidRDefault="00261CC1" w:rsidP="00261CC1">
            <w:pPr>
              <w:tabs>
                <w:tab w:val="left" w:pos="6219"/>
              </w:tabs>
              <w:jc w:val="right"/>
              <w:rPr>
                <w:color w:val="131413"/>
                <w:sz w:val="18"/>
                <w:szCs w:val="18"/>
                <w:shd w:val="clear" w:color="auto" w:fill="FFFFFF"/>
              </w:rPr>
            </w:pPr>
            <w:r w:rsidRPr="00261CC1">
              <w:rPr>
                <w:b/>
                <w:bCs/>
                <w:color w:val="131413"/>
                <w:sz w:val="18"/>
                <w:szCs w:val="18"/>
                <w:shd w:val="clear" w:color="auto" w:fill="FFFFFF"/>
              </w:rPr>
              <w:t>*Ingreso familiar</w:t>
            </w:r>
          </w:p>
        </w:tc>
        <w:tc>
          <w:tcPr>
            <w:tcW w:w="710" w:type="dxa"/>
            <w:vAlign w:val="center"/>
          </w:tcPr>
          <w:p w14:paraId="29F48E88" w14:textId="77777777" w:rsidR="00261CC1" w:rsidRPr="00261CC1" w:rsidRDefault="00261CC1" w:rsidP="00261CC1">
            <w:pPr>
              <w:tabs>
                <w:tab w:val="left" w:pos="6219"/>
              </w:tabs>
              <w:jc w:val="center"/>
              <w:rPr>
                <w:color w:val="131413"/>
                <w:sz w:val="18"/>
                <w:szCs w:val="18"/>
                <w:shd w:val="clear" w:color="auto" w:fill="FFFFFF"/>
              </w:rPr>
            </w:pPr>
          </w:p>
        </w:tc>
        <w:tc>
          <w:tcPr>
            <w:tcW w:w="566" w:type="dxa"/>
            <w:vAlign w:val="center"/>
          </w:tcPr>
          <w:p w14:paraId="260CD0B9" w14:textId="77777777" w:rsidR="00261CC1" w:rsidRPr="00261CC1" w:rsidRDefault="00261CC1" w:rsidP="00261CC1">
            <w:pPr>
              <w:tabs>
                <w:tab w:val="left" w:pos="6219"/>
              </w:tabs>
              <w:jc w:val="center"/>
              <w:rPr>
                <w:color w:val="131413"/>
                <w:sz w:val="18"/>
                <w:szCs w:val="18"/>
                <w:shd w:val="clear" w:color="auto" w:fill="FFFFFF"/>
              </w:rPr>
            </w:pPr>
          </w:p>
        </w:tc>
        <w:tc>
          <w:tcPr>
            <w:tcW w:w="1843" w:type="dxa"/>
            <w:vAlign w:val="center"/>
          </w:tcPr>
          <w:p w14:paraId="54B01E4A" w14:textId="77777777" w:rsidR="00261CC1" w:rsidRPr="00261CC1" w:rsidRDefault="00261CC1" w:rsidP="00261CC1">
            <w:pPr>
              <w:tabs>
                <w:tab w:val="left" w:pos="6219"/>
              </w:tabs>
              <w:jc w:val="right"/>
              <w:rPr>
                <w:color w:val="131413"/>
                <w:sz w:val="18"/>
                <w:szCs w:val="18"/>
                <w:shd w:val="clear" w:color="auto" w:fill="FFFFFF"/>
              </w:rPr>
            </w:pPr>
            <w:r w:rsidRPr="00261CC1">
              <w:rPr>
                <w:color w:val="131413"/>
                <w:sz w:val="18"/>
                <w:szCs w:val="18"/>
                <w:shd w:val="clear" w:color="auto" w:fill="FFFFFF"/>
              </w:rPr>
              <w:t>Posgrado</w:t>
            </w:r>
          </w:p>
        </w:tc>
        <w:tc>
          <w:tcPr>
            <w:tcW w:w="709" w:type="dxa"/>
            <w:vAlign w:val="bottom"/>
          </w:tcPr>
          <w:p w14:paraId="0386CD3F" w14:textId="77777777"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104</w:t>
            </w:r>
          </w:p>
        </w:tc>
        <w:tc>
          <w:tcPr>
            <w:tcW w:w="567" w:type="dxa"/>
            <w:vAlign w:val="bottom"/>
          </w:tcPr>
          <w:p w14:paraId="657CA946" w14:textId="77777777"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14.6</w:t>
            </w:r>
          </w:p>
        </w:tc>
        <w:tc>
          <w:tcPr>
            <w:tcW w:w="2126" w:type="dxa"/>
            <w:vAlign w:val="center"/>
          </w:tcPr>
          <w:p w14:paraId="7A76D5E4" w14:textId="77777777" w:rsidR="00261CC1" w:rsidRPr="00261CC1" w:rsidRDefault="00261CC1" w:rsidP="00261CC1">
            <w:pPr>
              <w:tabs>
                <w:tab w:val="left" w:pos="6219"/>
              </w:tabs>
              <w:jc w:val="right"/>
              <w:rPr>
                <w:color w:val="131413"/>
                <w:sz w:val="18"/>
                <w:szCs w:val="18"/>
                <w:shd w:val="clear" w:color="auto" w:fill="FFFFFF"/>
              </w:rPr>
            </w:pPr>
            <w:r w:rsidRPr="00261CC1">
              <w:rPr>
                <w:color w:val="131413"/>
                <w:sz w:val="18"/>
                <w:szCs w:val="18"/>
                <w:shd w:val="clear" w:color="auto" w:fill="FFFFFF"/>
              </w:rPr>
              <w:t>Hogar, estudiar y trabajar</w:t>
            </w:r>
          </w:p>
        </w:tc>
        <w:tc>
          <w:tcPr>
            <w:tcW w:w="709" w:type="dxa"/>
            <w:vAlign w:val="bottom"/>
          </w:tcPr>
          <w:p w14:paraId="3BF88882" w14:textId="77777777"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107</w:t>
            </w:r>
          </w:p>
        </w:tc>
        <w:tc>
          <w:tcPr>
            <w:tcW w:w="567" w:type="dxa"/>
            <w:vAlign w:val="bottom"/>
          </w:tcPr>
          <w:p w14:paraId="4899C6A8" w14:textId="77777777"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15.0</w:t>
            </w:r>
          </w:p>
        </w:tc>
      </w:tr>
      <w:tr w:rsidR="00261CC1" w:rsidRPr="0047243D" w14:paraId="6EC12959" w14:textId="77777777" w:rsidTr="00261CC1">
        <w:tc>
          <w:tcPr>
            <w:tcW w:w="1985" w:type="dxa"/>
            <w:vAlign w:val="center"/>
          </w:tcPr>
          <w:p w14:paraId="5F037E3A" w14:textId="337DA8B0" w:rsidR="00261CC1" w:rsidRPr="00261CC1" w:rsidRDefault="00261CC1" w:rsidP="00261CC1">
            <w:pPr>
              <w:tabs>
                <w:tab w:val="left" w:pos="6219"/>
              </w:tabs>
              <w:jc w:val="right"/>
              <w:rPr>
                <w:b/>
                <w:bCs/>
                <w:color w:val="131413"/>
                <w:sz w:val="18"/>
                <w:szCs w:val="18"/>
                <w:shd w:val="clear" w:color="auto" w:fill="FFFFFF"/>
              </w:rPr>
            </w:pPr>
            <w:r w:rsidRPr="00261CC1">
              <w:rPr>
                <w:color w:val="131413"/>
                <w:sz w:val="18"/>
                <w:szCs w:val="18"/>
                <w:shd w:val="clear" w:color="auto" w:fill="FFFFFF"/>
              </w:rPr>
              <w:t>Satisfactorio y ahorro</w:t>
            </w:r>
          </w:p>
        </w:tc>
        <w:tc>
          <w:tcPr>
            <w:tcW w:w="710" w:type="dxa"/>
            <w:vAlign w:val="bottom"/>
          </w:tcPr>
          <w:p w14:paraId="240E4EE3" w14:textId="76BD39C2"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253</w:t>
            </w:r>
          </w:p>
        </w:tc>
        <w:tc>
          <w:tcPr>
            <w:tcW w:w="566" w:type="dxa"/>
            <w:vAlign w:val="bottom"/>
          </w:tcPr>
          <w:p w14:paraId="53F52FCF" w14:textId="545DAECD"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35.6</w:t>
            </w:r>
          </w:p>
        </w:tc>
        <w:tc>
          <w:tcPr>
            <w:tcW w:w="1843" w:type="dxa"/>
            <w:vAlign w:val="center"/>
          </w:tcPr>
          <w:p w14:paraId="0037EDC6" w14:textId="5BD4FC2C" w:rsidR="00261CC1" w:rsidRPr="00261CC1" w:rsidRDefault="00261CC1" w:rsidP="00261CC1">
            <w:pPr>
              <w:tabs>
                <w:tab w:val="left" w:pos="6219"/>
              </w:tabs>
              <w:jc w:val="right"/>
              <w:rPr>
                <w:color w:val="131413"/>
                <w:sz w:val="18"/>
                <w:szCs w:val="18"/>
                <w:shd w:val="clear" w:color="auto" w:fill="FFFFFF"/>
              </w:rPr>
            </w:pPr>
            <w:r w:rsidRPr="00261CC1">
              <w:rPr>
                <w:b/>
                <w:bCs/>
                <w:color w:val="131413"/>
                <w:sz w:val="18"/>
                <w:szCs w:val="18"/>
                <w:shd w:val="clear" w:color="auto" w:fill="FFFFFF"/>
              </w:rPr>
              <w:t>Trabajo renumerado</w:t>
            </w:r>
          </w:p>
        </w:tc>
        <w:tc>
          <w:tcPr>
            <w:tcW w:w="709" w:type="dxa"/>
            <w:vAlign w:val="center"/>
          </w:tcPr>
          <w:p w14:paraId="7CA962AC" w14:textId="77777777" w:rsidR="00261CC1" w:rsidRPr="00261CC1" w:rsidRDefault="00261CC1" w:rsidP="00261CC1">
            <w:pPr>
              <w:tabs>
                <w:tab w:val="left" w:pos="6219"/>
              </w:tabs>
              <w:jc w:val="center"/>
              <w:rPr>
                <w:color w:val="131413"/>
                <w:sz w:val="18"/>
                <w:szCs w:val="18"/>
                <w:shd w:val="clear" w:color="auto" w:fill="FFFFFF"/>
              </w:rPr>
            </w:pPr>
          </w:p>
        </w:tc>
        <w:tc>
          <w:tcPr>
            <w:tcW w:w="567" w:type="dxa"/>
            <w:vAlign w:val="center"/>
          </w:tcPr>
          <w:p w14:paraId="093B64F6" w14:textId="77777777" w:rsidR="00261CC1" w:rsidRPr="00261CC1" w:rsidRDefault="00261CC1" w:rsidP="00261CC1">
            <w:pPr>
              <w:tabs>
                <w:tab w:val="left" w:pos="6219"/>
              </w:tabs>
              <w:jc w:val="center"/>
              <w:rPr>
                <w:color w:val="131413"/>
                <w:sz w:val="18"/>
                <w:szCs w:val="18"/>
                <w:shd w:val="clear" w:color="auto" w:fill="FFFFFF"/>
              </w:rPr>
            </w:pPr>
          </w:p>
        </w:tc>
        <w:tc>
          <w:tcPr>
            <w:tcW w:w="2126" w:type="dxa"/>
            <w:vAlign w:val="center"/>
          </w:tcPr>
          <w:p w14:paraId="469CF8A0" w14:textId="77777777" w:rsidR="00261CC1" w:rsidRPr="00261CC1" w:rsidRDefault="00261CC1" w:rsidP="00261CC1">
            <w:pPr>
              <w:tabs>
                <w:tab w:val="left" w:pos="6219"/>
              </w:tabs>
              <w:jc w:val="right"/>
              <w:rPr>
                <w:color w:val="131413"/>
                <w:sz w:val="18"/>
                <w:szCs w:val="18"/>
                <w:shd w:val="clear" w:color="auto" w:fill="FFFFFF"/>
              </w:rPr>
            </w:pPr>
            <w:r w:rsidRPr="00261CC1">
              <w:rPr>
                <w:color w:val="131413"/>
                <w:sz w:val="18"/>
                <w:szCs w:val="18"/>
                <w:shd w:val="clear" w:color="auto" w:fill="FFFFFF"/>
              </w:rPr>
              <w:t>Otro</w:t>
            </w:r>
          </w:p>
        </w:tc>
        <w:tc>
          <w:tcPr>
            <w:tcW w:w="709" w:type="dxa"/>
            <w:vAlign w:val="bottom"/>
          </w:tcPr>
          <w:p w14:paraId="0EFAE200" w14:textId="77777777"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10</w:t>
            </w:r>
          </w:p>
        </w:tc>
        <w:tc>
          <w:tcPr>
            <w:tcW w:w="567" w:type="dxa"/>
            <w:vAlign w:val="bottom"/>
          </w:tcPr>
          <w:p w14:paraId="49BCE59A" w14:textId="77777777"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1.4</w:t>
            </w:r>
          </w:p>
        </w:tc>
      </w:tr>
      <w:tr w:rsidR="00261CC1" w:rsidRPr="0047243D" w14:paraId="15F93B72" w14:textId="77777777" w:rsidTr="00261CC1">
        <w:tc>
          <w:tcPr>
            <w:tcW w:w="1985" w:type="dxa"/>
            <w:vAlign w:val="center"/>
          </w:tcPr>
          <w:p w14:paraId="035C2476" w14:textId="2907DAE5" w:rsidR="00261CC1" w:rsidRPr="00261CC1" w:rsidRDefault="00261CC1" w:rsidP="00261CC1">
            <w:pPr>
              <w:tabs>
                <w:tab w:val="left" w:pos="6219"/>
              </w:tabs>
              <w:jc w:val="right"/>
              <w:rPr>
                <w:color w:val="131413"/>
                <w:sz w:val="18"/>
                <w:szCs w:val="18"/>
                <w:shd w:val="clear" w:color="auto" w:fill="FFFFFF"/>
              </w:rPr>
            </w:pPr>
            <w:r w:rsidRPr="00261CC1">
              <w:rPr>
                <w:color w:val="131413"/>
                <w:sz w:val="18"/>
                <w:szCs w:val="18"/>
                <w:shd w:val="clear" w:color="auto" w:fill="FFFFFF"/>
              </w:rPr>
              <w:t>Satisfactorio no ahorro</w:t>
            </w:r>
          </w:p>
        </w:tc>
        <w:tc>
          <w:tcPr>
            <w:tcW w:w="710" w:type="dxa"/>
            <w:vAlign w:val="bottom"/>
          </w:tcPr>
          <w:p w14:paraId="00EF705A" w14:textId="2D6556AA"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287</w:t>
            </w:r>
          </w:p>
        </w:tc>
        <w:tc>
          <w:tcPr>
            <w:tcW w:w="566" w:type="dxa"/>
            <w:vAlign w:val="bottom"/>
          </w:tcPr>
          <w:p w14:paraId="7CB5E9FC" w14:textId="23BA7893"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40.4</w:t>
            </w:r>
          </w:p>
        </w:tc>
        <w:tc>
          <w:tcPr>
            <w:tcW w:w="1843" w:type="dxa"/>
            <w:vAlign w:val="center"/>
          </w:tcPr>
          <w:p w14:paraId="69DE58B7" w14:textId="14DB09BD" w:rsidR="00261CC1" w:rsidRPr="00261CC1" w:rsidRDefault="00261CC1" w:rsidP="00261CC1">
            <w:pPr>
              <w:tabs>
                <w:tab w:val="left" w:pos="6219"/>
              </w:tabs>
              <w:jc w:val="right"/>
              <w:rPr>
                <w:color w:val="010205"/>
                <w:sz w:val="18"/>
                <w:szCs w:val="18"/>
              </w:rPr>
            </w:pPr>
            <w:r w:rsidRPr="00261CC1">
              <w:rPr>
                <w:color w:val="131413"/>
                <w:sz w:val="18"/>
                <w:szCs w:val="18"/>
                <w:shd w:val="clear" w:color="auto" w:fill="FFFFFF"/>
              </w:rPr>
              <w:t>Si</w:t>
            </w:r>
          </w:p>
        </w:tc>
        <w:tc>
          <w:tcPr>
            <w:tcW w:w="709" w:type="dxa"/>
            <w:vAlign w:val="center"/>
          </w:tcPr>
          <w:p w14:paraId="11FE46B7" w14:textId="321164C3" w:rsidR="00261CC1" w:rsidRPr="00261CC1" w:rsidRDefault="00261CC1" w:rsidP="00261CC1">
            <w:pPr>
              <w:tabs>
                <w:tab w:val="left" w:pos="6219"/>
              </w:tabs>
              <w:jc w:val="center"/>
              <w:rPr>
                <w:color w:val="010205"/>
                <w:sz w:val="18"/>
                <w:szCs w:val="18"/>
              </w:rPr>
            </w:pPr>
            <w:r w:rsidRPr="00261CC1">
              <w:rPr>
                <w:color w:val="131413"/>
                <w:sz w:val="18"/>
                <w:szCs w:val="18"/>
                <w:shd w:val="clear" w:color="auto" w:fill="FFFFFF"/>
              </w:rPr>
              <w:t>451</w:t>
            </w:r>
          </w:p>
        </w:tc>
        <w:tc>
          <w:tcPr>
            <w:tcW w:w="567" w:type="dxa"/>
            <w:vAlign w:val="center"/>
          </w:tcPr>
          <w:p w14:paraId="62EB92F9" w14:textId="60536328" w:rsidR="00261CC1" w:rsidRPr="00261CC1" w:rsidRDefault="00261CC1" w:rsidP="00261CC1">
            <w:pPr>
              <w:tabs>
                <w:tab w:val="left" w:pos="6219"/>
              </w:tabs>
              <w:jc w:val="center"/>
              <w:rPr>
                <w:color w:val="010205"/>
                <w:sz w:val="18"/>
                <w:szCs w:val="18"/>
              </w:rPr>
            </w:pPr>
            <w:r w:rsidRPr="00261CC1">
              <w:rPr>
                <w:color w:val="131413"/>
                <w:sz w:val="18"/>
                <w:szCs w:val="18"/>
                <w:shd w:val="clear" w:color="auto" w:fill="FFFFFF"/>
              </w:rPr>
              <w:t>63.4</w:t>
            </w:r>
          </w:p>
        </w:tc>
        <w:tc>
          <w:tcPr>
            <w:tcW w:w="2126" w:type="dxa"/>
            <w:vAlign w:val="center"/>
          </w:tcPr>
          <w:p w14:paraId="02725904" w14:textId="3DA8F110" w:rsidR="00261CC1" w:rsidRPr="00261CC1" w:rsidRDefault="00261CC1" w:rsidP="00261CC1">
            <w:pPr>
              <w:tabs>
                <w:tab w:val="left" w:pos="6219"/>
              </w:tabs>
              <w:jc w:val="right"/>
              <w:rPr>
                <w:color w:val="010205"/>
                <w:sz w:val="18"/>
                <w:szCs w:val="18"/>
              </w:rPr>
            </w:pPr>
            <w:r w:rsidRPr="00261CC1">
              <w:rPr>
                <w:b/>
                <w:bCs/>
                <w:color w:val="131413"/>
                <w:sz w:val="18"/>
                <w:szCs w:val="18"/>
                <w:shd w:val="clear" w:color="auto" w:fill="FFFFFF"/>
              </w:rPr>
              <w:t>Relación de pareja</w:t>
            </w:r>
          </w:p>
        </w:tc>
        <w:tc>
          <w:tcPr>
            <w:tcW w:w="709" w:type="dxa"/>
            <w:vAlign w:val="center"/>
          </w:tcPr>
          <w:p w14:paraId="77CD99E9" w14:textId="77777777" w:rsidR="00261CC1" w:rsidRPr="00261CC1" w:rsidRDefault="00261CC1" w:rsidP="00261CC1">
            <w:pPr>
              <w:tabs>
                <w:tab w:val="left" w:pos="6219"/>
              </w:tabs>
              <w:jc w:val="center"/>
              <w:rPr>
                <w:color w:val="010205"/>
                <w:sz w:val="18"/>
                <w:szCs w:val="18"/>
              </w:rPr>
            </w:pPr>
          </w:p>
        </w:tc>
        <w:tc>
          <w:tcPr>
            <w:tcW w:w="567" w:type="dxa"/>
            <w:vAlign w:val="center"/>
          </w:tcPr>
          <w:p w14:paraId="259666FA" w14:textId="77777777" w:rsidR="00261CC1" w:rsidRPr="00261CC1" w:rsidRDefault="00261CC1" w:rsidP="00261CC1">
            <w:pPr>
              <w:tabs>
                <w:tab w:val="left" w:pos="6219"/>
              </w:tabs>
              <w:jc w:val="center"/>
              <w:rPr>
                <w:color w:val="010205"/>
                <w:sz w:val="18"/>
                <w:szCs w:val="18"/>
              </w:rPr>
            </w:pPr>
          </w:p>
        </w:tc>
      </w:tr>
      <w:tr w:rsidR="00261CC1" w:rsidRPr="0047243D" w14:paraId="683E632C" w14:textId="77777777" w:rsidTr="00261CC1">
        <w:tc>
          <w:tcPr>
            <w:tcW w:w="1985" w:type="dxa"/>
            <w:vAlign w:val="center"/>
          </w:tcPr>
          <w:p w14:paraId="156A47DA" w14:textId="43B05773" w:rsidR="00261CC1" w:rsidRPr="00261CC1" w:rsidRDefault="00261CC1" w:rsidP="00261CC1">
            <w:pPr>
              <w:tabs>
                <w:tab w:val="left" w:pos="6219"/>
              </w:tabs>
              <w:jc w:val="right"/>
              <w:rPr>
                <w:color w:val="131413"/>
                <w:sz w:val="18"/>
                <w:szCs w:val="18"/>
                <w:shd w:val="clear" w:color="auto" w:fill="FFFFFF"/>
              </w:rPr>
            </w:pPr>
            <w:r w:rsidRPr="00261CC1">
              <w:rPr>
                <w:color w:val="131413"/>
                <w:sz w:val="18"/>
                <w:szCs w:val="18"/>
                <w:shd w:val="clear" w:color="auto" w:fill="FFFFFF"/>
              </w:rPr>
              <w:t>Parcial para necesidades</w:t>
            </w:r>
          </w:p>
        </w:tc>
        <w:tc>
          <w:tcPr>
            <w:tcW w:w="710" w:type="dxa"/>
            <w:vAlign w:val="bottom"/>
          </w:tcPr>
          <w:p w14:paraId="29533BF5" w14:textId="5F17AB85"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152</w:t>
            </w:r>
          </w:p>
        </w:tc>
        <w:tc>
          <w:tcPr>
            <w:tcW w:w="566" w:type="dxa"/>
            <w:vAlign w:val="bottom"/>
          </w:tcPr>
          <w:p w14:paraId="792FDD99" w14:textId="2A1BF7DE"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21.4</w:t>
            </w:r>
          </w:p>
        </w:tc>
        <w:tc>
          <w:tcPr>
            <w:tcW w:w="1843" w:type="dxa"/>
            <w:vAlign w:val="center"/>
          </w:tcPr>
          <w:p w14:paraId="3C552E3E" w14:textId="7A0FD8F5" w:rsidR="00261CC1" w:rsidRPr="00261CC1" w:rsidRDefault="00261CC1" w:rsidP="00261CC1">
            <w:pPr>
              <w:tabs>
                <w:tab w:val="left" w:pos="6219"/>
              </w:tabs>
              <w:jc w:val="right"/>
              <w:rPr>
                <w:color w:val="010205"/>
                <w:sz w:val="18"/>
                <w:szCs w:val="18"/>
              </w:rPr>
            </w:pPr>
            <w:r w:rsidRPr="00261CC1">
              <w:rPr>
                <w:color w:val="131413"/>
                <w:sz w:val="18"/>
                <w:szCs w:val="18"/>
                <w:shd w:val="clear" w:color="auto" w:fill="FFFFFF"/>
              </w:rPr>
              <w:t>No</w:t>
            </w:r>
          </w:p>
        </w:tc>
        <w:tc>
          <w:tcPr>
            <w:tcW w:w="709" w:type="dxa"/>
            <w:vAlign w:val="center"/>
          </w:tcPr>
          <w:p w14:paraId="2ADBDD83" w14:textId="4D0330A1" w:rsidR="00261CC1" w:rsidRPr="00261CC1" w:rsidRDefault="00261CC1" w:rsidP="00261CC1">
            <w:pPr>
              <w:tabs>
                <w:tab w:val="left" w:pos="6219"/>
              </w:tabs>
              <w:jc w:val="center"/>
              <w:rPr>
                <w:color w:val="010205"/>
                <w:sz w:val="18"/>
                <w:szCs w:val="18"/>
              </w:rPr>
            </w:pPr>
            <w:r w:rsidRPr="00261CC1">
              <w:rPr>
                <w:color w:val="131413"/>
                <w:sz w:val="18"/>
                <w:szCs w:val="18"/>
                <w:shd w:val="clear" w:color="auto" w:fill="FFFFFF"/>
              </w:rPr>
              <w:t>260</w:t>
            </w:r>
          </w:p>
        </w:tc>
        <w:tc>
          <w:tcPr>
            <w:tcW w:w="567" w:type="dxa"/>
            <w:vAlign w:val="center"/>
          </w:tcPr>
          <w:p w14:paraId="4FCDAE06" w14:textId="0E6D739F" w:rsidR="00261CC1" w:rsidRPr="00261CC1" w:rsidRDefault="00261CC1" w:rsidP="00261CC1">
            <w:pPr>
              <w:tabs>
                <w:tab w:val="left" w:pos="6219"/>
              </w:tabs>
              <w:jc w:val="center"/>
              <w:rPr>
                <w:color w:val="010205"/>
                <w:sz w:val="18"/>
                <w:szCs w:val="18"/>
              </w:rPr>
            </w:pPr>
            <w:r w:rsidRPr="00261CC1">
              <w:rPr>
                <w:color w:val="131413"/>
                <w:sz w:val="18"/>
                <w:szCs w:val="18"/>
                <w:shd w:val="clear" w:color="auto" w:fill="FFFFFF"/>
              </w:rPr>
              <w:t>36.6</w:t>
            </w:r>
          </w:p>
        </w:tc>
        <w:tc>
          <w:tcPr>
            <w:tcW w:w="2126" w:type="dxa"/>
            <w:vAlign w:val="center"/>
          </w:tcPr>
          <w:p w14:paraId="209A084E" w14:textId="1534D306" w:rsidR="00261CC1" w:rsidRPr="00261CC1" w:rsidRDefault="00261CC1" w:rsidP="00261CC1">
            <w:pPr>
              <w:tabs>
                <w:tab w:val="left" w:pos="6219"/>
              </w:tabs>
              <w:jc w:val="right"/>
              <w:rPr>
                <w:color w:val="010205"/>
                <w:sz w:val="18"/>
                <w:szCs w:val="18"/>
              </w:rPr>
            </w:pPr>
            <w:r w:rsidRPr="00261CC1">
              <w:rPr>
                <w:color w:val="131413"/>
                <w:sz w:val="18"/>
                <w:szCs w:val="18"/>
                <w:shd w:val="clear" w:color="auto" w:fill="FFFFFF"/>
              </w:rPr>
              <w:t>Si</w:t>
            </w:r>
          </w:p>
        </w:tc>
        <w:tc>
          <w:tcPr>
            <w:tcW w:w="709" w:type="dxa"/>
            <w:vAlign w:val="center"/>
          </w:tcPr>
          <w:p w14:paraId="503D4FEF" w14:textId="26904959" w:rsidR="00261CC1" w:rsidRPr="00261CC1" w:rsidRDefault="00261CC1" w:rsidP="00261CC1">
            <w:pPr>
              <w:tabs>
                <w:tab w:val="left" w:pos="6219"/>
              </w:tabs>
              <w:jc w:val="center"/>
              <w:rPr>
                <w:color w:val="010205"/>
                <w:sz w:val="18"/>
                <w:szCs w:val="18"/>
              </w:rPr>
            </w:pPr>
            <w:r w:rsidRPr="00261CC1">
              <w:rPr>
                <w:color w:val="010205"/>
                <w:sz w:val="18"/>
                <w:szCs w:val="18"/>
              </w:rPr>
              <w:t>438</w:t>
            </w:r>
          </w:p>
        </w:tc>
        <w:tc>
          <w:tcPr>
            <w:tcW w:w="567" w:type="dxa"/>
            <w:vAlign w:val="center"/>
          </w:tcPr>
          <w:p w14:paraId="5B30551F" w14:textId="085AAFB4" w:rsidR="00261CC1" w:rsidRPr="00261CC1" w:rsidRDefault="00261CC1" w:rsidP="00261CC1">
            <w:pPr>
              <w:tabs>
                <w:tab w:val="left" w:pos="6219"/>
              </w:tabs>
              <w:jc w:val="center"/>
              <w:rPr>
                <w:color w:val="010205"/>
                <w:sz w:val="18"/>
                <w:szCs w:val="18"/>
              </w:rPr>
            </w:pPr>
            <w:r w:rsidRPr="00261CC1">
              <w:rPr>
                <w:color w:val="010205"/>
                <w:sz w:val="18"/>
                <w:szCs w:val="18"/>
              </w:rPr>
              <w:t>61.6</w:t>
            </w:r>
          </w:p>
        </w:tc>
      </w:tr>
      <w:tr w:rsidR="00261CC1" w:rsidRPr="0047243D" w14:paraId="401AA4C1" w14:textId="77777777" w:rsidTr="00261CC1">
        <w:tc>
          <w:tcPr>
            <w:tcW w:w="1985" w:type="dxa"/>
            <w:vAlign w:val="center"/>
          </w:tcPr>
          <w:p w14:paraId="3C6F71D1" w14:textId="0E00BE5E" w:rsidR="00261CC1" w:rsidRPr="00261CC1" w:rsidRDefault="00261CC1" w:rsidP="00261CC1">
            <w:pPr>
              <w:tabs>
                <w:tab w:val="left" w:pos="6219"/>
              </w:tabs>
              <w:jc w:val="right"/>
              <w:rPr>
                <w:color w:val="131413"/>
                <w:sz w:val="18"/>
                <w:szCs w:val="18"/>
                <w:shd w:val="clear" w:color="auto" w:fill="FFFFFF"/>
              </w:rPr>
            </w:pPr>
            <w:r w:rsidRPr="00261CC1">
              <w:rPr>
                <w:color w:val="131413"/>
                <w:sz w:val="18"/>
                <w:szCs w:val="18"/>
                <w:shd w:val="clear" w:color="auto" w:fill="FFFFFF"/>
              </w:rPr>
              <w:lastRenderedPageBreak/>
              <w:t>No cubrió necesidades</w:t>
            </w:r>
          </w:p>
        </w:tc>
        <w:tc>
          <w:tcPr>
            <w:tcW w:w="710" w:type="dxa"/>
            <w:vAlign w:val="bottom"/>
          </w:tcPr>
          <w:p w14:paraId="1A6E28CF" w14:textId="4D93D0E6"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19</w:t>
            </w:r>
          </w:p>
        </w:tc>
        <w:tc>
          <w:tcPr>
            <w:tcW w:w="566" w:type="dxa"/>
            <w:vAlign w:val="bottom"/>
          </w:tcPr>
          <w:p w14:paraId="0F20446D" w14:textId="3AC1DC99" w:rsidR="00261CC1" w:rsidRPr="00261CC1" w:rsidRDefault="00261CC1" w:rsidP="00261CC1">
            <w:pPr>
              <w:tabs>
                <w:tab w:val="left" w:pos="6219"/>
              </w:tabs>
              <w:jc w:val="center"/>
              <w:rPr>
                <w:color w:val="131413"/>
                <w:sz w:val="18"/>
                <w:szCs w:val="18"/>
                <w:shd w:val="clear" w:color="auto" w:fill="FFFFFF"/>
              </w:rPr>
            </w:pPr>
            <w:r w:rsidRPr="00261CC1">
              <w:rPr>
                <w:color w:val="131413"/>
                <w:sz w:val="18"/>
                <w:szCs w:val="18"/>
                <w:shd w:val="clear" w:color="auto" w:fill="FFFFFF"/>
              </w:rPr>
              <w:t>2.6</w:t>
            </w:r>
          </w:p>
        </w:tc>
        <w:tc>
          <w:tcPr>
            <w:tcW w:w="1843" w:type="dxa"/>
            <w:vAlign w:val="center"/>
          </w:tcPr>
          <w:p w14:paraId="63EDB80D" w14:textId="0C93B7E5" w:rsidR="00261CC1" w:rsidRPr="00261CC1" w:rsidRDefault="00261CC1" w:rsidP="00261CC1">
            <w:pPr>
              <w:tabs>
                <w:tab w:val="left" w:pos="6219"/>
              </w:tabs>
              <w:jc w:val="right"/>
              <w:rPr>
                <w:color w:val="010205"/>
                <w:sz w:val="18"/>
                <w:szCs w:val="18"/>
              </w:rPr>
            </w:pPr>
            <w:r w:rsidRPr="00261CC1">
              <w:rPr>
                <w:b/>
                <w:bCs/>
                <w:color w:val="131413"/>
                <w:sz w:val="18"/>
                <w:szCs w:val="18"/>
                <w:shd w:val="clear" w:color="auto" w:fill="FFFFFF"/>
              </w:rPr>
              <w:t>Tener hijos</w:t>
            </w:r>
          </w:p>
        </w:tc>
        <w:tc>
          <w:tcPr>
            <w:tcW w:w="709" w:type="dxa"/>
            <w:vAlign w:val="center"/>
          </w:tcPr>
          <w:p w14:paraId="31BABC3D" w14:textId="65D4B905" w:rsidR="00261CC1" w:rsidRPr="00261CC1" w:rsidRDefault="00261CC1" w:rsidP="00261CC1">
            <w:pPr>
              <w:tabs>
                <w:tab w:val="left" w:pos="6219"/>
              </w:tabs>
              <w:jc w:val="center"/>
              <w:rPr>
                <w:color w:val="010205"/>
                <w:sz w:val="18"/>
                <w:szCs w:val="18"/>
              </w:rPr>
            </w:pPr>
          </w:p>
        </w:tc>
        <w:tc>
          <w:tcPr>
            <w:tcW w:w="567" w:type="dxa"/>
            <w:vAlign w:val="center"/>
          </w:tcPr>
          <w:p w14:paraId="63D4511E" w14:textId="2B4DE19B" w:rsidR="00261CC1" w:rsidRPr="00261CC1" w:rsidRDefault="00261CC1" w:rsidP="00261CC1">
            <w:pPr>
              <w:tabs>
                <w:tab w:val="left" w:pos="6219"/>
              </w:tabs>
              <w:jc w:val="center"/>
              <w:rPr>
                <w:color w:val="010205"/>
                <w:sz w:val="18"/>
                <w:szCs w:val="18"/>
              </w:rPr>
            </w:pPr>
          </w:p>
        </w:tc>
        <w:tc>
          <w:tcPr>
            <w:tcW w:w="2126" w:type="dxa"/>
            <w:vAlign w:val="center"/>
          </w:tcPr>
          <w:p w14:paraId="6338C762" w14:textId="1A13541A" w:rsidR="00261CC1" w:rsidRPr="00261CC1" w:rsidRDefault="00261CC1" w:rsidP="00261CC1">
            <w:pPr>
              <w:tabs>
                <w:tab w:val="left" w:pos="6219"/>
              </w:tabs>
              <w:jc w:val="right"/>
              <w:rPr>
                <w:color w:val="010205"/>
                <w:sz w:val="18"/>
                <w:szCs w:val="18"/>
              </w:rPr>
            </w:pPr>
            <w:r w:rsidRPr="00261CC1">
              <w:rPr>
                <w:color w:val="131413"/>
                <w:sz w:val="18"/>
                <w:szCs w:val="18"/>
                <w:shd w:val="clear" w:color="auto" w:fill="FFFFFF"/>
              </w:rPr>
              <w:t>No</w:t>
            </w:r>
          </w:p>
        </w:tc>
        <w:tc>
          <w:tcPr>
            <w:tcW w:w="709" w:type="dxa"/>
            <w:vAlign w:val="center"/>
          </w:tcPr>
          <w:p w14:paraId="1445F27D" w14:textId="728E1666" w:rsidR="00261CC1" w:rsidRPr="00261CC1" w:rsidRDefault="00261CC1" w:rsidP="00261CC1">
            <w:pPr>
              <w:tabs>
                <w:tab w:val="left" w:pos="6219"/>
              </w:tabs>
              <w:jc w:val="center"/>
              <w:rPr>
                <w:color w:val="010205"/>
                <w:sz w:val="18"/>
                <w:szCs w:val="18"/>
              </w:rPr>
            </w:pPr>
            <w:r w:rsidRPr="00261CC1">
              <w:rPr>
                <w:color w:val="010205"/>
                <w:sz w:val="18"/>
                <w:szCs w:val="18"/>
              </w:rPr>
              <w:t>273</w:t>
            </w:r>
          </w:p>
        </w:tc>
        <w:tc>
          <w:tcPr>
            <w:tcW w:w="567" w:type="dxa"/>
            <w:vAlign w:val="center"/>
          </w:tcPr>
          <w:p w14:paraId="5A7470DD" w14:textId="4FFE46A8" w:rsidR="00261CC1" w:rsidRPr="00261CC1" w:rsidRDefault="00261CC1" w:rsidP="00261CC1">
            <w:pPr>
              <w:tabs>
                <w:tab w:val="left" w:pos="6219"/>
              </w:tabs>
              <w:jc w:val="center"/>
              <w:rPr>
                <w:color w:val="010205"/>
                <w:sz w:val="18"/>
                <w:szCs w:val="18"/>
              </w:rPr>
            </w:pPr>
            <w:r w:rsidRPr="00261CC1">
              <w:rPr>
                <w:color w:val="010205"/>
                <w:sz w:val="18"/>
                <w:szCs w:val="18"/>
              </w:rPr>
              <w:t>38.4</w:t>
            </w:r>
          </w:p>
        </w:tc>
      </w:tr>
      <w:tr w:rsidR="00261CC1" w:rsidRPr="0047243D" w14:paraId="4421FAAF" w14:textId="77777777" w:rsidTr="00261CC1">
        <w:tc>
          <w:tcPr>
            <w:tcW w:w="1985" w:type="dxa"/>
            <w:vAlign w:val="center"/>
          </w:tcPr>
          <w:p w14:paraId="592F4B1E" w14:textId="57597F95" w:rsidR="00261CC1" w:rsidRPr="00261CC1" w:rsidRDefault="00261CC1" w:rsidP="00261CC1">
            <w:pPr>
              <w:tabs>
                <w:tab w:val="left" w:pos="6219"/>
              </w:tabs>
              <w:jc w:val="right"/>
              <w:rPr>
                <w:b/>
                <w:bCs/>
                <w:color w:val="131413"/>
                <w:sz w:val="18"/>
                <w:szCs w:val="18"/>
                <w:shd w:val="clear" w:color="auto" w:fill="FFFFFF"/>
              </w:rPr>
            </w:pPr>
          </w:p>
        </w:tc>
        <w:tc>
          <w:tcPr>
            <w:tcW w:w="710" w:type="dxa"/>
            <w:vAlign w:val="bottom"/>
          </w:tcPr>
          <w:p w14:paraId="066190EC" w14:textId="1EEBCE63" w:rsidR="00261CC1" w:rsidRPr="00261CC1" w:rsidRDefault="00261CC1" w:rsidP="00261CC1">
            <w:pPr>
              <w:tabs>
                <w:tab w:val="left" w:pos="6219"/>
              </w:tabs>
              <w:jc w:val="center"/>
              <w:rPr>
                <w:color w:val="131413"/>
                <w:sz w:val="18"/>
                <w:szCs w:val="18"/>
                <w:shd w:val="clear" w:color="auto" w:fill="FFFFFF"/>
              </w:rPr>
            </w:pPr>
          </w:p>
        </w:tc>
        <w:tc>
          <w:tcPr>
            <w:tcW w:w="566" w:type="dxa"/>
            <w:vAlign w:val="bottom"/>
          </w:tcPr>
          <w:p w14:paraId="68016B19" w14:textId="12CB5E42" w:rsidR="00261CC1" w:rsidRPr="00261CC1" w:rsidRDefault="00261CC1" w:rsidP="00261CC1">
            <w:pPr>
              <w:tabs>
                <w:tab w:val="left" w:pos="6219"/>
              </w:tabs>
              <w:jc w:val="center"/>
              <w:rPr>
                <w:color w:val="131413"/>
                <w:sz w:val="18"/>
                <w:szCs w:val="18"/>
                <w:shd w:val="clear" w:color="auto" w:fill="FFFFFF"/>
              </w:rPr>
            </w:pPr>
          </w:p>
        </w:tc>
        <w:tc>
          <w:tcPr>
            <w:tcW w:w="1843" w:type="dxa"/>
            <w:vAlign w:val="center"/>
          </w:tcPr>
          <w:p w14:paraId="19769538" w14:textId="1A028849" w:rsidR="00261CC1" w:rsidRPr="00261CC1" w:rsidRDefault="00261CC1" w:rsidP="00261CC1">
            <w:pPr>
              <w:tabs>
                <w:tab w:val="left" w:pos="6219"/>
              </w:tabs>
              <w:jc w:val="right"/>
              <w:rPr>
                <w:color w:val="131413"/>
                <w:sz w:val="18"/>
                <w:szCs w:val="18"/>
                <w:shd w:val="clear" w:color="auto" w:fill="FFFFFF"/>
              </w:rPr>
            </w:pPr>
            <w:r w:rsidRPr="00261CC1">
              <w:rPr>
                <w:color w:val="131413"/>
                <w:sz w:val="18"/>
                <w:szCs w:val="18"/>
                <w:shd w:val="clear" w:color="auto" w:fill="FFFFFF"/>
              </w:rPr>
              <w:t>Si</w:t>
            </w:r>
          </w:p>
        </w:tc>
        <w:tc>
          <w:tcPr>
            <w:tcW w:w="709" w:type="dxa"/>
            <w:vAlign w:val="center"/>
          </w:tcPr>
          <w:p w14:paraId="754757D6" w14:textId="6E3325EB" w:rsidR="00261CC1" w:rsidRPr="00261CC1" w:rsidRDefault="00261CC1" w:rsidP="00261CC1">
            <w:pPr>
              <w:tabs>
                <w:tab w:val="left" w:pos="6219"/>
              </w:tabs>
              <w:jc w:val="center"/>
              <w:rPr>
                <w:color w:val="010205"/>
                <w:sz w:val="18"/>
                <w:szCs w:val="18"/>
              </w:rPr>
            </w:pPr>
            <w:r w:rsidRPr="00261CC1">
              <w:rPr>
                <w:color w:val="010205"/>
                <w:sz w:val="18"/>
                <w:szCs w:val="18"/>
              </w:rPr>
              <w:t>363</w:t>
            </w:r>
          </w:p>
        </w:tc>
        <w:tc>
          <w:tcPr>
            <w:tcW w:w="567" w:type="dxa"/>
            <w:vAlign w:val="center"/>
          </w:tcPr>
          <w:p w14:paraId="4D01AC6B" w14:textId="3B429A90" w:rsidR="00261CC1" w:rsidRPr="00261CC1" w:rsidRDefault="00261CC1" w:rsidP="00261CC1">
            <w:pPr>
              <w:tabs>
                <w:tab w:val="left" w:pos="6219"/>
              </w:tabs>
              <w:jc w:val="center"/>
              <w:rPr>
                <w:color w:val="010205"/>
                <w:sz w:val="18"/>
                <w:szCs w:val="18"/>
              </w:rPr>
            </w:pPr>
            <w:r w:rsidRPr="00261CC1">
              <w:rPr>
                <w:color w:val="010205"/>
                <w:sz w:val="18"/>
                <w:szCs w:val="18"/>
              </w:rPr>
              <w:t>51.1</w:t>
            </w:r>
          </w:p>
        </w:tc>
        <w:tc>
          <w:tcPr>
            <w:tcW w:w="2126" w:type="dxa"/>
            <w:vAlign w:val="center"/>
          </w:tcPr>
          <w:p w14:paraId="5440727E" w14:textId="475B174B" w:rsidR="00261CC1" w:rsidRPr="00261CC1" w:rsidRDefault="00261CC1" w:rsidP="00261CC1">
            <w:pPr>
              <w:tabs>
                <w:tab w:val="left" w:pos="6219"/>
              </w:tabs>
              <w:jc w:val="right"/>
              <w:rPr>
                <w:color w:val="131413"/>
                <w:sz w:val="18"/>
                <w:szCs w:val="18"/>
                <w:shd w:val="clear" w:color="auto" w:fill="FFFFFF"/>
              </w:rPr>
            </w:pPr>
          </w:p>
        </w:tc>
        <w:tc>
          <w:tcPr>
            <w:tcW w:w="709" w:type="dxa"/>
            <w:vAlign w:val="center"/>
          </w:tcPr>
          <w:p w14:paraId="47751BA6" w14:textId="05952FE5" w:rsidR="00261CC1" w:rsidRPr="00261CC1" w:rsidRDefault="00261CC1" w:rsidP="00261CC1">
            <w:pPr>
              <w:tabs>
                <w:tab w:val="left" w:pos="6219"/>
              </w:tabs>
              <w:jc w:val="center"/>
              <w:rPr>
                <w:color w:val="010205"/>
                <w:sz w:val="18"/>
                <w:szCs w:val="18"/>
              </w:rPr>
            </w:pPr>
          </w:p>
        </w:tc>
        <w:tc>
          <w:tcPr>
            <w:tcW w:w="567" w:type="dxa"/>
            <w:vAlign w:val="center"/>
          </w:tcPr>
          <w:p w14:paraId="72B27AE8" w14:textId="483A7487" w:rsidR="00261CC1" w:rsidRPr="00261CC1" w:rsidRDefault="00261CC1" w:rsidP="00261CC1">
            <w:pPr>
              <w:tabs>
                <w:tab w:val="left" w:pos="6219"/>
              </w:tabs>
              <w:jc w:val="center"/>
              <w:rPr>
                <w:color w:val="010205"/>
                <w:sz w:val="18"/>
                <w:szCs w:val="18"/>
              </w:rPr>
            </w:pPr>
          </w:p>
        </w:tc>
      </w:tr>
      <w:tr w:rsidR="00261CC1" w:rsidRPr="0047243D" w14:paraId="582C3A6B" w14:textId="77777777" w:rsidTr="00261CC1">
        <w:tc>
          <w:tcPr>
            <w:tcW w:w="1985" w:type="dxa"/>
            <w:tcBorders>
              <w:bottom w:val="single" w:sz="4" w:space="0" w:color="auto"/>
            </w:tcBorders>
            <w:vAlign w:val="center"/>
          </w:tcPr>
          <w:p w14:paraId="669AF4B2" w14:textId="77777777" w:rsidR="00261CC1" w:rsidRPr="00261CC1" w:rsidRDefault="00261CC1" w:rsidP="00261CC1">
            <w:pPr>
              <w:tabs>
                <w:tab w:val="left" w:pos="6219"/>
              </w:tabs>
              <w:jc w:val="right"/>
              <w:rPr>
                <w:color w:val="131413"/>
                <w:sz w:val="18"/>
                <w:szCs w:val="18"/>
                <w:shd w:val="clear" w:color="auto" w:fill="FFFFFF"/>
              </w:rPr>
            </w:pPr>
          </w:p>
        </w:tc>
        <w:tc>
          <w:tcPr>
            <w:tcW w:w="710" w:type="dxa"/>
            <w:tcBorders>
              <w:bottom w:val="single" w:sz="4" w:space="0" w:color="auto"/>
            </w:tcBorders>
            <w:vAlign w:val="center"/>
          </w:tcPr>
          <w:p w14:paraId="61AA4ACC" w14:textId="77777777" w:rsidR="00261CC1" w:rsidRPr="00261CC1" w:rsidRDefault="00261CC1" w:rsidP="00261CC1">
            <w:pPr>
              <w:tabs>
                <w:tab w:val="left" w:pos="6219"/>
              </w:tabs>
              <w:jc w:val="center"/>
              <w:rPr>
                <w:color w:val="131413"/>
                <w:sz w:val="18"/>
                <w:szCs w:val="18"/>
                <w:shd w:val="clear" w:color="auto" w:fill="FFFFFF"/>
              </w:rPr>
            </w:pPr>
          </w:p>
        </w:tc>
        <w:tc>
          <w:tcPr>
            <w:tcW w:w="566" w:type="dxa"/>
            <w:tcBorders>
              <w:bottom w:val="single" w:sz="4" w:space="0" w:color="auto"/>
            </w:tcBorders>
            <w:vAlign w:val="center"/>
          </w:tcPr>
          <w:p w14:paraId="5D0450CB" w14:textId="77777777" w:rsidR="00261CC1" w:rsidRPr="00261CC1" w:rsidRDefault="00261CC1" w:rsidP="00261CC1">
            <w:pPr>
              <w:tabs>
                <w:tab w:val="left" w:pos="6219"/>
              </w:tabs>
              <w:jc w:val="center"/>
              <w:rPr>
                <w:color w:val="131413"/>
                <w:sz w:val="18"/>
                <w:szCs w:val="18"/>
                <w:shd w:val="clear" w:color="auto" w:fill="FFFFFF"/>
              </w:rPr>
            </w:pPr>
          </w:p>
        </w:tc>
        <w:tc>
          <w:tcPr>
            <w:tcW w:w="1843" w:type="dxa"/>
            <w:tcBorders>
              <w:bottom w:val="single" w:sz="4" w:space="0" w:color="auto"/>
            </w:tcBorders>
            <w:vAlign w:val="center"/>
          </w:tcPr>
          <w:p w14:paraId="099C700A" w14:textId="05305943" w:rsidR="00261CC1" w:rsidRPr="00261CC1" w:rsidRDefault="00261CC1" w:rsidP="00261CC1">
            <w:pPr>
              <w:tabs>
                <w:tab w:val="left" w:pos="6219"/>
              </w:tabs>
              <w:jc w:val="right"/>
              <w:rPr>
                <w:color w:val="131413"/>
                <w:sz w:val="18"/>
                <w:szCs w:val="18"/>
                <w:shd w:val="clear" w:color="auto" w:fill="FFFFFF"/>
              </w:rPr>
            </w:pPr>
            <w:r w:rsidRPr="00261CC1">
              <w:rPr>
                <w:color w:val="131413"/>
                <w:sz w:val="18"/>
                <w:szCs w:val="18"/>
                <w:shd w:val="clear" w:color="auto" w:fill="FFFFFF"/>
              </w:rPr>
              <w:t>No</w:t>
            </w:r>
          </w:p>
        </w:tc>
        <w:tc>
          <w:tcPr>
            <w:tcW w:w="709" w:type="dxa"/>
            <w:tcBorders>
              <w:bottom w:val="single" w:sz="4" w:space="0" w:color="auto"/>
            </w:tcBorders>
            <w:vAlign w:val="center"/>
          </w:tcPr>
          <w:p w14:paraId="5182DF83" w14:textId="2ADD15BD" w:rsidR="00261CC1" w:rsidRPr="00261CC1" w:rsidRDefault="00261CC1" w:rsidP="00261CC1">
            <w:pPr>
              <w:tabs>
                <w:tab w:val="left" w:pos="6219"/>
              </w:tabs>
              <w:jc w:val="center"/>
              <w:rPr>
                <w:color w:val="010205"/>
                <w:sz w:val="18"/>
                <w:szCs w:val="18"/>
              </w:rPr>
            </w:pPr>
            <w:r w:rsidRPr="00261CC1">
              <w:rPr>
                <w:color w:val="010205"/>
                <w:sz w:val="18"/>
                <w:szCs w:val="18"/>
              </w:rPr>
              <w:t>348</w:t>
            </w:r>
          </w:p>
        </w:tc>
        <w:tc>
          <w:tcPr>
            <w:tcW w:w="567" w:type="dxa"/>
            <w:tcBorders>
              <w:bottom w:val="single" w:sz="4" w:space="0" w:color="auto"/>
            </w:tcBorders>
            <w:vAlign w:val="center"/>
          </w:tcPr>
          <w:p w14:paraId="24C5810E" w14:textId="7E97C88D" w:rsidR="00261CC1" w:rsidRPr="00261CC1" w:rsidRDefault="00261CC1" w:rsidP="00261CC1">
            <w:pPr>
              <w:tabs>
                <w:tab w:val="left" w:pos="6219"/>
              </w:tabs>
              <w:jc w:val="center"/>
              <w:rPr>
                <w:color w:val="010205"/>
                <w:sz w:val="18"/>
                <w:szCs w:val="18"/>
              </w:rPr>
            </w:pPr>
            <w:r w:rsidRPr="00261CC1">
              <w:rPr>
                <w:color w:val="010205"/>
                <w:sz w:val="18"/>
                <w:szCs w:val="18"/>
              </w:rPr>
              <w:t>48.9</w:t>
            </w:r>
          </w:p>
        </w:tc>
        <w:tc>
          <w:tcPr>
            <w:tcW w:w="2126" w:type="dxa"/>
            <w:tcBorders>
              <w:bottom w:val="single" w:sz="4" w:space="0" w:color="auto"/>
            </w:tcBorders>
            <w:vAlign w:val="center"/>
          </w:tcPr>
          <w:p w14:paraId="47F4AF1B" w14:textId="77777777" w:rsidR="00261CC1" w:rsidRPr="00261CC1" w:rsidRDefault="00261CC1" w:rsidP="00261CC1">
            <w:pPr>
              <w:tabs>
                <w:tab w:val="left" w:pos="6219"/>
              </w:tabs>
              <w:jc w:val="right"/>
              <w:rPr>
                <w:color w:val="131413"/>
                <w:sz w:val="18"/>
                <w:szCs w:val="18"/>
                <w:shd w:val="clear" w:color="auto" w:fill="FFFFFF"/>
              </w:rPr>
            </w:pPr>
          </w:p>
        </w:tc>
        <w:tc>
          <w:tcPr>
            <w:tcW w:w="709" w:type="dxa"/>
            <w:tcBorders>
              <w:bottom w:val="single" w:sz="4" w:space="0" w:color="auto"/>
            </w:tcBorders>
            <w:vAlign w:val="center"/>
          </w:tcPr>
          <w:p w14:paraId="10EE816B" w14:textId="77777777" w:rsidR="00261CC1" w:rsidRPr="00261CC1" w:rsidRDefault="00261CC1" w:rsidP="00261CC1">
            <w:pPr>
              <w:tabs>
                <w:tab w:val="left" w:pos="6219"/>
              </w:tabs>
              <w:jc w:val="center"/>
              <w:rPr>
                <w:color w:val="010205"/>
                <w:sz w:val="18"/>
                <w:szCs w:val="18"/>
              </w:rPr>
            </w:pPr>
          </w:p>
        </w:tc>
        <w:tc>
          <w:tcPr>
            <w:tcW w:w="567" w:type="dxa"/>
            <w:tcBorders>
              <w:bottom w:val="single" w:sz="4" w:space="0" w:color="auto"/>
            </w:tcBorders>
            <w:vAlign w:val="center"/>
          </w:tcPr>
          <w:p w14:paraId="28E79AD9" w14:textId="77777777" w:rsidR="00261CC1" w:rsidRPr="00261CC1" w:rsidRDefault="00261CC1" w:rsidP="00261CC1">
            <w:pPr>
              <w:tabs>
                <w:tab w:val="left" w:pos="6219"/>
              </w:tabs>
              <w:jc w:val="center"/>
              <w:rPr>
                <w:color w:val="010205"/>
                <w:sz w:val="18"/>
                <w:szCs w:val="18"/>
              </w:rPr>
            </w:pPr>
          </w:p>
        </w:tc>
      </w:tr>
    </w:tbl>
    <w:p w14:paraId="660997BD" w14:textId="77777777" w:rsidR="00261CC1" w:rsidRPr="00261CC1" w:rsidRDefault="00261CC1" w:rsidP="00261CC1">
      <w:pPr>
        <w:tabs>
          <w:tab w:val="left" w:pos="6219"/>
        </w:tabs>
        <w:autoSpaceDE w:val="0"/>
        <w:autoSpaceDN w:val="0"/>
        <w:mirrorIndents/>
        <w:jc w:val="both"/>
        <w:rPr>
          <w:rFonts w:eastAsia="Calibri" w:cs="Calibri"/>
          <w:color w:val="000000"/>
          <w:sz w:val="18"/>
          <w:szCs w:val="18"/>
          <w:u w:color="000000"/>
          <w:bdr w:val="nil"/>
          <w:lang w:val="en-US"/>
          <w14:textOutline w14:w="0" w14:cap="flat" w14:cmpd="sng" w14:algn="ctr">
            <w14:noFill/>
            <w14:prstDash w14:val="solid"/>
            <w14:bevel/>
          </w14:textOutline>
        </w:rPr>
      </w:pPr>
      <w:proofErr w:type="spellStart"/>
      <w:r w:rsidRPr="00261CC1">
        <w:rPr>
          <w:rFonts w:eastAsia="Calibri" w:cs="Calibri"/>
          <w:color w:val="000000"/>
          <w:sz w:val="18"/>
          <w:szCs w:val="18"/>
          <w:u w:color="000000"/>
          <w:bdr w:val="nil"/>
          <w:lang w:val="en-US"/>
          <w14:textOutline w14:w="0" w14:cap="flat" w14:cmpd="sng" w14:algn="ctr">
            <w14:noFill/>
            <w14:prstDash w14:val="solid"/>
            <w14:bevel/>
          </w14:textOutline>
        </w:rPr>
        <w:t>Nota</w:t>
      </w:r>
      <w:proofErr w:type="spellEnd"/>
      <w:r w:rsidRPr="00261CC1">
        <w:rPr>
          <w:rFonts w:eastAsia="Calibri" w:cs="Calibri"/>
          <w:color w:val="000000"/>
          <w:sz w:val="18"/>
          <w:szCs w:val="18"/>
          <w:u w:color="000000"/>
          <w:bdr w:val="nil"/>
          <w:lang w:val="en-US"/>
          <w14:textOutline w14:w="0" w14:cap="flat" w14:cmpd="sng" w14:algn="ctr">
            <w14:noFill/>
            <w14:prstDash w14:val="solid"/>
            <w14:bevel/>
          </w14:textOutline>
        </w:rPr>
        <w:t>:</w:t>
      </w:r>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(I)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Satisfactorio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y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ahorro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satisfactoriamente</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todas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las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la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familia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y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permitió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ahorrar</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(II)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Satisfactorio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no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ahorro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satisfactoriamente</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todas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las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la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familia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pero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no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permitió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ahorrar</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(III)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Parcial</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para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parcialmente</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todas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las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la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familia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(IV) No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/No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las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la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familia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
    <w:p w14:paraId="586C6706" w14:textId="77777777" w:rsidR="00261CC1" w:rsidRDefault="00261CC1" w:rsidP="00261CC1">
      <w:pPr>
        <w:pStyle w:val="SubtituloInterno"/>
        <w:rPr>
          <w:lang w:val="es-AR"/>
        </w:rPr>
      </w:pPr>
      <w:r w:rsidRPr="00261CC1">
        <w:rPr>
          <w:lang w:val="es-AR"/>
        </w:rPr>
        <w:t>Selección y tamaño de la muestra</w:t>
      </w:r>
    </w:p>
    <w:p w14:paraId="1023DB4C" w14:textId="40DC7FE0" w:rsidR="00FE5023" w:rsidRPr="00261CC1" w:rsidRDefault="00FE5023" w:rsidP="00FE5023">
      <w:pPr>
        <w:pStyle w:val="Prrafocomn"/>
        <w:rPr>
          <w:lang w:val="es-AR" w:eastAsia="en-US"/>
        </w:rPr>
      </w:pPr>
      <w:r w:rsidRPr="00FE5023">
        <w:rPr>
          <w:lang w:val="es-AR" w:eastAsia="en-US"/>
        </w:rPr>
        <w:t xml:space="preserve">Muestreo no probabilístico, intencionado y por cuota (Campbell et al., 2020) </w:t>
      </w:r>
      <w:r w:rsidRPr="00FE5023">
        <w:rPr>
          <w:lang w:val="es-ES" w:eastAsia="en-US"/>
        </w:rPr>
        <w:t>debido</w:t>
      </w:r>
      <w:r w:rsidRPr="00FE5023">
        <w:rPr>
          <w:lang w:val="es-AR" w:eastAsia="en-US"/>
        </w:rPr>
        <w:t xml:space="preserve"> a que solo respondieron quienes recibieron la convocatoria para participar en el estudio a través de redes sociales. La cuota de participantes se determinó a través del cálculo sugerido por </w:t>
      </w:r>
      <w:proofErr w:type="spellStart"/>
      <w:r w:rsidRPr="00FE5023">
        <w:rPr>
          <w:lang w:val="es-AR" w:eastAsia="en-US"/>
        </w:rPr>
        <w:t>Soper</w:t>
      </w:r>
      <w:proofErr w:type="spellEnd"/>
      <w:r w:rsidRPr="00FE5023">
        <w:rPr>
          <w:lang w:val="es-AR" w:eastAsia="en-US"/>
        </w:rPr>
        <w:t xml:space="preserve"> (2021) y de acuerdo con el número de variables latentes y observables de la </w:t>
      </w:r>
      <w:proofErr w:type="spellStart"/>
      <w:r w:rsidRPr="00FE5023">
        <w:rPr>
          <w:i/>
          <w:iCs/>
          <w:lang w:val="es-AR" w:eastAsia="en-US"/>
        </w:rPr>
        <w:t>Orientations</w:t>
      </w:r>
      <w:proofErr w:type="spellEnd"/>
      <w:r w:rsidRPr="00FE5023">
        <w:rPr>
          <w:i/>
          <w:iCs/>
          <w:lang w:val="es-AR" w:eastAsia="en-US"/>
        </w:rPr>
        <w:t xml:space="preserve"> </w:t>
      </w:r>
      <w:proofErr w:type="spellStart"/>
      <w:r w:rsidRPr="00FE5023">
        <w:rPr>
          <w:i/>
          <w:iCs/>
          <w:lang w:val="es-AR" w:eastAsia="en-US"/>
        </w:rPr>
        <w:t>to</w:t>
      </w:r>
      <w:proofErr w:type="spellEnd"/>
      <w:r w:rsidRPr="00FE5023">
        <w:rPr>
          <w:i/>
          <w:iCs/>
          <w:lang w:val="es-AR" w:eastAsia="en-US"/>
        </w:rPr>
        <w:t xml:space="preserve"> </w:t>
      </w:r>
      <w:proofErr w:type="spellStart"/>
      <w:r w:rsidRPr="00FE5023">
        <w:rPr>
          <w:i/>
          <w:iCs/>
          <w:lang w:val="es-AR" w:eastAsia="en-US"/>
        </w:rPr>
        <w:t>Happiness</w:t>
      </w:r>
      <w:proofErr w:type="spellEnd"/>
      <w:r w:rsidRPr="00FE5023">
        <w:rPr>
          <w:i/>
          <w:iCs/>
          <w:lang w:val="es-AR" w:eastAsia="en-US"/>
        </w:rPr>
        <w:t xml:space="preserve"> </w:t>
      </w:r>
      <w:proofErr w:type="spellStart"/>
      <w:r w:rsidRPr="00FE5023">
        <w:rPr>
          <w:i/>
          <w:iCs/>
          <w:lang w:val="es-AR" w:eastAsia="en-US"/>
        </w:rPr>
        <w:t>Scale</w:t>
      </w:r>
      <w:proofErr w:type="spellEnd"/>
      <w:r w:rsidRPr="00FE5023">
        <w:rPr>
          <w:lang w:val="es-AR" w:eastAsia="en-US"/>
        </w:rPr>
        <w:t xml:space="preserve"> (Peterson et al., 2005). Así, los parámetros para el cálculo del tamaño muestral fueron los siguientes: a) tamaño del efecto = 0.2 [pequeño]; b) 1-</w:t>
      </w:r>
      <w:r w:rsidRPr="00FE5023">
        <w:rPr>
          <w:i/>
          <w:iCs/>
          <w:lang w:val="es-AR" w:eastAsia="en-US"/>
        </w:rPr>
        <w:t>β</w:t>
      </w:r>
      <w:r w:rsidRPr="00FE5023">
        <w:rPr>
          <w:lang w:val="es-AR" w:eastAsia="en-US"/>
        </w:rPr>
        <w:t xml:space="preserve"> = 0.95; c) </w:t>
      </w:r>
      <w:r w:rsidRPr="00FE5023">
        <w:rPr>
          <w:i/>
          <w:iCs/>
          <w:lang w:val="es-AR" w:eastAsia="en-US"/>
        </w:rPr>
        <w:t>α</w:t>
      </w:r>
      <w:r w:rsidRPr="00FE5023">
        <w:rPr>
          <w:lang w:val="es-AR" w:eastAsia="en-US"/>
        </w:rPr>
        <w:t xml:space="preserve"> = 0.01; d) número de variables latentes = 3; y e) número de variables observadas = 18; se obtuvo un tamaño muestral sugerido de 593 participantes. Se buscó superar este valor sugerido, anticipándose a que algunos participantes pudieran no cumplir con los criterios de inclusión a la muestra. Estos criterios fueron ser mayor de 18 años, de nacionalidad mexicana y haber contestado todos los reactivos de la escala. Por otro lado, los criterios de exclusión fueron, no haber aceptado el consentimiento informado y contestar erróneamente el reactivo del CAPTCHA (</w:t>
      </w:r>
      <w:proofErr w:type="spellStart"/>
      <w:r w:rsidRPr="00FE5023">
        <w:rPr>
          <w:i/>
          <w:iCs/>
          <w:lang w:val="es-AR" w:eastAsia="en-US"/>
        </w:rPr>
        <w:t>Completely</w:t>
      </w:r>
      <w:proofErr w:type="spellEnd"/>
      <w:r w:rsidRPr="00FE5023">
        <w:rPr>
          <w:i/>
          <w:iCs/>
          <w:lang w:val="es-AR" w:eastAsia="en-US"/>
        </w:rPr>
        <w:t xml:space="preserve"> </w:t>
      </w:r>
      <w:proofErr w:type="spellStart"/>
      <w:r w:rsidRPr="00FE5023">
        <w:rPr>
          <w:i/>
          <w:iCs/>
          <w:lang w:val="es-AR" w:eastAsia="en-US"/>
        </w:rPr>
        <w:t>Automated</w:t>
      </w:r>
      <w:proofErr w:type="spellEnd"/>
      <w:r w:rsidRPr="00FE5023">
        <w:rPr>
          <w:i/>
          <w:iCs/>
          <w:lang w:val="es-AR" w:eastAsia="en-US"/>
        </w:rPr>
        <w:t xml:space="preserve"> </w:t>
      </w:r>
      <w:proofErr w:type="spellStart"/>
      <w:r w:rsidRPr="00FE5023">
        <w:rPr>
          <w:i/>
          <w:iCs/>
          <w:lang w:val="es-AR" w:eastAsia="en-US"/>
        </w:rPr>
        <w:t>Public</w:t>
      </w:r>
      <w:proofErr w:type="spellEnd"/>
      <w:r w:rsidRPr="00FE5023">
        <w:rPr>
          <w:i/>
          <w:iCs/>
          <w:lang w:val="es-AR" w:eastAsia="en-US"/>
        </w:rPr>
        <w:t xml:space="preserve"> Turing test </w:t>
      </w:r>
      <w:proofErr w:type="spellStart"/>
      <w:r w:rsidRPr="00FE5023">
        <w:rPr>
          <w:i/>
          <w:iCs/>
          <w:lang w:val="es-AR" w:eastAsia="en-US"/>
        </w:rPr>
        <w:t>to</w:t>
      </w:r>
      <w:proofErr w:type="spellEnd"/>
      <w:r w:rsidRPr="00FE5023">
        <w:rPr>
          <w:i/>
          <w:iCs/>
          <w:lang w:val="es-AR" w:eastAsia="en-US"/>
        </w:rPr>
        <w:t xml:space="preserve"> </w:t>
      </w:r>
      <w:proofErr w:type="spellStart"/>
      <w:r w:rsidRPr="00FE5023">
        <w:rPr>
          <w:i/>
          <w:iCs/>
          <w:lang w:val="es-AR" w:eastAsia="en-US"/>
        </w:rPr>
        <w:t>tell</w:t>
      </w:r>
      <w:proofErr w:type="spellEnd"/>
      <w:r w:rsidRPr="00FE5023">
        <w:rPr>
          <w:i/>
          <w:iCs/>
          <w:lang w:val="es-AR" w:eastAsia="en-US"/>
        </w:rPr>
        <w:t xml:space="preserve"> </w:t>
      </w:r>
      <w:proofErr w:type="spellStart"/>
      <w:r w:rsidRPr="00FE5023">
        <w:rPr>
          <w:i/>
          <w:iCs/>
          <w:lang w:val="es-AR" w:eastAsia="en-US"/>
        </w:rPr>
        <w:t>Computers</w:t>
      </w:r>
      <w:proofErr w:type="spellEnd"/>
      <w:r w:rsidRPr="00FE5023">
        <w:rPr>
          <w:i/>
          <w:iCs/>
          <w:lang w:val="es-AR" w:eastAsia="en-US"/>
        </w:rPr>
        <w:t xml:space="preserve"> and </w:t>
      </w:r>
      <w:proofErr w:type="spellStart"/>
      <w:r w:rsidRPr="00FE5023">
        <w:rPr>
          <w:i/>
          <w:iCs/>
          <w:lang w:val="es-AR" w:eastAsia="en-US"/>
        </w:rPr>
        <w:t>Humans</w:t>
      </w:r>
      <w:proofErr w:type="spellEnd"/>
      <w:r w:rsidRPr="00FE5023">
        <w:rPr>
          <w:i/>
          <w:iCs/>
          <w:lang w:val="es-AR" w:eastAsia="en-US"/>
        </w:rPr>
        <w:t xml:space="preserve"> </w:t>
      </w:r>
      <w:proofErr w:type="spellStart"/>
      <w:r w:rsidRPr="00FE5023">
        <w:rPr>
          <w:i/>
          <w:iCs/>
          <w:lang w:val="es-AR" w:eastAsia="en-US"/>
        </w:rPr>
        <w:t>Apart</w:t>
      </w:r>
      <w:proofErr w:type="spellEnd"/>
      <w:r w:rsidRPr="00FE5023">
        <w:rPr>
          <w:lang w:val="es-AR" w:eastAsia="en-US"/>
        </w:rPr>
        <w:t xml:space="preserve">) para así descartar cualquier </w:t>
      </w:r>
      <w:proofErr w:type="spellStart"/>
      <w:r w:rsidR="0078058C">
        <w:rPr>
          <w:i/>
          <w:iCs/>
          <w:lang w:val="es-AR" w:eastAsia="en-US"/>
        </w:rPr>
        <w:t>b</w:t>
      </w:r>
      <w:r w:rsidRPr="00FE5023">
        <w:rPr>
          <w:i/>
          <w:iCs/>
          <w:lang w:val="es-AR" w:eastAsia="en-US"/>
        </w:rPr>
        <w:t>ot</w:t>
      </w:r>
      <w:proofErr w:type="spellEnd"/>
      <w:r w:rsidRPr="00FE5023">
        <w:rPr>
          <w:lang w:val="es-AR" w:eastAsia="en-US"/>
        </w:rPr>
        <w:t xml:space="preserve"> que pudiera llenar aleatoriamente la encuesta.</w:t>
      </w:r>
    </w:p>
    <w:p w14:paraId="171B364F" w14:textId="3A85A102" w:rsidR="00E16F45" w:rsidRDefault="00FE5023" w:rsidP="00E16F45">
      <w:pPr>
        <w:pStyle w:val="SubtituloInterno"/>
      </w:pPr>
      <w:proofErr w:type="spellStart"/>
      <w:r>
        <w:t>Instrumento</w:t>
      </w:r>
      <w:proofErr w:type="spellEnd"/>
    </w:p>
    <w:p w14:paraId="6DC40DD0" w14:textId="54DF3ADC" w:rsidR="00FE5023" w:rsidRPr="00FE5023" w:rsidRDefault="00FE5023" w:rsidP="00FE5023">
      <w:pPr>
        <w:pStyle w:val="Prrafocomn"/>
        <w:rPr>
          <w:lang w:val="es-AR" w:eastAsia="en-US"/>
        </w:rPr>
      </w:pPr>
      <w:proofErr w:type="spellStart"/>
      <w:r w:rsidRPr="00FE5023">
        <w:rPr>
          <w:i/>
          <w:iCs/>
          <w:lang w:val="es-AR" w:eastAsia="en-US"/>
        </w:rPr>
        <w:t>Orientations</w:t>
      </w:r>
      <w:proofErr w:type="spellEnd"/>
      <w:r w:rsidRPr="00FE5023">
        <w:rPr>
          <w:i/>
          <w:iCs/>
          <w:lang w:val="es-AR" w:eastAsia="en-US"/>
        </w:rPr>
        <w:t xml:space="preserve"> </w:t>
      </w:r>
      <w:proofErr w:type="spellStart"/>
      <w:r w:rsidRPr="00FE5023">
        <w:rPr>
          <w:i/>
          <w:iCs/>
          <w:lang w:val="es-AR" w:eastAsia="en-US"/>
        </w:rPr>
        <w:t>to</w:t>
      </w:r>
      <w:proofErr w:type="spellEnd"/>
      <w:r w:rsidRPr="00FE5023">
        <w:rPr>
          <w:i/>
          <w:iCs/>
          <w:lang w:val="es-AR" w:eastAsia="en-US"/>
        </w:rPr>
        <w:t xml:space="preserve"> </w:t>
      </w:r>
      <w:proofErr w:type="spellStart"/>
      <w:r w:rsidRPr="00FE5023">
        <w:rPr>
          <w:i/>
          <w:iCs/>
          <w:lang w:val="es-AR" w:eastAsia="en-US"/>
        </w:rPr>
        <w:t>Happiness</w:t>
      </w:r>
      <w:proofErr w:type="spellEnd"/>
      <w:r w:rsidRPr="00FE5023">
        <w:rPr>
          <w:i/>
          <w:iCs/>
          <w:lang w:val="es-AR" w:eastAsia="en-US"/>
        </w:rPr>
        <w:t xml:space="preserve"> </w:t>
      </w:r>
      <w:proofErr w:type="spellStart"/>
      <w:r w:rsidRPr="00FE5023">
        <w:rPr>
          <w:i/>
          <w:iCs/>
          <w:lang w:val="es-AR" w:eastAsia="en-US"/>
        </w:rPr>
        <w:t>Scale</w:t>
      </w:r>
      <w:proofErr w:type="spellEnd"/>
      <w:r w:rsidRPr="00FE5023">
        <w:rPr>
          <w:lang w:val="es-AR" w:eastAsia="en-US"/>
        </w:rPr>
        <w:t xml:space="preserve"> (Peterson et al., 2005) en su versión traducida-retraducida al </w:t>
      </w:r>
      <w:r w:rsidR="0078058C">
        <w:rPr>
          <w:lang w:val="es-AR" w:eastAsia="en-US"/>
        </w:rPr>
        <w:t>e</w:t>
      </w:r>
      <w:r w:rsidRPr="00FE5023">
        <w:rPr>
          <w:lang w:val="es-AR" w:eastAsia="en-US"/>
        </w:rPr>
        <w:t>spañol; descrito en el Estudio 1.</w:t>
      </w:r>
    </w:p>
    <w:p w14:paraId="1C929993" w14:textId="62D6D090" w:rsidR="00E16F45" w:rsidRDefault="00FE5023" w:rsidP="00E16F45">
      <w:pPr>
        <w:pStyle w:val="SubtituloInterno"/>
      </w:pPr>
      <w:proofErr w:type="spellStart"/>
      <w:r>
        <w:t>Procedimiento</w:t>
      </w:r>
      <w:proofErr w:type="spellEnd"/>
    </w:p>
    <w:p w14:paraId="2EC55C40" w14:textId="77777777" w:rsidR="00FE5023" w:rsidRPr="00FE5023" w:rsidRDefault="00FE5023" w:rsidP="00FE5023">
      <w:pPr>
        <w:pStyle w:val="Prrafocomn"/>
        <w:rPr>
          <w:lang w:val="es-AR" w:eastAsia="en-US"/>
        </w:rPr>
      </w:pPr>
      <w:r w:rsidRPr="00FE5023">
        <w:rPr>
          <w:lang w:val="es-AR" w:eastAsia="en-US"/>
        </w:rPr>
        <w:t xml:space="preserve">Se diseñó una versión digital de la escala y fue cargada en la plataforma </w:t>
      </w:r>
      <w:r w:rsidRPr="00FE5023">
        <w:rPr>
          <w:i/>
          <w:iCs/>
          <w:lang w:val="es-AR" w:eastAsia="en-US"/>
        </w:rPr>
        <w:t>SurveyMonkey</w:t>
      </w:r>
      <w:r w:rsidRPr="00FE5023">
        <w:rPr>
          <w:lang w:val="es-AR" w:eastAsia="en-US"/>
        </w:rPr>
        <w:t xml:space="preserve">. Se compartió electrónicamente a través de un enlace en las redes sociales. En la primera página de la encuesta en línea se hacía explícita la participación voluntaria, la condición de  confidencialidad, anonimato y el uso de los datos con fines estadísticos y de investigación. En la segunda página se incluyó un CAPTCHA, la sección para recopilar información demográfica y luego se presentaron </w:t>
      </w:r>
      <w:r w:rsidRPr="00FE5023">
        <w:rPr>
          <w:lang w:val="es-AR" w:eastAsia="en-US"/>
        </w:rPr>
        <w:lastRenderedPageBreak/>
        <w:t>los ítems de la escala. En promedio, los participantes tardaron 25 minutos en responder las preguntas. Finalmente, se procedió con el análisis de los datos recolectados.</w:t>
      </w:r>
    </w:p>
    <w:p w14:paraId="56E00FDD" w14:textId="77777777" w:rsidR="00E16F45" w:rsidRPr="005B24FF" w:rsidRDefault="00E16F45" w:rsidP="00E16F45">
      <w:pPr>
        <w:pStyle w:val="SubtituloInterno"/>
        <w:rPr>
          <w:lang w:val="es-AR"/>
        </w:rPr>
      </w:pPr>
      <w:r>
        <w:rPr>
          <w:lang w:val="es-AR"/>
        </w:rPr>
        <w:t>Análisis de los datos</w:t>
      </w:r>
    </w:p>
    <w:p w14:paraId="00AFE78C" w14:textId="017EC103" w:rsidR="00FE5023" w:rsidRPr="00FE5023" w:rsidRDefault="00FE5023" w:rsidP="00FE5023">
      <w:pPr>
        <w:pStyle w:val="Prrafocomn"/>
        <w:rPr>
          <w:lang w:val="es-AR"/>
        </w:rPr>
      </w:pPr>
      <w:r w:rsidRPr="00FE5023">
        <w:rPr>
          <w:lang w:val="es-AR"/>
        </w:rPr>
        <w:t>Análisis de frecuencia para las categorías de respuesta en cada reactivo, la proporción de datos concentradas en una sola opción de respuesta no debe exceder más del 50% de los casos. Estimación de los valores de asimetría y curtosis de los ítems, los cuales deben de encontrarse en un rango sugerido de ±1 para asumir una distribución cercana a la normal (Lloret-Segura et al., 2014). Cálculo del Índice de Homogeneidad corregida (</w:t>
      </w:r>
      <w:proofErr w:type="spellStart"/>
      <w:r w:rsidRPr="00FE5023">
        <w:rPr>
          <w:lang w:val="es-AR"/>
        </w:rPr>
        <w:t>IHc</w:t>
      </w:r>
      <w:proofErr w:type="spellEnd"/>
      <w:r w:rsidRPr="00FE5023">
        <w:rPr>
          <w:lang w:val="es-AR"/>
        </w:rPr>
        <w:t xml:space="preserve">) para identificar la contribución de cada uno de los reactivos a la OTHS; de acuerdo con </w:t>
      </w:r>
      <w:proofErr w:type="spellStart"/>
      <w:r w:rsidRPr="00FE5023">
        <w:rPr>
          <w:lang w:val="es-AR"/>
        </w:rPr>
        <w:t>Squires</w:t>
      </w:r>
      <w:proofErr w:type="spellEnd"/>
      <w:r w:rsidRPr="00FE5023">
        <w:rPr>
          <w:lang w:val="es-AR"/>
        </w:rPr>
        <w:t xml:space="preserve"> et al. (2011) se sugiere eliminar los ítems con valores &lt; </w:t>
      </w:r>
      <w:r>
        <w:rPr>
          <w:lang w:val="es-AR"/>
        </w:rPr>
        <w:t>0</w:t>
      </w:r>
      <w:r w:rsidRPr="00FE5023">
        <w:rPr>
          <w:lang w:val="es-AR"/>
        </w:rPr>
        <w:t xml:space="preserve">.30. Cómputo del Alfa de Cronbach global y si se elimina elemento con el propósito de suprimir reactivos que pudieran mejorar la consistencia interna de la escala. Posteriormente, se llevó a cabo un análisis discriminativo de los reactivos, para determinar si los ítems pueden diferenciar a las personas con diferentes puntajes en las orientaciones hacia la felicidad. Para ello, se obtuvo el puntaje total de la escala y se estimó primer (Q1) y último cuartil (Q4). A partir de estos valores, se crearon dos grupos (Q1 y Q4) que fueron comparados en todos los reactivos a través de una prueba t de </w:t>
      </w:r>
      <w:proofErr w:type="spellStart"/>
      <w:r w:rsidRPr="00FE5023">
        <w:rPr>
          <w:i/>
          <w:iCs/>
          <w:lang w:val="es-AR"/>
        </w:rPr>
        <w:t>Student</w:t>
      </w:r>
      <w:proofErr w:type="spellEnd"/>
      <w:r w:rsidRPr="00FE5023">
        <w:rPr>
          <w:lang w:val="es-AR"/>
        </w:rPr>
        <w:t xml:space="preserve"> para muestras independientes.</w:t>
      </w:r>
    </w:p>
    <w:p w14:paraId="77528E3E" w14:textId="06EADF6A" w:rsidR="00FE5023" w:rsidRPr="00FE5023" w:rsidRDefault="00FE5023" w:rsidP="00FE5023">
      <w:pPr>
        <w:pStyle w:val="Prrafocomn"/>
        <w:rPr>
          <w:lang w:val="es-AR"/>
        </w:rPr>
      </w:pPr>
      <w:r w:rsidRPr="00FE5023">
        <w:rPr>
          <w:lang w:val="es-AR"/>
        </w:rPr>
        <w:t xml:space="preserve">Los ítems que tuvieron diferencias estadísticamente significativas fueron incluidos en el AFE. Esta técnica fue calculada a través de los coeficientes de correlación de Pearson –y no de correlaciones </w:t>
      </w:r>
      <w:proofErr w:type="spellStart"/>
      <w:r w:rsidRPr="00FE5023">
        <w:rPr>
          <w:lang w:val="es-AR"/>
        </w:rPr>
        <w:t>policóricas</w:t>
      </w:r>
      <w:proofErr w:type="spellEnd"/>
      <w:r w:rsidRPr="00FE5023">
        <w:rPr>
          <w:lang w:val="es-AR"/>
        </w:rPr>
        <w:t xml:space="preserve">-, ya que los valores de asimetría y curtosis de los reactivos indicaron una distribución parecida a la normal (Lloret-Segura et al., 2014). Para replicar el análisis de datos de la escala, se optó por el mismo método - Componentes Principales con rotación </w:t>
      </w:r>
      <w:proofErr w:type="spellStart"/>
      <w:r w:rsidRPr="00FE5023">
        <w:rPr>
          <w:lang w:val="es-AR"/>
        </w:rPr>
        <w:t>Varimax</w:t>
      </w:r>
      <w:proofErr w:type="spellEnd"/>
      <w:r w:rsidRPr="00FE5023">
        <w:rPr>
          <w:lang w:val="es-AR"/>
        </w:rPr>
        <w:t xml:space="preserve">- utilizado por Peterson et al. (2005) cuando crearon </w:t>
      </w:r>
      <w:r>
        <w:rPr>
          <w:lang w:val="es-AR"/>
        </w:rPr>
        <w:t>el instrumento</w:t>
      </w:r>
      <w:r w:rsidRPr="00FE5023">
        <w:rPr>
          <w:lang w:val="es-AR"/>
        </w:rPr>
        <w:t>. También, se obtuvo el Coeficiente de adecuación muestral de Kaiser-Meyer-</w:t>
      </w:r>
      <w:proofErr w:type="spellStart"/>
      <w:r w:rsidRPr="00FE5023">
        <w:rPr>
          <w:lang w:val="es-AR"/>
        </w:rPr>
        <w:t>Olkin</w:t>
      </w:r>
      <w:proofErr w:type="spellEnd"/>
      <w:r w:rsidRPr="00FE5023">
        <w:rPr>
          <w:lang w:val="es-AR"/>
        </w:rPr>
        <w:t xml:space="preserve"> (KMO) y la Prueba de esfericidad de Bartlett, la cual contrasta la hipótesis de que la matriz de correlaciones es igual a la matriz de identidad.</w:t>
      </w:r>
    </w:p>
    <w:p w14:paraId="234E296F" w14:textId="3527DD0E" w:rsidR="00FE5023" w:rsidRDefault="00FE5023" w:rsidP="00FE5023">
      <w:pPr>
        <w:pStyle w:val="Prrafocomn"/>
        <w:rPr>
          <w:lang w:val="es-AR"/>
        </w:rPr>
      </w:pPr>
      <w:r w:rsidRPr="00FE5023">
        <w:rPr>
          <w:lang w:val="es-AR" w:eastAsia="es-ES_tradnl"/>
        </w:rPr>
        <w:t xml:space="preserve">Finalmente, por medio del AP, se determinó la congruencia entre el número de factores a retener y los sugeridos por el AFE. Los criterios de Lloret et al. (2014) proponen mantener los componentes comunes que presentan autovalores (media y percentil 95) mayores a los que se obtendrían en distribuciones generadas al azar. De los factores obtenidos en el AFE, se estimó la consistencia interna de la escala a través del Alfa de Cronbach. Asimismo, fue tomado en cuenta el indicador “Alfa si se elimina el elemento” para cada reactivo, éste no debe superar el alfa </w:t>
      </w:r>
      <w:r w:rsidRPr="00FE5023">
        <w:rPr>
          <w:lang w:val="es-AR" w:eastAsia="es-ES_tradnl"/>
        </w:rPr>
        <w:lastRenderedPageBreak/>
        <w:t xml:space="preserve">obtenido para la escala total. Como indicador adicional, se calculó el índice Omega de confiabilidad compuesta (McDonald, 1999). El análisis de datos fue desarrollado en SPSS v. 26, FACTOR y </w:t>
      </w:r>
      <w:proofErr w:type="spellStart"/>
      <w:r w:rsidRPr="00FE5023">
        <w:rPr>
          <w:lang w:val="es-AR" w:eastAsia="es-ES_tradnl"/>
        </w:rPr>
        <w:t>Jamovi</w:t>
      </w:r>
      <w:proofErr w:type="spellEnd"/>
      <w:r w:rsidRPr="00FE5023">
        <w:rPr>
          <w:lang w:val="es-AR" w:eastAsia="es-ES_tradnl"/>
        </w:rPr>
        <w:t>.</w:t>
      </w:r>
    </w:p>
    <w:p w14:paraId="4BE3FC42" w14:textId="77777777" w:rsidR="00E16F45" w:rsidRDefault="00E16F45" w:rsidP="00E16F45">
      <w:pPr>
        <w:pStyle w:val="Ttulosinternos"/>
        <w:rPr>
          <w:lang w:val="es-ES_tradnl"/>
        </w:rPr>
      </w:pPr>
      <w:r w:rsidRPr="005B24FF">
        <w:rPr>
          <w:lang w:val="es-ES_tradnl"/>
        </w:rPr>
        <w:t>Resultados</w:t>
      </w:r>
    </w:p>
    <w:p w14:paraId="0CC2193C" w14:textId="4BCEE7B8" w:rsidR="00FE5023" w:rsidRDefault="00FE5023" w:rsidP="00617156">
      <w:pPr>
        <w:pStyle w:val="Prrafocomn"/>
        <w:rPr>
          <w:lang w:val="es-AR"/>
        </w:rPr>
      </w:pPr>
      <w:r w:rsidRPr="00FE5023">
        <w:rPr>
          <w:lang w:val="es-AR"/>
        </w:rPr>
        <w:t xml:space="preserve">La Tabla 2 muestra que no existe </w:t>
      </w:r>
      <w:r w:rsidR="0078058C" w:rsidRPr="0078058C">
        <w:rPr>
          <w:lang w:val="es-AR"/>
        </w:rPr>
        <w:t>ningún</w:t>
      </w:r>
      <w:r w:rsidRPr="00FE5023">
        <w:rPr>
          <w:lang w:val="es-AR"/>
        </w:rPr>
        <w:t xml:space="preserve"> reactivo que haya acumulado, en alguna de sus opciones de </w:t>
      </w:r>
      <w:r w:rsidR="0078058C" w:rsidRPr="0078058C">
        <w:rPr>
          <w:lang w:val="es-AR"/>
        </w:rPr>
        <w:t>respuesta</w:t>
      </w:r>
      <w:r w:rsidRPr="00FE5023">
        <w:rPr>
          <w:lang w:val="es-AR"/>
        </w:rPr>
        <w:t>, más del 50% de los datos. Todos los reactivos presentan una distribución de respuesta, cercana a la normal, dado el rango de valores obtenidos en la asimetría [-1.01, 0.14] y curtosis [-0.89, 0.37] y que se encuentran dentro del criterio (±1) sugerido por Lloret-Segura et al. (2014). Al estimar el Alfa de Cronbach (</w:t>
      </w:r>
      <w:r w:rsidRPr="00FE5023">
        <w:rPr>
          <w:i/>
          <w:iCs/>
          <w:lang w:val="es-AR"/>
        </w:rPr>
        <w:t>α</w:t>
      </w:r>
      <w:r w:rsidRPr="00FE5023">
        <w:rPr>
          <w:lang w:val="es-AR"/>
        </w:rPr>
        <w:t>) de la escala, se obtuvo un valor de 0.86, que sirve como parámetro para valorar los estadísticos del α si se elimina elemento. Se observa en la Tabla 2 que la eliminación de ningún reactivo (</w:t>
      </w:r>
      <w:r w:rsidRPr="00FE5023">
        <w:rPr>
          <w:i/>
          <w:iCs/>
          <w:lang w:val="es-AR"/>
        </w:rPr>
        <w:t>α</w:t>
      </w:r>
      <w:r w:rsidRPr="00FE5023">
        <w:rPr>
          <w:lang w:val="es-AR"/>
        </w:rPr>
        <w:t xml:space="preserve">-EE) mejora el valor de la consistencia interna de la escala. Sin embargo, es posible observar que los reactivos 6 y 10 obtuvieron un puntaje en el </w:t>
      </w:r>
      <w:proofErr w:type="spellStart"/>
      <w:r w:rsidRPr="00FE5023">
        <w:rPr>
          <w:lang w:val="es-AR"/>
        </w:rPr>
        <w:t>IHc</w:t>
      </w:r>
      <w:proofErr w:type="spellEnd"/>
      <w:r w:rsidRPr="00FE5023">
        <w:rPr>
          <w:lang w:val="es-AR"/>
        </w:rPr>
        <w:t xml:space="preserve"> &lt; </w:t>
      </w:r>
      <w:r w:rsidR="00617156">
        <w:rPr>
          <w:lang w:val="es-AR"/>
        </w:rPr>
        <w:t>0</w:t>
      </w:r>
      <w:r w:rsidRPr="00FE5023">
        <w:rPr>
          <w:lang w:val="es-AR"/>
        </w:rPr>
        <w:t xml:space="preserve">.30, lo que indica, de acuerdo con lo sugerido por </w:t>
      </w:r>
      <w:proofErr w:type="spellStart"/>
      <w:r w:rsidRPr="00FE5023">
        <w:rPr>
          <w:lang w:val="es-AR"/>
        </w:rPr>
        <w:t>Squires</w:t>
      </w:r>
      <w:proofErr w:type="spellEnd"/>
      <w:r w:rsidRPr="00FE5023">
        <w:rPr>
          <w:lang w:val="es-AR"/>
        </w:rPr>
        <w:t xml:space="preserve"> et al. (2011), que estos reactivos tienen una correlación marginal con el resto de los ítems de la escala para medir el constructo. Dado este resultado en el </w:t>
      </w:r>
      <w:proofErr w:type="spellStart"/>
      <w:r w:rsidRPr="00FE5023">
        <w:rPr>
          <w:lang w:val="es-AR"/>
        </w:rPr>
        <w:t>IHc</w:t>
      </w:r>
      <w:proofErr w:type="spellEnd"/>
      <w:r w:rsidRPr="00FE5023">
        <w:rPr>
          <w:lang w:val="es-AR"/>
        </w:rPr>
        <w:t xml:space="preserve"> y que omitir estos dos reactivos no afecta el valor del Alfa de Cronbach global de la escala (</w:t>
      </w:r>
      <w:r w:rsidRPr="00FE5023">
        <w:rPr>
          <w:i/>
          <w:iCs/>
          <w:lang w:val="es-AR"/>
        </w:rPr>
        <w:t>α</w:t>
      </w:r>
      <w:r w:rsidRPr="00FE5023">
        <w:rPr>
          <w:lang w:val="es-AR"/>
        </w:rPr>
        <w:t>-EE), se eliminaron para el análisis discriminativo.</w:t>
      </w:r>
    </w:p>
    <w:p w14:paraId="6A516202" w14:textId="5C5C6969" w:rsidR="00617156" w:rsidRDefault="00617156" w:rsidP="00617156">
      <w:pPr>
        <w:pStyle w:val="NormalWeb"/>
        <w:jc w:val="both"/>
        <w:rPr>
          <w:rFonts w:ascii="Arial" w:hAnsi="Arial" w:cs="Arial"/>
        </w:rPr>
      </w:pPr>
      <w:proofErr w:type="spellStart"/>
      <w:r w:rsidRPr="00617156">
        <w:rPr>
          <w:color w:val="00000A"/>
          <w:sz w:val="20"/>
          <w:szCs w:val="20"/>
          <w:u w:color="00000A"/>
          <w:bdr w:val="nil"/>
          <w:lang w:val="en-US"/>
          <w14:textOutline w14:w="0" w14:cap="flat" w14:cmpd="sng" w14:algn="ctr">
            <w14:noFill/>
            <w14:prstDash w14:val="solid"/>
            <w14:bevel/>
          </w14:textOutline>
        </w:rPr>
        <w:t>Tabla</w:t>
      </w:r>
      <w:proofErr w:type="spellEnd"/>
      <w:r w:rsidRPr="00617156">
        <w:rPr>
          <w:color w:val="00000A"/>
          <w:sz w:val="20"/>
          <w:szCs w:val="20"/>
          <w:u w:color="00000A"/>
          <w:bdr w:val="nil"/>
          <w:lang w:val="en-US"/>
          <w14:textOutline w14:w="0" w14:cap="flat" w14:cmpd="sng" w14:algn="ctr">
            <w14:noFill/>
            <w14:prstDash w14:val="solid"/>
            <w14:bevel/>
          </w14:textOutline>
        </w:rPr>
        <w:t xml:space="preserve"> 2</w:t>
      </w:r>
      <w:r w:rsidRPr="0047243D">
        <w:rPr>
          <w:rFonts w:ascii="Arial" w:hAnsi="Arial" w:cs="Arial"/>
        </w:rPr>
        <w:t xml:space="preserve"> </w:t>
      </w:r>
    </w:p>
    <w:p w14:paraId="0F48FE4D" w14:textId="0E3C326B" w:rsidR="00617156" w:rsidRPr="00617156" w:rsidRDefault="00617156" w:rsidP="00617156">
      <w:pPr>
        <w:pStyle w:val="NormalWeb"/>
        <w:jc w:val="both"/>
        <w:rPr>
          <w:i/>
          <w:iCs/>
          <w:color w:val="00000A"/>
          <w:sz w:val="20"/>
          <w:szCs w:val="20"/>
          <w:u w:color="00000A"/>
          <w:bdr w:val="nil"/>
          <w:lang w:val="en-US"/>
          <w14:textOutline w14:w="0" w14:cap="flat" w14:cmpd="sng" w14:algn="ctr">
            <w14:noFill/>
            <w14:prstDash w14:val="solid"/>
            <w14:bevel/>
          </w14:textOutline>
        </w:rPr>
      </w:pPr>
      <w:r w:rsidRPr="00617156">
        <w:rPr>
          <w:i/>
          <w:iCs/>
          <w:color w:val="00000A"/>
          <w:sz w:val="20"/>
          <w:szCs w:val="20"/>
          <w:u w:color="00000A"/>
          <w:bdr w:val="nil"/>
          <w:lang w:val="en-US"/>
          <w14:textOutline w14:w="0" w14:cap="flat" w14:cmpd="sng" w14:algn="ctr">
            <w14:noFill/>
            <w14:prstDash w14:val="solid"/>
            <w14:bevel/>
          </w14:textOutline>
        </w:rPr>
        <w:t xml:space="preserve">Curtosis, </w:t>
      </w:r>
      <w:proofErr w:type="spellStart"/>
      <w:r w:rsidRPr="00617156">
        <w:rPr>
          <w:i/>
          <w:iCs/>
          <w:color w:val="00000A"/>
          <w:sz w:val="20"/>
          <w:szCs w:val="20"/>
          <w:u w:color="00000A"/>
          <w:bdr w:val="nil"/>
          <w:lang w:val="en-US"/>
          <w14:textOutline w14:w="0" w14:cap="flat" w14:cmpd="sng" w14:algn="ctr">
            <w14:noFill/>
            <w14:prstDash w14:val="solid"/>
            <w14:bevel/>
          </w14:textOutline>
        </w:rPr>
        <w:t>asim</w:t>
      </w:r>
      <w:r w:rsidR="003232E9">
        <w:rPr>
          <w:i/>
          <w:iCs/>
          <w:color w:val="00000A"/>
          <w:sz w:val="20"/>
          <w:szCs w:val="20"/>
          <w:u w:color="00000A"/>
          <w:bdr w:val="nil"/>
          <w:lang w:val="en-US"/>
          <w14:textOutline w14:w="0" w14:cap="flat" w14:cmpd="sng" w14:algn="ctr">
            <w14:noFill/>
            <w14:prstDash w14:val="solid"/>
            <w14:bevel/>
          </w14:textOutline>
        </w:rPr>
        <w:t>e</w:t>
      </w:r>
      <w:r w:rsidRPr="00617156">
        <w:rPr>
          <w:i/>
          <w:iCs/>
          <w:color w:val="00000A"/>
          <w:sz w:val="20"/>
          <w:szCs w:val="20"/>
          <w:u w:color="00000A"/>
          <w:bdr w:val="nil"/>
          <w:lang w:val="en-US"/>
          <w14:textOutline w14:w="0" w14:cap="flat" w14:cmpd="sng" w14:algn="ctr">
            <w14:noFill/>
            <w14:prstDash w14:val="solid"/>
            <w14:bevel/>
          </w14:textOutline>
        </w:rPr>
        <w:t>tr</w:t>
      </w:r>
      <w:r w:rsidR="003232E9">
        <w:rPr>
          <w:i/>
          <w:iCs/>
          <w:color w:val="00000A"/>
          <w:sz w:val="20"/>
          <w:szCs w:val="20"/>
          <w:u w:color="00000A"/>
          <w:bdr w:val="nil"/>
          <w:lang w:val="en-US"/>
          <w14:textOutline w14:w="0" w14:cap="flat" w14:cmpd="sng" w14:algn="ctr">
            <w14:noFill/>
            <w14:prstDash w14:val="solid"/>
            <w14:bevel/>
          </w14:textOutline>
        </w:rPr>
        <w:t>í</w:t>
      </w:r>
      <w:r w:rsidRPr="00617156">
        <w:rPr>
          <w:i/>
          <w:iCs/>
          <w:color w:val="00000A"/>
          <w:sz w:val="20"/>
          <w:szCs w:val="20"/>
          <w:u w:color="00000A"/>
          <w:bdr w:val="nil"/>
          <w:lang w:val="en-US"/>
          <w14:textOutline w14:w="0" w14:cap="flat" w14:cmpd="sng" w14:algn="ctr">
            <w14:noFill/>
            <w14:prstDash w14:val="solid"/>
            <w14:bevel/>
          </w14:textOutline>
        </w:rPr>
        <w:t>a</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w:t>
      </w:r>
      <w:proofErr w:type="spellStart"/>
      <w:r w:rsidRPr="00617156">
        <w:rPr>
          <w:i/>
          <w:iCs/>
          <w:color w:val="00000A"/>
          <w:sz w:val="20"/>
          <w:szCs w:val="20"/>
          <w:u w:color="00000A"/>
          <w:bdr w:val="nil"/>
          <w:lang w:val="en-US"/>
          <w14:textOutline w14:w="0" w14:cap="flat" w14:cmpd="sng" w14:algn="ctr">
            <w14:noFill/>
            <w14:prstDash w14:val="solid"/>
            <w14:bevel/>
          </w14:textOutline>
        </w:rPr>
        <w:t>IHc</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w:t>
      </w:r>
      <w:proofErr w:type="spellStart"/>
      <w:r w:rsidRPr="00617156">
        <w:rPr>
          <w:i/>
          <w:iCs/>
          <w:color w:val="00000A"/>
          <w:sz w:val="20"/>
          <w:szCs w:val="20"/>
          <w:u w:color="00000A"/>
          <w:bdr w:val="nil"/>
          <w:lang w:val="en-US"/>
          <w14:textOutline w14:w="0" w14:cap="flat" w14:cmpd="sng" w14:algn="ctr">
            <w14:noFill/>
            <w14:prstDash w14:val="solid"/>
            <w14:bevel/>
          </w14:textOutline>
        </w:rPr>
        <w:t>consistencia</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interna </w:t>
      </w:r>
      <w:proofErr w:type="spellStart"/>
      <w:r w:rsidRPr="00617156">
        <w:rPr>
          <w:i/>
          <w:iCs/>
          <w:color w:val="00000A"/>
          <w:sz w:val="20"/>
          <w:szCs w:val="20"/>
          <w:u w:color="00000A"/>
          <w:bdr w:val="nil"/>
          <w:lang w:val="en-US"/>
          <w14:textOutline w14:w="0" w14:cap="flat" w14:cmpd="sng" w14:algn="ctr">
            <w14:noFill/>
            <w14:prstDash w14:val="solid"/>
            <w14:bevel/>
          </w14:textOutline>
        </w:rPr>
        <w:t>si</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se </w:t>
      </w:r>
      <w:proofErr w:type="spellStart"/>
      <w:r w:rsidRPr="00617156">
        <w:rPr>
          <w:i/>
          <w:iCs/>
          <w:color w:val="00000A"/>
          <w:sz w:val="20"/>
          <w:szCs w:val="20"/>
          <w:u w:color="00000A"/>
          <w:bdr w:val="nil"/>
          <w:lang w:val="en-US"/>
          <w14:textOutline w14:w="0" w14:cap="flat" w14:cmpd="sng" w14:algn="ctr">
            <w14:noFill/>
            <w14:prstDash w14:val="solid"/>
            <w14:bevel/>
          </w14:textOutline>
        </w:rPr>
        <w:t>elimina</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w:t>
      </w:r>
      <w:proofErr w:type="spellStart"/>
      <w:r w:rsidRPr="00617156">
        <w:rPr>
          <w:i/>
          <w:iCs/>
          <w:color w:val="00000A"/>
          <w:sz w:val="20"/>
          <w:szCs w:val="20"/>
          <w:u w:color="00000A"/>
          <w:bdr w:val="nil"/>
          <w:lang w:val="en-US"/>
          <w14:textOutline w14:w="0" w14:cap="flat" w14:cmpd="sng" w14:algn="ctr">
            <w14:noFill/>
            <w14:prstDash w14:val="solid"/>
            <w14:bevel/>
          </w14:textOutline>
        </w:rPr>
        <w:t>el</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w:t>
      </w:r>
      <w:proofErr w:type="spellStart"/>
      <w:r w:rsidRPr="00617156">
        <w:rPr>
          <w:i/>
          <w:iCs/>
          <w:color w:val="00000A"/>
          <w:sz w:val="20"/>
          <w:szCs w:val="20"/>
          <w:u w:color="00000A"/>
          <w:bdr w:val="nil"/>
          <w:lang w:val="en-US"/>
          <w14:textOutline w14:w="0" w14:cap="flat" w14:cmpd="sng" w14:algn="ctr">
            <w14:noFill/>
            <w14:prstDash w14:val="solid"/>
            <w14:bevel/>
          </w14:textOutline>
        </w:rPr>
        <w:t>reactivo</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y </w:t>
      </w:r>
      <w:proofErr w:type="spellStart"/>
      <w:r w:rsidRPr="00617156">
        <w:rPr>
          <w:i/>
          <w:iCs/>
          <w:color w:val="00000A"/>
          <w:sz w:val="20"/>
          <w:szCs w:val="20"/>
          <w:u w:color="00000A"/>
          <w:bdr w:val="nil"/>
          <w:lang w:val="en-US"/>
          <w14:textOutline w14:w="0" w14:cap="flat" w14:cmpd="sng" w14:algn="ctr">
            <w14:noFill/>
            <w14:prstDash w14:val="solid"/>
            <w14:bevel/>
          </w14:textOutline>
        </w:rPr>
        <w:t>distribución</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w:t>
      </w:r>
      <w:proofErr w:type="spellStart"/>
      <w:r w:rsidRPr="00617156">
        <w:rPr>
          <w:i/>
          <w:iCs/>
          <w:color w:val="00000A"/>
          <w:sz w:val="20"/>
          <w:szCs w:val="20"/>
          <w:u w:color="00000A"/>
          <w:bdr w:val="nil"/>
          <w:lang w:val="en-US"/>
          <w14:textOutline w14:w="0" w14:cap="flat" w14:cmpd="sng" w14:algn="ctr">
            <w14:noFill/>
            <w14:prstDash w14:val="solid"/>
            <w14:bevel/>
          </w14:textOutline>
        </w:rPr>
        <w:t>porcentual</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las </w:t>
      </w:r>
      <w:proofErr w:type="spellStart"/>
      <w:r w:rsidRPr="00617156">
        <w:rPr>
          <w:i/>
          <w:iCs/>
          <w:color w:val="00000A"/>
          <w:sz w:val="20"/>
          <w:szCs w:val="20"/>
          <w:u w:color="00000A"/>
          <w:bdr w:val="nil"/>
          <w:lang w:val="en-US"/>
          <w14:textOutline w14:w="0" w14:cap="flat" w14:cmpd="sng" w14:algn="ctr">
            <w14:noFill/>
            <w14:prstDash w14:val="solid"/>
            <w14:bevel/>
          </w14:textOutline>
        </w:rPr>
        <w:t>opciones</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de </w:t>
      </w:r>
      <w:proofErr w:type="spellStart"/>
      <w:r w:rsidRPr="00617156">
        <w:rPr>
          <w:i/>
          <w:iCs/>
          <w:color w:val="00000A"/>
          <w:sz w:val="20"/>
          <w:szCs w:val="20"/>
          <w:u w:color="00000A"/>
          <w:bdr w:val="nil"/>
          <w:lang w:val="en-US"/>
          <w14:textOutline w14:w="0" w14:cap="flat" w14:cmpd="sng" w14:algn="ctr">
            <w14:noFill/>
            <w14:prstDash w14:val="solid"/>
            <w14:bevel/>
          </w14:textOutline>
        </w:rPr>
        <w:t>respuesta</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de la </w:t>
      </w:r>
      <w:proofErr w:type="spellStart"/>
      <w:r w:rsidRPr="00617156">
        <w:rPr>
          <w:i/>
          <w:iCs/>
          <w:color w:val="00000A"/>
          <w:sz w:val="20"/>
          <w:szCs w:val="20"/>
          <w:u w:color="00000A"/>
          <w:bdr w:val="nil"/>
          <w:lang w:val="en-US"/>
          <w14:textOutline w14:w="0" w14:cap="flat" w14:cmpd="sng" w14:algn="ctr">
            <w14:noFill/>
            <w14:prstDash w14:val="solid"/>
            <w14:bevel/>
          </w14:textOutline>
        </w:rPr>
        <w:t>escala</w:t>
      </w:r>
      <w:proofErr w:type="spellEnd"/>
      <w:r w:rsidRPr="00617156">
        <w:rPr>
          <w:i/>
          <w:iCs/>
          <w:color w:val="00000A"/>
          <w:sz w:val="20"/>
          <w:szCs w:val="20"/>
          <w:u w:color="00000A"/>
          <w:bdr w:val="nil"/>
          <w:lang w:val="en-US"/>
          <w14:textOutline w14:w="0" w14:cap="flat" w14:cmpd="sng" w14:algn="ctr">
            <w14:noFill/>
            <w14:prstDash w14:val="solid"/>
            <w14:bevel/>
          </w14:textOutline>
        </w:rPr>
        <w:t xml:space="preserve"> OTHS </w:t>
      </w:r>
    </w:p>
    <w:tbl>
      <w:tblPr>
        <w:tblStyle w:val="Tablaconcuadrcula"/>
        <w:tblW w:w="8906" w:type="dxa"/>
        <w:tblInd w:w="-5" w:type="dxa"/>
        <w:tblLayout w:type="fixed"/>
        <w:tblLook w:val="04A0" w:firstRow="1" w:lastRow="0" w:firstColumn="1" w:lastColumn="0" w:noHBand="0" w:noVBand="1"/>
      </w:tblPr>
      <w:tblGrid>
        <w:gridCol w:w="425"/>
        <w:gridCol w:w="2309"/>
        <w:gridCol w:w="667"/>
        <w:gridCol w:w="667"/>
        <w:gridCol w:w="667"/>
        <w:gridCol w:w="667"/>
        <w:gridCol w:w="667"/>
        <w:gridCol w:w="667"/>
        <w:gridCol w:w="716"/>
        <w:gridCol w:w="737"/>
        <w:gridCol w:w="717"/>
      </w:tblGrid>
      <w:tr w:rsidR="00617156" w:rsidRPr="00617156" w14:paraId="6E6ED6B9" w14:textId="77777777" w:rsidTr="00835C90">
        <w:tc>
          <w:tcPr>
            <w:tcW w:w="425" w:type="dxa"/>
            <w:tcBorders>
              <w:top w:val="nil"/>
              <w:left w:val="nil"/>
              <w:bottom w:val="nil"/>
              <w:right w:val="nil"/>
            </w:tcBorders>
            <w:vAlign w:val="center"/>
          </w:tcPr>
          <w:p w14:paraId="7E5090C8" w14:textId="77777777" w:rsidR="00617156" w:rsidRPr="00617156" w:rsidRDefault="00617156" w:rsidP="00835C90">
            <w:pPr>
              <w:jc w:val="center"/>
              <w:rPr>
                <w:sz w:val="14"/>
                <w:szCs w:val="14"/>
              </w:rPr>
            </w:pPr>
          </w:p>
        </w:tc>
        <w:tc>
          <w:tcPr>
            <w:tcW w:w="2309" w:type="dxa"/>
            <w:tcBorders>
              <w:top w:val="nil"/>
              <w:left w:val="nil"/>
              <w:bottom w:val="nil"/>
              <w:right w:val="nil"/>
            </w:tcBorders>
            <w:vAlign w:val="center"/>
          </w:tcPr>
          <w:p w14:paraId="73CF4D6D" w14:textId="77777777" w:rsidR="00617156" w:rsidRPr="00617156" w:rsidRDefault="00617156" w:rsidP="00835C90">
            <w:pPr>
              <w:rPr>
                <w:sz w:val="14"/>
                <w:szCs w:val="14"/>
              </w:rPr>
            </w:pPr>
          </w:p>
        </w:tc>
        <w:tc>
          <w:tcPr>
            <w:tcW w:w="3335" w:type="dxa"/>
            <w:gridSpan w:val="5"/>
            <w:tcBorders>
              <w:top w:val="nil"/>
              <w:left w:val="nil"/>
              <w:bottom w:val="single" w:sz="4" w:space="0" w:color="auto"/>
              <w:right w:val="nil"/>
            </w:tcBorders>
            <w:vAlign w:val="center"/>
          </w:tcPr>
          <w:p w14:paraId="72DA49B4" w14:textId="77777777" w:rsidR="00617156" w:rsidRPr="00617156" w:rsidRDefault="00617156" w:rsidP="00835C90">
            <w:pPr>
              <w:jc w:val="center"/>
              <w:rPr>
                <w:sz w:val="14"/>
                <w:szCs w:val="14"/>
              </w:rPr>
            </w:pPr>
            <w:r w:rsidRPr="00617156">
              <w:rPr>
                <w:sz w:val="14"/>
                <w:szCs w:val="14"/>
              </w:rPr>
              <w:t>Opciones de respuesta (%)</w:t>
            </w:r>
          </w:p>
        </w:tc>
        <w:tc>
          <w:tcPr>
            <w:tcW w:w="667" w:type="dxa"/>
            <w:tcBorders>
              <w:top w:val="nil"/>
              <w:left w:val="nil"/>
              <w:bottom w:val="nil"/>
              <w:right w:val="nil"/>
            </w:tcBorders>
            <w:vAlign w:val="center"/>
          </w:tcPr>
          <w:p w14:paraId="3B4A6904" w14:textId="77777777" w:rsidR="00617156" w:rsidRPr="00617156" w:rsidRDefault="00617156" w:rsidP="00835C90">
            <w:pPr>
              <w:jc w:val="center"/>
              <w:rPr>
                <w:sz w:val="14"/>
                <w:szCs w:val="14"/>
              </w:rPr>
            </w:pPr>
          </w:p>
        </w:tc>
        <w:tc>
          <w:tcPr>
            <w:tcW w:w="716" w:type="dxa"/>
            <w:tcBorders>
              <w:top w:val="nil"/>
              <w:left w:val="nil"/>
              <w:bottom w:val="nil"/>
              <w:right w:val="nil"/>
            </w:tcBorders>
            <w:vAlign w:val="center"/>
          </w:tcPr>
          <w:p w14:paraId="30AB8436" w14:textId="77777777" w:rsidR="00617156" w:rsidRPr="00617156" w:rsidRDefault="00617156" w:rsidP="00835C90">
            <w:pPr>
              <w:jc w:val="center"/>
              <w:rPr>
                <w:sz w:val="14"/>
                <w:szCs w:val="14"/>
              </w:rPr>
            </w:pPr>
          </w:p>
        </w:tc>
        <w:tc>
          <w:tcPr>
            <w:tcW w:w="737" w:type="dxa"/>
            <w:tcBorders>
              <w:top w:val="nil"/>
              <w:left w:val="nil"/>
              <w:bottom w:val="nil"/>
              <w:right w:val="nil"/>
            </w:tcBorders>
            <w:vAlign w:val="center"/>
          </w:tcPr>
          <w:p w14:paraId="3EFBE994" w14:textId="77777777" w:rsidR="00617156" w:rsidRPr="00617156" w:rsidRDefault="00617156" w:rsidP="00835C90">
            <w:pPr>
              <w:jc w:val="center"/>
              <w:rPr>
                <w:sz w:val="14"/>
                <w:szCs w:val="14"/>
              </w:rPr>
            </w:pPr>
          </w:p>
        </w:tc>
        <w:tc>
          <w:tcPr>
            <w:tcW w:w="717" w:type="dxa"/>
            <w:tcBorders>
              <w:top w:val="nil"/>
              <w:left w:val="nil"/>
              <w:bottom w:val="nil"/>
              <w:right w:val="nil"/>
            </w:tcBorders>
            <w:vAlign w:val="center"/>
          </w:tcPr>
          <w:p w14:paraId="613CA410" w14:textId="77777777" w:rsidR="00617156" w:rsidRPr="00617156" w:rsidRDefault="00617156" w:rsidP="00835C90">
            <w:pPr>
              <w:jc w:val="center"/>
              <w:rPr>
                <w:sz w:val="14"/>
                <w:szCs w:val="14"/>
              </w:rPr>
            </w:pPr>
          </w:p>
        </w:tc>
      </w:tr>
      <w:tr w:rsidR="00617156" w:rsidRPr="00617156" w14:paraId="6D1D755D" w14:textId="77777777" w:rsidTr="00617156">
        <w:tc>
          <w:tcPr>
            <w:tcW w:w="425" w:type="dxa"/>
            <w:tcBorders>
              <w:top w:val="nil"/>
              <w:left w:val="nil"/>
              <w:bottom w:val="single" w:sz="4" w:space="0" w:color="auto"/>
              <w:right w:val="nil"/>
            </w:tcBorders>
            <w:vAlign w:val="center"/>
          </w:tcPr>
          <w:p w14:paraId="2D305A0A" w14:textId="77777777" w:rsidR="00617156" w:rsidRPr="00617156" w:rsidRDefault="00617156" w:rsidP="00835C90">
            <w:pPr>
              <w:jc w:val="center"/>
              <w:rPr>
                <w:sz w:val="14"/>
                <w:szCs w:val="14"/>
              </w:rPr>
            </w:pPr>
          </w:p>
        </w:tc>
        <w:tc>
          <w:tcPr>
            <w:tcW w:w="2309" w:type="dxa"/>
            <w:tcBorders>
              <w:top w:val="nil"/>
              <w:left w:val="nil"/>
              <w:bottom w:val="single" w:sz="4" w:space="0" w:color="auto"/>
              <w:right w:val="nil"/>
            </w:tcBorders>
            <w:vAlign w:val="center"/>
          </w:tcPr>
          <w:p w14:paraId="32FAFB97" w14:textId="77777777" w:rsidR="00617156" w:rsidRPr="00617156" w:rsidRDefault="00617156" w:rsidP="00835C90">
            <w:pPr>
              <w:jc w:val="both"/>
              <w:rPr>
                <w:sz w:val="14"/>
                <w:szCs w:val="14"/>
              </w:rPr>
            </w:pPr>
            <w:r w:rsidRPr="00617156">
              <w:rPr>
                <w:sz w:val="14"/>
                <w:szCs w:val="14"/>
              </w:rPr>
              <w:t>Reactivos</w:t>
            </w:r>
          </w:p>
        </w:tc>
        <w:tc>
          <w:tcPr>
            <w:tcW w:w="667" w:type="dxa"/>
            <w:tcBorders>
              <w:top w:val="single" w:sz="4" w:space="0" w:color="auto"/>
              <w:left w:val="nil"/>
              <w:bottom w:val="single" w:sz="4" w:space="0" w:color="auto"/>
              <w:right w:val="nil"/>
            </w:tcBorders>
            <w:vAlign w:val="center"/>
          </w:tcPr>
          <w:p w14:paraId="61928E0B" w14:textId="77777777" w:rsidR="00617156" w:rsidRPr="00617156" w:rsidRDefault="00617156" w:rsidP="00835C90">
            <w:pPr>
              <w:jc w:val="center"/>
              <w:rPr>
                <w:sz w:val="14"/>
                <w:szCs w:val="14"/>
              </w:rPr>
            </w:pPr>
            <w:r w:rsidRPr="00617156">
              <w:rPr>
                <w:sz w:val="14"/>
                <w:szCs w:val="14"/>
              </w:rPr>
              <w:t>1</w:t>
            </w:r>
          </w:p>
        </w:tc>
        <w:tc>
          <w:tcPr>
            <w:tcW w:w="667" w:type="dxa"/>
            <w:tcBorders>
              <w:top w:val="single" w:sz="4" w:space="0" w:color="auto"/>
              <w:left w:val="nil"/>
              <w:bottom w:val="single" w:sz="4" w:space="0" w:color="auto"/>
              <w:right w:val="nil"/>
            </w:tcBorders>
            <w:vAlign w:val="center"/>
          </w:tcPr>
          <w:p w14:paraId="4E60330E" w14:textId="77777777" w:rsidR="00617156" w:rsidRPr="00617156" w:rsidRDefault="00617156" w:rsidP="00835C90">
            <w:pPr>
              <w:jc w:val="center"/>
              <w:rPr>
                <w:sz w:val="14"/>
                <w:szCs w:val="14"/>
              </w:rPr>
            </w:pPr>
            <w:r w:rsidRPr="00617156">
              <w:rPr>
                <w:sz w:val="14"/>
                <w:szCs w:val="14"/>
              </w:rPr>
              <w:t>2</w:t>
            </w:r>
          </w:p>
        </w:tc>
        <w:tc>
          <w:tcPr>
            <w:tcW w:w="667" w:type="dxa"/>
            <w:tcBorders>
              <w:top w:val="single" w:sz="4" w:space="0" w:color="auto"/>
              <w:left w:val="nil"/>
              <w:bottom w:val="single" w:sz="4" w:space="0" w:color="auto"/>
              <w:right w:val="nil"/>
            </w:tcBorders>
            <w:vAlign w:val="center"/>
          </w:tcPr>
          <w:p w14:paraId="5B9391FA" w14:textId="77777777" w:rsidR="00617156" w:rsidRPr="00617156" w:rsidRDefault="00617156" w:rsidP="00835C90">
            <w:pPr>
              <w:jc w:val="center"/>
              <w:rPr>
                <w:sz w:val="14"/>
                <w:szCs w:val="14"/>
              </w:rPr>
            </w:pPr>
            <w:r w:rsidRPr="00617156">
              <w:rPr>
                <w:sz w:val="14"/>
                <w:szCs w:val="14"/>
              </w:rPr>
              <w:t>3</w:t>
            </w:r>
          </w:p>
        </w:tc>
        <w:tc>
          <w:tcPr>
            <w:tcW w:w="667" w:type="dxa"/>
            <w:tcBorders>
              <w:top w:val="single" w:sz="4" w:space="0" w:color="auto"/>
              <w:left w:val="nil"/>
              <w:bottom w:val="single" w:sz="4" w:space="0" w:color="auto"/>
              <w:right w:val="nil"/>
            </w:tcBorders>
            <w:vAlign w:val="center"/>
          </w:tcPr>
          <w:p w14:paraId="47540141" w14:textId="77777777" w:rsidR="00617156" w:rsidRPr="00617156" w:rsidRDefault="00617156" w:rsidP="00835C90">
            <w:pPr>
              <w:jc w:val="center"/>
              <w:rPr>
                <w:sz w:val="14"/>
                <w:szCs w:val="14"/>
              </w:rPr>
            </w:pPr>
            <w:r w:rsidRPr="00617156">
              <w:rPr>
                <w:sz w:val="14"/>
                <w:szCs w:val="14"/>
              </w:rPr>
              <w:t>4</w:t>
            </w:r>
          </w:p>
        </w:tc>
        <w:tc>
          <w:tcPr>
            <w:tcW w:w="667" w:type="dxa"/>
            <w:tcBorders>
              <w:top w:val="single" w:sz="4" w:space="0" w:color="auto"/>
              <w:left w:val="nil"/>
              <w:bottom w:val="single" w:sz="4" w:space="0" w:color="auto"/>
              <w:right w:val="nil"/>
            </w:tcBorders>
            <w:vAlign w:val="center"/>
          </w:tcPr>
          <w:p w14:paraId="7CC107DB" w14:textId="77777777" w:rsidR="00617156" w:rsidRPr="00617156" w:rsidRDefault="00617156" w:rsidP="00835C90">
            <w:pPr>
              <w:jc w:val="center"/>
              <w:rPr>
                <w:sz w:val="14"/>
                <w:szCs w:val="14"/>
              </w:rPr>
            </w:pPr>
            <w:r w:rsidRPr="00617156">
              <w:rPr>
                <w:sz w:val="14"/>
                <w:szCs w:val="14"/>
              </w:rPr>
              <w:t>5</w:t>
            </w:r>
          </w:p>
        </w:tc>
        <w:tc>
          <w:tcPr>
            <w:tcW w:w="667" w:type="dxa"/>
            <w:tcBorders>
              <w:top w:val="nil"/>
              <w:left w:val="nil"/>
              <w:bottom w:val="single" w:sz="4" w:space="0" w:color="auto"/>
              <w:right w:val="nil"/>
            </w:tcBorders>
            <w:vAlign w:val="center"/>
          </w:tcPr>
          <w:p w14:paraId="14575652" w14:textId="77777777" w:rsidR="00617156" w:rsidRPr="00617156" w:rsidRDefault="00617156" w:rsidP="00835C90">
            <w:pPr>
              <w:jc w:val="center"/>
              <w:rPr>
                <w:sz w:val="14"/>
                <w:szCs w:val="14"/>
              </w:rPr>
            </w:pPr>
            <w:r w:rsidRPr="00617156">
              <w:rPr>
                <w:sz w:val="14"/>
                <w:szCs w:val="14"/>
              </w:rPr>
              <w:t>Asim</w:t>
            </w:r>
          </w:p>
        </w:tc>
        <w:tc>
          <w:tcPr>
            <w:tcW w:w="716" w:type="dxa"/>
            <w:tcBorders>
              <w:top w:val="nil"/>
              <w:left w:val="nil"/>
              <w:bottom w:val="single" w:sz="4" w:space="0" w:color="auto"/>
              <w:right w:val="nil"/>
            </w:tcBorders>
            <w:vAlign w:val="center"/>
          </w:tcPr>
          <w:p w14:paraId="759741B5" w14:textId="77777777" w:rsidR="00617156" w:rsidRPr="00617156" w:rsidRDefault="00617156" w:rsidP="00835C90">
            <w:pPr>
              <w:jc w:val="center"/>
              <w:rPr>
                <w:sz w:val="14"/>
                <w:szCs w:val="14"/>
              </w:rPr>
            </w:pPr>
            <w:r w:rsidRPr="00617156">
              <w:rPr>
                <w:sz w:val="14"/>
                <w:szCs w:val="14"/>
              </w:rPr>
              <w:t>Curt</w:t>
            </w:r>
          </w:p>
        </w:tc>
        <w:tc>
          <w:tcPr>
            <w:tcW w:w="737" w:type="dxa"/>
            <w:tcBorders>
              <w:top w:val="nil"/>
              <w:left w:val="nil"/>
              <w:bottom w:val="single" w:sz="4" w:space="0" w:color="auto"/>
              <w:right w:val="nil"/>
            </w:tcBorders>
            <w:vAlign w:val="center"/>
          </w:tcPr>
          <w:p w14:paraId="46C0A641" w14:textId="77777777" w:rsidR="00617156" w:rsidRPr="00617156" w:rsidRDefault="00617156" w:rsidP="00835C90">
            <w:pPr>
              <w:jc w:val="center"/>
              <w:rPr>
                <w:sz w:val="14"/>
                <w:szCs w:val="14"/>
              </w:rPr>
            </w:pPr>
            <w:r w:rsidRPr="00617156">
              <w:rPr>
                <w:sz w:val="14"/>
                <w:szCs w:val="14"/>
              </w:rPr>
              <w:t>IHc</w:t>
            </w:r>
          </w:p>
        </w:tc>
        <w:tc>
          <w:tcPr>
            <w:tcW w:w="717" w:type="dxa"/>
            <w:tcBorders>
              <w:top w:val="nil"/>
              <w:left w:val="nil"/>
              <w:bottom w:val="single" w:sz="4" w:space="0" w:color="auto"/>
              <w:right w:val="nil"/>
            </w:tcBorders>
            <w:vAlign w:val="center"/>
          </w:tcPr>
          <w:p w14:paraId="67B6DBDC" w14:textId="77777777" w:rsidR="00617156" w:rsidRPr="00617156" w:rsidRDefault="00617156" w:rsidP="00835C90">
            <w:pPr>
              <w:jc w:val="center"/>
              <w:rPr>
                <w:sz w:val="14"/>
                <w:szCs w:val="14"/>
              </w:rPr>
            </w:pPr>
            <w:r w:rsidRPr="00617156">
              <w:rPr>
                <w:sz w:val="14"/>
                <w:szCs w:val="14"/>
              </w:rPr>
              <w:t>α-EE</w:t>
            </w:r>
          </w:p>
        </w:tc>
      </w:tr>
      <w:tr w:rsidR="00617156" w:rsidRPr="00617156" w14:paraId="4A5D6769" w14:textId="77777777" w:rsidTr="00617156">
        <w:tc>
          <w:tcPr>
            <w:tcW w:w="425" w:type="dxa"/>
            <w:tcBorders>
              <w:top w:val="single" w:sz="4" w:space="0" w:color="auto"/>
              <w:left w:val="nil"/>
              <w:bottom w:val="single" w:sz="4" w:space="0" w:color="auto"/>
              <w:right w:val="nil"/>
            </w:tcBorders>
            <w:vAlign w:val="center"/>
          </w:tcPr>
          <w:p w14:paraId="1E2C66F3" w14:textId="77777777" w:rsidR="00617156" w:rsidRPr="00617156" w:rsidRDefault="00617156" w:rsidP="00835C90">
            <w:pPr>
              <w:jc w:val="center"/>
              <w:rPr>
                <w:sz w:val="14"/>
                <w:szCs w:val="14"/>
              </w:rPr>
            </w:pPr>
            <w:r w:rsidRPr="00617156">
              <w:rPr>
                <w:sz w:val="14"/>
                <w:szCs w:val="14"/>
              </w:rPr>
              <w:t>1</w:t>
            </w:r>
          </w:p>
        </w:tc>
        <w:tc>
          <w:tcPr>
            <w:tcW w:w="2309" w:type="dxa"/>
            <w:tcBorders>
              <w:top w:val="single" w:sz="4" w:space="0" w:color="auto"/>
              <w:left w:val="nil"/>
              <w:bottom w:val="single" w:sz="4" w:space="0" w:color="auto"/>
              <w:right w:val="nil"/>
            </w:tcBorders>
            <w:vAlign w:val="center"/>
          </w:tcPr>
          <w:p w14:paraId="28763CFD" w14:textId="77777777" w:rsidR="00617156" w:rsidRPr="00617156" w:rsidRDefault="00617156" w:rsidP="00835C90">
            <w:pPr>
              <w:jc w:val="both"/>
              <w:rPr>
                <w:sz w:val="14"/>
                <w:szCs w:val="14"/>
              </w:rPr>
            </w:pPr>
            <w:r w:rsidRPr="00617156">
              <w:rPr>
                <w:sz w:val="14"/>
                <w:szCs w:val="14"/>
              </w:rPr>
              <w:t>Independientemente de lo que esté haciendo siento que el tiempo pasa muy rápido</w:t>
            </w:r>
          </w:p>
        </w:tc>
        <w:tc>
          <w:tcPr>
            <w:tcW w:w="667" w:type="dxa"/>
            <w:tcBorders>
              <w:top w:val="single" w:sz="4" w:space="0" w:color="auto"/>
              <w:left w:val="nil"/>
              <w:bottom w:val="single" w:sz="4" w:space="0" w:color="auto"/>
              <w:right w:val="nil"/>
            </w:tcBorders>
            <w:vAlign w:val="center"/>
          </w:tcPr>
          <w:p w14:paraId="5B0E7F0A" w14:textId="77777777" w:rsidR="00617156" w:rsidRPr="00617156" w:rsidRDefault="00617156" w:rsidP="00617156">
            <w:pPr>
              <w:jc w:val="center"/>
              <w:rPr>
                <w:sz w:val="14"/>
                <w:szCs w:val="14"/>
              </w:rPr>
            </w:pPr>
            <w:r w:rsidRPr="00617156">
              <w:rPr>
                <w:sz w:val="14"/>
                <w:szCs w:val="14"/>
              </w:rPr>
              <w:t>3.7</w:t>
            </w:r>
          </w:p>
        </w:tc>
        <w:tc>
          <w:tcPr>
            <w:tcW w:w="667" w:type="dxa"/>
            <w:tcBorders>
              <w:top w:val="single" w:sz="4" w:space="0" w:color="auto"/>
              <w:left w:val="nil"/>
              <w:bottom w:val="single" w:sz="4" w:space="0" w:color="auto"/>
              <w:right w:val="nil"/>
            </w:tcBorders>
            <w:vAlign w:val="center"/>
          </w:tcPr>
          <w:p w14:paraId="562C8743" w14:textId="77777777" w:rsidR="00617156" w:rsidRPr="00617156" w:rsidRDefault="00617156" w:rsidP="00617156">
            <w:pPr>
              <w:jc w:val="center"/>
              <w:rPr>
                <w:sz w:val="14"/>
                <w:szCs w:val="14"/>
              </w:rPr>
            </w:pPr>
            <w:r w:rsidRPr="00617156">
              <w:rPr>
                <w:sz w:val="14"/>
                <w:szCs w:val="14"/>
              </w:rPr>
              <w:t>14.5</w:t>
            </w:r>
          </w:p>
        </w:tc>
        <w:tc>
          <w:tcPr>
            <w:tcW w:w="667" w:type="dxa"/>
            <w:tcBorders>
              <w:top w:val="single" w:sz="4" w:space="0" w:color="auto"/>
              <w:left w:val="nil"/>
              <w:bottom w:val="single" w:sz="4" w:space="0" w:color="auto"/>
              <w:right w:val="nil"/>
            </w:tcBorders>
            <w:vAlign w:val="center"/>
          </w:tcPr>
          <w:p w14:paraId="054DED03" w14:textId="77777777" w:rsidR="00617156" w:rsidRPr="00617156" w:rsidRDefault="00617156" w:rsidP="00617156">
            <w:pPr>
              <w:jc w:val="center"/>
              <w:rPr>
                <w:sz w:val="14"/>
                <w:szCs w:val="14"/>
              </w:rPr>
            </w:pPr>
            <w:r w:rsidRPr="00617156">
              <w:rPr>
                <w:sz w:val="14"/>
                <w:szCs w:val="14"/>
              </w:rPr>
              <w:t>21.7</w:t>
            </w:r>
          </w:p>
        </w:tc>
        <w:tc>
          <w:tcPr>
            <w:tcW w:w="667" w:type="dxa"/>
            <w:tcBorders>
              <w:top w:val="single" w:sz="4" w:space="0" w:color="auto"/>
              <w:left w:val="nil"/>
              <w:bottom w:val="single" w:sz="4" w:space="0" w:color="auto"/>
              <w:right w:val="nil"/>
            </w:tcBorders>
            <w:vAlign w:val="center"/>
          </w:tcPr>
          <w:p w14:paraId="198A2D23" w14:textId="77777777" w:rsidR="00617156" w:rsidRPr="00617156" w:rsidRDefault="00617156" w:rsidP="00617156">
            <w:pPr>
              <w:jc w:val="center"/>
              <w:rPr>
                <w:sz w:val="14"/>
                <w:szCs w:val="14"/>
              </w:rPr>
            </w:pPr>
            <w:r w:rsidRPr="00617156">
              <w:rPr>
                <w:sz w:val="14"/>
                <w:szCs w:val="14"/>
              </w:rPr>
              <w:t>38.3</w:t>
            </w:r>
          </w:p>
        </w:tc>
        <w:tc>
          <w:tcPr>
            <w:tcW w:w="667" w:type="dxa"/>
            <w:tcBorders>
              <w:top w:val="single" w:sz="4" w:space="0" w:color="auto"/>
              <w:left w:val="nil"/>
              <w:bottom w:val="single" w:sz="4" w:space="0" w:color="auto"/>
              <w:right w:val="nil"/>
            </w:tcBorders>
            <w:vAlign w:val="center"/>
          </w:tcPr>
          <w:p w14:paraId="64F24F29" w14:textId="77777777" w:rsidR="00617156" w:rsidRPr="00617156" w:rsidRDefault="00617156" w:rsidP="00617156">
            <w:pPr>
              <w:jc w:val="center"/>
              <w:rPr>
                <w:sz w:val="14"/>
                <w:szCs w:val="14"/>
              </w:rPr>
            </w:pPr>
            <w:r w:rsidRPr="00617156">
              <w:rPr>
                <w:sz w:val="14"/>
                <w:szCs w:val="14"/>
              </w:rPr>
              <w:t>21.9</w:t>
            </w:r>
          </w:p>
        </w:tc>
        <w:tc>
          <w:tcPr>
            <w:tcW w:w="667" w:type="dxa"/>
            <w:tcBorders>
              <w:top w:val="single" w:sz="4" w:space="0" w:color="auto"/>
              <w:left w:val="nil"/>
              <w:bottom w:val="single" w:sz="4" w:space="0" w:color="auto"/>
              <w:right w:val="nil"/>
            </w:tcBorders>
            <w:vAlign w:val="center"/>
          </w:tcPr>
          <w:p w14:paraId="3ED3C19E" w14:textId="77777777" w:rsidR="00617156" w:rsidRPr="00617156" w:rsidRDefault="00617156" w:rsidP="00617156">
            <w:pPr>
              <w:jc w:val="center"/>
              <w:rPr>
                <w:sz w:val="14"/>
                <w:szCs w:val="14"/>
              </w:rPr>
            </w:pPr>
            <w:r w:rsidRPr="00617156">
              <w:rPr>
                <w:sz w:val="14"/>
                <w:szCs w:val="14"/>
              </w:rPr>
              <w:t>-0.51</w:t>
            </w:r>
          </w:p>
        </w:tc>
        <w:tc>
          <w:tcPr>
            <w:tcW w:w="716" w:type="dxa"/>
            <w:tcBorders>
              <w:top w:val="single" w:sz="4" w:space="0" w:color="auto"/>
              <w:left w:val="nil"/>
              <w:bottom w:val="single" w:sz="4" w:space="0" w:color="auto"/>
              <w:right w:val="nil"/>
            </w:tcBorders>
            <w:vAlign w:val="center"/>
          </w:tcPr>
          <w:p w14:paraId="5CB7AF8D" w14:textId="77777777" w:rsidR="00617156" w:rsidRPr="00617156" w:rsidRDefault="00617156" w:rsidP="00617156">
            <w:pPr>
              <w:jc w:val="center"/>
              <w:rPr>
                <w:sz w:val="14"/>
                <w:szCs w:val="14"/>
              </w:rPr>
            </w:pPr>
            <w:r w:rsidRPr="00617156">
              <w:rPr>
                <w:sz w:val="14"/>
                <w:szCs w:val="14"/>
              </w:rPr>
              <w:t>-0.50</w:t>
            </w:r>
          </w:p>
        </w:tc>
        <w:tc>
          <w:tcPr>
            <w:tcW w:w="737" w:type="dxa"/>
            <w:tcBorders>
              <w:top w:val="single" w:sz="4" w:space="0" w:color="auto"/>
              <w:left w:val="nil"/>
              <w:bottom w:val="single" w:sz="4" w:space="0" w:color="auto"/>
              <w:right w:val="nil"/>
            </w:tcBorders>
            <w:vAlign w:val="center"/>
          </w:tcPr>
          <w:p w14:paraId="0DD6964F" w14:textId="77777777" w:rsidR="00617156" w:rsidRPr="00617156" w:rsidRDefault="00617156" w:rsidP="00617156">
            <w:pPr>
              <w:jc w:val="center"/>
              <w:rPr>
                <w:sz w:val="14"/>
                <w:szCs w:val="14"/>
              </w:rPr>
            </w:pPr>
            <w:r w:rsidRPr="00617156">
              <w:rPr>
                <w:sz w:val="14"/>
                <w:szCs w:val="14"/>
              </w:rPr>
              <w:t>0.48</w:t>
            </w:r>
          </w:p>
        </w:tc>
        <w:tc>
          <w:tcPr>
            <w:tcW w:w="717" w:type="dxa"/>
            <w:tcBorders>
              <w:top w:val="single" w:sz="4" w:space="0" w:color="auto"/>
              <w:left w:val="nil"/>
              <w:bottom w:val="single" w:sz="4" w:space="0" w:color="auto"/>
              <w:right w:val="nil"/>
            </w:tcBorders>
            <w:vAlign w:val="center"/>
          </w:tcPr>
          <w:p w14:paraId="7C50FF41" w14:textId="77777777" w:rsidR="00617156" w:rsidRPr="00617156" w:rsidRDefault="00617156" w:rsidP="00617156">
            <w:pPr>
              <w:jc w:val="center"/>
              <w:rPr>
                <w:sz w:val="14"/>
                <w:szCs w:val="14"/>
              </w:rPr>
            </w:pPr>
            <w:r w:rsidRPr="00617156">
              <w:rPr>
                <w:sz w:val="14"/>
                <w:szCs w:val="14"/>
              </w:rPr>
              <w:t>0.85</w:t>
            </w:r>
          </w:p>
        </w:tc>
      </w:tr>
      <w:tr w:rsidR="00617156" w:rsidRPr="00617156" w14:paraId="47E94C53" w14:textId="77777777" w:rsidTr="00617156">
        <w:tc>
          <w:tcPr>
            <w:tcW w:w="425" w:type="dxa"/>
            <w:tcBorders>
              <w:top w:val="single" w:sz="4" w:space="0" w:color="auto"/>
              <w:left w:val="nil"/>
              <w:bottom w:val="single" w:sz="4" w:space="0" w:color="auto"/>
              <w:right w:val="nil"/>
            </w:tcBorders>
            <w:vAlign w:val="center"/>
          </w:tcPr>
          <w:p w14:paraId="7C54F84A" w14:textId="77777777" w:rsidR="00617156" w:rsidRPr="00617156" w:rsidRDefault="00617156" w:rsidP="00835C90">
            <w:pPr>
              <w:jc w:val="center"/>
              <w:rPr>
                <w:sz w:val="14"/>
                <w:szCs w:val="14"/>
              </w:rPr>
            </w:pPr>
            <w:r w:rsidRPr="00617156">
              <w:rPr>
                <w:sz w:val="14"/>
                <w:szCs w:val="14"/>
              </w:rPr>
              <w:t>2</w:t>
            </w:r>
          </w:p>
        </w:tc>
        <w:tc>
          <w:tcPr>
            <w:tcW w:w="2309" w:type="dxa"/>
            <w:tcBorders>
              <w:top w:val="single" w:sz="4" w:space="0" w:color="auto"/>
              <w:left w:val="nil"/>
              <w:bottom w:val="single" w:sz="4" w:space="0" w:color="auto"/>
              <w:right w:val="nil"/>
            </w:tcBorders>
            <w:vAlign w:val="center"/>
          </w:tcPr>
          <w:p w14:paraId="62C62438" w14:textId="77777777" w:rsidR="00617156" w:rsidRPr="00617156" w:rsidRDefault="00617156" w:rsidP="00835C90">
            <w:pPr>
              <w:jc w:val="both"/>
              <w:rPr>
                <w:sz w:val="14"/>
                <w:szCs w:val="14"/>
              </w:rPr>
            </w:pPr>
            <w:r w:rsidRPr="00617156">
              <w:rPr>
                <w:sz w:val="14"/>
                <w:szCs w:val="14"/>
              </w:rPr>
              <w:t>Mi vida sirve a un propósito mayor</w:t>
            </w:r>
          </w:p>
        </w:tc>
        <w:tc>
          <w:tcPr>
            <w:tcW w:w="667" w:type="dxa"/>
            <w:tcBorders>
              <w:top w:val="single" w:sz="4" w:space="0" w:color="auto"/>
              <w:left w:val="nil"/>
              <w:bottom w:val="single" w:sz="4" w:space="0" w:color="auto"/>
              <w:right w:val="nil"/>
            </w:tcBorders>
            <w:vAlign w:val="center"/>
          </w:tcPr>
          <w:p w14:paraId="66686390" w14:textId="77777777" w:rsidR="00617156" w:rsidRPr="00617156" w:rsidRDefault="00617156" w:rsidP="00617156">
            <w:pPr>
              <w:jc w:val="center"/>
              <w:rPr>
                <w:sz w:val="14"/>
                <w:szCs w:val="14"/>
              </w:rPr>
            </w:pPr>
            <w:r w:rsidRPr="00617156">
              <w:rPr>
                <w:sz w:val="14"/>
                <w:szCs w:val="14"/>
              </w:rPr>
              <w:t>5.6</w:t>
            </w:r>
          </w:p>
        </w:tc>
        <w:tc>
          <w:tcPr>
            <w:tcW w:w="667" w:type="dxa"/>
            <w:tcBorders>
              <w:top w:val="single" w:sz="4" w:space="0" w:color="auto"/>
              <w:left w:val="nil"/>
              <w:bottom w:val="single" w:sz="4" w:space="0" w:color="auto"/>
              <w:right w:val="nil"/>
            </w:tcBorders>
            <w:vAlign w:val="center"/>
          </w:tcPr>
          <w:p w14:paraId="4DC088BE" w14:textId="77777777" w:rsidR="00617156" w:rsidRPr="00617156" w:rsidRDefault="00617156" w:rsidP="00617156">
            <w:pPr>
              <w:jc w:val="center"/>
              <w:rPr>
                <w:sz w:val="14"/>
                <w:szCs w:val="14"/>
              </w:rPr>
            </w:pPr>
            <w:r w:rsidRPr="00617156">
              <w:rPr>
                <w:sz w:val="14"/>
                <w:szCs w:val="14"/>
              </w:rPr>
              <w:t>5.8</w:t>
            </w:r>
          </w:p>
        </w:tc>
        <w:tc>
          <w:tcPr>
            <w:tcW w:w="667" w:type="dxa"/>
            <w:tcBorders>
              <w:top w:val="single" w:sz="4" w:space="0" w:color="auto"/>
              <w:left w:val="nil"/>
              <w:bottom w:val="single" w:sz="4" w:space="0" w:color="auto"/>
              <w:right w:val="nil"/>
            </w:tcBorders>
            <w:vAlign w:val="center"/>
          </w:tcPr>
          <w:p w14:paraId="6E4ABD68" w14:textId="77777777" w:rsidR="00617156" w:rsidRPr="00617156" w:rsidRDefault="00617156" w:rsidP="00617156">
            <w:pPr>
              <w:jc w:val="center"/>
              <w:rPr>
                <w:sz w:val="14"/>
                <w:szCs w:val="14"/>
              </w:rPr>
            </w:pPr>
            <w:r w:rsidRPr="00617156">
              <w:rPr>
                <w:sz w:val="14"/>
                <w:szCs w:val="14"/>
              </w:rPr>
              <w:t>18.0</w:t>
            </w:r>
          </w:p>
        </w:tc>
        <w:tc>
          <w:tcPr>
            <w:tcW w:w="667" w:type="dxa"/>
            <w:tcBorders>
              <w:top w:val="single" w:sz="4" w:space="0" w:color="auto"/>
              <w:left w:val="nil"/>
              <w:bottom w:val="single" w:sz="4" w:space="0" w:color="auto"/>
              <w:right w:val="nil"/>
            </w:tcBorders>
            <w:vAlign w:val="center"/>
          </w:tcPr>
          <w:p w14:paraId="44513D8F" w14:textId="77777777" w:rsidR="00617156" w:rsidRPr="00617156" w:rsidRDefault="00617156" w:rsidP="00617156">
            <w:pPr>
              <w:jc w:val="center"/>
              <w:rPr>
                <w:sz w:val="14"/>
                <w:szCs w:val="14"/>
              </w:rPr>
            </w:pPr>
            <w:r w:rsidRPr="00617156">
              <w:rPr>
                <w:sz w:val="14"/>
                <w:szCs w:val="14"/>
              </w:rPr>
              <w:t>29.1</w:t>
            </w:r>
          </w:p>
        </w:tc>
        <w:tc>
          <w:tcPr>
            <w:tcW w:w="667" w:type="dxa"/>
            <w:tcBorders>
              <w:top w:val="single" w:sz="4" w:space="0" w:color="auto"/>
              <w:left w:val="nil"/>
              <w:bottom w:val="single" w:sz="4" w:space="0" w:color="auto"/>
              <w:right w:val="nil"/>
            </w:tcBorders>
            <w:vAlign w:val="center"/>
          </w:tcPr>
          <w:p w14:paraId="7BB37DAC" w14:textId="77777777" w:rsidR="00617156" w:rsidRPr="00617156" w:rsidRDefault="00617156" w:rsidP="00617156">
            <w:pPr>
              <w:jc w:val="center"/>
              <w:rPr>
                <w:sz w:val="14"/>
                <w:szCs w:val="14"/>
              </w:rPr>
            </w:pPr>
            <w:r w:rsidRPr="00617156">
              <w:rPr>
                <w:sz w:val="14"/>
                <w:szCs w:val="14"/>
              </w:rPr>
              <w:t>41.5</w:t>
            </w:r>
          </w:p>
        </w:tc>
        <w:tc>
          <w:tcPr>
            <w:tcW w:w="667" w:type="dxa"/>
            <w:tcBorders>
              <w:top w:val="single" w:sz="4" w:space="0" w:color="auto"/>
              <w:left w:val="nil"/>
              <w:bottom w:val="single" w:sz="4" w:space="0" w:color="auto"/>
              <w:right w:val="nil"/>
            </w:tcBorders>
            <w:vAlign w:val="center"/>
          </w:tcPr>
          <w:p w14:paraId="2FE930D0" w14:textId="77777777" w:rsidR="00617156" w:rsidRPr="00617156" w:rsidRDefault="00617156" w:rsidP="00617156">
            <w:pPr>
              <w:jc w:val="center"/>
              <w:rPr>
                <w:sz w:val="14"/>
                <w:szCs w:val="14"/>
              </w:rPr>
            </w:pPr>
            <w:r w:rsidRPr="00617156">
              <w:rPr>
                <w:sz w:val="14"/>
                <w:szCs w:val="14"/>
              </w:rPr>
              <w:t>-1.01</w:t>
            </w:r>
          </w:p>
        </w:tc>
        <w:tc>
          <w:tcPr>
            <w:tcW w:w="716" w:type="dxa"/>
            <w:tcBorders>
              <w:top w:val="single" w:sz="4" w:space="0" w:color="auto"/>
              <w:left w:val="nil"/>
              <w:bottom w:val="single" w:sz="4" w:space="0" w:color="auto"/>
              <w:right w:val="nil"/>
            </w:tcBorders>
            <w:vAlign w:val="center"/>
          </w:tcPr>
          <w:p w14:paraId="200262D2" w14:textId="77777777" w:rsidR="00617156" w:rsidRPr="00617156" w:rsidRDefault="00617156" w:rsidP="00617156">
            <w:pPr>
              <w:jc w:val="center"/>
              <w:rPr>
                <w:sz w:val="14"/>
                <w:szCs w:val="14"/>
              </w:rPr>
            </w:pPr>
            <w:r w:rsidRPr="00617156">
              <w:rPr>
                <w:sz w:val="14"/>
                <w:szCs w:val="14"/>
              </w:rPr>
              <w:t>0.26</w:t>
            </w:r>
          </w:p>
        </w:tc>
        <w:tc>
          <w:tcPr>
            <w:tcW w:w="737" w:type="dxa"/>
            <w:tcBorders>
              <w:top w:val="single" w:sz="4" w:space="0" w:color="auto"/>
              <w:left w:val="nil"/>
              <w:bottom w:val="single" w:sz="4" w:space="0" w:color="auto"/>
              <w:right w:val="nil"/>
            </w:tcBorders>
            <w:vAlign w:val="center"/>
          </w:tcPr>
          <w:p w14:paraId="1695E22A" w14:textId="77777777" w:rsidR="00617156" w:rsidRPr="00617156" w:rsidRDefault="00617156" w:rsidP="00617156">
            <w:pPr>
              <w:jc w:val="center"/>
              <w:rPr>
                <w:sz w:val="14"/>
                <w:szCs w:val="14"/>
              </w:rPr>
            </w:pPr>
            <w:r w:rsidRPr="00617156">
              <w:rPr>
                <w:sz w:val="14"/>
                <w:szCs w:val="14"/>
              </w:rPr>
              <w:t>0.59</w:t>
            </w:r>
          </w:p>
        </w:tc>
        <w:tc>
          <w:tcPr>
            <w:tcW w:w="717" w:type="dxa"/>
            <w:tcBorders>
              <w:top w:val="single" w:sz="4" w:space="0" w:color="auto"/>
              <w:left w:val="nil"/>
              <w:bottom w:val="single" w:sz="4" w:space="0" w:color="auto"/>
              <w:right w:val="nil"/>
            </w:tcBorders>
            <w:vAlign w:val="center"/>
          </w:tcPr>
          <w:p w14:paraId="0F1230DD" w14:textId="77777777" w:rsidR="00617156" w:rsidRPr="00617156" w:rsidRDefault="00617156" w:rsidP="00617156">
            <w:pPr>
              <w:jc w:val="center"/>
              <w:rPr>
                <w:sz w:val="14"/>
                <w:szCs w:val="14"/>
              </w:rPr>
            </w:pPr>
            <w:r w:rsidRPr="00617156">
              <w:rPr>
                <w:sz w:val="14"/>
                <w:szCs w:val="14"/>
              </w:rPr>
              <w:t>0.84</w:t>
            </w:r>
          </w:p>
        </w:tc>
      </w:tr>
      <w:tr w:rsidR="00617156" w:rsidRPr="00617156" w14:paraId="553ED7C9" w14:textId="77777777" w:rsidTr="00617156">
        <w:trPr>
          <w:trHeight w:val="239"/>
        </w:trPr>
        <w:tc>
          <w:tcPr>
            <w:tcW w:w="425" w:type="dxa"/>
            <w:tcBorders>
              <w:top w:val="single" w:sz="4" w:space="0" w:color="auto"/>
              <w:left w:val="nil"/>
              <w:bottom w:val="single" w:sz="4" w:space="0" w:color="auto"/>
              <w:right w:val="nil"/>
            </w:tcBorders>
            <w:vAlign w:val="center"/>
          </w:tcPr>
          <w:p w14:paraId="5C21F546" w14:textId="77777777" w:rsidR="00617156" w:rsidRPr="00617156" w:rsidRDefault="00617156" w:rsidP="00835C90">
            <w:pPr>
              <w:jc w:val="center"/>
              <w:rPr>
                <w:sz w:val="14"/>
                <w:szCs w:val="14"/>
              </w:rPr>
            </w:pPr>
            <w:r w:rsidRPr="00617156">
              <w:rPr>
                <w:sz w:val="14"/>
                <w:szCs w:val="14"/>
              </w:rPr>
              <w:t>3</w:t>
            </w:r>
          </w:p>
        </w:tc>
        <w:tc>
          <w:tcPr>
            <w:tcW w:w="2309" w:type="dxa"/>
            <w:tcBorders>
              <w:top w:val="single" w:sz="4" w:space="0" w:color="auto"/>
              <w:left w:val="nil"/>
              <w:bottom w:val="single" w:sz="4" w:space="0" w:color="auto"/>
              <w:right w:val="nil"/>
            </w:tcBorders>
            <w:vAlign w:val="center"/>
          </w:tcPr>
          <w:p w14:paraId="1DCB7891" w14:textId="77777777" w:rsidR="00617156" w:rsidRPr="00617156" w:rsidRDefault="00617156" w:rsidP="00835C90">
            <w:pPr>
              <w:jc w:val="both"/>
              <w:rPr>
                <w:sz w:val="14"/>
                <w:szCs w:val="14"/>
              </w:rPr>
            </w:pPr>
            <w:r w:rsidRPr="00617156">
              <w:rPr>
                <w:sz w:val="14"/>
                <w:szCs w:val="14"/>
              </w:rPr>
              <w:t>La vida es muy corta como para dejar pasar los placeres que puede ofrecer</w:t>
            </w:r>
          </w:p>
        </w:tc>
        <w:tc>
          <w:tcPr>
            <w:tcW w:w="667" w:type="dxa"/>
            <w:tcBorders>
              <w:top w:val="single" w:sz="4" w:space="0" w:color="auto"/>
              <w:left w:val="nil"/>
              <w:bottom w:val="single" w:sz="4" w:space="0" w:color="auto"/>
              <w:right w:val="nil"/>
            </w:tcBorders>
            <w:vAlign w:val="center"/>
          </w:tcPr>
          <w:p w14:paraId="21DD0900" w14:textId="77777777" w:rsidR="00617156" w:rsidRPr="00617156" w:rsidRDefault="00617156" w:rsidP="00617156">
            <w:pPr>
              <w:jc w:val="center"/>
              <w:rPr>
                <w:sz w:val="14"/>
                <w:szCs w:val="14"/>
              </w:rPr>
            </w:pPr>
            <w:r w:rsidRPr="00617156">
              <w:rPr>
                <w:sz w:val="14"/>
                <w:szCs w:val="14"/>
              </w:rPr>
              <w:t>3.7</w:t>
            </w:r>
          </w:p>
        </w:tc>
        <w:tc>
          <w:tcPr>
            <w:tcW w:w="667" w:type="dxa"/>
            <w:tcBorders>
              <w:top w:val="single" w:sz="4" w:space="0" w:color="auto"/>
              <w:left w:val="nil"/>
              <w:bottom w:val="single" w:sz="4" w:space="0" w:color="auto"/>
              <w:right w:val="nil"/>
            </w:tcBorders>
            <w:vAlign w:val="center"/>
          </w:tcPr>
          <w:p w14:paraId="37AF12ED" w14:textId="77777777" w:rsidR="00617156" w:rsidRPr="00617156" w:rsidRDefault="00617156" w:rsidP="00617156">
            <w:pPr>
              <w:jc w:val="center"/>
              <w:rPr>
                <w:sz w:val="14"/>
                <w:szCs w:val="14"/>
              </w:rPr>
            </w:pPr>
            <w:r w:rsidRPr="00617156">
              <w:rPr>
                <w:sz w:val="14"/>
                <w:szCs w:val="14"/>
              </w:rPr>
              <w:t>7.0</w:t>
            </w:r>
          </w:p>
        </w:tc>
        <w:tc>
          <w:tcPr>
            <w:tcW w:w="667" w:type="dxa"/>
            <w:tcBorders>
              <w:top w:val="single" w:sz="4" w:space="0" w:color="auto"/>
              <w:left w:val="nil"/>
              <w:bottom w:val="single" w:sz="4" w:space="0" w:color="auto"/>
              <w:right w:val="nil"/>
            </w:tcBorders>
            <w:vAlign w:val="center"/>
          </w:tcPr>
          <w:p w14:paraId="5275E457" w14:textId="77777777" w:rsidR="00617156" w:rsidRPr="00617156" w:rsidRDefault="00617156" w:rsidP="00617156">
            <w:pPr>
              <w:jc w:val="center"/>
              <w:rPr>
                <w:sz w:val="14"/>
                <w:szCs w:val="14"/>
              </w:rPr>
            </w:pPr>
            <w:r w:rsidRPr="00617156">
              <w:rPr>
                <w:sz w:val="14"/>
                <w:szCs w:val="14"/>
              </w:rPr>
              <w:t>25.7</w:t>
            </w:r>
          </w:p>
        </w:tc>
        <w:tc>
          <w:tcPr>
            <w:tcW w:w="667" w:type="dxa"/>
            <w:tcBorders>
              <w:top w:val="single" w:sz="4" w:space="0" w:color="auto"/>
              <w:left w:val="nil"/>
              <w:bottom w:val="single" w:sz="4" w:space="0" w:color="auto"/>
              <w:right w:val="nil"/>
            </w:tcBorders>
            <w:vAlign w:val="center"/>
          </w:tcPr>
          <w:p w14:paraId="0FC5BA12" w14:textId="77777777" w:rsidR="00617156" w:rsidRPr="00617156" w:rsidRDefault="00617156" w:rsidP="00617156">
            <w:pPr>
              <w:jc w:val="center"/>
              <w:rPr>
                <w:sz w:val="14"/>
                <w:szCs w:val="14"/>
              </w:rPr>
            </w:pPr>
            <w:r w:rsidRPr="00617156">
              <w:rPr>
                <w:sz w:val="14"/>
                <w:szCs w:val="14"/>
              </w:rPr>
              <w:t>38.5</w:t>
            </w:r>
          </w:p>
        </w:tc>
        <w:tc>
          <w:tcPr>
            <w:tcW w:w="667" w:type="dxa"/>
            <w:tcBorders>
              <w:top w:val="single" w:sz="4" w:space="0" w:color="auto"/>
              <w:left w:val="nil"/>
              <w:bottom w:val="single" w:sz="4" w:space="0" w:color="auto"/>
              <w:right w:val="nil"/>
            </w:tcBorders>
            <w:vAlign w:val="center"/>
          </w:tcPr>
          <w:p w14:paraId="2F7FFD90" w14:textId="77777777" w:rsidR="00617156" w:rsidRPr="00617156" w:rsidRDefault="00617156" w:rsidP="00617156">
            <w:pPr>
              <w:jc w:val="center"/>
              <w:rPr>
                <w:sz w:val="14"/>
                <w:szCs w:val="14"/>
              </w:rPr>
            </w:pPr>
            <w:r w:rsidRPr="00617156">
              <w:rPr>
                <w:sz w:val="14"/>
                <w:szCs w:val="14"/>
              </w:rPr>
              <w:t>25.0</w:t>
            </w:r>
          </w:p>
        </w:tc>
        <w:tc>
          <w:tcPr>
            <w:tcW w:w="667" w:type="dxa"/>
            <w:tcBorders>
              <w:top w:val="single" w:sz="4" w:space="0" w:color="auto"/>
              <w:left w:val="nil"/>
              <w:bottom w:val="single" w:sz="4" w:space="0" w:color="auto"/>
              <w:right w:val="nil"/>
            </w:tcBorders>
            <w:vAlign w:val="center"/>
          </w:tcPr>
          <w:p w14:paraId="5C2F398E" w14:textId="77777777" w:rsidR="00617156" w:rsidRPr="00617156" w:rsidRDefault="00617156" w:rsidP="00617156">
            <w:pPr>
              <w:jc w:val="center"/>
              <w:rPr>
                <w:sz w:val="14"/>
                <w:szCs w:val="14"/>
              </w:rPr>
            </w:pPr>
            <w:r w:rsidRPr="00617156">
              <w:rPr>
                <w:sz w:val="14"/>
                <w:szCs w:val="14"/>
              </w:rPr>
              <w:t>-0.67</w:t>
            </w:r>
          </w:p>
        </w:tc>
        <w:tc>
          <w:tcPr>
            <w:tcW w:w="716" w:type="dxa"/>
            <w:tcBorders>
              <w:top w:val="single" w:sz="4" w:space="0" w:color="auto"/>
              <w:left w:val="nil"/>
              <w:bottom w:val="single" w:sz="4" w:space="0" w:color="auto"/>
              <w:right w:val="nil"/>
            </w:tcBorders>
            <w:vAlign w:val="center"/>
          </w:tcPr>
          <w:p w14:paraId="1ABFD7ED" w14:textId="77777777" w:rsidR="00617156" w:rsidRPr="00617156" w:rsidRDefault="00617156" w:rsidP="00617156">
            <w:pPr>
              <w:jc w:val="center"/>
              <w:rPr>
                <w:sz w:val="14"/>
                <w:szCs w:val="14"/>
              </w:rPr>
            </w:pPr>
            <w:r w:rsidRPr="00617156">
              <w:rPr>
                <w:sz w:val="14"/>
                <w:szCs w:val="14"/>
              </w:rPr>
              <w:t>0.10</w:t>
            </w:r>
          </w:p>
        </w:tc>
        <w:tc>
          <w:tcPr>
            <w:tcW w:w="737" w:type="dxa"/>
            <w:tcBorders>
              <w:top w:val="single" w:sz="4" w:space="0" w:color="auto"/>
              <w:left w:val="nil"/>
              <w:bottom w:val="single" w:sz="4" w:space="0" w:color="auto"/>
              <w:right w:val="nil"/>
            </w:tcBorders>
            <w:vAlign w:val="center"/>
          </w:tcPr>
          <w:p w14:paraId="4CCB62AF" w14:textId="77777777" w:rsidR="00617156" w:rsidRPr="00617156" w:rsidRDefault="00617156" w:rsidP="00617156">
            <w:pPr>
              <w:jc w:val="center"/>
              <w:rPr>
                <w:sz w:val="14"/>
                <w:szCs w:val="14"/>
              </w:rPr>
            </w:pPr>
            <w:r w:rsidRPr="00617156">
              <w:rPr>
                <w:sz w:val="14"/>
                <w:szCs w:val="14"/>
              </w:rPr>
              <w:t>0.60</w:t>
            </w:r>
          </w:p>
        </w:tc>
        <w:tc>
          <w:tcPr>
            <w:tcW w:w="717" w:type="dxa"/>
            <w:tcBorders>
              <w:top w:val="single" w:sz="4" w:space="0" w:color="auto"/>
              <w:left w:val="nil"/>
              <w:bottom w:val="single" w:sz="4" w:space="0" w:color="auto"/>
              <w:right w:val="nil"/>
            </w:tcBorders>
            <w:vAlign w:val="center"/>
          </w:tcPr>
          <w:p w14:paraId="3195A745" w14:textId="77777777" w:rsidR="00617156" w:rsidRPr="00617156" w:rsidRDefault="00617156" w:rsidP="00617156">
            <w:pPr>
              <w:jc w:val="center"/>
              <w:rPr>
                <w:sz w:val="14"/>
                <w:szCs w:val="14"/>
              </w:rPr>
            </w:pPr>
            <w:r w:rsidRPr="00617156">
              <w:rPr>
                <w:sz w:val="14"/>
                <w:szCs w:val="14"/>
              </w:rPr>
              <w:t>0.84</w:t>
            </w:r>
          </w:p>
        </w:tc>
      </w:tr>
      <w:tr w:rsidR="00617156" w:rsidRPr="00617156" w14:paraId="5760FCF8" w14:textId="77777777" w:rsidTr="00617156">
        <w:trPr>
          <w:trHeight w:val="239"/>
        </w:trPr>
        <w:tc>
          <w:tcPr>
            <w:tcW w:w="425" w:type="dxa"/>
            <w:tcBorders>
              <w:top w:val="single" w:sz="4" w:space="0" w:color="auto"/>
              <w:left w:val="nil"/>
              <w:bottom w:val="single" w:sz="4" w:space="0" w:color="auto"/>
              <w:right w:val="nil"/>
            </w:tcBorders>
            <w:vAlign w:val="center"/>
          </w:tcPr>
          <w:p w14:paraId="66E90C10" w14:textId="77777777" w:rsidR="00617156" w:rsidRPr="00617156" w:rsidRDefault="00617156" w:rsidP="00835C90">
            <w:pPr>
              <w:jc w:val="center"/>
              <w:rPr>
                <w:sz w:val="14"/>
                <w:szCs w:val="14"/>
              </w:rPr>
            </w:pPr>
            <w:r w:rsidRPr="00617156">
              <w:rPr>
                <w:sz w:val="14"/>
                <w:szCs w:val="14"/>
              </w:rPr>
              <w:t>4</w:t>
            </w:r>
          </w:p>
        </w:tc>
        <w:tc>
          <w:tcPr>
            <w:tcW w:w="2309" w:type="dxa"/>
            <w:tcBorders>
              <w:top w:val="single" w:sz="4" w:space="0" w:color="auto"/>
              <w:left w:val="nil"/>
              <w:bottom w:val="single" w:sz="4" w:space="0" w:color="auto"/>
              <w:right w:val="nil"/>
            </w:tcBorders>
            <w:vAlign w:val="center"/>
          </w:tcPr>
          <w:p w14:paraId="1580BE0C" w14:textId="77777777" w:rsidR="00617156" w:rsidRPr="00617156" w:rsidRDefault="00617156" w:rsidP="00835C90">
            <w:pPr>
              <w:jc w:val="both"/>
              <w:rPr>
                <w:sz w:val="14"/>
                <w:szCs w:val="14"/>
              </w:rPr>
            </w:pPr>
            <w:r w:rsidRPr="00617156">
              <w:rPr>
                <w:sz w:val="14"/>
                <w:szCs w:val="14"/>
              </w:rPr>
              <w:t>Busco situaciones que pongan a prueba mis habilidades y destrezas</w:t>
            </w:r>
          </w:p>
        </w:tc>
        <w:tc>
          <w:tcPr>
            <w:tcW w:w="667" w:type="dxa"/>
            <w:tcBorders>
              <w:top w:val="single" w:sz="4" w:space="0" w:color="auto"/>
              <w:left w:val="nil"/>
              <w:bottom w:val="single" w:sz="4" w:space="0" w:color="auto"/>
              <w:right w:val="nil"/>
            </w:tcBorders>
            <w:vAlign w:val="center"/>
          </w:tcPr>
          <w:p w14:paraId="07078BFC" w14:textId="77777777" w:rsidR="00617156" w:rsidRPr="00617156" w:rsidRDefault="00617156" w:rsidP="00617156">
            <w:pPr>
              <w:jc w:val="center"/>
              <w:rPr>
                <w:sz w:val="14"/>
                <w:szCs w:val="14"/>
              </w:rPr>
            </w:pPr>
            <w:r w:rsidRPr="00617156">
              <w:rPr>
                <w:sz w:val="14"/>
                <w:szCs w:val="14"/>
              </w:rPr>
              <w:t>3.2</w:t>
            </w:r>
          </w:p>
        </w:tc>
        <w:tc>
          <w:tcPr>
            <w:tcW w:w="667" w:type="dxa"/>
            <w:tcBorders>
              <w:top w:val="single" w:sz="4" w:space="0" w:color="auto"/>
              <w:left w:val="nil"/>
              <w:bottom w:val="single" w:sz="4" w:space="0" w:color="auto"/>
              <w:right w:val="nil"/>
            </w:tcBorders>
            <w:vAlign w:val="center"/>
          </w:tcPr>
          <w:p w14:paraId="4791E9CF" w14:textId="77777777" w:rsidR="00617156" w:rsidRPr="00617156" w:rsidRDefault="00617156" w:rsidP="00617156">
            <w:pPr>
              <w:jc w:val="center"/>
              <w:rPr>
                <w:sz w:val="14"/>
                <w:szCs w:val="14"/>
              </w:rPr>
            </w:pPr>
            <w:r w:rsidRPr="00617156">
              <w:rPr>
                <w:sz w:val="14"/>
                <w:szCs w:val="14"/>
              </w:rPr>
              <w:t>12.4</w:t>
            </w:r>
          </w:p>
        </w:tc>
        <w:tc>
          <w:tcPr>
            <w:tcW w:w="667" w:type="dxa"/>
            <w:tcBorders>
              <w:top w:val="single" w:sz="4" w:space="0" w:color="auto"/>
              <w:left w:val="nil"/>
              <w:bottom w:val="single" w:sz="4" w:space="0" w:color="auto"/>
              <w:right w:val="nil"/>
            </w:tcBorders>
            <w:vAlign w:val="center"/>
          </w:tcPr>
          <w:p w14:paraId="43C38AEF" w14:textId="77777777" w:rsidR="00617156" w:rsidRPr="00617156" w:rsidRDefault="00617156" w:rsidP="00617156">
            <w:pPr>
              <w:jc w:val="center"/>
              <w:rPr>
                <w:sz w:val="14"/>
                <w:szCs w:val="14"/>
              </w:rPr>
            </w:pPr>
            <w:r w:rsidRPr="00617156">
              <w:rPr>
                <w:sz w:val="14"/>
                <w:szCs w:val="14"/>
              </w:rPr>
              <w:t>26.4</w:t>
            </w:r>
          </w:p>
        </w:tc>
        <w:tc>
          <w:tcPr>
            <w:tcW w:w="667" w:type="dxa"/>
            <w:tcBorders>
              <w:top w:val="single" w:sz="4" w:space="0" w:color="auto"/>
              <w:left w:val="nil"/>
              <w:bottom w:val="single" w:sz="4" w:space="0" w:color="auto"/>
              <w:right w:val="nil"/>
            </w:tcBorders>
            <w:vAlign w:val="center"/>
          </w:tcPr>
          <w:p w14:paraId="3FB5B968" w14:textId="77777777" w:rsidR="00617156" w:rsidRPr="00617156" w:rsidRDefault="00617156" w:rsidP="00617156">
            <w:pPr>
              <w:jc w:val="center"/>
              <w:rPr>
                <w:sz w:val="14"/>
                <w:szCs w:val="14"/>
              </w:rPr>
            </w:pPr>
            <w:r w:rsidRPr="00617156">
              <w:rPr>
                <w:sz w:val="14"/>
                <w:szCs w:val="14"/>
              </w:rPr>
              <w:t>42.2</w:t>
            </w:r>
          </w:p>
        </w:tc>
        <w:tc>
          <w:tcPr>
            <w:tcW w:w="667" w:type="dxa"/>
            <w:tcBorders>
              <w:top w:val="single" w:sz="4" w:space="0" w:color="auto"/>
              <w:left w:val="nil"/>
              <w:bottom w:val="single" w:sz="4" w:space="0" w:color="auto"/>
              <w:right w:val="nil"/>
            </w:tcBorders>
            <w:vAlign w:val="center"/>
          </w:tcPr>
          <w:p w14:paraId="3996A8AB" w14:textId="77777777" w:rsidR="00617156" w:rsidRPr="00617156" w:rsidRDefault="00617156" w:rsidP="00617156">
            <w:pPr>
              <w:jc w:val="center"/>
              <w:rPr>
                <w:sz w:val="14"/>
                <w:szCs w:val="14"/>
              </w:rPr>
            </w:pPr>
            <w:r w:rsidRPr="00617156">
              <w:rPr>
                <w:sz w:val="14"/>
                <w:szCs w:val="14"/>
              </w:rPr>
              <w:t>15.8</w:t>
            </w:r>
          </w:p>
        </w:tc>
        <w:tc>
          <w:tcPr>
            <w:tcW w:w="667" w:type="dxa"/>
            <w:tcBorders>
              <w:top w:val="single" w:sz="4" w:space="0" w:color="auto"/>
              <w:left w:val="nil"/>
              <w:bottom w:val="single" w:sz="4" w:space="0" w:color="auto"/>
              <w:right w:val="nil"/>
            </w:tcBorders>
            <w:vAlign w:val="center"/>
          </w:tcPr>
          <w:p w14:paraId="63D17273" w14:textId="77777777" w:rsidR="00617156" w:rsidRPr="00617156" w:rsidRDefault="00617156" w:rsidP="00617156">
            <w:pPr>
              <w:jc w:val="center"/>
              <w:rPr>
                <w:sz w:val="14"/>
                <w:szCs w:val="14"/>
              </w:rPr>
            </w:pPr>
            <w:r w:rsidRPr="00617156">
              <w:rPr>
                <w:sz w:val="14"/>
                <w:szCs w:val="14"/>
              </w:rPr>
              <w:t>-0.51</w:t>
            </w:r>
          </w:p>
        </w:tc>
        <w:tc>
          <w:tcPr>
            <w:tcW w:w="716" w:type="dxa"/>
            <w:tcBorders>
              <w:top w:val="single" w:sz="4" w:space="0" w:color="auto"/>
              <w:left w:val="nil"/>
              <w:bottom w:val="single" w:sz="4" w:space="0" w:color="auto"/>
              <w:right w:val="nil"/>
            </w:tcBorders>
            <w:vAlign w:val="center"/>
          </w:tcPr>
          <w:p w14:paraId="752086CE" w14:textId="77777777" w:rsidR="00617156" w:rsidRPr="00617156" w:rsidRDefault="00617156" w:rsidP="00617156">
            <w:pPr>
              <w:jc w:val="center"/>
              <w:rPr>
                <w:sz w:val="14"/>
                <w:szCs w:val="14"/>
              </w:rPr>
            </w:pPr>
            <w:r w:rsidRPr="00617156">
              <w:rPr>
                <w:sz w:val="14"/>
                <w:szCs w:val="14"/>
              </w:rPr>
              <w:t>-0.20</w:t>
            </w:r>
          </w:p>
        </w:tc>
        <w:tc>
          <w:tcPr>
            <w:tcW w:w="737" w:type="dxa"/>
            <w:tcBorders>
              <w:top w:val="single" w:sz="4" w:space="0" w:color="auto"/>
              <w:left w:val="nil"/>
              <w:bottom w:val="single" w:sz="4" w:space="0" w:color="auto"/>
              <w:right w:val="nil"/>
            </w:tcBorders>
            <w:vAlign w:val="center"/>
          </w:tcPr>
          <w:p w14:paraId="7BE095A7" w14:textId="77777777" w:rsidR="00617156" w:rsidRPr="00617156" w:rsidRDefault="00617156" w:rsidP="00617156">
            <w:pPr>
              <w:jc w:val="center"/>
              <w:rPr>
                <w:sz w:val="14"/>
                <w:szCs w:val="14"/>
              </w:rPr>
            </w:pPr>
            <w:r w:rsidRPr="00617156">
              <w:rPr>
                <w:sz w:val="14"/>
                <w:szCs w:val="14"/>
              </w:rPr>
              <w:t>0.56</w:t>
            </w:r>
          </w:p>
        </w:tc>
        <w:tc>
          <w:tcPr>
            <w:tcW w:w="717" w:type="dxa"/>
            <w:tcBorders>
              <w:top w:val="single" w:sz="4" w:space="0" w:color="auto"/>
              <w:left w:val="nil"/>
              <w:bottom w:val="single" w:sz="4" w:space="0" w:color="auto"/>
              <w:right w:val="nil"/>
            </w:tcBorders>
            <w:vAlign w:val="center"/>
          </w:tcPr>
          <w:p w14:paraId="71DA1B94" w14:textId="77777777" w:rsidR="00617156" w:rsidRPr="00617156" w:rsidRDefault="00617156" w:rsidP="00617156">
            <w:pPr>
              <w:jc w:val="center"/>
              <w:rPr>
                <w:sz w:val="14"/>
                <w:szCs w:val="14"/>
              </w:rPr>
            </w:pPr>
            <w:r w:rsidRPr="00617156">
              <w:rPr>
                <w:sz w:val="14"/>
                <w:szCs w:val="14"/>
              </w:rPr>
              <w:t>0.85</w:t>
            </w:r>
          </w:p>
        </w:tc>
      </w:tr>
      <w:tr w:rsidR="00617156" w:rsidRPr="00617156" w14:paraId="34D00F55" w14:textId="77777777" w:rsidTr="00617156">
        <w:tc>
          <w:tcPr>
            <w:tcW w:w="425" w:type="dxa"/>
            <w:tcBorders>
              <w:top w:val="single" w:sz="4" w:space="0" w:color="auto"/>
              <w:left w:val="nil"/>
              <w:bottom w:val="single" w:sz="4" w:space="0" w:color="auto"/>
              <w:right w:val="nil"/>
            </w:tcBorders>
            <w:vAlign w:val="center"/>
          </w:tcPr>
          <w:p w14:paraId="3ED587D7" w14:textId="77777777" w:rsidR="00617156" w:rsidRPr="00617156" w:rsidRDefault="00617156" w:rsidP="00835C90">
            <w:pPr>
              <w:jc w:val="center"/>
              <w:rPr>
                <w:sz w:val="14"/>
                <w:szCs w:val="14"/>
              </w:rPr>
            </w:pPr>
            <w:r w:rsidRPr="00617156">
              <w:rPr>
                <w:sz w:val="14"/>
                <w:szCs w:val="14"/>
              </w:rPr>
              <w:t>5</w:t>
            </w:r>
          </w:p>
        </w:tc>
        <w:tc>
          <w:tcPr>
            <w:tcW w:w="2309" w:type="dxa"/>
            <w:tcBorders>
              <w:top w:val="single" w:sz="4" w:space="0" w:color="auto"/>
              <w:left w:val="nil"/>
              <w:bottom w:val="single" w:sz="4" w:space="0" w:color="auto"/>
              <w:right w:val="nil"/>
            </w:tcBorders>
            <w:vAlign w:val="center"/>
          </w:tcPr>
          <w:p w14:paraId="20C92377" w14:textId="77777777" w:rsidR="00617156" w:rsidRPr="00617156" w:rsidRDefault="00617156" w:rsidP="00835C90">
            <w:pPr>
              <w:jc w:val="both"/>
              <w:rPr>
                <w:sz w:val="14"/>
                <w:szCs w:val="14"/>
              </w:rPr>
            </w:pPr>
            <w:r w:rsidRPr="00617156">
              <w:rPr>
                <w:sz w:val="14"/>
                <w:szCs w:val="14"/>
              </w:rPr>
              <w:t>Al tomar una decisión, siempre tomo en cuenta si mi acción beneficiará a otras personas</w:t>
            </w:r>
          </w:p>
        </w:tc>
        <w:tc>
          <w:tcPr>
            <w:tcW w:w="667" w:type="dxa"/>
            <w:tcBorders>
              <w:top w:val="single" w:sz="4" w:space="0" w:color="auto"/>
              <w:left w:val="nil"/>
              <w:bottom w:val="single" w:sz="4" w:space="0" w:color="auto"/>
              <w:right w:val="nil"/>
            </w:tcBorders>
            <w:vAlign w:val="center"/>
          </w:tcPr>
          <w:p w14:paraId="5F625655" w14:textId="77777777" w:rsidR="00617156" w:rsidRPr="00617156" w:rsidRDefault="00617156" w:rsidP="00617156">
            <w:pPr>
              <w:jc w:val="center"/>
              <w:rPr>
                <w:sz w:val="14"/>
                <w:szCs w:val="14"/>
              </w:rPr>
            </w:pPr>
            <w:r w:rsidRPr="00617156">
              <w:rPr>
                <w:sz w:val="14"/>
                <w:szCs w:val="14"/>
              </w:rPr>
              <w:t>2.4</w:t>
            </w:r>
          </w:p>
        </w:tc>
        <w:tc>
          <w:tcPr>
            <w:tcW w:w="667" w:type="dxa"/>
            <w:tcBorders>
              <w:top w:val="single" w:sz="4" w:space="0" w:color="auto"/>
              <w:left w:val="nil"/>
              <w:bottom w:val="single" w:sz="4" w:space="0" w:color="auto"/>
              <w:right w:val="nil"/>
            </w:tcBorders>
            <w:vAlign w:val="center"/>
          </w:tcPr>
          <w:p w14:paraId="5A96ED5E" w14:textId="77777777" w:rsidR="00617156" w:rsidRPr="00617156" w:rsidRDefault="00617156" w:rsidP="00617156">
            <w:pPr>
              <w:jc w:val="center"/>
              <w:rPr>
                <w:sz w:val="14"/>
                <w:szCs w:val="14"/>
              </w:rPr>
            </w:pPr>
            <w:r w:rsidRPr="00617156">
              <w:rPr>
                <w:sz w:val="14"/>
                <w:szCs w:val="14"/>
              </w:rPr>
              <w:t>9.0</w:t>
            </w:r>
          </w:p>
        </w:tc>
        <w:tc>
          <w:tcPr>
            <w:tcW w:w="667" w:type="dxa"/>
            <w:tcBorders>
              <w:top w:val="single" w:sz="4" w:space="0" w:color="auto"/>
              <w:left w:val="nil"/>
              <w:bottom w:val="single" w:sz="4" w:space="0" w:color="auto"/>
              <w:right w:val="nil"/>
            </w:tcBorders>
            <w:vAlign w:val="center"/>
          </w:tcPr>
          <w:p w14:paraId="6B1D1DF7" w14:textId="77777777" w:rsidR="00617156" w:rsidRPr="00617156" w:rsidRDefault="00617156" w:rsidP="00617156">
            <w:pPr>
              <w:jc w:val="center"/>
              <w:rPr>
                <w:sz w:val="14"/>
                <w:szCs w:val="14"/>
              </w:rPr>
            </w:pPr>
            <w:r w:rsidRPr="00617156">
              <w:rPr>
                <w:sz w:val="14"/>
                <w:szCs w:val="14"/>
              </w:rPr>
              <w:t>23.5</w:t>
            </w:r>
          </w:p>
        </w:tc>
        <w:tc>
          <w:tcPr>
            <w:tcW w:w="667" w:type="dxa"/>
            <w:tcBorders>
              <w:top w:val="single" w:sz="4" w:space="0" w:color="auto"/>
              <w:left w:val="nil"/>
              <w:bottom w:val="single" w:sz="4" w:space="0" w:color="auto"/>
              <w:right w:val="nil"/>
            </w:tcBorders>
            <w:vAlign w:val="center"/>
          </w:tcPr>
          <w:p w14:paraId="57137F5F" w14:textId="77777777" w:rsidR="00617156" w:rsidRPr="00617156" w:rsidRDefault="00617156" w:rsidP="00617156">
            <w:pPr>
              <w:jc w:val="center"/>
              <w:rPr>
                <w:sz w:val="14"/>
                <w:szCs w:val="14"/>
              </w:rPr>
            </w:pPr>
            <w:r w:rsidRPr="00617156">
              <w:rPr>
                <w:sz w:val="14"/>
                <w:szCs w:val="14"/>
              </w:rPr>
              <w:t>40.1</w:t>
            </w:r>
          </w:p>
        </w:tc>
        <w:tc>
          <w:tcPr>
            <w:tcW w:w="667" w:type="dxa"/>
            <w:tcBorders>
              <w:top w:val="single" w:sz="4" w:space="0" w:color="auto"/>
              <w:left w:val="nil"/>
              <w:bottom w:val="single" w:sz="4" w:space="0" w:color="auto"/>
              <w:right w:val="nil"/>
            </w:tcBorders>
            <w:vAlign w:val="center"/>
          </w:tcPr>
          <w:p w14:paraId="220A360E" w14:textId="77777777" w:rsidR="00617156" w:rsidRPr="00617156" w:rsidRDefault="00617156" w:rsidP="00617156">
            <w:pPr>
              <w:jc w:val="center"/>
              <w:rPr>
                <w:sz w:val="14"/>
                <w:szCs w:val="14"/>
              </w:rPr>
            </w:pPr>
            <w:r w:rsidRPr="00617156">
              <w:rPr>
                <w:sz w:val="14"/>
                <w:szCs w:val="14"/>
              </w:rPr>
              <w:t>25.0</w:t>
            </w:r>
          </w:p>
        </w:tc>
        <w:tc>
          <w:tcPr>
            <w:tcW w:w="667" w:type="dxa"/>
            <w:tcBorders>
              <w:top w:val="single" w:sz="4" w:space="0" w:color="auto"/>
              <w:left w:val="nil"/>
              <w:bottom w:val="single" w:sz="4" w:space="0" w:color="auto"/>
              <w:right w:val="nil"/>
            </w:tcBorders>
            <w:vAlign w:val="center"/>
          </w:tcPr>
          <w:p w14:paraId="7CC8890E" w14:textId="77777777" w:rsidR="00617156" w:rsidRPr="00617156" w:rsidRDefault="00617156" w:rsidP="00617156">
            <w:pPr>
              <w:jc w:val="center"/>
              <w:rPr>
                <w:sz w:val="14"/>
                <w:szCs w:val="14"/>
              </w:rPr>
            </w:pPr>
            <w:r w:rsidRPr="00617156">
              <w:rPr>
                <w:sz w:val="14"/>
                <w:szCs w:val="14"/>
              </w:rPr>
              <w:t>-0.62</w:t>
            </w:r>
          </w:p>
        </w:tc>
        <w:tc>
          <w:tcPr>
            <w:tcW w:w="716" w:type="dxa"/>
            <w:tcBorders>
              <w:top w:val="single" w:sz="4" w:space="0" w:color="auto"/>
              <w:left w:val="nil"/>
              <w:bottom w:val="single" w:sz="4" w:space="0" w:color="auto"/>
              <w:right w:val="nil"/>
            </w:tcBorders>
            <w:vAlign w:val="center"/>
          </w:tcPr>
          <w:p w14:paraId="343ED35A" w14:textId="77777777" w:rsidR="00617156" w:rsidRPr="00617156" w:rsidRDefault="00617156" w:rsidP="00617156">
            <w:pPr>
              <w:jc w:val="center"/>
              <w:rPr>
                <w:sz w:val="14"/>
                <w:szCs w:val="14"/>
              </w:rPr>
            </w:pPr>
            <w:r w:rsidRPr="00617156">
              <w:rPr>
                <w:sz w:val="14"/>
                <w:szCs w:val="14"/>
              </w:rPr>
              <w:t>-0.08</w:t>
            </w:r>
          </w:p>
        </w:tc>
        <w:tc>
          <w:tcPr>
            <w:tcW w:w="737" w:type="dxa"/>
            <w:tcBorders>
              <w:top w:val="single" w:sz="4" w:space="0" w:color="auto"/>
              <w:left w:val="nil"/>
              <w:bottom w:val="single" w:sz="4" w:space="0" w:color="auto"/>
              <w:right w:val="nil"/>
            </w:tcBorders>
            <w:vAlign w:val="center"/>
          </w:tcPr>
          <w:p w14:paraId="693EE182" w14:textId="77777777" w:rsidR="00617156" w:rsidRPr="00617156" w:rsidRDefault="00617156" w:rsidP="00617156">
            <w:pPr>
              <w:jc w:val="center"/>
              <w:rPr>
                <w:sz w:val="14"/>
                <w:szCs w:val="14"/>
              </w:rPr>
            </w:pPr>
            <w:r w:rsidRPr="00617156">
              <w:rPr>
                <w:sz w:val="14"/>
                <w:szCs w:val="14"/>
              </w:rPr>
              <w:t>0.50</w:t>
            </w:r>
          </w:p>
        </w:tc>
        <w:tc>
          <w:tcPr>
            <w:tcW w:w="717" w:type="dxa"/>
            <w:tcBorders>
              <w:top w:val="single" w:sz="4" w:space="0" w:color="auto"/>
              <w:left w:val="nil"/>
              <w:bottom w:val="single" w:sz="4" w:space="0" w:color="auto"/>
              <w:right w:val="nil"/>
            </w:tcBorders>
            <w:vAlign w:val="center"/>
          </w:tcPr>
          <w:p w14:paraId="2C5E32D0" w14:textId="77777777" w:rsidR="00617156" w:rsidRPr="00617156" w:rsidRDefault="00617156" w:rsidP="00617156">
            <w:pPr>
              <w:jc w:val="center"/>
              <w:rPr>
                <w:sz w:val="14"/>
                <w:szCs w:val="14"/>
              </w:rPr>
            </w:pPr>
            <w:r w:rsidRPr="00617156">
              <w:rPr>
                <w:sz w:val="14"/>
                <w:szCs w:val="14"/>
              </w:rPr>
              <w:t>0.85</w:t>
            </w:r>
          </w:p>
        </w:tc>
      </w:tr>
      <w:tr w:rsidR="00617156" w:rsidRPr="00617156" w14:paraId="6A84B425" w14:textId="77777777" w:rsidTr="00617156">
        <w:tc>
          <w:tcPr>
            <w:tcW w:w="425" w:type="dxa"/>
            <w:tcBorders>
              <w:top w:val="single" w:sz="4" w:space="0" w:color="auto"/>
              <w:left w:val="nil"/>
              <w:bottom w:val="single" w:sz="4" w:space="0" w:color="auto"/>
              <w:right w:val="nil"/>
            </w:tcBorders>
            <w:vAlign w:val="center"/>
          </w:tcPr>
          <w:p w14:paraId="2CE90B71" w14:textId="77777777" w:rsidR="00617156" w:rsidRPr="00617156" w:rsidRDefault="00617156" w:rsidP="00835C90">
            <w:pPr>
              <w:jc w:val="center"/>
              <w:rPr>
                <w:sz w:val="14"/>
                <w:szCs w:val="14"/>
              </w:rPr>
            </w:pPr>
            <w:r w:rsidRPr="00617156">
              <w:rPr>
                <w:sz w:val="14"/>
                <w:szCs w:val="14"/>
              </w:rPr>
              <w:t>6</w:t>
            </w:r>
          </w:p>
        </w:tc>
        <w:tc>
          <w:tcPr>
            <w:tcW w:w="2309" w:type="dxa"/>
            <w:tcBorders>
              <w:top w:val="single" w:sz="4" w:space="0" w:color="auto"/>
              <w:left w:val="nil"/>
              <w:bottom w:val="single" w:sz="4" w:space="0" w:color="auto"/>
              <w:right w:val="nil"/>
            </w:tcBorders>
            <w:vAlign w:val="center"/>
          </w:tcPr>
          <w:p w14:paraId="0368C68C" w14:textId="77777777" w:rsidR="00617156" w:rsidRPr="00617156" w:rsidRDefault="00617156" w:rsidP="00835C90">
            <w:pPr>
              <w:jc w:val="both"/>
              <w:rPr>
                <w:sz w:val="14"/>
                <w:szCs w:val="14"/>
              </w:rPr>
            </w:pPr>
            <w:r w:rsidRPr="00617156">
              <w:rPr>
                <w:sz w:val="14"/>
                <w:szCs w:val="14"/>
              </w:rPr>
              <w:t>Ya sea trabajando o jugando, normalmente estoy tan enfocado que no soy consciente de mí mismo</w:t>
            </w:r>
          </w:p>
        </w:tc>
        <w:tc>
          <w:tcPr>
            <w:tcW w:w="667" w:type="dxa"/>
            <w:tcBorders>
              <w:top w:val="single" w:sz="4" w:space="0" w:color="auto"/>
              <w:left w:val="nil"/>
              <w:bottom w:val="single" w:sz="4" w:space="0" w:color="auto"/>
              <w:right w:val="nil"/>
            </w:tcBorders>
            <w:vAlign w:val="center"/>
          </w:tcPr>
          <w:p w14:paraId="659589D3" w14:textId="77777777" w:rsidR="00617156" w:rsidRPr="00617156" w:rsidRDefault="00617156" w:rsidP="00617156">
            <w:pPr>
              <w:jc w:val="center"/>
              <w:rPr>
                <w:sz w:val="14"/>
                <w:szCs w:val="14"/>
              </w:rPr>
            </w:pPr>
            <w:r w:rsidRPr="00617156">
              <w:rPr>
                <w:sz w:val="14"/>
                <w:szCs w:val="14"/>
              </w:rPr>
              <w:t>4.4</w:t>
            </w:r>
          </w:p>
        </w:tc>
        <w:tc>
          <w:tcPr>
            <w:tcW w:w="667" w:type="dxa"/>
            <w:tcBorders>
              <w:top w:val="single" w:sz="4" w:space="0" w:color="auto"/>
              <w:left w:val="nil"/>
              <w:bottom w:val="single" w:sz="4" w:space="0" w:color="auto"/>
              <w:right w:val="nil"/>
            </w:tcBorders>
            <w:vAlign w:val="center"/>
          </w:tcPr>
          <w:p w14:paraId="34D560DC" w14:textId="77777777" w:rsidR="00617156" w:rsidRPr="00617156" w:rsidRDefault="00617156" w:rsidP="00617156">
            <w:pPr>
              <w:jc w:val="center"/>
              <w:rPr>
                <w:sz w:val="14"/>
                <w:szCs w:val="14"/>
              </w:rPr>
            </w:pPr>
            <w:r w:rsidRPr="00617156">
              <w:rPr>
                <w:sz w:val="14"/>
                <w:szCs w:val="14"/>
              </w:rPr>
              <w:t>31.1</w:t>
            </w:r>
          </w:p>
        </w:tc>
        <w:tc>
          <w:tcPr>
            <w:tcW w:w="667" w:type="dxa"/>
            <w:tcBorders>
              <w:top w:val="single" w:sz="4" w:space="0" w:color="auto"/>
              <w:left w:val="nil"/>
              <w:bottom w:val="single" w:sz="4" w:space="0" w:color="auto"/>
              <w:right w:val="nil"/>
            </w:tcBorders>
            <w:vAlign w:val="center"/>
          </w:tcPr>
          <w:p w14:paraId="78F19F66" w14:textId="77777777" w:rsidR="00617156" w:rsidRPr="00617156" w:rsidRDefault="00617156" w:rsidP="00617156">
            <w:pPr>
              <w:jc w:val="center"/>
              <w:rPr>
                <w:sz w:val="14"/>
                <w:szCs w:val="14"/>
              </w:rPr>
            </w:pPr>
            <w:r w:rsidRPr="00617156">
              <w:rPr>
                <w:sz w:val="14"/>
                <w:szCs w:val="14"/>
              </w:rPr>
              <w:t>26.7</w:t>
            </w:r>
          </w:p>
        </w:tc>
        <w:tc>
          <w:tcPr>
            <w:tcW w:w="667" w:type="dxa"/>
            <w:tcBorders>
              <w:top w:val="single" w:sz="4" w:space="0" w:color="auto"/>
              <w:left w:val="nil"/>
              <w:bottom w:val="single" w:sz="4" w:space="0" w:color="auto"/>
              <w:right w:val="nil"/>
            </w:tcBorders>
            <w:vAlign w:val="center"/>
          </w:tcPr>
          <w:p w14:paraId="687D1732" w14:textId="77777777" w:rsidR="00617156" w:rsidRPr="00617156" w:rsidRDefault="00617156" w:rsidP="00617156">
            <w:pPr>
              <w:jc w:val="center"/>
              <w:rPr>
                <w:sz w:val="14"/>
                <w:szCs w:val="14"/>
              </w:rPr>
            </w:pPr>
            <w:r w:rsidRPr="00617156">
              <w:rPr>
                <w:sz w:val="14"/>
                <w:szCs w:val="14"/>
              </w:rPr>
              <w:t>29.5</w:t>
            </w:r>
          </w:p>
        </w:tc>
        <w:tc>
          <w:tcPr>
            <w:tcW w:w="667" w:type="dxa"/>
            <w:tcBorders>
              <w:top w:val="single" w:sz="4" w:space="0" w:color="auto"/>
              <w:left w:val="nil"/>
              <w:bottom w:val="single" w:sz="4" w:space="0" w:color="auto"/>
              <w:right w:val="nil"/>
            </w:tcBorders>
            <w:vAlign w:val="center"/>
          </w:tcPr>
          <w:p w14:paraId="21EFBED8" w14:textId="77777777" w:rsidR="00617156" w:rsidRPr="00617156" w:rsidRDefault="00617156" w:rsidP="00617156">
            <w:pPr>
              <w:jc w:val="center"/>
              <w:rPr>
                <w:sz w:val="14"/>
                <w:szCs w:val="14"/>
              </w:rPr>
            </w:pPr>
            <w:r w:rsidRPr="00617156">
              <w:rPr>
                <w:sz w:val="14"/>
                <w:szCs w:val="14"/>
              </w:rPr>
              <w:t>8.3</w:t>
            </w:r>
          </w:p>
        </w:tc>
        <w:tc>
          <w:tcPr>
            <w:tcW w:w="667" w:type="dxa"/>
            <w:tcBorders>
              <w:top w:val="single" w:sz="4" w:space="0" w:color="auto"/>
              <w:left w:val="nil"/>
              <w:bottom w:val="single" w:sz="4" w:space="0" w:color="auto"/>
              <w:right w:val="nil"/>
            </w:tcBorders>
            <w:vAlign w:val="center"/>
          </w:tcPr>
          <w:p w14:paraId="05792A9B" w14:textId="77777777" w:rsidR="00617156" w:rsidRPr="00617156" w:rsidRDefault="00617156" w:rsidP="00617156">
            <w:pPr>
              <w:jc w:val="center"/>
              <w:rPr>
                <w:sz w:val="14"/>
                <w:szCs w:val="14"/>
              </w:rPr>
            </w:pPr>
            <w:r w:rsidRPr="00617156">
              <w:rPr>
                <w:sz w:val="14"/>
                <w:szCs w:val="14"/>
              </w:rPr>
              <w:t>0.07</w:t>
            </w:r>
          </w:p>
        </w:tc>
        <w:tc>
          <w:tcPr>
            <w:tcW w:w="716" w:type="dxa"/>
            <w:tcBorders>
              <w:top w:val="single" w:sz="4" w:space="0" w:color="auto"/>
              <w:left w:val="nil"/>
              <w:bottom w:val="single" w:sz="4" w:space="0" w:color="auto"/>
              <w:right w:val="nil"/>
            </w:tcBorders>
            <w:vAlign w:val="center"/>
          </w:tcPr>
          <w:p w14:paraId="14643063" w14:textId="77777777" w:rsidR="00617156" w:rsidRPr="00617156" w:rsidRDefault="00617156" w:rsidP="00617156">
            <w:pPr>
              <w:jc w:val="center"/>
              <w:rPr>
                <w:sz w:val="14"/>
                <w:szCs w:val="14"/>
              </w:rPr>
            </w:pPr>
            <w:r w:rsidRPr="00617156">
              <w:rPr>
                <w:sz w:val="14"/>
                <w:szCs w:val="14"/>
              </w:rPr>
              <w:t>-0.89</w:t>
            </w:r>
          </w:p>
        </w:tc>
        <w:tc>
          <w:tcPr>
            <w:tcW w:w="737" w:type="dxa"/>
            <w:tcBorders>
              <w:top w:val="single" w:sz="4" w:space="0" w:color="auto"/>
              <w:left w:val="nil"/>
              <w:bottom w:val="single" w:sz="4" w:space="0" w:color="auto"/>
              <w:right w:val="nil"/>
            </w:tcBorders>
            <w:vAlign w:val="center"/>
          </w:tcPr>
          <w:p w14:paraId="62A102A8" w14:textId="77777777" w:rsidR="00617156" w:rsidRPr="00617156" w:rsidRDefault="00617156" w:rsidP="00617156">
            <w:pPr>
              <w:jc w:val="center"/>
              <w:rPr>
                <w:sz w:val="14"/>
                <w:szCs w:val="14"/>
              </w:rPr>
            </w:pPr>
            <w:r w:rsidRPr="00617156">
              <w:rPr>
                <w:sz w:val="14"/>
                <w:szCs w:val="14"/>
              </w:rPr>
              <w:t>0.20</w:t>
            </w:r>
          </w:p>
        </w:tc>
        <w:tc>
          <w:tcPr>
            <w:tcW w:w="717" w:type="dxa"/>
            <w:tcBorders>
              <w:top w:val="single" w:sz="4" w:space="0" w:color="auto"/>
              <w:left w:val="nil"/>
              <w:bottom w:val="single" w:sz="4" w:space="0" w:color="auto"/>
              <w:right w:val="nil"/>
            </w:tcBorders>
            <w:vAlign w:val="center"/>
          </w:tcPr>
          <w:p w14:paraId="55EFC5D1" w14:textId="77777777" w:rsidR="00617156" w:rsidRPr="00617156" w:rsidRDefault="00617156" w:rsidP="00617156">
            <w:pPr>
              <w:jc w:val="center"/>
              <w:rPr>
                <w:sz w:val="14"/>
                <w:szCs w:val="14"/>
              </w:rPr>
            </w:pPr>
            <w:r w:rsidRPr="00617156">
              <w:rPr>
                <w:sz w:val="14"/>
                <w:szCs w:val="14"/>
              </w:rPr>
              <w:t>0.86</w:t>
            </w:r>
          </w:p>
        </w:tc>
      </w:tr>
      <w:tr w:rsidR="00617156" w:rsidRPr="00617156" w14:paraId="48B779A7" w14:textId="77777777" w:rsidTr="00617156">
        <w:tc>
          <w:tcPr>
            <w:tcW w:w="425" w:type="dxa"/>
            <w:tcBorders>
              <w:top w:val="single" w:sz="4" w:space="0" w:color="auto"/>
              <w:left w:val="nil"/>
              <w:bottom w:val="single" w:sz="4" w:space="0" w:color="auto"/>
              <w:right w:val="nil"/>
            </w:tcBorders>
            <w:vAlign w:val="center"/>
          </w:tcPr>
          <w:p w14:paraId="7FFFEBBE" w14:textId="77777777" w:rsidR="00617156" w:rsidRPr="00617156" w:rsidRDefault="00617156" w:rsidP="00835C90">
            <w:pPr>
              <w:jc w:val="center"/>
              <w:rPr>
                <w:sz w:val="14"/>
                <w:szCs w:val="14"/>
              </w:rPr>
            </w:pPr>
            <w:r w:rsidRPr="00617156">
              <w:rPr>
                <w:sz w:val="14"/>
                <w:szCs w:val="14"/>
              </w:rPr>
              <w:t>7</w:t>
            </w:r>
          </w:p>
        </w:tc>
        <w:tc>
          <w:tcPr>
            <w:tcW w:w="2309" w:type="dxa"/>
            <w:tcBorders>
              <w:top w:val="single" w:sz="4" w:space="0" w:color="auto"/>
              <w:left w:val="nil"/>
              <w:bottom w:val="single" w:sz="4" w:space="0" w:color="auto"/>
              <w:right w:val="nil"/>
            </w:tcBorders>
            <w:vAlign w:val="center"/>
          </w:tcPr>
          <w:p w14:paraId="1803E557" w14:textId="77777777" w:rsidR="00617156" w:rsidRPr="00617156" w:rsidRDefault="00617156" w:rsidP="00835C90">
            <w:pPr>
              <w:jc w:val="both"/>
              <w:rPr>
                <w:sz w:val="14"/>
                <w:szCs w:val="14"/>
              </w:rPr>
            </w:pPr>
            <w:r w:rsidRPr="00617156">
              <w:rPr>
                <w:sz w:val="14"/>
                <w:szCs w:val="14"/>
              </w:rPr>
              <w:t>Siempre me concentro en lo que hago</w:t>
            </w:r>
          </w:p>
        </w:tc>
        <w:tc>
          <w:tcPr>
            <w:tcW w:w="667" w:type="dxa"/>
            <w:tcBorders>
              <w:top w:val="single" w:sz="4" w:space="0" w:color="auto"/>
              <w:left w:val="nil"/>
              <w:bottom w:val="single" w:sz="4" w:space="0" w:color="auto"/>
              <w:right w:val="nil"/>
            </w:tcBorders>
            <w:vAlign w:val="center"/>
          </w:tcPr>
          <w:p w14:paraId="68820442" w14:textId="77777777" w:rsidR="00617156" w:rsidRPr="00617156" w:rsidRDefault="00617156" w:rsidP="00617156">
            <w:pPr>
              <w:jc w:val="center"/>
              <w:rPr>
                <w:sz w:val="14"/>
                <w:szCs w:val="14"/>
              </w:rPr>
            </w:pPr>
            <w:r w:rsidRPr="00617156">
              <w:rPr>
                <w:sz w:val="14"/>
                <w:szCs w:val="14"/>
              </w:rPr>
              <w:t>3.0</w:t>
            </w:r>
          </w:p>
        </w:tc>
        <w:tc>
          <w:tcPr>
            <w:tcW w:w="667" w:type="dxa"/>
            <w:tcBorders>
              <w:top w:val="single" w:sz="4" w:space="0" w:color="auto"/>
              <w:left w:val="nil"/>
              <w:bottom w:val="single" w:sz="4" w:space="0" w:color="auto"/>
              <w:right w:val="nil"/>
            </w:tcBorders>
            <w:vAlign w:val="center"/>
          </w:tcPr>
          <w:p w14:paraId="5EEA4705" w14:textId="77777777" w:rsidR="00617156" w:rsidRPr="00617156" w:rsidRDefault="00617156" w:rsidP="00617156">
            <w:pPr>
              <w:jc w:val="center"/>
              <w:rPr>
                <w:sz w:val="14"/>
                <w:szCs w:val="14"/>
              </w:rPr>
            </w:pPr>
            <w:r w:rsidRPr="00617156">
              <w:rPr>
                <w:sz w:val="14"/>
                <w:szCs w:val="14"/>
              </w:rPr>
              <w:t>17.4</w:t>
            </w:r>
          </w:p>
        </w:tc>
        <w:tc>
          <w:tcPr>
            <w:tcW w:w="667" w:type="dxa"/>
            <w:tcBorders>
              <w:top w:val="single" w:sz="4" w:space="0" w:color="auto"/>
              <w:left w:val="nil"/>
              <w:bottom w:val="single" w:sz="4" w:space="0" w:color="auto"/>
              <w:right w:val="nil"/>
            </w:tcBorders>
            <w:vAlign w:val="center"/>
          </w:tcPr>
          <w:p w14:paraId="5CB36BFF" w14:textId="77777777" w:rsidR="00617156" w:rsidRPr="00617156" w:rsidRDefault="00617156" w:rsidP="00617156">
            <w:pPr>
              <w:jc w:val="center"/>
              <w:rPr>
                <w:sz w:val="14"/>
                <w:szCs w:val="14"/>
              </w:rPr>
            </w:pPr>
            <w:r w:rsidRPr="00617156">
              <w:rPr>
                <w:sz w:val="14"/>
                <w:szCs w:val="14"/>
              </w:rPr>
              <w:t>21.0</w:t>
            </w:r>
          </w:p>
        </w:tc>
        <w:tc>
          <w:tcPr>
            <w:tcW w:w="667" w:type="dxa"/>
            <w:tcBorders>
              <w:top w:val="single" w:sz="4" w:space="0" w:color="auto"/>
              <w:left w:val="nil"/>
              <w:bottom w:val="single" w:sz="4" w:space="0" w:color="auto"/>
              <w:right w:val="nil"/>
            </w:tcBorders>
            <w:vAlign w:val="center"/>
          </w:tcPr>
          <w:p w14:paraId="6A430607" w14:textId="77777777" w:rsidR="00617156" w:rsidRPr="00617156" w:rsidRDefault="00617156" w:rsidP="00617156">
            <w:pPr>
              <w:jc w:val="center"/>
              <w:rPr>
                <w:sz w:val="14"/>
                <w:szCs w:val="14"/>
              </w:rPr>
            </w:pPr>
            <w:r w:rsidRPr="00617156">
              <w:rPr>
                <w:sz w:val="14"/>
                <w:szCs w:val="14"/>
              </w:rPr>
              <w:t>44.3</w:t>
            </w:r>
          </w:p>
        </w:tc>
        <w:tc>
          <w:tcPr>
            <w:tcW w:w="667" w:type="dxa"/>
            <w:tcBorders>
              <w:top w:val="single" w:sz="4" w:space="0" w:color="auto"/>
              <w:left w:val="nil"/>
              <w:bottom w:val="single" w:sz="4" w:space="0" w:color="auto"/>
              <w:right w:val="nil"/>
            </w:tcBorders>
            <w:vAlign w:val="center"/>
          </w:tcPr>
          <w:p w14:paraId="284B2611" w14:textId="77777777" w:rsidR="00617156" w:rsidRPr="00617156" w:rsidRDefault="00617156" w:rsidP="00617156">
            <w:pPr>
              <w:jc w:val="center"/>
              <w:rPr>
                <w:sz w:val="14"/>
                <w:szCs w:val="14"/>
              </w:rPr>
            </w:pPr>
            <w:r w:rsidRPr="00617156">
              <w:rPr>
                <w:sz w:val="14"/>
                <w:szCs w:val="14"/>
              </w:rPr>
              <w:t>14.3</w:t>
            </w:r>
          </w:p>
        </w:tc>
        <w:tc>
          <w:tcPr>
            <w:tcW w:w="667" w:type="dxa"/>
            <w:tcBorders>
              <w:top w:val="single" w:sz="4" w:space="0" w:color="auto"/>
              <w:left w:val="nil"/>
              <w:bottom w:val="single" w:sz="4" w:space="0" w:color="auto"/>
              <w:right w:val="nil"/>
            </w:tcBorders>
            <w:vAlign w:val="center"/>
          </w:tcPr>
          <w:p w14:paraId="660026C0" w14:textId="77777777" w:rsidR="00617156" w:rsidRPr="00617156" w:rsidRDefault="00617156" w:rsidP="00617156">
            <w:pPr>
              <w:jc w:val="center"/>
              <w:rPr>
                <w:sz w:val="14"/>
                <w:szCs w:val="14"/>
              </w:rPr>
            </w:pPr>
            <w:r w:rsidRPr="00617156">
              <w:rPr>
                <w:sz w:val="14"/>
                <w:szCs w:val="14"/>
              </w:rPr>
              <w:t>-0.48</w:t>
            </w:r>
          </w:p>
        </w:tc>
        <w:tc>
          <w:tcPr>
            <w:tcW w:w="716" w:type="dxa"/>
            <w:tcBorders>
              <w:top w:val="single" w:sz="4" w:space="0" w:color="auto"/>
              <w:left w:val="nil"/>
              <w:bottom w:val="single" w:sz="4" w:space="0" w:color="auto"/>
              <w:right w:val="nil"/>
            </w:tcBorders>
            <w:vAlign w:val="center"/>
          </w:tcPr>
          <w:p w14:paraId="2EDB8604" w14:textId="77777777" w:rsidR="00617156" w:rsidRPr="00617156" w:rsidRDefault="00617156" w:rsidP="00617156">
            <w:pPr>
              <w:jc w:val="center"/>
              <w:rPr>
                <w:sz w:val="14"/>
                <w:szCs w:val="14"/>
              </w:rPr>
            </w:pPr>
            <w:r w:rsidRPr="00617156">
              <w:rPr>
                <w:sz w:val="14"/>
                <w:szCs w:val="14"/>
              </w:rPr>
              <w:t>-0.52</w:t>
            </w:r>
          </w:p>
        </w:tc>
        <w:tc>
          <w:tcPr>
            <w:tcW w:w="737" w:type="dxa"/>
            <w:tcBorders>
              <w:top w:val="single" w:sz="4" w:space="0" w:color="auto"/>
              <w:left w:val="nil"/>
              <w:bottom w:val="single" w:sz="4" w:space="0" w:color="auto"/>
              <w:right w:val="nil"/>
            </w:tcBorders>
            <w:vAlign w:val="center"/>
          </w:tcPr>
          <w:p w14:paraId="36B1215E" w14:textId="77777777" w:rsidR="00617156" w:rsidRPr="00617156" w:rsidRDefault="00617156" w:rsidP="00617156">
            <w:pPr>
              <w:jc w:val="center"/>
              <w:rPr>
                <w:sz w:val="14"/>
                <w:szCs w:val="14"/>
              </w:rPr>
            </w:pPr>
            <w:r w:rsidRPr="00617156">
              <w:rPr>
                <w:sz w:val="14"/>
                <w:szCs w:val="14"/>
              </w:rPr>
              <w:t>0.49</w:t>
            </w:r>
          </w:p>
        </w:tc>
        <w:tc>
          <w:tcPr>
            <w:tcW w:w="717" w:type="dxa"/>
            <w:tcBorders>
              <w:top w:val="single" w:sz="4" w:space="0" w:color="auto"/>
              <w:left w:val="nil"/>
              <w:bottom w:val="single" w:sz="4" w:space="0" w:color="auto"/>
              <w:right w:val="nil"/>
            </w:tcBorders>
            <w:vAlign w:val="center"/>
          </w:tcPr>
          <w:p w14:paraId="4459EBCA" w14:textId="77777777" w:rsidR="00617156" w:rsidRPr="00617156" w:rsidRDefault="00617156" w:rsidP="00617156">
            <w:pPr>
              <w:jc w:val="center"/>
              <w:rPr>
                <w:sz w:val="14"/>
                <w:szCs w:val="14"/>
              </w:rPr>
            </w:pPr>
            <w:r w:rsidRPr="00617156">
              <w:rPr>
                <w:sz w:val="14"/>
                <w:szCs w:val="14"/>
              </w:rPr>
              <w:t>0.85</w:t>
            </w:r>
          </w:p>
        </w:tc>
      </w:tr>
      <w:tr w:rsidR="00617156" w:rsidRPr="00617156" w14:paraId="6330129C" w14:textId="77777777" w:rsidTr="00617156">
        <w:tc>
          <w:tcPr>
            <w:tcW w:w="425" w:type="dxa"/>
            <w:tcBorders>
              <w:top w:val="single" w:sz="4" w:space="0" w:color="auto"/>
              <w:left w:val="nil"/>
              <w:bottom w:val="single" w:sz="4" w:space="0" w:color="auto"/>
              <w:right w:val="nil"/>
            </w:tcBorders>
            <w:vAlign w:val="center"/>
          </w:tcPr>
          <w:p w14:paraId="41C2CA45" w14:textId="77777777" w:rsidR="00617156" w:rsidRPr="00617156" w:rsidRDefault="00617156" w:rsidP="00835C90">
            <w:pPr>
              <w:jc w:val="center"/>
              <w:rPr>
                <w:sz w:val="14"/>
                <w:szCs w:val="14"/>
              </w:rPr>
            </w:pPr>
            <w:r w:rsidRPr="00617156">
              <w:rPr>
                <w:sz w:val="14"/>
                <w:szCs w:val="14"/>
              </w:rPr>
              <w:t>8</w:t>
            </w:r>
          </w:p>
        </w:tc>
        <w:tc>
          <w:tcPr>
            <w:tcW w:w="2309" w:type="dxa"/>
            <w:tcBorders>
              <w:top w:val="single" w:sz="4" w:space="0" w:color="auto"/>
              <w:left w:val="nil"/>
              <w:bottom w:val="single" w:sz="4" w:space="0" w:color="auto"/>
              <w:right w:val="nil"/>
            </w:tcBorders>
            <w:vAlign w:val="center"/>
          </w:tcPr>
          <w:p w14:paraId="68D6814C" w14:textId="77777777" w:rsidR="00617156" w:rsidRPr="00617156" w:rsidRDefault="00617156" w:rsidP="00835C90">
            <w:pPr>
              <w:jc w:val="both"/>
              <w:rPr>
                <w:sz w:val="14"/>
                <w:szCs w:val="14"/>
              </w:rPr>
            </w:pPr>
            <w:r w:rsidRPr="00617156">
              <w:rPr>
                <w:sz w:val="14"/>
                <w:szCs w:val="14"/>
              </w:rPr>
              <w:t>Me esfuerzo para sentirme eufórico</w:t>
            </w:r>
          </w:p>
        </w:tc>
        <w:tc>
          <w:tcPr>
            <w:tcW w:w="667" w:type="dxa"/>
            <w:tcBorders>
              <w:top w:val="single" w:sz="4" w:space="0" w:color="auto"/>
              <w:left w:val="nil"/>
              <w:bottom w:val="single" w:sz="4" w:space="0" w:color="auto"/>
              <w:right w:val="nil"/>
            </w:tcBorders>
            <w:vAlign w:val="center"/>
          </w:tcPr>
          <w:p w14:paraId="082B1E59" w14:textId="77777777" w:rsidR="00617156" w:rsidRPr="00617156" w:rsidRDefault="00617156" w:rsidP="00617156">
            <w:pPr>
              <w:jc w:val="center"/>
              <w:rPr>
                <w:sz w:val="14"/>
                <w:szCs w:val="14"/>
              </w:rPr>
            </w:pPr>
            <w:r w:rsidRPr="00617156">
              <w:rPr>
                <w:sz w:val="14"/>
                <w:szCs w:val="14"/>
              </w:rPr>
              <w:t>5.9</w:t>
            </w:r>
          </w:p>
        </w:tc>
        <w:tc>
          <w:tcPr>
            <w:tcW w:w="667" w:type="dxa"/>
            <w:tcBorders>
              <w:top w:val="single" w:sz="4" w:space="0" w:color="auto"/>
              <w:left w:val="nil"/>
              <w:bottom w:val="single" w:sz="4" w:space="0" w:color="auto"/>
              <w:right w:val="nil"/>
            </w:tcBorders>
            <w:vAlign w:val="center"/>
          </w:tcPr>
          <w:p w14:paraId="7937F8B9" w14:textId="77777777" w:rsidR="00617156" w:rsidRPr="00617156" w:rsidRDefault="00617156" w:rsidP="00617156">
            <w:pPr>
              <w:jc w:val="center"/>
              <w:rPr>
                <w:sz w:val="14"/>
                <w:szCs w:val="14"/>
              </w:rPr>
            </w:pPr>
            <w:r w:rsidRPr="00617156">
              <w:rPr>
                <w:sz w:val="14"/>
                <w:szCs w:val="14"/>
              </w:rPr>
              <w:t>24.8</w:t>
            </w:r>
          </w:p>
        </w:tc>
        <w:tc>
          <w:tcPr>
            <w:tcW w:w="667" w:type="dxa"/>
            <w:tcBorders>
              <w:top w:val="single" w:sz="4" w:space="0" w:color="auto"/>
              <w:left w:val="nil"/>
              <w:bottom w:val="single" w:sz="4" w:space="0" w:color="auto"/>
              <w:right w:val="nil"/>
            </w:tcBorders>
            <w:vAlign w:val="center"/>
          </w:tcPr>
          <w:p w14:paraId="734DBA7A" w14:textId="77777777" w:rsidR="00617156" w:rsidRPr="00617156" w:rsidRDefault="00617156" w:rsidP="00617156">
            <w:pPr>
              <w:jc w:val="center"/>
              <w:rPr>
                <w:sz w:val="14"/>
                <w:szCs w:val="14"/>
              </w:rPr>
            </w:pPr>
            <w:r w:rsidRPr="00617156">
              <w:rPr>
                <w:sz w:val="14"/>
                <w:szCs w:val="14"/>
              </w:rPr>
              <w:t>35.9</w:t>
            </w:r>
          </w:p>
        </w:tc>
        <w:tc>
          <w:tcPr>
            <w:tcW w:w="667" w:type="dxa"/>
            <w:tcBorders>
              <w:top w:val="single" w:sz="4" w:space="0" w:color="auto"/>
              <w:left w:val="nil"/>
              <w:bottom w:val="single" w:sz="4" w:space="0" w:color="auto"/>
              <w:right w:val="nil"/>
            </w:tcBorders>
            <w:vAlign w:val="center"/>
          </w:tcPr>
          <w:p w14:paraId="07F7E278" w14:textId="77777777" w:rsidR="00617156" w:rsidRPr="00617156" w:rsidRDefault="00617156" w:rsidP="00617156">
            <w:pPr>
              <w:jc w:val="center"/>
              <w:rPr>
                <w:sz w:val="14"/>
                <w:szCs w:val="14"/>
              </w:rPr>
            </w:pPr>
            <w:r w:rsidRPr="00617156">
              <w:rPr>
                <w:sz w:val="14"/>
                <w:szCs w:val="14"/>
              </w:rPr>
              <w:t>25.2</w:t>
            </w:r>
          </w:p>
        </w:tc>
        <w:tc>
          <w:tcPr>
            <w:tcW w:w="667" w:type="dxa"/>
            <w:tcBorders>
              <w:top w:val="single" w:sz="4" w:space="0" w:color="auto"/>
              <w:left w:val="nil"/>
              <w:bottom w:val="single" w:sz="4" w:space="0" w:color="auto"/>
              <w:right w:val="nil"/>
            </w:tcBorders>
            <w:vAlign w:val="center"/>
          </w:tcPr>
          <w:p w14:paraId="4BB7CAB8" w14:textId="77777777" w:rsidR="00617156" w:rsidRPr="00617156" w:rsidRDefault="00617156" w:rsidP="00617156">
            <w:pPr>
              <w:jc w:val="center"/>
              <w:rPr>
                <w:sz w:val="14"/>
                <w:szCs w:val="14"/>
              </w:rPr>
            </w:pPr>
            <w:r w:rsidRPr="00617156">
              <w:rPr>
                <w:sz w:val="14"/>
                <w:szCs w:val="14"/>
              </w:rPr>
              <w:t>8.3</w:t>
            </w:r>
          </w:p>
        </w:tc>
        <w:tc>
          <w:tcPr>
            <w:tcW w:w="667" w:type="dxa"/>
            <w:tcBorders>
              <w:top w:val="single" w:sz="4" w:space="0" w:color="auto"/>
              <w:left w:val="nil"/>
              <w:bottom w:val="single" w:sz="4" w:space="0" w:color="auto"/>
              <w:right w:val="nil"/>
            </w:tcBorders>
            <w:vAlign w:val="center"/>
          </w:tcPr>
          <w:p w14:paraId="64E8C65D" w14:textId="77777777" w:rsidR="00617156" w:rsidRPr="00617156" w:rsidRDefault="00617156" w:rsidP="00617156">
            <w:pPr>
              <w:jc w:val="center"/>
              <w:rPr>
                <w:sz w:val="14"/>
                <w:szCs w:val="14"/>
              </w:rPr>
            </w:pPr>
            <w:r w:rsidRPr="00617156">
              <w:rPr>
                <w:sz w:val="14"/>
                <w:szCs w:val="14"/>
              </w:rPr>
              <w:t>0.02</w:t>
            </w:r>
          </w:p>
        </w:tc>
        <w:tc>
          <w:tcPr>
            <w:tcW w:w="716" w:type="dxa"/>
            <w:tcBorders>
              <w:top w:val="single" w:sz="4" w:space="0" w:color="auto"/>
              <w:left w:val="nil"/>
              <w:bottom w:val="single" w:sz="4" w:space="0" w:color="auto"/>
              <w:right w:val="nil"/>
            </w:tcBorders>
            <w:vAlign w:val="center"/>
          </w:tcPr>
          <w:p w14:paraId="510ECF9A" w14:textId="77777777" w:rsidR="00617156" w:rsidRPr="00617156" w:rsidRDefault="00617156" w:rsidP="00617156">
            <w:pPr>
              <w:jc w:val="center"/>
              <w:rPr>
                <w:sz w:val="14"/>
                <w:szCs w:val="14"/>
              </w:rPr>
            </w:pPr>
            <w:r w:rsidRPr="00617156">
              <w:rPr>
                <w:sz w:val="14"/>
                <w:szCs w:val="14"/>
              </w:rPr>
              <w:t>-0.57</w:t>
            </w:r>
          </w:p>
        </w:tc>
        <w:tc>
          <w:tcPr>
            <w:tcW w:w="737" w:type="dxa"/>
            <w:tcBorders>
              <w:top w:val="single" w:sz="4" w:space="0" w:color="auto"/>
              <w:left w:val="nil"/>
              <w:bottom w:val="single" w:sz="4" w:space="0" w:color="auto"/>
              <w:right w:val="nil"/>
            </w:tcBorders>
            <w:vAlign w:val="center"/>
          </w:tcPr>
          <w:p w14:paraId="403F1D6A" w14:textId="77777777" w:rsidR="00617156" w:rsidRPr="00617156" w:rsidRDefault="00617156" w:rsidP="00617156">
            <w:pPr>
              <w:jc w:val="center"/>
              <w:rPr>
                <w:sz w:val="14"/>
                <w:szCs w:val="14"/>
              </w:rPr>
            </w:pPr>
            <w:r w:rsidRPr="00617156">
              <w:rPr>
                <w:sz w:val="14"/>
                <w:szCs w:val="14"/>
              </w:rPr>
              <w:t>0.36</w:t>
            </w:r>
          </w:p>
        </w:tc>
        <w:tc>
          <w:tcPr>
            <w:tcW w:w="717" w:type="dxa"/>
            <w:tcBorders>
              <w:top w:val="single" w:sz="4" w:space="0" w:color="auto"/>
              <w:left w:val="nil"/>
              <w:bottom w:val="single" w:sz="4" w:space="0" w:color="auto"/>
              <w:right w:val="nil"/>
            </w:tcBorders>
            <w:vAlign w:val="center"/>
          </w:tcPr>
          <w:p w14:paraId="50583683" w14:textId="77777777" w:rsidR="00617156" w:rsidRPr="00617156" w:rsidRDefault="00617156" w:rsidP="00617156">
            <w:pPr>
              <w:jc w:val="center"/>
              <w:rPr>
                <w:sz w:val="14"/>
                <w:szCs w:val="14"/>
              </w:rPr>
            </w:pPr>
            <w:r w:rsidRPr="00617156">
              <w:rPr>
                <w:sz w:val="14"/>
                <w:szCs w:val="14"/>
              </w:rPr>
              <w:t>0.85</w:t>
            </w:r>
          </w:p>
        </w:tc>
      </w:tr>
      <w:tr w:rsidR="00617156" w:rsidRPr="00617156" w14:paraId="4AC29720" w14:textId="77777777" w:rsidTr="00617156">
        <w:tc>
          <w:tcPr>
            <w:tcW w:w="425" w:type="dxa"/>
            <w:tcBorders>
              <w:top w:val="single" w:sz="4" w:space="0" w:color="auto"/>
              <w:left w:val="nil"/>
              <w:bottom w:val="single" w:sz="4" w:space="0" w:color="auto"/>
              <w:right w:val="nil"/>
            </w:tcBorders>
            <w:vAlign w:val="center"/>
          </w:tcPr>
          <w:p w14:paraId="4646CE67" w14:textId="77777777" w:rsidR="00617156" w:rsidRPr="00617156" w:rsidRDefault="00617156" w:rsidP="00835C90">
            <w:pPr>
              <w:jc w:val="center"/>
              <w:rPr>
                <w:sz w:val="14"/>
                <w:szCs w:val="14"/>
              </w:rPr>
            </w:pPr>
            <w:r w:rsidRPr="00617156">
              <w:rPr>
                <w:sz w:val="14"/>
                <w:szCs w:val="14"/>
              </w:rPr>
              <w:t>9</w:t>
            </w:r>
          </w:p>
        </w:tc>
        <w:tc>
          <w:tcPr>
            <w:tcW w:w="2309" w:type="dxa"/>
            <w:tcBorders>
              <w:top w:val="single" w:sz="4" w:space="0" w:color="auto"/>
              <w:left w:val="nil"/>
              <w:bottom w:val="single" w:sz="4" w:space="0" w:color="auto"/>
              <w:right w:val="nil"/>
            </w:tcBorders>
            <w:vAlign w:val="center"/>
          </w:tcPr>
          <w:p w14:paraId="25691631" w14:textId="77777777" w:rsidR="00617156" w:rsidRPr="00617156" w:rsidRDefault="00617156" w:rsidP="00835C90">
            <w:pPr>
              <w:jc w:val="both"/>
              <w:rPr>
                <w:sz w:val="14"/>
                <w:szCs w:val="14"/>
              </w:rPr>
            </w:pPr>
            <w:r w:rsidRPr="00617156">
              <w:rPr>
                <w:sz w:val="14"/>
                <w:szCs w:val="14"/>
              </w:rPr>
              <w:t>Al tomar una decisión, siempre tomo en cuenta si me puedo dejar llevar por la actividad y perderme en ella</w:t>
            </w:r>
          </w:p>
        </w:tc>
        <w:tc>
          <w:tcPr>
            <w:tcW w:w="667" w:type="dxa"/>
            <w:tcBorders>
              <w:top w:val="single" w:sz="4" w:space="0" w:color="auto"/>
              <w:left w:val="nil"/>
              <w:bottom w:val="single" w:sz="4" w:space="0" w:color="auto"/>
              <w:right w:val="nil"/>
            </w:tcBorders>
            <w:vAlign w:val="center"/>
          </w:tcPr>
          <w:p w14:paraId="4B85284C" w14:textId="77777777" w:rsidR="00617156" w:rsidRPr="00617156" w:rsidRDefault="00617156" w:rsidP="00617156">
            <w:pPr>
              <w:jc w:val="center"/>
              <w:rPr>
                <w:sz w:val="14"/>
                <w:szCs w:val="14"/>
              </w:rPr>
            </w:pPr>
            <w:r w:rsidRPr="00617156">
              <w:rPr>
                <w:sz w:val="14"/>
                <w:szCs w:val="14"/>
              </w:rPr>
              <w:t>3.5</w:t>
            </w:r>
          </w:p>
        </w:tc>
        <w:tc>
          <w:tcPr>
            <w:tcW w:w="667" w:type="dxa"/>
            <w:tcBorders>
              <w:top w:val="single" w:sz="4" w:space="0" w:color="auto"/>
              <w:left w:val="nil"/>
              <w:bottom w:val="single" w:sz="4" w:space="0" w:color="auto"/>
              <w:right w:val="nil"/>
            </w:tcBorders>
            <w:vAlign w:val="center"/>
          </w:tcPr>
          <w:p w14:paraId="4E67C4EC" w14:textId="77777777" w:rsidR="00617156" w:rsidRPr="00617156" w:rsidRDefault="00617156" w:rsidP="00617156">
            <w:pPr>
              <w:jc w:val="center"/>
              <w:rPr>
                <w:sz w:val="14"/>
                <w:szCs w:val="14"/>
              </w:rPr>
            </w:pPr>
            <w:r w:rsidRPr="00617156">
              <w:rPr>
                <w:sz w:val="14"/>
                <w:szCs w:val="14"/>
              </w:rPr>
              <w:t>23.2</w:t>
            </w:r>
          </w:p>
        </w:tc>
        <w:tc>
          <w:tcPr>
            <w:tcW w:w="667" w:type="dxa"/>
            <w:tcBorders>
              <w:top w:val="single" w:sz="4" w:space="0" w:color="auto"/>
              <w:left w:val="nil"/>
              <w:bottom w:val="single" w:sz="4" w:space="0" w:color="auto"/>
              <w:right w:val="nil"/>
            </w:tcBorders>
            <w:vAlign w:val="center"/>
          </w:tcPr>
          <w:p w14:paraId="7DFA7F5A" w14:textId="77777777" w:rsidR="00617156" w:rsidRPr="00617156" w:rsidRDefault="00617156" w:rsidP="00617156">
            <w:pPr>
              <w:jc w:val="center"/>
              <w:rPr>
                <w:sz w:val="14"/>
                <w:szCs w:val="14"/>
              </w:rPr>
            </w:pPr>
            <w:r w:rsidRPr="00617156">
              <w:rPr>
                <w:sz w:val="14"/>
                <w:szCs w:val="14"/>
              </w:rPr>
              <w:t>34.9</w:t>
            </w:r>
          </w:p>
        </w:tc>
        <w:tc>
          <w:tcPr>
            <w:tcW w:w="667" w:type="dxa"/>
            <w:tcBorders>
              <w:top w:val="single" w:sz="4" w:space="0" w:color="auto"/>
              <w:left w:val="nil"/>
              <w:bottom w:val="single" w:sz="4" w:space="0" w:color="auto"/>
              <w:right w:val="nil"/>
            </w:tcBorders>
            <w:vAlign w:val="center"/>
          </w:tcPr>
          <w:p w14:paraId="0DF495F0" w14:textId="77777777" w:rsidR="00617156" w:rsidRPr="00617156" w:rsidRDefault="00617156" w:rsidP="00617156">
            <w:pPr>
              <w:jc w:val="center"/>
              <w:rPr>
                <w:sz w:val="14"/>
                <w:szCs w:val="14"/>
              </w:rPr>
            </w:pPr>
            <w:r w:rsidRPr="00617156">
              <w:rPr>
                <w:sz w:val="14"/>
                <w:szCs w:val="14"/>
              </w:rPr>
              <w:t>31.8</w:t>
            </w:r>
          </w:p>
        </w:tc>
        <w:tc>
          <w:tcPr>
            <w:tcW w:w="667" w:type="dxa"/>
            <w:tcBorders>
              <w:top w:val="single" w:sz="4" w:space="0" w:color="auto"/>
              <w:left w:val="nil"/>
              <w:bottom w:val="single" w:sz="4" w:space="0" w:color="auto"/>
              <w:right w:val="nil"/>
            </w:tcBorders>
            <w:vAlign w:val="center"/>
          </w:tcPr>
          <w:p w14:paraId="7B28BD93" w14:textId="77777777" w:rsidR="00617156" w:rsidRPr="00617156" w:rsidRDefault="00617156" w:rsidP="00617156">
            <w:pPr>
              <w:jc w:val="center"/>
              <w:rPr>
                <w:sz w:val="14"/>
                <w:szCs w:val="14"/>
              </w:rPr>
            </w:pPr>
            <w:r w:rsidRPr="00617156">
              <w:rPr>
                <w:sz w:val="14"/>
                <w:szCs w:val="14"/>
              </w:rPr>
              <w:t>6.6</w:t>
            </w:r>
          </w:p>
        </w:tc>
        <w:tc>
          <w:tcPr>
            <w:tcW w:w="667" w:type="dxa"/>
            <w:tcBorders>
              <w:top w:val="single" w:sz="4" w:space="0" w:color="auto"/>
              <w:left w:val="nil"/>
              <w:bottom w:val="single" w:sz="4" w:space="0" w:color="auto"/>
              <w:right w:val="nil"/>
            </w:tcBorders>
            <w:vAlign w:val="center"/>
          </w:tcPr>
          <w:p w14:paraId="64FDA2BE" w14:textId="77777777" w:rsidR="00617156" w:rsidRPr="00617156" w:rsidRDefault="00617156" w:rsidP="00617156">
            <w:pPr>
              <w:jc w:val="center"/>
              <w:rPr>
                <w:sz w:val="14"/>
                <w:szCs w:val="14"/>
              </w:rPr>
            </w:pPr>
            <w:r w:rsidRPr="00617156">
              <w:rPr>
                <w:sz w:val="14"/>
                <w:szCs w:val="14"/>
              </w:rPr>
              <w:t>-0.09</w:t>
            </w:r>
          </w:p>
        </w:tc>
        <w:tc>
          <w:tcPr>
            <w:tcW w:w="716" w:type="dxa"/>
            <w:tcBorders>
              <w:top w:val="single" w:sz="4" w:space="0" w:color="auto"/>
              <w:left w:val="nil"/>
              <w:bottom w:val="single" w:sz="4" w:space="0" w:color="auto"/>
              <w:right w:val="nil"/>
            </w:tcBorders>
            <w:vAlign w:val="center"/>
          </w:tcPr>
          <w:p w14:paraId="7159340E" w14:textId="77777777" w:rsidR="00617156" w:rsidRPr="00617156" w:rsidRDefault="00617156" w:rsidP="00617156">
            <w:pPr>
              <w:jc w:val="center"/>
              <w:rPr>
                <w:sz w:val="14"/>
                <w:szCs w:val="14"/>
              </w:rPr>
            </w:pPr>
            <w:r w:rsidRPr="00617156">
              <w:rPr>
                <w:sz w:val="14"/>
                <w:szCs w:val="14"/>
              </w:rPr>
              <w:t>-0.58</w:t>
            </w:r>
          </w:p>
        </w:tc>
        <w:tc>
          <w:tcPr>
            <w:tcW w:w="737" w:type="dxa"/>
            <w:tcBorders>
              <w:top w:val="single" w:sz="4" w:space="0" w:color="auto"/>
              <w:left w:val="nil"/>
              <w:bottom w:val="single" w:sz="4" w:space="0" w:color="auto"/>
              <w:right w:val="nil"/>
            </w:tcBorders>
            <w:vAlign w:val="center"/>
          </w:tcPr>
          <w:p w14:paraId="062EDF8C" w14:textId="77777777" w:rsidR="00617156" w:rsidRPr="00617156" w:rsidRDefault="00617156" w:rsidP="00617156">
            <w:pPr>
              <w:jc w:val="center"/>
              <w:rPr>
                <w:sz w:val="14"/>
                <w:szCs w:val="14"/>
              </w:rPr>
            </w:pPr>
            <w:r w:rsidRPr="00617156">
              <w:rPr>
                <w:sz w:val="14"/>
                <w:szCs w:val="14"/>
              </w:rPr>
              <w:t>0.33</w:t>
            </w:r>
          </w:p>
        </w:tc>
        <w:tc>
          <w:tcPr>
            <w:tcW w:w="717" w:type="dxa"/>
            <w:tcBorders>
              <w:top w:val="single" w:sz="4" w:space="0" w:color="auto"/>
              <w:left w:val="nil"/>
              <w:bottom w:val="single" w:sz="4" w:space="0" w:color="auto"/>
              <w:right w:val="nil"/>
            </w:tcBorders>
            <w:vAlign w:val="center"/>
          </w:tcPr>
          <w:p w14:paraId="4F42A50C" w14:textId="77777777" w:rsidR="00617156" w:rsidRPr="00617156" w:rsidRDefault="00617156" w:rsidP="00617156">
            <w:pPr>
              <w:jc w:val="center"/>
              <w:rPr>
                <w:sz w:val="14"/>
                <w:szCs w:val="14"/>
              </w:rPr>
            </w:pPr>
            <w:r w:rsidRPr="00617156">
              <w:rPr>
                <w:sz w:val="14"/>
                <w:szCs w:val="14"/>
              </w:rPr>
              <w:t>0.86</w:t>
            </w:r>
          </w:p>
        </w:tc>
      </w:tr>
      <w:tr w:rsidR="00617156" w:rsidRPr="00617156" w14:paraId="3DC51BE5" w14:textId="77777777" w:rsidTr="00617156">
        <w:tc>
          <w:tcPr>
            <w:tcW w:w="425" w:type="dxa"/>
            <w:tcBorders>
              <w:top w:val="single" w:sz="4" w:space="0" w:color="auto"/>
              <w:left w:val="nil"/>
              <w:bottom w:val="single" w:sz="4" w:space="0" w:color="auto"/>
              <w:right w:val="nil"/>
            </w:tcBorders>
            <w:vAlign w:val="center"/>
          </w:tcPr>
          <w:p w14:paraId="262C7155" w14:textId="77777777" w:rsidR="00617156" w:rsidRPr="00617156" w:rsidRDefault="00617156" w:rsidP="00835C90">
            <w:pPr>
              <w:jc w:val="center"/>
              <w:rPr>
                <w:sz w:val="14"/>
                <w:szCs w:val="14"/>
              </w:rPr>
            </w:pPr>
            <w:r w:rsidRPr="00617156">
              <w:rPr>
                <w:sz w:val="14"/>
                <w:szCs w:val="14"/>
              </w:rPr>
              <w:t>10</w:t>
            </w:r>
          </w:p>
        </w:tc>
        <w:tc>
          <w:tcPr>
            <w:tcW w:w="2309" w:type="dxa"/>
            <w:tcBorders>
              <w:top w:val="single" w:sz="4" w:space="0" w:color="auto"/>
              <w:left w:val="nil"/>
              <w:bottom w:val="single" w:sz="4" w:space="0" w:color="auto"/>
              <w:right w:val="nil"/>
            </w:tcBorders>
            <w:vAlign w:val="center"/>
          </w:tcPr>
          <w:p w14:paraId="12048107" w14:textId="77777777" w:rsidR="00617156" w:rsidRPr="00617156" w:rsidRDefault="00617156" w:rsidP="00835C90">
            <w:pPr>
              <w:jc w:val="both"/>
              <w:rPr>
                <w:sz w:val="14"/>
                <w:szCs w:val="14"/>
              </w:rPr>
            </w:pPr>
            <w:r w:rsidRPr="00617156">
              <w:rPr>
                <w:sz w:val="14"/>
                <w:szCs w:val="14"/>
              </w:rPr>
              <w:t>Rara vez me distrae lo que sucede a mi alrededor</w:t>
            </w:r>
          </w:p>
        </w:tc>
        <w:tc>
          <w:tcPr>
            <w:tcW w:w="667" w:type="dxa"/>
            <w:tcBorders>
              <w:top w:val="single" w:sz="4" w:space="0" w:color="auto"/>
              <w:left w:val="nil"/>
              <w:bottom w:val="single" w:sz="4" w:space="0" w:color="auto"/>
              <w:right w:val="nil"/>
            </w:tcBorders>
            <w:vAlign w:val="center"/>
          </w:tcPr>
          <w:p w14:paraId="51D6B765" w14:textId="77777777" w:rsidR="00617156" w:rsidRPr="00617156" w:rsidRDefault="00617156" w:rsidP="00617156">
            <w:pPr>
              <w:jc w:val="center"/>
              <w:rPr>
                <w:sz w:val="14"/>
                <w:szCs w:val="14"/>
              </w:rPr>
            </w:pPr>
            <w:r w:rsidRPr="00617156">
              <w:rPr>
                <w:sz w:val="14"/>
                <w:szCs w:val="14"/>
              </w:rPr>
              <w:t>9.0</w:t>
            </w:r>
          </w:p>
        </w:tc>
        <w:tc>
          <w:tcPr>
            <w:tcW w:w="667" w:type="dxa"/>
            <w:tcBorders>
              <w:top w:val="single" w:sz="4" w:space="0" w:color="auto"/>
              <w:left w:val="nil"/>
              <w:bottom w:val="single" w:sz="4" w:space="0" w:color="auto"/>
              <w:right w:val="nil"/>
            </w:tcBorders>
            <w:vAlign w:val="center"/>
          </w:tcPr>
          <w:p w14:paraId="35466CF7" w14:textId="77777777" w:rsidR="00617156" w:rsidRPr="00617156" w:rsidRDefault="00617156" w:rsidP="00617156">
            <w:pPr>
              <w:jc w:val="center"/>
              <w:rPr>
                <w:sz w:val="14"/>
                <w:szCs w:val="14"/>
              </w:rPr>
            </w:pPr>
            <w:r w:rsidRPr="00617156">
              <w:rPr>
                <w:sz w:val="14"/>
                <w:szCs w:val="14"/>
              </w:rPr>
              <w:t>31.4</w:t>
            </w:r>
          </w:p>
        </w:tc>
        <w:tc>
          <w:tcPr>
            <w:tcW w:w="667" w:type="dxa"/>
            <w:tcBorders>
              <w:top w:val="single" w:sz="4" w:space="0" w:color="auto"/>
              <w:left w:val="nil"/>
              <w:bottom w:val="single" w:sz="4" w:space="0" w:color="auto"/>
              <w:right w:val="nil"/>
            </w:tcBorders>
            <w:vAlign w:val="center"/>
          </w:tcPr>
          <w:p w14:paraId="69CF2050" w14:textId="77777777" w:rsidR="00617156" w:rsidRPr="00617156" w:rsidRDefault="00617156" w:rsidP="00617156">
            <w:pPr>
              <w:jc w:val="center"/>
              <w:rPr>
                <w:sz w:val="14"/>
                <w:szCs w:val="14"/>
              </w:rPr>
            </w:pPr>
            <w:r w:rsidRPr="00617156">
              <w:rPr>
                <w:sz w:val="14"/>
                <w:szCs w:val="14"/>
              </w:rPr>
              <w:t>28.4</w:t>
            </w:r>
          </w:p>
        </w:tc>
        <w:tc>
          <w:tcPr>
            <w:tcW w:w="667" w:type="dxa"/>
            <w:tcBorders>
              <w:top w:val="single" w:sz="4" w:space="0" w:color="auto"/>
              <w:left w:val="nil"/>
              <w:bottom w:val="single" w:sz="4" w:space="0" w:color="auto"/>
              <w:right w:val="nil"/>
            </w:tcBorders>
            <w:vAlign w:val="center"/>
          </w:tcPr>
          <w:p w14:paraId="4A177C12" w14:textId="77777777" w:rsidR="00617156" w:rsidRPr="00617156" w:rsidRDefault="00617156" w:rsidP="00617156">
            <w:pPr>
              <w:jc w:val="center"/>
              <w:rPr>
                <w:sz w:val="14"/>
                <w:szCs w:val="14"/>
              </w:rPr>
            </w:pPr>
            <w:r w:rsidRPr="00617156">
              <w:rPr>
                <w:sz w:val="14"/>
                <w:szCs w:val="14"/>
              </w:rPr>
              <w:t>25.7</w:t>
            </w:r>
          </w:p>
        </w:tc>
        <w:tc>
          <w:tcPr>
            <w:tcW w:w="667" w:type="dxa"/>
            <w:tcBorders>
              <w:top w:val="single" w:sz="4" w:space="0" w:color="auto"/>
              <w:left w:val="nil"/>
              <w:bottom w:val="single" w:sz="4" w:space="0" w:color="auto"/>
              <w:right w:val="nil"/>
            </w:tcBorders>
            <w:vAlign w:val="center"/>
          </w:tcPr>
          <w:p w14:paraId="01FFA4AC" w14:textId="77777777" w:rsidR="00617156" w:rsidRPr="00617156" w:rsidRDefault="00617156" w:rsidP="00617156">
            <w:pPr>
              <w:jc w:val="center"/>
              <w:rPr>
                <w:sz w:val="14"/>
                <w:szCs w:val="14"/>
              </w:rPr>
            </w:pPr>
            <w:r w:rsidRPr="00617156">
              <w:rPr>
                <w:sz w:val="14"/>
                <w:szCs w:val="14"/>
              </w:rPr>
              <w:t>5.5</w:t>
            </w:r>
          </w:p>
        </w:tc>
        <w:tc>
          <w:tcPr>
            <w:tcW w:w="667" w:type="dxa"/>
            <w:tcBorders>
              <w:top w:val="single" w:sz="4" w:space="0" w:color="auto"/>
              <w:left w:val="nil"/>
              <w:bottom w:val="single" w:sz="4" w:space="0" w:color="auto"/>
              <w:right w:val="nil"/>
            </w:tcBorders>
            <w:vAlign w:val="center"/>
          </w:tcPr>
          <w:p w14:paraId="475CFDB3" w14:textId="77777777" w:rsidR="00617156" w:rsidRPr="00617156" w:rsidRDefault="00617156" w:rsidP="00617156">
            <w:pPr>
              <w:jc w:val="center"/>
              <w:rPr>
                <w:sz w:val="14"/>
                <w:szCs w:val="14"/>
              </w:rPr>
            </w:pPr>
            <w:r w:rsidRPr="00617156">
              <w:rPr>
                <w:sz w:val="14"/>
                <w:szCs w:val="14"/>
              </w:rPr>
              <w:t>0.07</w:t>
            </w:r>
          </w:p>
        </w:tc>
        <w:tc>
          <w:tcPr>
            <w:tcW w:w="716" w:type="dxa"/>
            <w:tcBorders>
              <w:top w:val="single" w:sz="4" w:space="0" w:color="auto"/>
              <w:left w:val="nil"/>
              <w:bottom w:val="single" w:sz="4" w:space="0" w:color="auto"/>
              <w:right w:val="nil"/>
            </w:tcBorders>
            <w:vAlign w:val="center"/>
          </w:tcPr>
          <w:p w14:paraId="557DA41B" w14:textId="77777777" w:rsidR="00617156" w:rsidRPr="00617156" w:rsidRDefault="00617156" w:rsidP="00617156">
            <w:pPr>
              <w:jc w:val="center"/>
              <w:rPr>
                <w:sz w:val="14"/>
                <w:szCs w:val="14"/>
              </w:rPr>
            </w:pPr>
            <w:r w:rsidRPr="00617156">
              <w:rPr>
                <w:sz w:val="14"/>
                <w:szCs w:val="14"/>
              </w:rPr>
              <w:t>-0.80</w:t>
            </w:r>
          </w:p>
        </w:tc>
        <w:tc>
          <w:tcPr>
            <w:tcW w:w="737" w:type="dxa"/>
            <w:tcBorders>
              <w:top w:val="single" w:sz="4" w:space="0" w:color="auto"/>
              <w:left w:val="nil"/>
              <w:bottom w:val="single" w:sz="4" w:space="0" w:color="auto"/>
              <w:right w:val="nil"/>
            </w:tcBorders>
            <w:vAlign w:val="center"/>
          </w:tcPr>
          <w:p w14:paraId="500D75C0" w14:textId="77777777" w:rsidR="00617156" w:rsidRPr="00617156" w:rsidRDefault="00617156" w:rsidP="00617156">
            <w:pPr>
              <w:jc w:val="center"/>
              <w:rPr>
                <w:sz w:val="14"/>
                <w:szCs w:val="14"/>
              </w:rPr>
            </w:pPr>
            <w:r w:rsidRPr="00617156">
              <w:rPr>
                <w:sz w:val="14"/>
                <w:szCs w:val="14"/>
              </w:rPr>
              <w:t>0.26</w:t>
            </w:r>
          </w:p>
        </w:tc>
        <w:tc>
          <w:tcPr>
            <w:tcW w:w="717" w:type="dxa"/>
            <w:tcBorders>
              <w:top w:val="single" w:sz="4" w:space="0" w:color="auto"/>
              <w:left w:val="nil"/>
              <w:bottom w:val="single" w:sz="4" w:space="0" w:color="auto"/>
              <w:right w:val="nil"/>
            </w:tcBorders>
            <w:vAlign w:val="center"/>
          </w:tcPr>
          <w:p w14:paraId="2F6B2DB4" w14:textId="77777777" w:rsidR="00617156" w:rsidRPr="00617156" w:rsidRDefault="00617156" w:rsidP="00617156">
            <w:pPr>
              <w:jc w:val="center"/>
              <w:rPr>
                <w:sz w:val="14"/>
                <w:szCs w:val="14"/>
              </w:rPr>
            </w:pPr>
            <w:r w:rsidRPr="00617156">
              <w:rPr>
                <w:sz w:val="14"/>
                <w:szCs w:val="14"/>
              </w:rPr>
              <w:t>0.86</w:t>
            </w:r>
          </w:p>
        </w:tc>
      </w:tr>
      <w:tr w:rsidR="00617156" w:rsidRPr="00617156" w14:paraId="218C8B5D" w14:textId="77777777" w:rsidTr="00617156">
        <w:tc>
          <w:tcPr>
            <w:tcW w:w="425" w:type="dxa"/>
            <w:tcBorders>
              <w:top w:val="single" w:sz="4" w:space="0" w:color="auto"/>
              <w:left w:val="nil"/>
              <w:bottom w:val="single" w:sz="4" w:space="0" w:color="auto"/>
              <w:right w:val="nil"/>
            </w:tcBorders>
            <w:vAlign w:val="center"/>
          </w:tcPr>
          <w:p w14:paraId="4DCC014C" w14:textId="77777777" w:rsidR="00617156" w:rsidRPr="00617156" w:rsidRDefault="00617156" w:rsidP="00835C90">
            <w:pPr>
              <w:jc w:val="center"/>
              <w:rPr>
                <w:sz w:val="14"/>
                <w:szCs w:val="14"/>
              </w:rPr>
            </w:pPr>
            <w:r w:rsidRPr="00617156">
              <w:rPr>
                <w:sz w:val="14"/>
                <w:szCs w:val="14"/>
              </w:rPr>
              <w:t>11</w:t>
            </w:r>
          </w:p>
        </w:tc>
        <w:tc>
          <w:tcPr>
            <w:tcW w:w="2309" w:type="dxa"/>
            <w:tcBorders>
              <w:top w:val="single" w:sz="4" w:space="0" w:color="auto"/>
              <w:left w:val="nil"/>
              <w:bottom w:val="single" w:sz="4" w:space="0" w:color="auto"/>
              <w:right w:val="nil"/>
            </w:tcBorders>
            <w:vAlign w:val="center"/>
          </w:tcPr>
          <w:p w14:paraId="265AAA09" w14:textId="77777777" w:rsidR="00617156" w:rsidRPr="00617156" w:rsidRDefault="00617156" w:rsidP="00835C90">
            <w:pPr>
              <w:jc w:val="both"/>
              <w:rPr>
                <w:sz w:val="14"/>
                <w:szCs w:val="14"/>
              </w:rPr>
            </w:pPr>
            <w:r w:rsidRPr="00617156">
              <w:rPr>
                <w:sz w:val="14"/>
                <w:szCs w:val="14"/>
              </w:rPr>
              <w:t>Tengo la responsabilidad de hacer del mundo un lugar mejor</w:t>
            </w:r>
          </w:p>
        </w:tc>
        <w:tc>
          <w:tcPr>
            <w:tcW w:w="667" w:type="dxa"/>
            <w:tcBorders>
              <w:top w:val="single" w:sz="4" w:space="0" w:color="auto"/>
              <w:left w:val="nil"/>
              <w:bottom w:val="single" w:sz="4" w:space="0" w:color="auto"/>
              <w:right w:val="nil"/>
            </w:tcBorders>
            <w:vAlign w:val="center"/>
          </w:tcPr>
          <w:p w14:paraId="7F39E48C" w14:textId="77777777" w:rsidR="00617156" w:rsidRPr="00617156" w:rsidRDefault="00617156" w:rsidP="00617156">
            <w:pPr>
              <w:jc w:val="center"/>
              <w:rPr>
                <w:sz w:val="14"/>
                <w:szCs w:val="14"/>
              </w:rPr>
            </w:pPr>
            <w:r w:rsidRPr="00617156">
              <w:rPr>
                <w:sz w:val="14"/>
                <w:szCs w:val="14"/>
              </w:rPr>
              <w:t>3.7</w:t>
            </w:r>
          </w:p>
        </w:tc>
        <w:tc>
          <w:tcPr>
            <w:tcW w:w="667" w:type="dxa"/>
            <w:tcBorders>
              <w:top w:val="single" w:sz="4" w:space="0" w:color="auto"/>
              <w:left w:val="nil"/>
              <w:bottom w:val="single" w:sz="4" w:space="0" w:color="auto"/>
              <w:right w:val="nil"/>
            </w:tcBorders>
            <w:vAlign w:val="center"/>
          </w:tcPr>
          <w:p w14:paraId="6B01C16C" w14:textId="77777777" w:rsidR="00617156" w:rsidRPr="00617156" w:rsidRDefault="00617156" w:rsidP="00617156">
            <w:pPr>
              <w:jc w:val="center"/>
              <w:rPr>
                <w:sz w:val="14"/>
                <w:szCs w:val="14"/>
              </w:rPr>
            </w:pPr>
            <w:r w:rsidRPr="00617156">
              <w:rPr>
                <w:sz w:val="14"/>
                <w:szCs w:val="14"/>
              </w:rPr>
              <w:t>7.9</w:t>
            </w:r>
          </w:p>
        </w:tc>
        <w:tc>
          <w:tcPr>
            <w:tcW w:w="667" w:type="dxa"/>
            <w:tcBorders>
              <w:top w:val="single" w:sz="4" w:space="0" w:color="auto"/>
              <w:left w:val="nil"/>
              <w:bottom w:val="single" w:sz="4" w:space="0" w:color="auto"/>
              <w:right w:val="nil"/>
            </w:tcBorders>
            <w:vAlign w:val="center"/>
          </w:tcPr>
          <w:p w14:paraId="3D664219" w14:textId="77777777" w:rsidR="00617156" w:rsidRPr="00617156" w:rsidRDefault="00617156" w:rsidP="00617156">
            <w:pPr>
              <w:jc w:val="center"/>
              <w:rPr>
                <w:sz w:val="14"/>
                <w:szCs w:val="14"/>
              </w:rPr>
            </w:pPr>
            <w:r w:rsidRPr="00617156">
              <w:rPr>
                <w:sz w:val="14"/>
                <w:szCs w:val="14"/>
              </w:rPr>
              <w:t>23.3</w:t>
            </w:r>
          </w:p>
        </w:tc>
        <w:tc>
          <w:tcPr>
            <w:tcW w:w="667" w:type="dxa"/>
            <w:tcBorders>
              <w:top w:val="single" w:sz="4" w:space="0" w:color="auto"/>
              <w:left w:val="nil"/>
              <w:bottom w:val="single" w:sz="4" w:space="0" w:color="auto"/>
              <w:right w:val="nil"/>
            </w:tcBorders>
            <w:vAlign w:val="center"/>
          </w:tcPr>
          <w:p w14:paraId="17028849" w14:textId="77777777" w:rsidR="00617156" w:rsidRPr="00617156" w:rsidRDefault="00617156" w:rsidP="00617156">
            <w:pPr>
              <w:jc w:val="center"/>
              <w:rPr>
                <w:sz w:val="14"/>
                <w:szCs w:val="14"/>
              </w:rPr>
            </w:pPr>
            <w:r w:rsidRPr="00617156">
              <w:rPr>
                <w:sz w:val="14"/>
                <w:szCs w:val="14"/>
              </w:rPr>
              <w:t>35.0</w:t>
            </w:r>
          </w:p>
        </w:tc>
        <w:tc>
          <w:tcPr>
            <w:tcW w:w="667" w:type="dxa"/>
            <w:tcBorders>
              <w:top w:val="single" w:sz="4" w:space="0" w:color="auto"/>
              <w:left w:val="nil"/>
              <w:bottom w:val="single" w:sz="4" w:space="0" w:color="auto"/>
              <w:right w:val="nil"/>
            </w:tcBorders>
            <w:vAlign w:val="center"/>
          </w:tcPr>
          <w:p w14:paraId="57330BC5" w14:textId="77777777" w:rsidR="00617156" w:rsidRPr="00617156" w:rsidRDefault="00617156" w:rsidP="00617156">
            <w:pPr>
              <w:jc w:val="center"/>
              <w:rPr>
                <w:sz w:val="14"/>
                <w:szCs w:val="14"/>
              </w:rPr>
            </w:pPr>
            <w:r w:rsidRPr="00617156">
              <w:rPr>
                <w:sz w:val="14"/>
                <w:szCs w:val="14"/>
              </w:rPr>
              <w:t>30.1</w:t>
            </w:r>
          </w:p>
        </w:tc>
        <w:tc>
          <w:tcPr>
            <w:tcW w:w="667" w:type="dxa"/>
            <w:tcBorders>
              <w:top w:val="single" w:sz="4" w:space="0" w:color="auto"/>
              <w:left w:val="nil"/>
              <w:bottom w:val="single" w:sz="4" w:space="0" w:color="auto"/>
              <w:right w:val="nil"/>
            </w:tcBorders>
            <w:vAlign w:val="center"/>
          </w:tcPr>
          <w:p w14:paraId="5C5767B2" w14:textId="77777777" w:rsidR="00617156" w:rsidRPr="00617156" w:rsidRDefault="00617156" w:rsidP="00617156">
            <w:pPr>
              <w:jc w:val="center"/>
              <w:rPr>
                <w:sz w:val="14"/>
                <w:szCs w:val="14"/>
              </w:rPr>
            </w:pPr>
            <w:r w:rsidRPr="00617156">
              <w:rPr>
                <w:sz w:val="14"/>
                <w:szCs w:val="14"/>
              </w:rPr>
              <w:t>-0.70</w:t>
            </w:r>
          </w:p>
        </w:tc>
        <w:tc>
          <w:tcPr>
            <w:tcW w:w="716" w:type="dxa"/>
            <w:tcBorders>
              <w:top w:val="single" w:sz="4" w:space="0" w:color="auto"/>
              <w:left w:val="nil"/>
              <w:bottom w:val="single" w:sz="4" w:space="0" w:color="auto"/>
              <w:right w:val="nil"/>
            </w:tcBorders>
            <w:vAlign w:val="center"/>
          </w:tcPr>
          <w:p w14:paraId="2031FD6B" w14:textId="77777777" w:rsidR="00617156" w:rsidRPr="00617156" w:rsidRDefault="00617156" w:rsidP="00617156">
            <w:pPr>
              <w:jc w:val="center"/>
              <w:rPr>
                <w:sz w:val="14"/>
                <w:szCs w:val="14"/>
              </w:rPr>
            </w:pPr>
            <w:r w:rsidRPr="00617156">
              <w:rPr>
                <w:sz w:val="14"/>
                <w:szCs w:val="14"/>
              </w:rPr>
              <w:t>-0.06</w:t>
            </w:r>
          </w:p>
        </w:tc>
        <w:tc>
          <w:tcPr>
            <w:tcW w:w="737" w:type="dxa"/>
            <w:tcBorders>
              <w:top w:val="single" w:sz="4" w:space="0" w:color="auto"/>
              <w:left w:val="nil"/>
              <w:bottom w:val="single" w:sz="4" w:space="0" w:color="auto"/>
              <w:right w:val="nil"/>
            </w:tcBorders>
            <w:vAlign w:val="center"/>
          </w:tcPr>
          <w:p w14:paraId="38D3BEF9" w14:textId="77777777" w:rsidR="00617156" w:rsidRPr="00617156" w:rsidRDefault="00617156" w:rsidP="00617156">
            <w:pPr>
              <w:jc w:val="center"/>
              <w:rPr>
                <w:sz w:val="14"/>
                <w:szCs w:val="14"/>
              </w:rPr>
            </w:pPr>
            <w:r w:rsidRPr="00617156">
              <w:rPr>
                <w:sz w:val="14"/>
                <w:szCs w:val="14"/>
              </w:rPr>
              <w:t>0.58</w:t>
            </w:r>
          </w:p>
        </w:tc>
        <w:tc>
          <w:tcPr>
            <w:tcW w:w="717" w:type="dxa"/>
            <w:tcBorders>
              <w:top w:val="single" w:sz="4" w:space="0" w:color="auto"/>
              <w:left w:val="nil"/>
              <w:bottom w:val="single" w:sz="4" w:space="0" w:color="auto"/>
              <w:right w:val="nil"/>
            </w:tcBorders>
            <w:vAlign w:val="center"/>
          </w:tcPr>
          <w:p w14:paraId="2E522CC7" w14:textId="77777777" w:rsidR="00617156" w:rsidRPr="00617156" w:rsidRDefault="00617156" w:rsidP="00617156">
            <w:pPr>
              <w:jc w:val="center"/>
              <w:rPr>
                <w:sz w:val="14"/>
                <w:szCs w:val="14"/>
              </w:rPr>
            </w:pPr>
            <w:r w:rsidRPr="00617156">
              <w:rPr>
                <w:sz w:val="14"/>
                <w:szCs w:val="14"/>
              </w:rPr>
              <w:t>0.85</w:t>
            </w:r>
          </w:p>
        </w:tc>
      </w:tr>
      <w:tr w:rsidR="00617156" w:rsidRPr="00617156" w14:paraId="03BB2994" w14:textId="77777777" w:rsidTr="00617156">
        <w:tc>
          <w:tcPr>
            <w:tcW w:w="425" w:type="dxa"/>
            <w:tcBorders>
              <w:top w:val="single" w:sz="4" w:space="0" w:color="auto"/>
              <w:left w:val="nil"/>
              <w:bottom w:val="single" w:sz="4" w:space="0" w:color="auto"/>
              <w:right w:val="nil"/>
            </w:tcBorders>
            <w:vAlign w:val="center"/>
          </w:tcPr>
          <w:p w14:paraId="27CB23B0" w14:textId="77777777" w:rsidR="00617156" w:rsidRPr="00617156" w:rsidRDefault="00617156" w:rsidP="00835C90">
            <w:pPr>
              <w:jc w:val="center"/>
              <w:rPr>
                <w:sz w:val="14"/>
                <w:szCs w:val="14"/>
              </w:rPr>
            </w:pPr>
            <w:r w:rsidRPr="00617156">
              <w:rPr>
                <w:sz w:val="14"/>
                <w:szCs w:val="14"/>
              </w:rPr>
              <w:t>12</w:t>
            </w:r>
          </w:p>
        </w:tc>
        <w:tc>
          <w:tcPr>
            <w:tcW w:w="2309" w:type="dxa"/>
            <w:tcBorders>
              <w:top w:val="single" w:sz="4" w:space="0" w:color="auto"/>
              <w:left w:val="nil"/>
              <w:bottom w:val="single" w:sz="4" w:space="0" w:color="auto"/>
              <w:right w:val="nil"/>
            </w:tcBorders>
            <w:vAlign w:val="center"/>
          </w:tcPr>
          <w:p w14:paraId="3724D38E" w14:textId="77777777" w:rsidR="00617156" w:rsidRPr="00617156" w:rsidRDefault="00617156" w:rsidP="00835C90">
            <w:pPr>
              <w:jc w:val="both"/>
              <w:rPr>
                <w:sz w:val="14"/>
                <w:szCs w:val="14"/>
              </w:rPr>
            </w:pPr>
            <w:r w:rsidRPr="00617156">
              <w:rPr>
                <w:sz w:val="14"/>
                <w:szCs w:val="14"/>
              </w:rPr>
              <w:t>Mi vida tiene un significado que trasciende</w:t>
            </w:r>
          </w:p>
        </w:tc>
        <w:tc>
          <w:tcPr>
            <w:tcW w:w="667" w:type="dxa"/>
            <w:tcBorders>
              <w:top w:val="single" w:sz="4" w:space="0" w:color="auto"/>
              <w:left w:val="nil"/>
              <w:bottom w:val="single" w:sz="4" w:space="0" w:color="auto"/>
              <w:right w:val="nil"/>
            </w:tcBorders>
            <w:vAlign w:val="center"/>
          </w:tcPr>
          <w:p w14:paraId="1AD4C668" w14:textId="77777777" w:rsidR="00617156" w:rsidRPr="00617156" w:rsidRDefault="00617156" w:rsidP="00617156">
            <w:pPr>
              <w:jc w:val="center"/>
              <w:rPr>
                <w:sz w:val="14"/>
                <w:szCs w:val="14"/>
              </w:rPr>
            </w:pPr>
            <w:r w:rsidRPr="00617156">
              <w:rPr>
                <w:sz w:val="14"/>
                <w:szCs w:val="14"/>
              </w:rPr>
              <w:t>4.5</w:t>
            </w:r>
          </w:p>
        </w:tc>
        <w:tc>
          <w:tcPr>
            <w:tcW w:w="667" w:type="dxa"/>
            <w:tcBorders>
              <w:top w:val="single" w:sz="4" w:space="0" w:color="auto"/>
              <w:left w:val="nil"/>
              <w:bottom w:val="single" w:sz="4" w:space="0" w:color="auto"/>
              <w:right w:val="nil"/>
            </w:tcBorders>
            <w:vAlign w:val="center"/>
          </w:tcPr>
          <w:p w14:paraId="6FCC32C2" w14:textId="77777777" w:rsidR="00617156" w:rsidRPr="00617156" w:rsidRDefault="00617156" w:rsidP="00617156">
            <w:pPr>
              <w:jc w:val="center"/>
              <w:rPr>
                <w:sz w:val="14"/>
                <w:szCs w:val="14"/>
              </w:rPr>
            </w:pPr>
            <w:r w:rsidRPr="00617156">
              <w:rPr>
                <w:sz w:val="14"/>
                <w:szCs w:val="14"/>
              </w:rPr>
              <w:t>7.2</w:t>
            </w:r>
          </w:p>
        </w:tc>
        <w:tc>
          <w:tcPr>
            <w:tcW w:w="667" w:type="dxa"/>
            <w:tcBorders>
              <w:top w:val="single" w:sz="4" w:space="0" w:color="auto"/>
              <w:left w:val="nil"/>
              <w:bottom w:val="single" w:sz="4" w:space="0" w:color="auto"/>
              <w:right w:val="nil"/>
            </w:tcBorders>
            <w:vAlign w:val="center"/>
          </w:tcPr>
          <w:p w14:paraId="07C43869" w14:textId="77777777" w:rsidR="00617156" w:rsidRPr="00617156" w:rsidRDefault="00617156" w:rsidP="00617156">
            <w:pPr>
              <w:jc w:val="center"/>
              <w:rPr>
                <w:sz w:val="14"/>
                <w:szCs w:val="14"/>
              </w:rPr>
            </w:pPr>
            <w:r w:rsidRPr="00617156">
              <w:rPr>
                <w:sz w:val="14"/>
                <w:szCs w:val="14"/>
              </w:rPr>
              <w:t>21.9</w:t>
            </w:r>
          </w:p>
        </w:tc>
        <w:tc>
          <w:tcPr>
            <w:tcW w:w="667" w:type="dxa"/>
            <w:tcBorders>
              <w:top w:val="single" w:sz="4" w:space="0" w:color="auto"/>
              <w:left w:val="nil"/>
              <w:bottom w:val="single" w:sz="4" w:space="0" w:color="auto"/>
              <w:right w:val="nil"/>
            </w:tcBorders>
            <w:vAlign w:val="center"/>
          </w:tcPr>
          <w:p w14:paraId="0DB4D868" w14:textId="77777777" w:rsidR="00617156" w:rsidRPr="00617156" w:rsidRDefault="00617156" w:rsidP="00617156">
            <w:pPr>
              <w:jc w:val="center"/>
              <w:rPr>
                <w:sz w:val="14"/>
                <w:szCs w:val="14"/>
              </w:rPr>
            </w:pPr>
            <w:r w:rsidRPr="00617156">
              <w:rPr>
                <w:sz w:val="14"/>
                <w:szCs w:val="14"/>
              </w:rPr>
              <w:t>34.6</w:t>
            </w:r>
          </w:p>
        </w:tc>
        <w:tc>
          <w:tcPr>
            <w:tcW w:w="667" w:type="dxa"/>
            <w:tcBorders>
              <w:top w:val="single" w:sz="4" w:space="0" w:color="auto"/>
              <w:left w:val="nil"/>
              <w:bottom w:val="single" w:sz="4" w:space="0" w:color="auto"/>
              <w:right w:val="nil"/>
            </w:tcBorders>
            <w:vAlign w:val="center"/>
          </w:tcPr>
          <w:p w14:paraId="6DDED376" w14:textId="77777777" w:rsidR="00617156" w:rsidRPr="00617156" w:rsidRDefault="00617156" w:rsidP="00617156">
            <w:pPr>
              <w:jc w:val="center"/>
              <w:rPr>
                <w:sz w:val="14"/>
                <w:szCs w:val="14"/>
              </w:rPr>
            </w:pPr>
            <w:r w:rsidRPr="00617156">
              <w:rPr>
                <w:sz w:val="14"/>
                <w:szCs w:val="14"/>
              </w:rPr>
              <w:t>31.8</w:t>
            </w:r>
          </w:p>
        </w:tc>
        <w:tc>
          <w:tcPr>
            <w:tcW w:w="667" w:type="dxa"/>
            <w:tcBorders>
              <w:top w:val="single" w:sz="4" w:space="0" w:color="auto"/>
              <w:left w:val="nil"/>
              <w:bottom w:val="single" w:sz="4" w:space="0" w:color="auto"/>
              <w:right w:val="nil"/>
            </w:tcBorders>
            <w:vAlign w:val="center"/>
          </w:tcPr>
          <w:p w14:paraId="1863533A" w14:textId="77777777" w:rsidR="00617156" w:rsidRPr="00617156" w:rsidRDefault="00617156" w:rsidP="00617156">
            <w:pPr>
              <w:jc w:val="center"/>
              <w:rPr>
                <w:sz w:val="14"/>
                <w:szCs w:val="14"/>
              </w:rPr>
            </w:pPr>
            <w:r w:rsidRPr="00617156">
              <w:rPr>
                <w:sz w:val="14"/>
                <w:szCs w:val="14"/>
              </w:rPr>
              <w:t>-0.79</w:t>
            </w:r>
          </w:p>
        </w:tc>
        <w:tc>
          <w:tcPr>
            <w:tcW w:w="716" w:type="dxa"/>
            <w:tcBorders>
              <w:top w:val="single" w:sz="4" w:space="0" w:color="auto"/>
              <w:left w:val="nil"/>
              <w:bottom w:val="single" w:sz="4" w:space="0" w:color="auto"/>
              <w:right w:val="nil"/>
            </w:tcBorders>
            <w:vAlign w:val="center"/>
          </w:tcPr>
          <w:p w14:paraId="357C8734" w14:textId="77777777" w:rsidR="00617156" w:rsidRPr="00617156" w:rsidRDefault="00617156" w:rsidP="00617156">
            <w:pPr>
              <w:jc w:val="center"/>
              <w:rPr>
                <w:sz w:val="14"/>
                <w:szCs w:val="14"/>
              </w:rPr>
            </w:pPr>
            <w:r w:rsidRPr="00617156">
              <w:rPr>
                <w:sz w:val="14"/>
                <w:szCs w:val="14"/>
              </w:rPr>
              <w:t>0.04</w:t>
            </w:r>
          </w:p>
        </w:tc>
        <w:tc>
          <w:tcPr>
            <w:tcW w:w="737" w:type="dxa"/>
            <w:tcBorders>
              <w:top w:val="single" w:sz="4" w:space="0" w:color="auto"/>
              <w:left w:val="nil"/>
              <w:bottom w:val="single" w:sz="4" w:space="0" w:color="auto"/>
              <w:right w:val="nil"/>
            </w:tcBorders>
            <w:vAlign w:val="center"/>
          </w:tcPr>
          <w:p w14:paraId="055B9309" w14:textId="77777777" w:rsidR="00617156" w:rsidRPr="00617156" w:rsidRDefault="00617156" w:rsidP="00617156">
            <w:pPr>
              <w:jc w:val="center"/>
              <w:rPr>
                <w:sz w:val="14"/>
                <w:szCs w:val="14"/>
              </w:rPr>
            </w:pPr>
            <w:r w:rsidRPr="00617156">
              <w:rPr>
                <w:sz w:val="14"/>
                <w:szCs w:val="14"/>
              </w:rPr>
              <w:t>0.64</w:t>
            </w:r>
          </w:p>
        </w:tc>
        <w:tc>
          <w:tcPr>
            <w:tcW w:w="717" w:type="dxa"/>
            <w:tcBorders>
              <w:top w:val="single" w:sz="4" w:space="0" w:color="auto"/>
              <w:left w:val="nil"/>
              <w:bottom w:val="single" w:sz="4" w:space="0" w:color="auto"/>
              <w:right w:val="nil"/>
            </w:tcBorders>
            <w:vAlign w:val="center"/>
          </w:tcPr>
          <w:p w14:paraId="25247C24" w14:textId="77777777" w:rsidR="00617156" w:rsidRPr="00617156" w:rsidRDefault="00617156" w:rsidP="00617156">
            <w:pPr>
              <w:jc w:val="center"/>
              <w:rPr>
                <w:sz w:val="14"/>
                <w:szCs w:val="14"/>
              </w:rPr>
            </w:pPr>
            <w:r w:rsidRPr="00617156">
              <w:rPr>
                <w:sz w:val="14"/>
                <w:szCs w:val="14"/>
              </w:rPr>
              <w:t>0.84</w:t>
            </w:r>
          </w:p>
        </w:tc>
      </w:tr>
      <w:tr w:rsidR="00617156" w:rsidRPr="00617156" w14:paraId="14F762A3" w14:textId="77777777" w:rsidTr="00617156">
        <w:tc>
          <w:tcPr>
            <w:tcW w:w="425" w:type="dxa"/>
            <w:tcBorders>
              <w:top w:val="single" w:sz="4" w:space="0" w:color="auto"/>
              <w:left w:val="nil"/>
              <w:bottom w:val="single" w:sz="4" w:space="0" w:color="auto"/>
              <w:right w:val="nil"/>
            </w:tcBorders>
            <w:vAlign w:val="center"/>
          </w:tcPr>
          <w:p w14:paraId="3E36C498" w14:textId="77777777" w:rsidR="00617156" w:rsidRPr="00617156" w:rsidRDefault="00617156" w:rsidP="00835C90">
            <w:pPr>
              <w:jc w:val="center"/>
              <w:rPr>
                <w:sz w:val="14"/>
                <w:szCs w:val="14"/>
              </w:rPr>
            </w:pPr>
            <w:r w:rsidRPr="00617156">
              <w:rPr>
                <w:sz w:val="14"/>
                <w:szCs w:val="14"/>
              </w:rPr>
              <w:t>13</w:t>
            </w:r>
          </w:p>
        </w:tc>
        <w:tc>
          <w:tcPr>
            <w:tcW w:w="2309" w:type="dxa"/>
            <w:tcBorders>
              <w:top w:val="single" w:sz="4" w:space="0" w:color="auto"/>
              <w:left w:val="nil"/>
              <w:bottom w:val="single" w:sz="4" w:space="0" w:color="auto"/>
              <w:right w:val="nil"/>
            </w:tcBorders>
            <w:vAlign w:val="center"/>
          </w:tcPr>
          <w:p w14:paraId="5620CD0A" w14:textId="77777777" w:rsidR="00617156" w:rsidRPr="00617156" w:rsidRDefault="00617156" w:rsidP="00835C90">
            <w:pPr>
              <w:jc w:val="both"/>
              <w:rPr>
                <w:sz w:val="14"/>
                <w:szCs w:val="14"/>
              </w:rPr>
            </w:pPr>
            <w:r w:rsidRPr="00617156">
              <w:rPr>
                <w:sz w:val="14"/>
                <w:szCs w:val="14"/>
              </w:rPr>
              <w:t>Al tomar una decisión, siempre tomo en cuenta si será placentera</w:t>
            </w:r>
          </w:p>
        </w:tc>
        <w:tc>
          <w:tcPr>
            <w:tcW w:w="667" w:type="dxa"/>
            <w:tcBorders>
              <w:top w:val="single" w:sz="4" w:space="0" w:color="auto"/>
              <w:left w:val="nil"/>
              <w:bottom w:val="single" w:sz="4" w:space="0" w:color="auto"/>
              <w:right w:val="nil"/>
            </w:tcBorders>
            <w:vAlign w:val="center"/>
          </w:tcPr>
          <w:p w14:paraId="4366DFF6" w14:textId="77777777" w:rsidR="00617156" w:rsidRPr="00617156" w:rsidRDefault="00617156" w:rsidP="00617156">
            <w:pPr>
              <w:jc w:val="center"/>
              <w:rPr>
                <w:sz w:val="14"/>
                <w:szCs w:val="14"/>
              </w:rPr>
            </w:pPr>
            <w:r w:rsidRPr="00617156">
              <w:rPr>
                <w:sz w:val="14"/>
                <w:szCs w:val="14"/>
              </w:rPr>
              <w:t>2.5</w:t>
            </w:r>
          </w:p>
        </w:tc>
        <w:tc>
          <w:tcPr>
            <w:tcW w:w="667" w:type="dxa"/>
            <w:tcBorders>
              <w:top w:val="single" w:sz="4" w:space="0" w:color="auto"/>
              <w:left w:val="nil"/>
              <w:bottom w:val="single" w:sz="4" w:space="0" w:color="auto"/>
              <w:right w:val="nil"/>
            </w:tcBorders>
            <w:vAlign w:val="center"/>
          </w:tcPr>
          <w:p w14:paraId="5CAAA659" w14:textId="77777777" w:rsidR="00617156" w:rsidRPr="00617156" w:rsidRDefault="00617156" w:rsidP="00617156">
            <w:pPr>
              <w:jc w:val="center"/>
              <w:rPr>
                <w:sz w:val="14"/>
                <w:szCs w:val="14"/>
              </w:rPr>
            </w:pPr>
            <w:r w:rsidRPr="00617156">
              <w:rPr>
                <w:sz w:val="14"/>
                <w:szCs w:val="14"/>
              </w:rPr>
              <w:t>18.1</w:t>
            </w:r>
          </w:p>
        </w:tc>
        <w:tc>
          <w:tcPr>
            <w:tcW w:w="667" w:type="dxa"/>
            <w:tcBorders>
              <w:top w:val="single" w:sz="4" w:space="0" w:color="auto"/>
              <w:left w:val="nil"/>
              <w:bottom w:val="single" w:sz="4" w:space="0" w:color="auto"/>
              <w:right w:val="nil"/>
            </w:tcBorders>
            <w:vAlign w:val="center"/>
          </w:tcPr>
          <w:p w14:paraId="19BC9733" w14:textId="77777777" w:rsidR="00617156" w:rsidRPr="00617156" w:rsidRDefault="00617156" w:rsidP="00617156">
            <w:pPr>
              <w:jc w:val="center"/>
              <w:rPr>
                <w:sz w:val="14"/>
                <w:szCs w:val="14"/>
              </w:rPr>
            </w:pPr>
            <w:r w:rsidRPr="00617156">
              <w:rPr>
                <w:sz w:val="14"/>
                <w:szCs w:val="14"/>
              </w:rPr>
              <w:t>34.3</w:t>
            </w:r>
          </w:p>
        </w:tc>
        <w:tc>
          <w:tcPr>
            <w:tcW w:w="667" w:type="dxa"/>
            <w:tcBorders>
              <w:top w:val="single" w:sz="4" w:space="0" w:color="auto"/>
              <w:left w:val="nil"/>
              <w:bottom w:val="single" w:sz="4" w:space="0" w:color="auto"/>
              <w:right w:val="nil"/>
            </w:tcBorders>
            <w:vAlign w:val="center"/>
          </w:tcPr>
          <w:p w14:paraId="73014475" w14:textId="77777777" w:rsidR="00617156" w:rsidRPr="00617156" w:rsidRDefault="00617156" w:rsidP="00617156">
            <w:pPr>
              <w:jc w:val="center"/>
              <w:rPr>
                <w:sz w:val="14"/>
                <w:szCs w:val="14"/>
              </w:rPr>
            </w:pPr>
            <w:r w:rsidRPr="00617156">
              <w:rPr>
                <w:sz w:val="14"/>
                <w:szCs w:val="14"/>
              </w:rPr>
              <w:t>33.6</w:t>
            </w:r>
          </w:p>
        </w:tc>
        <w:tc>
          <w:tcPr>
            <w:tcW w:w="667" w:type="dxa"/>
            <w:tcBorders>
              <w:top w:val="single" w:sz="4" w:space="0" w:color="auto"/>
              <w:left w:val="nil"/>
              <w:bottom w:val="single" w:sz="4" w:space="0" w:color="auto"/>
              <w:right w:val="nil"/>
            </w:tcBorders>
            <w:vAlign w:val="center"/>
          </w:tcPr>
          <w:p w14:paraId="12AC40E8" w14:textId="77777777" w:rsidR="00617156" w:rsidRPr="00617156" w:rsidRDefault="00617156" w:rsidP="00617156">
            <w:pPr>
              <w:jc w:val="center"/>
              <w:rPr>
                <w:sz w:val="14"/>
                <w:szCs w:val="14"/>
              </w:rPr>
            </w:pPr>
            <w:r w:rsidRPr="00617156">
              <w:rPr>
                <w:sz w:val="14"/>
                <w:szCs w:val="14"/>
              </w:rPr>
              <w:t>11.4</w:t>
            </w:r>
          </w:p>
        </w:tc>
        <w:tc>
          <w:tcPr>
            <w:tcW w:w="667" w:type="dxa"/>
            <w:tcBorders>
              <w:top w:val="single" w:sz="4" w:space="0" w:color="auto"/>
              <w:left w:val="nil"/>
              <w:bottom w:val="single" w:sz="4" w:space="0" w:color="auto"/>
              <w:right w:val="nil"/>
            </w:tcBorders>
            <w:vAlign w:val="center"/>
          </w:tcPr>
          <w:p w14:paraId="7542B641" w14:textId="77777777" w:rsidR="00617156" w:rsidRPr="00617156" w:rsidRDefault="00617156" w:rsidP="00617156">
            <w:pPr>
              <w:jc w:val="center"/>
              <w:rPr>
                <w:sz w:val="14"/>
                <w:szCs w:val="14"/>
              </w:rPr>
            </w:pPr>
            <w:r w:rsidRPr="00617156">
              <w:rPr>
                <w:sz w:val="14"/>
                <w:szCs w:val="14"/>
              </w:rPr>
              <w:t>-0.14</w:t>
            </w:r>
          </w:p>
        </w:tc>
        <w:tc>
          <w:tcPr>
            <w:tcW w:w="716" w:type="dxa"/>
            <w:tcBorders>
              <w:top w:val="single" w:sz="4" w:space="0" w:color="auto"/>
              <w:left w:val="nil"/>
              <w:bottom w:val="single" w:sz="4" w:space="0" w:color="auto"/>
              <w:right w:val="nil"/>
            </w:tcBorders>
            <w:vAlign w:val="center"/>
          </w:tcPr>
          <w:p w14:paraId="1B56E1BD" w14:textId="77777777" w:rsidR="00617156" w:rsidRPr="00617156" w:rsidRDefault="00617156" w:rsidP="00617156">
            <w:pPr>
              <w:jc w:val="center"/>
              <w:rPr>
                <w:sz w:val="14"/>
                <w:szCs w:val="14"/>
              </w:rPr>
            </w:pPr>
            <w:r w:rsidRPr="00617156">
              <w:rPr>
                <w:sz w:val="14"/>
                <w:szCs w:val="14"/>
              </w:rPr>
              <w:t>-0.55</w:t>
            </w:r>
          </w:p>
        </w:tc>
        <w:tc>
          <w:tcPr>
            <w:tcW w:w="737" w:type="dxa"/>
            <w:tcBorders>
              <w:top w:val="single" w:sz="4" w:space="0" w:color="auto"/>
              <w:left w:val="nil"/>
              <w:bottom w:val="single" w:sz="4" w:space="0" w:color="auto"/>
              <w:right w:val="nil"/>
            </w:tcBorders>
            <w:vAlign w:val="center"/>
          </w:tcPr>
          <w:p w14:paraId="6F1EC887" w14:textId="77777777" w:rsidR="00617156" w:rsidRPr="00617156" w:rsidRDefault="00617156" w:rsidP="00617156">
            <w:pPr>
              <w:jc w:val="center"/>
              <w:rPr>
                <w:sz w:val="14"/>
                <w:szCs w:val="14"/>
              </w:rPr>
            </w:pPr>
            <w:r w:rsidRPr="00617156">
              <w:rPr>
                <w:sz w:val="14"/>
                <w:szCs w:val="14"/>
              </w:rPr>
              <w:t>0.48</w:t>
            </w:r>
          </w:p>
        </w:tc>
        <w:tc>
          <w:tcPr>
            <w:tcW w:w="717" w:type="dxa"/>
            <w:tcBorders>
              <w:top w:val="single" w:sz="4" w:space="0" w:color="auto"/>
              <w:left w:val="nil"/>
              <w:bottom w:val="single" w:sz="4" w:space="0" w:color="auto"/>
              <w:right w:val="nil"/>
            </w:tcBorders>
            <w:vAlign w:val="center"/>
          </w:tcPr>
          <w:p w14:paraId="0AFFDE14" w14:textId="77777777" w:rsidR="00617156" w:rsidRPr="00617156" w:rsidRDefault="00617156" w:rsidP="00617156">
            <w:pPr>
              <w:jc w:val="center"/>
              <w:rPr>
                <w:sz w:val="14"/>
                <w:szCs w:val="14"/>
              </w:rPr>
            </w:pPr>
            <w:r w:rsidRPr="00617156">
              <w:rPr>
                <w:sz w:val="14"/>
                <w:szCs w:val="14"/>
              </w:rPr>
              <w:t>0.85</w:t>
            </w:r>
          </w:p>
        </w:tc>
      </w:tr>
      <w:tr w:rsidR="00617156" w:rsidRPr="00617156" w14:paraId="194F5924" w14:textId="77777777" w:rsidTr="00617156">
        <w:tc>
          <w:tcPr>
            <w:tcW w:w="425" w:type="dxa"/>
            <w:tcBorders>
              <w:top w:val="single" w:sz="4" w:space="0" w:color="auto"/>
              <w:left w:val="nil"/>
              <w:bottom w:val="single" w:sz="4" w:space="0" w:color="auto"/>
              <w:right w:val="nil"/>
            </w:tcBorders>
            <w:vAlign w:val="center"/>
          </w:tcPr>
          <w:p w14:paraId="718FB19F" w14:textId="77777777" w:rsidR="00617156" w:rsidRPr="00617156" w:rsidRDefault="00617156" w:rsidP="00835C90">
            <w:pPr>
              <w:jc w:val="center"/>
              <w:rPr>
                <w:sz w:val="14"/>
                <w:szCs w:val="14"/>
              </w:rPr>
            </w:pPr>
            <w:r w:rsidRPr="00617156">
              <w:rPr>
                <w:sz w:val="14"/>
                <w:szCs w:val="14"/>
              </w:rPr>
              <w:t>14</w:t>
            </w:r>
          </w:p>
        </w:tc>
        <w:tc>
          <w:tcPr>
            <w:tcW w:w="2309" w:type="dxa"/>
            <w:tcBorders>
              <w:top w:val="single" w:sz="4" w:space="0" w:color="auto"/>
              <w:left w:val="nil"/>
              <w:bottom w:val="single" w:sz="4" w:space="0" w:color="auto"/>
              <w:right w:val="nil"/>
            </w:tcBorders>
            <w:vAlign w:val="center"/>
          </w:tcPr>
          <w:p w14:paraId="309E199F" w14:textId="77777777" w:rsidR="00617156" w:rsidRPr="00617156" w:rsidRDefault="00617156" w:rsidP="00835C90">
            <w:pPr>
              <w:jc w:val="both"/>
              <w:rPr>
                <w:sz w:val="14"/>
                <w:szCs w:val="14"/>
              </w:rPr>
            </w:pPr>
            <w:r w:rsidRPr="00617156">
              <w:rPr>
                <w:sz w:val="14"/>
                <w:szCs w:val="14"/>
              </w:rPr>
              <w:t>Lo que yo hago es importante para la sociedad</w:t>
            </w:r>
          </w:p>
        </w:tc>
        <w:tc>
          <w:tcPr>
            <w:tcW w:w="667" w:type="dxa"/>
            <w:tcBorders>
              <w:top w:val="single" w:sz="4" w:space="0" w:color="auto"/>
              <w:left w:val="nil"/>
              <w:bottom w:val="single" w:sz="4" w:space="0" w:color="auto"/>
              <w:right w:val="nil"/>
            </w:tcBorders>
            <w:vAlign w:val="center"/>
          </w:tcPr>
          <w:p w14:paraId="3C49C227" w14:textId="77777777" w:rsidR="00617156" w:rsidRPr="00617156" w:rsidRDefault="00617156" w:rsidP="00835C90">
            <w:pPr>
              <w:jc w:val="center"/>
              <w:rPr>
                <w:sz w:val="14"/>
                <w:szCs w:val="14"/>
              </w:rPr>
            </w:pPr>
            <w:r w:rsidRPr="00617156">
              <w:rPr>
                <w:sz w:val="14"/>
                <w:szCs w:val="14"/>
              </w:rPr>
              <w:t>3.4</w:t>
            </w:r>
          </w:p>
        </w:tc>
        <w:tc>
          <w:tcPr>
            <w:tcW w:w="667" w:type="dxa"/>
            <w:tcBorders>
              <w:top w:val="single" w:sz="4" w:space="0" w:color="auto"/>
              <w:left w:val="nil"/>
              <w:bottom w:val="single" w:sz="4" w:space="0" w:color="auto"/>
              <w:right w:val="nil"/>
            </w:tcBorders>
            <w:vAlign w:val="center"/>
          </w:tcPr>
          <w:p w14:paraId="74AA2064" w14:textId="77777777" w:rsidR="00617156" w:rsidRPr="00617156" w:rsidRDefault="00617156" w:rsidP="00835C90">
            <w:pPr>
              <w:jc w:val="center"/>
              <w:rPr>
                <w:sz w:val="14"/>
                <w:szCs w:val="14"/>
              </w:rPr>
            </w:pPr>
            <w:r w:rsidRPr="00617156">
              <w:rPr>
                <w:sz w:val="14"/>
                <w:szCs w:val="14"/>
              </w:rPr>
              <w:t>7.5</w:t>
            </w:r>
          </w:p>
        </w:tc>
        <w:tc>
          <w:tcPr>
            <w:tcW w:w="667" w:type="dxa"/>
            <w:tcBorders>
              <w:top w:val="single" w:sz="4" w:space="0" w:color="auto"/>
              <w:left w:val="nil"/>
              <w:bottom w:val="single" w:sz="4" w:space="0" w:color="auto"/>
              <w:right w:val="nil"/>
            </w:tcBorders>
            <w:vAlign w:val="center"/>
          </w:tcPr>
          <w:p w14:paraId="3DA98E72" w14:textId="77777777" w:rsidR="00617156" w:rsidRPr="00617156" w:rsidRDefault="00617156" w:rsidP="00835C90">
            <w:pPr>
              <w:jc w:val="center"/>
              <w:rPr>
                <w:sz w:val="14"/>
                <w:szCs w:val="14"/>
              </w:rPr>
            </w:pPr>
            <w:r w:rsidRPr="00617156">
              <w:rPr>
                <w:sz w:val="14"/>
                <w:szCs w:val="14"/>
              </w:rPr>
              <w:t>23.3</w:t>
            </w:r>
          </w:p>
        </w:tc>
        <w:tc>
          <w:tcPr>
            <w:tcW w:w="667" w:type="dxa"/>
            <w:tcBorders>
              <w:top w:val="single" w:sz="4" w:space="0" w:color="auto"/>
              <w:left w:val="nil"/>
              <w:bottom w:val="single" w:sz="4" w:space="0" w:color="auto"/>
              <w:right w:val="nil"/>
            </w:tcBorders>
            <w:vAlign w:val="center"/>
          </w:tcPr>
          <w:p w14:paraId="2CCA7778" w14:textId="77777777" w:rsidR="00617156" w:rsidRPr="00617156" w:rsidRDefault="00617156" w:rsidP="00835C90">
            <w:pPr>
              <w:jc w:val="center"/>
              <w:rPr>
                <w:sz w:val="14"/>
                <w:szCs w:val="14"/>
              </w:rPr>
            </w:pPr>
            <w:r w:rsidRPr="00617156">
              <w:rPr>
                <w:sz w:val="14"/>
                <w:szCs w:val="14"/>
              </w:rPr>
              <w:t>38.3</w:t>
            </w:r>
          </w:p>
        </w:tc>
        <w:tc>
          <w:tcPr>
            <w:tcW w:w="667" w:type="dxa"/>
            <w:tcBorders>
              <w:top w:val="single" w:sz="4" w:space="0" w:color="auto"/>
              <w:left w:val="nil"/>
              <w:bottom w:val="single" w:sz="4" w:space="0" w:color="auto"/>
              <w:right w:val="nil"/>
            </w:tcBorders>
            <w:vAlign w:val="center"/>
          </w:tcPr>
          <w:p w14:paraId="6E55F814" w14:textId="77777777" w:rsidR="00617156" w:rsidRPr="00617156" w:rsidRDefault="00617156" w:rsidP="00835C90">
            <w:pPr>
              <w:jc w:val="center"/>
              <w:rPr>
                <w:sz w:val="14"/>
                <w:szCs w:val="14"/>
              </w:rPr>
            </w:pPr>
            <w:r w:rsidRPr="00617156">
              <w:rPr>
                <w:sz w:val="14"/>
                <w:szCs w:val="14"/>
              </w:rPr>
              <w:t>27.6</w:t>
            </w:r>
          </w:p>
        </w:tc>
        <w:tc>
          <w:tcPr>
            <w:tcW w:w="667" w:type="dxa"/>
            <w:tcBorders>
              <w:top w:val="single" w:sz="4" w:space="0" w:color="auto"/>
              <w:left w:val="nil"/>
              <w:bottom w:val="single" w:sz="4" w:space="0" w:color="auto"/>
              <w:right w:val="nil"/>
            </w:tcBorders>
            <w:vAlign w:val="center"/>
          </w:tcPr>
          <w:p w14:paraId="731B0E06" w14:textId="77777777" w:rsidR="00617156" w:rsidRPr="00617156" w:rsidRDefault="00617156" w:rsidP="00835C90">
            <w:pPr>
              <w:jc w:val="center"/>
              <w:rPr>
                <w:sz w:val="14"/>
                <w:szCs w:val="14"/>
              </w:rPr>
            </w:pPr>
            <w:r w:rsidRPr="00617156">
              <w:rPr>
                <w:sz w:val="14"/>
                <w:szCs w:val="14"/>
              </w:rPr>
              <w:t>-0.71</w:t>
            </w:r>
          </w:p>
        </w:tc>
        <w:tc>
          <w:tcPr>
            <w:tcW w:w="716" w:type="dxa"/>
            <w:tcBorders>
              <w:top w:val="single" w:sz="4" w:space="0" w:color="auto"/>
              <w:left w:val="nil"/>
              <w:bottom w:val="single" w:sz="4" w:space="0" w:color="auto"/>
              <w:right w:val="nil"/>
            </w:tcBorders>
            <w:vAlign w:val="center"/>
          </w:tcPr>
          <w:p w14:paraId="6FF5F8A2" w14:textId="77777777" w:rsidR="00617156" w:rsidRPr="00617156" w:rsidRDefault="00617156" w:rsidP="00835C90">
            <w:pPr>
              <w:jc w:val="center"/>
              <w:rPr>
                <w:sz w:val="14"/>
                <w:szCs w:val="14"/>
              </w:rPr>
            </w:pPr>
            <w:r w:rsidRPr="00617156">
              <w:rPr>
                <w:sz w:val="14"/>
                <w:szCs w:val="14"/>
              </w:rPr>
              <w:t>0.07</w:t>
            </w:r>
          </w:p>
        </w:tc>
        <w:tc>
          <w:tcPr>
            <w:tcW w:w="737" w:type="dxa"/>
            <w:tcBorders>
              <w:top w:val="single" w:sz="4" w:space="0" w:color="auto"/>
              <w:left w:val="nil"/>
              <w:bottom w:val="single" w:sz="4" w:space="0" w:color="auto"/>
              <w:right w:val="nil"/>
            </w:tcBorders>
            <w:vAlign w:val="center"/>
          </w:tcPr>
          <w:p w14:paraId="4A5053D0" w14:textId="77777777" w:rsidR="00617156" w:rsidRPr="00617156" w:rsidRDefault="00617156" w:rsidP="00835C90">
            <w:pPr>
              <w:jc w:val="center"/>
              <w:rPr>
                <w:sz w:val="14"/>
                <w:szCs w:val="14"/>
              </w:rPr>
            </w:pPr>
            <w:r w:rsidRPr="00617156">
              <w:rPr>
                <w:sz w:val="14"/>
                <w:szCs w:val="14"/>
              </w:rPr>
              <w:t>0.56</w:t>
            </w:r>
          </w:p>
        </w:tc>
        <w:tc>
          <w:tcPr>
            <w:tcW w:w="717" w:type="dxa"/>
            <w:tcBorders>
              <w:top w:val="single" w:sz="4" w:space="0" w:color="auto"/>
              <w:left w:val="nil"/>
              <w:bottom w:val="single" w:sz="4" w:space="0" w:color="auto"/>
              <w:right w:val="nil"/>
            </w:tcBorders>
            <w:vAlign w:val="center"/>
          </w:tcPr>
          <w:p w14:paraId="06AC413C" w14:textId="77777777" w:rsidR="00617156" w:rsidRPr="00617156" w:rsidRDefault="00617156" w:rsidP="00835C90">
            <w:pPr>
              <w:jc w:val="center"/>
              <w:rPr>
                <w:sz w:val="14"/>
                <w:szCs w:val="14"/>
              </w:rPr>
            </w:pPr>
            <w:r w:rsidRPr="00617156">
              <w:rPr>
                <w:sz w:val="14"/>
                <w:szCs w:val="14"/>
              </w:rPr>
              <w:t>0.85</w:t>
            </w:r>
          </w:p>
        </w:tc>
      </w:tr>
      <w:tr w:rsidR="00617156" w:rsidRPr="00617156" w14:paraId="105BFA0F" w14:textId="77777777" w:rsidTr="00617156">
        <w:tc>
          <w:tcPr>
            <w:tcW w:w="425" w:type="dxa"/>
            <w:tcBorders>
              <w:top w:val="single" w:sz="4" w:space="0" w:color="auto"/>
              <w:left w:val="nil"/>
              <w:bottom w:val="single" w:sz="4" w:space="0" w:color="auto"/>
              <w:right w:val="nil"/>
            </w:tcBorders>
            <w:vAlign w:val="center"/>
          </w:tcPr>
          <w:p w14:paraId="141B725A" w14:textId="77777777" w:rsidR="00617156" w:rsidRPr="00617156" w:rsidRDefault="00617156" w:rsidP="00835C90">
            <w:pPr>
              <w:jc w:val="center"/>
              <w:rPr>
                <w:sz w:val="14"/>
                <w:szCs w:val="14"/>
              </w:rPr>
            </w:pPr>
            <w:r w:rsidRPr="00617156">
              <w:rPr>
                <w:sz w:val="14"/>
                <w:szCs w:val="14"/>
              </w:rPr>
              <w:lastRenderedPageBreak/>
              <w:t>15</w:t>
            </w:r>
          </w:p>
        </w:tc>
        <w:tc>
          <w:tcPr>
            <w:tcW w:w="2309" w:type="dxa"/>
            <w:tcBorders>
              <w:top w:val="single" w:sz="4" w:space="0" w:color="auto"/>
              <w:left w:val="nil"/>
              <w:bottom w:val="single" w:sz="4" w:space="0" w:color="auto"/>
              <w:right w:val="nil"/>
            </w:tcBorders>
            <w:vAlign w:val="center"/>
          </w:tcPr>
          <w:p w14:paraId="7BFEA9FA" w14:textId="77777777" w:rsidR="00617156" w:rsidRPr="00617156" w:rsidRDefault="00617156" w:rsidP="00835C90">
            <w:pPr>
              <w:jc w:val="both"/>
              <w:rPr>
                <w:sz w:val="14"/>
                <w:szCs w:val="14"/>
              </w:rPr>
            </w:pPr>
            <w:r w:rsidRPr="00617156">
              <w:rPr>
                <w:sz w:val="14"/>
                <w:szCs w:val="14"/>
              </w:rPr>
              <w:t>Estoy de acuerdo con esta afirmación “La vida es muy corta, así que empieza con el postre"</w:t>
            </w:r>
          </w:p>
        </w:tc>
        <w:tc>
          <w:tcPr>
            <w:tcW w:w="667" w:type="dxa"/>
            <w:tcBorders>
              <w:top w:val="single" w:sz="4" w:space="0" w:color="auto"/>
              <w:left w:val="nil"/>
              <w:bottom w:val="single" w:sz="4" w:space="0" w:color="auto"/>
              <w:right w:val="nil"/>
            </w:tcBorders>
            <w:vAlign w:val="center"/>
          </w:tcPr>
          <w:p w14:paraId="73CBE05E" w14:textId="77777777" w:rsidR="00617156" w:rsidRPr="00617156" w:rsidRDefault="00617156" w:rsidP="00835C90">
            <w:pPr>
              <w:jc w:val="center"/>
              <w:rPr>
                <w:sz w:val="14"/>
                <w:szCs w:val="14"/>
              </w:rPr>
            </w:pPr>
            <w:r w:rsidRPr="00617156">
              <w:rPr>
                <w:sz w:val="14"/>
                <w:szCs w:val="14"/>
              </w:rPr>
              <w:t>6.5</w:t>
            </w:r>
          </w:p>
        </w:tc>
        <w:tc>
          <w:tcPr>
            <w:tcW w:w="667" w:type="dxa"/>
            <w:tcBorders>
              <w:top w:val="single" w:sz="4" w:space="0" w:color="auto"/>
              <w:left w:val="nil"/>
              <w:bottom w:val="single" w:sz="4" w:space="0" w:color="auto"/>
              <w:right w:val="nil"/>
            </w:tcBorders>
            <w:vAlign w:val="center"/>
          </w:tcPr>
          <w:p w14:paraId="6F6B5C6C" w14:textId="77777777" w:rsidR="00617156" w:rsidRPr="00617156" w:rsidRDefault="00617156" w:rsidP="00835C90">
            <w:pPr>
              <w:jc w:val="center"/>
              <w:rPr>
                <w:sz w:val="14"/>
                <w:szCs w:val="14"/>
              </w:rPr>
            </w:pPr>
            <w:r w:rsidRPr="00617156">
              <w:rPr>
                <w:sz w:val="14"/>
                <w:szCs w:val="14"/>
              </w:rPr>
              <w:t>24.6</w:t>
            </w:r>
          </w:p>
        </w:tc>
        <w:tc>
          <w:tcPr>
            <w:tcW w:w="667" w:type="dxa"/>
            <w:tcBorders>
              <w:top w:val="single" w:sz="4" w:space="0" w:color="auto"/>
              <w:left w:val="nil"/>
              <w:bottom w:val="single" w:sz="4" w:space="0" w:color="auto"/>
              <w:right w:val="nil"/>
            </w:tcBorders>
            <w:vAlign w:val="center"/>
          </w:tcPr>
          <w:p w14:paraId="04C59931" w14:textId="77777777" w:rsidR="00617156" w:rsidRPr="00617156" w:rsidRDefault="00617156" w:rsidP="00835C90">
            <w:pPr>
              <w:jc w:val="center"/>
              <w:rPr>
                <w:sz w:val="14"/>
                <w:szCs w:val="14"/>
              </w:rPr>
            </w:pPr>
            <w:r w:rsidRPr="00617156">
              <w:rPr>
                <w:sz w:val="14"/>
                <w:szCs w:val="14"/>
              </w:rPr>
              <w:t>40.9</w:t>
            </w:r>
          </w:p>
        </w:tc>
        <w:tc>
          <w:tcPr>
            <w:tcW w:w="667" w:type="dxa"/>
            <w:tcBorders>
              <w:top w:val="single" w:sz="4" w:space="0" w:color="auto"/>
              <w:left w:val="nil"/>
              <w:bottom w:val="single" w:sz="4" w:space="0" w:color="auto"/>
              <w:right w:val="nil"/>
            </w:tcBorders>
            <w:vAlign w:val="center"/>
          </w:tcPr>
          <w:p w14:paraId="2B92AD51" w14:textId="77777777" w:rsidR="00617156" w:rsidRPr="00617156" w:rsidRDefault="00617156" w:rsidP="00835C90">
            <w:pPr>
              <w:jc w:val="center"/>
              <w:rPr>
                <w:sz w:val="14"/>
                <w:szCs w:val="14"/>
              </w:rPr>
            </w:pPr>
            <w:r w:rsidRPr="00617156">
              <w:rPr>
                <w:sz w:val="14"/>
                <w:szCs w:val="14"/>
              </w:rPr>
              <w:t>19.1</w:t>
            </w:r>
          </w:p>
        </w:tc>
        <w:tc>
          <w:tcPr>
            <w:tcW w:w="667" w:type="dxa"/>
            <w:tcBorders>
              <w:top w:val="single" w:sz="4" w:space="0" w:color="auto"/>
              <w:left w:val="nil"/>
              <w:bottom w:val="single" w:sz="4" w:space="0" w:color="auto"/>
              <w:right w:val="nil"/>
            </w:tcBorders>
            <w:vAlign w:val="center"/>
          </w:tcPr>
          <w:p w14:paraId="350FBEF7" w14:textId="77777777" w:rsidR="00617156" w:rsidRPr="00617156" w:rsidRDefault="00617156" w:rsidP="00835C90">
            <w:pPr>
              <w:jc w:val="center"/>
              <w:rPr>
                <w:sz w:val="14"/>
                <w:szCs w:val="14"/>
              </w:rPr>
            </w:pPr>
            <w:r w:rsidRPr="00617156">
              <w:rPr>
                <w:sz w:val="14"/>
                <w:szCs w:val="14"/>
              </w:rPr>
              <w:t>8.9</w:t>
            </w:r>
          </w:p>
        </w:tc>
        <w:tc>
          <w:tcPr>
            <w:tcW w:w="667" w:type="dxa"/>
            <w:tcBorders>
              <w:top w:val="single" w:sz="4" w:space="0" w:color="auto"/>
              <w:left w:val="nil"/>
              <w:bottom w:val="single" w:sz="4" w:space="0" w:color="auto"/>
              <w:right w:val="nil"/>
            </w:tcBorders>
            <w:vAlign w:val="center"/>
          </w:tcPr>
          <w:p w14:paraId="381DC899" w14:textId="77777777" w:rsidR="00617156" w:rsidRPr="00617156" w:rsidRDefault="00617156" w:rsidP="00835C90">
            <w:pPr>
              <w:jc w:val="center"/>
              <w:rPr>
                <w:sz w:val="14"/>
                <w:szCs w:val="14"/>
              </w:rPr>
            </w:pPr>
            <w:r w:rsidRPr="00617156">
              <w:rPr>
                <w:sz w:val="14"/>
                <w:szCs w:val="14"/>
              </w:rPr>
              <w:t>0.14</w:t>
            </w:r>
          </w:p>
        </w:tc>
        <w:tc>
          <w:tcPr>
            <w:tcW w:w="716" w:type="dxa"/>
            <w:tcBorders>
              <w:top w:val="single" w:sz="4" w:space="0" w:color="auto"/>
              <w:left w:val="nil"/>
              <w:bottom w:val="single" w:sz="4" w:space="0" w:color="auto"/>
              <w:right w:val="nil"/>
            </w:tcBorders>
            <w:vAlign w:val="center"/>
          </w:tcPr>
          <w:p w14:paraId="69A55844" w14:textId="77777777" w:rsidR="00617156" w:rsidRPr="00617156" w:rsidRDefault="00617156" w:rsidP="00835C90">
            <w:pPr>
              <w:jc w:val="center"/>
              <w:rPr>
                <w:sz w:val="14"/>
                <w:szCs w:val="14"/>
              </w:rPr>
            </w:pPr>
            <w:r w:rsidRPr="00617156">
              <w:rPr>
                <w:sz w:val="14"/>
                <w:szCs w:val="14"/>
              </w:rPr>
              <w:t>0.37</w:t>
            </w:r>
          </w:p>
        </w:tc>
        <w:tc>
          <w:tcPr>
            <w:tcW w:w="737" w:type="dxa"/>
            <w:tcBorders>
              <w:top w:val="single" w:sz="4" w:space="0" w:color="auto"/>
              <w:left w:val="nil"/>
              <w:bottom w:val="single" w:sz="4" w:space="0" w:color="auto"/>
              <w:right w:val="nil"/>
            </w:tcBorders>
            <w:vAlign w:val="center"/>
          </w:tcPr>
          <w:p w14:paraId="07381BDF" w14:textId="77777777" w:rsidR="00617156" w:rsidRPr="00617156" w:rsidRDefault="00617156" w:rsidP="00835C90">
            <w:pPr>
              <w:jc w:val="center"/>
              <w:rPr>
                <w:sz w:val="14"/>
                <w:szCs w:val="14"/>
              </w:rPr>
            </w:pPr>
            <w:r w:rsidRPr="00617156">
              <w:rPr>
                <w:sz w:val="14"/>
                <w:szCs w:val="14"/>
              </w:rPr>
              <w:t>0.38</w:t>
            </w:r>
          </w:p>
        </w:tc>
        <w:tc>
          <w:tcPr>
            <w:tcW w:w="717" w:type="dxa"/>
            <w:tcBorders>
              <w:top w:val="single" w:sz="4" w:space="0" w:color="auto"/>
              <w:left w:val="nil"/>
              <w:bottom w:val="single" w:sz="4" w:space="0" w:color="auto"/>
              <w:right w:val="nil"/>
            </w:tcBorders>
            <w:vAlign w:val="center"/>
          </w:tcPr>
          <w:p w14:paraId="0E91F476" w14:textId="77777777" w:rsidR="00617156" w:rsidRPr="00617156" w:rsidRDefault="00617156" w:rsidP="00835C90">
            <w:pPr>
              <w:jc w:val="center"/>
              <w:rPr>
                <w:sz w:val="14"/>
                <w:szCs w:val="14"/>
              </w:rPr>
            </w:pPr>
            <w:r w:rsidRPr="00617156">
              <w:rPr>
                <w:sz w:val="14"/>
                <w:szCs w:val="14"/>
              </w:rPr>
              <w:t>0.85</w:t>
            </w:r>
          </w:p>
        </w:tc>
      </w:tr>
      <w:tr w:rsidR="00617156" w:rsidRPr="00617156" w14:paraId="2662DF78" w14:textId="77777777" w:rsidTr="00617156">
        <w:tc>
          <w:tcPr>
            <w:tcW w:w="425" w:type="dxa"/>
            <w:tcBorders>
              <w:top w:val="single" w:sz="4" w:space="0" w:color="auto"/>
              <w:left w:val="nil"/>
              <w:bottom w:val="single" w:sz="4" w:space="0" w:color="auto"/>
              <w:right w:val="nil"/>
            </w:tcBorders>
            <w:vAlign w:val="center"/>
          </w:tcPr>
          <w:p w14:paraId="3394C4DA" w14:textId="77777777" w:rsidR="00617156" w:rsidRPr="00617156" w:rsidRDefault="00617156" w:rsidP="00835C90">
            <w:pPr>
              <w:jc w:val="center"/>
              <w:rPr>
                <w:sz w:val="14"/>
                <w:szCs w:val="14"/>
              </w:rPr>
            </w:pPr>
            <w:r w:rsidRPr="00617156">
              <w:rPr>
                <w:sz w:val="14"/>
                <w:szCs w:val="14"/>
              </w:rPr>
              <w:t>16</w:t>
            </w:r>
          </w:p>
        </w:tc>
        <w:tc>
          <w:tcPr>
            <w:tcW w:w="2309" w:type="dxa"/>
            <w:tcBorders>
              <w:top w:val="single" w:sz="4" w:space="0" w:color="auto"/>
              <w:left w:val="nil"/>
              <w:bottom w:val="single" w:sz="4" w:space="0" w:color="auto"/>
              <w:right w:val="nil"/>
            </w:tcBorders>
            <w:vAlign w:val="center"/>
          </w:tcPr>
          <w:p w14:paraId="6D50A9E5" w14:textId="77777777" w:rsidR="00617156" w:rsidRPr="00617156" w:rsidRDefault="00617156" w:rsidP="00835C90">
            <w:pPr>
              <w:jc w:val="both"/>
              <w:rPr>
                <w:sz w:val="14"/>
                <w:szCs w:val="14"/>
              </w:rPr>
            </w:pPr>
            <w:r w:rsidRPr="00617156">
              <w:rPr>
                <w:sz w:val="14"/>
                <w:szCs w:val="14"/>
              </w:rPr>
              <w:t>Amo hacer cosas que exalten mis sentidos</w:t>
            </w:r>
          </w:p>
        </w:tc>
        <w:tc>
          <w:tcPr>
            <w:tcW w:w="667" w:type="dxa"/>
            <w:tcBorders>
              <w:top w:val="single" w:sz="4" w:space="0" w:color="auto"/>
              <w:left w:val="nil"/>
              <w:bottom w:val="single" w:sz="4" w:space="0" w:color="auto"/>
              <w:right w:val="nil"/>
            </w:tcBorders>
            <w:vAlign w:val="center"/>
          </w:tcPr>
          <w:p w14:paraId="4A92BA11" w14:textId="77777777" w:rsidR="00617156" w:rsidRPr="00617156" w:rsidRDefault="00617156" w:rsidP="00835C90">
            <w:pPr>
              <w:jc w:val="center"/>
              <w:rPr>
                <w:sz w:val="14"/>
                <w:szCs w:val="14"/>
              </w:rPr>
            </w:pPr>
            <w:r w:rsidRPr="00617156">
              <w:rPr>
                <w:sz w:val="14"/>
                <w:szCs w:val="14"/>
              </w:rPr>
              <w:t>3.8</w:t>
            </w:r>
          </w:p>
        </w:tc>
        <w:tc>
          <w:tcPr>
            <w:tcW w:w="667" w:type="dxa"/>
            <w:tcBorders>
              <w:top w:val="single" w:sz="4" w:space="0" w:color="auto"/>
              <w:left w:val="nil"/>
              <w:bottom w:val="single" w:sz="4" w:space="0" w:color="auto"/>
              <w:right w:val="nil"/>
            </w:tcBorders>
            <w:vAlign w:val="center"/>
          </w:tcPr>
          <w:p w14:paraId="79F8EC06" w14:textId="77777777" w:rsidR="00617156" w:rsidRPr="00617156" w:rsidRDefault="00617156" w:rsidP="00835C90">
            <w:pPr>
              <w:jc w:val="center"/>
              <w:rPr>
                <w:sz w:val="14"/>
                <w:szCs w:val="14"/>
              </w:rPr>
            </w:pPr>
            <w:r w:rsidRPr="00617156">
              <w:rPr>
                <w:sz w:val="14"/>
                <w:szCs w:val="14"/>
              </w:rPr>
              <w:t>15.6</w:t>
            </w:r>
          </w:p>
        </w:tc>
        <w:tc>
          <w:tcPr>
            <w:tcW w:w="667" w:type="dxa"/>
            <w:tcBorders>
              <w:top w:val="single" w:sz="4" w:space="0" w:color="auto"/>
              <w:left w:val="nil"/>
              <w:bottom w:val="single" w:sz="4" w:space="0" w:color="auto"/>
              <w:right w:val="nil"/>
            </w:tcBorders>
            <w:vAlign w:val="center"/>
          </w:tcPr>
          <w:p w14:paraId="5D8397D1" w14:textId="77777777" w:rsidR="00617156" w:rsidRPr="00617156" w:rsidRDefault="00617156" w:rsidP="00835C90">
            <w:pPr>
              <w:jc w:val="center"/>
              <w:rPr>
                <w:sz w:val="14"/>
                <w:szCs w:val="14"/>
              </w:rPr>
            </w:pPr>
            <w:r w:rsidRPr="00617156">
              <w:rPr>
                <w:sz w:val="14"/>
                <w:szCs w:val="14"/>
              </w:rPr>
              <w:t>26.7</w:t>
            </w:r>
          </w:p>
        </w:tc>
        <w:tc>
          <w:tcPr>
            <w:tcW w:w="667" w:type="dxa"/>
            <w:tcBorders>
              <w:top w:val="single" w:sz="4" w:space="0" w:color="auto"/>
              <w:left w:val="nil"/>
              <w:bottom w:val="single" w:sz="4" w:space="0" w:color="auto"/>
              <w:right w:val="nil"/>
            </w:tcBorders>
            <w:vAlign w:val="center"/>
          </w:tcPr>
          <w:p w14:paraId="1C640DA9" w14:textId="77777777" w:rsidR="00617156" w:rsidRPr="00617156" w:rsidRDefault="00617156" w:rsidP="00835C90">
            <w:pPr>
              <w:jc w:val="center"/>
              <w:rPr>
                <w:sz w:val="14"/>
                <w:szCs w:val="14"/>
              </w:rPr>
            </w:pPr>
            <w:r w:rsidRPr="00617156">
              <w:rPr>
                <w:sz w:val="14"/>
                <w:szCs w:val="14"/>
              </w:rPr>
              <w:t>36.6</w:t>
            </w:r>
          </w:p>
        </w:tc>
        <w:tc>
          <w:tcPr>
            <w:tcW w:w="667" w:type="dxa"/>
            <w:tcBorders>
              <w:top w:val="single" w:sz="4" w:space="0" w:color="auto"/>
              <w:left w:val="nil"/>
              <w:bottom w:val="single" w:sz="4" w:space="0" w:color="auto"/>
              <w:right w:val="nil"/>
            </w:tcBorders>
            <w:vAlign w:val="center"/>
          </w:tcPr>
          <w:p w14:paraId="456CD2FA" w14:textId="77777777" w:rsidR="00617156" w:rsidRPr="00617156" w:rsidRDefault="00617156" w:rsidP="00835C90">
            <w:pPr>
              <w:jc w:val="center"/>
              <w:rPr>
                <w:sz w:val="14"/>
                <w:szCs w:val="14"/>
              </w:rPr>
            </w:pPr>
            <w:r w:rsidRPr="00617156">
              <w:rPr>
                <w:sz w:val="14"/>
                <w:szCs w:val="14"/>
              </w:rPr>
              <w:t>17.3</w:t>
            </w:r>
          </w:p>
        </w:tc>
        <w:tc>
          <w:tcPr>
            <w:tcW w:w="667" w:type="dxa"/>
            <w:tcBorders>
              <w:top w:val="single" w:sz="4" w:space="0" w:color="auto"/>
              <w:left w:val="nil"/>
              <w:bottom w:val="single" w:sz="4" w:space="0" w:color="auto"/>
              <w:right w:val="nil"/>
            </w:tcBorders>
            <w:vAlign w:val="center"/>
          </w:tcPr>
          <w:p w14:paraId="7AE69EB4" w14:textId="77777777" w:rsidR="00617156" w:rsidRPr="00617156" w:rsidRDefault="00617156" w:rsidP="00835C90">
            <w:pPr>
              <w:jc w:val="center"/>
              <w:rPr>
                <w:sz w:val="14"/>
                <w:szCs w:val="14"/>
              </w:rPr>
            </w:pPr>
            <w:r w:rsidRPr="00617156">
              <w:rPr>
                <w:sz w:val="14"/>
                <w:szCs w:val="14"/>
              </w:rPr>
              <w:t>-0.37</w:t>
            </w:r>
          </w:p>
        </w:tc>
        <w:tc>
          <w:tcPr>
            <w:tcW w:w="716" w:type="dxa"/>
            <w:tcBorders>
              <w:top w:val="single" w:sz="4" w:space="0" w:color="auto"/>
              <w:left w:val="nil"/>
              <w:bottom w:val="single" w:sz="4" w:space="0" w:color="auto"/>
              <w:right w:val="nil"/>
            </w:tcBorders>
            <w:vAlign w:val="center"/>
          </w:tcPr>
          <w:p w14:paraId="7C635014" w14:textId="77777777" w:rsidR="00617156" w:rsidRPr="00617156" w:rsidRDefault="00617156" w:rsidP="00835C90">
            <w:pPr>
              <w:jc w:val="center"/>
              <w:rPr>
                <w:sz w:val="14"/>
                <w:szCs w:val="14"/>
              </w:rPr>
            </w:pPr>
            <w:r w:rsidRPr="00617156">
              <w:rPr>
                <w:sz w:val="14"/>
                <w:szCs w:val="14"/>
              </w:rPr>
              <w:t>-0.55</w:t>
            </w:r>
          </w:p>
        </w:tc>
        <w:tc>
          <w:tcPr>
            <w:tcW w:w="737" w:type="dxa"/>
            <w:tcBorders>
              <w:top w:val="single" w:sz="4" w:space="0" w:color="auto"/>
              <w:left w:val="nil"/>
              <w:bottom w:val="single" w:sz="4" w:space="0" w:color="auto"/>
              <w:right w:val="nil"/>
            </w:tcBorders>
            <w:vAlign w:val="center"/>
          </w:tcPr>
          <w:p w14:paraId="090416AA" w14:textId="77777777" w:rsidR="00617156" w:rsidRPr="00617156" w:rsidRDefault="00617156" w:rsidP="00835C90">
            <w:pPr>
              <w:jc w:val="center"/>
              <w:rPr>
                <w:sz w:val="14"/>
                <w:szCs w:val="14"/>
              </w:rPr>
            </w:pPr>
            <w:r w:rsidRPr="00617156">
              <w:rPr>
                <w:sz w:val="14"/>
                <w:szCs w:val="14"/>
              </w:rPr>
              <w:t>0.55</w:t>
            </w:r>
          </w:p>
        </w:tc>
        <w:tc>
          <w:tcPr>
            <w:tcW w:w="717" w:type="dxa"/>
            <w:tcBorders>
              <w:top w:val="single" w:sz="4" w:space="0" w:color="auto"/>
              <w:left w:val="nil"/>
              <w:bottom w:val="single" w:sz="4" w:space="0" w:color="auto"/>
              <w:right w:val="nil"/>
            </w:tcBorders>
            <w:vAlign w:val="center"/>
          </w:tcPr>
          <w:p w14:paraId="7CE633EC" w14:textId="77777777" w:rsidR="00617156" w:rsidRPr="00617156" w:rsidRDefault="00617156" w:rsidP="00835C90">
            <w:pPr>
              <w:jc w:val="center"/>
              <w:rPr>
                <w:sz w:val="14"/>
                <w:szCs w:val="14"/>
              </w:rPr>
            </w:pPr>
            <w:r w:rsidRPr="00617156">
              <w:rPr>
                <w:sz w:val="14"/>
                <w:szCs w:val="14"/>
              </w:rPr>
              <w:t>0.85</w:t>
            </w:r>
          </w:p>
        </w:tc>
      </w:tr>
      <w:tr w:rsidR="00617156" w:rsidRPr="00617156" w14:paraId="471056E2" w14:textId="77777777" w:rsidTr="00617156">
        <w:tc>
          <w:tcPr>
            <w:tcW w:w="425" w:type="dxa"/>
            <w:tcBorders>
              <w:top w:val="single" w:sz="4" w:space="0" w:color="auto"/>
              <w:left w:val="nil"/>
              <w:bottom w:val="single" w:sz="4" w:space="0" w:color="auto"/>
              <w:right w:val="nil"/>
            </w:tcBorders>
            <w:vAlign w:val="center"/>
          </w:tcPr>
          <w:p w14:paraId="3A23C673" w14:textId="77777777" w:rsidR="00617156" w:rsidRPr="00617156" w:rsidRDefault="00617156" w:rsidP="00835C90">
            <w:pPr>
              <w:jc w:val="center"/>
              <w:rPr>
                <w:sz w:val="14"/>
                <w:szCs w:val="14"/>
              </w:rPr>
            </w:pPr>
            <w:r w:rsidRPr="00617156">
              <w:rPr>
                <w:sz w:val="14"/>
                <w:szCs w:val="14"/>
              </w:rPr>
              <w:t>17</w:t>
            </w:r>
          </w:p>
        </w:tc>
        <w:tc>
          <w:tcPr>
            <w:tcW w:w="2309" w:type="dxa"/>
            <w:tcBorders>
              <w:top w:val="single" w:sz="4" w:space="0" w:color="auto"/>
              <w:left w:val="nil"/>
              <w:bottom w:val="single" w:sz="4" w:space="0" w:color="auto"/>
              <w:right w:val="nil"/>
            </w:tcBorders>
            <w:vAlign w:val="center"/>
          </w:tcPr>
          <w:p w14:paraId="09810B0A" w14:textId="77777777" w:rsidR="00617156" w:rsidRPr="00617156" w:rsidRDefault="00617156" w:rsidP="00835C90">
            <w:pPr>
              <w:jc w:val="both"/>
              <w:rPr>
                <w:sz w:val="14"/>
                <w:szCs w:val="14"/>
              </w:rPr>
            </w:pPr>
            <w:r w:rsidRPr="00617156">
              <w:rPr>
                <w:sz w:val="14"/>
                <w:szCs w:val="14"/>
              </w:rPr>
              <w:t>He pasado mucho tiempo pensando en el significado de la vida y cómo encajo en ella</w:t>
            </w:r>
          </w:p>
        </w:tc>
        <w:tc>
          <w:tcPr>
            <w:tcW w:w="667" w:type="dxa"/>
            <w:tcBorders>
              <w:top w:val="single" w:sz="4" w:space="0" w:color="auto"/>
              <w:left w:val="nil"/>
              <w:bottom w:val="single" w:sz="4" w:space="0" w:color="auto"/>
              <w:right w:val="nil"/>
            </w:tcBorders>
            <w:vAlign w:val="center"/>
          </w:tcPr>
          <w:p w14:paraId="36912945" w14:textId="77777777" w:rsidR="00617156" w:rsidRPr="00617156" w:rsidRDefault="00617156" w:rsidP="00835C90">
            <w:pPr>
              <w:jc w:val="center"/>
              <w:rPr>
                <w:sz w:val="14"/>
                <w:szCs w:val="14"/>
              </w:rPr>
            </w:pPr>
            <w:r w:rsidRPr="00617156">
              <w:rPr>
                <w:sz w:val="14"/>
                <w:szCs w:val="14"/>
              </w:rPr>
              <w:t>5.2</w:t>
            </w:r>
          </w:p>
        </w:tc>
        <w:tc>
          <w:tcPr>
            <w:tcW w:w="667" w:type="dxa"/>
            <w:tcBorders>
              <w:top w:val="single" w:sz="4" w:space="0" w:color="auto"/>
              <w:left w:val="nil"/>
              <w:bottom w:val="single" w:sz="4" w:space="0" w:color="auto"/>
              <w:right w:val="nil"/>
            </w:tcBorders>
            <w:vAlign w:val="center"/>
          </w:tcPr>
          <w:p w14:paraId="79E8FD1A" w14:textId="77777777" w:rsidR="00617156" w:rsidRPr="00617156" w:rsidRDefault="00617156" w:rsidP="00835C90">
            <w:pPr>
              <w:jc w:val="center"/>
              <w:rPr>
                <w:sz w:val="14"/>
                <w:szCs w:val="14"/>
              </w:rPr>
            </w:pPr>
            <w:r w:rsidRPr="00617156">
              <w:rPr>
                <w:sz w:val="14"/>
                <w:szCs w:val="14"/>
              </w:rPr>
              <w:t>10.5</w:t>
            </w:r>
          </w:p>
        </w:tc>
        <w:tc>
          <w:tcPr>
            <w:tcW w:w="667" w:type="dxa"/>
            <w:tcBorders>
              <w:top w:val="single" w:sz="4" w:space="0" w:color="auto"/>
              <w:left w:val="nil"/>
              <w:bottom w:val="single" w:sz="4" w:space="0" w:color="auto"/>
              <w:right w:val="nil"/>
            </w:tcBorders>
            <w:vAlign w:val="center"/>
          </w:tcPr>
          <w:p w14:paraId="7A42C1C2" w14:textId="77777777" w:rsidR="00617156" w:rsidRPr="00617156" w:rsidRDefault="00617156" w:rsidP="00835C90">
            <w:pPr>
              <w:jc w:val="center"/>
              <w:rPr>
                <w:sz w:val="14"/>
                <w:szCs w:val="14"/>
              </w:rPr>
            </w:pPr>
            <w:r w:rsidRPr="00617156">
              <w:rPr>
                <w:sz w:val="14"/>
                <w:szCs w:val="14"/>
              </w:rPr>
              <w:t>24.8</w:t>
            </w:r>
          </w:p>
        </w:tc>
        <w:tc>
          <w:tcPr>
            <w:tcW w:w="667" w:type="dxa"/>
            <w:tcBorders>
              <w:top w:val="single" w:sz="4" w:space="0" w:color="auto"/>
              <w:left w:val="nil"/>
              <w:bottom w:val="single" w:sz="4" w:space="0" w:color="auto"/>
              <w:right w:val="nil"/>
            </w:tcBorders>
            <w:vAlign w:val="center"/>
          </w:tcPr>
          <w:p w14:paraId="6E101E4B" w14:textId="77777777" w:rsidR="00617156" w:rsidRPr="00617156" w:rsidRDefault="00617156" w:rsidP="00835C90">
            <w:pPr>
              <w:jc w:val="center"/>
              <w:rPr>
                <w:sz w:val="14"/>
                <w:szCs w:val="14"/>
              </w:rPr>
            </w:pPr>
            <w:r w:rsidRPr="00617156">
              <w:rPr>
                <w:sz w:val="14"/>
                <w:szCs w:val="14"/>
              </w:rPr>
              <w:t>35.6</w:t>
            </w:r>
          </w:p>
        </w:tc>
        <w:tc>
          <w:tcPr>
            <w:tcW w:w="667" w:type="dxa"/>
            <w:tcBorders>
              <w:top w:val="single" w:sz="4" w:space="0" w:color="auto"/>
              <w:left w:val="nil"/>
              <w:bottom w:val="single" w:sz="4" w:space="0" w:color="auto"/>
              <w:right w:val="nil"/>
            </w:tcBorders>
            <w:vAlign w:val="center"/>
          </w:tcPr>
          <w:p w14:paraId="7B6715F5" w14:textId="77777777" w:rsidR="00617156" w:rsidRPr="00617156" w:rsidRDefault="00617156" w:rsidP="00835C90">
            <w:pPr>
              <w:jc w:val="center"/>
              <w:rPr>
                <w:sz w:val="14"/>
                <w:szCs w:val="14"/>
              </w:rPr>
            </w:pPr>
            <w:r w:rsidRPr="00617156">
              <w:rPr>
                <w:sz w:val="14"/>
                <w:szCs w:val="14"/>
              </w:rPr>
              <w:t>23.9</w:t>
            </w:r>
          </w:p>
        </w:tc>
        <w:tc>
          <w:tcPr>
            <w:tcW w:w="667" w:type="dxa"/>
            <w:tcBorders>
              <w:top w:val="single" w:sz="4" w:space="0" w:color="auto"/>
              <w:left w:val="nil"/>
              <w:bottom w:val="single" w:sz="4" w:space="0" w:color="auto"/>
              <w:right w:val="nil"/>
            </w:tcBorders>
            <w:vAlign w:val="center"/>
          </w:tcPr>
          <w:p w14:paraId="3CC25BCE" w14:textId="77777777" w:rsidR="00617156" w:rsidRPr="00617156" w:rsidRDefault="00617156" w:rsidP="00835C90">
            <w:pPr>
              <w:jc w:val="center"/>
              <w:rPr>
                <w:sz w:val="14"/>
                <w:szCs w:val="14"/>
              </w:rPr>
            </w:pPr>
            <w:r w:rsidRPr="00617156">
              <w:rPr>
                <w:sz w:val="14"/>
                <w:szCs w:val="14"/>
              </w:rPr>
              <w:t>-0.59</w:t>
            </w:r>
          </w:p>
        </w:tc>
        <w:tc>
          <w:tcPr>
            <w:tcW w:w="716" w:type="dxa"/>
            <w:tcBorders>
              <w:top w:val="single" w:sz="4" w:space="0" w:color="auto"/>
              <w:left w:val="nil"/>
              <w:bottom w:val="single" w:sz="4" w:space="0" w:color="auto"/>
              <w:right w:val="nil"/>
            </w:tcBorders>
            <w:vAlign w:val="center"/>
          </w:tcPr>
          <w:p w14:paraId="0748B4CC" w14:textId="77777777" w:rsidR="00617156" w:rsidRPr="00617156" w:rsidRDefault="00617156" w:rsidP="00835C90">
            <w:pPr>
              <w:jc w:val="center"/>
              <w:rPr>
                <w:sz w:val="14"/>
                <w:szCs w:val="14"/>
              </w:rPr>
            </w:pPr>
            <w:r w:rsidRPr="00617156">
              <w:rPr>
                <w:sz w:val="14"/>
                <w:szCs w:val="14"/>
              </w:rPr>
              <w:t>-0.30</w:t>
            </w:r>
          </w:p>
        </w:tc>
        <w:tc>
          <w:tcPr>
            <w:tcW w:w="737" w:type="dxa"/>
            <w:tcBorders>
              <w:top w:val="single" w:sz="4" w:space="0" w:color="auto"/>
              <w:left w:val="nil"/>
              <w:bottom w:val="single" w:sz="4" w:space="0" w:color="auto"/>
              <w:right w:val="nil"/>
            </w:tcBorders>
            <w:vAlign w:val="center"/>
          </w:tcPr>
          <w:p w14:paraId="0B4CAA1D" w14:textId="77777777" w:rsidR="00617156" w:rsidRPr="00617156" w:rsidRDefault="00617156" w:rsidP="00835C90">
            <w:pPr>
              <w:jc w:val="center"/>
              <w:rPr>
                <w:sz w:val="14"/>
                <w:szCs w:val="14"/>
              </w:rPr>
            </w:pPr>
            <w:r w:rsidRPr="00617156">
              <w:rPr>
                <w:sz w:val="14"/>
                <w:szCs w:val="14"/>
              </w:rPr>
              <w:t>0.33</w:t>
            </w:r>
          </w:p>
        </w:tc>
        <w:tc>
          <w:tcPr>
            <w:tcW w:w="717" w:type="dxa"/>
            <w:tcBorders>
              <w:top w:val="single" w:sz="4" w:space="0" w:color="auto"/>
              <w:left w:val="nil"/>
              <w:bottom w:val="single" w:sz="4" w:space="0" w:color="auto"/>
              <w:right w:val="nil"/>
            </w:tcBorders>
            <w:vAlign w:val="center"/>
          </w:tcPr>
          <w:p w14:paraId="1726D043" w14:textId="77777777" w:rsidR="00617156" w:rsidRPr="00617156" w:rsidRDefault="00617156" w:rsidP="00835C90">
            <w:pPr>
              <w:jc w:val="center"/>
              <w:rPr>
                <w:sz w:val="14"/>
                <w:szCs w:val="14"/>
              </w:rPr>
            </w:pPr>
            <w:r w:rsidRPr="00617156">
              <w:rPr>
                <w:sz w:val="14"/>
                <w:szCs w:val="14"/>
              </w:rPr>
              <w:t>0.86</w:t>
            </w:r>
          </w:p>
        </w:tc>
      </w:tr>
      <w:tr w:rsidR="00617156" w:rsidRPr="00617156" w14:paraId="67C87E33" w14:textId="77777777" w:rsidTr="00617156">
        <w:tc>
          <w:tcPr>
            <w:tcW w:w="425" w:type="dxa"/>
            <w:tcBorders>
              <w:top w:val="single" w:sz="4" w:space="0" w:color="auto"/>
              <w:left w:val="nil"/>
              <w:bottom w:val="single" w:sz="4" w:space="0" w:color="auto"/>
              <w:right w:val="nil"/>
            </w:tcBorders>
            <w:vAlign w:val="center"/>
          </w:tcPr>
          <w:p w14:paraId="58E1ECF3" w14:textId="77777777" w:rsidR="00617156" w:rsidRPr="00617156" w:rsidRDefault="00617156" w:rsidP="00835C90">
            <w:pPr>
              <w:jc w:val="center"/>
              <w:rPr>
                <w:sz w:val="14"/>
                <w:szCs w:val="14"/>
              </w:rPr>
            </w:pPr>
            <w:r w:rsidRPr="00617156">
              <w:rPr>
                <w:sz w:val="14"/>
                <w:szCs w:val="14"/>
              </w:rPr>
              <w:t>18</w:t>
            </w:r>
          </w:p>
        </w:tc>
        <w:tc>
          <w:tcPr>
            <w:tcW w:w="2309" w:type="dxa"/>
            <w:tcBorders>
              <w:top w:val="single" w:sz="4" w:space="0" w:color="auto"/>
              <w:left w:val="nil"/>
              <w:bottom w:val="single" w:sz="4" w:space="0" w:color="auto"/>
              <w:right w:val="nil"/>
            </w:tcBorders>
            <w:vAlign w:val="center"/>
          </w:tcPr>
          <w:p w14:paraId="6E4BFFBD" w14:textId="77777777" w:rsidR="00617156" w:rsidRPr="00617156" w:rsidRDefault="00617156" w:rsidP="00835C90">
            <w:pPr>
              <w:jc w:val="both"/>
              <w:rPr>
                <w:sz w:val="14"/>
                <w:szCs w:val="14"/>
              </w:rPr>
            </w:pPr>
            <w:r w:rsidRPr="00617156">
              <w:rPr>
                <w:sz w:val="14"/>
                <w:szCs w:val="14"/>
              </w:rPr>
              <w:t>Para mí, la buena vida es una vida placentera</w:t>
            </w:r>
          </w:p>
        </w:tc>
        <w:tc>
          <w:tcPr>
            <w:tcW w:w="667" w:type="dxa"/>
            <w:tcBorders>
              <w:top w:val="single" w:sz="4" w:space="0" w:color="auto"/>
              <w:left w:val="nil"/>
              <w:bottom w:val="single" w:sz="4" w:space="0" w:color="auto"/>
              <w:right w:val="nil"/>
            </w:tcBorders>
            <w:vAlign w:val="center"/>
          </w:tcPr>
          <w:p w14:paraId="749EF137" w14:textId="77777777" w:rsidR="00617156" w:rsidRPr="00617156" w:rsidRDefault="00617156" w:rsidP="00835C90">
            <w:pPr>
              <w:jc w:val="center"/>
              <w:rPr>
                <w:sz w:val="14"/>
                <w:szCs w:val="14"/>
              </w:rPr>
            </w:pPr>
            <w:r w:rsidRPr="00617156">
              <w:rPr>
                <w:sz w:val="14"/>
                <w:szCs w:val="14"/>
              </w:rPr>
              <w:t>3.5</w:t>
            </w:r>
          </w:p>
        </w:tc>
        <w:tc>
          <w:tcPr>
            <w:tcW w:w="667" w:type="dxa"/>
            <w:tcBorders>
              <w:top w:val="single" w:sz="4" w:space="0" w:color="auto"/>
              <w:left w:val="nil"/>
              <w:bottom w:val="single" w:sz="4" w:space="0" w:color="auto"/>
              <w:right w:val="nil"/>
            </w:tcBorders>
            <w:vAlign w:val="center"/>
          </w:tcPr>
          <w:p w14:paraId="1098B90E" w14:textId="77777777" w:rsidR="00617156" w:rsidRPr="00617156" w:rsidRDefault="00617156" w:rsidP="00835C90">
            <w:pPr>
              <w:jc w:val="center"/>
              <w:rPr>
                <w:sz w:val="14"/>
                <w:szCs w:val="14"/>
              </w:rPr>
            </w:pPr>
            <w:r w:rsidRPr="00617156">
              <w:rPr>
                <w:sz w:val="14"/>
                <w:szCs w:val="14"/>
              </w:rPr>
              <w:t>15.0</w:t>
            </w:r>
          </w:p>
        </w:tc>
        <w:tc>
          <w:tcPr>
            <w:tcW w:w="667" w:type="dxa"/>
            <w:tcBorders>
              <w:top w:val="single" w:sz="4" w:space="0" w:color="auto"/>
              <w:left w:val="nil"/>
              <w:bottom w:val="single" w:sz="4" w:space="0" w:color="auto"/>
              <w:right w:val="nil"/>
            </w:tcBorders>
            <w:vAlign w:val="center"/>
          </w:tcPr>
          <w:p w14:paraId="4DFFFB1E" w14:textId="77777777" w:rsidR="00617156" w:rsidRPr="00617156" w:rsidRDefault="00617156" w:rsidP="00835C90">
            <w:pPr>
              <w:jc w:val="center"/>
              <w:rPr>
                <w:sz w:val="14"/>
                <w:szCs w:val="14"/>
              </w:rPr>
            </w:pPr>
            <w:r w:rsidRPr="00617156">
              <w:rPr>
                <w:sz w:val="14"/>
                <w:szCs w:val="14"/>
              </w:rPr>
              <w:t>29.5</w:t>
            </w:r>
          </w:p>
        </w:tc>
        <w:tc>
          <w:tcPr>
            <w:tcW w:w="667" w:type="dxa"/>
            <w:tcBorders>
              <w:top w:val="single" w:sz="4" w:space="0" w:color="auto"/>
              <w:left w:val="nil"/>
              <w:bottom w:val="single" w:sz="4" w:space="0" w:color="auto"/>
              <w:right w:val="nil"/>
            </w:tcBorders>
            <w:vAlign w:val="center"/>
          </w:tcPr>
          <w:p w14:paraId="70518E1B" w14:textId="77777777" w:rsidR="00617156" w:rsidRPr="00617156" w:rsidRDefault="00617156" w:rsidP="00835C90">
            <w:pPr>
              <w:jc w:val="center"/>
              <w:rPr>
                <w:sz w:val="14"/>
                <w:szCs w:val="14"/>
              </w:rPr>
            </w:pPr>
            <w:r w:rsidRPr="00617156">
              <w:rPr>
                <w:sz w:val="14"/>
                <w:szCs w:val="14"/>
              </w:rPr>
              <w:t>36.0</w:t>
            </w:r>
          </w:p>
        </w:tc>
        <w:tc>
          <w:tcPr>
            <w:tcW w:w="667" w:type="dxa"/>
            <w:tcBorders>
              <w:top w:val="single" w:sz="4" w:space="0" w:color="auto"/>
              <w:left w:val="nil"/>
              <w:bottom w:val="single" w:sz="4" w:space="0" w:color="auto"/>
              <w:right w:val="nil"/>
            </w:tcBorders>
            <w:vAlign w:val="center"/>
          </w:tcPr>
          <w:p w14:paraId="03C58458" w14:textId="77777777" w:rsidR="00617156" w:rsidRPr="00617156" w:rsidRDefault="00617156" w:rsidP="00835C90">
            <w:pPr>
              <w:jc w:val="center"/>
              <w:rPr>
                <w:sz w:val="14"/>
                <w:szCs w:val="14"/>
              </w:rPr>
            </w:pPr>
            <w:r w:rsidRPr="00617156">
              <w:rPr>
                <w:sz w:val="14"/>
                <w:szCs w:val="14"/>
              </w:rPr>
              <w:t>15.9</w:t>
            </w:r>
          </w:p>
        </w:tc>
        <w:tc>
          <w:tcPr>
            <w:tcW w:w="667" w:type="dxa"/>
            <w:tcBorders>
              <w:top w:val="single" w:sz="4" w:space="0" w:color="auto"/>
              <w:left w:val="nil"/>
              <w:bottom w:val="single" w:sz="4" w:space="0" w:color="auto"/>
              <w:right w:val="nil"/>
            </w:tcBorders>
            <w:vAlign w:val="center"/>
          </w:tcPr>
          <w:p w14:paraId="4B72D20D" w14:textId="77777777" w:rsidR="00617156" w:rsidRPr="00617156" w:rsidRDefault="00617156" w:rsidP="00835C90">
            <w:pPr>
              <w:jc w:val="center"/>
              <w:rPr>
                <w:sz w:val="14"/>
                <w:szCs w:val="14"/>
              </w:rPr>
            </w:pPr>
            <w:r w:rsidRPr="00617156">
              <w:rPr>
                <w:sz w:val="14"/>
                <w:szCs w:val="14"/>
              </w:rPr>
              <w:t>-0.33</w:t>
            </w:r>
          </w:p>
        </w:tc>
        <w:tc>
          <w:tcPr>
            <w:tcW w:w="716" w:type="dxa"/>
            <w:tcBorders>
              <w:top w:val="single" w:sz="4" w:space="0" w:color="auto"/>
              <w:left w:val="nil"/>
              <w:bottom w:val="single" w:sz="4" w:space="0" w:color="auto"/>
              <w:right w:val="nil"/>
            </w:tcBorders>
            <w:vAlign w:val="center"/>
          </w:tcPr>
          <w:p w14:paraId="0EF10B67" w14:textId="77777777" w:rsidR="00617156" w:rsidRPr="00617156" w:rsidRDefault="00617156" w:rsidP="00835C90">
            <w:pPr>
              <w:jc w:val="center"/>
              <w:rPr>
                <w:sz w:val="14"/>
                <w:szCs w:val="14"/>
              </w:rPr>
            </w:pPr>
            <w:r w:rsidRPr="00617156">
              <w:rPr>
                <w:sz w:val="14"/>
                <w:szCs w:val="14"/>
              </w:rPr>
              <w:t>-0.49</w:t>
            </w:r>
          </w:p>
        </w:tc>
        <w:tc>
          <w:tcPr>
            <w:tcW w:w="737" w:type="dxa"/>
            <w:tcBorders>
              <w:top w:val="single" w:sz="4" w:space="0" w:color="auto"/>
              <w:left w:val="nil"/>
              <w:bottom w:val="single" w:sz="4" w:space="0" w:color="auto"/>
              <w:right w:val="nil"/>
            </w:tcBorders>
            <w:vAlign w:val="center"/>
          </w:tcPr>
          <w:p w14:paraId="504F1741" w14:textId="77777777" w:rsidR="00617156" w:rsidRPr="00617156" w:rsidRDefault="00617156" w:rsidP="00835C90">
            <w:pPr>
              <w:jc w:val="center"/>
              <w:rPr>
                <w:sz w:val="14"/>
                <w:szCs w:val="14"/>
              </w:rPr>
            </w:pPr>
            <w:r w:rsidRPr="00617156">
              <w:rPr>
                <w:sz w:val="14"/>
                <w:szCs w:val="14"/>
              </w:rPr>
              <w:t>0.51</w:t>
            </w:r>
          </w:p>
        </w:tc>
        <w:tc>
          <w:tcPr>
            <w:tcW w:w="717" w:type="dxa"/>
            <w:tcBorders>
              <w:top w:val="single" w:sz="4" w:space="0" w:color="auto"/>
              <w:left w:val="nil"/>
              <w:bottom w:val="single" w:sz="4" w:space="0" w:color="auto"/>
              <w:right w:val="nil"/>
            </w:tcBorders>
            <w:vAlign w:val="center"/>
          </w:tcPr>
          <w:p w14:paraId="053BF23B" w14:textId="77777777" w:rsidR="00617156" w:rsidRPr="00617156" w:rsidRDefault="00617156" w:rsidP="00835C90">
            <w:pPr>
              <w:jc w:val="center"/>
              <w:rPr>
                <w:sz w:val="14"/>
                <w:szCs w:val="14"/>
              </w:rPr>
            </w:pPr>
            <w:r w:rsidRPr="00617156">
              <w:rPr>
                <w:sz w:val="14"/>
                <w:szCs w:val="14"/>
              </w:rPr>
              <w:t>0.85</w:t>
            </w:r>
          </w:p>
        </w:tc>
      </w:tr>
    </w:tbl>
    <w:p w14:paraId="119E5048" w14:textId="77777777" w:rsidR="00617156" w:rsidRPr="00617156" w:rsidRDefault="00617156" w:rsidP="00617156">
      <w:pPr>
        <w:tabs>
          <w:tab w:val="left" w:pos="6219"/>
        </w:tabs>
        <w:autoSpaceDE w:val="0"/>
        <w:autoSpaceDN w:val="0"/>
        <w:mirrorIndents/>
        <w:jc w:val="both"/>
        <w:rPr>
          <w:rFonts w:eastAsia="Calibri" w:cs="Calibri"/>
          <w:i/>
          <w:iCs/>
          <w:color w:val="000000"/>
          <w:sz w:val="18"/>
          <w:szCs w:val="18"/>
          <w:u w:color="000000"/>
          <w:bdr w:val="nil"/>
          <w:lang w:val="en-US"/>
          <w14:textOutline w14:w="0" w14:cap="flat" w14:cmpd="sng" w14:algn="ctr">
            <w14:noFill/>
            <w14:prstDash w14:val="solid"/>
            <w14:bevel/>
          </w14:textOutline>
        </w:rPr>
      </w:pPr>
      <w:proofErr w:type="spellStart"/>
      <w:r w:rsidRPr="00617156">
        <w:rPr>
          <w:rFonts w:eastAsia="Calibri" w:cs="Calibri"/>
          <w:color w:val="000000"/>
          <w:sz w:val="18"/>
          <w:szCs w:val="18"/>
          <w:u w:color="000000"/>
          <w:bdr w:val="nil"/>
          <w:lang w:val="en-US"/>
          <w14:textOutline w14:w="0" w14:cap="flat" w14:cmpd="sng" w14:algn="ctr">
            <w14:noFill/>
            <w14:prstDash w14:val="solid"/>
            <w14:bevel/>
          </w14:textOutline>
        </w:rPr>
        <w:t>Nota</w:t>
      </w:r>
      <w:proofErr w:type="spellEnd"/>
      <w:r w:rsidRPr="00617156">
        <w:rPr>
          <w:rFonts w:eastAsia="Calibri" w:cs="Calibri"/>
          <w:color w:val="000000"/>
          <w:sz w:val="18"/>
          <w:szCs w:val="18"/>
          <w:u w:color="000000"/>
          <w:bdr w:val="nil"/>
          <w:lang w:val="en-US"/>
          <w14:textOutline w14:w="0" w14:cap="flat" w14:cmpd="sng" w14:algn="ctr">
            <w14:noFill/>
            <w14:prstDash w14:val="solid"/>
            <w14:bevel/>
          </w14:textOutline>
        </w:rPr>
        <w:t xml:space="preserve">: </w:t>
      </w:r>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Asim=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Asimetría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Curt= Curtosis,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IHc</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Indice</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Homogeneidad</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α-EE= Alfa de Cronbach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si</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se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elimina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elemento</w:t>
      </w:r>
      <w:proofErr w:type="spellEnd"/>
    </w:p>
    <w:p w14:paraId="017AA743" w14:textId="77777777" w:rsidR="00617156" w:rsidRPr="00617156" w:rsidRDefault="00617156" w:rsidP="00617156">
      <w:pPr>
        <w:tabs>
          <w:tab w:val="left" w:pos="6219"/>
        </w:tabs>
        <w:autoSpaceDE w:val="0"/>
        <w:autoSpaceDN w:val="0"/>
        <w:mirrorIndents/>
        <w:jc w:val="both"/>
        <w:rPr>
          <w:rFonts w:eastAsia="Calibri" w:cs="Calibri"/>
          <w:i/>
          <w:iCs/>
          <w:color w:val="000000"/>
          <w:sz w:val="18"/>
          <w:szCs w:val="18"/>
          <w:u w:color="000000"/>
          <w:bdr w:val="nil"/>
          <w:lang w:val="en-US"/>
          <w14:textOutline w14:w="0" w14:cap="flat" w14:cmpd="sng" w14:algn="ctr">
            <w14:noFill/>
            <w14:prstDash w14:val="solid"/>
            <w14:bevel/>
          </w14:textOutline>
        </w:rPr>
      </w:pPr>
      <w:r w:rsidRPr="00617156">
        <w:rPr>
          <w:rFonts w:eastAsia="Calibri" w:cs="Calibri"/>
          <w:i/>
          <w:iCs/>
          <w:color w:val="000000"/>
          <w:sz w:val="18"/>
          <w:szCs w:val="18"/>
          <w:u w:color="000000"/>
          <w:bdr w:val="nil"/>
          <w:lang w:val="en-US"/>
          <w14:textOutline w14:w="0" w14:cap="flat" w14:cmpd="sng" w14:algn="ctr">
            <w14:noFill/>
            <w14:prstDash w14:val="solid"/>
            <w14:bevel/>
          </w14:textOutline>
        </w:rPr>
        <w:t>Alfa de Cronbach = 0.86</w:t>
      </w:r>
    </w:p>
    <w:p w14:paraId="596F654B" w14:textId="77777777" w:rsidR="00617156" w:rsidRDefault="00617156" w:rsidP="00617156">
      <w:pPr>
        <w:pStyle w:val="NormalWeb"/>
        <w:jc w:val="both"/>
        <w:rPr>
          <w:rFonts w:ascii="Arial" w:hAnsi="Arial" w:cs="Arial"/>
        </w:rPr>
      </w:pPr>
    </w:p>
    <w:p w14:paraId="1C1D514A" w14:textId="7D030609" w:rsidR="00617156" w:rsidRPr="00617156" w:rsidRDefault="00617156" w:rsidP="00617156">
      <w:pPr>
        <w:pStyle w:val="Prrafocomn"/>
        <w:rPr>
          <w:lang w:val="es-AR"/>
        </w:rPr>
      </w:pPr>
      <w:r w:rsidRPr="00617156">
        <w:rPr>
          <w:lang w:val="es-AR"/>
        </w:rPr>
        <w:t>En la Tabla 3 se presentan los resultados del análisis discriminativo de los reactivos que conforman la escala. Se observa, que en todos los ítems</w:t>
      </w:r>
      <w:r w:rsidR="00F377BE">
        <w:rPr>
          <w:lang w:val="es-AR"/>
        </w:rPr>
        <w:t xml:space="preserve"> existen</w:t>
      </w:r>
      <w:r w:rsidRPr="00617156">
        <w:rPr>
          <w:lang w:val="es-AR"/>
        </w:rPr>
        <w:t xml:space="preserve"> diferencias estadísticamente significativas al comparar las medias obtenidas en Q1 (el grupo de individuos con puntuaciones más bajas) y Q4 (el grupo de individuos con puntuaciones más altas). Esto indica que los reactivos permiten diferenciar a las personas quienes tienen puntajes altos y bajos en la escala.</w:t>
      </w:r>
    </w:p>
    <w:p w14:paraId="0CB2FDAD" w14:textId="77777777" w:rsidR="00617156" w:rsidRDefault="00617156" w:rsidP="00617156">
      <w:pPr>
        <w:pStyle w:val="Prrafocomn"/>
        <w:ind w:firstLine="0"/>
        <w:rPr>
          <w:color w:val="00000A"/>
          <w:sz w:val="20"/>
          <w:szCs w:val="20"/>
          <w:u w:color="00000A"/>
          <w:bdr w:val="nil"/>
          <w14:textOutline w14:w="0" w14:cap="flat" w14:cmpd="sng" w14:algn="ctr">
            <w14:noFill/>
            <w14:prstDash w14:val="solid"/>
            <w14:bevel/>
          </w14:textOutline>
        </w:rPr>
      </w:pPr>
      <w:proofErr w:type="spellStart"/>
      <w:r w:rsidRPr="00617156">
        <w:rPr>
          <w:color w:val="00000A"/>
          <w:sz w:val="20"/>
          <w:szCs w:val="20"/>
          <w:u w:color="00000A"/>
          <w:bdr w:val="nil"/>
          <w14:textOutline w14:w="0" w14:cap="flat" w14:cmpd="sng" w14:algn="ctr">
            <w14:noFill/>
            <w14:prstDash w14:val="solid"/>
            <w14:bevel/>
          </w14:textOutline>
        </w:rPr>
        <w:t>Tabla</w:t>
      </w:r>
      <w:proofErr w:type="spellEnd"/>
      <w:r w:rsidRPr="00617156">
        <w:rPr>
          <w:color w:val="00000A"/>
          <w:sz w:val="20"/>
          <w:szCs w:val="20"/>
          <w:u w:color="00000A"/>
          <w:bdr w:val="nil"/>
          <w14:textOutline w14:w="0" w14:cap="flat" w14:cmpd="sng" w14:algn="ctr">
            <w14:noFill/>
            <w14:prstDash w14:val="solid"/>
            <w14:bevel/>
          </w14:textOutline>
        </w:rPr>
        <w:t xml:space="preserve"> 3</w:t>
      </w:r>
    </w:p>
    <w:p w14:paraId="248653D3" w14:textId="1945435F" w:rsidR="00617156" w:rsidRPr="00617156" w:rsidRDefault="00617156" w:rsidP="00617156">
      <w:pPr>
        <w:pStyle w:val="Prrafocomn"/>
        <w:ind w:firstLine="0"/>
        <w:rPr>
          <w:i/>
          <w:iCs/>
          <w:color w:val="00000A"/>
          <w:sz w:val="20"/>
          <w:szCs w:val="20"/>
          <w:u w:color="00000A"/>
          <w:bdr w:val="nil"/>
          <w14:textOutline w14:w="0" w14:cap="flat" w14:cmpd="sng" w14:algn="ctr">
            <w14:noFill/>
            <w14:prstDash w14:val="solid"/>
            <w14:bevel/>
          </w14:textOutline>
        </w:rPr>
      </w:pPr>
      <w:proofErr w:type="spellStart"/>
      <w:r w:rsidRPr="00617156">
        <w:rPr>
          <w:i/>
          <w:iCs/>
          <w:color w:val="00000A"/>
          <w:sz w:val="20"/>
          <w:szCs w:val="20"/>
          <w:u w:color="00000A"/>
          <w:bdr w:val="nil"/>
          <w14:textOutline w14:w="0" w14:cap="flat" w14:cmpd="sng" w14:algn="ctr">
            <w14:noFill/>
            <w14:prstDash w14:val="solid"/>
            <w14:bevel/>
          </w14:textOutline>
        </w:rPr>
        <w:t>Resultados</w:t>
      </w:r>
      <w:proofErr w:type="spellEnd"/>
      <w:r w:rsidRPr="00617156">
        <w:rPr>
          <w:i/>
          <w:iCs/>
          <w:color w:val="00000A"/>
          <w:sz w:val="20"/>
          <w:szCs w:val="20"/>
          <w:u w:color="00000A"/>
          <w:bdr w:val="nil"/>
          <w14:textOutline w14:w="0" w14:cap="flat" w14:cmpd="sng" w14:algn="ctr">
            <w14:noFill/>
            <w14:prstDash w14:val="solid"/>
            <w14:bevel/>
          </w14:textOutline>
        </w:rPr>
        <w:t xml:space="preserve"> del </w:t>
      </w:r>
      <w:proofErr w:type="spellStart"/>
      <w:r w:rsidRPr="00617156">
        <w:rPr>
          <w:i/>
          <w:iCs/>
          <w:color w:val="00000A"/>
          <w:sz w:val="20"/>
          <w:szCs w:val="20"/>
          <w:u w:color="00000A"/>
          <w:bdr w:val="nil"/>
          <w14:textOutline w14:w="0" w14:cap="flat" w14:cmpd="sng" w14:algn="ctr">
            <w14:noFill/>
            <w14:prstDash w14:val="solid"/>
            <w14:bevel/>
          </w14:textOutline>
        </w:rPr>
        <w:t>análisis</w:t>
      </w:r>
      <w:proofErr w:type="spellEnd"/>
      <w:r w:rsidRPr="00617156">
        <w:rPr>
          <w:i/>
          <w:iCs/>
          <w:color w:val="00000A"/>
          <w:sz w:val="20"/>
          <w:szCs w:val="20"/>
          <w:u w:color="00000A"/>
          <w:bdr w:val="nil"/>
          <w14:textOutline w14:w="0" w14:cap="flat" w14:cmpd="sng" w14:algn="ctr">
            <w14:noFill/>
            <w14:prstDash w14:val="solid"/>
            <w14:bevel/>
          </w14:textOutline>
        </w:rPr>
        <w:t xml:space="preserve"> </w:t>
      </w:r>
      <w:proofErr w:type="spellStart"/>
      <w:r w:rsidRPr="00617156">
        <w:rPr>
          <w:i/>
          <w:iCs/>
          <w:color w:val="00000A"/>
          <w:sz w:val="20"/>
          <w:szCs w:val="20"/>
          <w:u w:color="00000A"/>
          <w:bdr w:val="nil"/>
          <w14:textOutline w14:w="0" w14:cap="flat" w14:cmpd="sng" w14:algn="ctr">
            <w14:noFill/>
            <w14:prstDash w14:val="solid"/>
            <w14:bevel/>
          </w14:textOutline>
        </w:rPr>
        <w:t>discriminativo</w:t>
      </w:r>
      <w:proofErr w:type="spellEnd"/>
      <w:r w:rsidRPr="00617156">
        <w:rPr>
          <w:i/>
          <w:iCs/>
          <w:color w:val="00000A"/>
          <w:sz w:val="20"/>
          <w:szCs w:val="20"/>
          <w:u w:color="00000A"/>
          <w:bdr w:val="nil"/>
          <w14:textOutline w14:w="0" w14:cap="flat" w14:cmpd="sng" w14:algn="ctr">
            <w14:noFill/>
            <w14:prstDash w14:val="solid"/>
            <w14:bevel/>
          </w14:textOutline>
        </w:rPr>
        <w:t xml:space="preserve"> de la </w:t>
      </w:r>
      <w:proofErr w:type="spellStart"/>
      <w:r w:rsidRPr="00617156">
        <w:rPr>
          <w:i/>
          <w:iCs/>
          <w:color w:val="00000A"/>
          <w:sz w:val="20"/>
          <w:szCs w:val="20"/>
          <w:u w:color="00000A"/>
          <w:bdr w:val="nil"/>
          <w14:textOutline w14:w="0" w14:cap="flat" w14:cmpd="sng" w14:algn="ctr">
            <w14:noFill/>
            <w14:prstDash w14:val="solid"/>
            <w14:bevel/>
          </w14:textOutline>
        </w:rPr>
        <w:t>escala</w:t>
      </w:r>
      <w:proofErr w:type="spellEnd"/>
      <w:r w:rsidRPr="00617156">
        <w:rPr>
          <w:i/>
          <w:iCs/>
          <w:color w:val="00000A"/>
          <w:sz w:val="20"/>
          <w:szCs w:val="20"/>
          <w:u w:color="00000A"/>
          <w:bdr w:val="nil"/>
          <w14:textOutline w14:w="0" w14:cap="flat" w14:cmpd="sng" w14:algn="ctr">
            <w14:noFill/>
            <w14:prstDash w14:val="solid"/>
            <w14:bevel/>
          </w14:textOutline>
        </w:rPr>
        <w:t xml:space="preserve"> OTHS</w:t>
      </w:r>
    </w:p>
    <w:tbl>
      <w:tblPr>
        <w:tblStyle w:val="Tablaconcuadrcula"/>
        <w:tblW w:w="936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819"/>
        <w:gridCol w:w="709"/>
        <w:gridCol w:w="709"/>
        <w:gridCol w:w="717"/>
        <w:gridCol w:w="713"/>
        <w:gridCol w:w="1275"/>
      </w:tblGrid>
      <w:tr w:rsidR="00617156" w:rsidRPr="00617156" w14:paraId="062DB29D" w14:textId="77777777" w:rsidTr="00835C90">
        <w:tc>
          <w:tcPr>
            <w:tcW w:w="426" w:type="dxa"/>
          </w:tcPr>
          <w:p w14:paraId="2A7E0C5D" w14:textId="77777777" w:rsidR="00617156" w:rsidRPr="00617156" w:rsidRDefault="00617156" w:rsidP="00617156">
            <w:pPr>
              <w:jc w:val="both"/>
              <w:rPr>
                <w:sz w:val="18"/>
                <w:szCs w:val="18"/>
              </w:rPr>
            </w:pPr>
          </w:p>
        </w:tc>
        <w:tc>
          <w:tcPr>
            <w:tcW w:w="4819" w:type="dxa"/>
          </w:tcPr>
          <w:p w14:paraId="40AD1404" w14:textId="77777777" w:rsidR="00617156" w:rsidRPr="00617156" w:rsidRDefault="00617156" w:rsidP="00617156">
            <w:pPr>
              <w:jc w:val="center"/>
              <w:rPr>
                <w:sz w:val="18"/>
                <w:szCs w:val="18"/>
              </w:rPr>
            </w:pPr>
          </w:p>
        </w:tc>
        <w:tc>
          <w:tcPr>
            <w:tcW w:w="1418" w:type="dxa"/>
            <w:gridSpan w:val="2"/>
            <w:tcBorders>
              <w:bottom w:val="single" w:sz="4" w:space="0" w:color="auto"/>
            </w:tcBorders>
          </w:tcPr>
          <w:p w14:paraId="4AE5BB30" w14:textId="77777777" w:rsidR="00617156" w:rsidRPr="00617156" w:rsidRDefault="00617156" w:rsidP="00617156">
            <w:pPr>
              <w:jc w:val="center"/>
              <w:rPr>
                <w:sz w:val="18"/>
                <w:szCs w:val="18"/>
              </w:rPr>
            </w:pPr>
            <w:r w:rsidRPr="00617156">
              <w:rPr>
                <w:sz w:val="18"/>
                <w:szCs w:val="18"/>
              </w:rPr>
              <w:t>Q1 (n=173)</w:t>
            </w:r>
          </w:p>
        </w:tc>
        <w:tc>
          <w:tcPr>
            <w:tcW w:w="1430" w:type="dxa"/>
            <w:gridSpan w:val="2"/>
            <w:tcBorders>
              <w:bottom w:val="single" w:sz="4" w:space="0" w:color="auto"/>
            </w:tcBorders>
          </w:tcPr>
          <w:p w14:paraId="6A4B0331" w14:textId="77777777" w:rsidR="00617156" w:rsidRPr="00617156" w:rsidRDefault="00617156" w:rsidP="00617156">
            <w:pPr>
              <w:jc w:val="center"/>
              <w:rPr>
                <w:sz w:val="18"/>
                <w:szCs w:val="18"/>
              </w:rPr>
            </w:pPr>
            <w:r w:rsidRPr="00617156">
              <w:rPr>
                <w:sz w:val="18"/>
                <w:szCs w:val="18"/>
              </w:rPr>
              <w:t>Q4 (n=379)</w:t>
            </w:r>
          </w:p>
        </w:tc>
        <w:tc>
          <w:tcPr>
            <w:tcW w:w="1275" w:type="dxa"/>
          </w:tcPr>
          <w:p w14:paraId="5AC65813" w14:textId="77777777" w:rsidR="00617156" w:rsidRPr="00617156" w:rsidRDefault="00617156" w:rsidP="00617156">
            <w:pPr>
              <w:jc w:val="center"/>
              <w:rPr>
                <w:sz w:val="18"/>
                <w:szCs w:val="18"/>
              </w:rPr>
            </w:pPr>
          </w:p>
        </w:tc>
      </w:tr>
      <w:tr w:rsidR="00617156" w:rsidRPr="00617156" w14:paraId="34FBB6C4" w14:textId="77777777" w:rsidTr="00F377BE">
        <w:tc>
          <w:tcPr>
            <w:tcW w:w="426" w:type="dxa"/>
            <w:tcBorders>
              <w:bottom w:val="single" w:sz="4" w:space="0" w:color="auto"/>
            </w:tcBorders>
          </w:tcPr>
          <w:p w14:paraId="2229DF1E" w14:textId="77777777" w:rsidR="00617156" w:rsidRPr="00617156" w:rsidRDefault="00617156" w:rsidP="00617156">
            <w:pPr>
              <w:jc w:val="both"/>
              <w:rPr>
                <w:sz w:val="18"/>
                <w:szCs w:val="18"/>
              </w:rPr>
            </w:pPr>
          </w:p>
        </w:tc>
        <w:tc>
          <w:tcPr>
            <w:tcW w:w="4819" w:type="dxa"/>
            <w:tcBorders>
              <w:bottom w:val="single" w:sz="4" w:space="0" w:color="auto"/>
            </w:tcBorders>
          </w:tcPr>
          <w:p w14:paraId="3B615093" w14:textId="77777777" w:rsidR="00617156" w:rsidRPr="00617156" w:rsidRDefault="00617156" w:rsidP="00617156">
            <w:pPr>
              <w:jc w:val="center"/>
              <w:rPr>
                <w:i/>
                <w:sz w:val="18"/>
                <w:szCs w:val="18"/>
              </w:rPr>
            </w:pPr>
            <w:r w:rsidRPr="00617156">
              <w:rPr>
                <w:sz w:val="18"/>
                <w:szCs w:val="18"/>
              </w:rPr>
              <w:t>Reactivos</w:t>
            </w:r>
          </w:p>
        </w:tc>
        <w:tc>
          <w:tcPr>
            <w:tcW w:w="709" w:type="dxa"/>
            <w:tcBorders>
              <w:top w:val="single" w:sz="4" w:space="0" w:color="auto"/>
              <w:bottom w:val="single" w:sz="4" w:space="0" w:color="auto"/>
            </w:tcBorders>
          </w:tcPr>
          <w:p w14:paraId="1F5CE69B" w14:textId="77777777" w:rsidR="00617156" w:rsidRPr="00617156" w:rsidRDefault="00000000" w:rsidP="00617156">
            <w:pPr>
              <w:jc w:val="center"/>
              <w:rPr>
                <w:sz w:val="18"/>
                <w:szCs w:val="18"/>
              </w:rPr>
            </w:pPr>
            <m:oMathPara>
              <m:oMath>
                <m:acc>
                  <m:accPr>
                    <m:chr m:val="̅"/>
                    <m:ctrlPr>
                      <w:rPr>
                        <w:rFonts w:ascii="Cambria Math" w:hAnsi="Cambria Math"/>
                        <w:i/>
                        <w:sz w:val="18"/>
                        <w:szCs w:val="18"/>
                      </w:rPr>
                    </m:ctrlPr>
                  </m:accPr>
                  <m:e>
                    <m:r>
                      <w:rPr>
                        <w:rFonts w:ascii="Cambria Math" w:hAnsi="Cambria Math"/>
                        <w:sz w:val="18"/>
                        <w:szCs w:val="18"/>
                      </w:rPr>
                      <m:t>x</m:t>
                    </m:r>
                  </m:e>
                </m:acc>
              </m:oMath>
            </m:oMathPara>
          </w:p>
        </w:tc>
        <w:tc>
          <w:tcPr>
            <w:tcW w:w="709" w:type="dxa"/>
            <w:tcBorders>
              <w:top w:val="single" w:sz="4" w:space="0" w:color="auto"/>
              <w:bottom w:val="single" w:sz="4" w:space="0" w:color="auto"/>
            </w:tcBorders>
          </w:tcPr>
          <w:p w14:paraId="4A077B8F" w14:textId="77777777" w:rsidR="00617156" w:rsidRPr="00617156" w:rsidRDefault="00617156" w:rsidP="00617156">
            <w:pPr>
              <w:jc w:val="center"/>
              <w:rPr>
                <w:sz w:val="18"/>
                <w:szCs w:val="18"/>
              </w:rPr>
            </w:pPr>
            <w:r w:rsidRPr="00617156">
              <w:rPr>
                <w:sz w:val="18"/>
                <w:szCs w:val="18"/>
              </w:rPr>
              <w:t>D.E</w:t>
            </w:r>
          </w:p>
        </w:tc>
        <w:tc>
          <w:tcPr>
            <w:tcW w:w="717" w:type="dxa"/>
            <w:tcBorders>
              <w:top w:val="single" w:sz="4" w:space="0" w:color="auto"/>
              <w:bottom w:val="single" w:sz="4" w:space="0" w:color="auto"/>
            </w:tcBorders>
          </w:tcPr>
          <w:p w14:paraId="1C1C0015" w14:textId="77777777" w:rsidR="00617156" w:rsidRPr="00617156" w:rsidRDefault="00000000" w:rsidP="00617156">
            <w:pPr>
              <w:jc w:val="center"/>
              <w:rPr>
                <w:b/>
                <w:bCs/>
                <w:sz w:val="18"/>
                <w:szCs w:val="18"/>
              </w:rPr>
            </w:pPr>
            <m:oMathPara>
              <m:oMath>
                <m:acc>
                  <m:accPr>
                    <m:chr m:val="̅"/>
                    <m:ctrlPr>
                      <w:rPr>
                        <w:rFonts w:ascii="Cambria Math" w:hAnsi="Cambria Math"/>
                        <w:i/>
                        <w:sz w:val="18"/>
                        <w:szCs w:val="18"/>
                      </w:rPr>
                    </m:ctrlPr>
                  </m:accPr>
                  <m:e>
                    <m:r>
                      <w:rPr>
                        <w:rFonts w:ascii="Cambria Math" w:hAnsi="Cambria Math"/>
                        <w:sz w:val="18"/>
                        <w:szCs w:val="18"/>
                      </w:rPr>
                      <m:t>x</m:t>
                    </m:r>
                  </m:e>
                </m:acc>
              </m:oMath>
            </m:oMathPara>
          </w:p>
        </w:tc>
        <w:tc>
          <w:tcPr>
            <w:tcW w:w="713" w:type="dxa"/>
            <w:tcBorders>
              <w:top w:val="single" w:sz="4" w:space="0" w:color="auto"/>
              <w:bottom w:val="single" w:sz="4" w:space="0" w:color="auto"/>
            </w:tcBorders>
          </w:tcPr>
          <w:p w14:paraId="793BE504" w14:textId="77777777" w:rsidR="00617156" w:rsidRPr="00617156" w:rsidRDefault="00617156" w:rsidP="00617156">
            <w:pPr>
              <w:jc w:val="center"/>
              <w:rPr>
                <w:b/>
                <w:bCs/>
                <w:sz w:val="18"/>
                <w:szCs w:val="18"/>
              </w:rPr>
            </w:pPr>
            <w:r w:rsidRPr="00617156">
              <w:rPr>
                <w:sz w:val="18"/>
                <w:szCs w:val="18"/>
              </w:rPr>
              <w:t>D.E</w:t>
            </w:r>
          </w:p>
        </w:tc>
        <w:tc>
          <w:tcPr>
            <w:tcW w:w="1275" w:type="dxa"/>
            <w:tcBorders>
              <w:bottom w:val="single" w:sz="4" w:space="0" w:color="auto"/>
            </w:tcBorders>
          </w:tcPr>
          <w:p w14:paraId="09CDBDEC" w14:textId="77777777" w:rsidR="00617156" w:rsidRPr="00617156" w:rsidRDefault="00617156" w:rsidP="00617156">
            <w:pPr>
              <w:jc w:val="center"/>
              <w:rPr>
                <w:sz w:val="18"/>
                <w:szCs w:val="18"/>
              </w:rPr>
            </w:pPr>
            <w:r w:rsidRPr="00617156">
              <w:rPr>
                <w:sz w:val="18"/>
                <w:szCs w:val="18"/>
              </w:rPr>
              <w:t>t</w:t>
            </w:r>
            <w:r w:rsidRPr="00617156">
              <w:rPr>
                <w:sz w:val="18"/>
                <w:szCs w:val="18"/>
                <w:vertAlign w:val="subscript"/>
              </w:rPr>
              <w:t>(gl)</w:t>
            </w:r>
          </w:p>
        </w:tc>
      </w:tr>
      <w:tr w:rsidR="00617156" w:rsidRPr="00617156" w14:paraId="1C1B24A1" w14:textId="77777777" w:rsidTr="00F377BE">
        <w:tc>
          <w:tcPr>
            <w:tcW w:w="426" w:type="dxa"/>
            <w:tcBorders>
              <w:top w:val="single" w:sz="4" w:space="0" w:color="auto"/>
              <w:bottom w:val="single" w:sz="4" w:space="0" w:color="auto"/>
            </w:tcBorders>
            <w:vAlign w:val="center"/>
          </w:tcPr>
          <w:p w14:paraId="379F413D" w14:textId="77777777" w:rsidR="00617156" w:rsidRPr="00617156" w:rsidRDefault="00617156" w:rsidP="00617156">
            <w:pPr>
              <w:jc w:val="center"/>
              <w:rPr>
                <w:sz w:val="18"/>
                <w:szCs w:val="18"/>
              </w:rPr>
            </w:pPr>
            <w:r w:rsidRPr="00617156">
              <w:rPr>
                <w:sz w:val="18"/>
                <w:szCs w:val="18"/>
              </w:rPr>
              <w:t>1</w:t>
            </w:r>
          </w:p>
        </w:tc>
        <w:tc>
          <w:tcPr>
            <w:tcW w:w="4819" w:type="dxa"/>
            <w:tcBorders>
              <w:top w:val="single" w:sz="4" w:space="0" w:color="auto"/>
              <w:bottom w:val="single" w:sz="4" w:space="0" w:color="auto"/>
            </w:tcBorders>
            <w:vAlign w:val="center"/>
          </w:tcPr>
          <w:p w14:paraId="7396984D" w14:textId="77777777" w:rsidR="00617156" w:rsidRPr="00617156" w:rsidRDefault="00617156" w:rsidP="00617156">
            <w:pPr>
              <w:jc w:val="both"/>
              <w:rPr>
                <w:sz w:val="18"/>
                <w:szCs w:val="18"/>
              </w:rPr>
            </w:pPr>
            <w:r w:rsidRPr="00617156">
              <w:rPr>
                <w:sz w:val="18"/>
                <w:szCs w:val="18"/>
              </w:rPr>
              <w:t>Independientemente de lo que esté haciendo siento que el tiempo pasa muy rápido</w:t>
            </w:r>
          </w:p>
        </w:tc>
        <w:tc>
          <w:tcPr>
            <w:tcW w:w="709" w:type="dxa"/>
            <w:tcBorders>
              <w:top w:val="single" w:sz="4" w:space="0" w:color="auto"/>
              <w:bottom w:val="single" w:sz="4" w:space="0" w:color="auto"/>
            </w:tcBorders>
            <w:vAlign w:val="center"/>
          </w:tcPr>
          <w:p w14:paraId="735DA553" w14:textId="77777777" w:rsidR="00617156" w:rsidRPr="00617156" w:rsidRDefault="00617156" w:rsidP="00617156">
            <w:pPr>
              <w:jc w:val="center"/>
              <w:rPr>
                <w:sz w:val="18"/>
                <w:szCs w:val="18"/>
              </w:rPr>
            </w:pPr>
            <w:r w:rsidRPr="00617156">
              <w:rPr>
                <w:sz w:val="18"/>
                <w:szCs w:val="18"/>
              </w:rPr>
              <w:t>4.31</w:t>
            </w:r>
          </w:p>
        </w:tc>
        <w:tc>
          <w:tcPr>
            <w:tcW w:w="709" w:type="dxa"/>
            <w:tcBorders>
              <w:top w:val="single" w:sz="4" w:space="0" w:color="auto"/>
              <w:bottom w:val="single" w:sz="4" w:space="0" w:color="auto"/>
            </w:tcBorders>
            <w:vAlign w:val="center"/>
          </w:tcPr>
          <w:p w14:paraId="6A9C5BF5" w14:textId="77777777" w:rsidR="00617156" w:rsidRPr="00617156" w:rsidRDefault="00617156" w:rsidP="00617156">
            <w:pPr>
              <w:jc w:val="center"/>
              <w:rPr>
                <w:sz w:val="18"/>
                <w:szCs w:val="18"/>
              </w:rPr>
            </w:pPr>
            <w:r w:rsidRPr="00617156">
              <w:rPr>
                <w:sz w:val="18"/>
                <w:szCs w:val="18"/>
              </w:rPr>
              <w:t>0.75</w:t>
            </w:r>
          </w:p>
        </w:tc>
        <w:tc>
          <w:tcPr>
            <w:tcW w:w="717" w:type="dxa"/>
            <w:tcBorders>
              <w:top w:val="single" w:sz="4" w:space="0" w:color="auto"/>
              <w:bottom w:val="single" w:sz="4" w:space="0" w:color="auto"/>
            </w:tcBorders>
            <w:vAlign w:val="center"/>
          </w:tcPr>
          <w:p w14:paraId="0B80BB1F" w14:textId="77777777" w:rsidR="00617156" w:rsidRPr="00617156" w:rsidRDefault="00617156" w:rsidP="00617156">
            <w:pPr>
              <w:jc w:val="center"/>
              <w:rPr>
                <w:sz w:val="18"/>
                <w:szCs w:val="18"/>
              </w:rPr>
            </w:pPr>
            <w:r w:rsidRPr="00617156">
              <w:rPr>
                <w:sz w:val="18"/>
                <w:szCs w:val="18"/>
              </w:rPr>
              <w:t>3.21</w:t>
            </w:r>
          </w:p>
        </w:tc>
        <w:tc>
          <w:tcPr>
            <w:tcW w:w="713" w:type="dxa"/>
            <w:tcBorders>
              <w:top w:val="single" w:sz="4" w:space="0" w:color="auto"/>
              <w:bottom w:val="single" w:sz="4" w:space="0" w:color="auto"/>
            </w:tcBorders>
            <w:vAlign w:val="center"/>
          </w:tcPr>
          <w:p w14:paraId="64974410" w14:textId="77777777" w:rsidR="00617156" w:rsidRPr="00617156" w:rsidRDefault="00617156" w:rsidP="00617156">
            <w:pPr>
              <w:jc w:val="center"/>
              <w:rPr>
                <w:sz w:val="18"/>
                <w:szCs w:val="18"/>
              </w:rPr>
            </w:pPr>
            <w:r w:rsidRPr="00617156">
              <w:rPr>
                <w:sz w:val="18"/>
                <w:szCs w:val="18"/>
              </w:rPr>
              <w:t>1.10</w:t>
            </w:r>
          </w:p>
        </w:tc>
        <w:tc>
          <w:tcPr>
            <w:tcW w:w="1275" w:type="dxa"/>
            <w:tcBorders>
              <w:top w:val="single" w:sz="4" w:space="0" w:color="auto"/>
              <w:bottom w:val="single" w:sz="4" w:space="0" w:color="auto"/>
            </w:tcBorders>
            <w:vAlign w:val="center"/>
          </w:tcPr>
          <w:p w14:paraId="1A1B15AC" w14:textId="77777777" w:rsidR="00617156" w:rsidRPr="00617156" w:rsidRDefault="00617156" w:rsidP="00617156">
            <w:pPr>
              <w:jc w:val="center"/>
              <w:rPr>
                <w:b/>
                <w:bCs/>
                <w:sz w:val="18"/>
                <w:szCs w:val="18"/>
              </w:rPr>
            </w:pPr>
            <w:r w:rsidRPr="00617156">
              <w:rPr>
                <w:sz w:val="18"/>
                <w:szCs w:val="18"/>
              </w:rPr>
              <w:t>11.949</w:t>
            </w:r>
            <w:r w:rsidRPr="00617156">
              <w:rPr>
                <w:sz w:val="18"/>
                <w:szCs w:val="18"/>
                <w:vertAlign w:val="subscript"/>
              </w:rPr>
              <w:t>(568)</w:t>
            </w:r>
            <w:r w:rsidRPr="00617156">
              <w:rPr>
                <w:sz w:val="18"/>
                <w:szCs w:val="18"/>
              </w:rPr>
              <w:t>*</w:t>
            </w:r>
          </w:p>
        </w:tc>
      </w:tr>
      <w:tr w:rsidR="00617156" w:rsidRPr="00617156" w14:paraId="6A2C1521" w14:textId="77777777" w:rsidTr="00F377BE">
        <w:tc>
          <w:tcPr>
            <w:tcW w:w="426" w:type="dxa"/>
            <w:tcBorders>
              <w:top w:val="single" w:sz="4" w:space="0" w:color="auto"/>
              <w:bottom w:val="single" w:sz="4" w:space="0" w:color="auto"/>
            </w:tcBorders>
            <w:vAlign w:val="center"/>
          </w:tcPr>
          <w:p w14:paraId="5858F05B" w14:textId="77777777" w:rsidR="00617156" w:rsidRPr="00617156" w:rsidRDefault="00617156" w:rsidP="00617156">
            <w:pPr>
              <w:jc w:val="center"/>
              <w:rPr>
                <w:sz w:val="18"/>
                <w:szCs w:val="18"/>
              </w:rPr>
            </w:pPr>
            <w:r w:rsidRPr="00617156">
              <w:rPr>
                <w:sz w:val="18"/>
                <w:szCs w:val="18"/>
              </w:rPr>
              <w:t>2</w:t>
            </w:r>
          </w:p>
        </w:tc>
        <w:tc>
          <w:tcPr>
            <w:tcW w:w="4819" w:type="dxa"/>
            <w:tcBorders>
              <w:top w:val="single" w:sz="4" w:space="0" w:color="auto"/>
              <w:bottom w:val="single" w:sz="4" w:space="0" w:color="auto"/>
            </w:tcBorders>
            <w:vAlign w:val="center"/>
          </w:tcPr>
          <w:p w14:paraId="6709B1EA" w14:textId="77777777" w:rsidR="00617156" w:rsidRPr="00617156" w:rsidRDefault="00617156" w:rsidP="00617156">
            <w:pPr>
              <w:jc w:val="both"/>
              <w:rPr>
                <w:sz w:val="18"/>
                <w:szCs w:val="18"/>
              </w:rPr>
            </w:pPr>
            <w:r w:rsidRPr="00617156">
              <w:rPr>
                <w:sz w:val="18"/>
                <w:szCs w:val="18"/>
              </w:rPr>
              <w:t>Mi vida sirve a un propósito mayor</w:t>
            </w:r>
          </w:p>
        </w:tc>
        <w:tc>
          <w:tcPr>
            <w:tcW w:w="709" w:type="dxa"/>
            <w:tcBorders>
              <w:top w:val="single" w:sz="4" w:space="0" w:color="auto"/>
              <w:bottom w:val="single" w:sz="4" w:space="0" w:color="auto"/>
            </w:tcBorders>
            <w:vAlign w:val="center"/>
          </w:tcPr>
          <w:p w14:paraId="79FB5C8F" w14:textId="77777777" w:rsidR="00617156" w:rsidRPr="00617156" w:rsidRDefault="00617156" w:rsidP="00617156">
            <w:pPr>
              <w:jc w:val="center"/>
              <w:rPr>
                <w:sz w:val="18"/>
                <w:szCs w:val="18"/>
              </w:rPr>
            </w:pPr>
            <w:r w:rsidRPr="00617156">
              <w:rPr>
                <w:sz w:val="18"/>
                <w:szCs w:val="18"/>
              </w:rPr>
              <w:t>4,72</w:t>
            </w:r>
          </w:p>
        </w:tc>
        <w:tc>
          <w:tcPr>
            <w:tcW w:w="709" w:type="dxa"/>
            <w:tcBorders>
              <w:top w:val="single" w:sz="4" w:space="0" w:color="auto"/>
              <w:bottom w:val="single" w:sz="4" w:space="0" w:color="auto"/>
            </w:tcBorders>
            <w:vAlign w:val="center"/>
          </w:tcPr>
          <w:p w14:paraId="3B1AD223" w14:textId="77777777" w:rsidR="00617156" w:rsidRPr="00617156" w:rsidRDefault="00617156" w:rsidP="00617156">
            <w:pPr>
              <w:jc w:val="center"/>
              <w:rPr>
                <w:sz w:val="18"/>
                <w:szCs w:val="18"/>
              </w:rPr>
            </w:pPr>
            <w:r w:rsidRPr="00617156">
              <w:rPr>
                <w:sz w:val="18"/>
                <w:szCs w:val="18"/>
              </w:rPr>
              <w:t>0.57</w:t>
            </w:r>
          </w:p>
        </w:tc>
        <w:tc>
          <w:tcPr>
            <w:tcW w:w="717" w:type="dxa"/>
            <w:tcBorders>
              <w:top w:val="single" w:sz="4" w:space="0" w:color="auto"/>
              <w:bottom w:val="single" w:sz="4" w:space="0" w:color="auto"/>
            </w:tcBorders>
            <w:vAlign w:val="center"/>
          </w:tcPr>
          <w:p w14:paraId="0EFC49AE" w14:textId="77777777" w:rsidR="00617156" w:rsidRPr="00617156" w:rsidRDefault="00617156" w:rsidP="00617156">
            <w:pPr>
              <w:jc w:val="center"/>
              <w:rPr>
                <w:sz w:val="18"/>
                <w:szCs w:val="18"/>
              </w:rPr>
            </w:pPr>
            <w:r w:rsidRPr="00617156">
              <w:rPr>
                <w:sz w:val="18"/>
                <w:szCs w:val="18"/>
              </w:rPr>
              <w:t>3.50</w:t>
            </w:r>
          </w:p>
        </w:tc>
        <w:tc>
          <w:tcPr>
            <w:tcW w:w="713" w:type="dxa"/>
            <w:tcBorders>
              <w:top w:val="single" w:sz="4" w:space="0" w:color="auto"/>
              <w:bottom w:val="single" w:sz="4" w:space="0" w:color="auto"/>
            </w:tcBorders>
            <w:vAlign w:val="center"/>
          </w:tcPr>
          <w:p w14:paraId="7FA35E31" w14:textId="77777777" w:rsidR="00617156" w:rsidRPr="00617156" w:rsidRDefault="00617156" w:rsidP="00617156">
            <w:pPr>
              <w:jc w:val="center"/>
              <w:rPr>
                <w:sz w:val="18"/>
                <w:szCs w:val="18"/>
              </w:rPr>
            </w:pPr>
            <w:r w:rsidRPr="00617156">
              <w:rPr>
                <w:sz w:val="18"/>
                <w:szCs w:val="18"/>
              </w:rPr>
              <w:t>1.20</w:t>
            </w:r>
          </w:p>
        </w:tc>
        <w:tc>
          <w:tcPr>
            <w:tcW w:w="1275" w:type="dxa"/>
            <w:tcBorders>
              <w:top w:val="single" w:sz="4" w:space="0" w:color="auto"/>
              <w:bottom w:val="single" w:sz="4" w:space="0" w:color="auto"/>
            </w:tcBorders>
            <w:vAlign w:val="center"/>
          </w:tcPr>
          <w:p w14:paraId="396170AB" w14:textId="77777777" w:rsidR="00617156" w:rsidRPr="00617156" w:rsidRDefault="00617156" w:rsidP="00617156">
            <w:pPr>
              <w:jc w:val="center"/>
              <w:rPr>
                <w:sz w:val="18"/>
                <w:szCs w:val="18"/>
              </w:rPr>
            </w:pPr>
            <w:r w:rsidRPr="00617156">
              <w:rPr>
                <w:sz w:val="18"/>
                <w:szCs w:val="18"/>
              </w:rPr>
              <w:t>12.712</w:t>
            </w:r>
            <w:r w:rsidRPr="00617156">
              <w:rPr>
                <w:sz w:val="18"/>
                <w:szCs w:val="18"/>
                <w:vertAlign w:val="subscript"/>
              </w:rPr>
              <w:t>(568)</w:t>
            </w:r>
            <w:r w:rsidRPr="00617156">
              <w:rPr>
                <w:sz w:val="18"/>
                <w:szCs w:val="18"/>
              </w:rPr>
              <w:t>*</w:t>
            </w:r>
          </w:p>
        </w:tc>
      </w:tr>
      <w:tr w:rsidR="00617156" w:rsidRPr="00617156" w14:paraId="66297C8A" w14:textId="77777777" w:rsidTr="00F377BE">
        <w:tc>
          <w:tcPr>
            <w:tcW w:w="426" w:type="dxa"/>
            <w:tcBorders>
              <w:top w:val="single" w:sz="4" w:space="0" w:color="auto"/>
              <w:bottom w:val="single" w:sz="4" w:space="0" w:color="auto"/>
            </w:tcBorders>
            <w:vAlign w:val="center"/>
          </w:tcPr>
          <w:p w14:paraId="383377FE" w14:textId="77777777" w:rsidR="00617156" w:rsidRPr="00617156" w:rsidRDefault="00617156" w:rsidP="00617156">
            <w:pPr>
              <w:jc w:val="center"/>
              <w:rPr>
                <w:sz w:val="18"/>
                <w:szCs w:val="18"/>
              </w:rPr>
            </w:pPr>
            <w:r w:rsidRPr="00617156">
              <w:rPr>
                <w:sz w:val="18"/>
                <w:szCs w:val="18"/>
              </w:rPr>
              <w:t>3</w:t>
            </w:r>
          </w:p>
        </w:tc>
        <w:tc>
          <w:tcPr>
            <w:tcW w:w="4819" w:type="dxa"/>
            <w:tcBorders>
              <w:top w:val="single" w:sz="4" w:space="0" w:color="auto"/>
              <w:bottom w:val="single" w:sz="4" w:space="0" w:color="auto"/>
            </w:tcBorders>
            <w:vAlign w:val="center"/>
          </w:tcPr>
          <w:p w14:paraId="298F1F6B" w14:textId="77777777" w:rsidR="00617156" w:rsidRPr="00617156" w:rsidRDefault="00617156" w:rsidP="00617156">
            <w:pPr>
              <w:jc w:val="both"/>
              <w:rPr>
                <w:sz w:val="18"/>
                <w:szCs w:val="18"/>
              </w:rPr>
            </w:pPr>
            <w:r w:rsidRPr="00617156">
              <w:rPr>
                <w:sz w:val="18"/>
                <w:szCs w:val="18"/>
              </w:rPr>
              <w:t>La vida es muy corta como para dejar pasar los placeres que puede ofrecer</w:t>
            </w:r>
          </w:p>
        </w:tc>
        <w:tc>
          <w:tcPr>
            <w:tcW w:w="709" w:type="dxa"/>
            <w:tcBorders>
              <w:top w:val="single" w:sz="4" w:space="0" w:color="auto"/>
              <w:bottom w:val="single" w:sz="4" w:space="0" w:color="auto"/>
            </w:tcBorders>
            <w:vAlign w:val="center"/>
          </w:tcPr>
          <w:p w14:paraId="72B52508" w14:textId="77777777" w:rsidR="00617156" w:rsidRPr="00617156" w:rsidRDefault="00617156" w:rsidP="00617156">
            <w:pPr>
              <w:jc w:val="center"/>
              <w:rPr>
                <w:sz w:val="18"/>
                <w:szCs w:val="18"/>
              </w:rPr>
            </w:pPr>
            <w:r w:rsidRPr="00617156">
              <w:rPr>
                <w:sz w:val="18"/>
                <w:szCs w:val="18"/>
              </w:rPr>
              <w:t>4.50</w:t>
            </w:r>
          </w:p>
        </w:tc>
        <w:tc>
          <w:tcPr>
            <w:tcW w:w="709" w:type="dxa"/>
            <w:tcBorders>
              <w:top w:val="single" w:sz="4" w:space="0" w:color="auto"/>
              <w:bottom w:val="single" w:sz="4" w:space="0" w:color="auto"/>
            </w:tcBorders>
            <w:vAlign w:val="center"/>
          </w:tcPr>
          <w:p w14:paraId="2A5AA9F4" w14:textId="77777777" w:rsidR="00617156" w:rsidRPr="00617156" w:rsidRDefault="00617156" w:rsidP="00617156">
            <w:pPr>
              <w:jc w:val="center"/>
              <w:rPr>
                <w:sz w:val="18"/>
                <w:szCs w:val="18"/>
              </w:rPr>
            </w:pPr>
            <w:r w:rsidRPr="00617156">
              <w:rPr>
                <w:sz w:val="18"/>
                <w:szCs w:val="18"/>
              </w:rPr>
              <w:t>0.63</w:t>
            </w:r>
          </w:p>
        </w:tc>
        <w:tc>
          <w:tcPr>
            <w:tcW w:w="717" w:type="dxa"/>
            <w:tcBorders>
              <w:top w:val="single" w:sz="4" w:space="0" w:color="auto"/>
              <w:bottom w:val="single" w:sz="4" w:space="0" w:color="auto"/>
            </w:tcBorders>
            <w:vAlign w:val="center"/>
          </w:tcPr>
          <w:p w14:paraId="7336CDD4" w14:textId="77777777" w:rsidR="00617156" w:rsidRPr="00617156" w:rsidRDefault="00617156" w:rsidP="00617156">
            <w:pPr>
              <w:jc w:val="center"/>
              <w:rPr>
                <w:sz w:val="18"/>
                <w:szCs w:val="18"/>
              </w:rPr>
            </w:pPr>
            <w:r w:rsidRPr="00617156">
              <w:rPr>
                <w:sz w:val="18"/>
                <w:szCs w:val="18"/>
              </w:rPr>
              <w:t>3.28</w:t>
            </w:r>
          </w:p>
        </w:tc>
        <w:tc>
          <w:tcPr>
            <w:tcW w:w="713" w:type="dxa"/>
            <w:tcBorders>
              <w:top w:val="single" w:sz="4" w:space="0" w:color="auto"/>
              <w:bottom w:val="single" w:sz="4" w:space="0" w:color="auto"/>
            </w:tcBorders>
            <w:vAlign w:val="center"/>
          </w:tcPr>
          <w:p w14:paraId="18833634" w14:textId="77777777" w:rsidR="00617156" w:rsidRPr="00617156" w:rsidRDefault="00617156" w:rsidP="00617156">
            <w:pPr>
              <w:jc w:val="center"/>
              <w:rPr>
                <w:sz w:val="18"/>
                <w:szCs w:val="18"/>
              </w:rPr>
            </w:pPr>
            <w:r w:rsidRPr="00617156">
              <w:rPr>
                <w:sz w:val="18"/>
                <w:szCs w:val="18"/>
              </w:rPr>
              <w:t>1.00</w:t>
            </w:r>
          </w:p>
        </w:tc>
        <w:tc>
          <w:tcPr>
            <w:tcW w:w="1275" w:type="dxa"/>
            <w:tcBorders>
              <w:top w:val="single" w:sz="4" w:space="0" w:color="auto"/>
              <w:bottom w:val="single" w:sz="4" w:space="0" w:color="auto"/>
            </w:tcBorders>
            <w:vAlign w:val="center"/>
          </w:tcPr>
          <w:p w14:paraId="7CC329DA" w14:textId="77777777" w:rsidR="00617156" w:rsidRPr="00617156" w:rsidRDefault="00617156" w:rsidP="00617156">
            <w:pPr>
              <w:jc w:val="center"/>
              <w:rPr>
                <w:sz w:val="18"/>
                <w:szCs w:val="18"/>
              </w:rPr>
            </w:pPr>
            <w:r w:rsidRPr="00617156">
              <w:rPr>
                <w:sz w:val="18"/>
                <w:szCs w:val="18"/>
              </w:rPr>
              <w:t>14.749</w:t>
            </w:r>
            <w:r w:rsidRPr="00617156">
              <w:rPr>
                <w:sz w:val="18"/>
                <w:szCs w:val="18"/>
                <w:vertAlign w:val="subscript"/>
              </w:rPr>
              <w:t>(568)</w:t>
            </w:r>
            <w:r w:rsidRPr="00617156">
              <w:rPr>
                <w:sz w:val="18"/>
                <w:szCs w:val="18"/>
              </w:rPr>
              <w:t>*</w:t>
            </w:r>
          </w:p>
        </w:tc>
      </w:tr>
      <w:tr w:rsidR="00617156" w:rsidRPr="00617156" w14:paraId="2B701DFF" w14:textId="77777777" w:rsidTr="00F377BE">
        <w:tc>
          <w:tcPr>
            <w:tcW w:w="426" w:type="dxa"/>
            <w:tcBorders>
              <w:top w:val="single" w:sz="4" w:space="0" w:color="auto"/>
              <w:bottom w:val="single" w:sz="4" w:space="0" w:color="auto"/>
            </w:tcBorders>
            <w:vAlign w:val="center"/>
          </w:tcPr>
          <w:p w14:paraId="609BAD25" w14:textId="77777777" w:rsidR="00617156" w:rsidRPr="00617156" w:rsidRDefault="00617156" w:rsidP="00617156">
            <w:pPr>
              <w:jc w:val="center"/>
              <w:rPr>
                <w:sz w:val="18"/>
                <w:szCs w:val="18"/>
              </w:rPr>
            </w:pPr>
            <w:r w:rsidRPr="00617156">
              <w:rPr>
                <w:sz w:val="18"/>
                <w:szCs w:val="18"/>
              </w:rPr>
              <w:t>4</w:t>
            </w:r>
          </w:p>
        </w:tc>
        <w:tc>
          <w:tcPr>
            <w:tcW w:w="4819" w:type="dxa"/>
            <w:tcBorders>
              <w:top w:val="single" w:sz="4" w:space="0" w:color="auto"/>
              <w:bottom w:val="single" w:sz="4" w:space="0" w:color="auto"/>
            </w:tcBorders>
            <w:vAlign w:val="center"/>
          </w:tcPr>
          <w:p w14:paraId="4F4E5DAD" w14:textId="77777777" w:rsidR="00617156" w:rsidRPr="00617156" w:rsidRDefault="00617156" w:rsidP="00617156">
            <w:pPr>
              <w:jc w:val="both"/>
              <w:rPr>
                <w:sz w:val="18"/>
                <w:szCs w:val="18"/>
              </w:rPr>
            </w:pPr>
            <w:r w:rsidRPr="00617156">
              <w:rPr>
                <w:sz w:val="18"/>
                <w:szCs w:val="18"/>
              </w:rPr>
              <w:t>Busco situaciones que pongan a prueba mis habilidades y destrezas</w:t>
            </w:r>
          </w:p>
        </w:tc>
        <w:tc>
          <w:tcPr>
            <w:tcW w:w="709" w:type="dxa"/>
            <w:tcBorders>
              <w:top w:val="single" w:sz="4" w:space="0" w:color="auto"/>
              <w:bottom w:val="single" w:sz="4" w:space="0" w:color="auto"/>
            </w:tcBorders>
            <w:vAlign w:val="center"/>
          </w:tcPr>
          <w:p w14:paraId="0C6C8BA5" w14:textId="77777777" w:rsidR="00617156" w:rsidRPr="00617156" w:rsidRDefault="00617156" w:rsidP="00617156">
            <w:pPr>
              <w:jc w:val="center"/>
              <w:rPr>
                <w:sz w:val="18"/>
                <w:szCs w:val="18"/>
              </w:rPr>
            </w:pPr>
            <w:r w:rsidRPr="00617156">
              <w:rPr>
                <w:sz w:val="18"/>
                <w:szCs w:val="18"/>
              </w:rPr>
              <w:t>4.16</w:t>
            </w:r>
          </w:p>
        </w:tc>
        <w:tc>
          <w:tcPr>
            <w:tcW w:w="709" w:type="dxa"/>
            <w:tcBorders>
              <w:top w:val="single" w:sz="4" w:space="0" w:color="auto"/>
              <w:bottom w:val="single" w:sz="4" w:space="0" w:color="auto"/>
            </w:tcBorders>
            <w:vAlign w:val="center"/>
          </w:tcPr>
          <w:p w14:paraId="3B35EB98" w14:textId="77777777" w:rsidR="00617156" w:rsidRPr="00617156" w:rsidRDefault="00617156" w:rsidP="00617156">
            <w:pPr>
              <w:jc w:val="center"/>
              <w:rPr>
                <w:sz w:val="18"/>
                <w:szCs w:val="18"/>
              </w:rPr>
            </w:pPr>
            <w:r w:rsidRPr="00617156">
              <w:rPr>
                <w:sz w:val="18"/>
                <w:szCs w:val="18"/>
              </w:rPr>
              <w:t>0.76</w:t>
            </w:r>
          </w:p>
        </w:tc>
        <w:tc>
          <w:tcPr>
            <w:tcW w:w="717" w:type="dxa"/>
            <w:tcBorders>
              <w:top w:val="single" w:sz="4" w:space="0" w:color="auto"/>
              <w:bottom w:val="single" w:sz="4" w:space="0" w:color="auto"/>
            </w:tcBorders>
            <w:vAlign w:val="center"/>
          </w:tcPr>
          <w:p w14:paraId="1E9BF7F8" w14:textId="77777777" w:rsidR="00617156" w:rsidRPr="00617156" w:rsidRDefault="00617156" w:rsidP="00617156">
            <w:pPr>
              <w:jc w:val="center"/>
              <w:rPr>
                <w:sz w:val="18"/>
                <w:szCs w:val="18"/>
              </w:rPr>
            </w:pPr>
            <w:r w:rsidRPr="00617156">
              <w:rPr>
                <w:sz w:val="18"/>
                <w:szCs w:val="18"/>
              </w:rPr>
              <w:t>3.17</w:t>
            </w:r>
          </w:p>
        </w:tc>
        <w:tc>
          <w:tcPr>
            <w:tcW w:w="713" w:type="dxa"/>
            <w:tcBorders>
              <w:top w:val="single" w:sz="4" w:space="0" w:color="auto"/>
              <w:bottom w:val="single" w:sz="4" w:space="0" w:color="auto"/>
            </w:tcBorders>
            <w:vAlign w:val="center"/>
          </w:tcPr>
          <w:p w14:paraId="60849F16" w14:textId="77777777" w:rsidR="00617156" w:rsidRPr="00617156" w:rsidRDefault="00617156" w:rsidP="00617156">
            <w:pPr>
              <w:jc w:val="center"/>
              <w:rPr>
                <w:sz w:val="18"/>
                <w:szCs w:val="18"/>
              </w:rPr>
            </w:pPr>
            <w:r w:rsidRPr="00617156">
              <w:rPr>
                <w:sz w:val="18"/>
                <w:szCs w:val="18"/>
              </w:rPr>
              <w:t>1.01</w:t>
            </w:r>
          </w:p>
        </w:tc>
        <w:tc>
          <w:tcPr>
            <w:tcW w:w="1275" w:type="dxa"/>
            <w:tcBorders>
              <w:top w:val="single" w:sz="4" w:space="0" w:color="auto"/>
              <w:bottom w:val="single" w:sz="4" w:space="0" w:color="auto"/>
            </w:tcBorders>
            <w:vAlign w:val="center"/>
          </w:tcPr>
          <w:p w14:paraId="5AD7FF75" w14:textId="77777777" w:rsidR="00617156" w:rsidRPr="00617156" w:rsidRDefault="00617156" w:rsidP="00617156">
            <w:pPr>
              <w:jc w:val="center"/>
              <w:rPr>
                <w:sz w:val="18"/>
                <w:szCs w:val="18"/>
              </w:rPr>
            </w:pPr>
            <w:r w:rsidRPr="00617156">
              <w:rPr>
                <w:sz w:val="18"/>
                <w:szCs w:val="18"/>
              </w:rPr>
              <w:t>11.522</w:t>
            </w:r>
            <w:r w:rsidRPr="00617156">
              <w:rPr>
                <w:sz w:val="18"/>
                <w:szCs w:val="18"/>
                <w:vertAlign w:val="subscript"/>
              </w:rPr>
              <w:t>(568)</w:t>
            </w:r>
            <w:r w:rsidRPr="00617156">
              <w:rPr>
                <w:sz w:val="18"/>
                <w:szCs w:val="18"/>
              </w:rPr>
              <w:t>*</w:t>
            </w:r>
          </w:p>
        </w:tc>
      </w:tr>
      <w:tr w:rsidR="00617156" w:rsidRPr="00617156" w14:paraId="16FBB442" w14:textId="77777777" w:rsidTr="00F377BE">
        <w:tc>
          <w:tcPr>
            <w:tcW w:w="426" w:type="dxa"/>
            <w:tcBorders>
              <w:top w:val="single" w:sz="4" w:space="0" w:color="auto"/>
              <w:bottom w:val="single" w:sz="4" w:space="0" w:color="auto"/>
            </w:tcBorders>
            <w:vAlign w:val="center"/>
          </w:tcPr>
          <w:p w14:paraId="073B8819" w14:textId="77777777" w:rsidR="00617156" w:rsidRPr="00617156" w:rsidRDefault="00617156" w:rsidP="00617156">
            <w:pPr>
              <w:jc w:val="center"/>
              <w:rPr>
                <w:sz w:val="18"/>
                <w:szCs w:val="18"/>
              </w:rPr>
            </w:pPr>
            <w:r w:rsidRPr="00617156">
              <w:rPr>
                <w:sz w:val="18"/>
                <w:szCs w:val="18"/>
              </w:rPr>
              <w:t>5</w:t>
            </w:r>
          </w:p>
        </w:tc>
        <w:tc>
          <w:tcPr>
            <w:tcW w:w="4819" w:type="dxa"/>
            <w:tcBorders>
              <w:top w:val="single" w:sz="4" w:space="0" w:color="auto"/>
              <w:bottom w:val="single" w:sz="4" w:space="0" w:color="auto"/>
            </w:tcBorders>
            <w:vAlign w:val="center"/>
          </w:tcPr>
          <w:p w14:paraId="11E0CD00" w14:textId="77777777" w:rsidR="00617156" w:rsidRPr="00617156" w:rsidRDefault="00617156" w:rsidP="00617156">
            <w:pPr>
              <w:jc w:val="both"/>
              <w:rPr>
                <w:sz w:val="18"/>
                <w:szCs w:val="18"/>
              </w:rPr>
            </w:pPr>
            <w:r w:rsidRPr="00617156">
              <w:rPr>
                <w:sz w:val="18"/>
                <w:szCs w:val="18"/>
              </w:rPr>
              <w:t>Al tomar una decisión, siempre tomo en cuenta si mi acción beneficiará a otras personas</w:t>
            </w:r>
          </w:p>
        </w:tc>
        <w:tc>
          <w:tcPr>
            <w:tcW w:w="709" w:type="dxa"/>
            <w:tcBorders>
              <w:top w:val="single" w:sz="4" w:space="0" w:color="auto"/>
              <w:bottom w:val="single" w:sz="4" w:space="0" w:color="auto"/>
            </w:tcBorders>
            <w:vAlign w:val="center"/>
          </w:tcPr>
          <w:p w14:paraId="78252907" w14:textId="77777777" w:rsidR="00617156" w:rsidRPr="00617156" w:rsidRDefault="00617156" w:rsidP="00617156">
            <w:pPr>
              <w:jc w:val="center"/>
              <w:rPr>
                <w:sz w:val="18"/>
                <w:szCs w:val="18"/>
              </w:rPr>
            </w:pPr>
            <w:r w:rsidRPr="00617156">
              <w:rPr>
                <w:sz w:val="18"/>
                <w:szCs w:val="18"/>
              </w:rPr>
              <w:t>4.36</w:t>
            </w:r>
          </w:p>
        </w:tc>
        <w:tc>
          <w:tcPr>
            <w:tcW w:w="709" w:type="dxa"/>
            <w:tcBorders>
              <w:top w:val="single" w:sz="4" w:space="0" w:color="auto"/>
              <w:bottom w:val="single" w:sz="4" w:space="0" w:color="auto"/>
            </w:tcBorders>
            <w:vAlign w:val="center"/>
          </w:tcPr>
          <w:p w14:paraId="44A3DBF1" w14:textId="77777777" w:rsidR="00617156" w:rsidRPr="00617156" w:rsidRDefault="00617156" w:rsidP="00617156">
            <w:pPr>
              <w:jc w:val="center"/>
              <w:rPr>
                <w:sz w:val="18"/>
                <w:szCs w:val="18"/>
              </w:rPr>
            </w:pPr>
            <w:r w:rsidRPr="00617156">
              <w:rPr>
                <w:sz w:val="18"/>
                <w:szCs w:val="18"/>
              </w:rPr>
              <w:t>0.73</w:t>
            </w:r>
          </w:p>
        </w:tc>
        <w:tc>
          <w:tcPr>
            <w:tcW w:w="717" w:type="dxa"/>
            <w:tcBorders>
              <w:top w:val="single" w:sz="4" w:space="0" w:color="auto"/>
              <w:bottom w:val="single" w:sz="4" w:space="0" w:color="auto"/>
            </w:tcBorders>
            <w:vAlign w:val="center"/>
          </w:tcPr>
          <w:p w14:paraId="5D3983B1" w14:textId="77777777" w:rsidR="00617156" w:rsidRPr="00617156" w:rsidRDefault="00617156" w:rsidP="00617156">
            <w:pPr>
              <w:jc w:val="center"/>
              <w:rPr>
                <w:sz w:val="18"/>
                <w:szCs w:val="18"/>
              </w:rPr>
            </w:pPr>
            <w:r w:rsidRPr="00617156">
              <w:rPr>
                <w:sz w:val="18"/>
                <w:szCs w:val="18"/>
              </w:rPr>
              <w:t>3.41</w:t>
            </w:r>
          </w:p>
        </w:tc>
        <w:tc>
          <w:tcPr>
            <w:tcW w:w="713" w:type="dxa"/>
            <w:tcBorders>
              <w:top w:val="single" w:sz="4" w:space="0" w:color="auto"/>
              <w:bottom w:val="single" w:sz="4" w:space="0" w:color="auto"/>
            </w:tcBorders>
            <w:vAlign w:val="center"/>
          </w:tcPr>
          <w:p w14:paraId="027E00A9" w14:textId="77777777" w:rsidR="00617156" w:rsidRPr="00617156" w:rsidRDefault="00617156" w:rsidP="00617156">
            <w:pPr>
              <w:jc w:val="center"/>
              <w:rPr>
                <w:sz w:val="18"/>
                <w:szCs w:val="18"/>
              </w:rPr>
            </w:pPr>
            <w:r w:rsidRPr="00617156">
              <w:rPr>
                <w:sz w:val="18"/>
                <w:szCs w:val="18"/>
              </w:rPr>
              <w:t>0.99</w:t>
            </w:r>
          </w:p>
        </w:tc>
        <w:tc>
          <w:tcPr>
            <w:tcW w:w="1275" w:type="dxa"/>
            <w:tcBorders>
              <w:top w:val="single" w:sz="4" w:space="0" w:color="auto"/>
              <w:bottom w:val="single" w:sz="4" w:space="0" w:color="auto"/>
            </w:tcBorders>
            <w:vAlign w:val="center"/>
          </w:tcPr>
          <w:p w14:paraId="36EC0154" w14:textId="77777777" w:rsidR="00617156" w:rsidRPr="00617156" w:rsidRDefault="00617156" w:rsidP="00617156">
            <w:pPr>
              <w:jc w:val="center"/>
              <w:rPr>
                <w:sz w:val="18"/>
                <w:szCs w:val="18"/>
              </w:rPr>
            </w:pPr>
            <w:r w:rsidRPr="00617156">
              <w:rPr>
                <w:sz w:val="18"/>
                <w:szCs w:val="18"/>
              </w:rPr>
              <w:t>11.355</w:t>
            </w:r>
            <w:r w:rsidRPr="00617156">
              <w:rPr>
                <w:sz w:val="18"/>
                <w:szCs w:val="18"/>
                <w:vertAlign w:val="subscript"/>
              </w:rPr>
              <w:t>(568)</w:t>
            </w:r>
            <w:r w:rsidRPr="00617156">
              <w:rPr>
                <w:sz w:val="18"/>
                <w:szCs w:val="18"/>
              </w:rPr>
              <w:t>*</w:t>
            </w:r>
          </w:p>
        </w:tc>
      </w:tr>
      <w:tr w:rsidR="00617156" w:rsidRPr="00617156" w14:paraId="66DC6BCB" w14:textId="77777777" w:rsidTr="00F377BE">
        <w:tc>
          <w:tcPr>
            <w:tcW w:w="426" w:type="dxa"/>
            <w:tcBorders>
              <w:top w:val="single" w:sz="4" w:space="0" w:color="auto"/>
              <w:bottom w:val="single" w:sz="4" w:space="0" w:color="auto"/>
            </w:tcBorders>
            <w:vAlign w:val="center"/>
          </w:tcPr>
          <w:p w14:paraId="513F100F" w14:textId="77777777" w:rsidR="00617156" w:rsidRPr="00617156" w:rsidRDefault="00617156" w:rsidP="00617156">
            <w:pPr>
              <w:jc w:val="center"/>
              <w:rPr>
                <w:sz w:val="18"/>
                <w:szCs w:val="18"/>
              </w:rPr>
            </w:pPr>
            <w:r w:rsidRPr="00617156">
              <w:rPr>
                <w:sz w:val="18"/>
                <w:szCs w:val="18"/>
              </w:rPr>
              <w:t>7</w:t>
            </w:r>
          </w:p>
        </w:tc>
        <w:tc>
          <w:tcPr>
            <w:tcW w:w="4819" w:type="dxa"/>
            <w:tcBorders>
              <w:top w:val="single" w:sz="4" w:space="0" w:color="auto"/>
              <w:bottom w:val="single" w:sz="4" w:space="0" w:color="auto"/>
            </w:tcBorders>
            <w:vAlign w:val="center"/>
          </w:tcPr>
          <w:p w14:paraId="7B57DF3F" w14:textId="77777777" w:rsidR="00617156" w:rsidRPr="00617156" w:rsidRDefault="00617156" w:rsidP="00617156">
            <w:pPr>
              <w:jc w:val="both"/>
              <w:rPr>
                <w:sz w:val="18"/>
                <w:szCs w:val="18"/>
              </w:rPr>
            </w:pPr>
            <w:r w:rsidRPr="00617156">
              <w:rPr>
                <w:sz w:val="18"/>
                <w:szCs w:val="18"/>
              </w:rPr>
              <w:t>Siempre me concentro en lo que hago</w:t>
            </w:r>
          </w:p>
        </w:tc>
        <w:tc>
          <w:tcPr>
            <w:tcW w:w="709" w:type="dxa"/>
            <w:tcBorders>
              <w:top w:val="single" w:sz="4" w:space="0" w:color="auto"/>
              <w:bottom w:val="single" w:sz="4" w:space="0" w:color="auto"/>
            </w:tcBorders>
            <w:vAlign w:val="center"/>
          </w:tcPr>
          <w:p w14:paraId="751C5EE2" w14:textId="77777777" w:rsidR="00617156" w:rsidRPr="00617156" w:rsidRDefault="00617156" w:rsidP="00617156">
            <w:pPr>
              <w:jc w:val="center"/>
              <w:rPr>
                <w:sz w:val="18"/>
                <w:szCs w:val="18"/>
              </w:rPr>
            </w:pPr>
            <w:r w:rsidRPr="00617156">
              <w:rPr>
                <w:sz w:val="18"/>
                <w:szCs w:val="18"/>
              </w:rPr>
              <w:t>4.17</w:t>
            </w:r>
          </w:p>
        </w:tc>
        <w:tc>
          <w:tcPr>
            <w:tcW w:w="709" w:type="dxa"/>
            <w:tcBorders>
              <w:top w:val="single" w:sz="4" w:space="0" w:color="auto"/>
              <w:bottom w:val="single" w:sz="4" w:space="0" w:color="auto"/>
            </w:tcBorders>
            <w:vAlign w:val="center"/>
          </w:tcPr>
          <w:p w14:paraId="5C70ECA0" w14:textId="77777777" w:rsidR="00617156" w:rsidRPr="00617156" w:rsidRDefault="00617156" w:rsidP="00617156">
            <w:pPr>
              <w:jc w:val="center"/>
              <w:rPr>
                <w:sz w:val="18"/>
                <w:szCs w:val="18"/>
              </w:rPr>
            </w:pPr>
            <w:r w:rsidRPr="00617156">
              <w:rPr>
                <w:sz w:val="18"/>
                <w:szCs w:val="18"/>
              </w:rPr>
              <w:t>0.75</w:t>
            </w:r>
          </w:p>
        </w:tc>
        <w:tc>
          <w:tcPr>
            <w:tcW w:w="717" w:type="dxa"/>
            <w:tcBorders>
              <w:top w:val="single" w:sz="4" w:space="0" w:color="auto"/>
              <w:bottom w:val="single" w:sz="4" w:space="0" w:color="auto"/>
            </w:tcBorders>
            <w:vAlign w:val="center"/>
          </w:tcPr>
          <w:p w14:paraId="73329EF2" w14:textId="77777777" w:rsidR="00617156" w:rsidRPr="00617156" w:rsidRDefault="00617156" w:rsidP="00617156">
            <w:pPr>
              <w:jc w:val="center"/>
              <w:rPr>
                <w:sz w:val="18"/>
                <w:szCs w:val="18"/>
              </w:rPr>
            </w:pPr>
            <w:r w:rsidRPr="00617156">
              <w:rPr>
                <w:sz w:val="18"/>
                <w:szCs w:val="18"/>
              </w:rPr>
              <w:t>3.13</w:t>
            </w:r>
          </w:p>
        </w:tc>
        <w:tc>
          <w:tcPr>
            <w:tcW w:w="713" w:type="dxa"/>
            <w:tcBorders>
              <w:top w:val="single" w:sz="4" w:space="0" w:color="auto"/>
              <w:bottom w:val="single" w:sz="4" w:space="0" w:color="auto"/>
            </w:tcBorders>
            <w:vAlign w:val="center"/>
          </w:tcPr>
          <w:p w14:paraId="7808AE89" w14:textId="77777777" w:rsidR="00617156" w:rsidRPr="00617156" w:rsidRDefault="00617156" w:rsidP="00617156">
            <w:pPr>
              <w:jc w:val="center"/>
              <w:rPr>
                <w:sz w:val="18"/>
                <w:szCs w:val="18"/>
              </w:rPr>
            </w:pPr>
            <w:r w:rsidRPr="00617156">
              <w:rPr>
                <w:sz w:val="18"/>
                <w:szCs w:val="18"/>
              </w:rPr>
              <w:t>1.03</w:t>
            </w:r>
          </w:p>
        </w:tc>
        <w:tc>
          <w:tcPr>
            <w:tcW w:w="1275" w:type="dxa"/>
            <w:tcBorders>
              <w:top w:val="single" w:sz="4" w:space="0" w:color="auto"/>
              <w:bottom w:val="single" w:sz="4" w:space="0" w:color="auto"/>
            </w:tcBorders>
            <w:vAlign w:val="center"/>
          </w:tcPr>
          <w:p w14:paraId="001CAB18" w14:textId="77777777" w:rsidR="00617156" w:rsidRPr="00617156" w:rsidRDefault="00617156" w:rsidP="00617156">
            <w:pPr>
              <w:jc w:val="center"/>
              <w:rPr>
                <w:sz w:val="18"/>
                <w:szCs w:val="18"/>
              </w:rPr>
            </w:pPr>
            <w:r w:rsidRPr="00617156">
              <w:rPr>
                <w:sz w:val="18"/>
                <w:szCs w:val="18"/>
              </w:rPr>
              <w:t>11.928</w:t>
            </w:r>
            <w:r w:rsidRPr="00617156">
              <w:rPr>
                <w:sz w:val="18"/>
                <w:szCs w:val="18"/>
                <w:vertAlign w:val="subscript"/>
              </w:rPr>
              <w:t>(568)</w:t>
            </w:r>
            <w:r w:rsidRPr="00617156">
              <w:rPr>
                <w:sz w:val="18"/>
                <w:szCs w:val="18"/>
              </w:rPr>
              <w:t>*</w:t>
            </w:r>
          </w:p>
        </w:tc>
      </w:tr>
      <w:tr w:rsidR="00617156" w:rsidRPr="00617156" w14:paraId="7DF5AAE8" w14:textId="77777777" w:rsidTr="00F377BE">
        <w:tc>
          <w:tcPr>
            <w:tcW w:w="426" w:type="dxa"/>
            <w:tcBorders>
              <w:top w:val="single" w:sz="4" w:space="0" w:color="auto"/>
              <w:bottom w:val="single" w:sz="4" w:space="0" w:color="auto"/>
            </w:tcBorders>
            <w:vAlign w:val="center"/>
          </w:tcPr>
          <w:p w14:paraId="31202DCE" w14:textId="77777777" w:rsidR="00617156" w:rsidRPr="00617156" w:rsidRDefault="00617156" w:rsidP="00617156">
            <w:pPr>
              <w:jc w:val="center"/>
              <w:rPr>
                <w:sz w:val="18"/>
                <w:szCs w:val="18"/>
              </w:rPr>
            </w:pPr>
            <w:r w:rsidRPr="00617156">
              <w:rPr>
                <w:sz w:val="18"/>
                <w:szCs w:val="18"/>
              </w:rPr>
              <w:t>8</w:t>
            </w:r>
          </w:p>
        </w:tc>
        <w:tc>
          <w:tcPr>
            <w:tcW w:w="4819" w:type="dxa"/>
            <w:tcBorders>
              <w:top w:val="single" w:sz="4" w:space="0" w:color="auto"/>
              <w:bottom w:val="single" w:sz="4" w:space="0" w:color="auto"/>
            </w:tcBorders>
            <w:vAlign w:val="center"/>
          </w:tcPr>
          <w:p w14:paraId="3A89FEA5" w14:textId="77777777" w:rsidR="00617156" w:rsidRPr="00617156" w:rsidRDefault="00617156" w:rsidP="00617156">
            <w:pPr>
              <w:jc w:val="both"/>
              <w:rPr>
                <w:sz w:val="18"/>
                <w:szCs w:val="18"/>
              </w:rPr>
            </w:pPr>
            <w:r w:rsidRPr="00617156">
              <w:rPr>
                <w:sz w:val="18"/>
                <w:szCs w:val="18"/>
              </w:rPr>
              <w:t>Me esfuerzo para sentirme eufórico</w:t>
            </w:r>
          </w:p>
        </w:tc>
        <w:tc>
          <w:tcPr>
            <w:tcW w:w="709" w:type="dxa"/>
            <w:tcBorders>
              <w:top w:val="single" w:sz="4" w:space="0" w:color="auto"/>
              <w:bottom w:val="single" w:sz="4" w:space="0" w:color="auto"/>
            </w:tcBorders>
            <w:vAlign w:val="center"/>
          </w:tcPr>
          <w:p w14:paraId="5AFACC5E" w14:textId="77777777" w:rsidR="00617156" w:rsidRPr="00617156" w:rsidRDefault="00617156" w:rsidP="00617156">
            <w:pPr>
              <w:jc w:val="center"/>
              <w:rPr>
                <w:sz w:val="18"/>
                <w:szCs w:val="18"/>
              </w:rPr>
            </w:pPr>
            <w:r w:rsidRPr="00617156">
              <w:rPr>
                <w:sz w:val="18"/>
                <w:szCs w:val="18"/>
              </w:rPr>
              <w:t>3.76</w:t>
            </w:r>
          </w:p>
        </w:tc>
        <w:tc>
          <w:tcPr>
            <w:tcW w:w="709" w:type="dxa"/>
            <w:tcBorders>
              <w:top w:val="single" w:sz="4" w:space="0" w:color="auto"/>
              <w:bottom w:val="single" w:sz="4" w:space="0" w:color="auto"/>
            </w:tcBorders>
            <w:vAlign w:val="center"/>
          </w:tcPr>
          <w:p w14:paraId="627F167A" w14:textId="77777777" w:rsidR="00617156" w:rsidRPr="00617156" w:rsidRDefault="00617156" w:rsidP="00617156">
            <w:pPr>
              <w:jc w:val="center"/>
              <w:rPr>
                <w:sz w:val="18"/>
                <w:szCs w:val="18"/>
              </w:rPr>
            </w:pPr>
            <w:r w:rsidRPr="00617156">
              <w:rPr>
                <w:sz w:val="18"/>
                <w:szCs w:val="18"/>
              </w:rPr>
              <w:t>0.96</w:t>
            </w:r>
          </w:p>
        </w:tc>
        <w:tc>
          <w:tcPr>
            <w:tcW w:w="717" w:type="dxa"/>
            <w:tcBorders>
              <w:top w:val="single" w:sz="4" w:space="0" w:color="auto"/>
              <w:bottom w:val="single" w:sz="4" w:space="0" w:color="auto"/>
            </w:tcBorders>
            <w:vAlign w:val="center"/>
          </w:tcPr>
          <w:p w14:paraId="408E287A" w14:textId="77777777" w:rsidR="00617156" w:rsidRPr="00617156" w:rsidRDefault="00617156" w:rsidP="00617156">
            <w:pPr>
              <w:jc w:val="center"/>
              <w:rPr>
                <w:sz w:val="18"/>
                <w:szCs w:val="18"/>
              </w:rPr>
            </w:pPr>
            <w:r w:rsidRPr="00617156">
              <w:rPr>
                <w:sz w:val="18"/>
                <w:szCs w:val="18"/>
              </w:rPr>
              <w:t>2.69</w:t>
            </w:r>
          </w:p>
        </w:tc>
        <w:tc>
          <w:tcPr>
            <w:tcW w:w="713" w:type="dxa"/>
            <w:tcBorders>
              <w:top w:val="single" w:sz="4" w:space="0" w:color="auto"/>
              <w:bottom w:val="single" w:sz="4" w:space="0" w:color="auto"/>
            </w:tcBorders>
            <w:vAlign w:val="center"/>
          </w:tcPr>
          <w:p w14:paraId="28B3A837" w14:textId="77777777" w:rsidR="00617156" w:rsidRPr="00617156" w:rsidRDefault="00617156" w:rsidP="00617156">
            <w:pPr>
              <w:jc w:val="center"/>
              <w:rPr>
                <w:sz w:val="18"/>
                <w:szCs w:val="18"/>
              </w:rPr>
            </w:pPr>
            <w:r w:rsidRPr="00617156">
              <w:rPr>
                <w:sz w:val="18"/>
                <w:szCs w:val="18"/>
              </w:rPr>
              <w:t>0.90</w:t>
            </w:r>
          </w:p>
        </w:tc>
        <w:tc>
          <w:tcPr>
            <w:tcW w:w="1275" w:type="dxa"/>
            <w:tcBorders>
              <w:top w:val="single" w:sz="4" w:space="0" w:color="auto"/>
              <w:bottom w:val="single" w:sz="4" w:space="0" w:color="auto"/>
            </w:tcBorders>
            <w:vAlign w:val="center"/>
          </w:tcPr>
          <w:p w14:paraId="0F48FBEF" w14:textId="77777777" w:rsidR="00617156" w:rsidRPr="00617156" w:rsidRDefault="00617156" w:rsidP="00617156">
            <w:pPr>
              <w:jc w:val="center"/>
              <w:rPr>
                <w:sz w:val="18"/>
                <w:szCs w:val="18"/>
              </w:rPr>
            </w:pPr>
            <w:r w:rsidRPr="00617156">
              <w:rPr>
                <w:sz w:val="18"/>
                <w:szCs w:val="18"/>
              </w:rPr>
              <w:t>12.780</w:t>
            </w:r>
            <w:r w:rsidRPr="00617156">
              <w:rPr>
                <w:sz w:val="18"/>
                <w:szCs w:val="18"/>
                <w:vertAlign w:val="subscript"/>
              </w:rPr>
              <w:t>(568)</w:t>
            </w:r>
            <w:r w:rsidRPr="00617156">
              <w:rPr>
                <w:sz w:val="18"/>
                <w:szCs w:val="18"/>
              </w:rPr>
              <w:t>*</w:t>
            </w:r>
          </w:p>
        </w:tc>
      </w:tr>
      <w:tr w:rsidR="00617156" w:rsidRPr="00617156" w14:paraId="6B2376CD" w14:textId="77777777" w:rsidTr="00F377BE">
        <w:tc>
          <w:tcPr>
            <w:tcW w:w="426" w:type="dxa"/>
            <w:tcBorders>
              <w:top w:val="single" w:sz="4" w:space="0" w:color="auto"/>
              <w:bottom w:val="single" w:sz="4" w:space="0" w:color="auto"/>
            </w:tcBorders>
            <w:vAlign w:val="center"/>
          </w:tcPr>
          <w:p w14:paraId="54AA7121" w14:textId="77777777" w:rsidR="00617156" w:rsidRPr="00617156" w:rsidRDefault="00617156" w:rsidP="00617156">
            <w:pPr>
              <w:jc w:val="center"/>
              <w:rPr>
                <w:sz w:val="18"/>
                <w:szCs w:val="18"/>
              </w:rPr>
            </w:pPr>
            <w:r w:rsidRPr="00617156">
              <w:rPr>
                <w:sz w:val="18"/>
                <w:szCs w:val="18"/>
              </w:rPr>
              <w:t>9</w:t>
            </w:r>
          </w:p>
        </w:tc>
        <w:tc>
          <w:tcPr>
            <w:tcW w:w="4819" w:type="dxa"/>
            <w:tcBorders>
              <w:top w:val="single" w:sz="4" w:space="0" w:color="auto"/>
              <w:bottom w:val="single" w:sz="4" w:space="0" w:color="auto"/>
            </w:tcBorders>
            <w:vAlign w:val="center"/>
          </w:tcPr>
          <w:p w14:paraId="29C2D9BA" w14:textId="77777777" w:rsidR="00617156" w:rsidRPr="00617156" w:rsidRDefault="00617156" w:rsidP="00617156">
            <w:pPr>
              <w:jc w:val="both"/>
              <w:rPr>
                <w:sz w:val="18"/>
                <w:szCs w:val="18"/>
              </w:rPr>
            </w:pPr>
            <w:r w:rsidRPr="00617156">
              <w:rPr>
                <w:sz w:val="18"/>
                <w:szCs w:val="18"/>
              </w:rPr>
              <w:t>Al tomar una decisión, siempre tomo en cuenta si me puedo dejar llevar por la actividad y perderme en ella</w:t>
            </w:r>
          </w:p>
        </w:tc>
        <w:tc>
          <w:tcPr>
            <w:tcW w:w="709" w:type="dxa"/>
            <w:tcBorders>
              <w:top w:val="single" w:sz="4" w:space="0" w:color="auto"/>
              <w:bottom w:val="single" w:sz="4" w:space="0" w:color="auto"/>
            </w:tcBorders>
            <w:vAlign w:val="center"/>
          </w:tcPr>
          <w:p w14:paraId="33278D23" w14:textId="77777777" w:rsidR="00617156" w:rsidRPr="00617156" w:rsidRDefault="00617156" w:rsidP="00617156">
            <w:pPr>
              <w:jc w:val="center"/>
              <w:rPr>
                <w:sz w:val="18"/>
                <w:szCs w:val="18"/>
              </w:rPr>
            </w:pPr>
            <w:r w:rsidRPr="00617156">
              <w:rPr>
                <w:sz w:val="18"/>
                <w:szCs w:val="18"/>
              </w:rPr>
              <w:t>3.75</w:t>
            </w:r>
          </w:p>
        </w:tc>
        <w:tc>
          <w:tcPr>
            <w:tcW w:w="709" w:type="dxa"/>
            <w:tcBorders>
              <w:top w:val="single" w:sz="4" w:space="0" w:color="auto"/>
              <w:bottom w:val="single" w:sz="4" w:space="0" w:color="auto"/>
            </w:tcBorders>
            <w:vAlign w:val="center"/>
          </w:tcPr>
          <w:p w14:paraId="0F5E4605" w14:textId="77777777" w:rsidR="00617156" w:rsidRPr="00617156" w:rsidRDefault="00617156" w:rsidP="00617156">
            <w:pPr>
              <w:jc w:val="center"/>
              <w:rPr>
                <w:sz w:val="18"/>
                <w:szCs w:val="18"/>
              </w:rPr>
            </w:pPr>
            <w:r w:rsidRPr="00617156">
              <w:rPr>
                <w:sz w:val="18"/>
                <w:szCs w:val="18"/>
              </w:rPr>
              <w:t>0.91</w:t>
            </w:r>
          </w:p>
        </w:tc>
        <w:tc>
          <w:tcPr>
            <w:tcW w:w="717" w:type="dxa"/>
            <w:tcBorders>
              <w:top w:val="single" w:sz="4" w:space="0" w:color="auto"/>
              <w:bottom w:val="single" w:sz="4" w:space="0" w:color="auto"/>
            </w:tcBorders>
            <w:vAlign w:val="center"/>
          </w:tcPr>
          <w:p w14:paraId="2EB0DA2D" w14:textId="77777777" w:rsidR="00617156" w:rsidRPr="00617156" w:rsidRDefault="00617156" w:rsidP="00617156">
            <w:pPr>
              <w:jc w:val="center"/>
              <w:rPr>
                <w:sz w:val="18"/>
                <w:szCs w:val="18"/>
              </w:rPr>
            </w:pPr>
            <w:r w:rsidRPr="00617156">
              <w:rPr>
                <w:sz w:val="18"/>
                <w:szCs w:val="18"/>
              </w:rPr>
              <w:t>2.84</w:t>
            </w:r>
          </w:p>
        </w:tc>
        <w:tc>
          <w:tcPr>
            <w:tcW w:w="713" w:type="dxa"/>
            <w:tcBorders>
              <w:top w:val="single" w:sz="4" w:space="0" w:color="auto"/>
              <w:bottom w:val="single" w:sz="4" w:space="0" w:color="auto"/>
            </w:tcBorders>
            <w:vAlign w:val="center"/>
          </w:tcPr>
          <w:p w14:paraId="51AEB834" w14:textId="77777777" w:rsidR="00617156" w:rsidRPr="00617156" w:rsidRDefault="00617156" w:rsidP="00617156">
            <w:pPr>
              <w:jc w:val="center"/>
              <w:rPr>
                <w:sz w:val="18"/>
                <w:szCs w:val="18"/>
              </w:rPr>
            </w:pPr>
            <w:r w:rsidRPr="00617156">
              <w:rPr>
                <w:sz w:val="18"/>
                <w:szCs w:val="18"/>
              </w:rPr>
              <w:t>0.90</w:t>
            </w:r>
          </w:p>
        </w:tc>
        <w:tc>
          <w:tcPr>
            <w:tcW w:w="1275" w:type="dxa"/>
            <w:tcBorders>
              <w:top w:val="single" w:sz="4" w:space="0" w:color="auto"/>
              <w:bottom w:val="single" w:sz="4" w:space="0" w:color="auto"/>
            </w:tcBorders>
            <w:vAlign w:val="center"/>
          </w:tcPr>
          <w:p w14:paraId="36DD8426" w14:textId="77777777" w:rsidR="00617156" w:rsidRPr="00617156" w:rsidRDefault="00617156" w:rsidP="00617156">
            <w:pPr>
              <w:jc w:val="center"/>
              <w:rPr>
                <w:sz w:val="18"/>
                <w:szCs w:val="18"/>
              </w:rPr>
            </w:pPr>
            <w:r w:rsidRPr="00617156">
              <w:rPr>
                <w:sz w:val="18"/>
                <w:szCs w:val="18"/>
              </w:rPr>
              <w:t>11.059</w:t>
            </w:r>
            <w:r w:rsidRPr="00617156">
              <w:rPr>
                <w:sz w:val="18"/>
                <w:szCs w:val="18"/>
                <w:vertAlign w:val="subscript"/>
              </w:rPr>
              <w:t>(568)</w:t>
            </w:r>
            <w:r w:rsidRPr="00617156">
              <w:rPr>
                <w:sz w:val="18"/>
                <w:szCs w:val="18"/>
              </w:rPr>
              <w:t>*</w:t>
            </w:r>
          </w:p>
        </w:tc>
      </w:tr>
      <w:tr w:rsidR="00617156" w:rsidRPr="00617156" w14:paraId="639C570C" w14:textId="77777777" w:rsidTr="00F377BE">
        <w:tc>
          <w:tcPr>
            <w:tcW w:w="426" w:type="dxa"/>
            <w:tcBorders>
              <w:top w:val="single" w:sz="4" w:space="0" w:color="auto"/>
              <w:bottom w:val="single" w:sz="4" w:space="0" w:color="auto"/>
            </w:tcBorders>
            <w:vAlign w:val="center"/>
          </w:tcPr>
          <w:p w14:paraId="4A917DE0" w14:textId="77777777" w:rsidR="00617156" w:rsidRPr="00617156" w:rsidRDefault="00617156" w:rsidP="00617156">
            <w:pPr>
              <w:jc w:val="center"/>
              <w:rPr>
                <w:sz w:val="18"/>
                <w:szCs w:val="18"/>
              </w:rPr>
            </w:pPr>
            <w:r w:rsidRPr="00617156">
              <w:rPr>
                <w:sz w:val="18"/>
                <w:szCs w:val="18"/>
              </w:rPr>
              <w:t>11</w:t>
            </w:r>
          </w:p>
        </w:tc>
        <w:tc>
          <w:tcPr>
            <w:tcW w:w="4819" w:type="dxa"/>
            <w:tcBorders>
              <w:top w:val="single" w:sz="4" w:space="0" w:color="auto"/>
              <w:bottom w:val="single" w:sz="4" w:space="0" w:color="auto"/>
            </w:tcBorders>
            <w:vAlign w:val="center"/>
          </w:tcPr>
          <w:p w14:paraId="4A96C753" w14:textId="77777777" w:rsidR="00617156" w:rsidRPr="00617156" w:rsidRDefault="00617156" w:rsidP="00617156">
            <w:pPr>
              <w:jc w:val="both"/>
              <w:rPr>
                <w:sz w:val="18"/>
                <w:szCs w:val="18"/>
              </w:rPr>
            </w:pPr>
            <w:r w:rsidRPr="00617156">
              <w:rPr>
                <w:sz w:val="18"/>
                <w:szCs w:val="18"/>
              </w:rPr>
              <w:t>Tengo la responsabilidad de hacer del mundo un lugar mejor</w:t>
            </w:r>
          </w:p>
        </w:tc>
        <w:tc>
          <w:tcPr>
            <w:tcW w:w="709" w:type="dxa"/>
            <w:tcBorders>
              <w:top w:val="single" w:sz="4" w:space="0" w:color="auto"/>
              <w:bottom w:val="single" w:sz="4" w:space="0" w:color="auto"/>
            </w:tcBorders>
            <w:vAlign w:val="center"/>
          </w:tcPr>
          <w:p w14:paraId="1569A9E6" w14:textId="77777777" w:rsidR="00617156" w:rsidRPr="00617156" w:rsidRDefault="00617156" w:rsidP="00617156">
            <w:pPr>
              <w:jc w:val="center"/>
              <w:rPr>
                <w:sz w:val="18"/>
                <w:szCs w:val="18"/>
              </w:rPr>
            </w:pPr>
            <w:r w:rsidRPr="00617156">
              <w:rPr>
                <w:sz w:val="18"/>
                <w:szCs w:val="18"/>
              </w:rPr>
              <w:t>4.53</w:t>
            </w:r>
          </w:p>
        </w:tc>
        <w:tc>
          <w:tcPr>
            <w:tcW w:w="709" w:type="dxa"/>
            <w:tcBorders>
              <w:top w:val="single" w:sz="4" w:space="0" w:color="auto"/>
              <w:bottom w:val="single" w:sz="4" w:space="0" w:color="auto"/>
            </w:tcBorders>
            <w:vAlign w:val="center"/>
          </w:tcPr>
          <w:p w14:paraId="11A7A1DE" w14:textId="77777777" w:rsidR="00617156" w:rsidRPr="00617156" w:rsidRDefault="00617156" w:rsidP="00617156">
            <w:pPr>
              <w:jc w:val="center"/>
              <w:rPr>
                <w:sz w:val="18"/>
                <w:szCs w:val="18"/>
              </w:rPr>
            </w:pPr>
            <w:r w:rsidRPr="00617156">
              <w:rPr>
                <w:sz w:val="18"/>
                <w:szCs w:val="18"/>
              </w:rPr>
              <w:t>0.67</w:t>
            </w:r>
          </w:p>
        </w:tc>
        <w:tc>
          <w:tcPr>
            <w:tcW w:w="717" w:type="dxa"/>
            <w:tcBorders>
              <w:top w:val="single" w:sz="4" w:space="0" w:color="auto"/>
              <w:bottom w:val="single" w:sz="4" w:space="0" w:color="auto"/>
            </w:tcBorders>
            <w:vAlign w:val="center"/>
          </w:tcPr>
          <w:p w14:paraId="66F975CC" w14:textId="77777777" w:rsidR="00617156" w:rsidRPr="00617156" w:rsidRDefault="00617156" w:rsidP="00617156">
            <w:pPr>
              <w:jc w:val="center"/>
              <w:rPr>
                <w:sz w:val="18"/>
                <w:szCs w:val="18"/>
              </w:rPr>
            </w:pPr>
            <w:r w:rsidRPr="00617156">
              <w:rPr>
                <w:sz w:val="18"/>
                <w:szCs w:val="18"/>
              </w:rPr>
              <w:t>3.36</w:t>
            </w:r>
          </w:p>
        </w:tc>
        <w:tc>
          <w:tcPr>
            <w:tcW w:w="713" w:type="dxa"/>
            <w:tcBorders>
              <w:top w:val="single" w:sz="4" w:space="0" w:color="auto"/>
              <w:bottom w:val="single" w:sz="4" w:space="0" w:color="auto"/>
            </w:tcBorders>
            <w:vAlign w:val="center"/>
          </w:tcPr>
          <w:p w14:paraId="0B28FD23" w14:textId="77777777" w:rsidR="00617156" w:rsidRPr="00617156" w:rsidRDefault="00617156" w:rsidP="00617156">
            <w:pPr>
              <w:jc w:val="center"/>
              <w:rPr>
                <w:sz w:val="18"/>
                <w:szCs w:val="18"/>
              </w:rPr>
            </w:pPr>
            <w:r w:rsidRPr="00617156">
              <w:rPr>
                <w:sz w:val="18"/>
                <w:szCs w:val="18"/>
              </w:rPr>
              <w:t>1.07</w:t>
            </w:r>
          </w:p>
        </w:tc>
        <w:tc>
          <w:tcPr>
            <w:tcW w:w="1275" w:type="dxa"/>
            <w:tcBorders>
              <w:top w:val="single" w:sz="4" w:space="0" w:color="auto"/>
              <w:bottom w:val="single" w:sz="4" w:space="0" w:color="auto"/>
            </w:tcBorders>
            <w:vAlign w:val="center"/>
          </w:tcPr>
          <w:p w14:paraId="3E83DC04" w14:textId="77777777" w:rsidR="00617156" w:rsidRPr="00617156" w:rsidRDefault="00617156" w:rsidP="00617156">
            <w:pPr>
              <w:jc w:val="center"/>
              <w:rPr>
                <w:sz w:val="18"/>
                <w:szCs w:val="18"/>
              </w:rPr>
            </w:pPr>
            <w:r w:rsidRPr="00617156">
              <w:rPr>
                <w:sz w:val="18"/>
                <w:szCs w:val="18"/>
              </w:rPr>
              <w:t>13.215</w:t>
            </w:r>
            <w:r w:rsidRPr="00617156">
              <w:rPr>
                <w:sz w:val="18"/>
                <w:szCs w:val="18"/>
                <w:vertAlign w:val="subscript"/>
              </w:rPr>
              <w:t>(568)</w:t>
            </w:r>
            <w:r w:rsidRPr="00617156">
              <w:rPr>
                <w:sz w:val="18"/>
                <w:szCs w:val="18"/>
              </w:rPr>
              <w:t>*</w:t>
            </w:r>
          </w:p>
        </w:tc>
      </w:tr>
      <w:tr w:rsidR="00617156" w:rsidRPr="00617156" w14:paraId="0A587FBE" w14:textId="77777777" w:rsidTr="00F377BE">
        <w:tc>
          <w:tcPr>
            <w:tcW w:w="426" w:type="dxa"/>
            <w:tcBorders>
              <w:top w:val="single" w:sz="4" w:space="0" w:color="auto"/>
              <w:bottom w:val="single" w:sz="4" w:space="0" w:color="auto"/>
            </w:tcBorders>
            <w:vAlign w:val="center"/>
          </w:tcPr>
          <w:p w14:paraId="7FC46024" w14:textId="77777777" w:rsidR="00617156" w:rsidRPr="00617156" w:rsidRDefault="00617156" w:rsidP="00617156">
            <w:pPr>
              <w:jc w:val="center"/>
              <w:rPr>
                <w:sz w:val="18"/>
                <w:szCs w:val="18"/>
              </w:rPr>
            </w:pPr>
            <w:r w:rsidRPr="00617156">
              <w:rPr>
                <w:sz w:val="18"/>
                <w:szCs w:val="18"/>
              </w:rPr>
              <w:t>12</w:t>
            </w:r>
          </w:p>
        </w:tc>
        <w:tc>
          <w:tcPr>
            <w:tcW w:w="4819" w:type="dxa"/>
            <w:tcBorders>
              <w:top w:val="single" w:sz="4" w:space="0" w:color="auto"/>
              <w:bottom w:val="single" w:sz="4" w:space="0" w:color="auto"/>
            </w:tcBorders>
            <w:vAlign w:val="center"/>
          </w:tcPr>
          <w:p w14:paraId="2BA93DCA" w14:textId="77777777" w:rsidR="00617156" w:rsidRPr="00617156" w:rsidRDefault="00617156" w:rsidP="00617156">
            <w:pPr>
              <w:jc w:val="both"/>
              <w:rPr>
                <w:sz w:val="18"/>
                <w:szCs w:val="18"/>
              </w:rPr>
            </w:pPr>
            <w:r w:rsidRPr="00617156">
              <w:rPr>
                <w:sz w:val="18"/>
                <w:szCs w:val="18"/>
              </w:rPr>
              <w:t>Mi vida tiene un significado que trasciende</w:t>
            </w:r>
          </w:p>
        </w:tc>
        <w:tc>
          <w:tcPr>
            <w:tcW w:w="709" w:type="dxa"/>
            <w:tcBorders>
              <w:top w:val="single" w:sz="4" w:space="0" w:color="auto"/>
              <w:bottom w:val="single" w:sz="4" w:space="0" w:color="auto"/>
            </w:tcBorders>
            <w:vAlign w:val="center"/>
          </w:tcPr>
          <w:p w14:paraId="16B439D7" w14:textId="77777777" w:rsidR="00617156" w:rsidRPr="00617156" w:rsidRDefault="00617156" w:rsidP="00617156">
            <w:pPr>
              <w:jc w:val="center"/>
              <w:rPr>
                <w:sz w:val="18"/>
                <w:szCs w:val="18"/>
              </w:rPr>
            </w:pPr>
            <w:r w:rsidRPr="00617156">
              <w:rPr>
                <w:sz w:val="18"/>
                <w:szCs w:val="18"/>
              </w:rPr>
              <w:t>4.63</w:t>
            </w:r>
          </w:p>
        </w:tc>
        <w:tc>
          <w:tcPr>
            <w:tcW w:w="709" w:type="dxa"/>
            <w:tcBorders>
              <w:top w:val="single" w:sz="4" w:space="0" w:color="auto"/>
              <w:bottom w:val="single" w:sz="4" w:space="0" w:color="auto"/>
            </w:tcBorders>
            <w:vAlign w:val="center"/>
          </w:tcPr>
          <w:p w14:paraId="1B1B9D36" w14:textId="77777777" w:rsidR="00617156" w:rsidRPr="00617156" w:rsidRDefault="00617156" w:rsidP="00617156">
            <w:pPr>
              <w:jc w:val="center"/>
              <w:rPr>
                <w:sz w:val="18"/>
                <w:szCs w:val="18"/>
              </w:rPr>
            </w:pPr>
            <w:r w:rsidRPr="00617156">
              <w:rPr>
                <w:sz w:val="18"/>
                <w:szCs w:val="18"/>
              </w:rPr>
              <w:t>0.57</w:t>
            </w:r>
          </w:p>
        </w:tc>
        <w:tc>
          <w:tcPr>
            <w:tcW w:w="717" w:type="dxa"/>
            <w:tcBorders>
              <w:top w:val="single" w:sz="4" w:space="0" w:color="auto"/>
              <w:bottom w:val="single" w:sz="4" w:space="0" w:color="auto"/>
            </w:tcBorders>
            <w:vAlign w:val="center"/>
          </w:tcPr>
          <w:p w14:paraId="0D6AEBA0" w14:textId="77777777" w:rsidR="00617156" w:rsidRPr="00617156" w:rsidRDefault="00617156" w:rsidP="00617156">
            <w:pPr>
              <w:jc w:val="center"/>
              <w:rPr>
                <w:sz w:val="18"/>
                <w:szCs w:val="18"/>
              </w:rPr>
            </w:pPr>
            <w:r w:rsidRPr="00617156">
              <w:rPr>
                <w:sz w:val="18"/>
                <w:szCs w:val="18"/>
              </w:rPr>
              <w:t>3.34</w:t>
            </w:r>
          </w:p>
        </w:tc>
        <w:tc>
          <w:tcPr>
            <w:tcW w:w="713" w:type="dxa"/>
            <w:tcBorders>
              <w:top w:val="single" w:sz="4" w:space="0" w:color="auto"/>
              <w:bottom w:val="single" w:sz="4" w:space="0" w:color="auto"/>
            </w:tcBorders>
            <w:vAlign w:val="center"/>
          </w:tcPr>
          <w:p w14:paraId="59DE05C8" w14:textId="77777777" w:rsidR="00617156" w:rsidRPr="00617156" w:rsidRDefault="00617156" w:rsidP="00617156">
            <w:pPr>
              <w:jc w:val="center"/>
              <w:rPr>
                <w:sz w:val="18"/>
                <w:szCs w:val="18"/>
              </w:rPr>
            </w:pPr>
            <w:r w:rsidRPr="00617156">
              <w:rPr>
                <w:sz w:val="18"/>
                <w:szCs w:val="18"/>
              </w:rPr>
              <w:t>1.11</w:t>
            </w:r>
          </w:p>
        </w:tc>
        <w:tc>
          <w:tcPr>
            <w:tcW w:w="1275" w:type="dxa"/>
            <w:tcBorders>
              <w:top w:val="single" w:sz="4" w:space="0" w:color="auto"/>
              <w:bottom w:val="single" w:sz="4" w:space="0" w:color="auto"/>
            </w:tcBorders>
            <w:vAlign w:val="center"/>
          </w:tcPr>
          <w:p w14:paraId="3590AD63" w14:textId="77777777" w:rsidR="00617156" w:rsidRPr="00617156" w:rsidRDefault="00617156" w:rsidP="00617156">
            <w:pPr>
              <w:jc w:val="center"/>
              <w:rPr>
                <w:sz w:val="18"/>
                <w:szCs w:val="18"/>
              </w:rPr>
            </w:pPr>
            <w:r w:rsidRPr="00617156">
              <w:rPr>
                <w:sz w:val="18"/>
                <w:szCs w:val="18"/>
              </w:rPr>
              <w:t>14.489</w:t>
            </w:r>
            <w:r w:rsidRPr="00617156">
              <w:rPr>
                <w:sz w:val="18"/>
                <w:szCs w:val="18"/>
                <w:vertAlign w:val="subscript"/>
              </w:rPr>
              <w:t>(568)</w:t>
            </w:r>
            <w:r w:rsidRPr="00617156">
              <w:rPr>
                <w:sz w:val="18"/>
                <w:szCs w:val="18"/>
              </w:rPr>
              <w:t>*</w:t>
            </w:r>
          </w:p>
        </w:tc>
      </w:tr>
      <w:tr w:rsidR="00617156" w:rsidRPr="00617156" w14:paraId="197D874B" w14:textId="77777777" w:rsidTr="00F377BE">
        <w:tc>
          <w:tcPr>
            <w:tcW w:w="426" w:type="dxa"/>
            <w:tcBorders>
              <w:top w:val="single" w:sz="4" w:space="0" w:color="auto"/>
              <w:bottom w:val="single" w:sz="4" w:space="0" w:color="auto"/>
            </w:tcBorders>
            <w:vAlign w:val="center"/>
          </w:tcPr>
          <w:p w14:paraId="00294829" w14:textId="77777777" w:rsidR="00617156" w:rsidRPr="00617156" w:rsidRDefault="00617156" w:rsidP="00617156">
            <w:pPr>
              <w:jc w:val="center"/>
              <w:rPr>
                <w:sz w:val="18"/>
                <w:szCs w:val="18"/>
              </w:rPr>
            </w:pPr>
            <w:r w:rsidRPr="00617156">
              <w:rPr>
                <w:sz w:val="18"/>
                <w:szCs w:val="18"/>
              </w:rPr>
              <w:t>13</w:t>
            </w:r>
          </w:p>
        </w:tc>
        <w:tc>
          <w:tcPr>
            <w:tcW w:w="4819" w:type="dxa"/>
            <w:tcBorders>
              <w:top w:val="single" w:sz="4" w:space="0" w:color="auto"/>
              <w:bottom w:val="single" w:sz="4" w:space="0" w:color="auto"/>
            </w:tcBorders>
            <w:vAlign w:val="center"/>
          </w:tcPr>
          <w:p w14:paraId="4AC1FFD8" w14:textId="77777777" w:rsidR="00617156" w:rsidRPr="00617156" w:rsidRDefault="00617156" w:rsidP="00617156">
            <w:pPr>
              <w:jc w:val="both"/>
              <w:rPr>
                <w:sz w:val="18"/>
                <w:szCs w:val="18"/>
              </w:rPr>
            </w:pPr>
            <w:r w:rsidRPr="00617156">
              <w:rPr>
                <w:sz w:val="18"/>
                <w:szCs w:val="18"/>
              </w:rPr>
              <w:t>Al tomar una decisión, siempre tomo en cuenta si será placentera</w:t>
            </w:r>
          </w:p>
        </w:tc>
        <w:tc>
          <w:tcPr>
            <w:tcW w:w="709" w:type="dxa"/>
            <w:tcBorders>
              <w:top w:val="single" w:sz="4" w:space="0" w:color="auto"/>
              <w:bottom w:val="single" w:sz="4" w:space="0" w:color="auto"/>
            </w:tcBorders>
            <w:vAlign w:val="center"/>
          </w:tcPr>
          <w:p w14:paraId="0F80EF18" w14:textId="77777777" w:rsidR="00617156" w:rsidRPr="00617156" w:rsidRDefault="00617156" w:rsidP="00617156">
            <w:pPr>
              <w:jc w:val="center"/>
              <w:rPr>
                <w:sz w:val="18"/>
                <w:szCs w:val="18"/>
              </w:rPr>
            </w:pPr>
            <w:r w:rsidRPr="00617156">
              <w:rPr>
                <w:sz w:val="18"/>
                <w:szCs w:val="18"/>
              </w:rPr>
              <w:t>4.12</w:t>
            </w:r>
          </w:p>
        </w:tc>
        <w:tc>
          <w:tcPr>
            <w:tcW w:w="709" w:type="dxa"/>
            <w:tcBorders>
              <w:top w:val="single" w:sz="4" w:space="0" w:color="auto"/>
              <w:bottom w:val="single" w:sz="4" w:space="0" w:color="auto"/>
            </w:tcBorders>
            <w:vAlign w:val="center"/>
          </w:tcPr>
          <w:p w14:paraId="6061239D" w14:textId="77777777" w:rsidR="00617156" w:rsidRPr="00617156" w:rsidRDefault="00617156" w:rsidP="00617156">
            <w:pPr>
              <w:jc w:val="center"/>
              <w:rPr>
                <w:sz w:val="18"/>
                <w:szCs w:val="18"/>
              </w:rPr>
            </w:pPr>
            <w:r w:rsidRPr="00617156">
              <w:rPr>
                <w:sz w:val="18"/>
                <w:szCs w:val="18"/>
              </w:rPr>
              <w:t>0.73</w:t>
            </w:r>
          </w:p>
        </w:tc>
        <w:tc>
          <w:tcPr>
            <w:tcW w:w="717" w:type="dxa"/>
            <w:tcBorders>
              <w:top w:val="single" w:sz="4" w:space="0" w:color="auto"/>
              <w:bottom w:val="single" w:sz="4" w:space="0" w:color="auto"/>
            </w:tcBorders>
            <w:vAlign w:val="center"/>
          </w:tcPr>
          <w:p w14:paraId="09A02B36" w14:textId="77777777" w:rsidR="00617156" w:rsidRPr="00617156" w:rsidRDefault="00617156" w:rsidP="00617156">
            <w:pPr>
              <w:jc w:val="center"/>
              <w:rPr>
                <w:sz w:val="18"/>
                <w:szCs w:val="18"/>
              </w:rPr>
            </w:pPr>
            <w:r w:rsidRPr="00617156">
              <w:rPr>
                <w:sz w:val="18"/>
                <w:szCs w:val="18"/>
              </w:rPr>
              <w:t>2.92</w:t>
            </w:r>
          </w:p>
        </w:tc>
        <w:tc>
          <w:tcPr>
            <w:tcW w:w="713" w:type="dxa"/>
            <w:tcBorders>
              <w:top w:val="single" w:sz="4" w:space="0" w:color="auto"/>
              <w:bottom w:val="single" w:sz="4" w:space="0" w:color="auto"/>
            </w:tcBorders>
            <w:vAlign w:val="center"/>
          </w:tcPr>
          <w:p w14:paraId="60A65CAE" w14:textId="77777777" w:rsidR="00617156" w:rsidRPr="00617156" w:rsidRDefault="00617156" w:rsidP="00617156">
            <w:pPr>
              <w:jc w:val="center"/>
              <w:rPr>
                <w:sz w:val="18"/>
                <w:szCs w:val="18"/>
              </w:rPr>
            </w:pPr>
            <w:r w:rsidRPr="00617156">
              <w:rPr>
                <w:sz w:val="18"/>
                <w:szCs w:val="18"/>
              </w:rPr>
              <w:t>0.89</w:t>
            </w:r>
          </w:p>
        </w:tc>
        <w:tc>
          <w:tcPr>
            <w:tcW w:w="1275" w:type="dxa"/>
            <w:tcBorders>
              <w:top w:val="single" w:sz="4" w:space="0" w:color="auto"/>
              <w:bottom w:val="single" w:sz="4" w:space="0" w:color="auto"/>
            </w:tcBorders>
            <w:vAlign w:val="center"/>
          </w:tcPr>
          <w:p w14:paraId="693E638A" w14:textId="77777777" w:rsidR="00617156" w:rsidRPr="00617156" w:rsidRDefault="00617156" w:rsidP="00617156">
            <w:pPr>
              <w:jc w:val="center"/>
              <w:rPr>
                <w:sz w:val="18"/>
                <w:szCs w:val="18"/>
              </w:rPr>
            </w:pPr>
            <w:r w:rsidRPr="00617156">
              <w:rPr>
                <w:sz w:val="18"/>
                <w:szCs w:val="18"/>
              </w:rPr>
              <w:t>15.451</w:t>
            </w:r>
            <w:r w:rsidRPr="00617156">
              <w:rPr>
                <w:sz w:val="18"/>
                <w:szCs w:val="18"/>
                <w:vertAlign w:val="subscript"/>
              </w:rPr>
              <w:t>(568)</w:t>
            </w:r>
            <w:r w:rsidRPr="00617156">
              <w:rPr>
                <w:sz w:val="18"/>
                <w:szCs w:val="18"/>
              </w:rPr>
              <w:t>*</w:t>
            </w:r>
          </w:p>
        </w:tc>
      </w:tr>
      <w:tr w:rsidR="00617156" w:rsidRPr="00617156" w14:paraId="36AB96C5" w14:textId="77777777" w:rsidTr="00F377BE">
        <w:tc>
          <w:tcPr>
            <w:tcW w:w="426" w:type="dxa"/>
            <w:tcBorders>
              <w:top w:val="single" w:sz="4" w:space="0" w:color="auto"/>
              <w:bottom w:val="single" w:sz="4" w:space="0" w:color="auto"/>
            </w:tcBorders>
            <w:vAlign w:val="center"/>
          </w:tcPr>
          <w:p w14:paraId="7FBBF9C5" w14:textId="77777777" w:rsidR="00617156" w:rsidRPr="00617156" w:rsidRDefault="00617156" w:rsidP="00617156">
            <w:pPr>
              <w:jc w:val="center"/>
              <w:rPr>
                <w:sz w:val="18"/>
                <w:szCs w:val="18"/>
              </w:rPr>
            </w:pPr>
            <w:r w:rsidRPr="00617156">
              <w:rPr>
                <w:sz w:val="18"/>
                <w:szCs w:val="18"/>
              </w:rPr>
              <w:t>14</w:t>
            </w:r>
          </w:p>
        </w:tc>
        <w:tc>
          <w:tcPr>
            <w:tcW w:w="4819" w:type="dxa"/>
            <w:tcBorders>
              <w:top w:val="single" w:sz="4" w:space="0" w:color="auto"/>
              <w:bottom w:val="single" w:sz="4" w:space="0" w:color="auto"/>
            </w:tcBorders>
            <w:vAlign w:val="center"/>
          </w:tcPr>
          <w:p w14:paraId="6969FD3D" w14:textId="77777777" w:rsidR="00617156" w:rsidRPr="00617156" w:rsidRDefault="00617156" w:rsidP="00617156">
            <w:pPr>
              <w:jc w:val="both"/>
              <w:rPr>
                <w:sz w:val="18"/>
                <w:szCs w:val="18"/>
              </w:rPr>
            </w:pPr>
            <w:r w:rsidRPr="00617156">
              <w:rPr>
                <w:sz w:val="18"/>
                <w:szCs w:val="18"/>
              </w:rPr>
              <w:t>Lo que yo hago es importante para la sociedad</w:t>
            </w:r>
          </w:p>
        </w:tc>
        <w:tc>
          <w:tcPr>
            <w:tcW w:w="709" w:type="dxa"/>
            <w:tcBorders>
              <w:top w:val="single" w:sz="4" w:space="0" w:color="auto"/>
              <w:bottom w:val="single" w:sz="4" w:space="0" w:color="auto"/>
            </w:tcBorders>
            <w:vAlign w:val="center"/>
          </w:tcPr>
          <w:p w14:paraId="222504F9" w14:textId="77777777" w:rsidR="00617156" w:rsidRPr="00617156" w:rsidRDefault="00617156" w:rsidP="00617156">
            <w:pPr>
              <w:jc w:val="center"/>
              <w:rPr>
                <w:sz w:val="18"/>
                <w:szCs w:val="18"/>
              </w:rPr>
            </w:pPr>
            <w:r w:rsidRPr="00617156">
              <w:rPr>
                <w:sz w:val="18"/>
                <w:szCs w:val="18"/>
              </w:rPr>
              <w:t>4.47</w:t>
            </w:r>
          </w:p>
        </w:tc>
        <w:tc>
          <w:tcPr>
            <w:tcW w:w="709" w:type="dxa"/>
            <w:tcBorders>
              <w:top w:val="single" w:sz="4" w:space="0" w:color="auto"/>
              <w:bottom w:val="single" w:sz="4" w:space="0" w:color="auto"/>
            </w:tcBorders>
            <w:vAlign w:val="center"/>
          </w:tcPr>
          <w:p w14:paraId="013C88F2" w14:textId="77777777" w:rsidR="00617156" w:rsidRPr="00617156" w:rsidRDefault="00617156" w:rsidP="00617156">
            <w:pPr>
              <w:jc w:val="center"/>
              <w:rPr>
                <w:sz w:val="18"/>
                <w:szCs w:val="18"/>
              </w:rPr>
            </w:pPr>
            <w:r w:rsidRPr="00617156">
              <w:rPr>
                <w:sz w:val="18"/>
                <w:szCs w:val="18"/>
              </w:rPr>
              <w:t>0.72</w:t>
            </w:r>
          </w:p>
        </w:tc>
        <w:tc>
          <w:tcPr>
            <w:tcW w:w="717" w:type="dxa"/>
            <w:tcBorders>
              <w:top w:val="single" w:sz="4" w:space="0" w:color="auto"/>
              <w:bottom w:val="single" w:sz="4" w:space="0" w:color="auto"/>
            </w:tcBorders>
            <w:vAlign w:val="center"/>
          </w:tcPr>
          <w:p w14:paraId="0A5E6025" w14:textId="77777777" w:rsidR="00617156" w:rsidRPr="00617156" w:rsidRDefault="00617156" w:rsidP="00617156">
            <w:pPr>
              <w:jc w:val="center"/>
              <w:rPr>
                <w:sz w:val="18"/>
                <w:szCs w:val="18"/>
              </w:rPr>
            </w:pPr>
            <w:r w:rsidRPr="00617156">
              <w:rPr>
                <w:sz w:val="18"/>
                <w:szCs w:val="18"/>
              </w:rPr>
              <w:t>3.38</w:t>
            </w:r>
          </w:p>
        </w:tc>
        <w:tc>
          <w:tcPr>
            <w:tcW w:w="713" w:type="dxa"/>
            <w:tcBorders>
              <w:top w:val="single" w:sz="4" w:space="0" w:color="auto"/>
              <w:bottom w:val="single" w:sz="4" w:space="0" w:color="auto"/>
            </w:tcBorders>
            <w:vAlign w:val="center"/>
          </w:tcPr>
          <w:p w14:paraId="619B0FB5" w14:textId="77777777" w:rsidR="00617156" w:rsidRPr="00617156" w:rsidRDefault="00617156" w:rsidP="00617156">
            <w:pPr>
              <w:jc w:val="center"/>
              <w:rPr>
                <w:sz w:val="18"/>
                <w:szCs w:val="18"/>
              </w:rPr>
            </w:pPr>
            <w:r w:rsidRPr="00617156">
              <w:rPr>
                <w:sz w:val="18"/>
                <w:szCs w:val="18"/>
              </w:rPr>
              <w:t>1.04</w:t>
            </w:r>
          </w:p>
        </w:tc>
        <w:tc>
          <w:tcPr>
            <w:tcW w:w="1275" w:type="dxa"/>
            <w:tcBorders>
              <w:top w:val="single" w:sz="4" w:space="0" w:color="auto"/>
              <w:bottom w:val="single" w:sz="4" w:space="0" w:color="auto"/>
            </w:tcBorders>
            <w:vAlign w:val="center"/>
          </w:tcPr>
          <w:p w14:paraId="14B674CD" w14:textId="77777777" w:rsidR="00617156" w:rsidRPr="00617156" w:rsidRDefault="00617156" w:rsidP="00617156">
            <w:pPr>
              <w:jc w:val="center"/>
              <w:rPr>
                <w:sz w:val="18"/>
                <w:szCs w:val="18"/>
              </w:rPr>
            </w:pPr>
            <w:r w:rsidRPr="00617156">
              <w:rPr>
                <w:sz w:val="18"/>
                <w:szCs w:val="18"/>
              </w:rPr>
              <w:t>12.536</w:t>
            </w:r>
            <w:r w:rsidRPr="00617156">
              <w:rPr>
                <w:sz w:val="18"/>
                <w:szCs w:val="18"/>
                <w:vertAlign w:val="subscript"/>
              </w:rPr>
              <w:t>(568)</w:t>
            </w:r>
            <w:r w:rsidRPr="00617156">
              <w:rPr>
                <w:sz w:val="18"/>
                <w:szCs w:val="18"/>
              </w:rPr>
              <w:t>*</w:t>
            </w:r>
          </w:p>
        </w:tc>
      </w:tr>
      <w:tr w:rsidR="00617156" w:rsidRPr="00617156" w14:paraId="32E603DA" w14:textId="77777777" w:rsidTr="00F377BE">
        <w:tc>
          <w:tcPr>
            <w:tcW w:w="426" w:type="dxa"/>
            <w:tcBorders>
              <w:top w:val="single" w:sz="4" w:space="0" w:color="auto"/>
              <w:bottom w:val="single" w:sz="4" w:space="0" w:color="auto"/>
            </w:tcBorders>
            <w:vAlign w:val="center"/>
          </w:tcPr>
          <w:p w14:paraId="6FC3C32E" w14:textId="77777777" w:rsidR="00617156" w:rsidRPr="00617156" w:rsidRDefault="00617156" w:rsidP="00617156">
            <w:pPr>
              <w:jc w:val="center"/>
              <w:rPr>
                <w:sz w:val="18"/>
                <w:szCs w:val="18"/>
              </w:rPr>
            </w:pPr>
            <w:r w:rsidRPr="00617156">
              <w:rPr>
                <w:sz w:val="18"/>
                <w:szCs w:val="18"/>
              </w:rPr>
              <w:t>15</w:t>
            </w:r>
          </w:p>
        </w:tc>
        <w:tc>
          <w:tcPr>
            <w:tcW w:w="4819" w:type="dxa"/>
            <w:tcBorders>
              <w:top w:val="single" w:sz="4" w:space="0" w:color="auto"/>
              <w:bottom w:val="single" w:sz="4" w:space="0" w:color="auto"/>
            </w:tcBorders>
            <w:vAlign w:val="center"/>
          </w:tcPr>
          <w:p w14:paraId="44239DB8" w14:textId="77777777" w:rsidR="00617156" w:rsidRPr="00617156" w:rsidRDefault="00617156" w:rsidP="00617156">
            <w:pPr>
              <w:jc w:val="both"/>
              <w:rPr>
                <w:sz w:val="18"/>
                <w:szCs w:val="18"/>
              </w:rPr>
            </w:pPr>
            <w:r w:rsidRPr="00617156">
              <w:rPr>
                <w:sz w:val="18"/>
                <w:szCs w:val="18"/>
              </w:rPr>
              <w:t>Estoy de acuerdo con esta afirmación “La vida es muy corta, así que empieza con el postre"</w:t>
            </w:r>
          </w:p>
        </w:tc>
        <w:tc>
          <w:tcPr>
            <w:tcW w:w="709" w:type="dxa"/>
            <w:tcBorders>
              <w:top w:val="single" w:sz="4" w:space="0" w:color="auto"/>
              <w:bottom w:val="single" w:sz="4" w:space="0" w:color="auto"/>
            </w:tcBorders>
            <w:vAlign w:val="center"/>
          </w:tcPr>
          <w:p w14:paraId="256665CD" w14:textId="77777777" w:rsidR="00617156" w:rsidRPr="00617156" w:rsidRDefault="00617156" w:rsidP="00617156">
            <w:pPr>
              <w:jc w:val="center"/>
              <w:rPr>
                <w:sz w:val="18"/>
                <w:szCs w:val="18"/>
              </w:rPr>
            </w:pPr>
            <w:r w:rsidRPr="00617156">
              <w:rPr>
                <w:sz w:val="18"/>
                <w:szCs w:val="18"/>
              </w:rPr>
              <w:t>3.68</w:t>
            </w:r>
          </w:p>
        </w:tc>
        <w:tc>
          <w:tcPr>
            <w:tcW w:w="709" w:type="dxa"/>
            <w:tcBorders>
              <w:top w:val="single" w:sz="4" w:space="0" w:color="auto"/>
              <w:bottom w:val="single" w:sz="4" w:space="0" w:color="auto"/>
            </w:tcBorders>
            <w:vAlign w:val="center"/>
          </w:tcPr>
          <w:p w14:paraId="645C27A9" w14:textId="77777777" w:rsidR="00617156" w:rsidRPr="00617156" w:rsidRDefault="00617156" w:rsidP="00617156">
            <w:pPr>
              <w:jc w:val="center"/>
              <w:rPr>
                <w:sz w:val="18"/>
                <w:szCs w:val="18"/>
              </w:rPr>
            </w:pPr>
            <w:r w:rsidRPr="00617156">
              <w:rPr>
                <w:sz w:val="18"/>
                <w:szCs w:val="18"/>
              </w:rPr>
              <w:t>0.97</w:t>
            </w:r>
          </w:p>
        </w:tc>
        <w:tc>
          <w:tcPr>
            <w:tcW w:w="717" w:type="dxa"/>
            <w:tcBorders>
              <w:top w:val="single" w:sz="4" w:space="0" w:color="auto"/>
              <w:bottom w:val="single" w:sz="4" w:space="0" w:color="auto"/>
            </w:tcBorders>
            <w:vAlign w:val="center"/>
          </w:tcPr>
          <w:p w14:paraId="3E6A7575" w14:textId="77777777" w:rsidR="00617156" w:rsidRPr="00617156" w:rsidRDefault="00617156" w:rsidP="00617156">
            <w:pPr>
              <w:jc w:val="center"/>
              <w:rPr>
                <w:sz w:val="18"/>
                <w:szCs w:val="18"/>
              </w:rPr>
            </w:pPr>
            <w:r w:rsidRPr="00617156">
              <w:rPr>
                <w:sz w:val="18"/>
                <w:szCs w:val="18"/>
              </w:rPr>
              <w:t>2.62</w:t>
            </w:r>
          </w:p>
        </w:tc>
        <w:tc>
          <w:tcPr>
            <w:tcW w:w="713" w:type="dxa"/>
            <w:tcBorders>
              <w:top w:val="single" w:sz="4" w:space="0" w:color="auto"/>
              <w:bottom w:val="single" w:sz="4" w:space="0" w:color="auto"/>
            </w:tcBorders>
            <w:vAlign w:val="center"/>
          </w:tcPr>
          <w:p w14:paraId="1528D509" w14:textId="77777777" w:rsidR="00617156" w:rsidRPr="00617156" w:rsidRDefault="00617156" w:rsidP="00617156">
            <w:pPr>
              <w:jc w:val="center"/>
              <w:rPr>
                <w:sz w:val="18"/>
                <w:szCs w:val="18"/>
              </w:rPr>
            </w:pPr>
            <w:r w:rsidRPr="00617156">
              <w:rPr>
                <w:sz w:val="18"/>
                <w:szCs w:val="18"/>
              </w:rPr>
              <w:t>0.89</w:t>
            </w:r>
          </w:p>
        </w:tc>
        <w:tc>
          <w:tcPr>
            <w:tcW w:w="1275" w:type="dxa"/>
            <w:tcBorders>
              <w:top w:val="single" w:sz="4" w:space="0" w:color="auto"/>
              <w:bottom w:val="single" w:sz="4" w:space="0" w:color="auto"/>
            </w:tcBorders>
            <w:vAlign w:val="center"/>
          </w:tcPr>
          <w:p w14:paraId="5A817157" w14:textId="77777777" w:rsidR="00617156" w:rsidRPr="00617156" w:rsidRDefault="00617156" w:rsidP="00617156">
            <w:pPr>
              <w:jc w:val="center"/>
              <w:rPr>
                <w:sz w:val="18"/>
                <w:szCs w:val="18"/>
              </w:rPr>
            </w:pPr>
            <w:r w:rsidRPr="00617156">
              <w:rPr>
                <w:sz w:val="18"/>
                <w:szCs w:val="18"/>
              </w:rPr>
              <w:t>12.238</w:t>
            </w:r>
            <w:r w:rsidRPr="00617156">
              <w:rPr>
                <w:sz w:val="18"/>
                <w:szCs w:val="18"/>
                <w:vertAlign w:val="subscript"/>
              </w:rPr>
              <w:t>(568)</w:t>
            </w:r>
            <w:r w:rsidRPr="00617156">
              <w:rPr>
                <w:sz w:val="18"/>
                <w:szCs w:val="18"/>
              </w:rPr>
              <w:t>*</w:t>
            </w:r>
          </w:p>
        </w:tc>
      </w:tr>
      <w:tr w:rsidR="00617156" w:rsidRPr="00617156" w14:paraId="7F25A9C1" w14:textId="77777777" w:rsidTr="00F377BE">
        <w:tc>
          <w:tcPr>
            <w:tcW w:w="426" w:type="dxa"/>
            <w:tcBorders>
              <w:top w:val="single" w:sz="4" w:space="0" w:color="auto"/>
              <w:bottom w:val="single" w:sz="4" w:space="0" w:color="auto"/>
            </w:tcBorders>
            <w:vAlign w:val="center"/>
          </w:tcPr>
          <w:p w14:paraId="3D2E9597" w14:textId="77777777" w:rsidR="00617156" w:rsidRPr="00617156" w:rsidRDefault="00617156" w:rsidP="00617156">
            <w:pPr>
              <w:jc w:val="center"/>
              <w:rPr>
                <w:sz w:val="18"/>
                <w:szCs w:val="18"/>
              </w:rPr>
            </w:pPr>
            <w:r w:rsidRPr="00617156">
              <w:rPr>
                <w:sz w:val="18"/>
                <w:szCs w:val="18"/>
              </w:rPr>
              <w:t>16</w:t>
            </w:r>
          </w:p>
        </w:tc>
        <w:tc>
          <w:tcPr>
            <w:tcW w:w="4819" w:type="dxa"/>
            <w:tcBorders>
              <w:top w:val="single" w:sz="4" w:space="0" w:color="auto"/>
              <w:bottom w:val="single" w:sz="4" w:space="0" w:color="auto"/>
            </w:tcBorders>
            <w:vAlign w:val="center"/>
          </w:tcPr>
          <w:p w14:paraId="3F2DA210" w14:textId="77777777" w:rsidR="00617156" w:rsidRPr="00617156" w:rsidRDefault="00617156" w:rsidP="00617156">
            <w:pPr>
              <w:jc w:val="both"/>
              <w:rPr>
                <w:sz w:val="18"/>
                <w:szCs w:val="18"/>
              </w:rPr>
            </w:pPr>
            <w:r w:rsidRPr="00617156">
              <w:rPr>
                <w:sz w:val="18"/>
                <w:szCs w:val="18"/>
              </w:rPr>
              <w:t>Amo hacer cosas que exalten mis sentidos</w:t>
            </w:r>
          </w:p>
        </w:tc>
        <w:tc>
          <w:tcPr>
            <w:tcW w:w="709" w:type="dxa"/>
            <w:tcBorders>
              <w:top w:val="single" w:sz="4" w:space="0" w:color="auto"/>
              <w:bottom w:val="single" w:sz="4" w:space="0" w:color="auto"/>
            </w:tcBorders>
            <w:vAlign w:val="center"/>
          </w:tcPr>
          <w:p w14:paraId="54AF2258" w14:textId="77777777" w:rsidR="00617156" w:rsidRPr="00617156" w:rsidRDefault="00617156" w:rsidP="00617156">
            <w:pPr>
              <w:jc w:val="center"/>
              <w:rPr>
                <w:sz w:val="18"/>
                <w:szCs w:val="18"/>
              </w:rPr>
            </w:pPr>
            <w:r w:rsidRPr="00617156">
              <w:rPr>
                <w:sz w:val="18"/>
                <w:szCs w:val="18"/>
              </w:rPr>
              <w:t>4.25</w:t>
            </w:r>
          </w:p>
        </w:tc>
        <w:tc>
          <w:tcPr>
            <w:tcW w:w="709" w:type="dxa"/>
            <w:tcBorders>
              <w:top w:val="single" w:sz="4" w:space="0" w:color="auto"/>
              <w:bottom w:val="single" w:sz="4" w:space="0" w:color="auto"/>
            </w:tcBorders>
            <w:vAlign w:val="center"/>
          </w:tcPr>
          <w:p w14:paraId="5DC55E56" w14:textId="77777777" w:rsidR="00617156" w:rsidRPr="00617156" w:rsidRDefault="00617156" w:rsidP="00617156">
            <w:pPr>
              <w:jc w:val="center"/>
              <w:rPr>
                <w:sz w:val="18"/>
                <w:szCs w:val="18"/>
              </w:rPr>
            </w:pPr>
            <w:r w:rsidRPr="00617156">
              <w:rPr>
                <w:sz w:val="18"/>
                <w:szCs w:val="18"/>
              </w:rPr>
              <w:t>0.74</w:t>
            </w:r>
          </w:p>
        </w:tc>
        <w:tc>
          <w:tcPr>
            <w:tcW w:w="717" w:type="dxa"/>
            <w:tcBorders>
              <w:top w:val="single" w:sz="4" w:space="0" w:color="auto"/>
              <w:bottom w:val="single" w:sz="4" w:space="0" w:color="auto"/>
            </w:tcBorders>
            <w:vAlign w:val="center"/>
          </w:tcPr>
          <w:p w14:paraId="77C0F74F" w14:textId="77777777" w:rsidR="00617156" w:rsidRPr="00617156" w:rsidRDefault="00617156" w:rsidP="00617156">
            <w:pPr>
              <w:jc w:val="center"/>
              <w:rPr>
                <w:sz w:val="18"/>
                <w:szCs w:val="18"/>
              </w:rPr>
            </w:pPr>
            <w:r w:rsidRPr="00617156">
              <w:rPr>
                <w:sz w:val="18"/>
                <w:szCs w:val="18"/>
              </w:rPr>
              <w:t>3.05</w:t>
            </w:r>
          </w:p>
        </w:tc>
        <w:tc>
          <w:tcPr>
            <w:tcW w:w="713" w:type="dxa"/>
            <w:tcBorders>
              <w:top w:val="single" w:sz="4" w:space="0" w:color="auto"/>
              <w:bottom w:val="single" w:sz="4" w:space="0" w:color="auto"/>
            </w:tcBorders>
            <w:vAlign w:val="center"/>
          </w:tcPr>
          <w:p w14:paraId="40DC8B62" w14:textId="77777777" w:rsidR="00617156" w:rsidRPr="00617156" w:rsidRDefault="00617156" w:rsidP="00617156">
            <w:pPr>
              <w:jc w:val="center"/>
              <w:rPr>
                <w:sz w:val="18"/>
                <w:szCs w:val="18"/>
              </w:rPr>
            </w:pPr>
            <w:r w:rsidRPr="00617156">
              <w:rPr>
                <w:sz w:val="18"/>
                <w:szCs w:val="18"/>
              </w:rPr>
              <w:t>1.02</w:t>
            </w:r>
          </w:p>
        </w:tc>
        <w:tc>
          <w:tcPr>
            <w:tcW w:w="1275" w:type="dxa"/>
            <w:tcBorders>
              <w:top w:val="single" w:sz="4" w:space="0" w:color="auto"/>
              <w:bottom w:val="single" w:sz="4" w:space="0" w:color="auto"/>
            </w:tcBorders>
            <w:vAlign w:val="center"/>
          </w:tcPr>
          <w:p w14:paraId="67DC07D7" w14:textId="77777777" w:rsidR="00617156" w:rsidRPr="00617156" w:rsidRDefault="00617156" w:rsidP="00617156">
            <w:pPr>
              <w:jc w:val="center"/>
              <w:rPr>
                <w:sz w:val="18"/>
                <w:szCs w:val="18"/>
              </w:rPr>
            </w:pPr>
            <w:r w:rsidRPr="00617156">
              <w:rPr>
                <w:sz w:val="18"/>
                <w:szCs w:val="18"/>
              </w:rPr>
              <w:t>13.848</w:t>
            </w:r>
            <w:r w:rsidRPr="00617156">
              <w:rPr>
                <w:sz w:val="18"/>
                <w:szCs w:val="18"/>
                <w:vertAlign w:val="subscript"/>
              </w:rPr>
              <w:t>(568)</w:t>
            </w:r>
            <w:r w:rsidRPr="00617156">
              <w:rPr>
                <w:sz w:val="18"/>
                <w:szCs w:val="18"/>
              </w:rPr>
              <w:t>*</w:t>
            </w:r>
          </w:p>
        </w:tc>
      </w:tr>
      <w:tr w:rsidR="00617156" w:rsidRPr="00617156" w14:paraId="4062E834" w14:textId="77777777" w:rsidTr="00F377BE">
        <w:tc>
          <w:tcPr>
            <w:tcW w:w="426" w:type="dxa"/>
            <w:tcBorders>
              <w:top w:val="single" w:sz="4" w:space="0" w:color="auto"/>
              <w:bottom w:val="single" w:sz="4" w:space="0" w:color="auto"/>
            </w:tcBorders>
            <w:vAlign w:val="center"/>
          </w:tcPr>
          <w:p w14:paraId="62EE4B78" w14:textId="77777777" w:rsidR="00617156" w:rsidRPr="00617156" w:rsidRDefault="00617156" w:rsidP="00617156">
            <w:pPr>
              <w:jc w:val="center"/>
              <w:rPr>
                <w:sz w:val="18"/>
                <w:szCs w:val="18"/>
              </w:rPr>
            </w:pPr>
            <w:r w:rsidRPr="00617156">
              <w:rPr>
                <w:sz w:val="18"/>
                <w:szCs w:val="18"/>
              </w:rPr>
              <w:t>17</w:t>
            </w:r>
          </w:p>
        </w:tc>
        <w:tc>
          <w:tcPr>
            <w:tcW w:w="4819" w:type="dxa"/>
            <w:tcBorders>
              <w:top w:val="single" w:sz="4" w:space="0" w:color="auto"/>
              <w:bottom w:val="single" w:sz="4" w:space="0" w:color="auto"/>
            </w:tcBorders>
            <w:vAlign w:val="center"/>
          </w:tcPr>
          <w:p w14:paraId="6AD22C42" w14:textId="77777777" w:rsidR="00617156" w:rsidRPr="00617156" w:rsidRDefault="00617156" w:rsidP="00617156">
            <w:pPr>
              <w:jc w:val="both"/>
              <w:rPr>
                <w:sz w:val="18"/>
                <w:szCs w:val="18"/>
              </w:rPr>
            </w:pPr>
            <w:r w:rsidRPr="00617156">
              <w:rPr>
                <w:sz w:val="18"/>
                <w:szCs w:val="18"/>
              </w:rPr>
              <w:t>He pasado mucho tiempo pensando en el significado de la vida y cómo encajo en ella</w:t>
            </w:r>
          </w:p>
        </w:tc>
        <w:tc>
          <w:tcPr>
            <w:tcW w:w="709" w:type="dxa"/>
            <w:tcBorders>
              <w:top w:val="single" w:sz="4" w:space="0" w:color="auto"/>
              <w:bottom w:val="single" w:sz="4" w:space="0" w:color="auto"/>
            </w:tcBorders>
            <w:vAlign w:val="center"/>
          </w:tcPr>
          <w:p w14:paraId="1BF8CEDF" w14:textId="77777777" w:rsidR="00617156" w:rsidRPr="00617156" w:rsidRDefault="00617156" w:rsidP="00617156">
            <w:pPr>
              <w:jc w:val="center"/>
              <w:rPr>
                <w:sz w:val="18"/>
                <w:szCs w:val="18"/>
              </w:rPr>
            </w:pPr>
            <w:r w:rsidRPr="00617156">
              <w:rPr>
                <w:sz w:val="18"/>
                <w:szCs w:val="18"/>
              </w:rPr>
              <w:t>4.15</w:t>
            </w:r>
          </w:p>
        </w:tc>
        <w:tc>
          <w:tcPr>
            <w:tcW w:w="709" w:type="dxa"/>
            <w:tcBorders>
              <w:top w:val="single" w:sz="4" w:space="0" w:color="auto"/>
              <w:bottom w:val="single" w:sz="4" w:space="0" w:color="auto"/>
            </w:tcBorders>
            <w:vAlign w:val="center"/>
          </w:tcPr>
          <w:p w14:paraId="33251442" w14:textId="77777777" w:rsidR="00617156" w:rsidRPr="00617156" w:rsidRDefault="00617156" w:rsidP="00617156">
            <w:pPr>
              <w:jc w:val="center"/>
              <w:rPr>
                <w:sz w:val="18"/>
                <w:szCs w:val="18"/>
              </w:rPr>
            </w:pPr>
            <w:r w:rsidRPr="00617156">
              <w:rPr>
                <w:sz w:val="18"/>
                <w:szCs w:val="18"/>
              </w:rPr>
              <w:t>0.89</w:t>
            </w:r>
          </w:p>
        </w:tc>
        <w:tc>
          <w:tcPr>
            <w:tcW w:w="717" w:type="dxa"/>
            <w:tcBorders>
              <w:top w:val="single" w:sz="4" w:space="0" w:color="auto"/>
              <w:bottom w:val="single" w:sz="4" w:space="0" w:color="auto"/>
            </w:tcBorders>
            <w:vAlign w:val="center"/>
          </w:tcPr>
          <w:p w14:paraId="3086FA40" w14:textId="77777777" w:rsidR="00617156" w:rsidRPr="00617156" w:rsidRDefault="00617156" w:rsidP="00617156">
            <w:pPr>
              <w:jc w:val="center"/>
              <w:rPr>
                <w:sz w:val="18"/>
                <w:szCs w:val="18"/>
              </w:rPr>
            </w:pPr>
            <w:r w:rsidRPr="00617156">
              <w:rPr>
                <w:sz w:val="18"/>
                <w:szCs w:val="18"/>
              </w:rPr>
              <w:t>3.30</w:t>
            </w:r>
          </w:p>
        </w:tc>
        <w:tc>
          <w:tcPr>
            <w:tcW w:w="713" w:type="dxa"/>
            <w:tcBorders>
              <w:top w:val="single" w:sz="4" w:space="0" w:color="auto"/>
              <w:bottom w:val="single" w:sz="4" w:space="0" w:color="auto"/>
            </w:tcBorders>
            <w:vAlign w:val="center"/>
          </w:tcPr>
          <w:p w14:paraId="453B2DA9" w14:textId="77777777" w:rsidR="00617156" w:rsidRPr="00617156" w:rsidRDefault="00617156" w:rsidP="00617156">
            <w:pPr>
              <w:jc w:val="center"/>
              <w:rPr>
                <w:sz w:val="18"/>
                <w:szCs w:val="18"/>
              </w:rPr>
            </w:pPr>
            <w:r w:rsidRPr="00617156">
              <w:rPr>
                <w:sz w:val="18"/>
                <w:szCs w:val="18"/>
              </w:rPr>
              <w:t>1.14</w:t>
            </w:r>
          </w:p>
        </w:tc>
        <w:tc>
          <w:tcPr>
            <w:tcW w:w="1275" w:type="dxa"/>
            <w:tcBorders>
              <w:top w:val="single" w:sz="4" w:space="0" w:color="auto"/>
              <w:bottom w:val="single" w:sz="4" w:space="0" w:color="auto"/>
            </w:tcBorders>
            <w:vAlign w:val="center"/>
          </w:tcPr>
          <w:p w14:paraId="0A538005" w14:textId="77777777" w:rsidR="00617156" w:rsidRPr="00617156" w:rsidRDefault="00617156" w:rsidP="00617156">
            <w:pPr>
              <w:jc w:val="center"/>
              <w:rPr>
                <w:sz w:val="18"/>
                <w:szCs w:val="18"/>
              </w:rPr>
            </w:pPr>
            <w:r w:rsidRPr="00617156">
              <w:rPr>
                <w:sz w:val="18"/>
                <w:szCs w:val="18"/>
              </w:rPr>
              <w:t>8.693</w:t>
            </w:r>
            <w:r w:rsidRPr="00617156">
              <w:rPr>
                <w:sz w:val="18"/>
                <w:szCs w:val="18"/>
                <w:vertAlign w:val="subscript"/>
              </w:rPr>
              <w:t>(568)</w:t>
            </w:r>
            <w:r w:rsidRPr="00617156">
              <w:rPr>
                <w:sz w:val="18"/>
                <w:szCs w:val="18"/>
              </w:rPr>
              <w:t>*</w:t>
            </w:r>
          </w:p>
        </w:tc>
      </w:tr>
      <w:tr w:rsidR="00617156" w:rsidRPr="00617156" w14:paraId="7DEB3483" w14:textId="77777777" w:rsidTr="00F377BE">
        <w:tc>
          <w:tcPr>
            <w:tcW w:w="426" w:type="dxa"/>
            <w:tcBorders>
              <w:top w:val="single" w:sz="4" w:space="0" w:color="auto"/>
              <w:bottom w:val="single" w:sz="4" w:space="0" w:color="auto"/>
            </w:tcBorders>
            <w:vAlign w:val="center"/>
          </w:tcPr>
          <w:p w14:paraId="2D72E90F" w14:textId="77777777" w:rsidR="00617156" w:rsidRPr="00617156" w:rsidRDefault="00617156" w:rsidP="00617156">
            <w:pPr>
              <w:jc w:val="center"/>
              <w:rPr>
                <w:sz w:val="18"/>
                <w:szCs w:val="18"/>
              </w:rPr>
            </w:pPr>
            <w:r w:rsidRPr="00617156">
              <w:rPr>
                <w:sz w:val="18"/>
                <w:szCs w:val="18"/>
              </w:rPr>
              <w:t>18</w:t>
            </w:r>
          </w:p>
        </w:tc>
        <w:tc>
          <w:tcPr>
            <w:tcW w:w="4819" w:type="dxa"/>
            <w:tcBorders>
              <w:top w:val="single" w:sz="4" w:space="0" w:color="auto"/>
              <w:bottom w:val="single" w:sz="4" w:space="0" w:color="auto"/>
            </w:tcBorders>
            <w:vAlign w:val="center"/>
          </w:tcPr>
          <w:p w14:paraId="2C63B9F2" w14:textId="77777777" w:rsidR="00617156" w:rsidRPr="00617156" w:rsidRDefault="00617156" w:rsidP="00617156">
            <w:pPr>
              <w:jc w:val="both"/>
              <w:rPr>
                <w:sz w:val="18"/>
                <w:szCs w:val="18"/>
              </w:rPr>
            </w:pPr>
            <w:r w:rsidRPr="00617156">
              <w:rPr>
                <w:sz w:val="18"/>
                <w:szCs w:val="18"/>
              </w:rPr>
              <w:t>Para mí, la buena vida es una vida placentera</w:t>
            </w:r>
          </w:p>
        </w:tc>
        <w:tc>
          <w:tcPr>
            <w:tcW w:w="709" w:type="dxa"/>
            <w:tcBorders>
              <w:top w:val="single" w:sz="4" w:space="0" w:color="auto"/>
              <w:bottom w:val="single" w:sz="4" w:space="0" w:color="auto"/>
            </w:tcBorders>
            <w:vAlign w:val="center"/>
          </w:tcPr>
          <w:p w14:paraId="08E1360F" w14:textId="77777777" w:rsidR="00617156" w:rsidRPr="00617156" w:rsidRDefault="00617156" w:rsidP="00617156">
            <w:pPr>
              <w:jc w:val="center"/>
              <w:rPr>
                <w:sz w:val="18"/>
                <w:szCs w:val="18"/>
              </w:rPr>
            </w:pPr>
            <w:r w:rsidRPr="00617156">
              <w:rPr>
                <w:sz w:val="18"/>
                <w:szCs w:val="18"/>
              </w:rPr>
              <w:t>4.26</w:t>
            </w:r>
          </w:p>
        </w:tc>
        <w:tc>
          <w:tcPr>
            <w:tcW w:w="709" w:type="dxa"/>
            <w:tcBorders>
              <w:top w:val="single" w:sz="4" w:space="0" w:color="auto"/>
              <w:bottom w:val="single" w:sz="4" w:space="0" w:color="auto"/>
            </w:tcBorders>
            <w:vAlign w:val="center"/>
          </w:tcPr>
          <w:p w14:paraId="42E39951" w14:textId="77777777" w:rsidR="00617156" w:rsidRPr="00617156" w:rsidRDefault="00617156" w:rsidP="00617156">
            <w:pPr>
              <w:jc w:val="center"/>
              <w:rPr>
                <w:sz w:val="18"/>
                <w:szCs w:val="18"/>
              </w:rPr>
            </w:pPr>
            <w:r w:rsidRPr="00617156">
              <w:rPr>
                <w:sz w:val="18"/>
                <w:szCs w:val="18"/>
              </w:rPr>
              <w:t>0.71</w:t>
            </w:r>
          </w:p>
        </w:tc>
        <w:tc>
          <w:tcPr>
            <w:tcW w:w="717" w:type="dxa"/>
            <w:tcBorders>
              <w:top w:val="single" w:sz="4" w:space="0" w:color="auto"/>
              <w:bottom w:val="single" w:sz="4" w:space="0" w:color="auto"/>
            </w:tcBorders>
            <w:vAlign w:val="center"/>
          </w:tcPr>
          <w:p w14:paraId="307D9749" w14:textId="77777777" w:rsidR="00617156" w:rsidRPr="00617156" w:rsidRDefault="00617156" w:rsidP="00617156">
            <w:pPr>
              <w:jc w:val="center"/>
              <w:rPr>
                <w:sz w:val="18"/>
                <w:szCs w:val="18"/>
              </w:rPr>
            </w:pPr>
            <w:r w:rsidRPr="00617156">
              <w:rPr>
                <w:sz w:val="18"/>
                <w:szCs w:val="18"/>
              </w:rPr>
              <w:t>3.05</w:t>
            </w:r>
          </w:p>
        </w:tc>
        <w:tc>
          <w:tcPr>
            <w:tcW w:w="713" w:type="dxa"/>
            <w:tcBorders>
              <w:top w:val="single" w:sz="4" w:space="0" w:color="auto"/>
              <w:bottom w:val="single" w:sz="4" w:space="0" w:color="auto"/>
            </w:tcBorders>
            <w:vAlign w:val="center"/>
          </w:tcPr>
          <w:p w14:paraId="5D21A3B5" w14:textId="77777777" w:rsidR="00617156" w:rsidRPr="00617156" w:rsidRDefault="00617156" w:rsidP="00617156">
            <w:pPr>
              <w:jc w:val="center"/>
              <w:rPr>
                <w:sz w:val="18"/>
                <w:szCs w:val="18"/>
              </w:rPr>
            </w:pPr>
            <w:r w:rsidRPr="00617156">
              <w:rPr>
                <w:sz w:val="18"/>
                <w:szCs w:val="18"/>
              </w:rPr>
              <w:t>0.99</w:t>
            </w:r>
          </w:p>
        </w:tc>
        <w:tc>
          <w:tcPr>
            <w:tcW w:w="1275" w:type="dxa"/>
            <w:tcBorders>
              <w:top w:val="single" w:sz="4" w:space="0" w:color="auto"/>
              <w:bottom w:val="single" w:sz="4" w:space="0" w:color="auto"/>
            </w:tcBorders>
            <w:vAlign w:val="center"/>
          </w:tcPr>
          <w:p w14:paraId="6E924EF0" w14:textId="77777777" w:rsidR="00617156" w:rsidRPr="00617156" w:rsidRDefault="00617156" w:rsidP="00617156">
            <w:pPr>
              <w:jc w:val="center"/>
              <w:rPr>
                <w:sz w:val="18"/>
                <w:szCs w:val="18"/>
              </w:rPr>
            </w:pPr>
            <w:r w:rsidRPr="00617156">
              <w:rPr>
                <w:sz w:val="18"/>
                <w:szCs w:val="18"/>
              </w:rPr>
              <w:t>14.485</w:t>
            </w:r>
            <w:r w:rsidRPr="00617156">
              <w:rPr>
                <w:sz w:val="18"/>
                <w:szCs w:val="18"/>
                <w:vertAlign w:val="subscript"/>
              </w:rPr>
              <w:t>(568)</w:t>
            </w:r>
            <w:r w:rsidRPr="00617156">
              <w:rPr>
                <w:sz w:val="18"/>
                <w:szCs w:val="18"/>
              </w:rPr>
              <w:t>*</w:t>
            </w:r>
          </w:p>
        </w:tc>
      </w:tr>
    </w:tbl>
    <w:p w14:paraId="1A05B1BE" w14:textId="12C40F54" w:rsidR="00F377BE" w:rsidRPr="00F377BE" w:rsidRDefault="00F377BE" w:rsidP="00F377BE">
      <w:pPr>
        <w:tabs>
          <w:tab w:val="left" w:pos="6219"/>
        </w:tabs>
        <w:autoSpaceDE w:val="0"/>
        <w:autoSpaceDN w:val="0"/>
        <w:mirrorIndents/>
        <w:jc w:val="both"/>
        <w:rPr>
          <w:rFonts w:eastAsia="Calibri" w:cs="Calibri"/>
          <w:i/>
          <w:iCs/>
          <w:color w:val="000000"/>
          <w:sz w:val="18"/>
          <w:szCs w:val="18"/>
          <w:u w:color="000000"/>
          <w:bdr w:val="nil"/>
          <w:lang w:val="en-US"/>
          <w14:textOutline w14:w="0" w14:cap="flat" w14:cmpd="sng" w14:algn="ctr">
            <w14:noFill/>
            <w14:prstDash w14:val="solid"/>
            <w14:bevel/>
          </w14:textOutline>
        </w:rPr>
      </w:pPr>
      <w:proofErr w:type="spellStart"/>
      <w:r w:rsidRPr="00F377BE">
        <w:rPr>
          <w:rFonts w:eastAsia="Calibri" w:cs="Calibri"/>
          <w:color w:val="000000"/>
          <w:sz w:val="18"/>
          <w:szCs w:val="18"/>
          <w:u w:color="000000"/>
          <w:bdr w:val="nil"/>
          <w:lang w:val="en-US"/>
          <w14:textOutline w14:w="0" w14:cap="flat" w14:cmpd="sng" w14:algn="ctr">
            <w14:noFill/>
            <w14:prstDash w14:val="solid"/>
            <w14:bevel/>
          </w14:textOutline>
        </w:rPr>
        <w:t>Nota</w:t>
      </w:r>
      <w:proofErr w:type="spellEnd"/>
      <w:r w:rsidRPr="00F377BE">
        <w:rPr>
          <w:rFonts w:eastAsia="Calibri" w:cs="Calibri"/>
          <w:color w:val="000000"/>
          <w:sz w:val="18"/>
          <w:szCs w:val="18"/>
          <w:u w:color="000000"/>
          <w:bdr w:val="nil"/>
          <w:lang w:val="en-US"/>
          <w14:textOutline w14:w="0" w14:cap="flat" w14:cmpd="sng" w14:algn="ctr">
            <w14:noFill/>
            <w14:prstDash w14:val="solid"/>
            <w14:bevel/>
          </w14:textOutline>
        </w:rPr>
        <w:t xml:space="preserve">: </w:t>
      </w:r>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Q1=Primer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cuartil</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Q4=Cuarto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cuartil</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*p .001;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en</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la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tabla</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no se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muestran</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los</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valores</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para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los</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reactivos</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6 y 10,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ya</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que no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fueron</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considerados</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por</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obtener</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valores</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IHc</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&lt; </w:t>
      </w:r>
      <w:r>
        <w:rPr>
          <w:rFonts w:eastAsia="Calibri" w:cs="Calibri"/>
          <w:i/>
          <w:iCs/>
          <w:color w:val="000000"/>
          <w:sz w:val="18"/>
          <w:szCs w:val="18"/>
          <w:u w:color="000000"/>
          <w:bdr w:val="nil"/>
          <w:lang w:val="en-US"/>
          <w14:textOutline w14:w="0" w14:cap="flat" w14:cmpd="sng" w14:algn="ctr">
            <w14:noFill/>
            <w14:prstDash w14:val="solid"/>
            <w14:bevel/>
          </w14:textOutline>
        </w:rPr>
        <w:t>0</w:t>
      </w:r>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.30 y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por</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no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afectar</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su</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omisión</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a la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consistencia</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interna global de la </w:t>
      </w: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escala</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
    <w:p w14:paraId="3EEA2AF0" w14:textId="77777777" w:rsidR="00F377BE" w:rsidRDefault="00F377BE" w:rsidP="00F377BE">
      <w:pPr>
        <w:pStyle w:val="Prrafocomn"/>
        <w:rPr>
          <w:lang w:val="es-AR"/>
        </w:rPr>
      </w:pPr>
    </w:p>
    <w:p w14:paraId="41CF0208" w14:textId="02F9A98D" w:rsidR="00F377BE" w:rsidRPr="00F377BE" w:rsidRDefault="00F377BE" w:rsidP="00F377BE">
      <w:pPr>
        <w:pStyle w:val="Prrafocomn"/>
        <w:rPr>
          <w:lang w:val="es-AR"/>
        </w:rPr>
      </w:pPr>
      <w:r w:rsidRPr="00F377BE">
        <w:rPr>
          <w:lang w:val="es-AR"/>
        </w:rPr>
        <w:t xml:space="preserve">Dado estos resultados, se procedió a estimar el AFE con 16 reactivos. Se obtuvo un valor del índice KMO de 0.898 y la prueba de esfericidad de Bartlett fue estadísticamente significativa (p &lt; .001). Este resultado mostró la pertinencia de los datos para estimar el AFE; y el análisis identificó tres factores que explican el 55.45% de la varianza total (Tabla 4). Sin embargo, el AP </w:t>
      </w:r>
      <w:r w:rsidRPr="00F377BE">
        <w:rPr>
          <w:lang w:val="es-AR"/>
        </w:rPr>
        <w:lastRenderedPageBreak/>
        <w:t>sugiere retener solo dos factores, ya que solo fue posible extraer dos autovalores (40.12 y 14.78) mayores a los correspondientes para las medias (12.66 y 11.64) y el percentil 95 (14.82 y 13.42) de los autovalores obtenidos al azar.</w:t>
      </w:r>
    </w:p>
    <w:p w14:paraId="3D8DCC97" w14:textId="0BDE9826" w:rsidR="00F377BE" w:rsidRPr="00F377BE" w:rsidRDefault="00F377BE" w:rsidP="00F377BE">
      <w:pPr>
        <w:pStyle w:val="Prrafocomn"/>
        <w:rPr>
          <w:lang w:val="es-AR"/>
        </w:rPr>
      </w:pPr>
      <w:r w:rsidRPr="00F377BE">
        <w:rPr>
          <w:lang w:val="es-AR"/>
        </w:rPr>
        <w:t>Este resultado orienta la atención al tercer factor retenido en el AFE a través de la regla de Kaiser (Tabla 4); ya que existen cargas factoriales cruzadas en los reactivos 1, 3, 4, 7, 8,16 y 17; lo que en opinión de Li et al. (2020) pueden afectar la precisión de algunos métodos utilizados -por ejemplo, criterio de Kaiser- para determinar el número de factores a retener. Esto se vuelve un problema debido a que de acuerdo con Ximénez et al. (2022)</w:t>
      </w:r>
      <w:r w:rsidR="00B3549E">
        <w:rPr>
          <w:lang w:val="es-AR"/>
        </w:rPr>
        <w:t>,</w:t>
      </w:r>
      <w:r w:rsidRPr="00F377BE">
        <w:rPr>
          <w:lang w:val="es-AR"/>
        </w:rPr>
        <w:t xml:space="preserve"> las cargas cruzadas podrían comprometer la estabilidad de la estructura factorial y precipitar una mala interpretación del modelo y llevar a conclusiones erróneas.</w:t>
      </w:r>
    </w:p>
    <w:p w14:paraId="03EE94FA" w14:textId="1BBC2419" w:rsidR="00F377BE" w:rsidRPr="00F377BE" w:rsidRDefault="00F377BE" w:rsidP="00F377BE">
      <w:pPr>
        <w:pStyle w:val="Prrafocomn"/>
        <w:rPr>
          <w:lang w:val="es-AR"/>
        </w:rPr>
      </w:pPr>
      <w:r w:rsidRPr="00F377BE">
        <w:rPr>
          <w:lang w:val="es-AR"/>
        </w:rPr>
        <w:t xml:space="preserve">Para tomar un posicionamiento ante este problema, se consideró la sugerencia realizada por Li et al. (2020) que implica eliminar los ítems con cargas cruzadas, sin embargo, esto podría reducir la validez y confiabilidad del instrumento de medición. Motivo por el cual, se optó por la sugerencia de </w:t>
      </w:r>
      <w:proofErr w:type="spellStart"/>
      <w:r w:rsidRPr="00F377BE">
        <w:rPr>
          <w:lang w:val="es-AR"/>
        </w:rPr>
        <w:t>Matsunaga</w:t>
      </w:r>
      <w:proofErr w:type="spellEnd"/>
      <w:r w:rsidRPr="00F377BE">
        <w:rPr>
          <w:lang w:val="es-AR"/>
        </w:rPr>
        <w:t xml:space="preserve"> (2010) que implica analizar teóricamente los factores, de tal forma que puedan ser interpretables.</w:t>
      </w:r>
    </w:p>
    <w:p w14:paraId="72D5DF4F" w14:textId="77777777" w:rsidR="00F377BE" w:rsidRPr="00F377BE" w:rsidRDefault="00F377BE" w:rsidP="00F377BE">
      <w:pPr>
        <w:pStyle w:val="Prrafocomn"/>
        <w:rPr>
          <w:lang w:val="es-AR"/>
        </w:rPr>
      </w:pPr>
      <w:r w:rsidRPr="00F377BE">
        <w:rPr>
          <w:lang w:val="es-AR"/>
        </w:rPr>
        <w:t>Así, el factor número 3, retuvo un ítem de cada una de las dimensiones sugeridas por Peterson et al. (2005) en la OTHS (un reactivo para la vida con significado [ítem 17], otro para la vida de placer [ítem 8]; y uno más para la vida con compromiso [</w:t>
      </w:r>
      <w:proofErr w:type="spellStart"/>
      <w:r w:rsidRPr="00F377BE">
        <w:rPr>
          <w:lang w:val="es-AR"/>
        </w:rPr>
        <w:t>item</w:t>
      </w:r>
      <w:proofErr w:type="spellEnd"/>
      <w:r w:rsidRPr="00F377BE">
        <w:rPr>
          <w:lang w:val="es-AR"/>
        </w:rPr>
        <w:t xml:space="preserve"> 7]). Esta dimensión, con tres reactivos, no permite discernir con precisión alguna de las tres orientaciones de la felicidad que la escala original sugiere; a diferencia del factor 1 y 2, que bien representan la vida con significado y la vida de placer, y donde se combinan algunos elementos de la orientación de compromiso; y que es congruente con el posicionamiento de </w:t>
      </w:r>
      <w:proofErr w:type="spellStart"/>
      <w:r w:rsidRPr="00F377BE">
        <w:rPr>
          <w:lang w:val="es-AR"/>
        </w:rPr>
        <w:t>Waterman</w:t>
      </w:r>
      <w:proofErr w:type="spellEnd"/>
      <w:r w:rsidRPr="00F377BE">
        <w:rPr>
          <w:lang w:val="es-AR"/>
        </w:rPr>
        <w:t xml:space="preserve"> (1993). Para evitar eliminar los tres reactivos que conforman el factor 3; y afectar así la validez y confiabilidad del instrumento, se tomó en cuenta el valor de la carga factorial y la congruencia teórica con los factores 1 y 2; sugerencia de Ledesma et al. (2019) quienes señalan la importancia de considerar en la matriz factorial, tanto los aspectos teóricos, como estadísticos para generar la interpretación del resultado.</w:t>
      </w:r>
    </w:p>
    <w:p w14:paraId="11E4C526" w14:textId="77777777" w:rsidR="00F377BE" w:rsidRPr="00F377BE" w:rsidRDefault="00F377BE" w:rsidP="00F377BE">
      <w:pPr>
        <w:pStyle w:val="Prrafocomn"/>
        <w:rPr>
          <w:lang w:val="es-AR"/>
        </w:rPr>
      </w:pPr>
      <w:r w:rsidRPr="00F377BE">
        <w:rPr>
          <w:lang w:val="es-AR"/>
        </w:rPr>
        <w:t xml:space="preserve">Para determinar si las cargas factoriales (λ) cruzadas eran altas (&gt; 0.50) o bajas (&lt; 0.30) en un factor, se tomó en cuenta lo sugerido por Rogers (2022). Así, en la Tabla 4 se observa que el reactivo 7 tiene un valor de λ alto y presenta congruencia teórica con el factor 1 en comparación con el factor 3 (λ = 0.604 &gt; -0.383). En la misma situación se encuentra el reactivo 8, donde λ es </w:t>
      </w:r>
      <w:r w:rsidRPr="00F377BE">
        <w:rPr>
          <w:lang w:val="es-AR"/>
        </w:rPr>
        <w:lastRenderedPageBreak/>
        <w:t xml:space="preserve">alta para el factor 2 y muestra coherencia teórica en comparación con el factor 3 (λ = 0.565 &gt; 0.486). Sin embargo, el reactivo 17, presenta un valor de λ bajo en el factor 1, pero alto en factor 3 (λ = 0.316 &lt; 0.710). Siguiendo la misma regla de análisis, este reactivo tendría que mantenerse en el factor 3, siendo el único reactivo para esta dimensión. Sin embargo, de acuerdo con </w:t>
      </w:r>
      <w:proofErr w:type="spellStart"/>
      <w:r w:rsidRPr="00F377BE">
        <w:rPr>
          <w:lang w:val="es-AR"/>
        </w:rPr>
        <w:t>Matsunaga</w:t>
      </w:r>
      <w:proofErr w:type="spellEnd"/>
      <w:r w:rsidRPr="00F377BE">
        <w:rPr>
          <w:lang w:val="es-AR"/>
        </w:rPr>
        <w:t xml:space="preserve"> (2010) y Li et al. (2020) para garantizar la estabilidad y confiabilidad de la estructura de un factor, se requiere al menos tres ítems. Razón por la cual, se podría tornar pertinente suprimir el factor 3, y consecuencia el reactivo 17, dado que no es posible reunir el mínimo de ítems para configurar la dimensión.</w:t>
      </w:r>
    </w:p>
    <w:p w14:paraId="38FD4DEA" w14:textId="77777777" w:rsidR="00F377BE" w:rsidRPr="00F377BE" w:rsidRDefault="00F377BE" w:rsidP="00F377BE">
      <w:pPr>
        <w:pStyle w:val="Prrafocomn"/>
        <w:ind w:firstLine="0"/>
        <w:rPr>
          <w:color w:val="00000A"/>
          <w:sz w:val="20"/>
          <w:szCs w:val="20"/>
          <w:u w:color="00000A"/>
          <w:bdr w:val="nil"/>
          <w14:textOutline w14:w="0" w14:cap="flat" w14:cmpd="sng" w14:algn="ctr">
            <w14:noFill/>
            <w14:prstDash w14:val="solid"/>
            <w14:bevel/>
          </w14:textOutline>
        </w:rPr>
      </w:pPr>
      <w:proofErr w:type="spellStart"/>
      <w:r w:rsidRPr="00F377BE">
        <w:rPr>
          <w:color w:val="00000A"/>
          <w:sz w:val="20"/>
          <w:szCs w:val="20"/>
          <w:u w:color="00000A"/>
          <w:bdr w:val="nil"/>
          <w14:textOutline w14:w="0" w14:cap="flat" w14:cmpd="sng" w14:algn="ctr">
            <w14:noFill/>
            <w14:prstDash w14:val="solid"/>
            <w14:bevel/>
          </w14:textOutline>
        </w:rPr>
        <w:t>Tabla</w:t>
      </w:r>
      <w:proofErr w:type="spellEnd"/>
      <w:r w:rsidRPr="00F377BE">
        <w:rPr>
          <w:color w:val="00000A"/>
          <w:sz w:val="20"/>
          <w:szCs w:val="20"/>
          <w:u w:color="00000A"/>
          <w:bdr w:val="nil"/>
          <w14:textOutline w14:w="0" w14:cap="flat" w14:cmpd="sng" w14:algn="ctr">
            <w14:noFill/>
            <w14:prstDash w14:val="solid"/>
            <w14:bevel/>
          </w14:textOutline>
        </w:rPr>
        <w:t xml:space="preserve"> 4</w:t>
      </w:r>
    </w:p>
    <w:p w14:paraId="68589F83" w14:textId="01069A96" w:rsidR="00F377BE" w:rsidRPr="00F377BE" w:rsidRDefault="00F377BE" w:rsidP="00F377BE">
      <w:pPr>
        <w:pStyle w:val="Prrafocomn"/>
        <w:ind w:firstLine="0"/>
        <w:rPr>
          <w:i/>
          <w:iCs/>
          <w:color w:val="00000A"/>
          <w:sz w:val="20"/>
          <w:szCs w:val="20"/>
          <w:u w:color="00000A"/>
          <w:bdr w:val="nil"/>
          <w14:textOutline w14:w="0" w14:cap="flat" w14:cmpd="sng" w14:algn="ctr">
            <w14:noFill/>
            <w14:prstDash w14:val="solid"/>
            <w14:bevel/>
          </w14:textOutline>
        </w:rPr>
      </w:pPr>
      <w:proofErr w:type="spellStart"/>
      <w:r w:rsidRPr="00F377BE">
        <w:rPr>
          <w:i/>
          <w:iCs/>
          <w:color w:val="00000A"/>
          <w:sz w:val="20"/>
          <w:szCs w:val="20"/>
          <w:u w:color="00000A"/>
          <w:bdr w:val="nil"/>
          <w14:textOutline w14:w="0" w14:cap="flat" w14:cmpd="sng" w14:algn="ctr">
            <w14:noFill/>
            <w14:prstDash w14:val="solid"/>
            <w14:bevel/>
          </w14:textOutline>
        </w:rPr>
        <w:t>Resultados</w:t>
      </w:r>
      <w:proofErr w:type="spellEnd"/>
      <w:r w:rsidRPr="00F377BE">
        <w:rPr>
          <w:i/>
          <w:iCs/>
          <w:color w:val="00000A"/>
          <w:sz w:val="20"/>
          <w:szCs w:val="20"/>
          <w:u w:color="00000A"/>
          <w:bdr w:val="nil"/>
          <w14:textOutline w14:w="0" w14:cap="flat" w14:cmpd="sng" w14:algn="ctr">
            <w14:noFill/>
            <w14:prstDash w14:val="solid"/>
            <w14:bevel/>
          </w14:textOutline>
        </w:rPr>
        <w:t xml:space="preserve"> del </w:t>
      </w:r>
      <w:proofErr w:type="spellStart"/>
      <w:r w:rsidRPr="00F377BE">
        <w:rPr>
          <w:i/>
          <w:iCs/>
          <w:color w:val="00000A"/>
          <w:sz w:val="20"/>
          <w:szCs w:val="20"/>
          <w:u w:color="00000A"/>
          <w:bdr w:val="nil"/>
          <w14:textOutline w14:w="0" w14:cap="flat" w14:cmpd="sng" w14:algn="ctr">
            <w14:noFill/>
            <w14:prstDash w14:val="solid"/>
            <w14:bevel/>
          </w14:textOutline>
        </w:rPr>
        <w:t>Análisis</w:t>
      </w:r>
      <w:proofErr w:type="spellEnd"/>
      <w:r w:rsidRPr="00F377BE">
        <w:rPr>
          <w:i/>
          <w:iCs/>
          <w:color w:val="00000A"/>
          <w:sz w:val="20"/>
          <w:szCs w:val="20"/>
          <w:u w:color="00000A"/>
          <w:bdr w:val="nil"/>
          <w14:textOutline w14:w="0" w14:cap="flat" w14:cmpd="sng" w14:algn="ctr">
            <w14:noFill/>
            <w14:prstDash w14:val="solid"/>
            <w14:bevel/>
          </w14:textOutline>
        </w:rPr>
        <w:t xml:space="preserve"> Factorial </w:t>
      </w:r>
      <w:proofErr w:type="spellStart"/>
      <w:r w:rsidRPr="00F377BE">
        <w:rPr>
          <w:i/>
          <w:iCs/>
          <w:color w:val="00000A"/>
          <w:sz w:val="20"/>
          <w:szCs w:val="20"/>
          <w:u w:color="00000A"/>
          <w:bdr w:val="nil"/>
          <w14:textOutline w14:w="0" w14:cap="flat" w14:cmpd="sng" w14:algn="ctr">
            <w14:noFill/>
            <w14:prstDash w14:val="solid"/>
            <w14:bevel/>
          </w14:textOutline>
        </w:rPr>
        <w:t>Exploratorio</w:t>
      </w:r>
      <w:proofErr w:type="spellEnd"/>
      <w:r w:rsidRPr="00F377BE">
        <w:rPr>
          <w:i/>
          <w:iCs/>
          <w:color w:val="00000A"/>
          <w:sz w:val="20"/>
          <w:szCs w:val="20"/>
          <w:u w:color="00000A"/>
          <w:bdr w:val="nil"/>
          <w14:textOutline w14:w="0" w14:cap="flat" w14:cmpd="sng" w14:algn="ctr">
            <w14:noFill/>
            <w14:prstDash w14:val="solid"/>
            <w14:bevel/>
          </w14:textOutline>
        </w:rPr>
        <w:t xml:space="preserve"> e </w:t>
      </w:r>
      <w:proofErr w:type="spellStart"/>
      <w:r w:rsidRPr="00F377BE">
        <w:rPr>
          <w:i/>
          <w:iCs/>
          <w:color w:val="00000A"/>
          <w:sz w:val="20"/>
          <w:szCs w:val="20"/>
          <w:u w:color="00000A"/>
          <w:bdr w:val="nil"/>
          <w14:textOutline w14:w="0" w14:cap="flat" w14:cmpd="sng" w14:algn="ctr">
            <w14:noFill/>
            <w14:prstDash w14:val="solid"/>
            <w14:bevel/>
          </w14:textOutline>
        </w:rPr>
        <w:t>ídices</w:t>
      </w:r>
      <w:proofErr w:type="spellEnd"/>
      <w:r w:rsidRPr="00F377BE">
        <w:rPr>
          <w:i/>
          <w:iCs/>
          <w:color w:val="00000A"/>
          <w:sz w:val="20"/>
          <w:szCs w:val="20"/>
          <w:u w:color="00000A"/>
          <w:bdr w:val="nil"/>
          <w14:textOutline w14:w="0" w14:cap="flat" w14:cmpd="sng" w14:algn="ctr">
            <w14:noFill/>
            <w14:prstDash w14:val="solid"/>
            <w14:bevel/>
          </w14:textOutline>
        </w:rPr>
        <w:t xml:space="preserve"> de </w:t>
      </w:r>
      <w:proofErr w:type="spellStart"/>
      <w:r w:rsidRPr="00F377BE">
        <w:rPr>
          <w:i/>
          <w:iCs/>
          <w:color w:val="00000A"/>
          <w:sz w:val="20"/>
          <w:szCs w:val="20"/>
          <w:u w:color="00000A"/>
          <w:bdr w:val="nil"/>
          <w14:textOutline w14:w="0" w14:cap="flat" w14:cmpd="sng" w14:algn="ctr">
            <w14:noFill/>
            <w14:prstDash w14:val="solid"/>
            <w14:bevel/>
          </w14:textOutline>
        </w:rPr>
        <w:t>confiabilidad</w:t>
      </w:r>
      <w:proofErr w:type="spellEnd"/>
      <w:r w:rsidRPr="00F377BE">
        <w:rPr>
          <w:i/>
          <w:iCs/>
          <w:color w:val="00000A"/>
          <w:sz w:val="20"/>
          <w:szCs w:val="20"/>
          <w:u w:color="00000A"/>
          <w:bdr w:val="nil"/>
          <w14:textOutline w14:w="0" w14:cap="flat" w14:cmpd="sng" w14:algn="ctr">
            <w14:noFill/>
            <w14:prstDash w14:val="solid"/>
            <w14:bevel/>
          </w14:textOutline>
        </w:rPr>
        <w:t xml:space="preserve"> de la </w:t>
      </w:r>
      <w:proofErr w:type="spellStart"/>
      <w:r w:rsidRPr="00F377BE">
        <w:rPr>
          <w:i/>
          <w:iCs/>
          <w:color w:val="00000A"/>
          <w:sz w:val="20"/>
          <w:szCs w:val="20"/>
          <w:u w:color="00000A"/>
          <w:bdr w:val="nil"/>
          <w14:textOutline w14:w="0" w14:cap="flat" w14:cmpd="sng" w14:algn="ctr">
            <w14:noFill/>
            <w14:prstDash w14:val="solid"/>
            <w14:bevel/>
          </w14:textOutline>
        </w:rPr>
        <w:t>escala</w:t>
      </w:r>
      <w:proofErr w:type="spellEnd"/>
      <w:r w:rsidRPr="00F377BE">
        <w:rPr>
          <w:i/>
          <w:iCs/>
          <w:color w:val="00000A"/>
          <w:sz w:val="20"/>
          <w:szCs w:val="20"/>
          <w:u w:color="00000A"/>
          <w:bdr w:val="nil"/>
          <w14:textOutline w14:w="0" w14:cap="flat" w14:cmpd="sng" w14:algn="ctr">
            <w14:noFill/>
            <w14:prstDash w14:val="solid"/>
            <w14:bevel/>
          </w14:textOutline>
        </w:rPr>
        <w:t xml:space="preserve"> OTH</w:t>
      </w:r>
    </w:p>
    <w:tbl>
      <w:tblPr>
        <w:tblStyle w:val="Tablaconcuadrcula"/>
        <w:tblpPr w:leftFromText="141" w:rightFromText="141" w:vertAnchor="text" w:horzAnchor="margin" w:tblpXSpec="center" w:tblpY="245"/>
        <w:tblOverlap w:val="never"/>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1133"/>
        <w:gridCol w:w="282"/>
        <w:gridCol w:w="2271"/>
        <w:gridCol w:w="1985"/>
        <w:gridCol w:w="992"/>
      </w:tblGrid>
      <w:tr w:rsidR="00F377BE" w:rsidRPr="00F377BE" w14:paraId="5CA0B449" w14:textId="77777777" w:rsidTr="00F377BE">
        <w:tc>
          <w:tcPr>
            <w:tcW w:w="850" w:type="dxa"/>
            <w:vAlign w:val="center"/>
          </w:tcPr>
          <w:p w14:paraId="03097E0C" w14:textId="77777777" w:rsidR="00F377BE" w:rsidRPr="00F377BE" w:rsidRDefault="00F377BE" w:rsidP="00F377BE">
            <w:pPr>
              <w:jc w:val="center"/>
              <w:rPr>
                <w:sz w:val="20"/>
                <w:szCs w:val="20"/>
              </w:rPr>
            </w:pPr>
          </w:p>
        </w:tc>
        <w:tc>
          <w:tcPr>
            <w:tcW w:w="1133" w:type="dxa"/>
            <w:vAlign w:val="center"/>
          </w:tcPr>
          <w:p w14:paraId="1E354CE1" w14:textId="77777777" w:rsidR="00F377BE" w:rsidRPr="00F377BE" w:rsidRDefault="00F377BE" w:rsidP="00F377BE">
            <w:pPr>
              <w:jc w:val="center"/>
              <w:rPr>
                <w:sz w:val="20"/>
                <w:szCs w:val="20"/>
              </w:rPr>
            </w:pPr>
          </w:p>
        </w:tc>
        <w:tc>
          <w:tcPr>
            <w:tcW w:w="282" w:type="dxa"/>
            <w:vAlign w:val="center"/>
          </w:tcPr>
          <w:p w14:paraId="7DD32842" w14:textId="77777777" w:rsidR="00F377BE" w:rsidRPr="00F377BE" w:rsidRDefault="00F377BE" w:rsidP="00F377BE">
            <w:pPr>
              <w:jc w:val="center"/>
              <w:rPr>
                <w:sz w:val="20"/>
                <w:szCs w:val="20"/>
              </w:rPr>
            </w:pPr>
          </w:p>
        </w:tc>
        <w:tc>
          <w:tcPr>
            <w:tcW w:w="5248" w:type="dxa"/>
            <w:gridSpan w:val="3"/>
            <w:tcBorders>
              <w:bottom w:val="single" w:sz="4" w:space="0" w:color="auto"/>
            </w:tcBorders>
            <w:vAlign w:val="center"/>
          </w:tcPr>
          <w:p w14:paraId="28BC58A0" w14:textId="77777777" w:rsidR="00F377BE" w:rsidRPr="00F377BE" w:rsidRDefault="00F377BE" w:rsidP="00F377BE">
            <w:pPr>
              <w:jc w:val="center"/>
              <w:rPr>
                <w:sz w:val="20"/>
                <w:szCs w:val="20"/>
              </w:rPr>
            </w:pPr>
            <w:r w:rsidRPr="00F377BE">
              <w:rPr>
                <w:sz w:val="20"/>
                <w:szCs w:val="20"/>
              </w:rPr>
              <w:t>Factores</w:t>
            </w:r>
          </w:p>
        </w:tc>
      </w:tr>
      <w:tr w:rsidR="00F377BE" w:rsidRPr="00F377BE" w14:paraId="7538ADF7" w14:textId="77777777" w:rsidTr="00F377BE">
        <w:tc>
          <w:tcPr>
            <w:tcW w:w="850" w:type="dxa"/>
            <w:vAlign w:val="center"/>
          </w:tcPr>
          <w:p w14:paraId="1C313D46" w14:textId="77777777" w:rsidR="00F377BE" w:rsidRPr="00F377BE" w:rsidRDefault="00F377BE" w:rsidP="00F377BE">
            <w:pPr>
              <w:jc w:val="center"/>
              <w:rPr>
                <w:sz w:val="20"/>
                <w:szCs w:val="20"/>
              </w:rPr>
            </w:pPr>
          </w:p>
        </w:tc>
        <w:tc>
          <w:tcPr>
            <w:tcW w:w="1133" w:type="dxa"/>
            <w:vAlign w:val="center"/>
          </w:tcPr>
          <w:p w14:paraId="2808575C" w14:textId="77777777" w:rsidR="00F377BE" w:rsidRPr="00F377BE" w:rsidRDefault="00F377BE" w:rsidP="00F377BE">
            <w:pPr>
              <w:jc w:val="center"/>
              <w:rPr>
                <w:sz w:val="20"/>
                <w:szCs w:val="20"/>
              </w:rPr>
            </w:pPr>
          </w:p>
        </w:tc>
        <w:tc>
          <w:tcPr>
            <w:tcW w:w="282" w:type="dxa"/>
            <w:vAlign w:val="center"/>
          </w:tcPr>
          <w:p w14:paraId="630C2F59" w14:textId="77777777" w:rsidR="00F377BE" w:rsidRPr="00F377BE" w:rsidRDefault="00F377BE" w:rsidP="00F377BE">
            <w:pPr>
              <w:jc w:val="center"/>
              <w:rPr>
                <w:sz w:val="20"/>
                <w:szCs w:val="20"/>
              </w:rPr>
            </w:pPr>
          </w:p>
        </w:tc>
        <w:tc>
          <w:tcPr>
            <w:tcW w:w="2271" w:type="dxa"/>
            <w:tcBorders>
              <w:top w:val="single" w:sz="4" w:space="0" w:color="auto"/>
              <w:bottom w:val="single" w:sz="4" w:space="0" w:color="auto"/>
            </w:tcBorders>
            <w:vAlign w:val="center"/>
          </w:tcPr>
          <w:p w14:paraId="65815BBF" w14:textId="036F1B57" w:rsidR="00F377BE" w:rsidRPr="00F377BE" w:rsidRDefault="00F377BE" w:rsidP="00F377BE">
            <w:pPr>
              <w:jc w:val="center"/>
              <w:rPr>
                <w:sz w:val="20"/>
                <w:szCs w:val="20"/>
              </w:rPr>
            </w:pPr>
            <w:r>
              <w:rPr>
                <w:sz w:val="20"/>
                <w:szCs w:val="20"/>
              </w:rPr>
              <w:t xml:space="preserve">(I) </w:t>
            </w:r>
            <w:r w:rsidRPr="00F377BE">
              <w:rPr>
                <w:sz w:val="20"/>
                <w:szCs w:val="20"/>
              </w:rPr>
              <w:t>Vida con Significado</w:t>
            </w:r>
          </w:p>
        </w:tc>
        <w:tc>
          <w:tcPr>
            <w:tcW w:w="1985" w:type="dxa"/>
            <w:tcBorders>
              <w:top w:val="single" w:sz="4" w:space="0" w:color="auto"/>
              <w:bottom w:val="single" w:sz="4" w:space="0" w:color="auto"/>
            </w:tcBorders>
            <w:vAlign w:val="center"/>
          </w:tcPr>
          <w:p w14:paraId="2EA9963D" w14:textId="3BE5835F" w:rsidR="00F377BE" w:rsidRPr="00F377BE" w:rsidRDefault="00F377BE" w:rsidP="00F377BE">
            <w:pPr>
              <w:jc w:val="center"/>
              <w:rPr>
                <w:sz w:val="20"/>
                <w:szCs w:val="20"/>
              </w:rPr>
            </w:pPr>
            <w:r>
              <w:rPr>
                <w:sz w:val="20"/>
                <w:szCs w:val="20"/>
              </w:rPr>
              <w:t xml:space="preserve">(II) </w:t>
            </w:r>
            <w:r w:rsidRPr="00F377BE">
              <w:rPr>
                <w:sz w:val="20"/>
                <w:szCs w:val="20"/>
              </w:rPr>
              <w:t>Vida de Placer</w:t>
            </w:r>
          </w:p>
        </w:tc>
        <w:tc>
          <w:tcPr>
            <w:tcW w:w="992" w:type="dxa"/>
            <w:tcBorders>
              <w:top w:val="single" w:sz="4" w:space="0" w:color="auto"/>
              <w:bottom w:val="single" w:sz="4" w:space="0" w:color="auto"/>
            </w:tcBorders>
            <w:vAlign w:val="center"/>
          </w:tcPr>
          <w:p w14:paraId="3AF5728F" w14:textId="77777777" w:rsidR="00F377BE" w:rsidRPr="00F377BE" w:rsidRDefault="00F377BE" w:rsidP="00F377BE">
            <w:pPr>
              <w:jc w:val="center"/>
              <w:rPr>
                <w:sz w:val="20"/>
                <w:szCs w:val="20"/>
              </w:rPr>
            </w:pPr>
            <w:r w:rsidRPr="00F377BE">
              <w:rPr>
                <w:sz w:val="20"/>
                <w:szCs w:val="20"/>
              </w:rPr>
              <w:t>*--</w:t>
            </w:r>
          </w:p>
        </w:tc>
      </w:tr>
      <w:tr w:rsidR="00F377BE" w:rsidRPr="00F377BE" w14:paraId="09BAE8CF" w14:textId="77777777" w:rsidTr="00F377BE">
        <w:tc>
          <w:tcPr>
            <w:tcW w:w="850" w:type="dxa"/>
            <w:tcBorders>
              <w:bottom w:val="single" w:sz="4" w:space="0" w:color="auto"/>
            </w:tcBorders>
            <w:vAlign w:val="center"/>
          </w:tcPr>
          <w:p w14:paraId="1A76CAA7" w14:textId="77777777" w:rsidR="00F377BE" w:rsidRPr="00F377BE" w:rsidRDefault="00F377BE" w:rsidP="00F377BE">
            <w:pPr>
              <w:jc w:val="center"/>
              <w:rPr>
                <w:sz w:val="20"/>
                <w:szCs w:val="20"/>
              </w:rPr>
            </w:pPr>
            <w:r w:rsidRPr="00F377BE">
              <w:rPr>
                <w:sz w:val="20"/>
                <w:szCs w:val="20"/>
              </w:rPr>
              <w:t>Item</w:t>
            </w:r>
          </w:p>
        </w:tc>
        <w:tc>
          <w:tcPr>
            <w:tcW w:w="1133" w:type="dxa"/>
            <w:tcBorders>
              <w:bottom w:val="single" w:sz="4" w:space="0" w:color="auto"/>
            </w:tcBorders>
            <w:vAlign w:val="center"/>
          </w:tcPr>
          <w:p w14:paraId="5A492E20" w14:textId="77777777" w:rsidR="00F377BE" w:rsidRPr="00F377BE" w:rsidRDefault="00000000" w:rsidP="00F377BE">
            <w:pPr>
              <w:jc w:val="center"/>
              <w:rPr>
                <w:sz w:val="20"/>
                <w:szCs w:val="20"/>
              </w:rPr>
            </w:pPr>
            <m:oMath>
              <m:acc>
                <m:accPr>
                  <m:chr m:val="̅"/>
                  <m:ctrlPr>
                    <w:rPr>
                      <w:rFonts w:ascii="Cambria Math" w:hAnsi="Cambria Math"/>
                      <w:sz w:val="20"/>
                      <w:szCs w:val="20"/>
                    </w:rPr>
                  </m:ctrlPr>
                </m:accPr>
                <m:e>
                  <m:r>
                    <w:rPr>
                      <w:rFonts w:ascii="Cambria Math" w:hAnsi="Cambria Math"/>
                      <w:sz w:val="20"/>
                      <w:szCs w:val="20"/>
                    </w:rPr>
                    <m:t>x</m:t>
                  </m:r>
                </m:e>
              </m:acc>
            </m:oMath>
            <w:r w:rsidR="00F377BE" w:rsidRPr="00F377BE">
              <w:rPr>
                <w:sz w:val="20"/>
                <w:szCs w:val="20"/>
              </w:rPr>
              <w:t xml:space="preserve"> (D.E)</w:t>
            </w:r>
          </w:p>
        </w:tc>
        <w:tc>
          <w:tcPr>
            <w:tcW w:w="282" w:type="dxa"/>
            <w:tcBorders>
              <w:bottom w:val="single" w:sz="4" w:space="0" w:color="auto"/>
            </w:tcBorders>
            <w:vAlign w:val="center"/>
          </w:tcPr>
          <w:p w14:paraId="447B6A13" w14:textId="77777777" w:rsidR="00F377BE" w:rsidRPr="00F377BE" w:rsidRDefault="00F377BE" w:rsidP="00F377BE">
            <w:pPr>
              <w:jc w:val="center"/>
              <w:rPr>
                <w:sz w:val="20"/>
                <w:szCs w:val="20"/>
              </w:rPr>
            </w:pPr>
          </w:p>
        </w:tc>
        <w:tc>
          <w:tcPr>
            <w:tcW w:w="2271" w:type="dxa"/>
            <w:tcBorders>
              <w:top w:val="single" w:sz="4" w:space="0" w:color="auto"/>
              <w:bottom w:val="single" w:sz="4" w:space="0" w:color="auto"/>
            </w:tcBorders>
            <w:vAlign w:val="center"/>
          </w:tcPr>
          <w:p w14:paraId="4DA13CAF" w14:textId="77777777" w:rsidR="00F377BE" w:rsidRPr="00F377BE" w:rsidRDefault="00F377BE" w:rsidP="00F377BE">
            <w:pPr>
              <w:jc w:val="center"/>
              <w:rPr>
                <w:sz w:val="20"/>
                <w:szCs w:val="20"/>
              </w:rPr>
            </w:pPr>
            <w:r w:rsidRPr="00F377BE">
              <w:rPr>
                <w:sz w:val="20"/>
                <w:szCs w:val="20"/>
              </w:rPr>
              <w:t>(λ)</w:t>
            </w:r>
          </w:p>
        </w:tc>
        <w:tc>
          <w:tcPr>
            <w:tcW w:w="1985" w:type="dxa"/>
            <w:tcBorders>
              <w:top w:val="single" w:sz="4" w:space="0" w:color="auto"/>
              <w:bottom w:val="single" w:sz="4" w:space="0" w:color="auto"/>
            </w:tcBorders>
            <w:vAlign w:val="center"/>
          </w:tcPr>
          <w:p w14:paraId="3DA1E0FD" w14:textId="77777777" w:rsidR="00F377BE" w:rsidRPr="00F377BE" w:rsidRDefault="00F377BE" w:rsidP="00F377BE">
            <w:pPr>
              <w:jc w:val="center"/>
              <w:rPr>
                <w:sz w:val="20"/>
                <w:szCs w:val="20"/>
              </w:rPr>
            </w:pPr>
            <w:r w:rsidRPr="00F377BE">
              <w:rPr>
                <w:sz w:val="20"/>
                <w:szCs w:val="20"/>
              </w:rPr>
              <w:t>(λ)</w:t>
            </w:r>
          </w:p>
        </w:tc>
        <w:tc>
          <w:tcPr>
            <w:tcW w:w="992" w:type="dxa"/>
            <w:tcBorders>
              <w:top w:val="single" w:sz="4" w:space="0" w:color="auto"/>
              <w:bottom w:val="single" w:sz="4" w:space="0" w:color="auto"/>
            </w:tcBorders>
            <w:vAlign w:val="center"/>
          </w:tcPr>
          <w:p w14:paraId="06411478" w14:textId="77777777" w:rsidR="00F377BE" w:rsidRPr="00F377BE" w:rsidRDefault="00F377BE" w:rsidP="00F377BE">
            <w:pPr>
              <w:jc w:val="center"/>
              <w:rPr>
                <w:sz w:val="20"/>
                <w:szCs w:val="20"/>
              </w:rPr>
            </w:pPr>
            <w:r w:rsidRPr="00F377BE">
              <w:rPr>
                <w:sz w:val="20"/>
                <w:szCs w:val="20"/>
              </w:rPr>
              <w:t>(λ)</w:t>
            </w:r>
          </w:p>
        </w:tc>
      </w:tr>
      <w:tr w:rsidR="00F377BE" w:rsidRPr="00F377BE" w14:paraId="189CEDA2" w14:textId="77777777" w:rsidTr="00F377BE">
        <w:tc>
          <w:tcPr>
            <w:tcW w:w="850" w:type="dxa"/>
            <w:tcBorders>
              <w:top w:val="single" w:sz="4" w:space="0" w:color="auto"/>
            </w:tcBorders>
            <w:vAlign w:val="center"/>
          </w:tcPr>
          <w:p w14:paraId="6281FCED" w14:textId="77777777" w:rsidR="00F377BE" w:rsidRPr="00F377BE" w:rsidRDefault="00F377BE" w:rsidP="00F377BE">
            <w:pPr>
              <w:jc w:val="center"/>
              <w:rPr>
                <w:sz w:val="20"/>
                <w:szCs w:val="20"/>
              </w:rPr>
            </w:pPr>
            <w:r w:rsidRPr="00F377BE">
              <w:rPr>
                <w:sz w:val="20"/>
                <w:szCs w:val="20"/>
              </w:rPr>
              <w:t>12</w:t>
            </w:r>
          </w:p>
        </w:tc>
        <w:tc>
          <w:tcPr>
            <w:tcW w:w="1133" w:type="dxa"/>
            <w:tcBorders>
              <w:top w:val="single" w:sz="4" w:space="0" w:color="auto"/>
            </w:tcBorders>
            <w:vAlign w:val="center"/>
          </w:tcPr>
          <w:p w14:paraId="2FD104FD" w14:textId="77777777" w:rsidR="00F377BE" w:rsidRPr="00F377BE" w:rsidRDefault="00F377BE" w:rsidP="00F377BE">
            <w:pPr>
              <w:jc w:val="center"/>
              <w:rPr>
                <w:sz w:val="20"/>
                <w:szCs w:val="20"/>
              </w:rPr>
            </w:pPr>
            <w:r w:rsidRPr="00F377BE">
              <w:rPr>
                <w:sz w:val="20"/>
                <w:szCs w:val="20"/>
              </w:rPr>
              <w:t>2.18 (1.09)</w:t>
            </w:r>
          </w:p>
        </w:tc>
        <w:tc>
          <w:tcPr>
            <w:tcW w:w="282" w:type="dxa"/>
            <w:tcBorders>
              <w:top w:val="single" w:sz="4" w:space="0" w:color="auto"/>
            </w:tcBorders>
            <w:vAlign w:val="center"/>
          </w:tcPr>
          <w:p w14:paraId="00B91F2D" w14:textId="77777777" w:rsidR="00F377BE" w:rsidRPr="00F377BE" w:rsidRDefault="00F377BE" w:rsidP="00F377BE">
            <w:pPr>
              <w:jc w:val="center"/>
              <w:rPr>
                <w:sz w:val="20"/>
                <w:szCs w:val="20"/>
              </w:rPr>
            </w:pPr>
          </w:p>
        </w:tc>
        <w:tc>
          <w:tcPr>
            <w:tcW w:w="2271" w:type="dxa"/>
            <w:tcBorders>
              <w:top w:val="single" w:sz="4" w:space="0" w:color="auto"/>
            </w:tcBorders>
            <w:vAlign w:val="center"/>
          </w:tcPr>
          <w:p w14:paraId="58EDBCD7" w14:textId="77777777" w:rsidR="00F377BE" w:rsidRPr="00F377BE" w:rsidRDefault="00F377BE" w:rsidP="00F377BE">
            <w:pPr>
              <w:jc w:val="center"/>
              <w:rPr>
                <w:sz w:val="20"/>
                <w:szCs w:val="20"/>
              </w:rPr>
            </w:pPr>
            <w:r w:rsidRPr="00F377BE">
              <w:rPr>
                <w:sz w:val="20"/>
                <w:szCs w:val="20"/>
              </w:rPr>
              <w:t>0.861</w:t>
            </w:r>
          </w:p>
        </w:tc>
        <w:tc>
          <w:tcPr>
            <w:tcW w:w="1985" w:type="dxa"/>
            <w:tcBorders>
              <w:top w:val="single" w:sz="4" w:space="0" w:color="auto"/>
            </w:tcBorders>
            <w:vAlign w:val="center"/>
          </w:tcPr>
          <w:p w14:paraId="3372667D" w14:textId="77777777" w:rsidR="00F377BE" w:rsidRPr="00F377BE" w:rsidRDefault="00F377BE" w:rsidP="00F377BE">
            <w:pPr>
              <w:jc w:val="center"/>
              <w:rPr>
                <w:sz w:val="20"/>
                <w:szCs w:val="20"/>
              </w:rPr>
            </w:pPr>
            <w:r w:rsidRPr="00F377BE">
              <w:rPr>
                <w:sz w:val="20"/>
                <w:szCs w:val="20"/>
              </w:rPr>
              <w:t>--</w:t>
            </w:r>
          </w:p>
        </w:tc>
        <w:tc>
          <w:tcPr>
            <w:tcW w:w="992" w:type="dxa"/>
            <w:tcBorders>
              <w:top w:val="single" w:sz="4" w:space="0" w:color="auto"/>
            </w:tcBorders>
            <w:vAlign w:val="center"/>
          </w:tcPr>
          <w:p w14:paraId="46D29B4F"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0E9D0334" w14:textId="77777777" w:rsidTr="00F377BE">
        <w:trPr>
          <w:trHeight w:val="116"/>
        </w:trPr>
        <w:tc>
          <w:tcPr>
            <w:tcW w:w="850" w:type="dxa"/>
            <w:vAlign w:val="center"/>
          </w:tcPr>
          <w:p w14:paraId="575521B6" w14:textId="77777777" w:rsidR="00F377BE" w:rsidRPr="00F377BE" w:rsidRDefault="00F377BE" w:rsidP="00F377BE">
            <w:pPr>
              <w:jc w:val="center"/>
              <w:rPr>
                <w:sz w:val="20"/>
                <w:szCs w:val="20"/>
              </w:rPr>
            </w:pPr>
            <w:r w:rsidRPr="00F377BE">
              <w:rPr>
                <w:sz w:val="20"/>
                <w:szCs w:val="20"/>
              </w:rPr>
              <w:t>2</w:t>
            </w:r>
          </w:p>
        </w:tc>
        <w:tc>
          <w:tcPr>
            <w:tcW w:w="1133" w:type="dxa"/>
            <w:vAlign w:val="center"/>
          </w:tcPr>
          <w:p w14:paraId="77FB365B" w14:textId="77777777" w:rsidR="00F377BE" w:rsidRPr="00F377BE" w:rsidRDefault="00F377BE" w:rsidP="00F377BE">
            <w:pPr>
              <w:jc w:val="center"/>
              <w:rPr>
                <w:sz w:val="20"/>
                <w:szCs w:val="20"/>
              </w:rPr>
            </w:pPr>
            <w:r w:rsidRPr="00F377BE">
              <w:rPr>
                <w:sz w:val="20"/>
                <w:szCs w:val="20"/>
              </w:rPr>
              <w:t>2.05 (1.15)</w:t>
            </w:r>
          </w:p>
        </w:tc>
        <w:tc>
          <w:tcPr>
            <w:tcW w:w="282" w:type="dxa"/>
            <w:vAlign w:val="center"/>
          </w:tcPr>
          <w:p w14:paraId="7B6128D5" w14:textId="77777777" w:rsidR="00F377BE" w:rsidRPr="00F377BE" w:rsidRDefault="00F377BE" w:rsidP="00F377BE">
            <w:pPr>
              <w:jc w:val="center"/>
              <w:rPr>
                <w:sz w:val="20"/>
                <w:szCs w:val="20"/>
              </w:rPr>
            </w:pPr>
          </w:p>
        </w:tc>
        <w:tc>
          <w:tcPr>
            <w:tcW w:w="2271" w:type="dxa"/>
            <w:vAlign w:val="center"/>
          </w:tcPr>
          <w:p w14:paraId="5968633F" w14:textId="77777777" w:rsidR="00F377BE" w:rsidRPr="00F377BE" w:rsidRDefault="00F377BE" w:rsidP="00F377BE">
            <w:pPr>
              <w:jc w:val="center"/>
              <w:rPr>
                <w:sz w:val="20"/>
                <w:szCs w:val="20"/>
              </w:rPr>
            </w:pPr>
            <w:r w:rsidRPr="00F377BE">
              <w:rPr>
                <w:sz w:val="20"/>
                <w:szCs w:val="20"/>
              </w:rPr>
              <w:t>0.824</w:t>
            </w:r>
          </w:p>
        </w:tc>
        <w:tc>
          <w:tcPr>
            <w:tcW w:w="1985" w:type="dxa"/>
          </w:tcPr>
          <w:p w14:paraId="14B44912" w14:textId="77777777" w:rsidR="00F377BE" w:rsidRPr="00F377BE" w:rsidRDefault="00F377BE" w:rsidP="00F377BE">
            <w:pPr>
              <w:jc w:val="center"/>
              <w:rPr>
                <w:sz w:val="20"/>
                <w:szCs w:val="20"/>
              </w:rPr>
            </w:pPr>
            <w:r w:rsidRPr="00F377BE">
              <w:rPr>
                <w:sz w:val="20"/>
                <w:szCs w:val="20"/>
              </w:rPr>
              <w:t>--</w:t>
            </w:r>
          </w:p>
        </w:tc>
        <w:tc>
          <w:tcPr>
            <w:tcW w:w="992" w:type="dxa"/>
          </w:tcPr>
          <w:p w14:paraId="63640191"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13CB2317" w14:textId="77777777" w:rsidTr="00F377BE">
        <w:tc>
          <w:tcPr>
            <w:tcW w:w="850" w:type="dxa"/>
            <w:vAlign w:val="center"/>
          </w:tcPr>
          <w:p w14:paraId="3890881B" w14:textId="77777777" w:rsidR="00F377BE" w:rsidRPr="00F377BE" w:rsidRDefault="00F377BE" w:rsidP="00F377BE">
            <w:pPr>
              <w:jc w:val="center"/>
              <w:rPr>
                <w:sz w:val="20"/>
                <w:szCs w:val="20"/>
              </w:rPr>
            </w:pPr>
            <w:r w:rsidRPr="00F377BE">
              <w:rPr>
                <w:sz w:val="20"/>
                <w:szCs w:val="20"/>
              </w:rPr>
              <w:t>14</w:t>
            </w:r>
          </w:p>
        </w:tc>
        <w:tc>
          <w:tcPr>
            <w:tcW w:w="1133" w:type="dxa"/>
            <w:vAlign w:val="center"/>
          </w:tcPr>
          <w:p w14:paraId="1BC23FB7" w14:textId="77777777" w:rsidR="00F377BE" w:rsidRPr="00F377BE" w:rsidRDefault="00F377BE" w:rsidP="00F377BE">
            <w:pPr>
              <w:jc w:val="center"/>
              <w:rPr>
                <w:sz w:val="20"/>
                <w:szCs w:val="20"/>
              </w:rPr>
            </w:pPr>
            <w:r w:rsidRPr="00F377BE">
              <w:rPr>
                <w:sz w:val="20"/>
                <w:szCs w:val="20"/>
              </w:rPr>
              <w:t>2.21 (1.03)</w:t>
            </w:r>
          </w:p>
        </w:tc>
        <w:tc>
          <w:tcPr>
            <w:tcW w:w="282" w:type="dxa"/>
            <w:vAlign w:val="center"/>
          </w:tcPr>
          <w:p w14:paraId="06130309" w14:textId="77777777" w:rsidR="00F377BE" w:rsidRPr="00F377BE" w:rsidRDefault="00F377BE" w:rsidP="00F377BE">
            <w:pPr>
              <w:jc w:val="center"/>
              <w:rPr>
                <w:sz w:val="20"/>
                <w:szCs w:val="20"/>
              </w:rPr>
            </w:pPr>
          </w:p>
        </w:tc>
        <w:tc>
          <w:tcPr>
            <w:tcW w:w="2271" w:type="dxa"/>
            <w:vAlign w:val="center"/>
          </w:tcPr>
          <w:p w14:paraId="2268228C" w14:textId="77777777" w:rsidR="00F377BE" w:rsidRPr="00F377BE" w:rsidRDefault="00F377BE" w:rsidP="00F377BE">
            <w:pPr>
              <w:jc w:val="center"/>
              <w:rPr>
                <w:sz w:val="20"/>
                <w:szCs w:val="20"/>
              </w:rPr>
            </w:pPr>
            <w:r w:rsidRPr="00F377BE">
              <w:rPr>
                <w:sz w:val="20"/>
                <w:szCs w:val="20"/>
              </w:rPr>
              <w:t>0.809</w:t>
            </w:r>
          </w:p>
        </w:tc>
        <w:tc>
          <w:tcPr>
            <w:tcW w:w="1985" w:type="dxa"/>
          </w:tcPr>
          <w:p w14:paraId="10022A22" w14:textId="77777777" w:rsidR="00F377BE" w:rsidRPr="00F377BE" w:rsidRDefault="00F377BE" w:rsidP="00F377BE">
            <w:pPr>
              <w:jc w:val="center"/>
              <w:rPr>
                <w:sz w:val="20"/>
                <w:szCs w:val="20"/>
              </w:rPr>
            </w:pPr>
            <w:r w:rsidRPr="00F377BE">
              <w:rPr>
                <w:sz w:val="20"/>
                <w:szCs w:val="20"/>
              </w:rPr>
              <w:t>--</w:t>
            </w:r>
          </w:p>
        </w:tc>
        <w:tc>
          <w:tcPr>
            <w:tcW w:w="992" w:type="dxa"/>
          </w:tcPr>
          <w:p w14:paraId="3E170297"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3308B005" w14:textId="77777777" w:rsidTr="00F377BE">
        <w:tc>
          <w:tcPr>
            <w:tcW w:w="850" w:type="dxa"/>
            <w:vAlign w:val="center"/>
          </w:tcPr>
          <w:p w14:paraId="730DE0BA" w14:textId="77777777" w:rsidR="00F377BE" w:rsidRPr="00F377BE" w:rsidRDefault="00F377BE" w:rsidP="00F377BE">
            <w:pPr>
              <w:jc w:val="center"/>
              <w:rPr>
                <w:sz w:val="20"/>
                <w:szCs w:val="20"/>
              </w:rPr>
            </w:pPr>
            <w:r w:rsidRPr="00F377BE">
              <w:rPr>
                <w:sz w:val="20"/>
                <w:szCs w:val="20"/>
              </w:rPr>
              <w:t>11</w:t>
            </w:r>
          </w:p>
        </w:tc>
        <w:tc>
          <w:tcPr>
            <w:tcW w:w="1133" w:type="dxa"/>
            <w:vAlign w:val="center"/>
          </w:tcPr>
          <w:p w14:paraId="76732253" w14:textId="77777777" w:rsidR="00F377BE" w:rsidRPr="00F377BE" w:rsidRDefault="00F377BE" w:rsidP="00F377BE">
            <w:pPr>
              <w:jc w:val="center"/>
              <w:rPr>
                <w:sz w:val="20"/>
                <w:szCs w:val="20"/>
              </w:rPr>
            </w:pPr>
            <w:r w:rsidRPr="00F377BE">
              <w:rPr>
                <w:sz w:val="20"/>
                <w:szCs w:val="20"/>
              </w:rPr>
              <w:t>2.20 (1.06)</w:t>
            </w:r>
          </w:p>
        </w:tc>
        <w:tc>
          <w:tcPr>
            <w:tcW w:w="282" w:type="dxa"/>
            <w:vAlign w:val="center"/>
          </w:tcPr>
          <w:p w14:paraId="39F8B394" w14:textId="77777777" w:rsidR="00F377BE" w:rsidRPr="00F377BE" w:rsidRDefault="00F377BE" w:rsidP="00F377BE">
            <w:pPr>
              <w:jc w:val="center"/>
              <w:rPr>
                <w:sz w:val="20"/>
                <w:szCs w:val="20"/>
              </w:rPr>
            </w:pPr>
          </w:p>
        </w:tc>
        <w:tc>
          <w:tcPr>
            <w:tcW w:w="2271" w:type="dxa"/>
            <w:vAlign w:val="center"/>
          </w:tcPr>
          <w:p w14:paraId="150DFE20" w14:textId="77777777" w:rsidR="00F377BE" w:rsidRPr="00F377BE" w:rsidRDefault="00F377BE" w:rsidP="00F377BE">
            <w:pPr>
              <w:jc w:val="center"/>
              <w:rPr>
                <w:sz w:val="20"/>
                <w:szCs w:val="20"/>
              </w:rPr>
            </w:pPr>
            <w:r w:rsidRPr="00F377BE">
              <w:rPr>
                <w:sz w:val="20"/>
                <w:szCs w:val="20"/>
              </w:rPr>
              <w:t>0.810</w:t>
            </w:r>
          </w:p>
        </w:tc>
        <w:tc>
          <w:tcPr>
            <w:tcW w:w="1985" w:type="dxa"/>
          </w:tcPr>
          <w:p w14:paraId="54DABE6E" w14:textId="77777777" w:rsidR="00F377BE" w:rsidRPr="00F377BE" w:rsidRDefault="00F377BE" w:rsidP="00F377BE">
            <w:pPr>
              <w:jc w:val="center"/>
              <w:rPr>
                <w:sz w:val="20"/>
                <w:szCs w:val="20"/>
              </w:rPr>
            </w:pPr>
            <w:r w:rsidRPr="00F377BE">
              <w:rPr>
                <w:sz w:val="20"/>
                <w:szCs w:val="20"/>
              </w:rPr>
              <w:t>--</w:t>
            </w:r>
          </w:p>
        </w:tc>
        <w:tc>
          <w:tcPr>
            <w:tcW w:w="992" w:type="dxa"/>
          </w:tcPr>
          <w:p w14:paraId="66C873A0"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09FA6E95" w14:textId="77777777" w:rsidTr="00F377BE">
        <w:tc>
          <w:tcPr>
            <w:tcW w:w="850" w:type="dxa"/>
            <w:vAlign w:val="center"/>
          </w:tcPr>
          <w:p w14:paraId="6F55830F" w14:textId="77777777" w:rsidR="00F377BE" w:rsidRPr="00F377BE" w:rsidRDefault="00F377BE" w:rsidP="00F377BE">
            <w:pPr>
              <w:jc w:val="center"/>
              <w:rPr>
                <w:sz w:val="20"/>
                <w:szCs w:val="20"/>
              </w:rPr>
            </w:pPr>
            <w:r w:rsidRPr="00F377BE">
              <w:rPr>
                <w:sz w:val="20"/>
                <w:szCs w:val="20"/>
              </w:rPr>
              <w:t>5</w:t>
            </w:r>
          </w:p>
        </w:tc>
        <w:tc>
          <w:tcPr>
            <w:tcW w:w="1133" w:type="dxa"/>
            <w:vAlign w:val="center"/>
          </w:tcPr>
          <w:p w14:paraId="3E91CF16" w14:textId="77777777" w:rsidR="00F377BE" w:rsidRPr="00F377BE" w:rsidRDefault="00F377BE" w:rsidP="00F377BE">
            <w:pPr>
              <w:jc w:val="center"/>
              <w:rPr>
                <w:sz w:val="20"/>
                <w:szCs w:val="20"/>
              </w:rPr>
            </w:pPr>
            <w:r w:rsidRPr="00F377BE">
              <w:rPr>
                <w:sz w:val="20"/>
                <w:szCs w:val="20"/>
              </w:rPr>
              <w:t>2.24 (1.00)</w:t>
            </w:r>
          </w:p>
        </w:tc>
        <w:tc>
          <w:tcPr>
            <w:tcW w:w="282" w:type="dxa"/>
            <w:vAlign w:val="center"/>
          </w:tcPr>
          <w:p w14:paraId="7AC2438C" w14:textId="77777777" w:rsidR="00F377BE" w:rsidRPr="00F377BE" w:rsidRDefault="00F377BE" w:rsidP="00F377BE">
            <w:pPr>
              <w:jc w:val="center"/>
              <w:rPr>
                <w:sz w:val="20"/>
                <w:szCs w:val="20"/>
              </w:rPr>
            </w:pPr>
          </w:p>
        </w:tc>
        <w:tc>
          <w:tcPr>
            <w:tcW w:w="2271" w:type="dxa"/>
            <w:vAlign w:val="center"/>
          </w:tcPr>
          <w:p w14:paraId="09A659C8" w14:textId="77777777" w:rsidR="00F377BE" w:rsidRPr="00F377BE" w:rsidRDefault="00F377BE" w:rsidP="00F377BE">
            <w:pPr>
              <w:jc w:val="center"/>
              <w:rPr>
                <w:sz w:val="20"/>
                <w:szCs w:val="20"/>
              </w:rPr>
            </w:pPr>
            <w:r w:rsidRPr="00F377BE">
              <w:rPr>
                <w:sz w:val="20"/>
                <w:szCs w:val="20"/>
              </w:rPr>
              <w:t>0.685</w:t>
            </w:r>
          </w:p>
        </w:tc>
        <w:tc>
          <w:tcPr>
            <w:tcW w:w="1985" w:type="dxa"/>
          </w:tcPr>
          <w:p w14:paraId="4DCF1450" w14:textId="77777777" w:rsidR="00F377BE" w:rsidRPr="00F377BE" w:rsidRDefault="00F377BE" w:rsidP="00F377BE">
            <w:pPr>
              <w:jc w:val="center"/>
              <w:rPr>
                <w:sz w:val="20"/>
                <w:szCs w:val="20"/>
              </w:rPr>
            </w:pPr>
            <w:r w:rsidRPr="00F377BE">
              <w:rPr>
                <w:sz w:val="20"/>
                <w:szCs w:val="20"/>
              </w:rPr>
              <w:t>--</w:t>
            </w:r>
          </w:p>
        </w:tc>
        <w:tc>
          <w:tcPr>
            <w:tcW w:w="992" w:type="dxa"/>
          </w:tcPr>
          <w:p w14:paraId="1C4B25EB"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6F392C63" w14:textId="77777777" w:rsidTr="00F377BE">
        <w:tc>
          <w:tcPr>
            <w:tcW w:w="850" w:type="dxa"/>
            <w:vAlign w:val="center"/>
          </w:tcPr>
          <w:p w14:paraId="6771052C" w14:textId="77777777" w:rsidR="00F377BE" w:rsidRPr="00F377BE" w:rsidRDefault="00F377BE" w:rsidP="00F377BE">
            <w:pPr>
              <w:jc w:val="center"/>
              <w:rPr>
                <w:sz w:val="20"/>
                <w:szCs w:val="20"/>
              </w:rPr>
            </w:pPr>
            <w:r w:rsidRPr="00F377BE">
              <w:rPr>
                <w:sz w:val="20"/>
                <w:szCs w:val="20"/>
              </w:rPr>
              <w:t>7</w:t>
            </w:r>
          </w:p>
        </w:tc>
        <w:tc>
          <w:tcPr>
            <w:tcW w:w="1133" w:type="dxa"/>
            <w:vAlign w:val="center"/>
          </w:tcPr>
          <w:p w14:paraId="75E047EA" w14:textId="77777777" w:rsidR="00F377BE" w:rsidRPr="00F377BE" w:rsidRDefault="00F377BE" w:rsidP="00F377BE">
            <w:pPr>
              <w:jc w:val="center"/>
              <w:rPr>
                <w:sz w:val="20"/>
                <w:szCs w:val="20"/>
              </w:rPr>
            </w:pPr>
            <w:r w:rsidRPr="00F377BE">
              <w:rPr>
                <w:sz w:val="20"/>
                <w:szCs w:val="20"/>
              </w:rPr>
              <w:t>2.50 (1.03)</w:t>
            </w:r>
          </w:p>
        </w:tc>
        <w:tc>
          <w:tcPr>
            <w:tcW w:w="282" w:type="dxa"/>
            <w:vAlign w:val="center"/>
          </w:tcPr>
          <w:p w14:paraId="3833E188" w14:textId="77777777" w:rsidR="00F377BE" w:rsidRPr="00F377BE" w:rsidRDefault="00F377BE" w:rsidP="00F377BE">
            <w:pPr>
              <w:jc w:val="center"/>
              <w:rPr>
                <w:sz w:val="20"/>
                <w:szCs w:val="20"/>
              </w:rPr>
            </w:pPr>
          </w:p>
        </w:tc>
        <w:tc>
          <w:tcPr>
            <w:tcW w:w="2271" w:type="dxa"/>
            <w:vAlign w:val="center"/>
          </w:tcPr>
          <w:p w14:paraId="395FEC42" w14:textId="77777777" w:rsidR="00F377BE" w:rsidRPr="00F377BE" w:rsidRDefault="00F377BE" w:rsidP="00F377BE">
            <w:pPr>
              <w:jc w:val="center"/>
              <w:rPr>
                <w:sz w:val="20"/>
                <w:szCs w:val="20"/>
              </w:rPr>
            </w:pPr>
            <w:r w:rsidRPr="00F377BE">
              <w:rPr>
                <w:sz w:val="20"/>
                <w:szCs w:val="20"/>
                <w:vertAlign w:val="superscript"/>
              </w:rPr>
              <w:t xml:space="preserve">a </w:t>
            </w:r>
            <w:r w:rsidRPr="00F377BE">
              <w:rPr>
                <w:sz w:val="20"/>
                <w:szCs w:val="20"/>
              </w:rPr>
              <w:t>0.604</w:t>
            </w:r>
          </w:p>
        </w:tc>
        <w:tc>
          <w:tcPr>
            <w:tcW w:w="1985" w:type="dxa"/>
            <w:vAlign w:val="center"/>
          </w:tcPr>
          <w:p w14:paraId="2FF76F41" w14:textId="77777777" w:rsidR="00F377BE" w:rsidRPr="00F377BE" w:rsidRDefault="00F377BE" w:rsidP="00F377BE">
            <w:pPr>
              <w:jc w:val="center"/>
              <w:rPr>
                <w:sz w:val="20"/>
                <w:szCs w:val="20"/>
              </w:rPr>
            </w:pPr>
            <w:r w:rsidRPr="00F377BE">
              <w:rPr>
                <w:sz w:val="20"/>
                <w:szCs w:val="20"/>
              </w:rPr>
              <w:t>--</w:t>
            </w:r>
          </w:p>
        </w:tc>
        <w:tc>
          <w:tcPr>
            <w:tcW w:w="992" w:type="dxa"/>
            <w:vAlign w:val="center"/>
          </w:tcPr>
          <w:p w14:paraId="4273CAD5" w14:textId="77777777" w:rsidR="00F377BE" w:rsidRPr="00F377BE" w:rsidRDefault="00F377BE" w:rsidP="00F377BE">
            <w:pPr>
              <w:jc w:val="center"/>
              <w:rPr>
                <w:color w:val="00B0F0"/>
                <w:sz w:val="20"/>
                <w:szCs w:val="20"/>
              </w:rPr>
            </w:pPr>
            <w:r w:rsidRPr="00F377BE">
              <w:rPr>
                <w:sz w:val="20"/>
                <w:szCs w:val="20"/>
              </w:rPr>
              <w:t>-0.383</w:t>
            </w:r>
          </w:p>
        </w:tc>
      </w:tr>
      <w:tr w:rsidR="00F377BE" w:rsidRPr="00F377BE" w14:paraId="2C8E1D10" w14:textId="77777777" w:rsidTr="00F377BE">
        <w:tc>
          <w:tcPr>
            <w:tcW w:w="850" w:type="dxa"/>
            <w:vAlign w:val="center"/>
          </w:tcPr>
          <w:p w14:paraId="7F68B817" w14:textId="77777777" w:rsidR="00F377BE" w:rsidRPr="00F377BE" w:rsidRDefault="00F377BE" w:rsidP="00F377BE">
            <w:pPr>
              <w:jc w:val="center"/>
              <w:rPr>
                <w:sz w:val="20"/>
                <w:szCs w:val="20"/>
              </w:rPr>
            </w:pPr>
            <w:r w:rsidRPr="00F377BE">
              <w:rPr>
                <w:sz w:val="20"/>
                <w:szCs w:val="20"/>
              </w:rPr>
              <w:t>4</w:t>
            </w:r>
          </w:p>
        </w:tc>
        <w:tc>
          <w:tcPr>
            <w:tcW w:w="1133" w:type="dxa"/>
            <w:vAlign w:val="center"/>
          </w:tcPr>
          <w:p w14:paraId="6F6B3A5F" w14:textId="77777777" w:rsidR="00F377BE" w:rsidRPr="00F377BE" w:rsidRDefault="00F377BE" w:rsidP="00F377BE">
            <w:pPr>
              <w:jc w:val="center"/>
              <w:rPr>
                <w:sz w:val="20"/>
                <w:szCs w:val="20"/>
              </w:rPr>
            </w:pPr>
            <w:r w:rsidRPr="00F377BE">
              <w:rPr>
                <w:sz w:val="20"/>
                <w:szCs w:val="20"/>
              </w:rPr>
              <w:t>2.45 (1.00)</w:t>
            </w:r>
          </w:p>
        </w:tc>
        <w:tc>
          <w:tcPr>
            <w:tcW w:w="282" w:type="dxa"/>
            <w:vAlign w:val="center"/>
          </w:tcPr>
          <w:p w14:paraId="7FAB3DA0" w14:textId="77777777" w:rsidR="00F377BE" w:rsidRPr="00F377BE" w:rsidRDefault="00F377BE" w:rsidP="00F377BE">
            <w:pPr>
              <w:jc w:val="center"/>
              <w:rPr>
                <w:sz w:val="20"/>
                <w:szCs w:val="20"/>
              </w:rPr>
            </w:pPr>
          </w:p>
        </w:tc>
        <w:tc>
          <w:tcPr>
            <w:tcW w:w="2271" w:type="dxa"/>
            <w:vAlign w:val="center"/>
          </w:tcPr>
          <w:p w14:paraId="676831B6" w14:textId="77777777" w:rsidR="00F377BE" w:rsidRPr="00F377BE" w:rsidRDefault="00F377BE" w:rsidP="00F377BE">
            <w:pPr>
              <w:jc w:val="center"/>
              <w:rPr>
                <w:sz w:val="20"/>
                <w:szCs w:val="20"/>
              </w:rPr>
            </w:pPr>
            <w:r w:rsidRPr="00F377BE">
              <w:rPr>
                <w:sz w:val="20"/>
                <w:szCs w:val="20"/>
                <w:vertAlign w:val="superscript"/>
              </w:rPr>
              <w:t>b</w:t>
            </w:r>
            <w:r w:rsidRPr="00F377BE">
              <w:rPr>
                <w:sz w:val="20"/>
                <w:szCs w:val="20"/>
              </w:rPr>
              <w:t xml:space="preserve"> 0.544</w:t>
            </w:r>
          </w:p>
        </w:tc>
        <w:tc>
          <w:tcPr>
            <w:tcW w:w="1985" w:type="dxa"/>
            <w:vAlign w:val="center"/>
          </w:tcPr>
          <w:p w14:paraId="2348066F" w14:textId="77777777" w:rsidR="00F377BE" w:rsidRPr="00F377BE" w:rsidRDefault="00F377BE" w:rsidP="00F377BE">
            <w:pPr>
              <w:jc w:val="center"/>
              <w:rPr>
                <w:sz w:val="20"/>
                <w:szCs w:val="20"/>
              </w:rPr>
            </w:pPr>
            <w:r w:rsidRPr="00F377BE">
              <w:rPr>
                <w:sz w:val="20"/>
                <w:szCs w:val="20"/>
              </w:rPr>
              <w:t>0.358</w:t>
            </w:r>
          </w:p>
        </w:tc>
        <w:tc>
          <w:tcPr>
            <w:tcW w:w="992" w:type="dxa"/>
          </w:tcPr>
          <w:p w14:paraId="1D2B98B5"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302111F2" w14:textId="77777777" w:rsidTr="00F377BE">
        <w:tc>
          <w:tcPr>
            <w:tcW w:w="850" w:type="dxa"/>
            <w:vAlign w:val="center"/>
          </w:tcPr>
          <w:p w14:paraId="62FDC953" w14:textId="77777777" w:rsidR="00F377BE" w:rsidRPr="00F377BE" w:rsidRDefault="00F377BE" w:rsidP="00F377BE">
            <w:pPr>
              <w:jc w:val="center"/>
              <w:rPr>
                <w:sz w:val="20"/>
                <w:szCs w:val="20"/>
              </w:rPr>
            </w:pPr>
            <w:r w:rsidRPr="00F377BE">
              <w:rPr>
                <w:sz w:val="20"/>
                <w:szCs w:val="20"/>
              </w:rPr>
              <w:t>15</w:t>
            </w:r>
          </w:p>
        </w:tc>
        <w:tc>
          <w:tcPr>
            <w:tcW w:w="1133" w:type="dxa"/>
            <w:vAlign w:val="center"/>
          </w:tcPr>
          <w:p w14:paraId="3D215F2D" w14:textId="77777777" w:rsidR="00F377BE" w:rsidRPr="00F377BE" w:rsidRDefault="00F377BE" w:rsidP="00F377BE">
            <w:pPr>
              <w:jc w:val="center"/>
              <w:rPr>
                <w:sz w:val="20"/>
                <w:szCs w:val="20"/>
              </w:rPr>
            </w:pPr>
            <w:r w:rsidRPr="00F377BE">
              <w:rPr>
                <w:sz w:val="20"/>
                <w:szCs w:val="20"/>
              </w:rPr>
              <w:t>3.01 (1.02)</w:t>
            </w:r>
          </w:p>
        </w:tc>
        <w:tc>
          <w:tcPr>
            <w:tcW w:w="282" w:type="dxa"/>
            <w:vAlign w:val="center"/>
          </w:tcPr>
          <w:p w14:paraId="444D1C03" w14:textId="77777777" w:rsidR="00F377BE" w:rsidRPr="00F377BE" w:rsidRDefault="00F377BE" w:rsidP="00F377BE">
            <w:pPr>
              <w:jc w:val="center"/>
              <w:rPr>
                <w:sz w:val="20"/>
                <w:szCs w:val="20"/>
              </w:rPr>
            </w:pPr>
          </w:p>
        </w:tc>
        <w:tc>
          <w:tcPr>
            <w:tcW w:w="2271" w:type="dxa"/>
          </w:tcPr>
          <w:p w14:paraId="5D3870AF" w14:textId="77777777" w:rsidR="00F377BE" w:rsidRPr="00F377BE" w:rsidRDefault="00F377BE" w:rsidP="00F377BE">
            <w:pPr>
              <w:jc w:val="center"/>
              <w:rPr>
                <w:sz w:val="20"/>
                <w:szCs w:val="20"/>
              </w:rPr>
            </w:pPr>
            <w:r w:rsidRPr="00F377BE">
              <w:rPr>
                <w:sz w:val="20"/>
                <w:szCs w:val="20"/>
              </w:rPr>
              <w:t>--</w:t>
            </w:r>
          </w:p>
        </w:tc>
        <w:tc>
          <w:tcPr>
            <w:tcW w:w="1985" w:type="dxa"/>
            <w:vAlign w:val="center"/>
          </w:tcPr>
          <w:p w14:paraId="5947E25B" w14:textId="77777777" w:rsidR="00F377BE" w:rsidRPr="00F377BE" w:rsidRDefault="00F377BE" w:rsidP="00F377BE">
            <w:pPr>
              <w:jc w:val="center"/>
              <w:rPr>
                <w:sz w:val="20"/>
                <w:szCs w:val="20"/>
              </w:rPr>
            </w:pPr>
            <w:r w:rsidRPr="00F377BE">
              <w:rPr>
                <w:sz w:val="20"/>
                <w:szCs w:val="20"/>
              </w:rPr>
              <w:t>0.741</w:t>
            </w:r>
          </w:p>
        </w:tc>
        <w:tc>
          <w:tcPr>
            <w:tcW w:w="992" w:type="dxa"/>
          </w:tcPr>
          <w:p w14:paraId="35C3B5C5"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4AD68FC7" w14:textId="77777777" w:rsidTr="00F377BE">
        <w:tc>
          <w:tcPr>
            <w:tcW w:w="850" w:type="dxa"/>
            <w:vAlign w:val="center"/>
          </w:tcPr>
          <w:p w14:paraId="7FBA4069" w14:textId="77777777" w:rsidR="00F377BE" w:rsidRPr="00F377BE" w:rsidRDefault="00F377BE" w:rsidP="00F377BE">
            <w:pPr>
              <w:jc w:val="center"/>
              <w:rPr>
                <w:sz w:val="20"/>
                <w:szCs w:val="20"/>
              </w:rPr>
            </w:pPr>
            <w:r w:rsidRPr="00F377BE">
              <w:rPr>
                <w:sz w:val="20"/>
                <w:szCs w:val="20"/>
              </w:rPr>
              <w:t>18</w:t>
            </w:r>
          </w:p>
        </w:tc>
        <w:tc>
          <w:tcPr>
            <w:tcW w:w="1133" w:type="dxa"/>
            <w:vAlign w:val="center"/>
          </w:tcPr>
          <w:p w14:paraId="2745F1A2" w14:textId="77777777" w:rsidR="00F377BE" w:rsidRPr="00F377BE" w:rsidRDefault="00F377BE" w:rsidP="00F377BE">
            <w:pPr>
              <w:jc w:val="center"/>
              <w:rPr>
                <w:sz w:val="20"/>
                <w:szCs w:val="20"/>
              </w:rPr>
            </w:pPr>
            <w:r w:rsidRPr="00F377BE">
              <w:rPr>
                <w:sz w:val="20"/>
                <w:szCs w:val="20"/>
              </w:rPr>
              <w:t>2.54 (1.03)</w:t>
            </w:r>
          </w:p>
        </w:tc>
        <w:tc>
          <w:tcPr>
            <w:tcW w:w="282" w:type="dxa"/>
            <w:vAlign w:val="center"/>
          </w:tcPr>
          <w:p w14:paraId="4153A67F" w14:textId="77777777" w:rsidR="00F377BE" w:rsidRPr="00F377BE" w:rsidRDefault="00F377BE" w:rsidP="00F377BE">
            <w:pPr>
              <w:jc w:val="center"/>
              <w:rPr>
                <w:sz w:val="20"/>
                <w:szCs w:val="20"/>
              </w:rPr>
            </w:pPr>
          </w:p>
        </w:tc>
        <w:tc>
          <w:tcPr>
            <w:tcW w:w="2271" w:type="dxa"/>
          </w:tcPr>
          <w:p w14:paraId="41273D63" w14:textId="77777777" w:rsidR="00F377BE" w:rsidRPr="00F377BE" w:rsidRDefault="00F377BE" w:rsidP="00F377BE">
            <w:pPr>
              <w:jc w:val="center"/>
              <w:rPr>
                <w:sz w:val="20"/>
                <w:szCs w:val="20"/>
              </w:rPr>
            </w:pPr>
            <w:r w:rsidRPr="00F377BE">
              <w:rPr>
                <w:sz w:val="20"/>
                <w:szCs w:val="20"/>
              </w:rPr>
              <w:t>--</w:t>
            </w:r>
          </w:p>
        </w:tc>
        <w:tc>
          <w:tcPr>
            <w:tcW w:w="1985" w:type="dxa"/>
            <w:vAlign w:val="center"/>
          </w:tcPr>
          <w:p w14:paraId="196AE458" w14:textId="77777777" w:rsidR="00F377BE" w:rsidRPr="00F377BE" w:rsidRDefault="00F377BE" w:rsidP="00F377BE">
            <w:pPr>
              <w:jc w:val="center"/>
              <w:rPr>
                <w:sz w:val="20"/>
                <w:szCs w:val="20"/>
              </w:rPr>
            </w:pPr>
            <w:r w:rsidRPr="00F377BE">
              <w:rPr>
                <w:sz w:val="20"/>
                <w:szCs w:val="20"/>
              </w:rPr>
              <w:t>0.712</w:t>
            </w:r>
          </w:p>
        </w:tc>
        <w:tc>
          <w:tcPr>
            <w:tcW w:w="992" w:type="dxa"/>
          </w:tcPr>
          <w:p w14:paraId="34C6D498"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6397828C" w14:textId="77777777" w:rsidTr="00F377BE">
        <w:tc>
          <w:tcPr>
            <w:tcW w:w="850" w:type="dxa"/>
            <w:vAlign w:val="center"/>
          </w:tcPr>
          <w:p w14:paraId="2456A6DA" w14:textId="77777777" w:rsidR="00F377BE" w:rsidRPr="00F377BE" w:rsidRDefault="00F377BE" w:rsidP="00F377BE">
            <w:pPr>
              <w:jc w:val="center"/>
              <w:rPr>
                <w:sz w:val="20"/>
                <w:szCs w:val="20"/>
              </w:rPr>
            </w:pPr>
            <w:r w:rsidRPr="00F377BE">
              <w:rPr>
                <w:sz w:val="20"/>
                <w:szCs w:val="20"/>
              </w:rPr>
              <w:t>13</w:t>
            </w:r>
          </w:p>
        </w:tc>
        <w:tc>
          <w:tcPr>
            <w:tcW w:w="1133" w:type="dxa"/>
            <w:vAlign w:val="center"/>
          </w:tcPr>
          <w:p w14:paraId="2B4BBFB4" w14:textId="77777777" w:rsidR="00F377BE" w:rsidRPr="00F377BE" w:rsidRDefault="00F377BE" w:rsidP="00F377BE">
            <w:pPr>
              <w:jc w:val="center"/>
              <w:rPr>
                <w:sz w:val="20"/>
                <w:szCs w:val="20"/>
              </w:rPr>
            </w:pPr>
            <w:r w:rsidRPr="00F377BE">
              <w:rPr>
                <w:sz w:val="20"/>
                <w:szCs w:val="20"/>
              </w:rPr>
              <w:t>2.67 (0.98)</w:t>
            </w:r>
          </w:p>
        </w:tc>
        <w:tc>
          <w:tcPr>
            <w:tcW w:w="282" w:type="dxa"/>
            <w:vAlign w:val="center"/>
          </w:tcPr>
          <w:p w14:paraId="1406334F" w14:textId="77777777" w:rsidR="00F377BE" w:rsidRPr="00F377BE" w:rsidRDefault="00F377BE" w:rsidP="00F377BE">
            <w:pPr>
              <w:jc w:val="center"/>
              <w:rPr>
                <w:sz w:val="20"/>
                <w:szCs w:val="20"/>
              </w:rPr>
            </w:pPr>
          </w:p>
        </w:tc>
        <w:tc>
          <w:tcPr>
            <w:tcW w:w="2271" w:type="dxa"/>
          </w:tcPr>
          <w:p w14:paraId="4CEB2C26" w14:textId="77777777" w:rsidR="00F377BE" w:rsidRPr="00F377BE" w:rsidRDefault="00F377BE" w:rsidP="00F377BE">
            <w:pPr>
              <w:jc w:val="center"/>
              <w:rPr>
                <w:sz w:val="20"/>
                <w:szCs w:val="20"/>
              </w:rPr>
            </w:pPr>
            <w:r w:rsidRPr="00F377BE">
              <w:rPr>
                <w:sz w:val="20"/>
                <w:szCs w:val="20"/>
              </w:rPr>
              <w:t>--</w:t>
            </w:r>
          </w:p>
        </w:tc>
        <w:tc>
          <w:tcPr>
            <w:tcW w:w="1985" w:type="dxa"/>
            <w:vAlign w:val="center"/>
          </w:tcPr>
          <w:p w14:paraId="75098E76" w14:textId="77777777" w:rsidR="00F377BE" w:rsidRPr="00F377BE" w:rsidRDefault="00F377BE" w:rsidP="00F377BE">
            <w:pPr>
              <w:jc w:val="center"/>
              <w:rPr>
                <w:sz w:val="20"/>
                <w:szCs w:val="20"/>
              </w:rPr>
            </w:pPr>
            <w:r w:rsidRPr="00F377BE">
              <w:rPr>
                <w:sz w:val="20"/>
                <w:szCs w:val="20"/>
              </w:rPr>
              <w:t>0.697</w:t>
            </w:r>
          </w:p>
        </w:tc>
        <w:tc>
          <w:tcPr>
            <w:tcW w:w="992" w:type="dxa"/>
          </w:tcPr>
          <w:p w14:paraId="0AAB2AD9" w14:textId="77777777" w:rsidR="00F377BE" w:rsidRPr="00F377BE" w:rsidRDefault="00F377BE" w:rsidP="00F377BE">
            <w:pPr>
              <w:jc w:val="center"/>
              <w:rPr>
                <w:color w:val="00B0F0"/>
                <w:sz w:val="20"/>
                <w:szCs w:val="20"/>
              </w:rPr>
            </w:pPr>
            <w:r w:rsidRPr="00F377BE">
              <w:rPr>
                <w:sz w:val="20"/>
                <w:szCs w:val="20"/>
              </w:rPr>
              <w:t>--</w:t>
            </w:r>
          </w:p>
        </w:tc>
      </w:tr>
      <w:tr w:rsidR="00F377BE" w:rsidRPr="00F377BE" w14:paraId="5357E46D" w14:textId="77777777" w:rsidTr="00F377BE">
        <w:tc>
          <w:tcPr>
            <w:tcW w:w="850" w:type="dxa"/>
            <w:vAlign w:val="center"/>
          </w:tcPr>
          <w:p w14:paraId="46782C25" w14:textId="77777777" w:rsidR="00F377BE" w:rsidRPr="00F377BE" w:rsidRDefault="00F377BE" w:rsidP="00F377BE">
            <w:pPr>
              <w:jc w:val="center"/>
              <w:rPr>
                <w:sz w:val="20"/>
                <w:szCs w:val="20"/>
              </w:rPr>
            </w:pPr>
            <w:r w:rsidRPr="00F377BE">
              <w:rPr>
                <w:sz w:val="20"/>
                <w:szCs w:val="20"/>
              </w:rPr>
              <w:t>16</w:t>
            </w:r>
          </w:p>
        </w:tc>
        <w:tc>
          <w:tcPr>
            <w:tcW w:w="1133" w:type="dxa"/>
            <w:vAlign w:val="center"/>
          </w:tcPr>
          <w:p w14:paraId="0B4267E1" w14:textId="77777777" w:rsidR="00F377BE" w:rsidRPr="00F377BE" w:rsidRDefault="00F377BE" w:rsidP="00F377BE">
            <w:pPr>
              <w:jc w:val="center"/>
              <w:rPr>
                <w:sz w:val="20"/>
                <w:szCs w:val="20"/>
              </w:rPr>
            </w:pPr>
            <w:r w:rsidRPr="00F377BE">
              <w:rPr>
                <w:sz w:val="20"/>
                <w:szCs w:val="20"/>
              </w:rPr>
              <w:t>2.52 (1.06)</w:t>
            </w:r>
          </w:p>
        </w:tc>
        <w:tc>
          <w:tcPr>
            <w:tcW w:w="282" w:type="dxa"/>
            <w:vAlign w:val="center"/>
          </w:tcPr>
          <w:p w14:paraId="0D97CD73" w14:textId="77777777" w:rsidR="00F377BE" w:rsidRPr="00F377BE" w:rsidRDefault="00F377BE" w:rsidP="00F377BE">
            <w:pPr>
              <w:jc w:val="center"/>
              <w:rPr>
                <w:sz w:val="20"/>
                <w:szCs w:val="20"/>
              </w:rPr>
            </w:pPr>
          </w:p>
        </w:tc>
        <w:tc>
          <w:tcPr>
            <w:tcW w:w="2271" w:type="dxa"/>
            <w:vAlign w:val="center"/>
          </w:tcPr>
          <w:p w14:paraId="13B17CC9" w14:textId="77777777" w:rsidR="00F377BE" w:rsidRPr="00F377BE" w:rsidRDefault="00F377BE" w:rsidP="00F377BE">
            <w:pPr>
              <w:jc w:val="center"/>
              <w:rPr>
                <w:sz w:val="20"/>
                <w:szCs w:val="20"/>
              </w:rPr>
            </w:pPr>
            <w:r w:rsidRPr="00F377BE">
              <w:rPr>
                <w:sz w:val="20"/>
                <w:szCs w:val="20"/>
              </w:rPr>
              <w:t>0.307</w:t>
            </w:r>
          </w:p>
        </w:tc>
        <w:tc>
          <w:tcPr>
            <w:tcW w:w="1985" w:type="dxa"/>
            <w:vAlign w:val="center"/>
          </w:tcPr>
          <w:p w14:paraId="1B0CF3DA" w14:textId="77777777" w:rsidR="00F377BE" w:rsidRPr="00F377BE" w:rsidRDefault="00F377BE" w:rsidP="00F377BE">
            <w:pPr>
              <w:jc w:val="center"/>
              <w:rPr>
                <w:sz w:val="20"/>
                <w:szCs w:val="20"/>
              </w:rPr>
            </w:pPr>
            <w:r w:rsidRPr="00F377BE">
              <w:rPr>
                <w:sz w:val="20"/>
                <w:szCs w:val="20"/>
                <w:vertAlign w:val="superscript"/>
              </w:rPr>
              <w:t>c</w:t>
            </w:r>
            <w:r w:rsidRPr="00F377BE">
              <w:rPr>
                <w:sz w:val="20"/>
                <w:szCs w:val="20"/>
              </w:rPr>
              <w:t xml:space="preserve"> 0.664</w:t>
            </w:r>
          </w:p>
        </w:tc>
        <w:tc>
          <w:tcPr>
            <w:tcW w:w="992" w:type="dxa"/>
          </w:tcPr>
          <w:p w14:paraId="5AF3BAF3" w14:textId="77777777" w:rsidR="00F377BE" w:rsidRPr="00F377BE" w:rsidRDefault="00F377BE" w:rsidP="00F377BE">
            <w:pPr>
              <w:jc w:val="center"/>
              <w:rPr>
                <w:sz w:val="20"/>
                <w:szCs w:val="20"/>
              </w:rPr>
            </w:pPr>
            <w:r w:rsidRPr="00F377BE">
              <w:rPr>
                <w:sz w:val="20"/>
                <w:szCs w:val="20"/>
              </w:rPr>
              <w:t>--</w:t>
            </w:r>
          </w:p>
        </w:tc>
      </w:tr>
      <w:tr w:rsidR="00F377BE" w:rsidRPr="00F377BE" w14:paraId="0576D7F7" w14:textId="77777777" w:rsidTr="00F377BE">
        <w:tc>
          <w:tcPr>
            <w:tcW w:w="850" w:type="dxa"/>
            <w:vAlign w:val="center"/>
          </w:tcPr>
          <w:p w14:paraId="6DE315DE" w14:textId="77777777" w:rsidR="00F377BE" w:rsidRPr="00F377BE" w:rsidRDefault="00F377BE" w:rsidP="00F377BE">
            <w:pPr>
              <w:jc w:val="center"/>
              <w:rPr>
                <w:sz w:val="20"/>
                <w:szCs w:val="20"/>
              </w:rPr>
            </w:pPr>
            <w:r w:rsidRPr="00F377BE">
              <w:rPr>
                <w:sz w:val="20"/>
                <w:szCs w:val="20"/>
              </w:rPr>
              <w:t>3</w:t>
            </w:r>
          </w:p>
        </w:tc>
        <w:tc>
          <w:tcPr>
            <w:tcW w:w="1133" w:type="dxa"/>
            <w:vAlign w:val="center"/>
          </w:tcPr>
          <w:p w14:paraId="3BCAD18C" w14:textId="77777777" w:rsidR="00F377BE" w:rsidRPr="00F377BE" w:rsidRDefault="00F377BE" w:rsidP="00F377BE">
            <w:pPr>
              <w:jc w:val="center"/>
              <w:rPr>
                <w:sz w:val="20"/>
                <w:szCs w:val="20"/>
              </w:rPr>
            </w:pPr>
            <w:r w:rsidRPr="00F377BE">
              <w:rPr>
                <w:sz w:val="20"/>
                <w:szCs w:val="20"/>
              </w:rPr>
              <w:t>2.26 (1.02)</w:t>
            </w:r>
          </w:p>
        </w:tc>
        <w:tc>
          <w:tcPr>
            <w:tcW w:w="282" w:type="dxa"/>
            <w:vAlign w:val="center"/>
          </w:tcPr>
          <w:p w14:paraId="6ED5B0E9" w14:textId="77777777" w:rsidR="00F377BE" w:rsidRPr="00F377BE" w:rsidRDefault="00F377BE" w:rsidP="00F377BE">
            <w:pPr>
              <w:jc w:val="center"/>
              <w:rPr>
                <w:sz w:val="20"/>
                <w:szCs w:val="20"/>
              </w:rPr>
            </w:pPr>
          </w:p>
        </w:tc>
        <w:tc>
          <w:tcPr>
            <w:tcW w:w="2271" w:type="dxa"/>
            <w:vAlign w:val="center"/>
          </w:tcPr>
          <w:p w14:paraId="16F0DEAC" w14:textId="77777777" w:rsidR="00F377BE" w:rsidRPr="00F377BE" w:rsidRDefault="00F377BE" w:rsidP="00F377BE">
            <w:pPr>
              <w:jc w:val="center"/>
              <w:rPr>
                <w:sz w:val="20"/>
                <w:szCs w:val="20"/>
              </w:rPr>
            </w:pPr>
            <w:r w:rsidRPr="00F377BE">
              <w:rPr>
                <w:sz w:val="20"/>
                <w:szCs w:val="20"/>
              </w:rPr>
              <w:t>0.399</w:t>
            </w:r>
          </w:p>
        </w:tc>
        <w:tc>
          <w:tcPr>
            <w:tcW w:w="1985" w:type="dxa"/>
            <w:vAlign w:val="center"/>
          </w:tcPr>
          <w:p w14:paraId="319B220F" w14:textId="77777777" w:rsidR="00F377BE" w:rsidRPr="00F377BE" w:rsidRDefault="00F377BE" w:rsidP="00F377BE">
            <w:pPr>
              <w:jc w:val="center"/>
              <w:rPr>
                <w:sz w:val="20"/>
                <w:szCs w:val="20"/>
              </w:rPr>
            </w:pPr>
            <w:r w:rsidRPr="00F377BE">
              <w:rPr>
                <w:sz w:val="20"/>
                <w:szCs w:val="20"/>
                <w:vertAlign w:val="superscript"/>
              </w:rPr>
              <w:t>d</w:t>
            </w:r>
            <w:r w:rsidRPr="00F377BE">
              <w:rPr>
                <w:sz w:val="20"/>
                <w:szCs w:val="20"/>
              </w:rPr>
              <w:t xml:space="preserve"> 0.601</w:t>
            </w:r>
          </w:p>
        </w:tc>
        <w:tc>
          <w:tcPr>
            <w:tcW w:w="992" w:type="dxa"/>
          </w:tcPr>
          <w:p w14:paraId="27766E6B" w14:textId="77777777" w:rsidR="00F377BE" w:rsidRPr="00F377BE" w:rsidRDefault="00F377BE" w:rsidP="00F377BE">
            <w:pPr>
              <w:jc w:val="center"/>
              <w:rPr>
                <w:sz w:val="20"/>
                <w:szCs w:val="20"/>
              </w:rPr>
            </w:pPr>
            <w:r w:rsidRPr="00F377BE">
              <w:rPr>
                <w:sz w:val="20"/>
                <w:szCs w:val="20"/>
              </w:rPr>
              <w:t>--</w:t>
            </w:r>
          </w:p>
        </w:tc>
      </w:tr>
      <w:tr w:rsidR="00F377BE" w:rsidRPr="00F377BE" w14:paraId="0BF35D1C" w14:textId="77777777" w:rsidTr="00F377BE">
        <w:tc>
          <w:tcPr>
            <w:tcW w:w="850" w:type="dxa"/>
            <w:vAlign w:val="center"/>
          </w:tcPr>
          <w:p w14:paraId="3B47D115" w14:textId="77777777" w:rsidR="00F377BE" w:rsidRPr="00F377BE" w:rsidRDefault="00F377BE" w:rsidP="00F377BE">
            <w:pPr>
              <w:jc w:val="center"/>
              <w:rPr>
                <w:sz w:val="20"/>
                <w:szCs w:val="20"/>
              </w:rPr>
            </w:pPr>
            <w:r w:rsidRPr="00F377BE">
              <w:rPr>
                <w:sz w:val="20"/>
                <w:szCs w:val="20"/>
              </w:rPr>
              <w:t>8</w:t>
            </w:r>
          </w:p>
        </w:tc>
        <w:tc>
          <w:tcPr>
            <w:tcW w:w="1133" w:type="dxa"/>
            <w:vAlign w:val="center"/>
          </w:tcPr>
          <w:p w14:paraId="4D2CEEDD" w14:textId="77777777" w:rsidR="00F377BE" w:rsidRPr="00F377BE" w:rsidRDefault="00F377BE" w:rsidP="00F377BE">
            <w:pPr>
              <w:jc w:val="center"/>
              <w:rPr>
                <w:sz w:val="20"/>
                <w:szCs w:val="20"/>
              </w:rPr>
            </w:pPr>
            <w:r w:rsidRPr="00F377BE">
              <w:rPr>
                <w:sz w:val="20"/>
                <w:szCs w:val="20"/>
              </w:rPr>
              <w:t>2.95 (1.03)</w:t>
            </w:r>
          </w:p>
        </w:tc>
        <w:tc>
          <w:tcPr>
            <w:tcW w:w="282" w:type="dxa"/>
            <w:vAlign w:val="center"/>
          </w:tcPr>
          <w:p w14:paraId="4FD48520" w14:textId="77777777" w:rsidR="00F377BE" w:rsidRPr="00F377BE" w:rsidRDefault="00F377BE" w:rsidP="00F377BE">
            <w:pPr>
              <w:jc w:val="center"/>
              <w:rPr>
                <w:sz w:val="20"/>
                <w:szCs w:val="20"/>
              </w:rPr>
            </w:pPr>
          </w:p>
        </w:tc>
        <w:tc>
          <w:tcPr>
            <w:tcW w:w="2271" w:type="dxa"/>
          </w:tcPr>
          <w:p w14:paraId="27040B98" w14:textId="77777777" w:rsidR="00F377BE" w:rsidRPr="00F377BE" w:rsidRDefault="00F377BE" w:rsidP="00F377BE">
            <w:pPr>
              <w:jc w:val="center"/>
              <w:rPr>
                <w:sz w:val="20"/>
                <w:szCs w:val="20"/>
              </w:rPr>
            </w:pPr>
            <w:r w:rsidRPr="00F377BE">
              <w:rPr>
                <w:sz w:val="20"/>
                <w:szCs w:val="20"/>
              </w:rPr>
              <w:t>--</w:t>
            </w:r>
          </w:p>
        </w:tc>
        <w:tc>
          <w:tcPr>
            <w:tcW w:w="1985" w:type="dxa"/>
            <w:vAlign w:val="center"/>
          </w:tcPr>
          <w:p w14:paraId="613DA06E" w14:textId="77777777" w:rsidR="00F377BE" w:rsidRPr="00F377BE" w:rsidRDefault="00F377BE" w:rsidP="00F377BE">
            <w:pPr>
              <w:jc w:val="center"/>
              <w:rPr>
                <w:sz w:val="20"/>
                <w:szCs w:val="20"/>
              </w:rPr>
            </w:pPr>
            <w:r w:rsidRPr="00F377BE">
              <w:rPr>
                <w:sz w:val="20"/>
                <w:szCs w:val="20"/>
                <w:vertAlign w:val="superscript"/>
              </w:rPr>
              <w:t>e</w:t>
            </w:r>
            <w:r w:rsidRPr="00F377BE">
              <w:rPr>
                <w:sz w:val="20"/>
                <w:szCs w:val="20"/>
              </w:rPr>
              <w:t xml:space="preserve"> 0.565</w:t>
            </w:r>
          </w:p>
        </w:tc>
        <w:tc>
          <w:tcPr>
            <w:tcW w:w="992" w:type="dxa"/>
          </w:tcPr>
          <w:p w14:paraId="1440907A" w14:textId="77777777" w:rsidR="00F377BE" w:rsidRPr="00F377BE" w:rsidRDefault="00F377BE" w:rsidP="00F377BE">
            <w:pPr>
              <w:jc w:val="center"/>
              <w:rPr>
                <w:sz w:val="20"/>
                <w:szCs w:val="20"/>
              </w:rPr>
            </w:pPr>
            <w:r w:rsidRPr="00F377BE">
              <w:rPr>
                <w:sz w:val="20"/>
                <w:szCs w:val="20"/>
              </w:rPr>
              <w:t>0.486</w:t>
            </w:r>
          </w:p>
        </w:tc>
      </w:tr>
      <w:tr w:rsidR="00F377BE" w:rsidRPr="00F377BE" w14:paraId="366E6261" w14:textId="77777777" w:rsidTr="00F377BE">
        <w:tc>
          <w:tcPr>
            <w:tcW w:w="850" w:type="dxa"/>
            <w:vAlign w:val="center"/>
          </w:tcPr>
          <w:p w14:paraId="1247A4E9" w14:textId="77777777" w:rsidR="00F377BE" w:rsidRPr="00F377BE" w:rsidRDefault="00F377BE" w:rsidP="00F377BE">
            <w:pPr>
              <w:jc w:val="center"/>
              <w:rPr>
                <w:sz w:val="20"/>
                <w:szCs w:val="20"/>
              </w:rPr>
            </w:pPr>
            <w:r w:rsidRPr="00F377BE">
              <w:rPr>
                <w:sz w:val="20"/>
                <w:szCs w:val="20"/>
              </w:rPr>
              <w:t>9</w:t>
            </w:r>
          </w:p>
        </w:tc>
        <w:tc>
          <w:tcPr>
            <w:tcW w:w="1133" w:type="dxa"/>
            <w:vAlign w:val="center"/>
          </w:tcPr>
          <w:p w14:paraId="618E38CA" w14:textId="77777777" w:rsidR="00F377BE" w:rsidRPr="00F377BE" w:rsidRDefault="00F377BE" w:rsidP="00F377BE">
            <w:pPr>
              <w:jc w:val="center"/>
              <w:rPr>
                <w:sz w:val="20"/>
                <w:szCs w:val="20"/>
              </w:rPr>
            </w:pPr>
            <w:r w:rsidRPr="00F377BE">
              <w:rPr>
                <w:sz w:val="20"/>
                <w:szCs w:val="20"/>
              </w:rPr>
              <w:t>2.85 (0.96)</w:t>
            </w:r>
          </w:p>
        </w:tc>
        <w:tc>
          <w:tcPr>
            <w:tcW w:w="282" w:type="dxa"/>
            <w:vAlign w:val="center"/>
          </w:tcPr>
          <w:p w14:paraId="2825756D" w14:textId="77777777" w:rsidR="00F377BE" w:rsidRPr="00F377BE" w:rsidRDefault="00F377BE" w:rsidP="00F377BE">
            <w:pPr>
              <w:jc w:val="center"/>
              <w:rPr>
                <w:sz w:val="20"/>
                <w:szCs w:val="20"/>
              </w:rPr>
            </w:pPr>
          </w:p>
        </w:tc>
        <w:tc>
          <w:tcPr>
            <w:tcW w:w="2271" w:type="dxa"/>
          </w:tcPr>
          <w:p w14:paraId="40169A7C" w14:textId="77777777" w:rsidR="00F377BE" w:rsidRPr="00F377BE" w:rsidRDefault="00F377BE" w:rsidP="00F377BE">
            <w:pPr>
              <w:jc w:val="center"/>
              <w:rPr>
                <w:sz w:val="20"/>
                <w:szCs w:val="20"/>
              </w:rPr>
            </w:pPr>
            <w:r w:rsidRPr="00F377BE">
              <w:rPr>
                <w:sz w:val="20"/>
                <w:szCs w:val="20"/>
              </w:rPr>
              <w:t>--</w:t>
            </w:r>
          </w:p>
        </w:tc>
        <w:tc>
          <w:tcPr>
            <w:tcW w:w="1985" w:type="dxa"/>
            <w:vAlign w:val="center"/>
          </w:tcPr>
          <w:p w14:paraId="3E315041" w14:textId="77777777" w:rsidR="00F377BE" w:rsidRPr="00F377BE" w:rsidRDefault="00F377BE" w:rsidP="00F377BE">
            <w:pPr>
              <w:jc w:val="center"/>
              <w:rPr>
                <w:sz w:val="20"/>
                <w:szCs w:val="20"/>
              </w:rPr>
            </w:pPr>
            <w:r w:rsidRPr="00F377BE">
              <w:rPr>
                <w:sz w:val="20"/>
                <w:szCs w:val="20"/>
              </w:rPr>
              <w:t>0.486</w:t>
            </w:r>
          </w:p>
        </w:tc>
        <w:tc>
          <w:tcPr>
            <w:tcW w:w="992" w:type="dxa"/>
          </w:tcPr>
          <w:p w14:paraId="04E092DA" w14:textId="77777777" w:rsidR="00F377BE" w:rsidRPr="00F377BE" w:rsidRDefault="00F377BE" w:rsidP="00F377BE">
            <w:pPr>
              <w:jc w:val="center"/>
              <w:rPr>
                <w:sz w:val="20"/>
                <w:szCs w:val="20"/>
              </w:rPr>
            </w:pPr>
            <w:r w:rsidRPr="00F377BE">
              <w:rPr>
                <w:sz w:val="20"/>
                <w:szCs w:val="20"/>
              </w:rPr>
              <w:t>--</w:t>
            </w:r>
          </w:p>
        </w:tc>
      </w:tr>
      <w:tr w:rsidR="00F377BE" w:rsidRPr="00F377BE" w14:paraId="242719FA" w14:textId="77777777" w:rsidTr="00F377BE">
        <w:tc>
          <w:tcPr>
            <w:tcW w:w="850" w:type="dxa"/>
            <w:vAlign w:val="center"/>
          </w:tcPr>
          <w:p w14:paraId="43C0EB05" w14:textId="77777777" w:rsidR="00F377BE" w:rsidRPr="00F377BE" w:rsidRDefault="00F377BE" w:rsidP="00F377BE">
            <w:pPr>
              <w:jc w:val="center"/>
              <w:rPr>
                <w:sz w:val="20"/>
                <w:szCs w:val="20"/>
              </w:rPr>
            </w:pPr>
            <w:r w:rsidRPr="00F377BE">
              <w:rPr>
                <w:sz w:val="20"/>
                <w:szCs w:val="20"/>
              </w:rPr>
              <w:t>1</w:t>
            </w:r>
          </w:p>
        </w:tc>
        <w:tc>
          <w:tcPr>
            <w:tcW w:w="1133" w:type="dxa"/>
            <w:vAlign w:val="center"/>
          </w:tcPr>
          <w:p w14:paraId="5B04F91B" w14:textId="77777777" w:rsidR="00F377BE" w:rsidRPr="00F377BE" w:rsidRDefault="00F377BE" w:rsidP="00F377BE">
            <w:pPr>
              <w:jc w:val="center"/>
              <w:rPr>
                <w:sz w:val="20"/>
                <w:szCs w:val="20"/>
              </w:rPr>
            </w:pPr>
            <w:r w:rsidRPr="00F377BE">
              <w:rPr>
                <w:sz w:val="20"/>
                <w:szCs w:val="20"/>
              </w:rPr>
              <w:t>2.40 (1.09)</w:t>
            </w:r>
          </w:p>
        </w:tc>
        <w:tc>
          <w:tcPr>
            <w:tcW w:w="282" w:type="dxa"/>
            <w:vAlign w:val="center"/>
          </w:tcPr>
          <w:p w14:paraId="68D555ED" w14:textId="77777777" w:rsidR="00F377BE" w:rsidRPr="00F377BE" w:rsidRDefault="00F377BE" w:rsidP="00F377BE">
            <w:pPr>
              <w:jc w:val="center"/>
              <w:rPr>
                <w:sz w:val="20"/>
                <w:szCs w:val="20"/>
              </w:rPr>
            </w:pPr>
          </w:p>
        </w:tc>
        <w:tc>
          <w:tcPr>
            <w:tcW w:w="2271" w:type="dxa"/>
            <w:vAlign w:val="center"/>
          </w:tcPr>
          <w:p w14:paraId="5B4E4C1F" w14:textId="77777777" w:rsidR="00F377BE" w:rsidRPr="00F377BE" w:rsidRDefault="00F377BE" w:rsidP="00F377BE">
            <w:pPr>
              <w:jc w:val="center"/>
              <w:rPr>
                <w:sz w:val="20"/>
                <w:szCs w:val="20"/>
              </w:rPr>
            </w:pPr>
            <w:r w:rsidRPr="00F377BE">
              <w:rPr>
                <w:sz w:val="20"/>
                <w:szCs w:val="20"/>
              </w:rPr>
              <w:t>0.335</w:t>
            </w:r>
          </w:p>
        </w:tc>
        <w:tc>
          <w:tcPr>
            <w:tcW w:w="1985" w:type="dxa"/>
            <w:vAlign w:val="center"/>
          </w:tcPr>
          <w:p w14:paraId="65CB3819" w14:textId="77777777" w:rsidR="00F377BE" w:rsidRPr="00F377BE" w:rsidRDefault="00F377BE" w:rsidP="00F377BE">
            <w:pPr>
              <w:jc w:val="center"/>
              <w:rPr>
                <w:sz w:val="20"/>
                <w:szCs w:val="20"/>
              </w:rPr>
            </w:pPr>
            <w:r w:rsidRPr="00F377BE">
              <w:rPr>
                <w:sz w:val="20"/>
                <w:szCs w:val="20"/>
                <w:vertAlign w:val="superscript"/>
              </w:rPr>
              <w:t>f</w:t>
            </w:r>
            <w:r w:rsidRPr="00F377BE">
              <w:rPr>
                <w:sz w:val="20"/>
                <w:szCs w:val="20"/>
              </w:rPr>
              <w:t xml:space="preserve"> 0.473</w:t>
            </w:r>
          </w:p>
        </w:tc>
        <w:tc>
          <w:tcPr>
            <w:tcW w:w="992" w:type="dxa"/>
          </w:tcPr>
          <w:p w14:paraId="4033F411" w14:textId="77777777" w:rsidR="00F377BE" w:rsidRPr="00F377BE" w:rsidRDefault="00F377BE" w:rsidP="00F377BE">
            <w:pPr>
              <w:jc w:val="center"/>
              <w:rPr>
                <w:sz w:val="20"/>
                <w:szCs w:val="20"/>
              </w:rPr>
            </w:pPr>
            <w:r w:rsidRPr="00F377BE">
              <w:rPr>
                <w:sz w:val="20"/>
                <w:szCs w:val="20"/>
              </w:rPr>
              <w:t>--</w:t>
            </w:r>
          </w:p>
        </w:tc>
      </w:tr>
      <w:tr w:rsidR="00F377BE" w:rsidRPr="00F377BE" w14:paraId="7748FC39" w14:textId="77777777" w:rsidTr="00F377BE">
        <w:tc>
          <w:tcPr>
            <w:tcW w:w="850" w:type="dxa"/>
            <w:tcBorders>
              <w:bottom w:val="single" w:sz="4" w:space="0" w:color="auto"/>
            </w:tcBorders>
            <w:vAlign w:val="center"/>
          </w:tcPr>
          <w:p w14:paraId="0B1C5195" w14:textId="77777777" w:rsidR="00F377BE" w:rsidRPr="00F377BE" w:rsidRDefault="00F377BE" w:rsidP="00F377BE">
            <w:pPr>
              <w:jc w:val="center"/>
              <w:rPr>
                <w:sz w:val="20"/>
                <w:szCs w:val="20"/>
              </w:rPr>
            </w:pPr>
            <w:r w:rsidRPr="00F377BE">
              <w:rPr>
                <w:sz w:val="20"/>
                <w:szCs w:val="20"/>
              </w:rPr>
              <w:t>17</w:t>
            </w:r>
          </w:p>
        </w:tc>
        <w:tc>
          <w:tcPr>
            <w:tcW w:w="1133" w:type="dxa"/>
            <w:tcBorders>
              <w:bottom w:val="single" w:sz="4" w:space="0" w:color="auto"/>
            </w:tcBorders>
            <w:vAlign w:val="center"/>
          </w:tcPr>
          <w:p w14:paraId="587278B9" w14:textId="77777777" w:rsidR="00F377BE" w:rsidRPr="00F377BE" w:rsidRDefault="00F377BE" w:rsidP="00F377BE">
            <w:pPr>
              <w:jc w:val="center"/>
              <w:rPr>
                <w:sz w:val="20"/>
                <w:szCs w:val="20"/>
              </w:rPr>
            </w:pPr>
            <w:r w:rsidRPr="00F377BE">
              <w:rPr>
                <w:sz w:val="20"/>
                <w:szCs w:val="20"/>
              </w:rPr>
              <w:t>2.38 (1.11)</w:t>
            </w:r>
          </w:p>
        </w:tc>
        <w:tc>
          <w:tcPr>
            <w:tcW w:w="282" w:type="dxa"/>
            <w:tcBorders>
              <w:bottom w:val="single" w:sz="4" w:space="0" w:color="auto"/>
            </w:tcBorders>
            <w:vAlign w:val="center"/>
          </w:tcPr>
          <w:p w14:paraId="3A8E48DE" w14:textId="77777777" w:rsidR="00F377BE" w:rsidRPr="00F377BE" w:rsidRDefault="00F377BE" w:rsidP="00F377BE">
            <w:pPr>
              <w:jc w:val="center"/>
              <w:rPr>
                <w:sz w:val="20"/>
                <w:szCs w:val="20"/>
              </w:rPr>
            </w:pPr>
          </w:p>
        </w:tc>
        <w:tc>
          <w:tcPr>
            <w:tcW w:w="2271" w:type="dxa"/>
            <w:tcBorders>
              <w:bottom w:val="single" w:sz="4" w:space="0" w:color="auto"/>
            </w:tcBorders>
            <w:vAlign w:val="center"/>
          </w:tcPr>
          <w:p w14:paraId="7F8E498E" w14:textId="77777777" w:rsidR="00F377BE" w:rsidRPr="00F377BE" w:rsidRDefault="00F377BE" w:rsidP="00F377BE">
            <w:pPr>
              <w:jc w:val="center"/>
              <w:rPr>
                <w:sz w:val="20"/>
                <w:szCs w:val="20"/>
              </w:rPr>
            </w:pPr>
            <w:r w:rsidRPr="00F377BE">
              <w:rPr>
                <w:sz w:val="20"/>
                <w:szCs w:val="20"/>
              </w:rPr>
              <w:t>0.316</w:t>
            </w:r>
          </w:p>
        </w:tc>
        <w:tc>
          <w:tcPr>
            <w:tcW w:w="1985" w:type="dxa"/>
            <w:tcBorders>
              <w:bottom w:val="single" w:sz="4" w:space="0" w:color="auto"/>
            </w:tcBorders>
            <w:vAlign w:val="center"/>
          </w:tcPr>
          <w:p w14:paraId="10A8D5C8" w14:textId="77777777" w:rsidR="00F377BE" w:rsidRPr="00F377BE" w:rsidRDefault="00F377BE" w:rsidP="00F377BE">
            <w:pPr>
              <w:jc w:val="center"/>
              <w:rPr>
                <w:sz w:val="20"/>
                <w:szCs w:val="20"/>
              </w:rPr>
            </w:pPr>
            <w:r w:rsidRPr="00F377BE">
              <w:rPr>
                <w:sz w:val="20"/>
                <w:szCs w:val="20"/>
              </w:rPr>
              <w:t>--</w:t>
            </w:r>
          </w:p>
        </w:tc>
        <w:tc>
          <w:tcPr>
            <w:tcW w:w="992" w:type="dxa"/>
            <w:tcBorders>
              <w:bottom w:val="single" w:sz="4" w:space="0" w:color="auto"/>
            </w:tcBorders>
            <w:vAlign w:val="center"/>
          </w:tcPr>
          <w:p w14:paraId="381E239C" w14:textId="77777777" w:rsidR="00F377BE" w:rsidRPr="00F377BE" w:rsidRDefault="00F377BE" w:rsidP="00F377BE">
            <w:pPr>
              <w:jc w:val="center"/>
              <w:rPr>
                <w:sz w:val="20"/>
                <w:szCs w:val="20"/>
              </w:rPr>
            </w:pPr>
            <w:r w:rsidRPr="00F377BE">
              <w:rPr>
                <w:sz w:val="20"/>
                <w:szCs w:val="20"/>
                <w:vertAlign w:val="superscript"/>
              </w:rPr>
              <w:t>g</w:t>
            </w:r>
            <w:r w:rsidRPr="00F377BE">
              <w:rPr>
                <w:sz w:val="20"/>
                <w:szCs w:val="20"/>
              </w:rPr>
              <w:t xml:space="preserve"> 0.710</w:t>
            </w:r>
          </w:p>
        </w:tc>
      </w:tr>
      <w:tr w:rsidR="00F377BE" w:rsidRPr="00F377BE" w14:paraId="181B4511" w14:textId="77777777" w:rsidTr="00F377BE">
        <w:tc>
          <w:tcPr>
            <w:tcW w:w="850" w:type="dxa"/>
            <w:tcBorders>
              <w:top w:val="single" w:sz="4" w:space="0" w:color="auto"/>
            </w:tcBorders>
            <w:vAlign w:val="center"/>
          </w:tcPr>
          <w:p w14:paraId="46010DC5" w14:textId="77777777" w:rsidR="00F377BE" w:rsidRPr="00F377BE" w:rsidRDefault="00F377BE" w:rsidP="00F377BE">
            <w:pPr>
              <w:jc w:val="center"/>
              <w:rPr>
                <w:sz w:val="20"/>
                <w:szCs w:val="20"/>
              </w:rPr>
            </w:pPr>
            <w:r w:rsidRPr="00F377BE">
              <w:rPr>
                <w:sz w:val="20"/>
                <w:szCs w:val="20"/>
              </w:rPr>
              <w:t>% VE</w:t>
            </w:r>
          </w:p>
        </w:tc>
        <w:tc>
          <w:tcPr>
            <w:tcW w:w="1133" w:type="dxa"/>
            <w:tcBorders>
              <w:top w:val="single" w:sz="4" w:space="0" w:color="auto"/>
            </w:tcBorders>
            <w:vAlign w:val="center"/>
          </w:tcPr>
          <w:p w14:paraId="317A0A2C" w14:textId="77777777" w:rsidR="00F377BE" w:rsidRPr="00F377BE" w:rsidRDefault="00F377BE" w:rsidP="00F377BE">
            <w:pPr>
              <w:jc w:val="center"/>
              <w:rPr>
                <w:sz w:val="20"/>
                <w:szCs w:val="20"/>
              </w:rPr>
            </w:pPr>
          </w:p>
        </w:tc>
        <w:tc>
          <w:tcPr>
            <w:tcW w:w="282" w:type="dxa"/>
            <w:tcBorders>
              <w:top w:val="single" w:sz="4" w:space="0" w:color="auto"/>
            </w:tcBorders>
            <w:vAlign w:val="center"/>
          </w:tcPr>
          <w:p w14:paraId="31E4F807" w14:textId="77777777" w:rsidR="00F377BE" w:rsidRPr="00F377BE" w:rsidRDefault="00F377BE" w:rsidP="00F377BE">
            <w:pPr>
              <w:jc w:val="center"/>
              <w:rPr>
                <w:sz w:val="20"/>
                <w:szCs w:val="20"/>
              </w:rPr>
            </w:pPr>
          </w:p>
        </w:tc>
        <w:tc>
          <w:tcPr>
            <w:tcW w:w="2271" w:type="dxa"/>
            <w:tcBorders>
              <w:top w:val="single" w:sz="4" w:space="0" w:color="auto"/>
            </w:tcBorders>
            <w:vAlign w:val="center"/>
          </w:tcPr>
          <w:p w14:paraId="380BE74E" w14:textId="77777777" w:rsidR="00F377BE" w:rsidRPr="00F377BE" w:rsidRDefault="00F377BE" w:rsidP="00F377BE">
            <w:pPr>
              <w:jc w:val="center"/>
              <w:rPr>
                <w:sz w:val="20"/>
                <w:szCs w:val="20"/>
              </w:rPr>
            </w:pPr>
            <w:r w:rsidRPr="00F377BE">
              <w:rPr>
                <w:sz w:val="20"/>
                <w:szCs w:val="20"/>
              </w:rPr>
              <w:t>27.18</w:t>
            </w:r>
          </w:p>
        </w:tc>
        <w:tc>
          <w:tcPr>
            <w:tcW w:w="1985" w:type="dxa"/>
            <w:tcBorders>
              <w:top w:val="single" w:sz="4" w:space="0" w:color="auto"/>
            </w:tcBorders>
            <w:vAlign w:val="center"/>
          </w:tcPr>
          <w:p w14:paraId="3BB56F1B" w14:textId="77777777" w:rsidR="00F377BE" w:rsidRPr="00F377BE" w:rsidRDefault="00F377BE" w:rsidP="00F377BE">
            <w:pPr>
              <w:jc w:val="center"/>
              <w:rPr>
                <w:sz w:val="20"/>
                <w:szCs w:val="20"/>
              </w:rPr>
            </w:pPr>
            <w:r w:rsidRPr="00F377BE">
              <w:rPr>
                <w:sz w:val="20"/>
                <w:szCs w:val="20"/>
              </w:rPr>
              <w:t>21.11</w:t>
            </w:r>
          </w:p>
        </w:tc>
        <w:tc>
          <w:tcPr>
            <w:tcW w:w="992" w:type="dxa"/>
            <w:tcBorders>
              <w:top w:val="single" w:sz="4" w:space="0" w:color="auto"/>
            </w:tcBorders>
            <w:vAlign w:val="center"/>
          </w:tcPr>
          <w:p w14:paraId="3A743B7F" w14:textId="77777777" w:rsidR="00F377BE" w:rsidRPr="00F377BE" w:rsidRDefault="00F377BE" w:rsidP="00F377BE">
            <w:pPr>
              <w:jc w:val="center"/>
              <w:rPr>
                <w:sz w:val="20"/>
                <w:szCs w:val="20"/>
              </w:rPr>
            </w:pPr>
            <w:r w:rsidRPr="00F377BE">
              <w:rPr>
                <w:sz w:val="20"/>
                <w:szCs w:val="20"/>
              </w:rPr>
              <w:t>7.14</w:t>
            </w:r>
          </w:p>
        </w:tc>
      </w:tr>
      <w:tr w:rsidR="00F377BE" w:rsidRPr="00F377BE" w14:paraId="2A6E9124" w14:textId="77777777" w:rsidTr="00F377BE">
        <w:tc>
          <w:tcPr>
            <w:tcW w:w="850" w:type="dxa"/>
            <w:vAlign w:val="center"/>
          </w:tcPr>
          <w:p w14:paraId="69354D0E" w14:textId="77777777" w:rsidR="00F377BE" w:rsidRPr="00F377BE" w:rsidRDefault="00F377BE" w:rsidP="00F377BE">
            <w:pPr>
              <w:jc w:val="center"/>
              <w:rPr>
                <w:sz w:val="20"/>
                <w:szCs w:val="20"/>
              </w:rPr>
            </w:pPr>
            <w:r w:rsidRPr="00F377BE">
              <w:rPr>
                <w:sz w:val="20"/>
                <w:szCs w:val="20"/>
              </w:rPr>
              <w:t>α</w:t>
            </w:r>
          </w:p>
        </w:tc>
        <w:tc>
          <w:tcPr>
            <w:tcW w:w="1133" w:type="dxa"/>
            <w:vAlign w:val="center"/>
          </w:tcPr>
          <w:p w14:paraId="3CD9EE8C" w14:textId="77777777" w:rsidR="00F377BE" w:rsidRPr="00F377BE" w:rsidRDefault="00F377BE" w:rsidP="00F377BE">
            <w:pPr>
              <w:jc w:val="center"/>
              <w:rPr>
                <w:sz w:val="20"/>
                <w:szCs w:val="20"/>
              </w:rPr>
            </w:pPr>
          </w:p>
        </w:tc>
        <w:tc>
          <w:tcPr>
            <w:tcW w:w="282" w:type="dxa"/>
            <w:vAlign w:val="center"/>
          </w:tcPr>
          <w:p w14:paraId="0FA1503F" w14:textId="77777777" w:rsidR="00F377BE" w:rsidRPr="00F377BE" w:rsidRDefault="00F377BE" w:rsidP="00F377BE">
            <w:pPr>
              <w:jc w:val="center"/>
              <w:rPr>
                <w:sz w:val="20"/>
                <w:szCs w:val="20"/>
              </w:rPr>
            </w:pPr>
          </w:p>
        </w:tc>
        <w:tc>
          <w:tcPr>
            <w:tcW w:w="2271" w:type="dxa"/>
            <w:vAlign w:val="center"/>
          </w:tcPr>
          <w:p w14:paraId="3A903D21" w14:textId="77777777" w:rsidR="00F377BE" w:rsidRPr="00F377BE" w:rsidRDefault="00F377BE" w:rsidP="00F377BE">
            <w:pPr>
              <w:jc w:val="center"/>
              <w:rPr>
                <w:sz w:val="20"/>
                <w:szCs w:val="20"/>
              </w:rPr>
            </w:pPr>
            <w:r w:rsidRPr="00F377BE">
              <w:rPr>
                <w:sz w:val="20"/>
                <w:szCs w:val="20"/>
              </w:rPr>
              <w:t>0.876</w:t>
            </w:r>
          </w:p>
        </w:tc>
        <w:tc>
          <w:tcPr>
            <w:tcW w:w="1985" w:type="dxa"/>
            <w:vAlign w:val="center"/>
          </w:tcPr>
          <w:p w14:paraId="4A85F653" w14:textId="77777777" w:rsidR="00F377BE" w:rsidRPr="00F377BE" w:rsidRDefault="00F377BE" w:rsidP="00F377BE">
            <w:pPr>
              <w:jc w:val="center"/>
              <w:rPr>
                <w:sz w:val="20"/>
                <w:szCs w:val="20"/>
              </w:rPr>
            </w:pPr>
            <w:r w:rsidRPr="00F377BE">
              <w:rPr>
                <w:sz w:val="20"/>
                <w:szCs w:val="20"/>
              </w:rPr>
              <w:t>0.829</w:t>
            </w:r>
          </w:p>
        </w:tc>
        <w:tc>
          <w:tcPr>
            <w:tcW w:w="992" w:type="dxa"/>
          </w:tcPr>
          <w:p w14:paraId="1047B81B" w14:textId="77777777" w:rsidR="00F377BE" w:rsidRPr="00F377BE" w:rsidRDefault="00F377BE" w:rsidP="00F377BE">
            <w:pPr>
              <w:jc w:val="center"/>
              <w:rPr>
                <w:sz w:val="20"/>
                <w:szCs w:val="20"/>
              </w:rPr>
            </w:pPr>
            <w:r w:rsidRPr="00F377BE">
              <w:rPr>
                <w:sz w:val="20"/>
                <w:szCs w:val="20"/>
              </w:rPr>
              <w:t>--</w:t>
            </w:r>
          </w:p>
        </w:tc>
      </w:tr>
      <w:tr w:rsidR="00F377BE" w:rsidRPr="00F377BE" w14:paraId="46CD9112" w14:textId="77777777" w:rsidTr="00F377BE">
        <w:tc>
          <w:tcPr>
            <w:tcW w:w="850" w:type="dxa"/>
            <w:tcBorders>
              <w:bottom w:val="single" w:sz="4" w:space="0" w:color="auto"/>
            </w:tcBorders>
            <w:vAlign w:val="center"/>
          </w:tcPr>
          <w:p w14:paraId="6EC2E7CB" w14:textId="77777777" w:rsidR="00F377BE" w:rsidRPr="00F377BE" w:rsidRDefault="00F377BE" w:rsidP="00F377BE">
            <w:pPr>
              <w:jc w:val="center"/>
              <w:rPr>
                <w:sz w:val="20"/>
                <w:szCs w:val="20"/>
              </w:rPr>
            </w:pPr>
            <w:r w:rsidRPr="00F377BE">
              <w:rPr>
                <w:sz w:val="20"/>
                <w:szCs w:val="20"/>
              </w:rPr>
              <w:t>ω</w:t>
            </w:r>
          </w:p>
        </w:tc>
        <w:tc>
          <w:tcPr>
            <w:tcW w:w="1133" w:type="dxa"/>
            <w:tcBorders>
              <w:bottom w:val="single" w:sz="4" w:space="0" w:color="auto"/>
            </w:tcBorders>
            <w:vAlign w:val="center"/>
          </w:tcPr>
          <w:p w14:paraId="46434F28" w14:textId="77777777" w:rsidR="00F377BE" w:rsidRPr="00F377BE" w:rsidRDefault="00F377BE" w:rsidP="00F377BE">
            <w:pPr>
              <w:jc w:val="center"/>
              <w:rPr>
                <w:sz w:val="20"/>
                <w:szCs w:val="20"/>
              </w:rPr>
            </w:pPr>
          </w:p>
        </w:tc>
        <w:tc>
          <w:tcPr>
            <w:tcW w:w="282" w:type="dxa"/>
            <w:tcBorders>
              <w:bottom w:val="single" w:sz="4" w:space="0" w:color="auto"/>
            </w:tcBorders>
            <w:vAlign w:val="center"/>
          </w:tcPr>
          <w:p w14:paraId="1F40877A" w14:textId="77777777" w:rsidR="00F377BE" w:rsidRPr="00F377BE" w:rsidRDefault="00F377BE" w:rsidP="00F377BE">
            <w:pPr>
              <w:jc w:val="center"/>
              <w:rPr>
                <w:sz w:val="20"/>
                <w:szCs w:val="20"/>
              </w:rPr>
            </w:pPr>
          </w:p>
        </w:tc>
        <w:tc>
          <w:tcPr>
            <w:tcW w:w="2271" w:type="dxa"/>
            <w:tcBorders>
              <w:bottom w:val="single" w:sz="4" w:space="0" w:color="auto"/>
            </w:tcBorders>
            <w:vAlign w:val="center"/>
          </w:tcPr>
          <w:p w14:paraId="099A13EA" w14:textId="77777777" w:rsidR="00F377BE" w:rsidRPr="00F377BE" w:rsidRDefault="00F377BE" w:rsidP="00F377BE">
            <w:pPr>
              <w:jc w:val="center"/>
              <w:rPr>
                <w:sz w:val="20"/>
                <w:szCs w:val="20"/>
              </w:rPr>
            </w:pPr>
            <w:r w:rsidRPr="00F377BE">
              <w:rPr>
                <w:sz w:val="20"/>
                <w:szCs w:val="20"/>
              </w:rPr>
              <w:t>0.880</w:t>
            </w:r>
          </w:p>
        </w:tc>
        <w:tc>
          <w:tcPr>
            <w:tcW w:w="1985" w:type="dxa"/>
            <w:tcBorders>
              <w:bottom w:val="single" w:sz="4" w:space="0" w:color="auto"/>
            </w:tcBorders>
            <w:vAlign w:val="center"/>
          </w:tcPr>
          <w:p w14:paraId="76FA9B25" w14:textId="77777777" w:rsidR="00F377BE" w:rsidRPr="00F377BE" w:rsidRDefault="00F377BE" w:rsidP="00F377BE">
            <w:pPr>
              <w:jc w:val="center"/>
              <w:rPr>
                <w:sz w:val="20"/>
                <w:szCs w:val="20"/>
              </w:rPr>
            </w:pPr>
            <w:r w:rsidRPr="00F377BE">
              <w:rPr>
                <w:sz w:val="20"/>
                <w:szCs w:val="20"/>
              </w:rPr>
              <w:t>0.834</w:t>
            </w:r>
          </w:p>
        </w:tc>
        <w:tc>
          <w:tcPr>
            <w:tcW w:w="992" w:type="dxa"/>
            <w:tcBorders>
              <w:bottom w:val="single" w:sz="4" w:space="0" w:color="auto"/>
            </w:tcBorders>
          </w:tcPr>
          <w:p w14:paraId="071EE1EA" w14:textId="77777777" w:rsidR="00F377BE" w:rsidRPr="00F377BE" w:rsidRDefault="00F377BE" w:rsidP="00F377BE">
            <w:pPr>
              <w:jc w:val="center"/>
              <w:rPr>
                <w:sz w:val="20"/>
                <w:szCs w:val="20"/>
              </w:rPr>
            </w:pPr>
            <w:r w:rsidRPr="00F377BE">
              <w:rPr>
                <w:sz w:val="20"/>
                <w:szCs w:val="20"/>
              </w:rPr>
              <w:t>--</w:t>
            </w:r>
          </w:p>
        </w:tc>
      </w:tr>
    </w:tbl>
    <w:p w14:paraId="671CE9E6" w14:textId="77777777" w:rsidR="00E16F45" w:rsidRPr="00E16F45" w:rsidRDefault="00E16F45" w:rsidP="00F377BE"/>
    <w:p w14:paraId="536B36DB" w14:textId="53244EB7" w:rsidR="006B294A" w:rsidRDefault="006B294A" w:rsidP="00E23C9E">
      <w:pPr>
        <w:pStyle w:val="Prrafocomn"/>
        <w:rPr>
          <w:lang w:val="es-AR"/>
        </w:rPr>
      </w:pPr>
    </w:p>
    <w:p w14:paraId="32ECB68C" w14:textId="3E23DA33" w:rsidR="006B294A" w:rsidRDefault="006B294A" w:rsidP="00E23C9E">
      <w:pPr>
        <w:pStyle w:val="Prrafocomn"/>
        <w:rPr>
          <w:lang w:val="es-AR"/>
        </w:rPr>
      </w:pPr>
    </w:p>
    <w:p w14:paraId="007698FE" w14:textId="60D8002B" w:rsidR="006B294A" w:rsidRDefault="006B294A" w:rsidP="00E23C9E">
      <w:pPr>
        <w:pStyle w:val="Prrafocomn"/>
        <w:rPr>
          <w:lang w:val="es-AR"/>
        </w:rPr>
      </w:pPr>
    </w:p>
    <w:p w14:paraId="598B5ECB" w14:textId="52C069A3" w:rsidR="006B294A" w:rsidRDefault="006B294A" w:rsidP="00E23C9E">
      <w:pPr>
        <w:pStyle w:val="Prrafocomn"/>
        <w:rPr>
          <w:lang w:val="es-AR"/>
        </w:rPr>
      </w:pPr>
    </w:p>
    <w:p w14:paraId="3AA16E87" w14:textId="77777777" w:rsidR="006B294A" w:rsidRDefault="006B294A" w:rsidP="00E23C9E">
      <w:pPr>
        <w:pStyle w:val="Prrafocomn"/>
        <w:rPr>
          <w:lang w:val="es-AR"/>
        </w:rPr>
      </w:pPr>
    </w:p>
    <w:p w14:paraId="4DF637A8" w14:textId="7E2C6F29" w:rsidR="00E23C9E" w:rsidRDefault="00E23C9E" w:rsidP="00E23C9E">
      <w:pPr>
        <w:pStyle w:val="Prrafocomn"/>
        <w:ind w:firstLine="0"/>
        <w:rPr>
          <w:lang w:val="es-AR"/>
        </w:rPr>
      </w:pPr>
    </w:p>
    <w:p w14:paraId="4FDDA3B3" w14:textId="77777777" w:rsidR="00F377BE" w:rsidRDefault="00F377BE" w:rsidP="00E23C9E">
      <w:pPr>
        <w:pStyle w:val="Prrafocomn"/>
        <w:ind w:firstLine="0"/>
        <w:rPr>
          <w:lang w:val="es-AR"/>
        </w:rPr>
      </w:pPr>
    </w:p>
    <w:p w14:paraId="52C5C76D" w14:textId="77777777" w:rsidR="00F377BE" w:rsidRDefault="00F377BE" w:rsidP="00E23C9E">
      <w:pPr>
        <w:pStyle w:val="Prrafocomn"/>
        <w:ind w:firstLine="0"/>
        <w:rPr>
          <w:lang w:val="es-AR"/>
        </w:rPr>
      </w:pPr>
    </w:p>
    <w:p w14:paraId="040A146F" w14:textId="586D74DB" w:rsidR="006B294A" w:rsidRDefault="006B294A" w:rsidP="005839DF">
      <w:pPr>
        <w:spacing w:line="360" w:lineRule="auto"/>
        <w:contextualSpacing/>
        <w:jc w:val="both"/>
        <w:rPr>
          <w:lang w:val="es-AR"/>
        </w:rPr>
      </w:pPr>
    </w:p>
    <w:p w14:paraId="53EA4326" w14:textId="77777777" w:rsidR="00F377BE" w:rsidRDefault="00F377BE" w:rsidP="005839DF">
      <w:pPr>
        <w:spacing w:line="360" w:lineRule="auto"/>
        <w:contextualSpacing/>
        <w:jc w:val="both"/>
        <w:rPr>
          <w:lang w:val="es-AR"/>
        </w:rPr>
      </w:pPr>
    </w:p>
    <w:p w14:paraId="086D5D23" w14:textId="77777777" w:rsidR="00F377BE" w:rsidRDefault="00F377BE" w:rsidP="005839DF">
      <w:pPr>
        <w:spacing w:line="360" w:lineRule="auto"/>
        <w:contextualSpacing/>
        <w:jc w:val="both"/>
        <w:rPr>
          <w:lang w:val="es-AR"/>
        </w:rPr>
      </w:pPr>
    </w:p>
    <w:p w14:paraId="5B25A04A" w14:textId="77777777" w:rsidR="00F377BE" w:rsidRDefault="00F377BE" w:rsidP="005839DF">
      <w:pPr>
        <w:spacing w:line="360" w:lineRule="auto"/>
        <w:contextualSpacing/>
        <w:jc w:val="both"/>
        <w:rPr>
          <w:lang w:val="es-AR"/>
        </w:rPr>
      </w:pPr>
    </w:p>
    <w:p w14:paraId="5CF97530" w14:textId="77777777" w:rsidR="00F377BE" w:rsidRDefault="00F377BE" w:rsidP="005839DF">
      <w:pPr>
        <w:spacing w:line="360" w:lineRule="auto"/>
        <w:contextualSpacing/>
        <w:jc w:val="both"/>
        <w:rPr>
          <w:rFonts w:ascii="Arial" w:hAnsi="Arial" w:cs="Arial"/>
          <w:i/>
          <w:iCs/>
          <w:color w:val="000000"/>
          <w:sz w:val="16"/>
          <w:szCs w:val="16"/>
          <w:shd w:val="clear" w:color="auto" w:fill="FFFFFF"/>
        </w:rPr>
      </w:pPr>
    </w:p>
    <w:p w14:paraId="3792C17A" w14:textId="48AD3FDC" w:rsidR="00F377BE" w:rsidRPr="00F377BE" w:rsidRDefault="00F377BE" w:rsidP="00F377BE">
      <w:pPr>
        <w:tabs>
          <w:tab w:val="left" w:pos="6219"/>
        </w:tabs>
        <w:autoSpaceDE w:val="0"/>
        <w:autoSpaceDN w:val="0"/>
        <w:mirrorIndents/>
        <w:jc w:val="both"/>
        <w:rPr>
          <w:rFonts w:eastAsia="Calibri" w:cs="Calibri"/>
          <w:i/>
          <w:iCs/>
          <w:color w:val="000000"/>
          <w:sz w:val="18"/>
          <w:szCs w:val="18"/>
          <w:u w:color="000000"/>
          <w:bdr w:val="nil"/>
          <w:lang w:val="en-US"/>
          <w14:textOutline w14:w="0" w14:cap="flat" w14:cmpd="sng" w14:algn="ctr">
            <w14:noFill/>
            <w14:prstDash w14:val="solid"/>
            <w14:bevel/>
          </w14:textOutline>
        </w:rPr>
      </w:pPr>
      <w:proofErr w:type="spellStart"/>
      <w:r w:rsidRPr="00F377BE">
        <w:rPr>
          <w:rFonts w:eastAsia="Calibri" w:cs="Calibri"/>
          <w:i/>
          <w:iCs/>
          <w:color w:val="000000"/>
          <w:sz w:val="18"/>
          <w:szCs w:val="18"/>
          <w:u w:color="000000"/>
          <w:bdr w:val="nil"/>
          <w:lang w:val="en-US"/>
          <w14:textOutline w14:w="0" w14:cap="flat" w14:cmpd="sng" w14:algn="ctr">
            <w14:noFill/>
            <w14:prstDash w14:val="solid"/>
            <w14:bevel/>
          </w14:textOutline>
        </w:rPr>
        <w:t>Nota</w:t>
      </w:r>
      <w:proofErr w:type="spellEnd"/>
      <w:r w:rsidRPr="00F377BE">
        <w:rPr>
          <w:rFonts w:eastAsia="Calibri" w:cs="Calibri"/>
          <w:i/>
          <w:iCs/>
          <w:color w:val="000000"/>
          <w:sz w:val="18"/>
          <w:szCs w:val="18"/>
          <w:u w:color="000000"/>
          <w:bdr w:val="nil"/>
          <w:lang w:val="en-US"/>
          <w14:textOutline w14:w="0" w14:cap="flat" w14:cmpd="sng" w14:algn="ctr">
            <w14:noFill/>
            <w14:prstDash w14:val="solid"/>
            <w14:bevel/>
          </w14:textOutline>
        </w:rPr>
        <w:t>: *</w:t>
      </w:r>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La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omisión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de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una</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tercera</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dimensión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se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basó</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la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congruencia</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teórica</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y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los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valores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de λ de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los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reactivos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7 y 8, que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fueron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asignados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a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los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factores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1 y 2,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respectivamente</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Esto</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resultó</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el</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reactivo</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17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siendo</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el</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único</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ítem</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que dado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los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valores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de λ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fue</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ubicado</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el</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factor 3,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situación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que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fue</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insuficiente</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para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configurar</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una</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dimensión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del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constructo</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Los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reactivos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identificados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con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los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superíndices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"a" y "b" se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clasificaron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la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dimensión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de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significado</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mientras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que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los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reactivos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con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superíndices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"c", "d", "e" y "f" se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consideraron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para la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dimensión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de "placer".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Finalmente</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el</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reactivo</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con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superíndice</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"g" se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ubicó</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en</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el</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tercer</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factor con base a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criterios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teóricos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y </w:t>
      </w:r>
      <w:proofErr w:type="spellStart"/>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valores</w:t>
      </w:r>
      <w:proofErr w:type="spellEnd"/>
      <w:r w:rsidR="00B06FE9" w:rsidRPr="00B06FE9">
        <w:rPr>
          <w:rFonts w:eastAsia="Calibri" w:cs="Calibri"/>
          <w:i/>
          <w:iCs/>
          <w:color w:val="000000"/>
          <w:sz w:val="18"/>
          <w:szCs w:val="18"/>
          <w:u w:color="000000"/>
          <w:bdr w:val="nil"/>
          <w:lang w:val="en-US"/>
          <w14:textOutline w14:w="0" w14:cap="flat" w14:cmpd="sng" w14:algn="ctr">
            <w14:noFill/>
            <w14:prstDash w14:val="solid"/>
            <w14:bevel/>
          </w14:textOutline>
        </w:rPr>
        <w:t xml:space="preserve"> de λ.</w:t>
      </w:r>
    </w:p>
    <w:p w14:paraId="2EF0F2BC" w14:textId="77777777" w:rsidR="00B06FE9" w:rsidRDefault="00B06FE9" w:rsidP="00B06FE9">
      <w:pPr>
        <w:pStyle w:val="Prrafocomn"/>
        <w:rPr>
          <w:lang w:val="es-AR"/>
        </w:rPr>
      </w:pPr>
    </w:p>
    <w:p w14:paraId="08A8A089" w14:textId="29FA1FE1" w:rsidR="00B06FE9" w:rsidRPr="00B06FE9" w:rsidRDefault="00B06FE9" w:rsidP="00B06FE9">
      <w:pPr>
        <w:pStyle w:val="Prrafocomn"/>
        <w:rPr>
          <w:lang w:val="es-AR"/>
        </w:rPr>
      </w:pPr>
      <w:r w:rsidRPr="00B06FE9">
        <w:rPr>
          <w:lang w:val="es-AR"/>
        </w:rPr>
        <w:t>De acuerdo con este razonamiento y en concordancia con los resultados del AP, la estructura factorial del instrumento se podría representar mediante dos factores distintos: a) vida con significado, que explica el 27.18% de la varianza (</w:t>
      </w:r>
      <w:r w:rsidRPr="00B06FE9">
        <w:rPr>
          <w:i/>
          <w:iCs/>
          <w:lang w:val="es-AR"/>
        </w:rPr>
        <w:t>α</w:t>
      </w:r>
      <w:r w:rsidRPr="00B06FE9">
        <w:rPr>
          <w:lang w:val="es-AR"/>
        </w:rPr>
        <w:t xml:space="preserve"> = 0.87</w:t>
      </w:r>
      <w:r>
        <w:rPr>
          <w:lang w:val="es-AR"/>
        </w:rPr>
        <w:t>,</w:t>
      </w:r>
      <w:r w:rsidRPr="00B06FE9">
        <w:rPr>
          <w:lang w:val="es-AR"/>
        </w:rPr>
        <w:t xml:space="preserve"> </w:t>
      </w:r>
      <w:r w:rsidRPr="00B06FE9">
        <w:rPr>
          <w:i/>
          <w:iCs/>
          <w:lang w:val="es-AR"/>
        </w:rPr>
        <w:t>ω</w:t>
      </w:r>
      <w:r w:rsidRPr="00B06FE9">
        <w:rPr>
          <w:lang w:val="es-AR"/>
        </w:rPr>
        <w:t xml:space="preserve"> = 0.88); y b) vida de placer, que explica el 21.11% de la </w:t>
      </w:r>
      <w:r w:rsidR="00B3549E" w:rsidRPr="00B3549E">
        <w:rPr>
          <w:lang w:val="es-AR"/>
        </w:rPr>
        <w:t>variabilidad</w:t>
      </w:r>
      <w:r w:rsidRPr="00B06FE9">
        <w:rPr>
          <w:lang w:val="es-AR"/>
        </w:rPr>
        <w:t xml:space="preserve"> de los datos (</w:t>
      </w:r>
      <w:r w:rsidRPr="00B06FE9">
        <w:rPr>
          <w:i/>
          <w:iCs/>
          <w:lang w:val="es-AR"/>
        </w:rPr>
        <w:t>α</w:t>
      </w:r>
      <w:r w:rsidRPr="00B06FE9">
        <w:rPr>
          <w:lang w:val="es-AR"/>
        </w:rPr>
        <w:t xml:space="preserve"> = 0.82</w:t>
      </w:r>
      <w:r>
        <w:rPr>
          <w:lang w:val="es-AR"/>
        </w:rPr>
        <w:t>,</w:t>
      </w:r>
      <w:r w:rsidRPr="00B06FE9">
        <w:rPr>
          <w:lang w:val="es-AR"/>
        </w:rPr>
        <w:t xml:space="preserve"> </w:t>
      </w:r>
      <w:r w:rsidRPr="00B06FE9">
        <w:rPr>
          <w:i/>
          <w:iCs/>
          <w:lang w:val="es-AR"/>
        </w:rPr>
        <w:t>ω</w:t>
      </w:r>
      <w:r w:rsidRPr="00B06FE9">
        <w:rPr>
          <w:lang w:val="es-AR"/>
        </w:rPr>
        <w:t xml:space="preserve"> = 0.83). En conjunto, estos dos </w:t>
      </w:r>
      <w:r w:rsidRPr="00B06FE9">
        <w:rPr>
          <w:lang w:val="es-AR"/>
        </w:rPr>
        <w:lastRenderedPageBreak/>
        <w:t xml:space="preserve">factores cubren el 48.29% de la varianza total, con índices generales de confiabilidad </w:t>
      </w:r>
      <w:r w:rsidRPr="00B06FE9">
        <w:rPr>
          <w:i/>
          <w:iCs/>
          <w:lang w:val="es-AR"/>
        </w:rPr>
        <w:t>α</w:t>
      </w:r>
      <w:r w:rsidRPr="00B06FE9">
        <w:rPr>
          <w:lang w:val="es-AR"/>
        </w:rPr>
        <w:t xml:space="preserve"> y </w:t>
      </w:r>
      <w:r w:rsidRPr="00B06FE9">
        <w:rPr>
          <w:i/>
          <w:iCs/>
          <w:lang w:val="es-AR"/>
        </w:rPr>
        <w:t>ω</w:t>
      </w:r>
      <w:r w:rsidRPr="00B06FE9">
        <w:rPr>
          <w:lang w:val="es-AR"/>
        </w:rPr>
        <w:t xml:space="preserve"> de 0.89. Esta estructura factorial es congruente con los hallazgos del AP, que sugiere mantener solo dos factores. Con esta solución, se observa una correlación estadísticamente significativa de 0.43 (p &lt; .001) entre ambas dimensiones de la escala.</w:t>
      </w:r>
    </w:p>
    <w:p w14:paraId="11C91688" w14:textId="55A240A5" w:rsidR="00B06FE9" w:rsidRPr="00B06FE9" w:rsidRDefault="00B06FE9" w:rsidP="00B06FE9">
      <w:pPr>
        <w:pStyle w:val="Prrafocomn"/>
      </w:pPr>
      <w:r w:rsidRPr="00B06FE9">
        <w:rPr>
          <w:lang w:val="es-AR"/>
        </w:rPr>
        <w:t xml:space="preserve">Dado estos resultados y debido a las cargas factoriales cruzadas, Li et al. (2020) recomiendan la aplicación de métodos estadísticos más robustos para evaluar la estructura propuesta por el AFE. En este sentido, sugieren el uso del AFC, que permite modelar las cargas cruzadas y analizar su influencia en la estructura factorial. Además, </w:t>
      </w:r>
      <w:proofErr w:type="spellStart"/>
      <w:r w:rsidRPr="00B06FE9">
        <w:rPr>
          <w:lang w:val="es-AR"/>
        </w:rPr>
        <w:t>Matsunaga</w:t>
      </w:r>
      <w:proofErr w:type="spellEnd"/>
      <w:r w:rsidRPr="00B06FE9">
        <w:rPr>
          <w:lang w:val="es-AR"/>
        </w:rPr>
        <w:t xml:space="preserve"> (2010) subraya la relevancia de llevar a cabo la validación cruzada en situaciones como esta. Así, esta estrategia implica la obtención de una segunda muestra de participantes para comprobar el ajuste del modelo de medida sugerido por el AFE y el AP. Esta justificación respalda la pertinencia del Estudio 3 que se detalla a continuación.</w:t>
      </w:r>
    </w:p>
    <w:p w14:paraId="46671C3C" w14:textId="0F32AE98" w:rsidR="00B06FE9" w:rsidRPr="00E16F45" w:rsidRDefault="00B06FE9" w:rsidP="00B06FE9">
      <w:pPr>
        <w:pStyle w:val="SubtituloInterno"/>
        <w:rPr>
          <w:lang w:val="es-AR"/>
        </w:rPr>
      </w:pPr>
      <w:r w:rsidRPr="00DE7EB8">
        <w:rPr>
          <w:lang w:val="es-AR"/>
        </w:rPr>
        <w:t>E</w:t>
      </w:r>
      <w:r>
        <w:rPr>
          <w:lang w:val="es-AR"/>
        </w:rPr>
        <w:t xml:space="preserve">studio III. </w:t>
      </w:r>
      <w:r w:rsidRPr="00B06FE9">
        <w:rPr>
          <w:lang w:val="es-AR" w:eastAsia="es-ES_tradnl"/>
        </w:rPr>
        <w:t>Evaluación del ajuste del modelo de medida, validez interna y de criterio</w:t>
      </w:r>
    </w:p>
    <w:p w14:paraId="73C83398" w14:textId="77777777" w:rsidR="00B06FE9" w:rsidRPr="00107993" w:rsidRDefault="00B06FE9" w:rsidP="00B06FE9">
      <w:pPr>
        <w:pStyle w:val="Ttulosinternos"/>
        <w:rPr>
          <w:lang w:val="es-AR"/>
        </w:rPr>
      </w:pPr>
      <w:r w:rsidRPr="00107993">
        <w:rPr>
          <w:lang w:val="es-AR"/>
        </w:rPr>
        <w:t>Método</w:t>
      </w:r>
    </w:p>
    <w:p w14:paraId="62704102" w14:textId="77777777" w:rsidR="00B06FE9" w:rsidRDefault="00B06FE9" w:rsidP="00B06FE9">
      <w:pPr>
        <w:pStyle w:val="SubtituloInterno"/>
        <w:rPr>
          <w:rFonts w:eastAsia="Calibri"/>
          <w:lang w:val="es-ES_tradnl"/>
        </w:rPr>
      </w:pPr>
      <w:r w:rsidRPr="005B24FF">
        <w:rPr>
          <w:rFonts w:eastAsia="Calibri"/>
          <w:lang w:val="es-ES_tradnl"/>
        </w:rPr>
        <w:t>Participa</w:t>
      </w:r>
      <w:r>
        <w:rPr>
          <w:rFonts w:eastAsia="Calibri"/>
          <w:lang w:val="es-ES_tradnl"/>
        </w:rPr>
        <w:t>ntes</w:t>
      </w:r>
    </w:p>
    <w:p w14:paraId="51CD7004" w14:textId="798A7F39" w:rsidR="00B06FE9" w:rsidRDefault="00B06FE9" w:rsidP="00B06FE9">
      <w:pPr>
        <w:pStyle w:val="Prrafocomn"/>
        <w:rPr>
          <w:lang w:val="es-AR"/>
        </w:rPr>
      </w:pPr>
      <w:r w:rsidRPr="00B06FE9">
        <w:rPr>
          <w:lang w:val="es-AR"/>
        </w:rPr>
        <w:t>Participaron 705 mexicanos (28.9% varones y 71.1% mujeres) entre los 18 y 75 años (</w:t>
      </w:r>
      <m:oMath>
        <m:acc>
          <m:accPr>
            <m:chr m:val="̅"/>
            <m:ctrlPr>
              <w:rPr>
                <w:rFonts w:ascii="Cambria Math" w:hAnsi="Cambria Math"/>
                <w:i/>
                <w:lang w:val="es-AR"/>
              </w:rPr>
            </m:ctrlPr>
          </m:accPr>
          <m:e>
            <m:r>
              <w:rPr>
                <w:rFonts w:ascii="Cambria Math" w:hAnsi="Cambria Math"/>
                <w:lang w:val="es-AR"/>
              </w:rPr>
              <m:t>x</m:t>
            </m:r>
          </m:e>
        </m:acc>
      </m:oMath>
      <w:r w:rsidRPr="00B06FE9">
        <w:rPr>
          <w:lang w:val="es-AR"/>
        </w:rPr>
        <w:t xml:space="preserve"> = 38.18, D.E = 13.57); la </w:t>
      </w:r>
      <w:r w:rsidRPr="00F546A4">
        <w:rPr>
          <w:lang w:val="es-ES"/>
        </w:rPr>
        <w:t>mayoría</w:t>
      </w:r>
      <w:r w:rsidRPr="00B06FE9">
        <w:rPr>
          <w:lang w:val="es-AR"/>
        </w:rPr>
        <w:t xml:space="preserve"> se asumieron como heterosexuales (88.9%) con creencias católicas (57.9%); aunque cerca de una tercera parte de la muestra informó ser atea (27.4%). En Tabla 5 se muestra la información sociodemográfica complementaria de la muestra.</w:t>
      </w:r>
    </w:p>
    <w:p w14:paraId="0D3FD13F" w14:textId="384ECD42" w:rsidR="00B06FE9" w:rsidRDefault="00B06FE9" w:rsidP="00B06FE9">
      <w:pPr>
        <w:autoSpaceDE w:val="0"/>
        <w:autoSpaceDN w:val="0"/>
        <w:adjustRightInd w:val="0"/>
        <w:ind w:right="-198"/>
        <w:jc w:val="both"/>
        <w:rPr>
          <w:rFonts w:ascii="Arial" w:eastAsiaTheme="minorHAnsi" w:hAnsi="Arial" w:cs="Arial"/>
          <w:color w:val="000000" w:themeColor="text1"/>
          <w:lang w:eastAsia="en-US"/>
        </w:rPr>
      </w:pPr>
      <w:proofErr w:type="spellStart"/>
      <w:r w:rsidRPr="00261CC1">
        <w:rPr>
          <w:color w:val="00000A"/>
          <w:sz w:val="20"/>
          <w:szCs w:val="20"/>
          <w:u w:color="00000A"/>
          <w:bdr w:val="nil"/>
          <w:lang w:val="en-US"/>
          <w14:textOutline w14:w="0" w14:cap="flat" w14:cmpd="sng" w14:algn="ctr">
            <w14:noFill/>
            <w14:prstDash w14:val="solid"/>
            <w14:bevel/>
          </w14:textOutline>
        </w:rPr>
        <w:t>Tabla</w:t>
      </w:r>
      <w:proofErr w:type="spellEnd"/>
      <w:r w:rsidRPr="00261CC1">
        <w:rPr>
          <w:color w:val="00000A"/>
          <w:sz w:val="20"/>
          <w:szCs w:val="20"/>
          <w:u w:color="00000A"/>
          <w:bdr w:val="nil"/>
          <w:lang w:val="en-US"/>
          <w14:textOutline w14:w="0" w14:cap="flat" w14:cmpd="sng" w14:algn="ctr">
            <w14:noFill/>
            <w14:prstDash w14:val="solid"/>
            <w14:bevel/>
          </w14:textOutline>
        </w:rPr>
        <w:t xml:space="preserve"> </w:t>
      </w:r>
      <w:r w:rsidR="00F546A4">
        <w:rPr>
          <w:color w:val="00000A"/>
          <w:sz w:val="20"/>
          <w:szCs w:val="20"/>
          <w:u w:color="00000A"/>
          <w:bdr w:val="nil"/>
          <w:lang w:val="en-US"/>
          <w14:textOutline w14:w="0" w14:cap="flat" w14:cmpd="sng" w14:algn="ctr">
            <w14:noFill/>
            <w14:prstDash w14:val="solid"/>
            <w14:bevel/>
          </w14:textOutline>
        </w:rPr>
        <w:t>5</w:t>
      </w:r>
      <w:r w:rsidRPr="00225D2C">
        <w:rPr>
          <w:rFonts w:ascii="Arial" w:eastAsiaTheme="minorHAnsi" w:hAnsi="Arial" w:cs="Arial"/>
          <w:color w:val="000000" w:themeColor="text1"/>
          <w:lang w:eastAsia="en-US"/>
        </w:rPr>
        <w:t xml:space="preserve"> </w:t>
      </w:r>
    </w:p>
    <w:p w14:paraId="644B0F6A" w14:textId="42252E33" w:rsidR="00B06FE9" w:rsidRDefault="00B06FE9" w:rsidP="00B06FE9">
      <w:pPr>
        <w:autoSpaceDE w:val="0"/>
        <w:autoSpaceDN w:val="0"/>
        <w:adjustRightInd w:val="0"/>
        <w:ind w:right="-198"/>
        <w:jc w:val="both"/>
        <w:rPr>
          <w:i/>
          <w:iCs/>
          <w:color w:val="00000A"/>
          <w:sz w:val="20"/>
          <w:szCs w:val="20"/>
          <w:u w:color="00000A"/>
          <w:bdr w:val="nil"/>
          <w:lang w:val="en-US"/>
          <w14:textOutline w14:w="0" w14:cap="flat" w14:cmpd="sng" w14:algn="ctr">
            <w14:noFill/>
            <w14:prstDash w14:val="solid"/>
            <w14:bevel/>
          </w14:textOutline>
        </w:rPr>
      </w:pPr>
      <w:proofErr w:type="spellStart"/>
      <w:r w:rsidRPr="00261CC1">
        <w:rPr>
          <w:i/>
          <w:iCs/>
          <w:color w:val="00000A"/>
          <w:sz w:val="20"/>
          <w:szCs w:val="20"/>
          <w:u w:color="00000A"/>
          <w:bdr w:val="nil"/>
          <w:lang w:val="en-US"/>
          <w14:textOutline w14:w="0" w14:cap="flat" w14:cmpd="sng" w14:algn="ctr">
            <w14:noFill/>
            <w14:prstDash w14:val="solid"/>
            <w14:bevel/>
          </w14:textOutline>
        </w:rPr>
        <w:t>Descripción</w:t>
      </w:r>
      <w:proofErr w:type="spellEnd"/>
      <w:r w:rsidRPr="00261CC1">
        <w:rPr>
          <w:i/>
          <w:iCs/>
          <w:color w:val="00000A"/>
          <w:sz w:val="20"/>
          <w:szCs w:val="20"/>
          <w:u w:color="00000A"/>
          <w:bdr w:val="nil"/>
          <w:lang w:val="en-US"/>
          <w14:textOutline w14:w="0" w14:cap="flat" w14:cmpd="sng" w14:algn="ctr">
            <w14:noFill/>
            <w14:prstDash w14:val="solid"/>
            <w14:bevel/>
          </w14:textOutline>
        </w:rPr>
        <w:t xml:space="preserve"> de las variables </w:t>
      </w:r>
      <w:proofErr w:type="spellStart"/>
      <w:r w:rsidRPr="00261CC1">
        <w:rPr>
          <w:i/>
          <w:iCs/>
          <w:color w:val="00000A"/>
          <w:sz w:val="20"/>
          <w:szCs w:val="20"/>
          <w:u w:color="00000A"/>
          <w:bdr w:val="nil"/>
          <w:lang w:val="en-US"/>
          <w14:textOutline w14:w="0" w14:cap="flat" w14:cmpd="sng" w14:algn="ctr">
            <w14:noFill/>
            <w14:prstDash w14:val="solid"/>
            <w14:bevel/>
          </w14:textOutline>
        </w:rPr>
        <w:t>sociodemográficas</w:t>
      </w:r>
      <w:proofErr w:type="spellEnd"/>
      <w:r w:rsidRPr="00261CC1">
        <w:rPr>
          <w:i/>
          <w:iCs/>
          <w:color w:val="00000A"/>
          <w:sz w:val="20"/>
          <w:szCs w:val="20"/>
          <w:u w:color="00000A"/>
          <w:bdr w:val="nil"/>
          <w:lang w:val="en-US"/>
          <w14:textOutline w14:w="0" w14:cap="flat" w14:cmpd="sng" w14:algn="ctr">
            <w14:noFill/>
            <w14:prstDash w14:val="solid"/>
            <w14:bevel/>
          </w14:textOutline>
        </w:rPr>
        <w:t xml:space="preserve"> de la </w:t>
      </w:r>
      <w:proofErr w:type="spellStart"/>
      <w:r w:rsidRPr="00261CC1">
        <w:rPr>
          <w:i/>
          <w:iCs/>
          <w:color w:val="00000A"/>
          <w:sz w:val="20"/>
          <w:szCs w:val="20"/>
          <w:u w:color="00000A"/>
          <w:bdr w:val="nil"/>
          <w:lang w:val="en-US"/>
          <w14:textOutline w14:w="0" w14:cap="flat" w14:cmpd="sng" w14:algn="ctr">
            <w14:noFill/>
            <w14:prstDash w14:val="solid"/>
            <w14:bevel/>
          </w14:textOutline>
        </w:rPr>
        <w:t>muestra</w:t>
      </w:r>
      <w:proofErr w:type="spellEnd"/>
    </w:p>
    <w:tbl>
      <w:tblPr>
        <w:tblStyle w:val="Tablaconcuadrcula"/>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10"/>
        <w:gridCol w:w="566"/>
        <w:gridCol w:w="1843"/>
        <w:gridCol w:w="709"/>
        <w:gridCol w:w="567"/>
        <w:gridCol w:w="2126"/>
        <w:gridCol w:w="709"/>
        <w:gridCol w:w="567"/>
      </w:tblGrid>
      <w:tr w:rsidR="00F546A4" w:rsidRPr="00F546A4" w14:paraId="3D4EDE21" w14:textId="77777777" w:rsidTr="00F546A4">
        <w:tc>
          <w:tcPr>
            <w:tcW w:w="1985" w:type="dxa"/>
            <w:tcBorders>
              <w:bottom w:val="single" w:sz="4" w:space="0" w:color="auto"/>
            </w:tcBorders>
            <w:vAlign w:val="center"/>
          </w:tcPr>
          <w:p w14:paraId="6A0E9D9F"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Variables</w:t>
            </w:r>
          </w:p>
        </w:tc>
        <w:tc>
          <w:tcPr>
            <w:tcW w:w="710" w:type="dxa"/>
            <w:tcBorders>
              <w:bottom w:val="single" w:sz="4" w:space="0" w:color="auto"/>
            </w:tcBorders>
            <w:vAlign w:val="center"/>
          </w:tcPr>
          <w:p w14:paraId="4DC1BB9F" w14:textId="77777777" w:rsidR="00F546A4" w:rsidRPr="00F546A4" w:rsidRDefault="00F546A4" w:rsidP="00835C90">
            <w:pPr>
              <w:tabs>
                <w:tab w:val="left" w:pos="6219"/>
              </w:tabs>
              <w:jc w:val="center"/>
              <w:rPr>
                <w:i/>
                <w:iCs/>
                <w:color w:val="131413"/>
                <w:sz w:val="18"/>
                <w:szCs w:val="18"/>
                <w:shd w:val="clear" w:color="auto" w:fill="FFFFFF"/>
              </w:rPr>
            </w:pPr>
            <w:r w:rsidRPr="00F546A4">
              <w:rPr>
                <w:i/>
                <w:iCs/>
                <w:color w:val="131413"/>
                <w:sz w:val="18"/>
                <w:szCs w:val="18"/>
                <w:shd w:val="clear" w:color="auto" w:fill="FFFFFF"/>
              </w:rPr>
              <w:t>n (705)</w:t>
            </w:r>
          </w:p>
        </w:tc>
        <w:tc>
          <w:tcPr>
            <w:tcW w:w="566" w:type="dxa"/>
            <w:tcBorders>
              <w:bottom w:val="single" w:sz="4" w:space="0" w:color="auto"/>
            </w:tcBorders>
            <w:vAlign w:val="center"/>
          </w:tcPr>
          <w:p w14:paraId="1C479AF4" w14:textId="77777777" w:rsidR="00F546A4" w:rsidRPr="00F546A4" w:rsidRDefault="00F546A4" w:rsidP="00835C90">
            <w:pPr>
              <w:tabs>
                <w:tab w:val="left" w:pos="6219"/>
              </w:tabs>
              <w:jc w:val="center"/>
              <w:rPr>
                <w:i/>
                <w:iCs/>
                <w:color w:val="131413"/>
                <w:sz w:val="18"/>
                <w:szCs w:val="18"/>
                <w:shd w:val="clear" w:color="auto" w:fill="FFFFFF"/>
              </w:rPr>
            </w:pPr>
            <w:r w:rsidRPr="00F546A4">
              <w:rPr>
                <w:i/>
                <w:iCs/>
                <w:color w:val="131413"/>
                <w:sz w:val="18"/>
                <w:szCs w:val="18"/>
                <w:shd w:val="clear" w:color="auto" w:fill="FFFFFF"/>
              </w:rPr>
              <w:t>%</w:t>
            </w:r>
          </w:p>
        </w:tc>
        <w:tc>
          <w:tcPr>
            <w:tcW w:w="1843" w:type="dxa"/>
            <w:tcBorders>
              <w:bottom w:val="single" w:sz="4" w:space="0" w:color="auto"/>
            </w:tcBorders>
            <w:vAlign w:val="center"/>
          </w:tcPr>
          <w:p w14:paraId="02105477"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Variables</w:t>
            </w:r>
          </w:p>
        </w:tc>
        <w:tc>
          <w:tcPr>
            <w:tcW w:w="709" w:type="dxa"/>
            <w:tcBorders>
              <w:bottom w:val="single" w:sz="4" w:space="0" w:color="auto"/>
            </w:tcBorders>
            <w:vAlign w:val="center"/>
          </w:tcPr>
          <w:p w14:paraId="47851A31" w14:textId="77777777" w:rsidR="00F546A4" w:rsidRPr="00F546A4" w:rsidRDefault="00F546A4" w:rsidP="00835C90">
            <w:pPr>
              <w:tabs>
                <w:tab w:val="left" w:pos="6219"/>
              </w:tabs>
              <w:jc w:val="center"/>
              <w:rPr>
                <w:i/>
                <w:iCs/>
                <w:color w:val="131413"/>
                <w:sz w:val="18"/>
                <w:szCs w:val="18"/>
                <w:shd w:val="clear" w:color="auto" w:fill="FFFFFF"/>
              </w:rPr>
            </w:pPr>
            <w:r w:rsidRPr="00F546A4">
              <w:rPr>
                <w:i/>
                <w:iCs/>
                <w:color w:val="131413"/>
                <w:sz w:val="18"/>
                <w:szCs w:val="18"/>
                <w:shd w:val="clear" w:color="auto" w:fill="FFFFFF"/>
              </w:rPr>
              <w:t>n (705)</w:t>
            </w:r>
          </w:p>
        </w:tc>
        <w:tc>
          <w:tcPr>
            <w:tcW w:w="567" w:type="dxa"/>
            <w:tcBorders>
              <w:bottom w:val="single" w:sz="4" w:space="0" w:color="auto"/>
            </w:tcBorders>
            <w:vAlign w:val="center"/>
          </w:tcPr>
          <w:p w14:paraId="584AB626" w14:textId="77777777" w:rsidR="00F546A4" w:rsidRPr="00F546A4" w:rsidRDefault="00F546A4" w:rsidP="00835C90">
            <w:pPr>
              <w:tabs>
                <w:tab w:val="left" w:pos="6219"/>
              </w:tabs>
              <w:jc w:val="center"/>
              <w:rPr>
                <w:i/>
                <w:iCs/>
                <w:color w:val="131413"/>
                <w:sz w:val="18"/>
                <w:szCs w:val="18"/>
                <w:shd w:val="clear" w:color="auto" w:fill="FFFFFF"/>
              </w:rPr>
            </w:pPr>
            <w:r w:rsidRPr="00F546A4">
              <w:rPr>
                <w:i/>
                <w:iCs/>
                <w:color w:val="131413"/>
                <w:sz w:val="18"/>
                <w:szCs w:val="18"/>
                <w:shd w:val="clear" w:color="auto" w:fill="FFFFFF"/>
              </w:rPr>
              <w:t>%</w:t>
            </w:r>
          </w:p>
        </w:tc>
        <w:tc>
          <w:tcPr>
            <w:tcW w:w="2126" w:type="dxa"/>
            <w:tcBorders>
              <w:bottom w:val="single" w:sz="4" w:space="0" w:color="auto"/>
            </w:tcBorders>
            <w:vAlign w:val="center"/>
          </w:tcPr>
          <w:p w14:paraId="453AB34F"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Variables</w:t>
            </w:r>
          </w:p>
        </w:tc>
        <w:tc>
          <w:tcPr>
            <w:tcW w:w="709" w:type="dxa"/>
            <w:tcBorders>
              <w:bottom w:val="single" w:sz="4" w:space="0" w:color="auto"/>
            </w:tcBorders>
            <w:vAlign w:val="center"/>
          </w:tcPr>
          <w:p w14:paraId="77FDBFED" w14:textId="77777777" w:rsidR="00F546A4" w:rsidRPr="00F546A4" w:rsidRDefault="00F546A4" w:rsidP="00835C90">
            <w:pPr>
              <w:tabs>
                <w:tab w:val="left" w:pos="6219"/>
              </w:tabs>
              <w:jc w:val="center"/>
              <w:rPr>
                <w:i/>
                <w:iCs/>
                <w:color w:val="131413"/>
                <w:sz w:val="18"/>
                <w:szCs w:val="18"/>
                <w:shd w:val="clear" w:color="auto" w:fill="FFFFFF"/>
              </w:rPr>
            </w:pPr>
            <w:r w:rsidRPr="00F546A4">
              <w:rPr>
                <w:i/>
                <w:iCs/>
                <w:color w:val="131413"/>
                <w:sz w:val="18"/>
                <w:szCs w:val="18"/>
                <w:shd w:val="clear" w:color="auto" w:fill="FFFFFF"/>
              </w:rPr>
              <w:t>n (705)</w:t>
            </w:r>
          </w:p>
        </w:tc>
        <w:tc>
          <w:tcPr>
            <w:tcW w:w="567" w:type="dxa"/>
            <w:tcBorders>
              <w:bottom w:val="single" w:sz="4" w:space="0" w:color="auto"/>
            </w:tcBorders>
            <w:vAlign w:val="center"/>
          </w:tcPr>
          <w:p w14:paraId="5CB8EC52" w14:textId="77777777" w:rsidR="00F546A4" w:rsidRPr="00F546A4" w:rsidRDefault="00F546A4" w:rsidP="00835C90">
            <w:pPr>
              <w:tabs>
                <w:tab w:val="left" w:pos="6219"/>
              </w:tabs>
              <w:jc w:val="center"/>
              <w:rPr>
                <w:i/>
                <w:iCs/>
                <w:color w:val="131413"/>
                <w:sz w:val="18"/>
                <w:szCs w:val="18"/>
                <w:shd w:val="clear" w:color="auto" w:fill="FFFFFF"/>
              </w:rPr>
            </w:pPr>
            <w:r w:rsidRPr="00F546A4">
              <w:rPr>
                <w:i/>
                <w:iCs/>
                <w:color w:val="131413"/>
                <w:sz w:val="18"/>
                <w:szCs w:val="18"/>
                <w:shd w:val="clear" w:color="auto" w:fill="FFFFFF"/>
              </w:rPr>
              <w:t>%</w:t>
            </w:r>
          </w:p>
        </w:tc>
      </w:tr>
      <w:tr w:rsidR="00F546A4" w:rsidRPr="00F546A4" w14:paraId="2EDAC29F" w14:textId="77777777" w:rsidTr="00F546A4">
        <w:tc>
          <w:tcPr>
            <w:tcW w:w="1985" w:type="dxa"/>
            <w:tcBorders>
              <w:top w:val="single" w:sz="4" w:space="0" w:color="auto"/>
            </w:tcBorders>
            <w:vAlign w:val="center"/>
          </w:tcPr>
          <w:p w14:paraId="15AC77C0" w14:textId="77777777" w:rsidR="00F546A4" w:rsidRPr="00F546A4" w:rsidRDefault="00F546A4" w:rsidP="00835C90">
            <w:pPr>
              <w:tabs>
                <w:tab w:val="left" w:pos="6219"/>
              </w:tabs>
              <w:jc w:val="right"/>
              <w:rPr>
                <w:b/>
                <w:bCs/>
                <w:color w:val="131413"/>
                <w:sz w:val="18"/>
                <w:szCs w:val="18"/>
                <w:shd w:val="clear" w:color="auto" w:fill="FFFFFF"/>
              </w:rPr>
            </w:pPr>
            <w:r w:rsidRPr="00F546A4">
              <w:rPr>
                <w:b/>
                <w:bCs/>
                <w:color w:val="131413"/>
                <w:sz w:val="18"/>
                <w:szCs w:val="18"/>
                <w:shd w:val="clear" w:color="auto" w:fill="FFFFFF"/>
              </w:rPr>
              <w:t>Estado civil</w:t>
            </w:r>
          </w:p>
        </w:tc>
        <w:tc>
          <w:tcPr>
            <w:tcW w:w="710" w:type="dxa"/>
            <w:tcBorders>
              <w:top w:val="single" w:sz="4" w:space="0" w:color="auto"/>
            </w:tcBorders>
            <w:vAlign w:val="center"/>
          </w:tcPr>
          <w:p w14:paraId="147AB979" w14:textId="77777777" w:rsidR="00F546A4" w:rsidRPr="00F546A4" w:rsidRDefault="00F546A4" w:rsidP="00835C90">
            <w:pPr>
              <w:tabs>
                <w:tab w:val="left" w:pos="6219"/>
              </w:tabs>
              <w:jc w:val="right"/>
              <w:rPr>
                <w:color w:val="131413"/>
                <w:sz w:val="18"/>
                <w:szCs w:val="18"/>
                <w:shd w:val="clear" w:color="auto" w:fill="FFFFFF"/>
              </w:rPr>
            </w:pPr>
          </w:p>
        </w:tc>
        <w:tc>
          <w:tcPr>
            <w:tcW w:w="566" w:type="dxa"/>
            <w:tcBorders>
              <w:top w:val="single" w:sz="4" w:space="0" w:color="auto"/>
            </w:tcBorders>
            <w:vAlign w:val="center"/>
          </w:tcPr>
          <w:p w14:paraId="432A1DB1" w14:textId="77777777" w:rsidR="00F546A4" w:rsidRPr="00F546A4" w:rsidRDefault="00F546A4" w:rsidP="00835C90">
            <w:pPr>
              <w:tabs>
                <w:tab w:val="left" w:pos="6219"/>
              </w:tabs>
              <w:jc w:val="right"/>
              <w:rPr>
                <w:color w:val="131413"/>
                <w:sz w:val="18"/>
                <w:szCs w:val="18"/>
                <w:shd w:val="clear" w:color="auto" w:fill="FFFFFF"/>
              </w:rPr>
            </w:pPr>
          </w:p>
        </w:tc>
        <w:tc>
          <w:tcPr>
            <w:tcW w:w="1843" w:type="dxa"/>
            <w:tcBorders>
              <w:top w:val="single" w:sz="4" w:space="0" w:color="auto"/>
            </w:tcBorders>
            <w:vAlign w:val="center"/>
          </w:tcPr>
          <w:p w14:paraId="41C1D4C2" w14:textId="77777777" w:rsidR="00F546A4" w:rsidRPr="00F546A4" w:rsidRDefault="00F546A4" w:rsidP="00835C90">
            <w:pPr>
              <w:tabs>
                <w:tab w:val="left" w:pos="6219"/>
              </w:tabs>
              <w:jc w:val="right"/>
              <w:rPr>
                <w:color w:val="131413"/>
                <w:sz w:val="18"/>
                <w:szCs w:val="18"/>
                <w:shd w:val="clear" w:color="auto" w:fill="FFFFFF"/>
              </w:rPr>
            </w:pPr>
            <w:r w:rsidRPr="00F546A4">
              <w:rPr>
                <w:b/>
                <w:bCs/>
                <w:color w:val="131413"/>
                <w:sz w:val="18"/>
                <w:szCs w:val="18"/>
                <w:shd w:val="clear" w:color="auto" w:fill="FFFFFF"/>
              </w:rPr>
              <w:t>Nivel de estudios</w:t>
            </w:r>
          </w:p>
        </w:tc>
        <w:tc>
          <w:tcPr>
            <w:tcW w:w="709" w:type="dxa"/>
            <w:tcBorders>
              <w:top w:val="single" w:sz="4" w:space="0" w:color="auto"/>
            </w:tcBorders>
            <w:vAlign w:val="center"/>
          </w:tcPr>
          <w:p w14:paraId="440BFEED" w14:textId="77777777" w:rsidR="00F546A4" w:rsidRPr="00F546A4" w:rsidRDefault="00F546A4" w:rsidP="00835C90">
            <w:pPr>
              <w:tabs>
                <w:tab w:val="left" w:pos="6219"/>
              </w:tabs>
              <w:jc w:val="right"/>
              <w:rPr>
                <w:color w:val="131413"/>
                <w:sz w:val="18"/>
                <w:szCs w:val="18"/>
                <w:shd w:val="clear" w:color="auto" w:fill="FFFFFF"/>
              </w:rPr>
            </w:pPr>
          </w:p>
        </w:tc>
        <w:tc>
          <w:tcPr>
            <w:tcW w:w="567" w:type="dxa"/>
            <w:tcBorders>
              <w:top w:val="single" w:sz="4" w:space="0" w:color="auto"/>
            </w:tcBorders>
            <w:vAlign w:val="center"/>
          </w:tcPr>
          <w:p w14:paraId="1B3FABE2" w14:textId="77777777" w:rsidR="00F546A4" w:rsidRPr="00F546A4" w:rsidRDefault="00F546A4" w:rsidP="00835C90">
            <w:pPr>
              <w:tabs>
                <w:tab w:val="left" w:pos="6219"/>
              </w:tabs>
              <w:jc w:val="right"/>
              <w:rPr>
                <w:color w:val="131413"/>
                <w:sz w:val="18"/>
                <w:szCs w:val="18"/>
                <w:shd w:val="clear" w:color="auto" w:fill="FFFFFF"/>
              </w:rPr>
            </w:pPr>
          </w:p>
        </w:tc>
        <w:tc>
          <w:tcPr>
            <w:tcW w:w="2126" w:type="dxa"/>
            <w:tcBorders>
              <w:top w:val="single" w:sz="4" w:space="0" w:color="auto"/>
            </w:tcBorders>
            <w:vAlign w:val="center"/>
          </w:tcPr>
          <w:p w14:paraId="74B1B226" w14:textId="77777777" w:rsidR="00F546A4" w:rsidRPr="00F546A4" w:rsidRDefault="00F546A4" w:rsidP="00835C90">
            <w:pPr>
              <w:tabs>
                <w:tab w:val="left" w:pos="6219"/>
              </w:tabs>
              <w:jc w:val="right"/>
              <w:rPr>
                <w:color w:val="131413"/>
                <w:sz w:val="18"/>
                <w:szCs w:val="18"/>
                <w:shd w:val="clear" w:color="auto" w:fill="FFFFFF"/>
              </w:rPr>
            </w:pPr>
            <w:r w:rsidRPr="00F546A4">
              <w:rPr>
                <w:b/>
                <w:bCs/>
                <w:color w:val="131413"/>
                <w:sz w:val="18"/>
                <w:szCs w:val="18"/>
                <w:shd w:val="clear" w:color="auto" w:fill="FFFFFF"/>
              </w:rPr>
              <w:t>Me dedico…</w:t>
            </w:r>
          </w:p>
        </w:tc>
        <w:tc>
          <w:tcPr>
            <w:tcW w:w="709" w:type="dxa"/>
            <w:tcBorders>
              <w:top w:val="single" w:sz="4" w:space="0" w:color="auto"/>
            </w:tcBorders>
          </w:tcPr>
          <w:p w14:paraId="600C4CB8" w14:textId="77777777" w:rsidR="00F546A4" w:rsidRPr="00F546A4" w:rsidRDefault="00F546A4" w:rsidP="00835C90">
            <w:pPr>
              <w:tabs>
                <w:tab w:val="left" w:pos="6219"/>
              </w:tabs>
              <w:jc w:val="right"/>
              <w:rPr>
                <w:color w:val="131413"/>
                <w:sz w:val="18"/>
                <w:szCs w:val="18"/>
                <w:shd w:val="clear" w:color="auto" w:fill="FFFFFF"/>
              </w:rPr>
            </w:pPr>
          </w:p>
        </w:tc>
        <w:tc>
          <w:tcPr>
            <w:tcW w:w="567" w:type="dxa"/>
            <w:tcBorders>
              <w:top w:val="single" w:sz="4" w:space="0" w:color="auto"/>
            </w:tcBorders>
          </w:tcPr>
          <w:p w14:paraId="52E824DB" w14:textId="77777777" w:rsidR="00F546A4" w:rsidRPr="00F546A4" w:rsidRDefault="00F546A4" w:rsidP="00835C90">
            <w:pPr>
              <w:tabs>
                <w:tab w:val="left" w:pos="6219"/>
              </w:tabs>
              <w:jc w:val="right"/>
              <w:rPr>
                <w:color w:val="131413"/>
                <w:sz w:val="18"/>
                <w:szCs w:val="18"/>
                <w:shd w:val="clear" w:color="auto" w:fill="FFFFFF"/>
              </w:rPr>
            </w:pPr>
          </w:p>
        </w:tc>
      </w:tr>
      <w:tr w:rsidR="00F546A4" w:rsidRPr="00F546A4" w14:paraId="574E513D" w14:textId="77777777" w:rsidTr="00F546A4">
        <w:tc>
          <w:tcPr>
            <w:tcW w:w="1985" w:type="dxa"/>
            <w:vAlign w:val="center"/>
          </w:tcPr>
          <w:p w14:paraId="1969182B"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Soltero/a</w:t>
            </w:r>
          </w:p>
        </w:tc>
        <w:tc>
          <w:tcPr>
            <w:tcW w:w="710" w:type="dxa"/>
            <w:vAlign w:val="bottom"/>
          </w:tcPr>
          <w:p w14:paraId="6FD0EB41"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296</w:t>
            </w:r>
          </w:p>
        </w:tc>
        <w:tc>
          <w:tcPr>
            <w:tcW w:w="566" w:type="dxa"/>
            <w:vAlign w:val="bottom"/>
          </w:tcPr>
          <w:p w14:paraId="3CDE2150"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42.0</w:t>
            </w:r>
          </w:p>
        </w:tc>
        <w:tc>
          <w:tcPr>
            <w:tcW w:w="1843" w:type="dxa"/>
            <w:vAlign w:val="center"/>
          </w:tcPr>
          <w:p w14:paraId="30B0C7EA"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Preescolar</w:t>
            </w:r>
          </w:p>
        </w:tc>
        <w:tc>
          <w:tcPr>
            <w:tcW w:w="709" w:type="dxa"/>
            <w:vAlign w:val="bottom"/>
          </w:tcPr>
          <w:p w14:paraId="08F22B49"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2</w:t>
            </w:r>
          </w:p>
        </w:tc>
        <w:tc>
          <w:tcPr>
            <w:tcW w:w="567" w:type="dxa"/>
            <w:vAlign w:val="bottom"/>
          </w:tcPr>
          <w:p w14:paraId="4D7349BD"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0.3</w:t>
            </w:r>
          </w:p>
        </w:tc>
        <w:tc>
          <w:tcPr>
            <w:tcW w:w="2126" w:type="dxa"/>
            <w:vAlign w:val="center"/>
          </w:tcPr>
          <w:p w14:paraId="5AE0B6AB"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Hogar</w:t>
            </w:r>
          </w:p>
        </w:tc>
        <w:tc>
          <w:tcPr>
            <w:tcW w:w="709" w:type="dxa"/>
            <w:vAlign w:val="bottom"/>
          </w:tcPr>
          <w:p w14:paraId="79CCA43F"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82</w:t>
            </w:r>
          </w:p>
        </w:tc>
        <w:tc>
          <w:tcPr>
            <w:tcW w:w="567" w:type="dxa"/>
            <w:vAlign w:val="bottom"/>
          </w:tcPr>
          <w:p w14:paraId="3AC5F4D5"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11.6</w:t>
            </w:r>
          </w:p>
        </w:tc>
      </w:tr>
      <w:tr w:rsidR="00F546A4" w:rsidRPr="00F546A4" w14:paraId="6C6B65E8" w14:textId="77777777" w:rsidTr="00F546A4">
        <w:tc>
          <w:tcPr>
            <w:tcW w:w="1985" w:type="dxa"/>
            <w:vAlign w:val="center"/>
          </w:tcPr>
          <w:p w14:paraId="728F8466"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Casado/a</w:t>
            </w:r>
          </w:p>
        </w:tc>
        <w:tc>
          <w:tcPr>
            <w:tcW w:w="710" w:type="dxa"/>
            <w:vAlign w:val="bottom"/>
          </w:tcPr>
          <w:p w14:paraId="06D724D6"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229</w:t>
            </w:r>
          </w:p>
        </w:tc>
        <w:tc>
          <w:tcPr>
            <w:tcW w:w="566" w:type="dxa"/>
            <w:vAlign w:val="bottom"/>
          </w:tcPr>
          <w:p w14:paraId="06ACC8E3"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32.5</w:t>
            </w:r>
          </w:p>
        </w:tc>
        <w:tc>
          <w:tcPr>
            <w:tcW w:w="1843" w:type="dxa"/>
            <w:vAlign w:val="center"/>
          </w:tcPr>
          <w:p w14:paraId="2DA36736"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Primaria</w:t>
            </w:r>
          </w:p>
        </w:tc>
        <w:tc>
          <w:tcPr>
            <w:tcW w:w="709" w:type="dxa"/>
            <w:vAlign w:val="bottom"/>
          </w:tcPr>
          <w:p w14:paraId="70BB45AD"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2</w:t>
            </w:r>
          </w:p>
        </w:tc>
        <w:tc>
          <w:tcPr>
            <w:tcW w:w="567" w:type="dxa"/>
            <w:vAlign w:val="bottom"/>
          </w:tcPr>
          <w:p w14:paraId="5B6CED7D"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0.3</w:t>
            </w:r>
          </w:p>
        </w:tc>
        <w:tc>
          <w:tcPr>
            <w:tcW w:w="2126" w:type="dxa"/>
            <w:vAlign w:val="center"/>
          </w:tcPr>
          <w:p w14:paraId="7CDFC71F"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Trabajar</w:t>
            </w:r>
          </w:p>
        </w:tc>
        <w:tc>
          <w:tcPr>
            <w:tcW w:w="709" w:type="dxa"/>
            <w:vAlign w:val="bottom"/>
          </w:tcPr>
          <w:p w14:paraId="2FE6F3FD"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164</w:t>
            </w:r>
          </w:p>
        </w:tc>
        <w:tc>
          <w:tcPr>
            <w:tcW w:w="567" w:type="dxa"/>
            <w:vAlign w:val="bottom"/>
          </w:tcPr>
          <w:p w14:paraId="4A2AF0F9"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23.3</w:t>
            </w:r>
          </w:p>
        </w:tc>
      </w:tr>
      <w:tr w:rsidR="00F546A4" w:rsidRPr="00F546A4" w14:paraId="4C04EEAE" w14:textId="77777777" w:rsidTr="00F546A4">
        <w:tc>
          <w:tcPr>
            <w:tcW w:w="1985" w:type="dxa"/>
            <w:vAlign w:val="center"/>
          </w:tcPr>
          <w:p w14:paraId="6F31733C"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Separado/a</w:t>
            </w:r>
          </w:p>
        </w:tc>
        <w:tc>
          <w:tcPr>
            <w:tcW w:w="710" w:type="dxa"/>
            <w:vAlign w:val="bottom"/>
          </w:tcPr>
          <w:p w14:paraId="571EABAC"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74</w:t>
            </w:r>
          </w:p>
        </w:tc>
        <w:tc>
          <w:tcPr>
            <w:tcW w:w="566" w:type="dxa"/>
            <w:vAlign w:val="bottom"/>
          </w:tcPr>
          <w:p w14:paraId="4EACCE75"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10.5</w:t>
            </w:r>
          </w:p>
        </w:tc>
        <w:tc>
          <w:tcPr>
            <w:tcW w:w="1843" w:type="dxa"/>
            <w:vAlign w:val="center"/>
          </w:tcPr>
          <w:p w14:paraId="56794AB3"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Secundaria</w:t>
            </w:r>
          </w:p>
        </w:tc>
        <w:tc>
          <w:tcPr>
            <w:tcW w:w="709" w:type="dxa"/>
            <w:vAlign w:val="bottom"/>
          </w:tcPr>
          <w:p w14:paraId="063399F6"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21</w:t>
            </w:r>
          </w:p>
        </w:tc>
        <w:tc>
          <w:tcPr>
            <w:tcW w:w="567" w:type="dxa"/>
            <w:vAlign w:val="bottom"/>
          </w:tcPr>
          <w:p w14:paraId="04A6192F"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3.0</w:t>
            </w:r>
          </w:p>
        </w:tc>
        <w:tc>
          <w:tcPr>
            <w:tcW w:w="2126" w:type="dxa"/>
            <w:vAlign w:val="center"/>
          </w:tcPr>
          <w:p w14:paraId="7320D6FE"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Estudiar</w:t>
            </w:r>
          </w:p>
        </w:tc>
        <w:tc>
          <w:tcPr>
            <w:tcW w:w="709" w:type="dxa"/>
            <w:vAlign w:val="bottom"/>
          </w:tcPr>
          <w:p w14:paraId="4DE4D3F2"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110</w:t>
            </w:r>
          </w:p>
        </w:tc>
        <w:tc>
          <w:tcPr>
            <w:tcW w:w="567" w:type="dxa"/>
            <w:vAlign w:val="bottom"/>
          </w:tcPr>
          <w:p w14:paraId="5EA3C68D"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15.6</w:t>
            </w:r>
          </w:p>
        </w:tc>
      </w:tr>
      <w:tr w:rsidR="00F546A4" w:rsidRPr="00F546A4" w14:paraId="007F1592" w14:textId="77777777" w:rsidTr="00F546A4">
        <w:tc>
          <w:tcPr>
            <w:tcW w:w="1985" w:type="dxa"/>
            <w:vAlign w:val="center"/>
          </w:tcPr>
          <w:p w14:paraId="744572C8"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Viudo/a</w:t>
            </w:r>
          </w:p>
        </w:tc>
        <w:tc>
          <w:tcPr>
            <w:tcW w:w="710" w:type="dxa"/>
            <w:vAlign w:val="bottom"/>
          </w:tcPr>
          <w:p w14:paraId="2751603D"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15</w:t>
            </w:r>
          </w:p>
        </w:tc>
        <w:tc>
          <w:tcPr>
            <w:tcW w:w="566" w:type="dxa"/>
            <w:vAlign w:val="bottom"/>
          </w:tcPr>
          <w:p w14:paraId="77E5C81E"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2.1</w:t>
            </w:r>
          </w:p>
        </w:tc>
        <w:tc>
          <w:tcPr>
            <w:tcW w:w="1843" w:type="dxa"/>
            <w:vAlign w:val="center"/>
          </w:tcPr>
          <w:p w14:paraId="453B1D6F"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Media superior</w:t>
            </w:r>
          </w:p>
        </w:tc>
        <w:tc>
          <w:tcPr>
            <w:tcW w:w="709" w:type="dxa"/>
            <w:vAlign w:val="bottom"/>
          </w:tcPr>
          <w:p w14:paraId="07E512F4"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195</w:t>
            </w:r>
          </w:p>
        </w:tc>
        <w:tc>
          <w:tcPr>
            <w:tcW w:w="567" w:type="dxa"/>
            <w:vAlign w:val="bottom"/>
          </w:tcPr>
          <w:p w14:paraId="7A14D621"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27.7</w:t>
            </w:r>
          </w:p>
        </w:tc>
        <w:tc>
          <w:tcPr>
            <w:tcW w:w="2126" w:type="dxa"/>
            <w:vAlign w:val="center"/>
          </w:tcPr>
          <w:p w14:paraId="0C67B8BC"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Estudiar y trabajar</w:t>
            </w:r>
          </w:p>
        </w:tc>
        <w:tc>
          <w:tcPr>
            <w:tcW w:w="709" w:type="dxa"/>
            <w:vAlign w:val="bottom"/>
          </w:tcPr>
          <w:p w14:paraId="0226CACF"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96</w:t>
            </w:r>
          </w:p>
        </w:tc>
        <w:tc>
          <w:tcPr>
            <w:tcW w:w="567" w:type="dxa"/>
            <w:vAlign w:val="bottom"/>
          </w:tcPr>
          <w:p w14:paraId="253F17C1"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13.6</w:t>
            </w:r>
          </w:p>
        </w:tc>
      </w:tr>
      <w:tr w:rsidR="00F546A4" w:rsidRPr="00F546A4" w14:paraId="6E90F7BB" w14:textId="77777777" w:rsidTr="00F546A4">
        <w:tc>
          <w:tcPr>
            <w:tcW w:w="1985" w:type="dxa"/>
            <w:vAlign w:val="center"/>
          </w:tcPr>
          <w:p w14:paraId="266B2CFA"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Unión libre</w:t>
            </w:r>
          </w:p>
        </w:tc>
        <w:tc>
          <w:tcPr>
            <w:tcW w:w="710" w:type="dxa"/>
            <w:vAlign w:val="bottom"/>
          </w:tcPr>
          <w:p w14:paraId="78A9295E"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86</w:t>
            </w:r>
          </w:p>
        </w:tc>
        <w:tc>
          <w:tcPr>
            <w:tcW w:w="566" w:type="dxa"/>
            <w:vAlign w:val="bottom"/>
          </w:tcPr>
          <w:p w14:paraId="0CA4E97C"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12.2</w:t>
            </w:r>
          </w:p>
        </w:tc>
        <w:tc>
          <w:tcPr>
            <w:tcW w:w="1843" w:type="dxa"/>
            <w:vAlign w:val="center"/>
          </w:tcPr>
          <w:p w14:paraId="2D9DEC53"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Carrera técnica</w:t>
            </w:r>
          </w:p>
        </w:tc>
        <w:tc>
          <w:tcPr>
            <w:tcW w:w="709" w:type="dxa"/>
            <w:vAlign w:val="bottom"/>
          </w:tcPr>
          <w:p w14:paraId="1E80016C"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78</w:t>
            </w:r>
          </w:p>
        </w:tc>
        <w:tc>
          <w:tcPr>
            <w:tcW w:w="567" w:type="dxa"/>
            <w:vAlign w:val="bottom"/>
          </w:tcPr>
          <w:p w14:paraId="2FC35AD6"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11.0</w:t>
            </w:r>
          </w:p>
        </w:tc>
        <w:tc>
          <w:tcPr>
            <w:tcW w:w="2126" w:type="dxa"/>
            <w:vAlign w:val="center"/>
          </w:tcPr>
          <w:p w14:paraId="74808BF8"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Estudiar y al hogar</w:t>
            </w:r>
          </w:p>
        </w:tc>
        <w:tc>
          <w:tcPr>
            <w:tcW w:w="709" w:type="dxa"/>
            <w:vAlign w:val="bottom"/>
          </w:tcPr>
          <w:p w14:paraId="0286AD32"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49</w:t>
            </w:r>
          </w:p>
        </w:tc>
        <w:tc>
          <w:tcPr>
            <w:tcW w:w="567" w:type="dxa"/>
            <w:vAlign w:val="bottom"/>
          </w:tcPr>
          <w:p w14:paraId="03AF13A3"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7.0</w:t>
            </w:r>
          </w:p>
        </w:tc>
      </w:tr>
      <w:tr w:rsidR="00F546A4" w:rsidRPr="00F546A4" w14:paraId="3BBEC7AD" w14:textId="77777777" w:rsidTr="00F546A4">
        <w:tc>
          <w:tcPr>
            <w:tcW w:w="1985" w:type="dxa"/>
            <w:vAlign w:val="center"/>
          </w:tcPr>
          <w:p w14:paraId="4A7CB583"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Otro</w:t>
            </w:r>
          </w:p>
        </w:tc>
        <w:tc>
          <w:tcPr>
            <w:tcW w:w="710" w:type="dxa"/>
            <w:vAlign w:val="bottom"/>
          </w:tcPr>
          <w:p w14:paraId="2D4C4592"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5</w:t>
            </w:r>
          </w:p>
        </w:tc>
        <w:tc>
          <w:tcPr>
            <w:tcW w:w="566" w:type="dxa"/>
            <w:vAlign w:val="bottom"/>
          </w:tcPr>
          <w:p w14:paraId="6215C9DA"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0.7</w:t>
            </w:r>
          </w:p>
        </w:tc>
        <w:tc>
          <w:tcPr>
            <w:tcW w:w="1843" w:type="dxa"/>
            <w:vAlign w:val="center"/>
          </w:tcPr>
          <w:p w14:paraId="78EDABE6"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Superior</w:t>
            </w:r>
          </w:p>
        </w:tc>
        <w:tc>
          <w:tcPr>
            <w:tcW w:w="709" w:type="dxa"/>
            <w:vAlign w:val="bottom"/>
          </w:tcPr>
          <w:p w14:paraId="50E8927C"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309</w:t>
            </w:r>
          </w:p>
        </w:tc>
        <w:tc>
          <w:tcPr>
            <w:tcW w:w="567" w:type="dxa"/>
            <w:vAlign w:val="bottom"/>
          </w:tcPr>
          <w:p w14:paraId="054889AC"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43.8</w:t>
            </w:r>
          </w:p>
        </w:tc>
        <w:tc>
          <w:tcPr>
            <w:tcW w:w="2126" w:type="dxa"/>
            <w:vAlign w:val="center"/>
          </w:tcPr>
          <w:p w14:paraId="4AD6512B"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Hogar y a trabajar.</w:t>
            </w:r>
          </w:p>
        </w:tc>
        <w:tc>
          <w:tcPr>
            <w:tcW w:w="709" w:type="dxa"/>
            <w:vAlign w:val="bottom"/>
          </w:tcPr>
          <w:p w14:paraId="1AF4B59E"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77</w:t>
            </w:r>
          </w:p>
        </w:tc>
        <w:tc>
          <w:tcPr>
            <w:tcW w:w="567" w:type="dxa"/>
            <w:vAlign w:val="bottom"/>
          </w:tcPr>
          <w:p w14:paraId="38E81D74"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10.9</w:t>
            </w:r>
          </w:p>
        </w:tc>
      </w:tr>
      <w:tr w:rsidR="00F546A4" w:rsidRPr="00F546A4" w14:paraId="581CDB01" w14:textId="77777777" w:rsidTr="00F546A4">
        <w:tc>
          <w:tcPr>
            <w:tcW w:w="1985" w:type="dxa"/>
            <w:vAlign w:val="center"/>
          </w:tcPr>
          <w:p w14:paraId="20FF1E34" w14:textId="77777777" w:rsidR="00F546A4" w:rsidRPr="00F546A4" w:rsidRDefault="00F546A4" w:rsidP="00835C90">
            <w:pPr>
              <w:tabs>
                <w:tab w:val="left" w:pos="6219"/>
              </w:tabs>
              <w:jc w:val="right"/>
              <w:rPr>
                <w:color w:val="131413"/>
                <w:sz w:val="18"/>
                <w:szCs w:val="18"/>
                <w:shd w:val="clear" w:color="auto" w:fill="FFFFFF"/>
              </w:rPr>
            </w:pPr>
          </w:p>
        </w:tc>
        <w:tc>
          <w:tcPr>
            <w:tcW w:w="710" w:type="dxa"/>
            <w:vAlign w:val="center"/>
          </w:tcPr>
          <w:p w14:paraId="76366902" w14:textId="77777777" w:rsidR="00F546A4" w:rsidRPr="00F546A4" w:rsidRDefault="00F546A4" w:rsidP="00835C90">
            <w:pPr>
              <w:tabs>
                <w:tab w:val="left" w:pos="6219"/>
              </w:tabs>
              <w:jc w:val="center"/>
              <w:rPr>
                <w:color w:val="131413"/>
                <w:sz w:val="18"/>
                <w:szCs w:val="18"/>
                <w:shd w:val="clear" w:color="auto" w:fill="FFFFFF"/>
              </w:rPr>
            </w:pPr>
          </w:p>
        </w:tc>
        <w:tc>
          <w:tcPr>
            <w:tcW w:w="566" w:type="dxa"/>
            <w:vAlign w:val="center"/>
          </w:tcPr>
          <w:p w14:paraId="206773CE" w14:textId="77777777" w:rsidR="00F546A4" w:rsidRPr="00F546A4" w:rsidRDefault="00F546A4" w:rsidP="00835C90">
            <w:pPr>
              <w:tabs>
                <w:tab w:val="left" w:pos="6219"/>
              </w:tabs>
              <w:jc w:val="center"/>
              <w:rPr>
                <w:color w:val="131413"/>
                <w:sz w:val="18"/>
                <w:szCs w:val="18"/>
                <w:shd w:val="clear" w:color="auto" w:fill="FFFFFF"/>
              </w:rPr>
            </w:pPr>
          </w:p>
        </w:tc>
        <w:tc>
          <w:tcPr>
            <w:tcW w:w="1843" w:type="dxa"/>
            <w:vAlign w:val="center"/>
          </w:tcPr>
          <w:p w14:paraId="3BD265E6"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Posgrado</w:t>
            </w:r>
          </w:p>
        </w:tc>
        <w:tc>
          <w:tcPr>
            <w:tcW w:w="709" w:type="dxa"/>
            <w:vAlign w:val="bottom"/>
          </w:tcPr>
          <w:p w14:paraId="119C0E03"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98</w:t>
            </w:r>
          </w:p>
        </w:tc>
        <w:tc>
          <w:tcPr>
            <w:tcW w:w="567" w:type="dxa"/>
            <w:vAlign w:val="bottom"/>
          </w:tcPr>
          <w:p w14:paraId="2AD23A52"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13.9</w:t>
            </w:r>
          </w:p>
        </w:tc>
        <w:tc>
          <w:tcPr>
            <w:tcW w:w="2126" w:type="dxa"/>
            <w:vAlign w:val="center"/>
          </w:tcPr>
          <w:p w14:paraId="5E141C3A" w14:textId="77777777" w:rsidR="00F546A4" w:rsidRPr="00F546A4" w:rsidRDefault="00F546A4" w:rsidP="00835C90">
            <w:pPr>
              <w:tabs>
                <w:tab w:val="left" w:pos="6219"/>
              </w:tabs>
              <w:jc w:val="right"/>
              <w:rPr>
                <w:color w:val="131413"/>
                <w:sz w:val="18"/>
                <w:szCs w:val="18"/>
                <w:shd w:val="clear" w:color="auto" w:fill="FFFFFF"/>
              </w:rPr>
            </w:pPr>
            <w:r w:rsidRPr="00F546A4">
              <w:rPr>
                <w:color w:val="131413"/>
                <w:sz w:val="18"/>
                <w:szCs w:val="18"/>
                <w:shd w:val="clear" w:color="auto" w:fill="FFFFFF"/>
              </w:rPr>
              <w:t>Hogar, estudiar y trabajar</w:t>
            </w:r>
          </w:p>
        </w:tc>
        <w:tc>
          <w:tcPr>
            <w:tcW w:w="709" w:type="dxa"/>
            <w:vAlign w:val="bottom"/>
          </w:tcPr>
          <w:p w14:paraId="448BBF00"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118</w:t>
            </w:r>
          </w:p>
        </w:tc>
        <w:tc>
          <w:tcPr>
            <w:tcW w:w="567" w:type="dxa"/>
            <w:vAlign w:val="bottom"/>
          </w:tcPr>
          <w:p w14:paraId="402B4C59" w14:textId="77777777" w:rsidR="00F546A4" w:rsidRPr="00F546A4" w:rsidRDefault="00F546A4" w:rsidP="00835C90">
            <w:pPr>
              <w:tabs>
                <w:tab w:val="left" w:pos="6219"/>
              </w:tabs>
              <w:jc w:val="center"/>
              <w:rPr>
                <w:color w:val="131413"/>
                <w:sz w:val="18"/>
                <w:szCs w:val="18"/>
                <w:shd w:val="clear" w:color="auto" w:fill="FFFFFF"/>
              </w:rPr>
            </w:pPr>
            <w:r w:rsidRPr="00F546A4">
              <w:rPr>
                <w:color w:val="131413"/>
                <w:sz w:val="18"/>
                <w:szCs w:val="18"/>
                <w:shd w:val="clear" w:color="auto" w:fill="FFFFFF"/>
              </w:rPr>
              <w:t>16.7</w:t>
            </w:r>
          </w:p>
        </w:tc>
      </w:tr>
      <w:tr w:rsidR="00F546A4" w:rsidRPr="00F546A4" w14:paraId="44516B60" w14:textId="77777777" w:rsidTr="00F546A4">
        <w:tc>
          <w:tcPr>
            <w:tcW w:w="1985" w:type="dxa"/>
            <w:vAlign w:val="center"/>
          </w:tcPr>
          <w:p w14:paraId="660AAC0C" w14:textId="77777777" w:rsidR="00F546A4" w:rsidRPr="00F546A4" w:rsidRDefault="00F546A4" w:rsidP="00F546A4">
            <w:pPr>
              <w:tabs>
                <w:tab w:val="left" w:pos="6219"/>
              </w:tabs>
              <w:jc w:val="right"/>
              <w:rPr>
                <w:b/>
                <w:bCs/>
                <w:color w:val="131413"/>
                <w:sz w:val="18"/>
                <w:szCs w:val="18"/>
                <w:shd w:val="clear" w:color="auto" w:fill="FFFFFF"/>
              </w:rPr>
            </w:pPr>
            <w:r w:rsidRPr="00F546A4">
              <w:rPr>
                <w:b/>
                <w:bCs/>
                <w:color w:val="131413"/>
                <w:sz w:val="18"/>
                <w:szCs w:val="18"/>
                <w:shd w:val="clear" w:color="auto" w:fill="FFFFFF"/>
              </w:rPr>
              <w:t>*Ingreso familiar</w:t>
            </w:r>
          </w:p>
        </w:tc>
        <w:tc>
          <w:tcPr>
            <w:tcW w:w="710" w:type="dxa"/>
            <w:vAlign w:val="center"/>
          </w:tcPr>
          <w:p w14:paraId="42773DC6" w14:textId="77777777" w:rsidR="00F546A4" w:rsidRPr="00F546A4" w:rsidRDefault="00F546A4" w:rsidP="00F546A4">
            <w:pPr>
              <w:tabs>
                <w:tab w:val="left" w:pos="6219"/>
              </w:tabs>
              <w:jc w:val="center"/>
              <w:rPr>
                <w:color w:val="131413"/>
                <w:sz w:val="18"/>
                <w:szCs w:val="18"/>
                <w:shd w:val="clear" w:color="auto" w:fill="FFFFFF"/>
              </w:rPr>
            </w:pPr>
          </w:p>
        </w:tc>
        <w:tc>
          <w:tcPr>
            <w:tcW w:w="566" w:type="dxa"/>
            <w:vAlign w:val="center"/>
          </w:tcPr>
          <w:p w14:paraId="7389A09B" w14:textId="77777777" w:rsidR="00F546A4" w:rsidRPr="00F546A4" w:rsidRDefault="00F546A4" w:rsidP="00F546A4">
            <w:pPr>
              <w:tabs>
                <w:tab w:val="left" w:pos="6219"/>
              </w:tabs>
              <w:jc w:val="center"/>
              <w:rPr>
                <w:color w:val="131413"/>
                <w:sz w:val="18"/>
                <w:szCs w:val="18"/>
                <w:shd w:val="clear" w:color="auto" w:fill="FFFFFF"/>
              </w:rPr>
            </w:pPr>
          </w:p>
        </w:tc>
        <w:tc>
          <w:tcPr>
            <w:tcW w:w="1843" w:type="dxa"/>
            <w:vAlign w:val="center"/>
          </w:tcPr>
          <w:p w14:paraId="01E345AF" w14:textId="12E9A9BD" w:rsidR="00F546A4" w:rsidRPr="00F546A4" w:rsidRDefault="00F546A4" w:rsidP="00F546A4">
            <w:pPr>
              <w:tabs>
                <w:tab w:val="left" w:pos="6219"/>
              </w:tabs>
              <w:jc w:val="right"/>
              <w:rPr>
                <w:color w:val="131413"/>
                <w:sz w:val="18"/>
                <w:szCs w:val="18"/>
                <w:shd w:val="clear" w:color="auto" w:fill="FFFFFF"/>
              </w:rPr>
            </w:pPr>
            <w:r w:rsidRPr="00F546A4">
              <w:rPr>
                <w:b/>
                <w:bCs/>
                <w:color w:val="131413"/>
                <w:sz w:val="18"/>
                <w:szCs w:val="18"/>
                <w:shd w:val="clear" w:color="auto" w:fill="FFFFFF"/>
              </w:rPr>
              <w:t>Trabajo renumerado</w:t>
            </w:r>
          </w:p>
        </w:tc>
        <w:tc>
          <w:tcPr>
            <w:tcW w:w="709" w:type="dxa"/>
            <w:vAlign w:val="center"/>
          </w:tcPr>
          <w:p w14:paraId="06F5094B" w14:textId="77777777" w:rsidR="00F546A4" w:rsidRPr="00F546A4" w:rsidRDefault="00F546A4" w:rsidP="00F546A4">
            <w:pPr>
              <w:tabs>
                <w:tab w:val="left" w:pos="6219"/>
              </w:tabs>
              <w:jc w:val="center"/>
              <w:rPr>
                <w:color w:val="131413"/>
                <w:sz w:val="18"/>
                <w:szCs w:val="18"/>
                <w:shd w:val="clear" w:color="auto" w:fill="FFFFFF"/>
              </w:rPr>
            </w:pPr>
          </w:p>
        </w:tc>
        <w:tc>
          <w:tcPr>
            <w:tcW w:w="567" w:type="dxa"/>
            <w:vAlign w:val="center"/>
          </w:tcPr>
          <w:p w14:paraId="01723701" w14:textId="77777777" w:rsidR="00F546A4" w:rsidRPr="00F546A4" w:rsidRDefault="00F546A4" w:rsidP="00F546A4">
            <w:pPr>
              <w:tabs>
                <w:tab w:val="left" w:pos="6219"/>
              </w:tabs>
              <w:jc w:val="center"/>
              <w:rPr>
                <w:color w:val="131413"/>
                <w:sz w:val="18"/>
                <w:szCs w:val="18"/>
                <w:shd w:val="clear" w:color="auto" w:fill="FFFFFF"/>
              </w:rPr>
            </w:pPr>
          </w:p>
        </w:tc>
        <w:tc>
          <w:tcPr>
            <w:tcW w:w="2126" w:type="dxa"/>
            <w:vAlign w:val="center"/>
          </w:tcPr>
          <w:p w14:paraId="15B4C0AD" w14:textId="77777777" w:rsidR="00F546A4" w:rsidRPr="00F546A4" w:rsidRDefault="00F546A4" w:rsidP="00F546A4">
            <w:pPr>
              <w:tabs>
                <w:tab w:val="left" w:pos="6219"/>
              </w:tabs>
              <w:jc w:val="right"/>
              <w:rPr>
                <w:color w:val="131413"/>
                <w:sz w:val="18"/>
                <w:szCs w:val="18"/>
                <w:shd w:val="clear" w:color="auto" w:fill="FFFFFF"/>
              </w:rPr>
            </w:pPr>
            <w:r w:rsidRPr="00F546A4">
              <w:rPr>
                <w:color w:val="131413"/>
                <w:sz w:val="18"/>
                <w:szCs w:val="18"/>
                <w:shd w:val="clear" w:color="auto" w:fill="FFFFFF"/>
              </w:rPr>
              <w:t>Otro</w:t>
            </w:r>
          </w:p>
        </w:tc>
        <w:tc>
          <w:tcPr>
            <w:tcW w:w="709" w:type="dxa"/>
            <w:vAlign w:val="bottom"/>
          </w:tcPr>
          <w:p w14:paraId="52507495"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9</w:t>
            </w:r>
          </w:p>
        </w:tc>
        <w:tc>
          <w:tcPr>
            <w:tcW w:w="567" w:type="dxa"/>
            <w:vAlign w:val="bottom"/>
          </w:tcPr>
          <w:p w14:paraId="73955E59"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1.3</w:t>
            </w:r>
          </w:p>
        </w:tc>
      </w:tr>
      <w:tr w:rsidR="00F546A4" w:rsidRPr="00F546A4" w14:paraId="798A82BA" w14:textId="77777777" w:rsidTr="00F546A4">
        <w:tc>
          <w:tcPr>
            <w:tcW w:w="1985" w:type="dxa"/>
            <w:vAlign w:val="center"/>
          </w:tcPr>
          <w:p w14:paraId="02912336" w14:textId="77777777" w:rsidR="00F546A4" w:rsidRPr="00F546A4" w:rsidRDefault="00F546A4" w:rsidP="00F546A4">
            <w:pPr>
              <w:tabs>
                <w:tab w:val="left" w:pos="6219"/>
              </w:tabs>
              <w:jc w:val="right"/>
              <w:rPr>
                <w:color w:val="131413"/>
                <w:sz w:val="18"/>
                <w:szCs w:val="18"/>
                <w:shd w:val="clear" w:color="auto" w:fill="FFFFFF"/>
              </w:rPr>
            </w:pPr>
            <w:r w:rsidRPr="00F546A4">
              <w:rPr>
                <w:color w:val="131413"/>
                <w:sz w:val="18"/>
                <w:szCs w:val="18"/>
                <w:shd w:val="clear" w:color="auto" w:fill="FFFFFF"/>
              </w:rPr>
              <w:t>Satisfactorio y ahorro</w:t>
            </w:r>
          </w:p>
        </w:tc>
        <w:tc>
          <w:tcPr>
            <w:tcW w:w="710" w:type="dxa"/>
            <w:vAlign w:val="bottom"/>
          </w:tcPr>
          <w:p w14:paraId="15008039"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272</w:t>
            </w:r>
          </w:p>
        </w:tc>
        <w:tc>
          <w:tcPr>
            <w:tcW w:w="566" w:type="dxa"/>
            <w:vAlign w:val="bottom"/>
          </w:tcPr>
          <w:p w14:paraId="4F43C7A0"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38.6</w:t>
            </w:r>
          </w:p>
        </w:tc>
        <w:tc>
          <w:tcPr>
            <w:tcW w:w="1843" w:type="dxa"/>
            <w:vAlign w:val="center"/>
          </w:tcPr>
          <w:p w14:paraId="764E2973" w14:textId="29217ACC" w:rsidR="00F546A4" w:rsidRPr="00F546A4" w:rsidRDefault="00F546A4" w:rsidP="00F546A4">
            <w:pPr>
              <w:tabs>
                <w:tab w:val="left" w:pos="6219"/>
              </w:tabs>
              <w:jc w:val="right"/>
              <w:rPr>
                <w:color w:val="010205"/>
                <w:sz w:val="18"/>
                <w:szCs w:val="18"/>
              </w:rPr>
            </w:pPr>
            <w:r w:rsidRPr="00F546A4">
              <w:rPr>
                <w:color w:val="131413"/>
                <w:sz w:val="18"/>
                <w:szCs w:val="18"/>
                <w:shd w:val="clear" w:color="auto" w:fill="FFFFFF"/>
              </w:rPr>
              <w:t>Si</w:t>
            </w:r>
          </w:p>
        </w:tc>
        <w:tc>
          <w:tcPr>
            <w:tcW w:w="709" w:type="dxa"/>
            <w:vAlign w:val="bottom"/>
          </w:tcPr>
          <w:p w14:paraId="2F99294C" w14:textId="0470B45D" w:rsidR="00F546A4" w:rsidRPr="00F546A4" w:rsidRDefault="00F546A4" w:rsidP="00F546A4">
            <w:pPr>
              <w:tabs>
                <w:tab w:val="left" w:pos="6219"/>
              </w:tabs>
              <w:jc w:val="center"/>
              <w:rPr>
                <w:color w:val="010205"/>
                <w:sz w:val="18"/>
                <w:szCs w:val="18"/>
              </w:rPr>
            </w:pPr>
            <w:r w:rsidRPr="00F546A4">
              <w:rPr>
                <w:color w:val="131413"/>
                <w:sz w:val="18"/>
                <w:szCs w:val="18"/>
                <w:shd w:val="clear" w:color="auto" w:fill="FFFFFF"/>
              </w:rPr>
              <w:t>453</w:t>
            </w:r>
          </w:p>
        </w:tc>
        <w:tc>
          <w:tcPr>
            <w:tcW w:w="567" w:type="dxa"/>
            <w:vAlign w:val="bottom"/>
          </w:tcPr>
          <w:p w14:paraId="21D220A7" w14:textId="72C3F580" w:rsidR="00F546A4" w:rsidRPr="00F546A4" w:rsidRDefault="00F546A4" w:rsidP="00F546A4">
            <w:pPr>
              <w:tabs>
                <w:tab w:val="left" w:pos="6219"/>
              </w:tabs>
              <w:jc w:val="center"/>
              <w:rPr>
                <w:color w:val="010205"/>
                <w:sz w:val="18"/>
                <w:szCs w:val="18"/>
              </w:rPr>
            </w:pPr>
            <w:r w:rsidRPr="00F546A4">
              <w:rPr>
                <w:color w:val="131413"/>
                <w:sz w:val="18"/>
                <w:szCs w:val="18"/>
                <w:shd w:val="clear" w:color="auto" w:fill="FFFFFF"/>
              </w:rPr>
              <w:t>64.3</w:t>
            </w:r>
          </w:p>
        </w:tc>
        <w:tc>
          <w:tcPr>
            <w:tcW w:w="2126" w:type="dxa"/>
            <w:vAlign w:val="center"/>
          </w:tcPr>
          <w:p w14:paraId="153B6A8E" w14:textId="5E9FFFCA" w:rsidR="00F546A4" w:rsidRPr="00F546A4" w:rsidRDefault="00F546A4" w:rsidP="00F546A4">
            <w:pPr>
              <w:tabs>
                <w:tab w:val="left" w:pos="6219"/>
              </w:tabs>
              <w:jc w:val="right"/>
              <w:rPr>
                <w:color w:val="010205"/>
                <w:sz w:val="18"/>
                <w:szCs w:val="18"/>
              </w:rPr>
            </w:pPr>
            <w:r w:rsidRPr="00F546A4">
              <w:rPr>
                <w:b/>
                <w:bCs/>
                <w:color w:val="131413"/>
                <w:sz w:val="18"/>
                <w:szCs w:val="18"/>
                <w:shd w:val="clear" w:color="auto" w:fill="FFFFFF"/>
              </w:rPr>
              <w:t>Relación de pareja</w:t>
            </w:r>
          </w:p>
        </w:tc>
        <w:tc>
          <w:tcPr>
            <w:tcW w:w="709" w:type="dxa"/>
            <w:vAlign w:val="center"/>
          </w:tcPr>
          <w:p w14:paraId="237392CB" w14:textId="77777777" w:rsidR="00F546A4" w:rsidRPr="00F546A4" w:rsidRDefault="00F546A4" w:rsidP="00F546A4">
            <w:pPr>
              <w:tabs>
                <w:tab w:val="left" w:pos="6219"/>
              </w:tabs>
              <w:jc w:val="center"/>
              <w:rPr>
                <w:color w:val="010205"/>
                <w:sz w:val="18"/>
                <w:szCs w:val="18"/>
              </w:rPr>
            </w:pPr>
          </w:p>
        </w:tc>
        <w:tc>
          <w:tcPr>
            <w:tcW w:w="567" w:type="dxa"/>
            <w:vAlign w:val="center"/>
          </w:tcPr>
          <w:p w14:paraId="23D33AFB" w14:textId="77777777" w:rsidR="00F546A4" w:rsidRPr="00F546A4" w:rsidRDefault="00F546A4" w:rsidP="00F546A4">
            <w:pPr>
              <w:tabs>
                <w:tab w:val="left" w:pos="6219"/>
              </w:tabs>
              <w:jc w:val="center"/>
              <w:rPr>
                <w:color w:val="010205"/>
                <w:sz w:val="18"/>
                <w:szCs w:val="18"/>
              </w:rPr>
            </w:pPr>
          </w:p>
        </w:tc>
      </w:tr>
      <w:tr w:rsidR="00F546A4" w:rsidRPr="00F546A4" w14:paraId="2FF9A740" w14:textId="77777777" w:rsidTr="00F546A4">
        <w:tc>
          <w:tcPr>
            <w:tcW w:w="1985" w:type="dxa"/>
            <w:vAlign w:val="center"/>
          </w:tcPr>
          <w:p w14:paraId="51C607B7" w14:textId="77777777" w:rsidR="00F546A4" w:rsidRPr="00F546A4" w:rsidRDefault="00F546A4" w:rsidP="00F546A4">
            <w:pPr>
              <w:tabs>
                <w:tab w:val="left" w:pos="6219"/>
              </w:tabs>
              <w:jc w:val="right"/>
              <w:rPr>
                <w:color w:val="131413"/>
                <w:sz w:val="18"/>
                <w:szCs w:val="18"/>
                <w:shd w:val="clear" w:color="auto" w:fill="FFFFFF"/>
              </w:rPr>
            </w:pPr>
            <w:r w:rsidRPr="00F546A4">
              <w:rPr>
                <w:color w:val="131413"/>
                <w:sz w:val="18"/>
                <w:szCs w:val="18"/>
                <w:shd w:val="clear" w:color="auto" w:fill="FFFFFF"/>
              </w:rPr>
              <w:t>Satisfactorio no ahorro</w:t>
            </w:r>
          </w:p>
        </w:tc>
        <w:tc>
          <w:tcPr>
            <w:tcW w:w="710" w:type="dxa"/>
            <w:vAlign w:val="bottom"/>
          </w:tcPr>
          <w:p w14:paraId="3522D1EB"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274</w:t>
            </w:r>
          </w:p>
        </w:tc>
        <w:tc>
          <w:tcPr>
            <w:tcW w:w="566" w:type="dxa"/>
            <w:vAlign w:val="bottom"/>
          </w:tcPr>
          <w:p w14:paraId="13DC076E"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38.9</w:t>
            </w:r>
          </w:p>
        </w:tc>
        <w:tc>
          <w:tcPr>
            <w:tcW w:w="1843" w:type="dxa"/>
            <w:vAlign w:val="center"/>
          </w:tcPr>
          <w:p w14:paraId="7B15BF61" w14:textId="62AE25A9" w:rsidR="00F546A4" w:rsidRPr="00F546A4" w:rsidRDefault="00F546A4" w:rsidP="00F546A4">
            <w:pPr>
              <w:tabs>
                <w:tab w:val="left" w:pos="6219"/>
              </w:tabs>
              <w:jc w:val="right"/>
              <w:rPr>
                <w:color w:val="010205"/>
                <w:sz w:val="18"/>
                <w:szCs w:val="18"/>
              </w:rPr>
            </w:pPr>
            <w:r w:rsidRPr="00F546A4">
              <w:rPr>
                <w:color w:val="131413"/>
                <w:sz w:val="18"/>
                <w:szCs w:val="18"/>
                <w:shd w:val="clear" w:color="auto" w:fill="FFFFFF"/>
              </w:rPr>
              <w:t>No</w:t>
            </w:r>
          </w:p>
        </w:tc>
        <w:tc>
          <w:tcPr>
            <w:tcW w:w="709" w:type="dxa"/>
            <w:vAlign w:val="bottom"/>
          </w:tcPr>
          <w:p w14:paraId="0C5BE3D4" w14:textId="4DE7AF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252</w:t>
            </w:r>
          </w:p>
        </w:tc>
        <w:tc>
          <w:tcPr>
            <w:tcW w:w="567" w:type="dxa"/>
            <w:vAlign w:val="bottom"/>
          </w:tcPr>
          <w:p w14:paraId="3C3FEB98" w14:textId="4C4357B9" w:rsidR="00F546A4" w:rsidRPr="00F546A4" w:rsidRDefault="00F546A4" w:rsidP="00F546A4">
            <w:pPr>
              <w:tabs>
                <w:tab w:val="left" w:pos="6219"/>
              </w:tabs>
              <w:jc w:val="right"/>
              <w:rPr>
                <w:color w:val="131413"/>
                <w:sz w:val="18"/>
                <w:szCs w:val="18"/>
                <w:shd w:val="clear" w:color="auto" w:fill="FFFFFF"/>
              </w:rPr>
            </w:pPr>
            <w:r w:rsidRPr="00F546A4">
              <w:rPr>
                <w:color w:val="131413"/>
                <w:sz w:val="18"/>
                <w:szCs w:val="18"/>
                <w:shd w:val="clear" w:color="auto" w:fill="FFFFFF"/>
              </w:rPr>
              <w:t>35.7</w:t>
            </w:r>
          </w:p>
        </w:tc>
        <w:tc>
          <w:tcPr>
            <w:tcW w:w="2126" w:type="dxa"/>
            <w:vAlign w:val="center"/>
          </w:tcPr>
          <w:p w14:paraId="7B3E0D2B" w14:textId="3B24CB5D" w:rsidR="00F546A4" w:rsidRPr="00F546A4" w:rsidRDefault="00F546A4" w:rsidP="00F546A4">
            <w:pPr>
              <w:tabs>
                <w:tab w:val="left" w:pos="6219"/>
              </w:tabs>
              <w:jc w:val="right"/>
              <w:rPr>
                <w:color w:val="010205"/>
                <w:sz w:val="18"/>
                <w:szCs w:val="18"/>
              </w:rPr>
            </w:pPr>
            <w:r w:rsidRPr="00F546A4">
              <w:rPr>
                <w:color w:val="131413"/>
                <w:sz w:val="18"/>
                <w:szCs w:val="18"/>
                <w:shd w:val="clear" w:color="auto" w:fill="FFFFFF"/>
              </w:rPr>
              <w:t>Si</w:t>
            </w:r>
          </w:p>
        </w:tc>
        <w:tc>
          <w:tcPr>
            <w:tcW w:w="709" w:type="dxa"/>
            <w:vAlign w:val="bottom"/>
          </w:tcPr>
          <w:p w14:paraId="168C1A7E" w14:textId="0D9A869B" w:rsidR="00F546A4" w:rsidRPr="00F546A4" w:rsidRDefault="00F546A4" w:rsidP="00F546A4">
            <w:pPr>
              <w:tabs>
                <w:tab w:val="left" w:pos="6219"/>
              </w:tabs>
              <w:jc w:val="center"/>
              <w:rPr>
                <w:color w:val="010205"/>
                <w:sz w:val="18"/>
                <w:szCs w:val="18"/>
              </w:rPr>
            </w:pPr>
            <w:r w:rsidRPr="00F546A4">
              <w:rPr>
                <w:color w:val="131413"/>
                <w:sz w:val="18"/>
                <w:szCs w:val="18"/>
                <w:shd w:val="clear" w:color="auto" w:fill="FFFFFF"/>
              </w:rPr>
              <w:t>463</w:t>
            </w:r>
          </w:p>
        </w:tc>
        <w:tc>
          <w:tcPr>
            <w:tcW w:w="567" w:type="dxa"/>
            <w:vAlign w:val="bottom"/>
          </w:tcPr>
          <w:p w14:paraId="17E10E98" w14:textId="7C2A9749" w:rsidR="00F546A4" w:rsidRPr="00F546A4" w:rsidRDefault="00F546A4" w:rsidP="00F546A4">
            <w:pPr>
              <w:tabs>
                <w:tab w:val="left" w:pos="6219"/>
              </w:tabs>
              <w:jc w:val="center"/>
              <w:rPr>
                <w:color w:val="010205"/>
                <w:sz w:val="18"/>
                <w:szCs w:val="18"/>
              </w:rPr>
            </w:pPr>
            <w:r w:rsidRPr="00F546A4">
              <w:rPr>
                <w:color w:val="131413"/>
                <w:sz w:val="18"/>
                <w:szCs w:val="18"/>
                <w:shd w:val="clear" w:color="auto" w:fill="FFFFFF"/>
              </w:rPr>
              <w:t>65.7</w:t>
            </w:r>
          </w:p>
        </w:tc>
      </w:tr>
      <w:tr w:rsidR="00F546A4" w:rsidRPr="00F546A4" w14:paraId="2D6840B2" w14:textId="77777777" w:rsidTr="00F546A4">
        <w:tc>
          <w:tcPr>
            <w:tcW w:w="1985" w:type="dxa"/>
            <w:vAlign w:val="center"/>
          </w:tcPr>
          <w:p w14:paraId="17920769" w14:textId="77777777" w:rsidR="00F546A4" w:rsidRPr="00F546A4" w:rsidRDefault="00F546A4" w:rsidP="00F546A4">
            <w:pPr>
              <w:tabs>
                <w:tab w:val="left" w:pos="6219"/>
              </w:tabs>
              <w:jc w:val="right"/>
              <w:rPr>
                <w:color w:val="131413"/>
                <w:sz w:val="18"/>
                <w:szCs w:val="18"/>
                <w:shd w:val="clear" w:color="auto" w:fill="FFFFFF"/>
              </w:rPr>
            </w:pPr>
            <w:r w:rsidRPr="00F546A4">
              <w:rPr>
                <w:color w:val="131413"/>
                <w:sz w:val="18"/>
                <w:szCs w:val="18"/>
                <w:shd w:val="clear" w:color="auto" w:fill="FFFFFF"/>
              </w:rPr>
              <w:t>Parcial para necesidades</w:t>
            </w:r>
          </w:p>
        </w:tc>
        <w:tc>
          <w:tcPr>
            <w:tcW w:w="710" w:type="dxa"/>
            <w:vAlign w:val="bottom"/>
          </w:tcPr>
          <w:p w14:paraId="583313B8"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139</w:t>
            </w:r>
          </w:p>
        </w:tc>
        <w:tc>
          <w:tcPr>
            <w:tcW w:w="566" w:type="dxa"/>
            <w:vAlign w:val="bottom"/>
          </w:tcPr>
          <w:p w14:paraId="3A886C1C"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19.7</w:t>
            </w:r>
          </w:p>
        </w:tc>
        <w:tc>
          <w:tcPr>
            <w:tcW w:w="1843" w:type="dxa"/>
            <w:vAlign w:val="center"/>
          </w:tcPr>
          <w:p w14:paraId="1EA84817" w14:textId="4E8938D6" w:rsidR="00F546A4" w:rsidRPr="00F546A4" w:rsidRDefault="00F546A4" w:rsidP="00F546A4">
            <w:pPr>
              <w:tabs>
                <w:tab w:val="left" w:pos="6219"/>
              </w:tabs>
              <w:jc w:val="right"/>
              <w:rPr>
                <w:color w:val="010205"/>
                <w:sz w:val="18"/>
                <w:szCs w:val="18"/>
              </w:rPr>
            </w:pPr>
            <w:r w:rsidRPr="00F546A4">
              <w:rPr>
                <w:b/>
                <w:bCs/>
                <w:color w:val="131413"/>
                <w:sz w:val="18"/>
                <w:szCs w:val="18"/>
                <w:shd w:val="clear" w:color="auto" w:fill="FFFFFF"/>
              </w:rPr>
              <w:t>Tener hijos</w:t>
            </w:r>
          </w:p>
        </w:tc>
        <w:tc>
          <w:tcPr>
            <w:tcW w:w="709" w:type="dxa"/>
            <w:vAlign w:val="center"/>
          </w:tcPr>
          <w:p w14:paraId="38E24CA2" w14:textId="16E1E273" w:rsidR="00F546A4" w:rsidRPr="00F546A4" w:rsidRDefault="00F546A4" w:rsidP="00F546A4">
            <w:pPr>
              <w:tabs>
                <w:tab w:val="left" w:pos="6219"/>
              </w:tabs>
              <w:jc w:val="center"/>
              <w:rPr>
                <w:color w:val="131413"/>
                <w:sz w:val="18"/>
                <w:szCs w:val="18"/>
                <w:shd w:val="clear" w:color="auto" w:fill="FFFFFF"/>
              </w:rPr>
            </w:pPr>
          </w:p>
        </w:tc>
        <w:tc>
          <w:tcPr>
            <w:tcW w:w="567" w:type="dxa"/>
            <w:vAlign w:val="center"/>
          </w:tcPr>
          <w:p w14:paraId="5CA2B81E" w14:textId="7FE1DCD5" w:rsidR="00F546A4" w:rsidRPr="00F546A4" w:rsidRDefault="00F546A4" w:rsidP="00F546A4">
            <w:pPr>
              <w:tabs>
                <w:tab w:val="left" w:pos="6219"/>
              </w:tabs>
              <w:jc w:val="right"/>
              <w:rPr>
                <w:color w:val="131413"/>
                <w:sz w:val="18"/>
                <w:szCs w:val="18"/>
                <w:shd w:val="clear" w:color="auto" w:fill="FFFFFF"/>
              </w:rPr>
            </w:pPr>
          </w:p>
        </w:tc>
        <w:tc>
          <w:tcPr>
            <w:tcW w:w="2126" w:type="dxa"/>
            <w:vAlign w:val="center"/>
          </w:tcPr>
          <w:p w14:paraId="697E4BDC" w14:textId="08FAC774" w:rsidR="00F546A4" w:rsidRPr="00F546A4" w:rsidRDefault="00F546A4" w:rsidP="00F546A4">
            <w:pPr>
              <w:tabs>
                <w:tab w:val="left" w:pos="6219"/>
              </w:tabs>
              <w:jc w:val="right"/>
              <w:rPr>
                <w:color w:val="010205"/>
                <w:sz w:val="18"/>
                <w:szCs w:val="18"/>
              </w:rPr>
            </w:pPr>
            <w:r w:rsidRPr="00F546A4">
              <w:rPr>
                <w:color w:val="131413"/>
                <w:sz w:val="18"/>
                <w:szCs w:val="18"/>
                <w:shd w:val="clear" w:color="auto" w:fill="FFFFFF"/>
              </w:rPr>
              <w:t>No</w:t>
            </w:r>
          </w:p>
        </w:tc>
        <w:tc>
          <w:tcPr>
            <w:tcW w:w="709" w:type="dxa"/>
            <w:vAlign w:val="bottom"/>
          </w:tcPr>
          <w:p w14:paraId="2D312584" w14:textId="17C2716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242</w:t>
            </w:r>
          </w:p>
        </w:tc>
        <w:tc>
          <w:tcPr>
            <w:tcW w:w="567" w:type="dxa"/>
            <w:vAlign w:val="bottom"/>
          </w:tcPr>
          <w:p w14:paraId="517916B0" w14:textId="1985421B"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34.3</w:t>
            </w:r>
          </w:p>
        </w:tc>
      </w:tr>
      <w:tr w:rsidR="00F546A4" w:rsidRPr="00F546A4" w14:paraId="1226F601" w14:textId="77777777" w:rsidTr="00F546A4">
        <w:tc>
          <w:tcPr>
            <w:tcW w:w="1985" w:type="dxa"/>
            <w:vAlign w:val="center"/>
          </w:tcPr>
          <w:p w14:paraId="1386AF94" w14:textId="77777777" w:rsidR="00F546A4" w:rsidRPr="00F546A4" w:rsidRDefault="00F546A4" w:rsidP="00F546A4">
            <w:pPr>
              <w:tabs>
                <w:tab w:val="left" w:pos="6219"/>
              </w:tabs>
              <w:jc w:val="right"/>
              <w:rPr>
                <w:b/>
                <w:bCs/>
                <w:color w:val="131413"/>
                <w:sz w:val="18"/>
                <w:szCs w:val="18"/>
                <w:shd w:val="clear" w:color="auto" w:fill="FFFFFF"/>
              </w:rPr>
            </w:pPr>
            <w:r w:rsidRPr="00F546A4">
              <w:rPr>
                <w:color w:val="131413"/>
                <w:sz w:val="18"/>
                <w:szCs w:val="18"/>
                <w:shd w:val="clear" w:color="auto" w:fill="FFFFFF"/>
              </w:rPr>
              <w:t>No cubrió necesidades</w:t>
            </w:r>
          </w:p>
        </w:tc>
        <w:tc>
          <w:tcPr>
            <w:tcW w:w="710" w:type="dxa"/>
            <w:vAlign w:val="bottom"/>
          </w:tcPr>
          <w:p w14:paraId="310A7C1C"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20</w:t>
            </w:r>
          </w:p>
        </w:tc>
        <w:tc>
          <w:tcPr>
            <w:tcW w:w="566" w:type="dxa"/>
            <w:vAlign w:val="bottom"/>
          </w:tcPr>
          <w:p w14:paraId="7A48129D" w14:textId="77777777" w:rsidR="00F546A4" w:rsidRPr="00F546A4" w:rsidRDefault="00F546A4" w:rsidP="00F546A4">
            <w:pPr>
              <w:tabs>
                <w:tab w:val="left" w:pos="6219"/>
              </w:tabs>
              <w:jc w:val="center"/>
              <w:rPr>
                <w:color w:val="131413"/>
                <w:sz w:val="18"/>
                <w:szCs w:val="18"/>
                <w:shd w:val="clear" w:color="auto" w:fill="FFFFFF"/>
              </w:rPr>
            </w:pPr>
            <w:r w:rsidRPr="00F546A4">
              <w:rPr>
                <w:color w:val="131413"/>
                <w:sz w:val="18"/>
                <w:szCs w:val="18"/>
                <w:shd w:val="clear" w:color="auto" w:fill="FFFFFF"/>
              </w:rPr>
              <w:t>2.8</w:t>
            </w:r>
          </w:p>
        </w:tc>
        <w:tc>
          <w:tcPr>
            <w:tcW w:w="1843" w:type="dxa"/>
            <w:vAlign w:val="center"/>
          </w:tcPr>
          <w:p w14:paraId="39FF0613" w14:textId="0156416A" w:rsidR="00F546A4" w:rsidRPr="00F546A4" w:rsidRDefault="00F546A4" w:rsidP="00F546A4">
            <w:pPr>
              <w:tabs>
                <w:tab w:val="left" w:pos="6219"/>
              </w:tabs>
              <w:jc w:val="right"/>
              <w:rPr>
                <w:color w:val="131413"/>
                <w:sz w:val="18"/>
                <w:szCs w:val="18"/>
                <w:shd w:val="clear" w:color="auto" w:fill="FFFFFF"/>
              </w:rPr>
            </w:pPr>
            <w:r w:rsidRPr="00F546A4">
              <w:rPr>
                <w:color w:val="131413"/>
                <w:sz w:val="18"/>
                <w:szCs w:val="18"/>
                <w:shd w:val="clear" w:color="auto" w:fill="FFFFFF"/>
              </w:rPr>
              <w:t>Si</w:t>
            </w:r>
          </w:p>
        </w:tc>
        <w:tc>
          <w:tcPr>
            <w:tcW w:w="709" w:type="dxa"/>
            <w:vAlign w:val="bottom"/>
          </w:tcPr>
          <w:p w14:paraId="0798D641" w14:textId="6518208D" w:rsidR="00F546A4" w:rsidRPr="00F546A4" w:rsidRDefault="00F546A4" w:rsidP="00F546A4">
            <w:pPr>
              <w:tabs>
                <w:tab w:val="left" w:pos="6219"/>
              </w:tabs>
              <w:jc w:val="center"/>
              <w:rPr>
                <w:color w:val="010205"/>
                <w:sz w:val="18"/>
                <w:szCs w:val="18"/>
              </w:rPr>
            </w:pPr>
            <w:r w:rsidRPr="00F546A4">
              <w:rPr>
                <w:color w:val="131413"/>
                <w:sz w:val="18"/>
                <w:szCs w:val="18"/>
                <w:shd w:val="clear" w:color="auto" w:fill="FFFFFF"/>
              </w:rPr>
              <w:t>375</w:t>
            </w:r>
          </w:p>
        </w:tc>
        <w:tc>
          <w:tcPr>
            <w:tcW w:w="567" w:type="dxa"/>
            <w:vAlign w:val="bottom"/>
          </w:tcPr>
          <w:p w14:paraId="0D603CCE" w14:textId="69A59F08" w:rsidR="00F546A4" w:rsidRPr="00F546A4" w:rsidRDefault="00F546A4" w:rsidP="00F546A4">
            <w:pPr>
              <w:tabs>
                <w:tab w:val="left" w:pos="6219"/>
              </w:tabs>
              <w:jc w:val="center"/>
              <w:rPr>
                <w:color w:val="010205"/>
                <w:sz w:val="18"/>
                <w:szCs w:val="18"/>
              </w:rPr>
            </w:pPr>
            <w:r w:rsidRPr="00F546A4">
              <w:rPr>
                <w:color w:val="131413"/>
                <w:sz w:val="18"/>
                <w:szCs w:val="18"/>
                <w:shd w:val="clear" w:color="auto" w:fill="FFFFFF"/>
              </w:rPr>
              <w:t>53</w:t>
            </w:r>
            <w:r>
              <w:rPr>
                <w:color w:val="131413"/>
                <w:sz w:val="18"/>
                <w:szCs w:val="18"/>
                <w:shd w:val="clear" w:color="auto" w:fill="FFFFFF"/>
              </w:rPr>
              <w:t>.</w:t>
            </w:r>
            <w:r w:rsidRPr="00F546A4">
              <w:rPr>
                <w:color w:val="131413"/>
                <w:sz w:val="18"/>
                <w:szCs w:val="18"/>
                <w:shd w:val="clear" w:color="auto" w:fill="FFFFFF"/>
              </w:rPr>
              <w:t>2</w:t>
            </w:r>
          </w:p>
        </w:tc>
        <w:tc>
          <w:tcPr>
            <w:tcW w:w="2126" w:type="dxa"/>
            <w:vAlign w:val="center"/>
          </w:tcPr>
          <w:p w14:paraId="40095F5C" w14:textId="79691C0D" w:rsidR="00F546A4" w:rsidRPr="00F546A4" w:rsidRDefault="00F546A4" w:rsidP="00F546A4">
            <w:pPr>
              <w:tabs>
                <w:tab w:val="left" w:pos="6219"/>
              </w:tabs>
              <w:jc w:val="right"/>
              <w:rPr>
                <w:color w:val="131413"/>
                <w:sz w:val="18"/>
                <w:szCs w:val="18"/>
                <w:shd w:val="clear" w:color="auto" w:fill="FFFFFF"/>
              </w:rPr>
            </w:pPr>
          </w:p>
        </w:tc>
        <w:tc>
          <w:tcPr>
            <w:tcW w:w="709" w:type="dxa"/>
            <w:vAlign w:val="bottom"/>
          </w:tcPr>
          <w:p w14:paraId="429C32ED" w14:textId="0914AE23" w:rsidR="00F546A4" w:rsidRPr="00F546A4" w:rsidRDefault="00F546A4" w:rsidP="00F546A4">
            <w:pPr>
              <w:tabs>
                <w:tab w:val="left" w:pos="6219"/>
              </w:tabs>
              <w:jc w:val="center"/>
              <w:rPr>
                <w:color w:val="131413"/>
                <w:sz w:val="18"/>
                <w:szCs w:val="18"/>
                <w:shd w:val="clear" w:color="auto" w:fill="FFFFFF"/>
              </w:rPr>
            </w:pPr>
          </w:p>
        </w:tc>
        <w:tc>
          <w:tcPr>
            <w:tcW w:w="567" w:type="dxa"/>
            <w:vAlign w:val="bottom"/>
          </w:tcPr>
          <w:p w14:paraId="7D5A7427" w14:textId="2EFF094D" w:rsidR="00F546A4" w:rsidRPr="00F546A4" w:rsidRDefault="00F546A4" w:rsidP="00F546A4">
            <w:pPr>
              <w:tabs>
                <w:tab w:val="left" w:pos="6219"/>
              </w:tabs>
              <w:jc w:val="center"/>
              <w:rPr>
                <w:color w:val="131413"/>
                <w:sz w:val="18"/>
                <w:szCs w:val="18"/>
                <w:shd w:val="clear" w:color="auto" w:fill="FFFFFF"/>
              </w:rPr>
            </w:pPr>
          </w:p>
        </w:tc>
      </w:tr>
      <w:tr w:rsidR="00F546A4" w:rsidRPr="00F546A4" w14:paraId="6B616013" w14:textId="77777777" w:rsidTr="00F546A4">
        <w:tc>
          <w:tcPr>
            <w:tcW w:w="1985" w:type="dxa"/>
            <w:tcBorders>
              <w:bottom w:val="single" w:sz="4" w:space="0" w:color="auto"/>
            </w:tcBorders>
            <w:vAlign w:val="center"/>
          </w:tcPr>
          <w:p w14:paraId="7BB84553" w14:textId="77777777" w:rsidR="00F546A4" w:rsidRPr="00F546A4" w:rsidRDefault="00F546A4" w:rsidP="00F546A4">
            <w:pPr>
              <w:tabs>
                <w:tab w:val="left" w:pos="6219"/>
              </w:tabs>
              <w:jc w:val="right"/>
              <w:rPr>
                <w:color w:val="131413"/>
                <w:sz w:val="18"/>
                <w:szCs w:val="18"/>
                <w:shd w:val="clear" w:color="auto" w:fill="FFFFFF"/>
              </w:rPr>
            </w:pPr>
          </w:p>
        </w:tc>
        <w:tc>
          <w:tcPr>
            <w:tcW w:w="710" w:type="dxa"/>
            <w:tcBorders>
              <w:bottom w:val="single" w:sz="4" w:space="0" w:color="auto"/>
            </w:tcBorders>
            <w:vAlign w:val="center"/>
          </w:tcPr>
          <w:p w14:paraId="67486D7F" w14:textId="77777777" w:rsidR="00F546A4" w:rsidRPr="00F546A4" w:rsidRDefault="00F546A4" w:rsidP="00F546A4">
            <w:pPr>
              <w:tabs>
                <w:tab w:val="left" w:pos="6219"/>
              </w:tabs>
              <w:jc w:val="center"/>
              <w:rPr>
                <w:color w:val="131413"/>
                <w:sz w:val="18"/>
                <w:szCs w:val="18"/>
                <w:shd w:val="clear" w:color="auto" w:fill="FFFFFF"/>
              </w:rPr>
            </w:pPr>
          </w:p>
        </w:tc>
        <w:tc>
          <w:tcPr>
            <w:tcW w:w="566" w:type="dxa"/>
            <w:tcBorders>
              <w:bottom w:val="single" w:sz="4" w:space="0" w:color="auto"/>
            </w:tcBorders>
            <w:vAlign w:val="center"/>
          </w:tcPr>
          <w:p w14:paraId="609D9426" w14:textId="77777777" w:rsidR="00F546A4" w:rsidRPr="00F546A4" w:rsidRDefault="00F546A4" w:rsidP="00F546A4">
            <w:pPr>
              <w:tabs>
                <w:tab w:val="left" w:pos="6219"/>
              </w:tabs>
              <w:jc w:val="center"/>
              <w:rPr>
                <w:color w:val="131413"/>
                <w:sz w:val="18"/>
                <w:szCs w:val="18"/>
                <w:shd w:val="clear" w:color="auto" w:fill="FFFFFF"/>
              </w:rPr>
            </w:pPr>
          </w:p>
        </w:tc>
        <w:tc>
          <w:tcPr>
            <w:tcW w:w="1843" w:type="dxa"/>
            <w:tcBorders>
              <w:bottom w:val="single" w:sz="4" w:space="0" w:color="auto"/>
            </w:tcBorders>
            <w:vAlign w:val="center"/>
          </w:tcPr>
          <w:p w14:paraId="18496F0B" w14:textId="11D2EB19" w:rsidR="00F546A4" w:rsidRPr="00F546A4" w:rsidRDefault="00F546A4" w:rsidP="00F546A4">
            <w:pPr>
              <w:tabs>
                <w:tab w:val="left" w:pos="6219"/>
              </w:tabs>
              <w:jc w:val="right"/>
              <w:rPr>
                <w:color w:val="131413"/>
                <w:sz w:val="18"/>
                <w:szCs w:val="18"/>
                <w:shd w:val="clear" w:color="auto" w:fill="FFFFFF"/>
              </w:rPr>
            </w:pPr>
            <w:r w:rsidRPr="00F546A4">
              <w:rPr>
                <w:color w:val="131413"/>
                <w:sz w:val="18"/>
                <w:szCs w:val="18"/>
                <w:shd w:val="clear" w:color="auto" w:fill="FFFFFF"/>
              </w:rPr>
              <w:t>No</w:t>
            </w:r>
          </w:p>
        </w:tc>
        <w:tc>
          <w:tcPr>
            <w:tcW w:w="709" w:type="dxa"/>
            <w:tcBorders>
              <w:bottom w:val="single" w:sz="4" w:space="0" w:color="auto"/>
            </w:tcBorders>
            <w:vAlign w:val="bottom"/>
          </w:tcPr>
          <w:p w14:paraId="5435A86D" w14:textId="6391D4DA" w:rsidR="00F546A4" w:rsidRPr="00F546A4" w:rsidRDefault="00F546A4" w:rsidP="00F546A4">
            <w:pPr>
              <w:tabs>
                <w:tab w:val="left" w:pos="6219"/>
              </w:tabs>
              <w:jc w:val="center"/>
              <w:rPr>
                <w:color w:val="010205"/>
                <w:sz w:val="18"/>
                <w:szCs w:val="18"/>
              </w:rPr>
            </w:pPr>
            <w:r w:rsidRPr="00F546A4">
              <w:rPr>
                <w:color w:val="131413"/>
                <w:sz w:val="18"/>
                <w:szCs w:val="18"/>
                <w:shd w:val="clear" w:color="auto" w:fill="FFFFFF"/>
              </w:rPr>
              <w:t>330</w:t>
            </w:r>
          </w:p>
        </w:tc>
        <w:tc>
          <w:tcPr>
            <w:tcW w:w="567" w:type="dxa"/>
            <w:tcBorders>
              <w:bottom w:val="single" w:sz="4" w:space="0" w:color="auto"/>
            </w:tcBorders>
            <w:vAlign w:val="bottom"/>
          </w:tcPr>
          <w:p w14:paraId="298B369D" w14:textId="6C9FA6EE" w:rsidR="00F546A4" w:rsidRPr="00F546A4" w:rsidRDefault="00F546A4" w:rsidP="00F546A4">
            <w:pPr>
              <w:tabs>
                <w:tab w:val="left" w:pos="6219"/>
              </w:tabs>
              <w:jc w:val="center"/>
              <w:rPr>
                <w:color w:val="010205"/>
                <w:sz w:val="18"/>
                <w:szCs w:val="18"/>
              </w:rPr>
            </w:pPr>
            <w:r w:rsidRPr="00F546A4">
              <w:rPr>
                <w:color w:val="131413"/>
                <w:sz w:val="18"/>
                <w:szCs w:val="18"/>
                <w:shd w:val="clear" w:color="auto" w:fill="FFFFFF"/>
              </w:rPr>
              <w:t>46</w:t>
            </w:r>
            <w:r>
              <w:rPr>
                <w:color w:val="131413"/>
                <w:sz w:val="18"/>
                <w:szCs w:val="18"/>
                <w:shd w:val="clear" w:color="auto" w:fill="FFFFFF"/>
              </w:rPr>
              <w:t>.</w:t>
            </w:r>
            <w:r w:rsidRPr="00F546A4">
              <w:rPr>
                <w:color w:val="131413"/>
                <w:sz w:val="18"/>
                <w:szCs w:val="18"/>
                <w:shd w:val="clear" w:color="auto" w:fill="FFFFFF"/>
              </w:rPr>
              <w:t>8</w:t>
            </w:r>
          </w:p>
        </w:tc>
        <w:tc>
          <w:tcPr>
            <w:tcW w:w="2126" w:type="dxa"/>
            <w:tcBorders>
              <w:bottom w:val="single" w:sz="4" w:space="0" w:color="auto"/>
            </w:tcBorders>
            <w:vAlign w:val="center"/>
          </w:tcPr>
          <w:p w14:paraId="5CBAF6C8" w14:textId="77777777" w:rsidR="00F546A4" w:rsidRPr="00F546A4" w:rsidRDefault="00F546A4" w:rsidP="00F546A4">
            <w:pPr>
              <w:tabs>
                <w:tab w:val="left" w:pos="6219"/>
              </w:tabs>
              <w:jc w:val="right"/>
              <w:rPr>
                <w:color w:val="131413"/>
                <w:sz w:val="18"/>
                <w:szCs w:val="18"/>
                <w:shd w:val="clear" w:color="auto" w:fill="FFFFFF"/>
              </w:rPr>
            </w:pPr>
          </w:p>
        </w:tc>
        <w:tc>
          <w:tcPr>
            <w:tcW w:w="709" w:type="dxa"/>
            <w:tcBorders>
              <w:bottom w:val="single" w:sz="4" w:space="0" w:color="auto"/>
            </w:tcBorders>
            <w:vAlign w:val="center"/>
          </w:tcPr>
          <w:p w14:paraId="0B9A3704" w14:textId="77777777" w:rsidR="00F546A4" w:rsidRPr="00F546A4" w:rsidRDefault="00F546A4" w:rsidP="00F546A4">
            <w:pPr>
              <w:tabs>
                <w:tab w:val="left" w:pos="6219"/>
              </w:tabs>
              <w:jc w:val="center"/>
              <w:rPr>
                <w:color w:val="010205"/>
                <w:sz w:val="18"/>
                <w:szCs w:val="18"/>
              </w:rPr>
            </w:pPr>
          </w:p>
        </w:tc>
        <w:tc>
          <w:tcPr>
            <w:tcW w:w="567" w:type="dxa"/>
            <w:tcBorders>
              <w:bottom w:val="single" w:sz="4" w:space="0" w:color="auto"/>
            </w:tcBorders>
            <w:vAlign w:val="center"/>
          </w:tcPr>
          <w:p w14:paraId="363D5E8F" w14:textId="77777777" w:rsidR="00F546A4" w:rsidRPr="00F546A4" w:rsidRDefault="00F546A4" w:rsidP="00F546A4">
            <w:pPr>
              <w:tabs>
                <w:tab w:val="left" w:pos="6219"/>
              </w:tabs>
              <w:jc w:val="center"/>
              <w:rPr>
                <w:color w:val="010205"/>
                <w:sz w:val="18"/>
                <w:szCs w:val="18"/>
              </w:rPr>
            </w:pPr>
          </w:p>
        </w:tc>
      </w:tr>
    </w:tbl>
    <w:p w14:paraId="7969C567" w14:textId="77777777" w:rsidR="00B06FE9" w:rsidRPr="00261CC1" w:rsidRDefault="00B06FE9" w:rsidP="00B06FE9">
      <w:pPr>
        <w:tabs>
          <w:tab w:val="left" w:pos="6219"/>
        </w:tabs>
        <w:autoSpaceDE w:val="0"/>
        <w:autoSpaceDN w:val="0"/>
        <w:mirrorIndents/>
        <w:jc w:val="both"/>
        <w:rPr>
          <w:rFonts w:eastAsia="Calibri" w:cs="Calibri"/>
          <w:color w:val="000000"/>
          <w:sz w:val="18"/>
          <w:szCs w:val="18"/>
          <w:u w:color="000000"/>
          <w:bdr w:val="nil"/>
          <w:lang w:val="en-US"/>
          <w14:textOutline w14:w="0" w14:cap="flat" w14:cmpd="sng" w14:algn="ctr">
            <w14:noFill/>
            <w14:prstDash w14:val="solid"/>
            <w14:bevel/>
          </w14:textOutline>
        </w:rPr>
      </w:pPr>
      <w:proofErr w:type="spellStart"/>
      <w:r w:rsidRPr="00261CC1">
        <w:rPr>
          <w:rFonts w:eastAsia="Calibri" w:cs="Calibri"/>
          <w:color w:val="000000"/>
          <w:sz w:val="18"/>
          <w:szCs w:val="18"/>
          <w:u w:color="000000"/>
          <w:bdr w:val="nil"/>
          <w:lang w:val="en-US"/>
          <w14:textOutline w14:w="0" w14:cap="flat" w14:cmpd="sng" w14:algn="ctr">
            <w14:noFill/>
            <w14:prstDash w14:val="solid"/>
            <w14:bevel/>
          </w14:textOutline>
        </w:rPr>
        <w:lastRenderedPageBreak/>
        <w:t>Nota</w:t>
      </w:r>
      <w:proofErr w:type="spellEnd"/>
      <w:r w:rsidRPr="00261CC1">
        <w:rPr>
          <w:rFonts w:eastAsia="Calibri" w:cs="Calibri"/>
          <w:color w:val="000000"/>
          <w:sz w:val="18"/>
          <w:szCs w:val="18"/>
          <w:u w:color="000000"/>
          <w:bdr w:val="nil"/>
          <w:lang w:val="en-US"/>
          <w14:textOutline w14:w="0" w14:cap="flat" w14:cmpd="sng" w14:algn="ctr">
            <w14:noFill/>
            <w14:prstDash w14:val="solid"/>
            <w14:bevel/>
          </w14:textOutline>
        </w:rPr>
        <w:t>:</w:t>
      </w:r>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(I)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Satisfactorio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y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ahorro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satisfactoriamente</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todas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las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la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familia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y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permitió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ahorrar</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(II)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Satisfactorio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no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ahorro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satisfactoriamente</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todas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las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la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familia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pero</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no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permitió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ahorrar</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(III)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Parcial</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para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parcialmente</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todas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las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la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familia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(IV) No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/No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cubrió</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las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necesidades</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 xml:space="preserve"> de la </w:t>
      </w:r>
      <w:proofErr w:type="spellStart"/>
      <w:r w:rsidRPr="00617156">
        <w:rPr>
          <w:rFonts w:eastAsia="Calibri" w:cs="Calibri"/>
          <w:i/>
          <w:iCs/>
          <w:color w:val="000000"/>
          <w:sz w:val="18"/>
          <w:szCs w:val="18"/>
          <w:u w:color="000000"/>
          <w:bdr w:val="nil"/>
          <w:lang w:val="en-US"/>
          <w14:textOutline w14:w="0" w14:cap="flat" w14:cmpd="sng" w14:algn="ctr">
            <w14:noFill/>
            <w14:prstDash w14:val="solid"/>
            <w14:bevel/>
          </w14:textOutline>
        </w:rPr>
        <w:t>familia</w:t>
      </w:r>
      <w:proofErr w:type="spellEnd"/>
      <w:r w:rsidRPr="00617156">
        <w:rPr>
          <w:rFonts w:eastAsia="Calibri" w:cs="Calibri"/>
          <w:i/>
          <w:iCs/>
          <w:color w:val="000000"/>
          <w:sz w:val="18"/>
          <w:szCs w:val="18"/>
          <w:u w:color="000000"/>
          <w:bdr w:val="nil"/>
          <w:lang w:val="en-US"/>
          <w14:textOutline w14:w="0" w14:cap="flat" w14:cmpd="sng" w14:algn="ctr">
            <w14:noFill/>
            <w14:prstDash w14:val="solid"/>
            <w14:bevel/>
          </w14:textOutline>
        </w:rPr>
        <w:t>.</w:t>
      </w:r>
    </w:p>
    <w:p w14:paraId="69C6FE4C" w14:textId="77777777" w:rsidR="00B06FE9" w:rsidRDefault="00B06FE9" w:rsidP="00B06FE9">
      <w:pPr>
        <w:pStyle w:val="SubtituloInterno"/>
        <w:rPr>
          <w:lang w:val="es-AR"/>
        </w:rPr>
      </w:pPr>
      <w:r w:rsidRPr="00261CC1">
        <w:rPr>
          <w:lang w:val="es-AR"/>
        </w:rPr>
        <w:t>Selección y tamaño de la muestra</w:t>
      </w:r>
    </w:p>
    <w:p w14:paraId="155501F6" w14:textId="77777777" w:rsidR="002A394B" w:rsidRPr="002A394B" w:rsidRDefault="002A394B" w:rsidP="002A394B">
      <w:pPr>
        <w:pStyle w:val="Prrafocomn"/>
        <w:rPr>
          <w:lang w:val="es-MX" w:eastAsia="en-US"/>
        </w:rPr>
      </w:pPr>
      <w:r w:rsidRPr="002A394B">
        <w:rPr>
          <w:lang w:val="es-MX" w:eastAsia="en-US"/>
        </w:rPr>
        <w:t>Se mantuvieron iguales el método de muestreo, los criterios de inclusión y exclusión para participar en el estudio, así como los parámetros para la estimación del tamaño de la muestra que en el Estudio 2.</w:t>
      </w:r>
    </w:p>
    <w:p w14:paraId="05A39A1B" w14:textId="77777777" w:rsidR="00B06FE9" w:rsidRDefault="00B06FE9" w:rsidP="00B06FE9">
      <w:pPr>
        <w:pStyle w:val="SubtituloInterno"/>
      </w:pPr>
      <w:proofErr w:type="spellStart"/>
      <w:r>
        <w:t>Instrumento</w:t>
      </w:r>
      <w:proofErr w:type="spellEnd"/>
    </w:p>
    <w:p w14:paraId="705BC06B" w14:textId="77777777" w:rsidR="00B06FE9" w:rsidRDefault="00B06FE9" w:rsidP="00B06FE9">
      <w:pPr>
        <w:pStyle w:val="Prrafocomn"/>
        <w:rPr>
          <w:lang w:val="es-AR" w:eastAsia="en-US"/>
        </w:rPr>
      </w:pPr>
      <w:proofErr w:type="spellStart"/>
      <w:r w:rsidRPr="00FE5023">
        <w:rPr>
          <w:i/>
          <w:iCs/>
          <w:lang w:val="es-AR" w:eastAsia="en-US"/>
        </w:rPr>
        <w:t>Orientations</w:t>
      </w:r>
      <w:proofErr w:type="spellEnd"/>
      <w:r w:rsidRPr="00FE5023">
        <w:rPr>
          <w:i/>
          <w:iCs/>
          <w:lang w:val="es-AR" w:eastAsia="en-US"/>
        </w:rPr>
        <w:t xml:space="preserve"> </w:t>
      </w:r>
      <w:proofErr w:type="spellStart"/>
      <w:r w:rsidRPr="00FE5023">
        <w:rPr>
          <w:i/>
          <w:iCs/>
          <w:lang w:val="es-AR" w:eastAsia="en-US"/>
        </w:rPr>
        <w:t>to</w:t>
      </w:r>
      <w:proofErr w:type="spellEnd"/>
      <w:r w:rsidRPr="00FE5023">
        <w:rPr>
          <w:i/>
          <w:iCs/>
          <w:lang w:val="es-AR" w:eastAsia="en-US"/>
        </w:rPr>
        <w:t xml:space="preserve"> </w:t>
      </w:r>
      <w:proofErr w:type="spellStart"/>
      <w:r w:rsidRPr="00FE5023">
        <w:rPr>
          <w:i/>
          <w:iCs/>
          <w:lang w:val="es-AR" w:eastAsia="en-US"/>
        </w:rPr>
        <w:t>Happiness</w:t>
      </w:r>
      <w:proofErr w:type="spellEnd"/>
      <w:r w:rsidRPr="00FE5023">
        <w:rPr>
          <w:i/>
          <w:iCs/>
          <w:lang w:val="es-AR" w:eastAsia="en-US"/>
        </w:rPr>
        <w:t xml:space="preserve"> </w:t>
      </w:r>
      <w:proofErr w:type="spellStart"/>
      <w:r w:rsidRPr="00FE5023">
        <w:rPr>
          <w:i/>
          <w:iCs/>
          <w:lang w:val="es-AR" w:eastAsia="en-US"/>
        </w:rPr>
        <w:t>Scale</w:t>
      </w:r>
      <w:proofErr w:type="spellEnd"/>
      <w:r w:rsidRPr="00FE5023">
        <w:rPr>
          <w:lang w:val="es-AR" w:eastAsia="en-US"/>
        </w:rPr>
        <w:t xml:space="preserve"> (Peterson et al., 2005) en su versión traducida-retraducida al Español; descrito en el Estudio 1.</w:t>
      </w:r>
    </w:p>
    <w:p w14:paraId="62D755CF" w14:textId="7F8FBCB4" w:rsidR="002A394B" w:rsidRPr="002A394B" w:rsidRDefault="002A394B" w:rsidP="002A394B">
      <w:pPr>
        <w:pStyle w:val="Prrafocomn"/>
        <w:rPr>
          <w:lang w:val="es-AR" w:eastAsia="en-US"/>
        </w:rPr>
      </w:pPr>
      <w:proofErr w:type="spellStart"/>
      <w:r w:rsidRPr="002A394B">
        <w:rPr>
          <w:i/>
          <w:iCs/>
          <w:lang w:val="es-AR" w:eastAsia="en-US"/>
        </w:rPr>
        <w:t>Hedonic</w:t>
      </w:r>
      <w:proofErr w:type="spellEnd"/>
      <w:r w:rsidRPr="002A394B">
        <w:rPr>
          <w:i/>
          <w:iCs/>
          <w:lang w:val="es-AR" w:eastAsia="en-US"/>
        </w:rPr>
        <w:t xml:space="preserve"> and </w:t>
      </w:r>
      <w:proofErr w:type="spellStart"/>
      <w:r w:rsidRPr="002A394B">
        <w:rPr>
          <w:i/>
          <w:iCs/>
          <w:lang w:val="es-AR" w:eastAsia="en-US"/>
        </w:rPr>
        <w:t>Eudaimonic</w:t>
      </w:r>
      <w:proofErr w:type="spellEnd"/>
      <w:r w:rsidRPr="002A394B">
        <w:rPr>
          <w:i/>
          <w:iCs/>
          <w:lang w:val="es-AR" w:eastAsia="en-US"/>
        </w:rPr>
        <w:t xml:space="preserve"> Motives </w:t>
      </w:r>
      <w:proofErr w:type="spellStart"/>
      <w:r w:rsidRPr="002A394B">
        <w:rPr>
          <w:i/>
          <w:iCs/>
          <w:lang w:val="es-AR" w:eastAsia="en-US"/>
        </w:rPr>
        <w:t>for</w:t>
      </w:r>
      <w:proofErr w:type="spellEnd"/>
      <w:r w:rsidRPr="002A394B">
        <w:rPr>
          <w:i/>
          <w:iCs/>
          <w:lang w:val="es-AR" w:eastAsia="en-US"/>
        </w:rPr>
        <w:t xml:space="preserve"> </w:t>
      </w:r>
      <w:proofErr w:type="spellStart"/>
      <w:r w:rsidRPr="002A394B">
        <w:rPr>
          <w:i/>
          <w:iCs/>
          <w:lang w:val="es-AR" w:eastAsia="en-US"/>
        </w:rPr>
        <w:t>Activities-Revised</w:t>
      </w:r>
      <w:proofErr w:type="spellEnd"/>
      <w:r w:rsidRPr="002A394B">
        <w:rPr>
          <w:lang w:val="es-AR" w:eastAsia="en-US"/>
        </w:rPr>
        <w:t xml:space="preserve"> (HEMA-R); creada por Huta y Ryan (2010); posteriormente corregida por Huta (2016) y adaptada culturalmente por Enríquez et al. (aceptado) a población mexicana. Este instrumento, al igual que la escala OTHS de Peterson et al. (2005) evalúa la </w:t>
      </w:r>
      <w:proofErr w:type="spellStart"/>
      <w:r w:rsidRPr="002A394B">
        <w:rPr>
          <w:lang w:val="es-AR" w:eastAsia="en-US"/>
        </w:rPr>
        <w:t>hedonia</w:t>
      </w:r>
      <w:proofErr w:type="spellEnd"/>
      <w:r w:rsidRPr="002A394B">
        <w:rPr>
          <w:lang w:val="es-AR" w:eastAsia="en-US"/>
        </w:rPr>
        <w:t xml:space="preserve"> y eudaimonía como orientaciones para elegir actividades que precipitan el bienestar. La escala contiene 10 reactivos en formato tipo Likert con siete opciones de respuesta que van de </w:t>
      </w:r>
      <w:r w:rsidRPr="00B3549E">
        <w:rPr>
          <w:i/>
          <w:iCs/>
          <w:lang w:val="es-AR" w:eastAsia="en-US"/>
        </w:rPr>
        <w:t>nunca</w:t>
      </w:r>
      <w:r w:rsidRPr="002A394B">
        <w:rPr>
          <w:lang w:val="es-AR" w:eastAsia="en-US"/>
        </w:rPr>
        <w:t xml:space="preserve"> a </w:t>
      </w:r>
      <w:r w:rsidRPr="00B3549E">
        <w:rPr>
          <w:i/>
          <w:iCs/>
          <w:lang w:val="es-AR" w:eastAsia="en-US"/>
        </w:rPr>
        <w:t>siempre</w:t>
      </w:r>
      <w:r w:rsidRPr="002A394B">
        <w:rPr>
          <w:lang w:val="es-AR" w:eastAsia="en-US"/>
        </w:rPr>
        <w:t xml:space="preserve">. En la adaptación a población mexicana, los reactivos 2, 3, 5, 6, 7, 8 y 10 evalúan la orientación </w:t>
      </w:r>
      <w:proofErr w:type="spellStart"/>
      <w:r w:rsidRPr="002A394B">
        <w:rPr>
          <w:lang w:val="es-AR" w:eastAsia="en-US"/>
        </w:rPr>
        <w:t>eudaimónica</w:t>
      </w:r>
      <w:proofErr w:type="spellEnd"/>
      <w:r w:rsidRPr="002A394B">
        <w:rPr>
          <w:lang w:val="es-AR" w:eastAsia="en-US"/>
        </w:rPr>
        <w:t xml:space="preserve"> del bienestar a través de la autenticidad, el significado de vida, la excelencia y el crecimiento personal; el segundo factor evalúa la orientación hedónica a través de los reactivos 1, 4 y 9 que miden la búsqueda de placer como emociones positivas, sensaciones agradables y satisfacción emocional y/o visceral; y la comodidad entendida como relajación, tranquilidad y ausencia de dolor. Para esta muestra, el índice global de consistencia interna obtenido (</w:t>
      </w:r>
      <w:r w:rsidRPr="002A394B">
        <w:rPr>
          <w:i/>
          <w:iCs/>
          <w:lang w:val="es-AR" w:eastAsia="en-US"/>
        </w:rPr>
        <w:t>α</w:t>
      </w:r>
      <w:r w:rsidRPr="002A394B">
        <w:rPr>
          <w:lang w:val="es-AR" w:eastAsia="en-US"/>
        </w:rPr>
        <w:t>) fue de 0.89; de 0.87 para el factor 1; y de 0.72 para el factor 2.</w:t>
      </w:r>
    </w:p>
    <w:p w14:paraId="0AF1B512" w14:textId="77777777" w:rsidR="00B06FE9" w:rsidRDefault="00B06FE9" w:rsidP="00B06FE9">
      <w:pPr>
        <w:pStyle w:val="SubtituloInterno"/>
      </w:pPr>
      <w:proofErr w:type="spellStart"/>
      <w:r>
        <w:t>Procedimiento</w:t>
      </w:r>
      <w:proofErr w:type="spellEnd"/>
    </w:p>
    <w:p w14:paraId="75BC321A" w14:textId="0BE0B309" w:rsidR="00B06FE9" w:rsidRPr="00FE5023" w:rsidRDefault="003B41B3" w:rsidP="00B06FE9">
      <w:pPr>
        <w:pStyle w:val="Prrafocomn"/>
        <w:rPr>
          <w:lang w:val="es-AR" w:eastAsia="en-US"/>
        </w:rPr>
      </w:pPr>
      <w:r w:rsidRPr="003B41B3">
        <w:rPr>
          <w:lang w:val="es-MX" w:eastAsia="en-US"/>
        </w:rPr>
        <w:t>Se replicó el mismo procedimiento que en el Estudio 2.</w:t>
      </w:r>
    </w:p>
    <w:p w14:paraId="4FDB02FC" w14:textId="77777777" w:rsidR="00B06FE9" w:rsidRDefault="00B06FE9" w:rsidP="00B06FE9">
      <w:pPr>
        <w:pStyle w:val="SubtituloInterno"/>
        <w:rPr>
          <w:lang w:val="es-AR"/>
        </w:rPr>
      </w:pPr>
      <w:r>
        <w:rPr>
          <w:lang w:val="es-AR"/>
        </w:rPr>
        <w:t>Análisis de los datos</w:t>
      </w:r>
    </w:p>
    <w:p w14:paraId="66AC1B5B" w14:textId="2BA1D2E9" w:rsidR="00B06FE9" w:rsidRDefault="003B41B3" w:rsidP="00B06FE9">
      <w:pPr>
        <w:pStyle w:val="Prrafocomn"/>
        <w:rPr>
          <w:lang w:val="es-AR"/>
        </w:rPr>
      </w:pPr>
      <w:r w:rsidRPr="003B41B3">
        <w:rPr>
          <w:lang w:val="es-MX"/>
        </w:rPr>
        <w:t xml:space="preserve">Se llevó a cabo un AFC con método de Máxima Verosimilitud para evaluar el ajuste del modelo de medida de: a) la propuesta original de Peterson et al. (2005); y b) el modelo obtenido </w:t>
      </w:r>
      <w:r w:rsidRPr="003B41B3">
        <w:rPr>
          <w:lang w:val="es-MX"/>
        </w:rPr>
        <w:lastRenderedPageBreak/>
        <w:t xml:space="preserve">en Estudio 2 a través del AFE. Para este propósito se valoraron los siguientes índices: prueba de bondad de ajuste a través del cociente /gl (CMIN/DF &lt; 3); el Índice de Ajuste Comparativo (CFI ≥ 0.95); el Índice Tucker–Lewis (TLI ≥ 0.95); así como índices de error; es decir, la Raíz Cuadrada Media Residual Estandarizada (SRMR ≤0.08); y el Error Cuadrático Medio de Aproximación (RMSEA ≤ 0.06), todos ellos interpretados de acuerdo con los parámetros sugeridos por  Hu y Bentler (1999). Para valorar la validez interna de la escala, se calculó el coeficiente de Fiabilidad Compuesta (FC), la Varianza Media Extraída (AVE) y la validez discriminante. Para obtener evidencia de la validez de criterio, se estimó el Coeficiente de correlación de Pearson entre las puntuaciones de la escala </w:t>
      </w:r>
      <w:r w:rsidRPr="003B41B3">
        <w:rPr>
          <w:i/>
          <w:iCs/>
          <w:lang w:val="es-MX"/>
        </w:rPr>
        <w:t>OTHS</w:t>
      </w:r>
      <w:r w:rsidRPr="003B41B3">
        <w:rPr>
          <w:lang w:val="es-MX"/>
        </w:rPr>
        <w:t xml:space="preserve"> y el </w:t>
      </w:r>
      <w:r w:rsidRPr="003B41B3">
        <w:rPr>
          <w:i/>
          <w:iCs/>
          <w:lang w:val="es-MX"/>
        </w:rPr>
        <w:t>HEMA-R</w:t>
      </w:r>
      <w:r w:rsidRPr="003B41B3">
        <w:rPr>
          <w:lang w:val="es-MX"/>
        </w:rPr>
        <w:t>.</w:t>
      </w:r>
    </w:p>
    <w:p w14:paraId="73A25244" w14:textId="77777777" w:rsidR="00B06FE9" w:rsidRDefault="00B06FE9" w:rsidP="00B06FE9">
      <w:pPr>
        <w:pStyle w:val="Ttulosinternos"/>
        <w:rPr>
          <w:lang w:val="es-ES_tradnl"/>
        </w:rPr>
      </w:pPr>
      <w:r w:rsidRPr="005B24FF">
        <w:rPr>
          <w:lang w:val="es-ES_tradnl"/>
        </w:rPr>
        <w:t>Resultados</w:t>
      </w:r>
    </w:p>
    <w:p w14:paraId="53579F5F" w14:textId="5CEBCE60" w:rsidR="003B41B3" w:rsidRPr="003B41B3" w:rsidRDefault="003B41B3" w:rsidP="003B41B3">
      <w:pPr>
        <w:spacing w:line="360" w:lineRule="auto"/>
        <w:ind w:firstLine="720"/>
        <w:contextualSpacing/>
        <w:jc w:val="both"/>
      </w:pPr>
      <w:r w:rsidRPr="003B41B3">
        <w:t xml:space="preserve">Previa a la estimación del AFC, se probó el supuesto de normalidad multivariada en los datos, a través del Coeficiente de Mardia; donde si el resultado del coeficiente de curtosis multivariada es &lt; p(p+2) -siendo p el número de variables observadas- entonces se asume que existe normalidad multivariada (Bollen, 1989). Se obtuvo 27.40 &lt; p(p+2) = 34, con lo cual se asume este supuesto. Confirmada esta propiedad, </w:t>
      </w:r>
      <w:r>
        <w:t xml:space="preserve">se procedió con la estimación del ajuste del modelo de medida. </w:t>
      </w:r>
    </w:p>
    <w:p w14:paraId="6389D9F3" w14:textId="547537F1" w:rsidR="003B41B3" w:rsidRPr="003B41B3" w:rsidRDefault="003B41B3" w:rsidP="003B41B3">
      <w:pPr>
        <w:spacing w:line="360" w:lineRule="auto"/>
        <w:ind w:firstLine="720"/>
        <w:contextualSpacing/>
        <w:jc w:val="both"/>
      </w:pPr>
      <w:r w:rsidRPr="003B41B3">
        <w:t>En la Tabla 6 se muestra la comparación de los índices de ajuste y error de tres modelos: a) Modelo I: conformado por los 18 reactivos, modelo de medida sugerido en la versión original de la escala por Peterson et al. (2005); b) Modelo II: configurado por 15 reactivos, producto del AFE del Estudio 2, donde no se incluyeron los reactivos 6, 10 y 17; y c) Modelo III: configurado por la misma estructura factorial del Modelo II pero tomando en cuenta los Índices de Modificación -correlación entre los errores (e) de las variables observadas: e8 ↔ e18; e15 ↔  e11; e4 ↔ e7.</w:t>
      </w:r>
    </w:p>
    <w:p w14:paraId="07DDEF90" w14:textId="46630FEC" w:rsidR="003B41B3" w:rsidRDefault="003B41B3" w:rsidP="003B41B3">
      <w:pPr>
        <w:autoSpaceDE w:val="0"/>
        <w:autoSpaceDN w:val="0"/>
        <w:adjustRightInd w:val="0"/>
        <w:ind w:right="-198"/>
        <w:jc w:val="both"/>
        <w:rPr>
          <w:rFonts w:ascii="Arial" w:eastAsiaTheme="minorHAnsi" w:hAnsi="Arial" w:cs="Arial"/>
          <w:color w:val="000000" w:themeColor="text1"/>
          <w:lang w:eastAsia="en-US"/>
        </w:rPr>
      </w:pPr>
      <w:proofErr w:type="spellStart"/>
      <w:r w:rsidRPr="00261CC1">
        <w:rPr>
          <w:color w:val="00000A"/>
          <w:sz w:val="20"/>
          <w:szCs w:val="20"/>
          <w:u w:color="00000A"/>
          <w:bdr w:val="nil"/>
          <w:lang w:val="en-US"/>
          <w14:textOutline w14:w="0" w14:cap="flat" w14:cmpd="sng" w14:algn="ctr">
            <w14:noFill/>
            <w14:prstDash w14:val="solid"/>
            <w14:bevel/>
          </w14:textOutline>
        </w:rPr>
        <w:t>Tabla</w:t>
      </w:r>
      <w:proofErr w:type="spellEnd"/>
      <w:r w:rsidRPr="00261CC1">
        <w:rPr>
          <w:color w:val="00000A"/>
          <w:sz w:val="20"/>
          <w:szCs w:val="20"/>
          <w:u w:color="00000A"/>
          <w:bdr w:val="nil"/>
          <w:lang w:val="en-US"/>
          <w14:textOutline w14:w="0" w14:cap="flat" w14:cmpd="sng" w14:algn="ctr">
            <w14:noFill/>
            <w14:prstDash w14:val="solid"/>
            <w14:bevel/>
          </w14:textOutline>
        </w:rPr>
        <w:t xml:space="preserve"> </w:t>
      </w:r>
      <w:r>
        <w:rPr>
          <w:color w:val="00000A"/>
          <w:sz w:val="20"/>
          <w:szCs w:val="20"/>
          <w:u w:color="00000A"/>
          <w:bdr w:val="nil"/>
          <w:lang w:val="en-US"/>
          <w14:textOutline w14:w="0" w14:cap="flat" w14:cmpd="sng" w14:algn="ctr">
            <w14:noFill/>
            <w14:prstDash w14:val="solid"/>
            <w14:bevel/>
          </w14:textOutline>
        </w:rPr>
        <w:t>6</w:t>
      </w:r>
    </w:p>
    <w:p w14:paraId="3A7B2255" w14:textId="63DA4E80" w:rsidR="003B41B3" w:rsidRPr="003B41B3" w:rsidRDefault="003B41B3" w:rsidP="003B41B3">
      <w:pPr>
        <w:spacing w:line="360" w:lineRule="auto"/>
        <w:contextualSpacing/>
        <w:jc w:val="both"/>
        <w:rPr>
          <w:i/>
          <w:iCs/>
          <w:color w:val="00000A"/>
          <w:sz w:val="20"/>
          <w:szCs w:val="20"/>
          <w:u w:color="00000A"/>
          <w:bdr w:val="nil"/>
          <w:lang w:val="en-US"/>
          <w14:textOutline w14:w="0" w14:cap="flat" w14:cmpd="sng" w14:algn="ctr">
            <w14:noFill/>
            <w14:prstDash w14:val="solid"/>
            <w14:bevel/>
          </w14:textOutline>
        </w:rPr>
      </w:pPr>
      <w:proofErr w:type="spellStart"/>
      <w:r w:rsidRPr="003B41B3">
        <w:rPr>
          <w:i/>
          <w:iCs/>
          <w:color w:val="00000A"/>
          <w:sz w:val="20"/>
          <w:szCs w:val="20"/>
          <w:u w:color="00000A"/>
          <w:bdr w:val="nil"/>
          <w:lang w:val="en-US"/>
          <w14:textOutline w14:w="0" w14:cap="flat" w14:cmpd="sng" w14:algn="ctr">
            <w14:noFill/>
            <w14:prstDash w14:val="solid"/>
            <w14:bevel/>
          </w14:textOutline>
        </w:rPr>
        <w:t>Índices</w:t>
      </w:r>
      <w:proofErr w:type="spellEnd"/>
      <w:r w:rsidRPr="003B41B3">
        <w:rPr>
          <w:i/>
          <w:iCs/>
          <w:color w:val="00000A"/>
          <w:sz w:val="20"/>
          <w:szCs w:val="20"/>
          <w:u w:color="00000A"/>
          <w:bdr w:val="nil"/>
          <w:lang w:val="en-US"/>
          <w14:textOutline w14:w="0" w14:cap="flat" w14:cmpd="sng" w14:algn="ctr">
            <w14:noFill/>
            <w14:prstDash w14:val="solid"/>
            <w14:bevel/>
          </w14:textOutline>
        </w:rPr>
        <w:t xml:space="preserve"> de </w:t>
      </w:r>
      <w:proofErr w:type="spellStart"/>
      <w:r w:rsidRPr="003B41B3">
        <w:rPr>
          <w:i/>
          <w:iCs/>
          <w:color w:val="00000A"/>
          <w:sz w:val="20"/>
          <w:szCs w:val="20"/>
          <w:u w:color="00000A"/>
          <w:bdr w:val="nil"/>
          <w:lang w:val="en-US"/>
          <w14:textOutline w14:w="0" w14:cap="flat" w14:cmpd="sng" w14:algn="ctr">
            <w14:noFill/>
            <w14:prstDash w14:val="solid"/>
            <w14:bevel/>
          </w14:textOutline>
        </w:rPr>
        <w:t>bondad</w:t>
      </w:r>
      <w:proofErr w:type="spellEnd"/>
      <w:r w:rsidRPr="003B41B3">
        <w:rPr>
          <w:i/>
          <w:iCs/>
          <w:color w:val="00000A"/>
          <w:sz w:val="20"/>
          <w:szCs w:val="20"/>
          <w:u w:color="00000A"/>
          <w:bdr w:val="nil"/>
          <w:lang w:val="en-US"/>
          <w14:textOutline w14:w="0" w14:cap="flat" w14:cmpd="sng" w14:algn="ctr">
            <w14:noFill/>
            <w14:prstDash w14:val="solid"/>
            <w14:bevel/>
          </w14:textOutline>
        </w:rPr>
        <w:t xml:space="preserve"> de </w:t>
      </w:r>
      <w:proofErr w:type="spellStart"/>
      <w:r w:rsidRPr="003B41B3">
        <w:rPr>
          <w:i/>
          <w:iCs/>
          <w:color w:val="00000A"/>
          <w:sz w:val="20"/>
          <w:szCs w:val="20"/>
          <w:u w:color="00000A"/>
          <w:bdr w:val="nil"/>
          <w:lang w:val="en-US"/>
          <w14:textOutline w14:w="0" w14:cap="flat" w14:cmpd="sng" w14:algn="ctr">
            <w14:noFill/>
            <w14:prstDash w14:val="solid"/>
            <w14:bevel/>
          </w14:textOutline>
        </w:rPr>
        <w:t>ajuste</w:t>
      </w:r>
      <w:proofErr w:type="spellEnd"/>
      <w:r w:rsidRPr="003B41B3">
        <w:rPr>
          <w:i/>
          <w:iCs/>
          <w:color w:val="00000A"/>
          <w:sz w:val="20"/>
          <w:szCs w:val="20"/>
          <w:u w:color="00000A"/>
          <w:bdr w:val="nil"/>
          <w:lang w:val="en-US"/>
          <w14:textOutline w14:w="0" w14:cap="flat" w14:cmpd="sng" w14:algn="ctr">
            <w14:noFill/>
            <w14:prstDash w14:val="solid"/>
            <w14:bevel/>
          </w14:textOutline>
        </w:rPr>
        <w:t xml:space="preserve"> y de error de </w:t>
      </w:r>
      <w:proofErr w:type="spellStart"/>
      <w:r w:rsidRPr="003B41B3">
        <w:rPr>
          <w:i/>
          <w:iCs/>
          <w:color w:val="00000A"/>
          <w:sz w:val="20"/>
          <w:szCs w:val="20"/>
          <w:u w:color="00000A"/>
          <w:bdr w:val="nil"/>
          <w:lang w:val="en-US"/>
          <w14:textOutline w14:w="0" w14:cap="flat" w14:cmpd="sng" w14:algn="ctr">
            <w14:noFill/>
            <w14:prstDash w14:val="solid"/>
            <w14:bevel/>
          </w14:textOutline>
        </w:rPr>
        <w:t>tres</w:t>
      </w:r>
      <w:proofErr w:type="spellEnd"/>
      <w:r w:rsidRPr="003B41B3">
        <w:rPr>
          <w:i/>
          <w:iCs/>
          <w:color w:val="00000A"/>
          <w:sz w:val="20"/>
          <w:szCs w:val="20"/>
          <w:u w:color="00000A"/>
          <w:bdr w:val="nil"/>
          <w:lang w:val="en-US"/>
          <w14:textOutline w14:w="0" w14:cap="flat" w14:cmpd="sng" w14:algn="ctr">
            <w14:noFill/>
            <w14:prstDash w14:val="solid"/>
            <w14:bevel/>
          </w14:textOutline>
        </w:rPr>
        <w:t xml:space="preserve"> </w:t>
      </w:r>
      <w:proofErr w:type="spellStart"/>
      <w:r w:rsidRPr="003B41B3">
        <w:rPr>
          <w:i/>
          <w:iCs/>
          <w:color w:val="00000A"/>
          <w:sz w:val="20"/>
          <w:szCs w:val="20"/>
          <w:u w:color="00000A"/>
          <w:bdr w:val="nil"/>
          <w:lang w:val="en-US"/>
          <w14:textOutline w14:w="0" w14:cap="flat" w14:cmpd="sng" w14:algn="ctr">
            <w14:noFill/>
            <w14:prstDash w14:val="solid"/>
            <w14:bevel/>
          </w14:textOutline>
        </w:rPr>
        <w:t>modelos</w:t>
      </w:r>
      <w:proofErr w:type="spellEnd"/>
      <w:r w:rsidRPr="003B41B3">
        <w:rPr>
          <w:i/>
          <w:iCs/>
          <w:color w:val="00000A"/>
          <w:sz w:val="20"/>
          <w:szCs w:val="20"/>
          <w:u w:color="00000A"/>
          <w:bdr w:val="nil"/>
          <w:lang w:val="en-US"/>
          <w14:textOutline w14:w="0" w14:cap="flat" w14:cmpd="sng" w14:algn="ctr">
            <w14:noFill/>
            <w14:prstDash w14:val="solid"/>
            <w14:bevel/>
          </w14:textOutline>
        </w:rPr>
        <w:t xml:space="preserve"> de </w:t>
      </w:r>
      <w:proofErr w:type="spellStart"/>
      <w:r w:rsidRPr="003B41B3">
        <w:rPr>
          <w:i/>
          <w:iCs/>
          <w:color w:val="00000A"/>
          <w:sz w:val="20"/>
          <w:szCs w:val="20"/>
          <w:u w:color="00000A"/>
          <w:bdr w:val="nil"/>
          <w:lang w:val="en-US"/>
          <w14:textOutline w14:w="0" w14:cap="flat" w14:cmpd="sng" w14:algn="ctr">
            <w14:noFill/>
            <w14:prstDash w14:val="solid"/>
            <w14:bevel/>
          </w14:textOutline>
        </w:rPr>
        <w:t>medida</w:t>
      </w:r>
      <w:proofErr w:type="spellEnd"/>
      <w:r w:rsidRPr="003B41B3">
        <w:rPr>
          <w:i/>
          <w:iCs/>
          <w:color w:val="00000A"/>
          <w:sz w:val="20"/>
          <w:szCs w:val="20"/>
          <w:u w:color="00000A"/>
          <w:bdr w:val="nil"/>
          <w:lang w:val="en-US"/>
          <w14:textOutline w14:w="0" w14:cap="flat" w14:cmpd="sng" w14:algn="ctr">
            <w14:noFill/>
            <w14:prstDash w14:val="solid"/>
            <w14:bevel/>
          </w14:textOutline>
        </w:rPr>
        <w:t xml:space="preserve"> de la </w:t>
      </w:r>
      <w:proofErr w:type="spellStart"/>
      <w:r w:rsidRPr="003B41B3">
        <w:rPr>
          <w:i/>
          <w:iCs/>
          <w:color w:val="00000A"/>
          <w:sz w:val="20"/>
          <w:szCs w:val="20"/>
          <w:u w:color="00000A"/>
          <w:bdr w:val="nil"/>
          <w:lang w:val="en-US"/>
          <w14:textOutline w14:w="0" w14:cap="flat" w14:cmpd="sng" w14:algn="ctr">
            <w14:noFill/>
            <w14:prstDash w14:val="solid"/>
            <w14:bevel/>
          </w14:textOutline>
        </w:rPr>
        <w:t>escala</w:t>
      </w:r>
      <w:proofErr w:type="spellEnd"/>
      <w:r w:rsidRPr="003B41B3">
        <w:rPr>
          <w:i/>
          <w:iCs/>
          <w:color w:val="00000A"/>
          <w:sz w:val="20"/>
          <w:szCs w:val="20"/>
          <w:u w:color="00000A"/>
          <w:bdr w:val="nil"/>
          <w:lang w:val="en-US"/>
          <w14:textOutline w14:w="0" w14:cap="flat" w14:cmpd="sng" w14:algn="ctr">
            <w14:noFill/>
            <w14:prstDash w14:val="solid"/>
            <w14:bevel/>
          </w14:textOutline>
        </w:rPr>
        <w:t xml:space="preserve"> OTHS</w:t>
      </w:r>
    </w:p>
    <w:tbl>
      <w:tblPr>
        <w:tblStyle w:val="Tablaconcuadrcula"/>
        <w:tblW w:w="83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1083"/>
        <w:gridCol w:w="1261"/>
        <w:gridCol w:w="1261"/>
        <w:gridCol w:w="1261"/>
        <w:gridCol w:w="2232"/>
      </w:tblGrid>
      <w:tr w:rsidR="003B41B3" w:rsidRPr="003B41B3" w14:paraId="4B176712" w14:textId="77777777" w:rsidTr="003B41B3">
        <w:trPr>
          <w:jc w:val="center"/>
        </w:trPr>
        <w:tc>
          <w:tcPr>
            <w:tcW w:w="1261" w:type="dxa"/>
          </w:tcPr>
          <w:p w14:paraId="5A995083"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p>
        </w:tc>
        <w:tc>
          <w:tcPr>
            <w:tcW w:w="7098" w:type="dxa"/>
            <w:gridSpan w:val="5"/>
            <w:tcBorders>
              <w:bottom w:val="single" w:sz="4" w:space="0" w:color="auto"/>
            </w:tcBorders>
          </w:tcPr>
          <w:p w14:paraId="46B28EA7"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*Criterios de interpretación</w:t>
            </w:r>
          </w:p>
        </w:tc>
      </w:tr>
      <w:tr w:rsidR="003B41B3" w:rsidRPr="003B41B3" w14:paraId="6CD1DDE8" w14:textId="77777777" w:rsidTr="003B41B3">
        <w:trPr>
          <w:jc w:val="center"/>
        </w:trPr>
        <w:tc>
          <w:tcPr>
            <w:tcW w:w="1261" w:type="dxa"/>
          </w:tcPr>
          <w:p w14:paraId="5BDA058A"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p>
        </w:tc>
        <w:tc>
          <w:tcPr>
            <w:tcW w:w="1083" w:type="dxa"/>
            <w:tcBorders>
              <w:top w:val="single" w:sz="4" w:space="0" w:color="auto"/>
              <w:bottom w:val="single" w:sz="4" w:space="0" w:color="auto"/>
            </w:tcBorders>
          </w:tcPr>
          <w:p w14:paraId="56135D77"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&lt; 3</w:t>
            </w:r>
          </w:p>
        </w:tc>
        <w:tc>
          <w:tcPr>
            <w:tcW w:w="1261" w:type="dxa"/>
            <w:tcBorders>
              <w:top w:val="single" w:sz="4" w:space="0" w:color="auto"/>
              <w:bottom w:val="single" w:sz="4" w:space="0" w:color="auto"/>
            </w:tcBorders>
          </w:tcPr>
          <w:p w14:paraId="3FF5925F"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 0.95</w:t>
            </w:r>
          </w:p>
        </w:tc>
        <w:tc>
          <w:tcPr>
            <w:tcW w:w="1261" w:type="dxa"/>
            <w:tcBorders>
              <w:top w:val="single" w:sz="4" w:space="0" w:color="auto"/>
              <w:bottom w:val="single" w:sz="4" w:space="0" w:color="auto"/>
            </w:tcBorders>
          </w:tcPr>
          <w:p w14:paraId="4AFD0ED1"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 0.95</w:t>
            </w:r>
          </w:p>
        </w:tc>
        <w:tc>
          <w:tcPr>
            <w:tcW w:w="1261" w:type="dxa"/>
            <w:tcBorders>
              <w:top w:val="single" w:sz="4" w:space="0" w:color="auto"/>
              <w:bottom w:val="single" w:sz="4" w:space="0" w:color="auto"/>
            </w:tcBorders>
          </w:tcPr>
          <w:p w14:paraId="692E4CA1"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≤0.08</w:t>
            </w:r>
          </w:p>
        </w:tc>
        <w:tc>
          <w:tcPr>
            <w:tcW w:w="2232" w:type="dxa"/>
            <w:tcBorders>
              <w:top w:val="single" w:sz="4" w:space="0" w:color="auto"/>
              <w:bottom w:val="single" w:sz="4" w:space="0" w:color="auto"/>
            </w:tcBorders>
          </w:tcPr>
          <w:p w14:paraId="303E9B20"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 0.06</w:t>
            </w:r>
          </w:p>
        </w:tc>
      </w:tr>
      <w:tr w:rsidR="003B41B3" w:rsidRPr="003B41B3" w14:paraId="6311E538" w14:textId="77777777" w:rsidTr="003B41B3">
        <w:trPr>
          <w:jc w:val="center"/>
        </w:trPr>
        <w:tc>
          <w:tcPr>
            <w:tcW w:w="1261" w:type="dxa"/>
            <w:tcBorders>
              <w:bottom w:val="single" w:sz="4" w:space="0" w:color="auto"/>
            </w:tcBorders>
          </w:tcPr>
          <w:p w14:paraId="4A3B11D4" w14:textId="02036988"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Modelo</w:t>
            </w:r>
          </w:p>
        </w:tc>
        <w:tc>
          <w:tcPr>
            <w:tcW w:w="1083" w:type="dxa"/>
            <w:tcBorders>
              <w:top w:val="single" w:sz="4" w:space="0" w:color="auto"/>
              <w:bottom w:val="single" w:sz="4" w:space="0" w:color="auto"/>
            </w:tcBorders>
          </w:tcPr>
          <w:p w14:paraId="5727D84B"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CMIN/DF</w:t>
            </w:r>
          </w:p>
        </w:tc>
        <w:tc>
          <w:tcPr>
            <w:tcW w:w="1261" w:type="dxa"/>
            <w:tcBorders>
              <w:top w:val="single" w:sz="4" w:space="0" w:color="auto"/>
              <w:bottom w:val="single" w:sz="4" w:space="0" w:color="auto"/>
            </w:tcBorders>
          </w:tcPr>
          <w:p w14:paraId="2EA18CC4"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CFI</w:t>
            </w:r>
          </w:p>
        </w:tc>
        <w:tc>
          <w:tcPr>
            <w:tcW w:w="1261" w:type="dxa"/>
            <w:tcBorders>
              <w:top w:val="single" w:sz="4" w:space="0" w:color="auto"/>
              <w:bottom w:val="single" w:sz="4" w:space="0" w:color="auto"/>
            </w:tcBorders>
          </w:tcPr>
          <w:p w14:paraId="06A1F4AD"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TLI</w:t>
            </w:r>
          </w:p>
        </w:tc>
        <w:tc>
          <w:tcPr>
            <w:tcW w:w="1261" w:type="dxa"/>
            <w:tcBorders>
              <w:top w:val="single" w:sz="4" w:space="0" w:color="auto"/>
              <w:bottom w:val="single" w:sz="4" w:space="0" w:color="auto"/>
            </w:tcBorders>
          </w:tcPr>
          <w:p w14:paraId="0E34508A"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SRMR</w:t>
            </w:r>
          </w:p>
        </w:tc>
        <w:tc>
          <w:tcPr>
            <w:tcW w:w="2232" w:type="dxa"/>
            <w:tcBorders>
              <w:top w:val="single" w:sz="4" w:space="0" w:color="auto"/>
              <w:bottom w:val="single" w:sz="4" w:space="0" w:color="auto"/>
            </w:tcBorders>
          </w:tcPr>
          <w:p w14:paraId="080280BF"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RMSEA [IC 95%]</w:t>
            </w:r>
          </w:p>
        </w:tc>
      </w:tr>
      <w:tr w:rsidR="003B41B3" w:rsidRPr="003B41B3" w14:paraId="2AB7972F" w14:textId="77777777" w:rsidTr="003B41B3">
        <w:trPr>
          <w:jc w:val="center"/>
        </w:trPr>
        <w:tc>
          <w:tcPr>
            <w:tcW w:w="1261" w:type="dxa"/>
            <w:tcBorders>
              <w:top w:val="single" w:sz="4" w:space="0" w:color="auto"/>
            </w:tcBorders>
          </w:tcPr>
          <w:p w14:paraId="40937A46"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I</w:t>
            </w:r>
          </w:p>
        </w:tc>
        <w:tc>
          <w:tcPr>
            <w:tcW w:w="1083" w:type="dxa"/>
            <w:tcBorders>
              <w:top w:val="single" w:sz="4" w:space="0" w:color="auto"/>
            </w:tcBorders>
          </w:tcPr>
          <w:p w14:paraId="74C69C9A"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6.074</w:t>
            </w:r>
          </w:p>
        </w:tc>
        <w:tc>
          <w:tcPr>
            <w:tcW w:w="1261" w:type="dxa"/>
            <w:tcBorders>
              <w:top w:val="single" w:sz="4" w:space="0" w:color="auto"/>
            </w:tcBorders>
          </w:tcPr>
          <w:p w14:paraId="0272C399"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.871</w:t>
            </w:r>
          </w:p>
        </w:tc>
        <w:tc>
          <w:tcPr>
            <w:tcW w:w="1261" w:type="dxa"/>
            <w:tcBorders>
              <w:top w:val="single" w:sz="4" w:space="0" w:color="auto"/>
            </w:tcBorders>
          </w:tcPr>
          <w:p w14:paraId="07C67D9B"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.851</w:t>
            </w:r>
          </w:p>
        </w:tc>
        <w:tc>
          <w:tcPr>
            <w:tcW w:w="1261" w:type="dxa"/>
            <w:tcBorders>
              <w:top w:val="single" w:sz="4" w:space="0" w:color="auto"/>
            </w:tcBorders>
          </w:tcPr>
          <w:p w14:paraId="64CD5F8D"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.077</w:t>
            </w:r>
          </w:p>
        </w:tc>
        <w:tc>
          <w:tcPr>
            <w:tcW w:w="2232" w:type="dxa"/>
            <w:tcBorders>
              <w:top w:val="single" w:sz="4" w:space="0" w:color="auto"/>
            </w:tcBorders>
          </w:tcPr>
          <w:p w14:paraId="35D7968E"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.085 [.079, .091]</w:t>
            </w:r>
          </w:p>
        </w:tc>
      </w:tr>
      <w:tr w:rsidR="003B41B3" w:rsidRPr="003B41B3" w14:paraId="6FF696CE" w14:textId="77777777" w:rsidTr="003B41B3">
        <w:trPr>
          <w:jc w:val="center"/>
        </w:trPr>
        <w:tc>
          <w:tcPr>
            <w:tcW w:w="1261" w:type="dxa"/>
          </w:tcPr>
          <w:p w14:paraId="602FB87E"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II</w:t>
            </w:r>
          </w:p>
        </w:tc>
        <w:tc>
          <w:tcPr>
            <w:tcW w:w="1083" w:type="dxa"/>
          </w:tcPr>
          <w:p w14:paraId="21C5B27C"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6.226</w:t>
            </w:r>
          </w:p>
        </w:tc>
        <w:tc>
          <w:tcPr>
            <w:tcW w:w="1261" w:type="dxa"/>
          </w:tcPr>
          <w:p w14:paraId="385D0A6D"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.901</w:t>
            </w:r>
          </w:p>
        </w:tc>
        <w:tc>
          <w:tcPr>
            <w:tcW w:w="1261" w:type="dxa"/>
          </w:tcPr>
          <w:p w14:paraId="6465C718"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.883</w:t>
            </w:r>
          </w:p>
        </w:tc>
        <w:tc>
          <w:tcPr>
            <w:tcW w:w="1261" w:type="dxa"/>
          </w:tcPr>
          <w:p w14:paraId="2F93D935"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.079</w:t>
            </w:r>
          </w:p>
        </w:tc>
        <w:tc>
          <w:tcPr>
            <w:tcW w:w="2232" w:type="dxa"/>
          </w:tcPr>
          <w:p w14:paraId="560098E6"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.086 [.079, .093]</w:t>
            </w:r>
          </w:p>
        </w:tc>
      </w:tr>
      <w:tr w:rsidR="003B41B3" w:rsidRPr="003B41B3" w14:paraId="416BC9D5" w14:textId="77777777" w:rsidTr="003B41B3">
        <w:trPr>
          <w:jc w:val="center"/>
        </w:trPr>
        <w:tc>
          <w:tcPr>
            <w:tcW w:w="1261" w:type="dxa"/>
            <w:tcBorders>
              <w:bottom w:val="single" w:sz="4" w:space="0" w:color="auto"/>
            </w:tcBorders>
          </w:tcPr>
          <w:p w14:paraId="62044236"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III</w:t>
            </w:r>
          </w:p>
        </w:tc>
        <w:tc>
          <w:tcPr>
            <w:tcW w:w="1083" w:type="dxa"/>
            <w:tcBorders>
              <w:bottom w:val="single" w:sz="4" w:space="0" w:color="auto"/>
            </w:tcBorders>
          </w:tcPr>
          <w:p w14:paraId="586D08AD"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5.068</w:t>
            </w:r>
          </w:p>
        </w:tc>
        <w:tc>
          <w:tcPr>
            <w:tcW w:w="1261" w:type="dxa"/>
            <w:tcBorders>
              <w:bottom w:val="single" w:sz="4" w:space="0" w:color="auto"/>
            </w:tcBorders>
          </w:tcPr>
          <w:p w14:paraId="69F2C6BD"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.930</w:t>
            </w:r>
          </w:p>
        </w:tc>
        <w:tc>
          <w:tcPr>
            <w:tcW w:w="1261" w:type="dxa"/>
            <w:tcBorders>
              <w:bottom w:val="single" w:sz="4" w:space="0" w:color="auto"/>
            </w:tcBorders>
          </w:tcPr>
          <w:p w14:paraId="21BF1E19"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.913</w:t>
            </w:r>
          </w:p>
        </w:tc>
        <w:tc>
          <w:tcPr>
            <w:tcW w:w="1261" w:type="dxa"/>
            <w:tcBorders>
              <w:bottom w:val="single" w:sz="4" w:space="0" w:color="auto"/>
            </w:tcBorders>
          </w:tcPr>
          <w:p w14:paraId="3BF26BF7"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.075</w:t>
            </w:r>
          </w:p>
        </w:tc>
        <w:tc>
          <w:tcPr>
            <w:tcW w:w="2232" w:type="dxa"/>
            <w:tcBorders>
              <w:bottom w:val="single" w:sz="4" w:space="0" w:color="auto"/>
            </w:tcBorders>
          </w:tcPr>
          <w:p w14:paraId="5E24B620" w14:textId="77777777" w:rsidR="003B41B3" w:rsidRPr="003B41B3" w:rsidRDefault="003B41B3" w:rsidP="00835C90">
            <w:pPr>
              <w:autoSpaceDE w:val="0"/>
              <w:autoSpaceDN w:val="0"/>
              <w:adjustRightInd w:val="0"/>
              <w:ind w:right="-198"/>
              <w:jc w:val="center"/>
              <w:rPr>
                <w:rFonts w:eastAsiaTheme="minorHAnsi"/>
                <w:color w:val="000000" w:themeColor="text1"/>
                <w:sz w:val="20"/>
                <w:szCs w:val="20"/>
                <w:lang w:eastAsia="en-US"/>
              </w:rPr>
            </w:pPr>
            <w:r w:rsidRPr="003B41B3">
              <w:rPr>
                <w:rFonts w:eastAsiaTheme="minorHAnsi"/>
                <w:color w:val="000000" w:themeColor="text1"/>
                <w:sz w:val="20"/>
                <w:szCs w:val="20"/>
                <w:lang w:eastAsia="en-US"/>
              </w:rPr>
              <w:t>.076 [.068, .084]</w:t>
            </w:r>
          </w:p>
        </w:tc>
      </w:tr>
    </w:tbl>
    <w:p w14:paraId="5F2AD2E8" w14:textId="57F44A5D" w:rsidR="003B41B3" w:rsidRPr="003B41B3" w:rsidRDefault="003B41B3" w:rsidP="003B41B3">
      <w:pPr>
        <w:autoSpaceDE w:val="0"/>
        <w:autoSpaceDN w:val="0"/>
        <w:adjustRightInd w:val="0"/>
        <w:ind w:right="-198"/>
        <w:jc w:val="both"/>
        <w:rPr>
          <w:rFonts w:eastAsiaTheme="minorHAnsi"/>
          <w:i/>
          <w:iCs/>
          <w:color w:val="000000" w:themeColor="text1"/>
          <w:sz w:val="18"/>
          <w:szCs w:val="18"/>
          <w:lang w:eastAsia="en-US"/>
        </w:rPr>
      </w:pPr>
      <w:r w:rsidRPr="003B41B3">
        <w:rPr>
          <w:rFonts w:eastAsiaTheme="minorHAnsi"/>
          <w:i/>
          <w:iCs/>
          <w:color w:val="000000" w:themeColor="text1"/>
          <w:sz w:val="18"/>
          <w:szCs w:val="18"/>
          <w:lang w:eastAsia="en-US"/>
        </w:rPr>
        <w:t xml:space="preserve">Nota: *Los criterios de los índices de ajuste y error son los sugeridos por Hu y Bentler (1999). </w:t>
      </w:r>
    </w:p>
    <w:p w14:paraId="05F31C82" w14:textId="77777777" w:rsidR="003B41B3" w:rsidRPr="003B41B3" w:rsidRDefault="003B41B3" w:rsidP="003B41B3">
      <w:pPr>
        <w:spacing w:line="360" w:lineRule="auto"/>
        <w:contextualSpacing/>
        <w:jc w:val="both"/>
      </w:pPr>
    </w:p>
    <w:p w14:paraId="44EA668B" w14:textId="579114DF" w:rsidR="00B06FE9" w:rsidRDefault="003B41B3" w:rsidP="003B41B3">
      <w:pPr>
        <w:spacing w:line="360" w:lineRule="auto"/>
        <w:ind w:firstLine="720"/>
        <w:contextualSpacing/>
        <w:jc w:val="both"/>
      </w:pPr>
      <w:r w:rsidRPr="003B41B3">
        <w:lastRenderedPageBreak/>
        <w:t>De acuerdo con los resultados expuestos en la Tabla 6, el Modelo III presenta un mejor ajuste en el modelo de medida, en comparación con el Modelo I y II. Aunque los indicadores de bondad de ajuste no son del todo satisfactorios en relación con los valores sugeridos por Hu y Bentler (1999). Hooper et al. (2008) y Wu et al. (2017) consideran mayor flexibilidad en los criterios de interpretación que Hu y Bentler (1999), así valores hasta de 0.90 podrían ser menos estrictos y aceptables para el CFI. Ferrando y Anguiano-Carrasco (2010) aceptan incluso como aceptables, valores de 0.90 en el TLI. Adicionalmente, Browne y Cudeck (199</w:t>
      </w:r>
      <w:r w:rsidR="00DA23EF">
        <w:t>2</w:t>
      </w:r>
      <w:r w:rsidRPr="003B41B3">
        <w:t>) consideran flexibilidad para RMSEA, sin que este supere un valor de 0.10. El SRMR fue el único índice que ajustó en los tres modelos de acuerdo con los valores sugeridos por Hu y Bentler (1999).</w:t>
      </w:r>
    </w:p>
    <w:p w14:paraId="5B81182D" w14:textId="615F258F" w:rsidR="003B41B3" w:rsidRPr="003B41B3" w:rsidRDefault="003B41B3" w:rsidP="003B41B3">
      <w:pPr>
        <w:spacing w:line="360" w:lineRule="auto"/>
        <w:ind w:firstLine="720"/>
        <w:contextualSpacing/>
        <w:jc w:val="both"/>
      </w:pPr>
      <w:r w:rsidRPr="003B41B3">
        <w:t xml:space="preserve">Dado el ajuste obtenido en el Modelo III se estimó el coeficiente de FC debido a que es un estadístico que supera las limitaciones del coeficiente del alfa de Cronbach (Cho &amp; Kim, 2015). Los valores de FC son aceptables (FC &gt; 0.70) de acuerdo con el criterio sugerido por Viladrich et al. (2017). Además, se determinó la Varianza Media Extraída (AVE) del modelo de medición, que actúa como indicador de validez convergente, evaluando si los indicadores propuestos miden adecuadamente el constructo. Fornell y Larcker (1981) sugieren que valores por encima de 0.50 son aceptables, lo que implica que un factor, independientemente de la cantidad de indicadores, debe explicar más del 50% de la varianza de los mismos para considerarse válido en términos de convergencia. En el caso del factor "vida con significado," el valor de AVE fue de 0.517, lo cual es aceptable. Sin embargo, la dimensión "vida de placer" obtuvo un AVE de 0.417, ligeramente por debajo del criterio de Fornell y Larcker (1981). Sin embargo, Malhotra y Dash (2011) señalan que el valor de AVE a veces es demasiado estricto. Por otro lado, la validez discriminante se refiere a cuán diferente es un constructo de otro en términos empíricos. Fornell y Larcker (1981) indican que para establecer esta validez, se debe calcular la raíz cuadrada de la AVE, que debe ser mayor que la correlación entre los constructos. Así, en la Tabla 7 se observa en la diagonal de las dos últimas columnas, que los valores de </w:t>
      </w:r>
      <m:oMath>
        <m:rad>
          <m:radPr>
            <m:ctrlPr>
              <w:rPr>
                <w:rFonts w:ascii="Cambria Math" w:hAnsi="Cambria Math"/>
                <w:i/>
              </w:rPr>
            </m:ctrlPr>
          </m:radPr>
          <m:deg>
            <m:r>
              <w:rPr>
                <w:rFonts w:ascii="Cambria Math" w:hAnsi="Cambria Math"/>
              </w:rPr>
              <m:t>2</m:t>
            </m:r>
          </m:deg>
          <m:e>
            <m:r>
              <w:rPr>
                <w:rFonts w:ascii="Cambria Math" w:hAnsi="Cambria Math"/>
              </w:rPr>
              <m:t>AVE</m:t>
            </m:r>
          </m:e>
        </m:rad>
      </m:oMath>
      <w:r w:rsidRPr="003B41B3">
        <w:rPr>
          <w:vertAlign w:val="subscript"/>
        </w:rPr>
        <w:t xml:space="preserve">Significado </w:t>
      </w:r>
      <w:r w:rsidRPr="003B41B3">
        <w:t xml:space="preserve">= 0.719 y </w:t>
      </w:r>
      <m:oMath>
        <m:rad>
          <m:radPr>
            <m:ctrlPr>
              <w:rPr>
                <w:rFonts w:ascii="Cambria Math" w:hAnsi="Cambria Math"/>
                <w:i/>
              </w:rPr>
            </m:ctrlPr>
          </m:radPr>
          <m:deg>
            <m:r>
              <w:rPr>
                <w:rFonts w:ascii="Cambria Math" w:hAnsi="Cambria Math"/>
              </w:rPr>
              <m:t>2</m:t>
            </m:r>
          </m:deg>
          <m:e>
            <m:r>
              <w:rPr>
                <w:rFonts w:ascii="Cambria Math" w:hAnsi="Cambria Math"/>
              </w:rPr>
              <m:t>AVE</m:t>
            </m:r>
          </m:e>
        </m:rad>
      </m:oMath>
      <w:r w:rsidRPr="003B41B3">
        <w:rPr>
          <w:vertAlign w:val="subscript"/>
        </w:rPr>
        <w:t xml:space="preserve">Placer </w:t>
      </w:r>
      <w:r w:rsidRPr="003B41B3">
        <w:t xml:space="preserve">= 0.646 son menores a la correlación entre factores (r = 0.468 p .001), con lo que se puede evidenciar validez discriminante. </w:t>
      </w:r>
    </w:p>
    <w:p w14:paraId="02FF8F9B" w14:textId="77777777" w:rsidR="00F35A7A" w:rsidRPr="00F35A7A" w:rsidRDefault="00F35A7A" w:rsidP="00F35A7A">
      <w:pPr>
        <w:ind w:right="-200"/>
        <w:jc w:val="both"/>
        <w:rPr>
          <w:color w:val="00000A"/>
          <w:sz w:val="20"/>
          <w:szCs w:val="20"/>
          <w:u w:color="00000A"/>
          <w:bdr w:val="nil"/>
          <w:lang w:val="en-US"/>
          <w14:textOutline w14:w="0" w14:cap="flat" w14:cmpd="sng" w14:algn="ctr">
            <w14:noFill/>
            <w14:prstDash w14:val="solid"/>
            <w14:bevel/>
          </w14:textOutline>
        </w:rPr>
      </w:pPr>
      <w:proofErr w:type="spellStart"/>
      <w:r w:rsidRPr="00F35A7A">
        <w:rPr>
          <w:color w:val="00000A"/>
          <w:sz w:val="20"/>
          <w:szCs w:val="20"/>
          <w:u w:color="00000A"/>
          <w:bdr w:val="nil"/>
          <w:lang w:val="en-US"/>
          <w14:textOutline w14:w="0" w14:cap="flat" w14:cmpd="sng" w14:algn="ctr">
            <w14:noFill/>
            <w14:prstDash w14:val="solid"/>
            <w14:bevel/>
          </w14:textOutline>
        </w:rPr>
        <w:t>Tabla</w:t>
      </w:r>
      <w:proofErr w:type="spellEnd"/>
      <w:r w:rsidRPr="00F35A7A">
        <w:rPr>
          <w:color w:val="00000A"/>
          <w:sz w:val="20"/>
          <w:szCs w:val="20"/>
          <w:u w:color="00000A"/>
          <w:bdr w:val="nil"/>
          <w:lang w:val="en-US"/>
          <w14:textOutline w14:w="0" w14:cap="flat" w14:cmpd="sng" w14:algn="ctr">
            <w14:noFill/>
            <w14:prstDash w14:val="solid"/>
            <w14:bevel/>
          </w14:textOutline>
        </w:rPr>
        <w:t xml:space="preserve"> 7</w:t>
      </w:r>
    </w:p>
    <w:p w14:paraId="2FA1ACB6" w14:textId="73A9D42C" w:rsidR="00F35A7A" w:rsidRDefault="00F35A7A" w:rsidP="00F35A7A">
      <w:pPr>
        <w:ind w:right="-200"/>
        <w:jc w:val="both"/>
        <w:rPr>
          <w:i/>
          <w:iCs/>
          <w:color w:val="00000A"/>
          <w:sz w:val="20"/>
          <w:szCs w:val="20"/>
          <w:u w:color="00000A"/>
          <w:bdr w:val="nil"/>
          <w:lang w:val="en-US"/>
          <w14:textOutline w14:w="0" w14:cap="flat" w14:cmpd="sng" w14:algn="ctr">
            <w14:noFill/>
            <w14:prstDash w14:val="solid"/>
            <w14:bevel/>
          </w14:textOutline>
        </w:rPr>
      </w:pPr>
      <w:proofErr w:type="spellStart"/>
      <w:r w:rsidRPr="00F35A7A">
        <w:rPr>
          <w:i/>
          <w:iCs/>
          <w:color w:val="00000A"/>
          <w:sz w:val="20"/>
          <w:szCs w:val="20"/>
          <w:u w:color="00000A"/>
          <w:bdr w:val="nil"/>
          <w:lang w:val="en-US"/>
          <w14:textOutline w14:w="0" w14:cap="flat" w14:cmpd="sng" w14:algn="ctr">
            <w14:noFill/>
            <w14:prstDash w14:val="solid"/>
            <w14:bevel/>
          </w14:textOutline>
        </w:rPr>
        <w:t>Estimaciones</w:t>
      </w:r>
      <w:proofErr w:type="spellEnd"/>
      <w:r w:rsidRPr="00F35A7A">
        <w:rPr>
          <w:i/>
          <w:iCs/>
          <w:color w:val="00000A"/>
          <w:sz w:val="20"/>
          <w:szCs w:val="20"/>
          <w:u w:color="00000A"/>
          <w:bdr w:val="nil"/>
          <w:lang w:val="en-US"/>
          <w14:textOutline w14:w="0" w14:cap="flat" w14:cmpd="sng" w14:algn="ctr">
            <w14:noFill/>
            <w14:prstDash w14:val="solid"/>
            <w14:bevel/>
          </w14:textOutline>
        </w:rPr>
        <w:t xml:space="preserve"> de</w:t>
      </w:r>
      <w:r>
        <w:rPr>
          <w:i/>
          <w:iCs/>
          <w:color w:val="00000A"/>
          <w:sz w:val="20"/>
          <w:szCs w:val="20"/>
          <w:u w:color="00000A"/>
          <w:bdr w:val="nil"/>
          <w:lang w:val="en-US"/>
          <w14:textOutline w14:w="0" w14:cap="flat" w14:cmpd="sng" w14:algn="ctr">
            <w14:noFill/>
            <w14:prstDash w14:val="solid"/>
            <w14:bevel/>
          </w14:textOutline>
        </w:rPr>
        <w:t xml:space="preserve"> la</w:t>
      </w:r>
      <w:r w:rsidRPr="00F35A7A">
        <w:rPr>
          <w:i/>
          <w:iCs/>
          <w:color w:val="00000A"/>
          <w:sz w:val="20"/>
          <w:szCs w:val="20"/>
          <w:u w:color="00000A"/>
          <w:bdr w:val="nil"/>
          <w:lang w:val="en-US"/>
          <w14:textOutline w14:w="0" w14:cap="flat" w14:cmpd="sng" w14:algn="ctr">
            <w14:noFill/>
            <w14:prstDash w14:val="solid"/>
            <w14:bevel/>
          </w14:textOutline>
        </w:rPr>
        <w:t xml:space="preserve"> FC, AVE y </w:t>
      </w:r>
      <w:proofErr w:type="spellStart"/>
      <w:r w:rsidRPr="00F35A7A">
        <w:rPr>
          <w:i/>
          <w:iCs/>
          <w:color w:val="00000A"/>
          <w:sz w:val="20"/>
          <w:szCs w:val="20"/>
          <w:u w:color="00000A"/>
          <w:bdr w:val="nil"/>
          <w:lang w:val="en-US"/>
          <w14:textOutline w14:w="0" w14:cap="flat" w14:cmpd="sng" w14:algn="ctr">
            <w14:noFill/>
            <w14:prstDash w14:val="solid"/>
            <w14:bevel/>
          </w14:textOutline>
        </w:rPr>
        <w:t>evidencia</w:t>
      </w:r>
      <w:proofErr w:type="spellEnd"/>
      <w:r w:rsidRPr="00F35A7A">
        <w:rPr>
          <w:i/>
          <w:iCs/>
          <w:color w:val="00000A"/>
          <w:sz w:val="20"/>
          <w:szCs w:val="20"/>
          <w:u w:color="00000A"/>
          <w:bdr w:val="nil"/>
          <w:lang w:val="en-US"/>
          <w14:textOutline w14:w="0" w14:cap="flat" w14:cmpd="sng" w14:algn="ctr">
            <w14:noFill/>
            <w14:prstDash w14:val="solid"/>
            <w14:bevel/>
          </w14:textOutline>
        </w:rPr>
        <w:t xml:space="preserve"> de </w:t>
      </w:r>
      <w:proofErr w:type="spellStart"/>
      <w:r w:rsidRPr="00F35A7A">
        <w:rPr>
          <w:i/>
          <w:iCs/>
          <w:color w:val="00000A"/>
          <w:sz w:val="20"/>
          <w:szCs w:val="20"/>
          <w:u w:color="00000A"/>
          <w:bdr w:val="nil"/>
          <w:lang w:val="en-US"/>
          <w14:textOutline w14:w="0" w14:cap="flat" w14:cmpd="sng" w14:algn="ctr">
            <w14:noFill/>
            <w14:prstDash w14:val="solid"/>
            <w14:bevel/>
          </w14:textOutline>
        </w:rPr>
        <w:t>validez</w:t>
      </w:r>
      <w:proofErr w:type="spellEnd"/>
      <w:r w:rsidRPr="00F35A7A">
        <w:rPr>
          <w:i/>
          <w:iCs/>
          <w:color w:val="00000A"/>
          <w:sz w:val="20"/>
          <w:szCs w:val="20"/>
          <w:u w:color="00000A"/>
          <w:bdr w:val="nil"/>
          <w:lang w:val="en-US"/>
          <w14:textOutline w14:w="0" w14:cap="flat" w14:cmpd="sng" w14:algn="ctr">
            <w14:noFill/>
            <w14:prstDash w14:val="solid"/>
            <w14:bevel/>
          </w14:textOutline>
        </w:rPr>
        <w:t xml:space="preserve"> </w:t>
      </w:r>
      <w:proofErr w:type="spellStart"/>
      <w:r w:rsidRPr="00F35A7A">
        <w:rPr>
          <w:i/>
          <w:iCs/>
          <w:color w:val="00000A"/>
          <w:sz w:val="20"/>
          <w:szCs w:val="20"/>
          <w:u w:color="00000A"/>
          <w:bdr w:val="nil"/>
          <w:lang w:val="en-US"/>
          <w14:textOutline w14:w="0" w14:cap="flat" w14:cmpd="sng" w14:algn="ctr">
            <w14:noFill/>
            <w14:prstDash w14:val="solid"/>
            <w14:bevel/>
          </w14:textOutline>
        </w:rPr>
        <w:t>discriminante</w:t>
      </w:r>
      <w:proofErr w:type="spellEnd"/>
    </w:p>
    <w:p w14:paraId="001664CB" w14:textId="77777777" w:rsidR="00F35A7A" w:rsidRPr="00F35A7A" w:rsidRDefault="00F35A7A" w:rsidP="00F35A7A">
      <w:pPr>
        <w:ind w:right="-200"/>
        <w:jc w:val="both"/>
        <w:rPr>
          <w:i/>
          <w:iCs/>
          <w:color w:val="00000A"/>
          <w:sz w:val="20"/>
          <w:szCs w:val="20"/>
          <w:u w:color="00000A"/>
          <w:bdr w:val="nil"/>
          <w:lang w:val="en-US"/>
          <w14:textOutline w14:w="0" w14:cap="flat" w14:cmpd="sng" w14:algn="ctr">
            <w14:noFill/>
            <w14:prstDash w14:val="solid"/>
            <w14:bevel/>
          </w14:textOutlin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276"/>
        <w:gridCol w:w="1157"/>
        <w:gridCol w:w="1966"/>
        <w:gridCol w:w="1417"/>
      </w:tblGrid>
      <w:tr w:rsidR="00F35A7A" w:rsidRPr="00F35A7A" w14:paraId="2FC8D077" w14:textId="77777777" w:rsidTr="00F35A7A">
        <w:trPr>
          <w:jc w:val="center"/>
        </w:trPr>
        <w:tc>
          <w:tcPr>
            <w:tcW w:w="2264" w:type="dxa"/>
            <w:tcBorders>
              <w:bottom w:val="single" w:sz="4" w:space="0" w:color="auto"/>
            </w:tcBorders>
            <w:vAlign w:val="center"/>
          </w:tcPr>
          <w:p w14:paraId="43C02E30" w14:textId="77777777" w:rsidR="00F35A7A" w:rsidRPr="00F35A7A" w:rsidRDefault="00F35A7A" w:rsidP="00F35A7A">
            <w:pPr>
              <w:autoSpaceDE w:val="0"/>
              <w:autoSpaceDN w:val="0"/>
              <w:adjustRightInd w:val="0"/>
              <w:jc w:val="right"/>
              <w:rPr>
                <w:rFonts w:eastAsiaTheme="minorHAnsi"/>
                <w:color w:val="000000" w:themeColor="text1"/>
                <w:sz w:val="20"/>
                <w:szCs w:val="20"/>
                <w:lang w:eastAsia="en-US"/>
              </w:rPr>
            </w:pPr>
            <w:r w:rsidRPr="00F35A7A">
              <w:rPr>
                <w:rFonts w:eastAsiaTheme="minorHAnsi"/>
                <w:color w:val="000000" w:themeColor="text1"/>
                <w:sz w:val="20"/>
                <w:szCs w:val="20"/>
                <w:lang w:eastAsia="en-US"/>
              </w:rPr>
              <w:t>Variables latentes</w:t>
            </w:r>
          </w:p>
        </w:tc>
        <w:tc>
          <w:tcPr>
            <w:tcW w:w="1276" w:type="dxa"/>
            <w:tcBorders>
              <w:bottom w:val="single" w:sz="4" w:space="0" w:color="auto"/>
            </w:tcBorders>
            <w:vAlign w:val="center"/>
          </w:tcPr>
          <w:p w14:paraId="3EB8C386"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FC</w:t>
            </w:r>
          </w:p>
        </w:tc>
        <w:tc>
          <w:tcPr>
            <w:tcW w:w="1157" w:type="dxa"/>
            <w:tcBorders>
              <w:bottom w:val="single" w:sz="4" w:space="0" w:color="auto"/>
            </w:tcBorders>
            <w:vAlign w:val="center"/>
          </w:tcPr>
          <w:p w14:paraId="5131CE96"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AVE</w:t>
            </w:r>
          </w:p>
        </w:tc>
        <w:tc>
          <w:tcPr>
            <w:tcW w:w="1966" w:type="dxa"/>
            <w:tcBorders>
              <w:bottom w:val="single" w:sz="4" w:space="0" w:color="auto"/>
            </w:tcBorders>
            <w:vAlign w:val="center"/>
          </w:tcPr>
          <w:p w14:paraId="6B3EE011" w14:textId="15F93C4B" w:rsidR="00F35A7A" w:rsidRPr="00F35A7A" w:rsidRDefault="00F35A7A" w:rsidP="00F35A7A">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Vida con</w:t>
            </w:r>
            <w:r>
              <w:rPr>
                <w:rFonts w:eastAsiaTheme="minorHAnsi"/>
                <w:color w:val="000000" w:themeColor="text1"/>
                <w:sz w:val="20"/>
                <w:szCs w:val="20"/>
                <w:lang w:eastAsia="en-US"/>
              </w:rPr>
              <w:t xml:space="preserve"> </w:t>
            </w:r>
            <w:r w:rsidRPr="00F35A7A">
              <w:rPr>
                <w:rFonts w:eastAsiaTheme="minorHAnsi"/>
                <w:color w:val="000000" w:themeColor="text1"/>
                <w:sz w:val="20"/>
                <w:szCs w:val="20"/>
                <w:lang w:eastAsia="en-US"/>
              </w:rPr>
              <w:t>significado</w:t>
            </w:r>
          </w:p>
        </w:tc>
        <w:tc>
          <w:tcPr>
            <w:tcW w:w="1417" w:type="dxa"/>
            <w:tcBorders>
              <w:bottom w:val="single" w:sz="4" w:space="0" w:color="auto"/>
            </w:tcBorders>
            <w:vAlign w:val="center"/>
          </w:tcPr>
          <w:p w14:paraId="7D9A9EBE" w14:textId="5E86C0D6" w:rsidR="00F35A7A" w:rsidRPr="00F35A7A" w:rsidRDefault="00F35A7A" w:rsidP="00F35A7A">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Vida de</w:t>
            </w:r>
            <w:r w:rsidR="00D45F0B">
              <w:rPr>
                <w:rFonts w:eastAsiaTheme="minorHAnsi"/>
                <w:color w:val="000000" w:themeColor="text1"/>
                <w:sz w:val="20"/>
                <w:szCs w:val="20"/>
                <w:lang w:eastAsia="en-US"/>
              </w:rPr>
              <w:t xml:space="preserve"> </w:t>
            </w:r>
            <w:r w:rsidRPr="00F35A7A">
              <w:rPr>
                <w:rFonts w:eastAsiaTheme="minorHAnsi"/>
                <w:color w:val="000000" w:themeColor="text1"/>
                <w:sz w:val="20"/>
                <w:szCs w:val="20"/>
                <w:lang w:eastAsia="en-US"/>
              </w:rPr>
              <w:t>placer</w:t>
            </w:r>
          </w:p>
        </w:tc>
      </w:tr>
      <w:tr w:rsidR="00F35A7A" w:rsidRPr="00F35A7A" w14:paraId="050D0630" w14:textId="77777777" w:rsidTr="00F35A7A">
        <w:trPr>
          <w:jc w:val="center"/>
        </w:trPr>
        <w:tc>
          <w:tcPr>
            <w:tcW w:w="2264" w:type="dxa"/>
            <w:tcBorders>
              <w:top w:val="single" w:sz="4" w:space="0" w:color="auto"/>
            </w:tcBorders>
          </w:tcPr>
          <w:p w14:paraId="45F23F5F" w14:textId="77777777" w:rsidR="00F35A7A" w:rsidRPr="00F35A7A" w:rsidRDefault="00F35A7A" w:rsidP="00835C90">
            <w:pPr>
              <w:autoSpaceDE w:val="0"/>
              <w:autoSpaceDN w:val="0"/>
              <w:adjustRightInd w:val="0"/>
              <w:ind w:right="28"/>
              <w:jc w:val="right"/>
              <w:rPr>
                <w:rFonts w:eastAsiaTheme="minorHAnsi"/>
                <w:color w:val="000000" w:themeColor="text1"/>
                <w:sz w:val="20"/>
                <w:szCs w:val="20"/>
                <w:lang w:eastAsia="en-US"/>
              </w:rPr>
            </w:pPr>
            <w:r w:rsidRPr="00F35A7A">
              <w:rPr>
                <w:rFonts w:eastAsiaTheme="minorHAnsi"/>
                <w:color w:val="000000" w:themeColor="text1"/>
                <w:sz w:val="20"/>
                <w:szCs w:val="20"/>
                <w:lang w:eastAsia="en-US"/>
              </w:rPr>
              <w:t>Vida con significado</w:t>
            </w:r>
          </w:p>
        </w:tc>
        <w:tc>
          <w:tcPr>
            <w:tcW w:w="1276" w:type="dxa"/>
            <w:tcBorders>
              <w:top w:val="single" w:sz="4" w:space="0" w:color="auto"/>
            </w:tcBorders>
          </w:tcPr>
          <w:p w14:paraId="7975E6B1"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0.877</w:t>
            </w:r>
          </w:p>
        </w:tc>
        <w:tc>
          <w:tcPr>
            <w:tcW w:w="1157" w:type="dxa"/>
            <w:tcBorders>
              <w:top w:val="single" w:sz="4" w:space="0" w:color="auto"/>
            </w:tcBorders>
          </w:tcPr>
          <w:p w14:paraId="3B200392"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0.517</w:t>
            </w:r>
          </w:p>
        </w:tc>
        <w:tc>
          <w:tcPr>
            <w:tcW w:w="1966" w:type="dxa"/>
            <w:tcBorders>
              <w:top w:val="single" w:sz="4" w:space="0" w:color="auto"/>
            </w:tcBorders>
          </w:tcPr>
          <w:p w14:paraId="5635C7D6"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0.719</w:t>
            </w:r>
          </w:p>
        </w:tc>
        <w:tc>
          <w:tcPr>
            <w:tcW w:w="1417" w:type="dxa"/>
            <w:tcBorders>
              <w:top w:val="single" w:sz="4" w:space="0" w:color="auto"/>
            </w:tcBorders>
          </w:tcPr>
          <w:p w14:paraId="684047BD"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p>
        </w:tc>
      </w:tr>
      <w:tr w:rsidR="00F35A7A" w:rsidRPr="00F35A7A" w14:paraId="04925206" w14:textId="77777777" w:rsidTr="00F35A7A">
        <w:trPr>
          <w:jc w:val="center"/>
        </w:trPr>
        <w:tc>
          <w:tcPr>
            <w:tcW w:w="2264" w:type="dxa"/>
            <w:tcBorders>
              <w:bottom w:val="single" w:sz="4" w:space="0" w:color="auto"/>
            </w:tcBorders>
          </w:tcPr>
          <w:p w14:paraId="5FB321D3" w14:textId="77777777" w:rsidR="00F35A7A" w:rsidRPr="00F35A7A" w:rsidRDefault="00F35A7A" w:rsidP="00835C90">
            <w:pPr>
              <w:autoSpaceDE w:val="0"/>
              <w:autoSpaceDN w:val="0"/>
              <w:adjustRightInd w:val="0"/>
              <w:ind w:right="28"/>
              <w:jc w:val="right"/>
              <w:rPr>
                <w:rFonts w:eastAsiaTheme="minorHAnsi"/>
                <w:color w:val="000000" w:themeColor="text1"/>
                <w:sz w:val="20"/>
                <w:szCs w:val="20"/>
                <w:lang w:eastAsia="en-US"/>
              </w:rPr>
            </w:pPr>
            <w:r w:rsidRPr="00F35A7A">
              <w:rPr>
                <w:rFonts w:eastAsiaTheme="minorHAnsi"/>
                <w:color w:val="000000" w:themeColor="text1"/>
                <w:sz w:val="20"/>
                <w:szCs w:val="20"/>
                <w:lang w:eastAsia="en-US"/>
              </w:rPr>
              <w:t>Vida de placer</w:t>
            </w:r>
          </w:p>
        </w:tc>
        <w:tc>
          <w:tcPr>
            <w:tcW w:w="1276" w:type="dxa"/>
            <w:tcBorders>
              <w:bottom w:val="single" w:sz="4" w:space="0" w:color="auto"/>
            </w:tcBorders>
          </w:tcPr>
          <w:p w14:paraId="762572F1"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0.830</w:t>
            </w:r>
          </w:p>
        </w:tc>
        <w:tc>
          <w:tcPr>
            <w:tcW w:w="1157" w:type="dxa"/>
            <w:tcBorders>
              <w:bottom w:val="single" w:sz="4" w:space="0" w:color="auto"/>
            </w:tcBorders>
          </w:tcPr>
          <w:p w14:paraId="15B778D8"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0.417</w:t>
            </w:r>
          </w:p>
        </w:tc>
        <w:tc>
          <w:tcPr>
            <w:tcW w:w="1966" w:type="dxa"/>
            <w:tcBorders>
              <w:bottom w:val="single" w:sz="4" w:space="0" w:color="auto"/>
            </w:tcBorders>
          </w:tcPr>
          <w:p w14:paraId="3AA3C286"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0.468*</w:t>
            </w:r>
          </w:p>
        </w:tc>
        <w:tc>
          <w:tcPr>
            <w:tcW w:w="1417" w:type="dxa"/>
            <w:tcBorders>
              <w:bottom w:val="single" w:sz="4" w:space="0" w:color="auto"/>
            </w:tcBorders>
          </w:tcPr>
          <w:p w14:paraId="376A502B"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0.646</w:t>
            </w:r>
          </w:p>
        </w:tc>
      </w:tr>
    </w:tbl>
    <w:p w14:paraId="7C615FD5" w14:textId="77777777" w:rsidR="00F35A7A" w:rsidRPr="00F35A7A" w:rsidRDefault="00F35A7A" w:rsidP="00F35A7A">
      <w:pPr>
        <w:autoSpaceDE w:val="0"/>
        <w:autoSpaceDN w:val="0"/>
        <w:adjustRightInd w:val="0"/>
        <w:ind w:right="-198"/>
        <w:jc w:val="both"/>
        <w:rPr>
          <w:rFonts w:eastAsiaTheme="minorHAnsi"/>
          <w:i/>
          <w:iCs/>
          <w:color w:val="000000" w:themeColor="text1"/>
          <w:sz w:val="18"/>
          <w:szCs w:val="18"/>
          <w:lang w:eastAsia="en-US"/>
        </w:rPr>
      </w:pPr>
      <w:r w:rsidRPr="00F35A7A">
        <w:rPr>
          <w:rFonts w:eastAsiaTheme="minorHAnsi"/>
          <w:color w:val="000000" w:themeColor="text1"/>
          <w:sz w:val="18"/>
          <w:szCs w:val="18"/>
          <w:lang w:eastAsia="en-US"/>
        </w:rPr>
        <w:t>Nota:</w:t>
      </w:r>
      <w:r w:rsidRPr="00F35A7A">
        <w:rPr>
          <w:rFonts w:eastAsiaTheme="minorHAnsi"/>
          <w:i/>
          <w:iCs/>
          <w:color w:val="000000" w:themeColor="text1"/>
          <w:sz w:val="18"/>
          <w:szCs w:val="18"/>
          <w:lang w:eastAsia="en-US"/>
        </w:rPr>
        <w:t xml:space="preserve"> FC = Fiabilidad Compuesta; AVE = Varianza Media Extraida; * p .001 </w:t>
      </w:r>
    </w:p>
    <w:p w14:paraId="686B895F" w14:textId="77777777" w:rsidR="00F35A7A" w:rsidRPr="00F35A7A" w:rsidRDefault="00F35A7A" w:rsidP="00F35A7A"/>
    <w:p w14:paraId="33DF561D" w14:textId="6EB64773" w:rsidR="00F35A7A" w:rsidRPr="00F35A7A" w:rsidRDefault="00F35A7A" w:rsidP="00F35A7A">
      <w:pPr>
        <w:spacing w:line="360" w:lineRule="auto"/>
        <w:ind w:firstLine="720"/>
        <w:contextualSpacing/>
        <w:jc w:val="both"/>
      </w:pPr>
      <w:r w:rsidRPr="00F35A7A">
        <w:t>Finalmente, Abdul-Kadir et al. (2021) señalan que la validez de criterio es el grado en que existe una relación entre la puntuación de una prueba determinada (</w:t>
      </w:r>
      <w:r w:rsidRPr="00B3549E">
        <w:t>OTHS</w:t>
      </w:r>
      <w:r w:rsidRPr="00F35A7A">
        <w:t>) y el desempeño en otra medida de particular relevancia denominada criterio (</w:t>
      </w:r>
      <w:r w:rsidRPr="00B3549E">
        <w:t>HERMA-R</w:t>
      </w:r>
      <w:r w:rsidRPr="00F35A7A">
        <w:t>). Ambas escalas miden la categoría de orientación hacia la felicidad desde un posicionamiento hedónico y eudaimónico. Se observa en la Tabla 8, que entre las dimensiones de ambas escalas se encuentran correlaciones estadísticamente significativ</w:t>
      </w:r>
      <w:r w:rsidR="00B3549E">
        <w:t>a</w:t>
      </w:r>
      <w:r w:rsidRPr="00F35A7A">
        <w:t>s, a excepción de la “vida con significado” con las “actividades hedónicas”</w:t>
      </w:r>
    </w:p>
    <w:p w14:paraId="349DDC1D" w14:textId="36FA9E5B" w:rsidR="00F35A7A" w:rsidRDefault="00F35A7A" w:rsidP="00F35A7A">
      <w:pPr>
        <w:spacing w:line="360" w:lineRule="auto"/>
        <w:contextualSpacing/>
        <w:jc w:val="both"/>
        <w:rPr>
          <w:color w:val="00000A"/>
          <w:sz w:val="20"/>
          <w:szCs w:val="20"/>
          <w:u w:color="00000A"/>
          <w:bdr w:val="nil"/>
          <w:lang w:val="en-US"/>
          <w14:textOutline w14:w="0" w14:cap="flat" w14:cmpd="sng" w14:algn="ctr">
            <w14:noFill/>
            <w14:prstDash w14:val="solid"/>
            <w14:bevel/>
          </w14:textOutline>
        </w:rPr>
      </w:pPr>
      <w:proofErr w:type="spellStart"/>
      <w:r w:rsidRPr="00F35A7A">
        <w:rPr>
          <w:color w:val="00000A"/>
          <w:sz w:val="20"/>
          <w:szCs w:val="20"/>
          <w:u w:color="00000A"/>
          <w:bdr w:val="nil"/>
          <w:lang w:val="en-US"/>
          <w14:textOutline w14:w="0" w14:cap="flat" w14:cmpd="sng" w14:algn="ctr">
            <w14:noFill/>
            <w14:prstDash w14:val="solid"/>
            <w14:bevel/>
          </w14:textOutline>
        </w:rPr>
        <w:t>Tabla</w:t>
      </w:r>
      <w:proofErr w:type="spellEnd"/>
      <w:r w:rsidRPr="00F35A7A">
        <w:rPr>
          <w:color w:val="00000A"/>
          <w:sz w:val="20"/>
          <w:szCs w:val="20"/>
          <w:u w:color="00000A"/>
          <w:bdr w:val="nil"/>
          <w:lang w:val="en-US"/>
          <w14:textOutline w14:w="0" w14:cap="flat" w14:cmpd="sng" w14:algn="ctr">
            <w14:noFill/>
            <w14:prstDash w14:val="solid"/>
            <w14:bevel/>
          </w14:textOutline>
        </w:rPr>
        <w:t xml:space="preserve"> 8</w:t>
      </w:r>
    </w:p>
    <w:p w14:paraId="4063354E" w14:textId="192C7BAA" w:rsidR="00F35A7A" w:rsidRDefault="00F35A7A" w:rsidP="00F35A7A">
      <w:pPr>
        <w:tabs>
          <w:tab w:val="left" w:pos="7289"/>
        </w:tabs>
        <w:spacing w:line="360" w:lineRule="auto"/>
        <w:contextualSpacing/>
        <w:jc w:val="both"/>
        <w:rPr>
          <w:i/>
          <w:iCs/>
          <w:color w:val="00000A"/>
          <w:sz w:val="20"/>
          <w:szCs w:val="20"/>
          <w:u w:color="00000A"/>
          <w:bdr w:val="nil"/>
          <w:lang w:val="en-US"/>
          <w14:textOutline w14:w="0" w14:cap="flat" w14:cmpd="sng" w14:algn="ctr">
            <w14:noFill/>
            <w14:prstDash w14:val="solid"/>
            <w14:bevel/>
          </w14:textOutline>
        </w:rPr>
      </w:pPr>
      <w:proofErr w:type="spellStart"/>
      <w:r w:rsidRPr="00F35A7A">
        <w:rPr>
          <w:i/>
          <w:iCs/>
          <w:color w:val="00000A"/>
          <w:sz w:val="20"/>
          <w:szCs w:val="20"/>
          <w:u w:color="00000A"/>
          <w:bdr w:val="nil"/>
          <w:lang w:val="en-US"/>
          <w14:textOutline w14:w="0" w14:cap="flat" w14:cmpd="sng" w14:algn="ctr">
            <w14:noFill/>
            <w14:prstDash w14:val="solid"/>
            <w14:bevel/>
          </w14:textOutline>
        </w:rPr>
        <w:t>Coeficientes</w:t>
      </w:r>
      <w:proofErr w:type="spellEnd"/>
      <w:r w:rsidRPr="00F35A7A">
        <w:rPr>
          <w:i/>
          <w:iCs/>
          <w:color w:val="00000A"/>
          <w:sz w:val="20"/>
          <w:szCs w:val="20"/>
          <w:u w:color="00000A"/>
          <w:bdr w:val="nil"/>
          <w:lang w:val="en-US"/>
          <w14:textOutline w14:w="0" w14:cap="flat" w14:cmpd="sng" w14:algn="ctr">
            <w14:noFill/>
            <w14:prstDash w14:val="solid"/>
            <w14:bevel/>
          </w14:textOutline>
        </w:rPr>
        <w:t xml:space="preserve"> de </w:t>
      </w:r>
      <w:proofErr w:type="spellStart"/>
      <w:r w:rsidRPr="00F35A7A">
        <w:rPr>
          <w:i/>
          <w:iCs/>
          <w:color w:val="00000A"/>
          <w:sz w:val="20"/>
          <w:szCs w:val="20"/>
          <w:u w:color="00000A"/>
          <w:bdr w:val="nil"/>
          <w:lang w:val="en-US"/>
          <w14:textOutline w14:w="0" w14:cap="flat" w14:cmpd="sng" w14:algn="ctr">
            <w14:noFill/>
            <w14:prstDash w14:val="solid"/>
            <w14:bevel/>
          </w14:textOutline>
        </w:rPr>
        <w:t>correlación</w:t>
      </w:r>
      <w:proofErr w:type="spellEnd"/>
      <w:r w:rsidRPr="00F35A7A">
        <w:rPr>
          <w:i/>
          <w:iCs/>
          <w:color w:val="00000A"/>
          <w:sz w:val="20"/>
          <w:szCs w:val="20"/>
          <w:u w:color="00000A"/>
          <w:bdr w:val="nil"/>
          <w:lang w:val="en-US"/>
          <w14:textOutline w14:w="0" w14:cap="flat" w14:cmpd="sng" w14:algn="ctr">
            <w14:noFill/>
            <w14:prstDash w14:val="solid"/>
            <w14:bevel/>
          </w14:textOutline>
        </w:rPr>
        <w:t xml:space="preserve"> con IC95% entre las </w:t>
      </w:r>
      <w:proofErr w:type="spellStart"/>
      <w:r w:rsidRPr="00F35A7A">
        <w:rPr>
          <w:i/>
          <w:iCs/>
          <w:color w:val="00000A"/>
          <w:sz w:val="20"/>
          <w:szCs w:val="20"/>
          <w:u w:color="00000A"/>
          <w:bdr w:val="nil"/>
          <w:lang w:val="en-US"/>
          <w14:textOutline w14:w="0" w14:cap="flat" w14:cmpd="sng" w14:algn="ctr">
            <w14:noFill/>
            <w14:prstDash w14:val="solid"/>
            <w14:bevel/>
          </w14:textOutline>
        </w:rPr>
        <w:t>dimensiones</w:t>
      </w:r>
      <w:proofErr w:type="spellEnd"/>
      <w:r w:rsidRPr="00F35A7A">
        <w:rPr>
          <w:i/>
          <w:iCs/>
          <w:color w:val="00000A"/>
          <w:sz w:val="20"/>
          <w:szCs w:val="20"/>
          <w:u w:color="00000A"/>
          <w:bdr w:val="nil"/>
          <w:lang w:val="en-US"/>
          <w14:textOutline w14:w="0" w14:cap="flat" w14:cmpd="sng" w14:algn="ctr">
            <w14:noFill/>
            <w14:prstDash w14:val="solid"/>
            <w14:bevel/>
          </w14:textOutline>
        </w:rPr>
        <w:t xml:space="preserve"> del OTHS y HEMA-R</w:t>
      </w:r>
      <w:r>
        <w:rPr>
          <w:i/>
          <w:iCs/>
          <w:color w:val="00000A"/>
          <w:sz w:val="20"/>
          <w:szCs w:val="20"/>
          <w:u w:color="00000A"/>
          <w:bdr w:val="nil"/>
          <w:lang w:val="en-US"/>
          <w14:textOutline w14:w="0" w14:cap="flat" w14:cmpd="sng" w14:algn="ctr">
            <w14:noFill/>
            <w14:prstDash w14:val="solid"/>
            <w14:bevel/>
          </w14:textOutline>
        </w:rPr>
        <w:tab/>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34"/>
        <w:gridCol w:w="2977"/>
      </w:tblGrid>
      <w:tr w:rsidR="00F35A7A" w:rsidRPr="00F35A7A" w14:paraId="3C4D2D1F" w14:textId="77777777" w:rsidTr="00835C90">
        <w:trPr>
          <w:jc w:val="center"/>
        </w:trPr>
        <w:tc>
          <w:tcPr>
            <w:tcW w:w="2264" w:type="dxa"/>
            <w:vAlign w:val="center"/>
          </w:tcPr>
          <w:p w14:paraId="7DB35B27" w14:textId="77777777" w:rsidR="00F35A7A" w:rsidRPr="00F35A7A" w:rsidRDefault="00F35A7A" w:rsidP="00835C90">
            <w:pPr>
              <w:autoSpaceDE w:val="0"/>
              <w:autoSpaceDN w:val="0"/>
              <w:adjustRightInd w:val="0"/>
              <w:jc w:val="center"/>
              <w:rPr>
                <w:rFonts w:eastAsiaTheme="minorHAnsi"/>
                <w:color w:val="000000" w:themeColor="text1"/>
                <w:sz w:val="20"/>
                <w:szCs w:val="20"/>
                <w:lang w:eastAsia="en-US"/>
              </w:rPr>
            </w:pPr>
          </w:p>
        </w:tc>
        <w:tc>
          <w:tcPr>
            <w:tcW w:w="5811" w:type="dxa"/>
            <w:gridSpan w:val="2"/>
            <w:tcBorders>
              <w:bottom w:val="single" w:sz="4" w:space="0" w:color="auto"/>
            </w:tcBorders>
            <w:vAlign w:val="center"/>
          </w:tcPr>
          <w:p w14:paraId="64BCDBE8"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HEMA-R</w:t>
            </w:r>
          </w:p>
        </w:tc>
      </w:tr>
      <w:tr w:rsidR="00F35A7A" w:rsidRPr="00F35A7A" w14:paraId="03E07DF5" w14:textId="77777777" w:rsidTr="00835C90">
        <w:trPr>
          <w:jc w:val="center"/>
        </w:trPr>
        <w:tc>
          <w:tcPr>
            <w:tcW w:w="2264" w:type="dxa"/>
            <w:tcBorders>
              <w:bottom w:val="single" w:sz="4" w:space="0" w:color="auto"/>
            </w:tcBorders>
            <w:vAlign w:val="center"/>
          </w:tcPr>
          <w:p w14:paraId="77C8CFEE" w14:textId="77777777" w:rsidR="00F35A7A" w:rsidRPr="00F35A7A" w:rsidRDefault="00F35A7A" w:rsidP="00F35A7A">
            <w:pPr>
              <w:autoSpaceDE w:val="0"/>
              <w:autoSpaceDN w:val="0"/>
              <w:adjustRightInd w:val="0"/>
              <w:jc w:val="right"/>
              <w:rPr>
                <w:rFonts w:eastAsiaTheme="minorHAnsi"/>
                <w:color w:val="000000" w:themeColor="text1"/>
                <w:sz w:val="20"/>
                <w:szCs w:val="20"/>
                <w:lang w:eastAsia="en-US"/>
              </w:rPr>
            </w:pPr>
            <w:r w:rsidRPr="00F35A7A">
              <w:rPr>
                <w:rFonts w:eastAsiaTheme="minorHAnsi"/>
                <w:color w:val="000000" w:themeColor="text1"/>
                <w:sz w:val="20"/>
                <w:szCs w:val="20"/>
                <w:lang w:eastAsia="en-US"/>
              </w:rPr>
              <w:t>OTHS</w:t>
            </w:r>
          </w:p>
        </w:tc>
        <w:tc>
          <w:tcPr>
            <w:tcW w:w="2834" w:type="dxa"/>
            <w:tcBorders>
              <w:top w:val="single" w:sz="4" w:space="0" w:color="auto"/>
              <w:bottom w:val="single" w:sz="4" w:space="0" w:color="auto"/>
            </w:tcBorders>
            <w:vAlign w:val="center"/>
          </w:tcPr>
          <w:p w14:paraId="6DDDDD36" w14:textId="77777777" w:rsidR="00F35A7A" w:rsidRPr="00F35A7A" w:rsidRDefault="00F35A7A" w:rsidP="00F35A7A">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Actividades eudaimónicas</w:t>
            </w:r>
          </w:p>
        </w:tc>
        <w:tc>
          <w:tcPr>
            <w:tcW w:w="2977" w:type="dxa"/>
            <w:tcBorders>
              <w:top w:val="single" w:sz="4" w:space="0" w:color="auto"/>
              <w:bottom w:val="single" w:sz="4" w:space="0" w:color="auto"/>
            </w:tcBorders>
            <w:vAlign w:val="center"/>
          </w:tcPr>
          <w:p w14:paraId="737C5547" w14:textId="77777777" w:rsidR="00F35A7A" w:rsidRPr="00F35A7A" w:rsidRDefault="00F35A7A" w:rsidP="00F35A7A">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Actividades hedónicas</w:t>
            </w:r>
          </w:p>
        </w:tc>
      </w:tr>
      <w:tr w:rsidR="00F35A7A" w:rsidRPr="00F35A7A" w14:paraId="3BC0B766" w14:textId="77777777" w:rsidTr="00835C90">
        <w:trPr>
          <w:jc w:val="center"/>
        </w:trPr>
        <w:tc>
          <w:tcPr>
            <w:tcW w:w="2264" w:type="dxa"/>
            <w:tcBorders>
              <w:top w:val="single" w:sz="4" w:space="0" w:color="auto"/>
            </w:tcBorders>
          </w:tcPr>
          <w:p w14:paraId="564CC88A" w14:textId="77777777" w:rsidR="00F35A7A" w:rsidRPr="00F35A7A" w:rsidRDefault="00F35A7A" w:rsidP="00835C90">
            <w:pPr>
              <w:autoSpaceDE w:val="0"/>
              <w:autoSpaceDN w:val="0"/>
              <w:adjustRightInd w:val="0"/>
              <w:ind w:right="28"/>
              <w:jc w:val="right"/>
              <w:rPr>
                <w:rFonts w:eastAsiaTheme="minorHAnsi"/>
                <w:color w:val="000000" w:themeColor="text1"/>
                <w:sz w:val="20"/>
                <w:szCs w:val="20"/>
                <w:lang w:eastAsia="en-US"/>
              </w:rPr>
            </w:pPr>
            <w:r w:rsidRPr="00F35A7A">
              <w:rPr>
                <w:rFonts w:eastAsiaTheme="minorHAnsi"/>
                <w:color w:val="000000" w:themeColor="text1"/>
                <w:sz w:val="20"/>
                <w:szCs w:val="20"/>
                <w:lang w:eastAsia="en-US"/>
              </w:rPr>
              <w:t>Vida con significado</w:t>
            </w:r>
          </w:p>
        </w:tc>
        <w:tc>
          <w:tcPr>
            <w:tcW w:w="2834" w:type="dxa"/>
            <w:tcBorders>
              <w:top w:val="single" w:sz="4" w:space="0" w:color="auto"/>
            </w:tcBorders>
          </w:tcPr>
          <w:p w14:paraId="5AB63A3C"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*.155 [IC95% = .065, .248]</w:t>
            </w:r>
          </w:p>
        </w:tc>
        <w:tc>
          <w:tcPr>
            <w:tcW w:w="2977" w:type="dxa"/>
            <w:tcBorders>
              <w:top w:val="single" w:sz="4" w:space="0" w:color="auto"/>
            </w:tcBorders>
          </w:tcPr>
          <w:p w14:paraId="1BE5036A"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-.019 [IC95% = -.110, .074]</w:t>
            </w:r>
          </w:p>
        </w:tc>
      </w:tr>
      <w:tr w:rsidR="00F35A7A" w:rsidRPr="00F35A7A" w14:paraId="450FDCB9" w14:textId="77777777" w:rsidTr="00835C90">
        <w:trPr>
          <w:jc w:val="center"/>
        </w:trPr>
        <w:tc>
          <w:tcPr>
            <w:tcW w:w="2264" w:type="dxa"/>
            <w:tcBorders>
              <w:bottom w:val="single" w:sz="4" w:space="0" w:color="auto"/>
            </w:tcBorders>
          </w:tcPr>
          <w:p w14:paraId="6B489F3D" w14:textId="77777777" w:rsidR="00F35A7A" w:rsidRPr="00F35A7A" w:rsidRDefault="00F35A7A" w:rsidP="00835C90">
            <w:pPr>
              <w:autoSpaceDE w:val="0"/>
              <w:autoSpaceDN w:val="0"/>
              <w:adjustRightInd w:val="0"/>
              <w:ind w:right="28"/>
              <w:jc w:val="right"/>
              <w:rPr>
                <w:rFonts w:eastAsiaTheme="minorHAnsi"/>
                <w:color w:val="000000" w:themeColor="text1"/>
                <w:sz w:val="20"/>
                <w:szCs w:val="20"/>
                <w:lang w:eastAsia="en-US"/>
              </w:rPr>
            </w:pPr>
            <w:r w:rsidRPr="00F35A7A">
              <w:rPr>
                <w:rFonts w:eastAsiaTheme="minorHAnsi"/>
                <w:color w:val="000000" w:themeColor="text1"/>
                <w:sz w:val="20"/>
                <w:szCs w:val="20"/>
                <w:lang w:eastAsia="en-US"/>
              </w:rPr>
              <w:t>Vida de placer</w:t>
            </w:r>
          </w:p>
        </w:tc>
        <w:tc>
          <w:tcPr>
            <w:tcW w:w="2834" w:type="dxa"/>
            <w:tcBorders>
              <w:bottom w:val="single" w:sz="4" w:space="0" w:color="auto"/>
            </w:tcBorders>
          </w:tcPr>
          <w:p w14:paraId="5C11E989"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*.275 [IC95% =.174, .375]</w:t>
            </w:r>
          </w:p>
        </w:tc>
        <w:tc>
          <w:tcPr>
            <w:tcW w:w="2977" w:type="dxa"/>
            <w:tcBorders>
              <w:bottom w:val="single" w:sz="4" w:space="0" w:color="auto"/>
            </w:tcBorders>
          </w:tcPr>
          <w:p w14:paraId="363908B5" w14:textId="77777777" w:rsidR="00F35A7A" w:rsidRPr="00F35A7A" w:rsidRDefault="00F35A7A" w:rsidP="00835C90">
            <w:pPr>
              <w:autoSpaceDE w:val="0"/>
              <w:autoSpaceDN w:val="0"/>
              <w:adjustRightInd w:val="0"/>
              <w:ind w:right="-198"/>
              <w:jc w:val="center"/>
              <w:rPr>
                <w:rFonts w:eastAsiaTheme="minorHAnsi"/>
                <w:color w:val="000000" w:themeColor="text1"/>
                <w:sz w:val="20"/>
                <w:szCs w:val="20"/>
                <w:lang w:eastAsia="en-US"/>
              </w:rPr>
            </w:pPr>
            <w:r w:rsidRPr="00F35A7A">
              <w:rPr>
                <w:rFonts w:eastAsiaTheme="minorHAnsi"/>
                <w:color w:val="000000" w:themeColor="text1"/>
                <w:sz w:val="20"/>
                <w:szCs w:val="20"/>
                <w:lang w:eastAsia="en-US"/>
              </w:rPr>
              <w:t>*.087 [IC95% =.002, .174]</w:t>
            </w:r>
          </w:p>
        </w:tc>
      </w:tr>
    </w:tbl>
    <w:p w14:paraId="0C937E4D" w14:textId="77777777" w:rsidR="00F35A7A" w:rsidRPr="00F35A7A" w:rsidRDefault="00F35A7A" w:rsidP="00F35A7A">
      <w:pPr>
        <w:autoSpaceDE w:val="0"/>
        <w:autoSpaceDN w:val="0"/>
        <w:adjustRightInd w:val="0"/>
        <w:ind w:right="-198" w:firstLine="708"/>
        <w:jc w:val="both"/>
        <w:rPr>
          <w:rFonts w:eastAsiaTheme="minorHAnsi"/>
          <w:i/>
          <w:iCs/>
          <w:color w:val="000000" w:themeColor="text1"/>
          <w:sz w:val="18"/>
          <w:szCs w:val="18"/>
          <w:lang w:eastAsia="en-US"/>
        </w:rPr>
      </w:pPr>
      <w:r w:rsidRPr="00F35A7A">
        <w:rPr>
          <w:rFonts w:eastAsiaTheme="minorHAnsi"/>
          <w:color w:val="000000" w:themeColor="text1"/>
          <w:sz w:val="18"/>
          <w:szCs w:val="18"/>
          <w:lang w:eastAsia="en-US"/>
        </w:rPr>
        <w:t>Nota:</w:t>
      </w:r>
      <w:r w:rsidRPr="00F35A7A">
        <w:rPr>
          <w:rFonts w:eastAsiaTheme="minorHAnsi"/>
          <w:i/>
          <w:iCs/>
          <w:color w:val="000000" w:themeColor="text1"/>
          <w:sz w:val="18"/>
          <w:szCs w:val="18"/>
          <w:lang w:eastAsia="en-US"/>
        </w:rPr>
        <w:t xml:space="preserve"> * p .001</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7639DEF3" w14:textId="77777777" w:rsidR="00F35A7A" w:rsidRPr="00F35A7A" w:rsidRDefault="00F35A7A" w:rsidP="00F35A7A">
      <w:pPr>
        <w:pStyle w:val="Prrafocomn"/>
        <w:rPr>
          <w:lang w:val="es-MX" w:eastAsia="es-ES_tradnl"/>
        </w:rPr>
      </w:pPr>
      <w:r w:rsidRPr="00F35A7A">
        <w:rPr>
          <w:lang w:val="es-MX" w:eastAsia="es-ES_tradnl"/>
        </w:rPr>
        <w:t>Los resultados presentados en este estudio confirman la necesidad de continuar evaluando la OTHS en distintas culturas, debido a las evidencias que muestran que el ajuste del modelo de medida de la escala varía debido a las diferencias culturales (</w:t>
      </w:r>
      <w:r w:rsidRPr="00B3549E">
        <w:rPr>
          <w:i/>
          <w:iCs/>
          <w:lang w:val="es-MX" w:eastAsia="es-ES_tradnl"/>
        </w:rPr>
        <w:t>cf</w:t>
      </w:r>
      <w:r w:rsidRPr="00F35A7A">
        <w:rPr>
          <w:lang w:val="es-MX" w:eastAsia="es-ES_tradnl"/>
        </w:rPr>
        <w:t>. Alper-Köse, 2014; Anić &amp; Tončić, 2013; Schueller &amp; Seligman, 2010; Ruch et al., 2010). Es importante señalar que ha habido un considerable interés en examinar el comportamiento de esta escala en muestras de América del Norte, Europa y Asia. Sin embargo, se ha explorado poco, cómo se comporta la OTHS en muestras latinas. Por ejemplo, en el estudio de Gaston-Breton et al. (2021), solo se incorporó un país de Sudamérica de los 12 seleccionados para la investigación. De manera similar, Park et al. (2009) empleó la OTHS para evaluar muestras de 27 países, pero sólo incluyó dos grupos de latinos con tamaño no representativo (brasileños [n = 22] y argentinos [n = 27]). Por último, Schueller y Seligman (2010) recopilaron datos con esta escala en 112 países; sin embargo, más del 90% de las naciones seleccionadas eran de habla inglesa. La representación de otros países se limitaba a muestras con una proporción menor al 1%, lo que sugiere la posibilidad de que pudiera haber datos de muestras latinas, aunque los autores no lo especifican.</w:t>
      </w:r>
    </w:p>
    <w:p w14:paraId="252AFC53" w14:textId="77777777" w:rsidR="00F35A7A" w:rsidRPr="00F35A7A" w:rsidRDefault="00F35A7A" w:rsidP="00F35A7A">
      <w:pPr>
        <w:pStyle w:val="Prrafocomn"/>
        <w:rPr>
          <w:lang w:val="es-MX" w:eastAsia="es-ES_tradnl"/>
        </w:rPr>
      </w:pPr>
      <w:r w:rsidRPr="00F35A7A">
        <w:rPr>
          <w:lang w:val="es-MX" w:eastAsia="es-ES_tradnl"/>
        </w:rPr>
        <w:t xml:space="preserve">Nuestro estudio representa un esfuerzo por presentar diferentes evidencias de validez, y las propiedades psicométricas, de la OTHS en una muestra latinoamericana representada por mexicanos; lo que permite discutir las diferencias con la propuesta original de la escala (Peterson </w:t>
      </w:r>
      <w:r w:rsidRPr="00F35A7A">
        <w:rPr>
          <w:lang w:val="es-MX" w:eastAsia="es-ES_tradnl"/>
        </w:rPr>
        <w:lastRenderedPageBreak/>
        <w:t>et al., 2005); y con otras culturas donde se ha probado el modelo de medida (Alper-Köse, 2014; Anić &amp; Tončić, 2013; Avsec &amp; Kavčič, 2012; Chen, 2010; Kumano, 2011; Kryvenko &amp; Petryk, 2019; Martin-Krumm et al., 2014; Ruch et al., 2010; San Martín et al., 2010; Szondy &amp; Martos, 2014).</w:t>
      </w:r>
    </w:p>
    <w:p w14:paraId="7D1ED34A" w14:textId="7847D758" w:rsidR="00F35A7A" w:rsidRPr="00F35A7A" w:rsidRDefault="00F35A7A" w:rsidP="00F35A7A">
      <w:pPr>
        <w:pStyle w:val="Prrafocomn"/>
        <w:rPr>
          <w:lang w:val="es-MX" w:eastAsia="es-ES_tradnl"/>
        </w:rPr>
      </w:pPr>
      <w:r w:rsidRPr="00F35A7A">
        <w:rPr>
          <w:lang w:val="es-MX" w:eastAsia="es-ES_tradnl"/>
        </w:rPr>
        <w:t> De manera inicial, es crucial reconocer las consideraciones relacionadas con la validez de contenido, dado que el concepto de felicidad varía entre culturas. Esta variabilidad podría impactar en las respuestas de escalas diseñadas para culturas distintas (Oishi et al., 2013). Esta disparidad se refleja en las evaluaciones de los jueces, quienes otorgan puntuaciones de "casi perfecta" en coherencia y relevancia de los reactivos para medir el constructo. Sin embargo, se observan calificaciones de "considerable" y "moderado" para los dominios de “suficiencia” y “claridad”, indicando que los reactivos abordan algunos aspectos de las dimensiones del constructo, pero no en su totalidad (suficiencia) y algunos reactivos requieren mejorar la redacción de acuerdo con la idiosincracia del mexicano (claridad). Por ejemplo, investigaciones con redes semánticas revelan que palabras como "alegría", "familia", "amor", "satisfacción", "gozo", "tranquilidad" y "paz" están significativamente asociadas con la concepción de felicidad en mexicanos (Enríquez et al., 2018). Estos hallazgos concuerdan con la investigación de Flores (2023), quien señala que los nodos principales para representar la felicidad en adultos mexicanos son "amor", "familia" y "alegría". Al analizar la red semántica, se establecen agrupaciones que representan relaciones interpersonales (</w:t>
      </w:r>
      <w:r w:rsidR="003232E9" w:rsidRPr="00F35A7A">
        <w:rPr>
          <w:lang w:val="es-MX" w:eastAsia="es-ES_tradnl"/>
        </w:rPr>
        <w:t xml:space="preserve">familia, </w:t>
      </w:r>
      <w:r w:rsidR="00BB2853" w:rsidRPr="00F35A7A">
        <w:rPr>
          <w:lang w:val="es-MX" w:eastAsia="es-ES_tradnl"/>
        </w:rPr>
        <w:t>trabajo, amigos, mascotas</w:t>
      </w:r>
      <w:r w:rsidRPr="00F35A7A">
        <w:rPr>
          <w:lang w:val="es-MX" w:eastAsia="es-ES_tradnl"/>
        </w:rPr>
        <w:t>), recursos (salud, dinero, economía) y actividades (música, comidas, reuniones), observándose que más de la mitad de los nodos fueron actividades fuera de casa que implican interacción social y afecto. Así, se ratifica el posicionamiento de Rojas (2018) quien indica que, para los latinoamericanos, la felicidad se centra en emociones, sentimientos y un fuerte énfasis en las relaciones sociales.</w:t>
      </w:r>
    </w:p>
    <w:p w14:paraId="229CC79A" w14:textId="77777777" w:rsidR="00F35A7A" w:rsidRPr="00F35A7A" w:rsidRDefault="00F35A7A" w:rsidP="00F35A7A">
      <w:pPr>
        <w:pStyle w:val="Prrafocomn"/>
        <w:rPr>
          <w:lang w:val="es-MX" w:eastAsia="es-ES_tradnl"/>
        </w:rPr>
      </w:pPr>
      <w:r w:rsidRPr="00F35A7A">
        <w:rPr>
          <w:lang w:val="es-MX" w:eastAsia="es-ES_tradnl"/>
        </w:rPr>
        <w:t>Al revisar los reactivos sugeridos por Peterson et al. (2005), se observa la ausencia de contenido que haga referencia a emociones positivas (excepto el reactivo 8), y a las relaciones interpersonales. Esta carencia podría explicar la calificación "considerable" en “suficiencia” por parte de los jueces, al no incluir elementos culturalmente relevantes para la población. En cuanto a la valoración "moderado" del dominio de “claridad”, diversas investigaciones han tenido que trabajar en la redacción y semántica de los ítems para lograr un significado equivalente al reactivo original. Por ejemplo, Martin-Krumm et al. (2014) y Alper-Köse (2014) enfrentaron desafíos similares en la traducción de ítems a otros idiomas y culturas.</w:t>
      </w:r>
    </w:p>
    <w:p w14:paraId="73A23363" w14:textId="488D51D9" w:rsidR="00F35A7A" w:rsidRPr="00F35A7A" w:rsidRDefault="00F35A7A" w:rsidP="00F35A7A">
      <w:pPr>
        <w:pStyle w:val="Prrafocomn"/>
        <w:rPr>
          <w:lang w:val="es-MX" w:eastAsia="es-ES_tradnl"/>
        </w:rPr>
      </w:pPr>
      <w:r w:rsidRPr="00F35A7A">
        <w:rPr>
          <w:lang w:val="es-MX" w:eastAsia="es-ES_tradnl"/>
        </w:rPr>
        <w:lastRenderedPageBreak/>
        <w:t xml:space="preserve">Esta necesidad de adaptación se refleja en el presente estudio, donde se destaca la importancia de reflexionar sobre el sentido de algunas expresiones para </w:t>
      </w:r>
      <w:r w:rsidRPr="00BA6D19">
        <w:rPr>
          <w:lang w:val="es-MX" w:eastAsia="es-ES_tradnl"/>
        </w:rPr>
        <w:t>la muestra</w:t>
      </w:r>
      <w:r w:rsidR="00B3549E">
        <w:rPr>
          <w:lang w:val="es-MX" w:eastAsia="es-ES_tradnl"/>
        </w:rPr>
        <w:t xml:space="preserve"> de</w:t>
      </w:r>
      <w:r w:rsidRPr="00BA6D19">
        <w:rPr>
          <w:lang w:val="es-MX" w:eastAsia="es-ES_tradnl"/>
        </w:rPr>
        <w:t xml:space="preserve"> participantes</w:t>
      </w:r>
      <w:r w:rsidRPr="00F35A7A">
        <w:rPr>
          <w:lang w:val="es-MX" w:eastAsia="es-ES_tradnl"/>
        </w:rPr>
        <w:t>. Por ejemplo, la redacción del ítem 15 podría ser más adecuad</w:t>
      </w:r>
      <w:r w:rsidR="00B3549E">
        <w:rPr>
          <w:lang w:val="es-MX" w:eastAsia="es-ES_tradnl"/>
        </w:rPr>
        <w:t>a</w:t>
      </w:r>
      <w:r w:rsidRPr="00F35A7A">
        <w:rPr>
          <w:lang w:val="es-MX" w:eastAsia="es-ES_tradnl"/>
        </w:rPr>
        <w:t xml:space="preserve"> para la cultura mexicana como "</w:t>
      </w:r>
      <w:r w:rsidRPr="00F35A7A">
        <w:rPr>
          <w:i/>
          <w:iCs/>
          <w:lang w:val="es-MX" w:eastAsia="es-ES_tradnl"/>
        </w:rPr>
        <w:t>La vida es corta, hay que disfrutarla</w:t>
      </w:r>
      <w:r w:rsidRPr="00F35A7A">
        <w:rPr>
          <w:lang w:val="es-MX" w:eastAsia="es-ES_tradnl"/>
        </w:rPr>
        <w:t xml:space="preserve">". Sin embargo, se debe considerar la posibilidad de un efecto de </w:t>
      </w:r>
      <w:r w:rsidRPr="00B3549E">
        <w:rPr>
          <w:i/>
          <w:iCs/>
          <w:lang w:val="es-MX" w:eastAsia="es-ES_tradnl"/>
        </w:rPr>
        <w:t xml:space="preserve">wording </w:t>
      </w:r>
      <w:r w:rsidRPr="00F35A7A">
        <w:rPr>
          <w:lang w:val="es-MX" w:eastAsia="es-ES_tradnl"/>
        </w:rPr>
        <w:t>(Byrne, 2009) con el reactivo 3. También se sugiere cambiar el reactivo 8 por "</w:t>
      </w:r>
      <w:r w:rsidRPr="00F35A7A">
        <w:rPr>
          <w:i/>
          <w:iCs/>
          <w:lang w:val="es-MX" w:eastAsia="es-ES_tradnl"/>
        </w:rPr>
        <w:t>Me esfuerzo por sentirme extremadamente alegre</w:t>
      </w:r>
      <w:r w:rsidRPr="00F35A7A">
        <w:rPr>
          <w:lang w:val="es-MX" w:eastAsia="es-ES_tradnl"/>
        </w:rPr>
        <w:t>", lo cual estaría más alineado con el nodo semántico de la felicidad según los resultados de Enríquez et al. (2018) y Flores (2023). En conclusión, los resultados para la población mexicana indican que la OTHS requiere un refinamiento adicional para mejorar la validez de contenido.</w:t>
      </w:r>
    </w:p>
    <w:p w14:paraId="2B48BFB7" w14:textId="2C98EDA6" w:rsidR="00F35A7A" w:rsidRPr="00F35A7A" w:rsidRDefault="00F35A7A" w:rsidP="00F35A7A">
      <w:pPr>
        <w:pStyle w:val="Prrafocomn"/>
        <w:rPr>
          <w:lang w:val="es-MX" w:eastAsia="es-ES_tradnl"/>
        </w:rPr>
      </w:pPr>
      <w:r w:rsidRPr="00F35A7A">
        <w:rPr>
          <w:lang w:val="es-MX" w:eastAsia="es-ES_tradnl"/>
        </w:rPr>
        <w:t>Parte de las disparidades culturales y de la variabilidad en las respuestas a los ítems podrían atribuirse al significado de la felicidad en cada grupo (Oishi et al., 2013); así como a la validez de contenido, la cual ejerce una influencia directa sobre la validez de constructo (Pedrosa et al., 2013). El modelo factorial estimado para la muestra de mexicanos en este estudio fue bidimensional, con los factores I) vida con significado, representado por la orientación eudaimónica (Huta &amp; Ryan, 2010; Tov, 2018), y II) vida de placer, referenciado por la orientación hedónica (Huta, 2016; Huta, 2018; Taquet et al., 2016).</w:t>
      </w:r>
      <w:r w:rsidR="007250F8">
        <w:rPr>
          <w:lang w:val="es-MX"/>
        </w:rPr>
        <w:t xml:space="preserve"> Este resultado es diferente</w:t>
      </w:r>
      <w:r w:rsidRPr="00F35A7A">
        <w:rPr>
          <w:lang w:val="es-MX" w:eastAsia="es-ES_tradnl"/>
        </w:rPr>
        <w:t xml:space="preserve"> a la propuesta de Peterson et al. (2005) de una estructura factorial tripartita, nuestros resultados no revelan una representación clara de la dimensión "vida con compromiso" que configura el tercer factor de la OTHS. Esto precipitó una solución factorial de dos dominios, coherente con estudios en muestras croatas (Anić &amp; Tončić, 2013) y la versión abreviada para españoles (Lorente et al., 2019). No obstante, existe discrepancia con otros grupos culturales, donde la OTHS se representa mediante tres factores, como en norteamericanos (Peterson et al., 2005), alemanes (Ruch et al., 2010; Ruch et al., 2014), hongkoneses (Chan, 2009), húngaros (Szondy &amp; Martos, 2014), japoneses (Kumano, 2011), rusos (Alper-Köse, 2014), eslovenos (Avsec &amp; Kavčič 2012), taiwaneses (Chen et al., 2010), ucranianos (Kryvenko &amp; Petryk, 2019) y mexicanos (Duron et al., 2016), siendo este último, </w:t>
      </w:r>
      <w:r w:rsidR="00B3549E">
        <w:rPr>
          <w:lang w:val="es-MX" w:eastAsia="es-ES_tradnl"/>
        </w:rPr>
        <w:t xml:space="preserve">un hallazgo </w:t>
      </w:r>
      <w:r w:rsidRPr="00F35A7A">
        <w:rPr>
          <w:lang w:val="es-MX" w:eastAsia="es-ES_tradnl"/>
        </w:rPr>
        <w:t>inconsistente con los resultados aquí expuestos.</w:t>
      </w:r>
    </w:p>
    <w:p w14:paraId="20EF90AC" w14:textId="4D2C3E1B" w:rsidR="00F35A7A" w:rsidRPr="00F35A7A" w:rsidRDefault="00F35A7A" w:rsidP="00F35A7A">
      <w:pPr>
        <w:pStyle w:val="Prrafocomn"/>
        <w:rPr>
          <w:lang w:val="es-MX" w:eastAsia="es-ES_tradnl"/>
        </w:rPr>
      </w:pPr>
      <w:r w:rsidRPr="00F35A7A">
        <w:rPr>
          <w:lang w:val="es-MX" w:eastAsia="es-ES_tradnl"/>
        </w:rPr>
        <w:t xml:space="preserve">Se han planteado críticas respecto a la inclusión de la "vida con compromiso" como una vía hacia la felicidad, ya que algunos autores discrepan al respecto. Gaston-Breton et al. (2021) argumentan que el concepto de </w:t>
      </w:r>
      <w:r w:rsidRPr="00B3549E">
        <w:rPr>
          <w:i/>
          <w:iCs/>
          <w:lang w:val="es-MX" w:eastAsia="es-ES_tradnl"/>
        </w:rPr>
        <w:t>flujo</w:t>
      </w:r>
      <w:r w:rsidRPr="00F35A7A">
        <w:rPr>
          <w:lang w:val="es-MX" w:eastAsia="es-ES_tradnl"/>
        </w:rPr>
        <w:t xml:space="preserve"> es teórica y empíricamente diferente de la hedonia y la eudaimonia, contribuyendo menos a la felicidad. Además, Anić y Tončić (2013) sostienen que el estado de flujo es difícil de lograr en la vida cotidiana debido a las condiciones que lo precipitan, </w:t>
      </w:r>
      <w:r w:rsidRPr="00F35A7A">
        <w:rPr>
          <w:lang w:val="es-MX" w:eastAsia="es-ES_tradnl"/>
        </w:rPr>
        <w:lastRenderedPageBreak/>
        <w:t>ya que solo ocurre cuando las habilidades percibidas coinciden con el desafío percibido de la tarea que se está realizando (</w:t>
      </w:r>
      <w:r w:rsidRPr="00F35A7A">
        <w:rPr>
          <w:i/>
          <w:iCs/>
          <w:lang w:val="es-MX" w:eastAsia="es-ES_tradnl"/>
        </w:rPr>
        <w:t>cf</w:t>
      </w:r>
      <w:r w:rsidRPr="00F35A7A">
        <w:rPr>
          <w:lang w:val="es-MX" w:eastAsia="es-ES_tradnl"/>
        </w:rPr>
        <w:t>. Csikszentmihalyi, 1990), así, no se puede esperar que esas condiciones se cumplan la mayor parte del tiempo. Finalmente, Lorente et al. (2019) añaden que existe un problema con esta dimensión, ya que sus reactivos se expresan en términos de experiencias y comportamientos en lugar de la categoría analítica de orientación.</w:t>
      </w:r>
    </w:p>
    <w:p w14:paraId="218DCB03" w14:textId="77777777" w:rsidR="00F35A7A" w:rsidRPr="00F35A7A" w:rsidRDefault="00F35A7A" w:rsidP="00F35A7A">
      <w:pPr>
        <w:pStyle w:val="Prrafocomn"/>
        <w:rPr>
          <w:lang w:val="es-MX" w:eastAsia="es-ES_tradnl"/>
        </w:rPr>
      </w:pPr>
      <w:r w:rsidRPr="00F35A7A">
        <w:rPr>
          <w:lang w:val="es-MX" w:eastAsia="es-ES_tradnl"/>
        </w:rPr>
        <w:t>Estas consideraciones teórico-prácticas sobre la “vida de compromiso” basada en el flujo (Gaston-Breton et al., 2021; Anić &amp; Tončić, 2013) cuestionan su inclusión como una orientación hacia la felicidad. Esto puede explicar, parcialmente en nuestro estudio, la eliminación de los ítems 6 y 10, debido a sus bajos valores en el IHc (&lt;0.30), evidenciando una correlación baja de estos reactivos con la puntuación total de la escala; lo que podría indicar que no necesariamente estos reactivos orientados hacia las experiencias de flujo están midiendo algún tipo de orientación hacia la felicidad.</w:t>
      </w:r>
    </w:p>
    <w:p w14:paraId="57B1F23A" w14:textId="55E3E5EF" w:rsidR="00F35A7A" w:rsidRPr="00F35A7A" w:rsidRDefault="00F35A7A" w:rsidP="00F35A7A">
      <w:pPr>
        <w:pStyle w:val="Prrafocomn"/>
        <w:rPr>
          <w:lang w:val="es-MX" w:eastAsia="es-ES_tradnl"/>
        </w:rPr>
      </w:pPr>
      <w:r w:rsidRPr="00F35A7A">
        <w:rPr>
          <w:lang w:val="es-MX" w:eastAsia="es-ES_tradnl"/>
        </w:rPr>
        <w:t>Henderson et al. (2013) sugiere</w:t>
      </w:r>
      <w:r w:rsidR="00B3549E">
        <w:rPr>
          <w:lang w:val="es-MX" w:eastAsia="es-ES_tradnl"/>
        </w:rPr>
        <w:t>n</w:t>
      </w:r>
      <w:r w:rsidRPr="00F35A7A">
        <w:rPr>
          <w:lang w:val="es-MX" w:eastAsia="es-ES_tradnl"/>
        </w:rPr>
        <w:t xml:space="preserve"> que los reactivos de "vida con compromiso" podrían estar midiendo aspectos propios de la eudaimonía, dificultando así la distinción clara entre este factor y la "vida con significado". Esto explicaría las cargas factoriales cruzadas de los ítems 7 y 4, originalmente destinados a valorar la "vida con compromiso", pero que en nuestro estudio cargaron en la "vida con significado". Además, los ítems 9 y 1, inicialmente creados para evaluar "vida con compromiso", cargaron en "vida de placer". Este resultado, junto con el posicionamiento de Henderson et al. (2013), apoyan la postura de Waterman (1993) de que el flujo se puede experimentar cuando se realizan actividades hedónicas o eudaimónicas, por tanto, los reactivos del factor de “vida con compromiso”, para la muestra de mexicanos, quedar</w:t>
      </w:r>
      <w:r w:rsidR="00B3549E">
        <w:rPr>
          <w:lang w:val="es-MX" w:eastAsia="es-ES_tradnl"/>
        </w:rPr>
        <w:t>í</w:t>
      </w:r>
      <w:r w:rsidRPr="00F35A7A">
        <w:rPr>
          <w:lang w:val="es-MX" w:eastAsia="es-ES_tradnl"/>
        </w:rPr>
        <w:t>an organizados en las dos orientaciones de la felicidad, “vida con significado” y “vida de placer”, diluyendo la estructura factorial de la tercera dimensión denomianda “vida con compromiso”</w:t>
      </w:r>
    </w:p>
    <w:p w14:paraId="60A6877D" w14:textId="77777777" w:rsidR="00F35A7A" w:rsidRPr="00F35A7A" w:rsidRDefault="00F35A7A" w:rsidP="00F35A7A">
      <w:pPr>
        <w:pStyle w:val="Prrafocomn"/>
        <w:rPr>
          <w:lang w:val="es-MX" w:eastAsia="es-ES_tradnl"/>
        </w:rPr>
      </w:pPr>
      <w:r w:rsidRPr="00F35A7A">
        <w:rPr>
          <w:lang w:val="es-MX" w:eastAsia="es-ES_tradnl"/>
        </w:rPr>
        <w:t>Es relevante destacar que en culturas que adoptan un modelo de tres dimensiones, la "vida con compromiso", al compararse con las otras dos orientaciones, exhibe un índice de consistencia interna (</w:t>
      </w:r>
      <w:r w:rsidRPr="00F35A7A">
        <w:rPr>
          <w:i/>
          <w:iCs/>
          <w:lang w:val="es-MX" w:eastAsia="es-ES_tradnl"/>
        </w:rPr>
        <w:t>α</w:t>
      </w:r>
      <w:r w:rsidRPr="00F35A7A">
        <w:rPr>
          <w:lang w:val="es-MX" w:eastAsia="es-ES_tradnl"/>
        </w:rPr>
        <w:t xml:space="preserve">) inferior a 0.70, considerado inaceptable por Bland y Altman (1997). Por ejemplo, investigaciones en muestras de alemanes, suizos, austriacos (Ruch et al., 2010, Ruch et al., 2014), chinos (Chen, 2010), franceses (Martin-Krumm et al., 2014), húngaros (Szondy &amp; Martos, 2014), turcos (Alper-Köse, 2014), japoneses (Kumano, 2011), taiwaneses (Chen et al., 2010) y ucranianos (Kryvenko &amp; Petryk, 2019) revelan valores de </w:t>
      </w:r>
      <w:r w:rsidRPr="00F35A7A">
        <w:rPr>
          <w:i/>
          <w:iCs/>
          <w:lang w:val="es-MX" w:eastAsia="es-ES_tradnl"/>
        </w:rPr>
        <w:t>α</w:t>
      </w:r>
      <w:r w:rsidRPr="00F35A7A">
        <w:rPr>
          <w:lang w:val="es-MX" w:eastAsia="es-ES_tradnl"/>
        </w:rPr>
        <w:t xml:space="preserve"> en el rango de 0.60 a 0.66. Incluso, en el estudio de Durón et al. (2016) con mexicanos, esta dimensión presenta un α de 0.61. Estos resultados </w:t>
      </w:r>
      <w:r w:rsidRPr="00F35A7A">
        <w:rPr>
          <w:lang w:val="es-MX" w:eastAsia="es-ES_tradnl"/>
        </w:rPr>
        <w:lastRenderedPageBreak/>
        <w:t>sugieren posibles inconvenientes en la medición de esta dimensión, respaldando la propuesta de una solución factorial de dos dimensiones como la que se propone en el presente estudio. Esta solución implica que algunos ítems que miden el flujo o la "vida con compromiso" contribuyen a la varianza de las orientaciones hedónicas y eudaimónicas, respaldando esta idea según lo sugerido por Henderson et al. (2013) y Waterman (1993) desde el razonamiento teórico, y desde la justificación estadística según los resultados obtenidos en el AFE y el AP.</w:t>
      </w:r>
    </w:p>
    <w:p w14:paraId="6FA8C03E" w14:textId="23318C1D" w:rsidR="00F35A7A" w:rsidRPr="00F35A7A" w:rsidRDefault="00F35A7A" w:rsidP="00F35A7A">
      <w:pPr>
        <w:pStyle w:val="Prrafocomn"/>
        <w:rPr>
          <w:lang w:val="es-MX" w:eastAsia="es-ES_tradnl"/>
        </w:rPr>
      </w:pPr>
      <w:r w:rsidRPr="00F35A7A">
        <w:rPr>
          <w:lang w:val="es-MX" w:eastAsia="es-ES_tradnl"/>
        </w:rPr>
        <w:t xml:space="preserve">Así, la OTHS podría operar funcionalmente, para evaluar muestras de mexicanos, </w:t>
      </w:r>
      <w:r w:rsidR="007250F8">
        <w:rPr>
          <w:lang w:val="es-MX"/>
        </w:rPr>
        <w:t xml:space="preserve">con </w:t>
      </w:r>
      <w:r w:rsidRPr="00F35A7A">
        <w:rPr>
          <w:lang w:val="es-MX" w:eastAsia="es-ES_tradnl"/>
        </w:rPr>
        <w:t>dos factores diferenciales: "vida con significado" y "vida de placer", los cuales, en conjunto, explican el 48.29% de la varianza total. De acuerdo con el modelo sugerido por el AFE, los índices de consistencia interna y confiabilidad compuesta, tanto a nivel global como por factor, son satisfactorios (</w:t>
      </w:r>
      <w:r w:rsidRPr="00F35A7A">
        <w:rPr>
          <w:i/>
          <w:iCs/>
          <w:lang w:val="es-MX" w:eastAsia="es-ES_tradnl"/>
        </w:rPr>
        <w:t>α, ω</w:t>
      </w:r>
      <w:r w:rsidRPr="00F35A7A">
        <w:rPr>
          <w:lang w:val="es-MX" w:eastAsia="es-ES_tradnl"/>
        </w:rPr>
        <w:t xml:space="preserve"> &gt; 0.80), conforme a los estándares de Bland y Altman (1997) y Viladrich et al. (2017). De manera notable, los valores de </w:t>
      </w:r>
      <w:r w:rsidRPr="00F35A7A">
        <w:rPr>
          <w:i/>
          <w:iCs/>
          <w:lang w:val="es-MX" w:eastAsia="es-ES_tradnl"/>
        </w:rPr>
        <w:t>α</w:t>
      </w:r>
      <w:r w:rsidRPr="00F35A7A">
        <w:rPr>
          <w:lang w:val="es-MX" w:eastAsia="es-ES_tradnl"/>
        </w:rPr>
        <w:t xml:space="preserve"> y </w:t>
      </w:r>
      <w:r w:rsidRPr="00F35A7A">
        <w:rPr>
          <w:i/>
          <w:iCs/>
          <w:lang w:val="es-MX" w:eastAsia="es-ES_tradnl"/>
        </w:rPr>
        <w:t>ω</w:t>
      </w:r>
      <w:r w:rsidRPr="00F35A7A">
        <w:rPr>
          <w:lang w:val="es-MX" w:eastAsia="es-ES_tradnl"/>
        </w:rPr>
        <w:t xml:space="preserve"> superan los informados por Durón et al. (2016) en una muestra similar, donde se reportaron 0.75 para "vida con significado", 0.79 para "vida de placer" y 0.61 para "vida con compromiso". Así, la estructura factorial bidimensional de la escala podría ser pertinente para la muestra de mexicanos evaluada, dada la varianza explicada y los índices de fiabilidad adecuados. Sin embargo, al presentar una estructura de dos factores y no trifactorial, no es posible realizar comparaciones transculturales con precisión</w:t>
      </w:r>
      <w:r w:rsidR="007250F8">
        <w:rPr>
          <w:lang w:val="es-MX"/>
        </w:rPr>
        <w:t xml:space="preserve"> en aquellas culturas en las cuales la escala original, con sus tres factores, ajusta </w:t>
      </w:r>
      <w:r w:rsidR="00B3549E">
        <w:rPr>
          <w:lang w:val="es-MX"/>
        </w:rPr>
        <w:t>moderadamente</w:t>
      </w:r>
      <w:r w:rsidR="007250F8">
        <w:rPr>
          <w:lang w:val="es-MX"/>
        </w:rPr>
        <w:t xml:space="preserve"> o satisfactoriamente</w:t>
      </w:r>
      <w:r w:rsidRPr="00F35A7A">
        <w:rPr>
          <w:lang w:val="es-MX" w:eastAsia="es-ES_tradnl"/>
        </w:rPr>
        <w:t>.</w:t>
      </w:r>
    </w:p>
    <w:p w14:paraId="37E3F1B3" w14:textId="0A95C876" w:rsidR="00F35A7A" w:rsidRPr="00F35A7A" w:rsidRDefault="00F35A7A" w:rsidP="00F35A7A">
      <w:pPr>
        <w:pStyle w:val="Prrafocomn"/>
        <w:rPr>
          <w:lang w:val="es-MX" w:eastAsia="es-ES_tradnl"/>
        </w:rPr>
      </w:pPr>
      <w:r w:rsidRPr="00F35A7A">
        <w:rPr>
          <w:lang w:val="es-MX" w:eastAsia="es-ES_tradnl"/>
        </w:rPr>
        <w:t xml:space="preserve">En relación con la confirmación del modelo de medida en esta muestra de mexicanos, se observó que agrupar los fenómenos de flujo en "vida con significado" y "vida de placer" ofrece un ajuste superior en el modelo de medida (Modelo I </w:t>
      </w:r>
      <w:r w:rsidRPr="00F35A7A">
        <w:rPr>
          <w:i/>
          <w:iCs/>
          <w:lang w:val="es-MX" w:eastAsia="es-ES_tradnl"/>
        </w:rPr>
        <w:t>versus</w:t>
      </w:r>
      <w:r w:rsidRPr="00F35A7A">
        <w:rPr>
          <w:lang w:val="es-MX" w:eastAsia="es-ES_tradnl"/>
        </w:rPr>
        <w:t xml:space="preserve"> Modelo II) en comparación con la sugerencia de la escala original de Peterson et al. (2005). Sin embargo, mediante el análisis de índices de modificación, se plantea que el ajuste podría mejorarse mediante la correlación de algunos errores de medida de las variables observadas (e8 ↔ e18; e15 ↔ e11; e4 ↔ e7).</w:t>
      </w:r>
    </w:p>
    <w:p w14:paraId="3EBC3E83" w14:textId="671D89FD" w:rsidR="00F35A7A" w:rsidRPr="00F35A7A" w:rsidRDefault="00F35A7A" w:rsidP="00F35A7A">
      <w:pPr>
        <w:pStyle w:val="Prrafocomn"/>
        <w:rPr>
          <w:lang w:val="es-MX" w:eastAsia="es-ES_tradnl"/>
        </w:rPr>
      </w:pPr>
      <w:r w:rsidRPr="00F35A7A">
        <w:rPr>
          <w:lang w:val="es-MX" w:eastAsia="es-ES_tradnl"/>
        </w:rPr>
        <w:t>La reespecificación del modelo es una práctica común en estudios, especialmente debido a diferencias culturales y posibles problemas con ciertos ítems para medir el constructo. A través de la previa justificación te</w:t>
      </w:r>
      <w:r w:rsidR="002D7BD5">
        <w:rPr>
          <w:lang w:val="es-MX" w:eastAsia="es-ES_tradnl"/>
        </w:rPr>
        <w:t>ó</w:t>
      </w:r>
      <w:r w:rsidRPr="00F35A7A">
        <w:rPr>
          <w:lang w:val="es-MX" w:eastAsia="es-ES_tradnl"/>
        </w:rPr>
        <w:t>rica y estad</w:t>
      </w:r>
      <w:r w:rsidR="002D7BD5">
        <w:rPr>
          <w:lang w:val="es-MX" w:eastAsia="es-ES_tradnl"/>
        </w:rPr>
        <w:t>í</w:t>
      </w:r>
      <w:r w:rsidRPr="00F35A7A">
        <w:rPr>
          <w:lang w:val="es-MX" w:eastAsia="es-ES_tradnl"/>
        </w:rPr>
        <w:t xml:space="preserve">stica, se eliminan ítems para mejorar el ajuste del modelo, como se ha observado en algunos estudios (Anić &amp; Tončić, 2013; Chen et al., 2010; Gaston-Breton et al., 2021; Kumano, 2011; Martin-Krumm et al., 2014). También se establecen covarianzas entre los errores de las variables observadas, siguiendo ejemplos de estudios previos con poblaciones turcas (Alper-Köse, 2014) y chinas (Chen, 2010). El mejor ajuste del modelo de medida de la </w:t>
      </w:r>
      <w:r w:rsidRPr="00F35A7A">
        <w:rPr>
          <w:lang w:val="es-MX" w:eastAsia="es-ES_tradnl"/>
        </w:rPr>
        <w:lastRenderedPageBreak/>
        <w:t>escala para los participantes mexicanos se logró con 15 ítems, tres menos que los sugeridos por Peterson et al. (2005), junto con la introducción de tres covarianzas entre los errores de medición (Modelo III). Esto indica la presencia de factores no representados en el modelo, influyendo simultáneamente en las variables observadas. Al igual que en muestras turcas y chinas, la concepción de las orientaciones hacia la felicidad en mexicanos resulta compleja, y la estructura factorial modelada no logra explicar completamente las rutas sugeridas por Peterson et al. (2005).</w:t>
      </w:r>
    </w:p>
    <w:p w14:paraId="56B7034D" w14:textId="2458E6FF" w:rsidR="00F35A7A" w:rsidRPr="00F35A7A" w:rsidRDefault="00F35A7A" w:rsidP="00F35A7A">
      <w:pPr>
        <w:pStyle w:val="Prrafocomn"/>
        <w:rPr>
          <w:lang w:val="es-MX" w:eastAsia="es-ES_tradnl"/>
        </w:rPr>
      </w:pPr>
      <w:r w:rsidRPr="00F35A7A">
        <w:rPr>
          <w:lang w:val="es-MX" w:eastAsia="es-ES_tradnl"/>
        </w:rPr>
        <w:t>Aunque los valores del CFI y TLI del Modelo III no alcanzan valores ≥ 0.95 recomendados por Hu y Bentler (1999), estimaciones ≥ 0.90 podrían considerarse aceptables en muestras grandes (Finch &amp; West, 1997). No obstante, es importante reconocer que, con estos resultados, el modelo de medida no se ajusta completamente a los datos observados. Este patrón se ha observado en diferentes grupos culturales, como chinos, franceses y turcos (Alper-Köse, 2014; Chen, 2010; Chen et al., 2010; Martin-Krumm et al., 2014), donde los valores de CFI oscilan entre 0.90 y 0.94. Aunque estos resultados indican un ajuste razonable, es evidente que son significativamente mejores que los obtenidos para húngaros y eslovenos, cuyos valores se sitúan entre 0.82 y 0.85 (Avsec &amp; Kavčič 2012; Szondy &amp; Martos, 2014). Respecto a los índices de error, el modelo cumple con el valor esperado en SRMR (≤0.08) según Hu y Bentler (1999), pero no en RMSEA (≤ 0.06), presentando una diferencia marginal (Δ</w:t>
      </w:r>
      <w:r w:rsidRPr="00F35A7A">
        <w:rPr>
          <w:vertAlign w:val="subscript"/>
          <w:lang w:val="es-MX" w:eastAsia="es-ES_tradnl"/>
        </w:rPr>
        <w:t>RMSEA</w:t>
      </w:r>
      <w:r w:rsidRPr="00F35A7A">
        <w:rPr>
          <w:lang w:val="es-MX" w:eastAsia="es-ES_tradnl"/>
        </w:rPr>
        <w:t xml:space="preserve"> = 0.016). Este hallazgo sugiere un ajuste razonable del modelo (Browne &amp; Cudeck, 199</w:t>
      </w:r>
      <w:r w:rsidR="00DA23EF">
        <w:rPr>
          <w:lang w:val="es-MX" w:eastAsia="es-ES_tradnl"/>
        </w:rPr>
        <w:t>2</w:t>
      </w:r>
      <w:r w:rsidRPr="00F35A7A">
        <w:rPr>
          <w:lang w:val="es-MX" w:eastAsia="es-ES_tradnl"/>
        </w:rPr>
        <w:t>), aunque es evidente la existencia de cierta discrepancia entre las covarianzas observadas y las predichas por el modelo.</w:t>
      </w:r>
    </w:p>
    <w:p w14:paraId="46068766" w14:textId="4AE68C69" w:rsidR="00F35A7A" w:rsidRPr="00F35A7A" w:rsidRDefault="00F35A7A" w:rsidP="00F35A7A">
      <w:pPr>
        <w:pStyle w:val="Prrafocomn"/>
        <w:rPr>
          <w:lang w:val="es-MX" w:eastAsia="es-ES_tradnl"/>
        </w:rPr>
      </w:pPr>
      <w:r w:rsidRPr="00F35A7A">
        <w:rPr>
          <w:lang w:val="es-MX" w:eastAsia="es-ES_tradnl"/>
        </w:rPr>
        <w:t xml:space="preserve">Es relevante destacar que en lugar de justificar índices de bondad de ajuste menos estrictos que los propuestos por Hu y Bentler (1999), es más significativo reflexionar sobre la contribución de estos datos. Esto podría sugerir que el modelo de dos factores propuesto en este estudio funciona mejor que el modelo original trifactorial de Peterson et al. (2005). Además, proporciona una comprensión más clara del funcionamiento de un modelo de medida más adecuado para los datos en la población mexicana, ofreciendo información valiosa sobre la variabilidad cultural en esta muestra, la cual podría servir como referencia para otros grupos latinos. Asimismo, </w:t>
      </w:r>
      <w:r w:rsidR="00712DFC">
        <w:rPr>
          <w:lang w:val="es-MX"/>
        </w:rPr>
        <w:t>precipita la identificación de</w:t>
      </w:r>
      <w:r w:rsidRPr="00F35A7A">
        <w:rPr>
          <w:lang w:val="es-MX" w:eastAsia="es-ES_tradnl"/>
        </w:rPr>
        <w:t xml:space="preserve"> áreas de oportunidad para continuar refinando la estructura factorial y confirmar modelos de medida más apropiados para la población latina.</w:t>
      </w:r>
    </w:p>
    <w:p w14:paraId="28FC07D2" w14:textId="6633FABE" w:rsidR="00F35A7A" w:rsidRPr="00F35A7A" w:rsidRDefault="00F35A7A" w:rsidP="00712DFC">
      <w:pPr>
        <w:pStyle w:val="Prrafocomn"/>
        <w:rPr>
          <w:lang w:val="es-MX" w:eastAsia="es-ES_tradnl"/>
        </w:rPr>
      </w:pPr>
      <w:r w:rsidRPr="00F35A7A">
        <w:rPr>
          <w:lang w:val="es-MX" w:eastAsia="es-ES_tradnl"/>
        </w:rPr>
        <w:t xml:space="preserve">Los resultados presentados aquí se contraponen con los datos de Duron et al. (2016), quienes informaron valores aceptables en el ajuste del modelo tripartita de la escala en una muestra de mexicanos (BBNNFI = 0.96, CFI = 0.97, IFI = 0.97, RMSEA = 0.035). Aunque nuestros </w:t>
      </w:r>
      <w:r w:rsidRPr="00F35A7A">
        <w:rPr>
          <w:lang w:val="es-MX" w:eastAsia="es-ES_tradnl"/>
        </w:rPr>
        <w:lastRenderedPageBreak/>
        <w:t>resultados son contradictorios, fomentan la necesidad de llevar a cabo estudios de replicación y validación cruzada en otras muestras específicamente mexicanas, así como en grupos latinos en general. Esto justifica la importancia de emplear métodos robustos y presentar diversas evidencias de validez</w:t>
      </w:r>
      <w:r w:rsidR="00712DFC">
        <w:rPr>
          <w:lang w:val="es-MX"/>
        </w:rPr>
        <w:t xml:space="preserve">, como las expuestas en el presente estudio. </w:t>
      </w:r>
      <w:r w:rsidRPr="00F35A7A">
        <w:rPr>
          <w:lang w:val="es-MX" w:eastAsia="es-ES_tradnl"/>
        </w:rPr>
        <w:t>El objetivo es generar nuevas preguntas de investigación que conduzcan a la refinación del modelo de medida y mejoren la comprensión de las orientaciones hacia la felicidad en nuestro contexto cultural. En última instancia, la existencia de resultados contradictorios puede enriquecer el debate científico al suscitar discusiones sobre las posibles razones de las discrepancias y del ajuste del modelo de medida que presenta esta escala.</w:t>
      </w:r>
    </w:p>
    <w:p w14:paraId="67C4C3BA" w14:textId="41BE5127" w:rsidR="00F35A7A" w:rsidRPr="00F35A7A" w:rsidRDefault="00F35A7A" w:rsidP="00F35A7A">
      <w:pPr>
        <w:pStyle w:val="Prrafocomn"/>
        <w:rPr>
          <w:lang w:val="es-MX" w:eastAsia="es-ES_tradnl"/>
        </w:rPr>
      </w:pPr>
      <w:r w:rsidRPr="00F35A7A">
        <w:rPr>
          <w:lang w:val="es-MX" w:eastAsia="es-ES_tradnl"/>
        </w:rPr>
        <w:t>En el Modelo III, los resultados de la confiabilidad compuesta se mantuvieron similares (</w:t>
      </w:r>
      <w:r w:rsidRPr="00F35A7A">
        <w:rPr>
          <w:i/>
          <w:iCs/>
          <w:lang w:val="es-MX" w:eastAsia="es-ES_tradnl"/>
        </w:rPr>
        <w:t>ω</w:t>
      </w:r>
      <w:r w:rsidRPr="00F35A7A">
        <w:rPr>
          <w:vertAlign w:val="subscript"/>
          <w:lang w:val="es-MX" w:eastAsia="es-ES_tradnl"/>
        </w:rPr>
        <w:t xml:space="preserve">significado </w:t>
      </w:r>
      <w:r w:rsidRPr="00F35A7A">
        <w:rPr>
          <w:lang w:val="es-MX" w:eastAsia="es-ES_tradnl"/>
        </w:rPr>
        <w:t xml:space="preserve">= 0.87 y </w:t>
      </w:r>
      <w:r w:rsidRPr="00F35A7A">
        <w:rPr>
          <w:i/>
          <w:iCs/>
          <w:lang w:val="es-MX" w:eastAsia="es-ES_tradnl"/>
        </w:rPr>
        <w:t>ω</w:t>
      </w:r>
      <w:r w:rsidRPr="00F35A7A">
        <w:rPr>
          <w:vertAlign w:val="subscript"/>
          <w:lang w:val="es-MX" w:eastAsia="es-ES_tradnl"/>
        </w:rPr>
        <w:t xml:space="preserve">placer </w:t>
      </w:r>
      <w:r w:rsidRPr="00F35A7A">
        <w:rPr>
          <w:lang w:val="es-MX" w:eastAsia="es-ES_tradnl"/>
        </w:rPr>
        <w:t>= 0.83</w:t>
      </w:r>
      <w:r w:rsidR="003232E9" w:rsidRPr="00F35A7A">
        <w:rPr>
          <w:lang w:val="es-MX" w:eastAsia="es-ES_tradnl"/>
        </w:rPr>
        <w:t>) a</w:t>
      </w:r>
      <w:r w:rsidRPr="00F35A7A">
        <w:rPr>
          <w:lang w:val="es-MX" w:eastAsia="es-ES_tradnl"/>
        </w:rPr>
        <w:t xml:space="preserve"> los obtenidos en la primera muestra</w:t>
      </w:r>
      <w:r w:rsidR="00B3549E">
        <w:rPr>
          <w:lang w:val="es-MX" w:eastAsia="es-ES_tradnl"/>
        </w:rPr>
        <w:t xml:space="preserve"> </w:t>
      </w:r>
      <w:r w:rsidR="00B3549E" w:rsidRPr="00F35A7A">
        <w:rPr>
          <w:lang w:val="es-MX" w:eastAsia="es-ES_tradnl"/>
        </w:rPr>
        <w:t>(</w:t>
      </w:r>
      <w:r w:rsidR="00B3549E" w:rsidRPr="00F35A7A">
        <w:rPr>
          <w:i/>
          <w:iCs/>
          <w:lang w:val="es-MX" w:eastAsia="es-ES_tradnl"/>
        </w:rPr>
        <w:t>ω</w:t>
      </w:r>
      <w:r w:rsidR="00B3549E" w:rsidRPr="00F35A7A">
        <w:rPr>
          <w:vertAlign w:val="subscript"/>
          <w:lang w:val="es-MX" w:eastAsia="es-ES_tradnl"/>
        </w:rPr>
        <w:t xml:space="preserve">significado </w:t>
      </w:r>
      <w:r w:rsidR="00B3549E" w:rsidRPr="00F35A7A">
        <w:rPr>
          <w:lang w:val="es-MX" w:eastAsia="es-ES_tradnl"/>
        </w:rPr>
        <w:t xml:space="preserve">= 0.88 y </w:t>
      </w:r>
      <w:r w:rsidR="00B3549E" w:rsidRPr="00F35A7A">
        <w:rPr>
          <w:i/>
          <w:iCs/>
          <w:lang w:val="es-MX" w:eastAsia="es-ES_tradnl"/>
        </w:rPr>
        <w:t>ω</w:t>
      </w:r>
      <w:r w:rsidR="00B3549E" w:rsidRPr="00F35A7A">
        <w:rPr>
          <w:vertAlign w:val="subscript"/>
          <w:lang w:val="es-MX" w:eastAsia="es-ES_tradnl"/>
        </w:rPr>
        <w:t xml:space="preserve">placer </w:t>
      </w:r>
      <w:r w:rsidR="00B3549E" w:rsidRPr="00F35A7A">
        <w:rPr>
          <w:lang w:val="es-MX" w:eastAsia="es-ES_tradnl"/>
        </w:rPr>
        <w:t>= 0.83</w:t>
      </w:r>
      <w:r w:rsidR="00B3549E">
        <w:rPr>
          <w:lang w:val="es-MX"/>
        </w:rPr>
        <w:t>)</w:t>
      </w:r>
      <w:r w:rsidRPr="00F35A7A">
        <w:rPr>
          <w:lang w:val="es-MX" w:eastAsia="es-ES_tradnl"/>
        </w:rPr>
        <w:t xml:space="preserve">, donde se exploró la estructura factorial a través del AFE. Estos valores, superiores a 0.70, se consideran aceptables según Viladrich et al. (2017), indicando una correlación adecuada entre los ítems para representar el constructo subyacente. En cuanto a la validez discriminante, los valores </w:t>
      </w:r>
      <w:r w:rsidR="00712DFC" w:rsidRPr="00F35A7A">
        <w:rPr>
          <w:lang w:val="es-MX" w:eastAsia="es-ES_tradnl"/>
        </w:rPr>
        <w:t>de</w:t>
      </w:r>
      <w:r w:rsidR="00712DFC">
        <w:rPr>
          <w:lang w:val="es-MX"/>
        </w:rPr>
        <w:t xml:space="preserve"> </w:t>
      </w:r>
      <m:oMath>
        <m:rad>
          <m:radPr>
            <m:ctrlPr>
              <w:rPr>
                <w:rFonts w:ascii="Cambria Math" w:hAnsi="Cambria Math"/>
                <w:i/>
                <w:lang w:val="es-MX"/>
              </w:rPr>
            </m:ctrlPr>
          </m:radPr>
          <m:deg>
            <m:r>
              <w:rPr>
                <w:rFonts w:ascii="Cambria Math" w:hAnsi="Cambria Math"/>
                <w:lang w:val="es-MX"/>
              </w:rPr>
              <m:t>2</m:t>
            </m:r>
          </m:deg>
          <m:e>
            <m:r>
              <w:rPr>
                <w:rFonts w:ascii="Cambria Math" w:hAnsi="Cambria Math"/>
                <w:lang w:val="es-MX"/>
              </w:rPr>
              <m:t>AVE</m:t>
            </m:r>
          </m:e>
        </m:rad>
      </m:oMath>
      <w:r w:rsidR="00712DFC" w:rsidRPr="00712DFC">
        <w:rPr>
          <w:lang w:val="es-MX"/>
        </w:rPr>
        <w:t xml:space="preserve"> </w:t>
      </w:r>
      <w:r w:rsidRPr="00F35A7A">
        <w:rPr>
          <w:lang w:val="es-MX" w:eastAsia="es-ES_tradnl"/>
        </w:rPr>
        <w:t>en ambos factores fueron mayores que el coeficiente de correlación entre las dimensiones sugeridas por el Modelo III (r = 0.468). Esto evidencia que las orientaciones hacia la felicidad</w:t>
      </w:r>
      <w:r w:rsidR="00712DFC">
        <w:rPr>
          <w:lang w:val="es-MX"/>
        </w:rPr>
        <w:t xml:space="preserve"> identificadas en la solución factorial </w:t>
      </w:r>
      <w:r w:rsidRPr="00F35A7A">
        <w:rPr>
          <w:lang w:val="es-MX" w:eastAsia="es-ES_tradnl"/>
        </w:rPr>
        <w:t>son distintas y fácilmente distinguibles en el modelo de medida. No obstante, estas orientaciones no son simplemente un resultado del análisis, sino que reflejan las dos posturas filosóficas predominantes que respaldan los estudios sobre felicidad: hedonismo y eudaimonía. En el contexto de la investigación empírica estos marcos se encuentran claramente diferenciados y sirven como fundamentos para entender las diferentes dimensiones de la felicidad (Huta &amp; Ryan, 2010; Huta, 2016; Huta, 2018; Taquet et al., 2016; Tov, 2018).</w:t>
      </w:r>
    </w:p>
    <w:p w14:paraId="40084FD9" w14:textId="45EEA7DD" w:rsidR="00F35A7A" w:rsidRPr="00F35A7A" w:rsidRDefault="0018716C" w:rsidP="00F35A7A">
      <w:pPr>
        <w:pStyle w:val="Prrafocomn"/>
        <w:rPr>
          <w:lang w:val="es-MX" w:eastAsia="es-ES_tradnl"/>
        </w:rPr>
      </w:pPr>
      <w:r w:rsidRPr="00F35A7A">
        <w:rPr>
          <w:lang w:val="es-MX" w:eastAsia="es-ES_tradnl"/>
        </w:rPr>
        <w:t>Respecto a la validez convergente, la dimensión de "vida con significado" presenta valores superiores a 0.50, cumpliendo con el criterio sugerido</w:t>
      </w:r>
      <w:r>
        <w:rPr>
          <w:lang w:val="es-MX"/>
        </w:rPr>
        <w:t xml:space="preserve"> por </w:t>
      </w:r>
      <w:r w:rsidRPr="00F35A7A">
        <w:rPr>
          <w:lang w:val="es-MX" w:eastAsia="es-ES_tradnl"/>
        </w:rPr>
        <w:t xml:space="preserve">Fornell y Larcker (1981). </w:t>
      </w:r>
      <w:r w:rsidR="00F35A7A" w:rsidRPr="00F35A7A">
        <w:rPr>
          <w:lang w:val="es-MX" w:eastAsia="es-ES_tradnl"/>
        </w:rPr>
        <w:t xml:space="preserve">No obstante, la dimensión "vida de placer" (AVE = 0.417) se sitúa por debajo de este umbral, indicando una convergencia moderada de los reactivos con este constructo y explicando solo el 41.7% de la varianza en esta dimensión. Henderson et al. (2013) plantean que la dimensión "vida de placer" podría evidenciar una falta de validez de contenido, ya que sus reactivos no parecen reflejar con precisión el constructo de hedonia. En lugar de ello, reflejan impulsividad para postergar el placer y actitud para buscar placer, sin abordar la categoría analítica de </w:t>
      </w:r>
      <w:r w:rsidR="00F35A7A" w:rsidRPr="00B3549E">
        <w:rPr>
          <w:i/>
          <w:iCs/>
          <w:lang w:val="es-MX" w:eastAsia="es-ES_tradnl"/>
        </w:rPr>
        <w:t>orientación</w:t>
      </w:r>
      <w:r w:rsidR="00F35A7A" w:rsidRPr="00F35A7A">
        <w:rPr>
          <w:lang w:val="es-MX" w:eastAsia="es-ES_tradnl"/>
        </w:rPr>
        <w:t>. Esta observación podría ofrecer una explicación tentativa al valor obtenido en la AVE de esta dimensión.</w:t>
      </w:r>
    </w:p>
    <w:p w14:paraId="19EC2083" w14:textId="00406D8B" w:rsidR="00F35A7A" w:rsidRPr="00F35A7A" w:rsidRDefault="00F35A7A" w:rsidP="00F35A7A">
      <w:pPr>
        <w:pStyle w:val="Prrafocomn"/>
        <w:rPr>
          <w:lang w:val="es-MX" w:eastAsia="es-ES_tradnl"/>
        </w:rPr>
      </w:pPr>
      <w:r w:rsidRPr="00F35A7A">
        <w:rPr>
          <w:lang w:val="es-MX" w:eastAsia="es-ES_tradnl"/>
        </w:rPr>
        <w:lastRenderedPageBreak/>
        <w:t>También, se observa coherencia entre las puntuaciones de "vida con sentido" y las "actividades eudaimónicas", así como entre "vida de placer" y "actividades hedónicas". Esto podría indicar evidencia de validez de criterio, aunque es importante tener en cuenta que las correlaciones son bajas según los estándares establecidos por Mukaka (2012). Este hallazgo respalda los resultados del estudio de Huta y Ryan (2010), quienes también correlacionaron</w:t>
      </w:r>
      <w:r w:rsidR="00351BC3">
        <w:rPr>
          <w:lang w:val="es-MX"/>
        </w:rPr>
        <w:t xml:space="preserve"> la OTHS y HEMA-R</w:t>
      </w:r>
      <w:r w:rsidRPr="00F35A7A">
        <w:rPr>
          <w:lang w:val="es-MX" w:eastAsia="es-ES_tradnl"/>
        </w:rPr>
        <w:t xml:space="preserve">, reafirmando la consistencia de los resultados. Además, los autores señalaron la ausencia de covarianza entre constructos diferentes, como la "vida con significado" con las "actividades hedónicas" y la "vida de placer" con las "actividades eudaimónicas". Esto confirma la </w:t>
      </w:r>
      <w:r w:rsidR="00351BC3">
        <w:rPr>
          <w:lang w:val="es-MX"/>
        </w:rPr>
        <w:t>ausencia</w:t>
      </w:r>
      <w:r w:rsidRPr="00F35A7A">
        <w:rPr>
          <w:lang w:val="es-MX" w:eastAsia="es-ES_tradnl"/>
        </w:rPr>
        <w:t xml:space="preserve"> de correlación significativa en nuestro estudio, entre las dimensiones de "vida con significado" y las "actividades hedónicas".</w:t>
      </w:r>
    </w:p>
    <w:p w14:paraId="12A8028E" w14:textId="77777777" w:rsidR="00F35A7A" w:rsidRDefault="00F35A7A" w:rsidP="00F35A7A">
      <w:pPr>
        <w:pStyle w:val="Ttulosinternos"/>
        <w:rPr>
          <w:lang w:val="es-ES_tradnl"/>
        </w:rPr>
      </w:pPr>
      <w:r w:rsidRPr="00F35A7A">
        <w:rPr>
          <w:lang w:val="es-ES_tradnl"/>
        </w:rPr>
        <w:t>Conclusión</w:t>
      </w:r>
    </w:p>
    <w:p w14:paraId="40A18914" w14:textId="395F0850" w:rsidR="00351BC3" w:rsidRPr="00F35A7A" w:rsidRDefault="00351BC3" w:rsidP="00351BC3">
      <w:pPr>
        <w:pStyle w:val="Prrafocomn"/>
        <w:rPr>
          <w:lang w:val="es-MX" w:eastAsia="es-ES_tradnl"/>
        </w:rPr>
      </w:pPr>
      <w:r w:rsidRPr="00351BC3">
        <w:rPr>
          <w:lang w:val="es-MX"/>
        </w:rPr>
        <w:t>En esta investigación se destaca la imperativa consideración de las diferencias culturales al utilizar la OTHS. La necesidad de un refinamiento adicional en la validez de contenido es evidente, con ciertos reactivos que no abordan completamente las dimensiones del constructo y requieren una redacción culturalmente relevante. Se propone la inclusión de elementos vinculados a emociones positivas y relaciones interpersonales, culturalmente significativos para los latinos. El modelo de dos factores propuesto muestra un ajuste superior al modelo trifactorial original, potencialmente sirviendo como referencia para otros grupos latinoamericanos. No obstante, se enfatiza la necesidad de continuar investigando y perfeccionando la estructura factorial. El análisis confirmatorio señala que la estructura propuesta no explica completamente las rutas sugeridas hacia la felicidad, resaltando la importancia de estudios adicionales en muestras latinas para mejorar la validez del modelo mediante evidencia empírica. En el modelo de dos factores, los ítems están correlacionados, representando adecuadamente el constructo en la población mexicana. Los valores de fiabilidad compuesta son aceptables, y el análisis de validez convergente indica que los reactivos miden apropiadamente las dimensiones del constructo. La validez discriminante y de criterio respalda la idoneidad de esta solución factorial para la muestra evaluada. Estudios como este, no solo enriquecerá nuestra comprensión de las distintas perspectivas culturales en torno a las orientaciones hacia la felicidad, sino que también permitirán potenciar la utilidad de la escala, en otras poblaciones y contextos con mayor precisión.</w:t>
      </w:r>
    </w:p>
    <w:p w14:paraId="13FA8237" w14:textId="2E6788E7" w:rsidR="007E3B8D" w:rsidRPr="002C3A8D" w:rsidRDefault="007E3B8D" w:rsidP="00E23C9E">
      <w:pPr>
        <w:pStyle w:val="Prrafocomn"/>
      </w:pPr>
    </w:p>
    <w:p w14:paraId="6CD8B4A8" w14:textId="3D7FF6F6" w:rsidR="006F7E7E" w:rsidRDefault="00CE7D65" w:rsidP="007A7CDC">
      <w:pPr>
        <w:pStyle w:val="Ttulosinternos"/>
        <w:rPr>
          <w:lang w:val="es-ES_tradnl"/>
        </w:rPr>
      </w:pPr>
      <w:r w:rsidRPr="00DE7EB8">
        <w:rPr>
          <w:lang w:val="es-ES_tradnl"/>
        </w:rPr>
        <w:lastRenderedPageBreak/>
        <w:t>Referenc</w:t>
      </w:r>
      <w:r w:rsidR="00E23C9E" w:rsidRPr="00DE7EB8">
        <w:rPr>
          <w:lang w:val="es-ES_tradnl"/>
        </w:rPr>
        <w:t>ias</w:t>
      </w:r>
    </w:p>
    <w:p w14:paraId="34AE09F7" w14:textId="77777777" w:rsidR="00351BC3" w:rsidRPr="00351BC3" w:rsidRDefault="00351BC3" w:rsidP="00351BC3">
      <w:pPr>
        <w:autoSpaceDE w:val="0"/>
        <w:autoSpaceDN w:val="0"/>
        <w:adjustRightInd w:val="0"/>
        <w:ind w:left="709" w:right="-198" w:hanging="709"/>
        <w:jc w:val="both"/>
        <w:rPr>
          <w:color w:val="212121"/>
          <w:shd w:val="clear" w:color="auto" w:fill="FFFFFF"/>
        </w:rPr>
      </w:pPr>
      <w:r w:rsidRPr="00351BC3">
        <w:rPr>
          <w:color w:val="212121"/>
          <w:shd w:val="clear" w:color="auto" w:fill="FFFFFF"/>
        </w:rPr>
        <w:t>Abdul-Kadir, N. B., Ismail, W. N. K., Abdullah, N. A., Helma, R., Abdul-Jalil, S. J., Che-Kasim, A., Hoesni, S. M., &amp; Manaf, M. (2021). Criterion Validity and Psychometric Properties of a Malay Version of the Short Multidimensional Inventory Lifestyle Evaluation-Confinement (SMILE-C) in a Sample of University Staff with Weight Problems. </w:t>
      </w:r>
      <w:r w:rsidRPr="00351BC3">
        <w:rPr>
          <w:i/>
          <w:iCs/>
          <w:color w:val="212121"/>
          <w:shd w:val="clear" w:color="auto" w:fill="FFFFFF"/>
        </w:rPr>
        <w:t>International Journal of Environmental Research and Public Health</w:t>
      </w:r>
      <w:r w:rsidRPr="00B34949">
        <w:rPr>
          <w:color w:val="212121"/>
          <w:shd w:val="clear" w:color="auto" w:fill="FFFFFF"/>
        </w:rPr>
        <w:t>,</w:t>
      </w:r>
      <w:r w:rsidRPr="00351BC3">
        <w:rPr>
          <w:color w:val="212121"/>
          <w:shd w:val="clear" w:color="auto" w:fill="FFFFFF"/>
        </w:rPr>
        <w:t> </w:t>
      </w:r>
      <w:r w:rsidRPr="00351BC3">
        <w:rPr>
          <w:i/>
          <w:iCs/>
          <w:color w:val="212121"/>
          <w:shd w:val="clear" w:color="auto" w:fill="FFFFFF"/>
        </w:rPr>
        <w:t>18</w:t>
      </w:r>
      <w:r w:rsidRPr="00351BC3">
        <w:rPr>
          <w:color w:val="212121"/>
          <w:shd w:val="clear" w:color="auto" w:fill="FFFFFF"/>
        </w:rPr>
        <w:t>(19), Artículo e10410. https://doi.org/10.3390/ijerph181910410</w:t>
      </w:r>
    </w:p>
    <w:p w14:paraId="13C11071" w14:textId="21A1C63B"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Abuhamdeh S. (2020). Investigating the "Flow" Experience: Key Conceptual and Operational Issues. </w:t>
      </w:r>
      <w:r w:rsidRPr="00351BC3">
        <w:rPr>
          <w:rFonts w:eastAsia="Arial Unicode MS"/>
          <w:i/>
          <w:iCs/>
          <w:color w:val="000000"/>
        </w:rPr>
        <w:t>Frontiers in Psychology, 11</w:t>
      </w:r>
      <w:r w:rsidRPr="00351BC3">
        <w:rPr>
          <w:rFonts w:eastAsia="Arial Unicode MS"/>
          <w:color w:val="000000"/>
        </w:rPr>
        <w:t>, Art</w:t>
      </w:r>
      <w:r w:rsidR="00B34949">
        <w:rPr>
          <w:rFonts w:eastAsia="Arial Unicode MS"/>
          <w:color w:val="000000"/>
        </w:rPr>
        <w:t>í</w:t>
      </w:r>
      <w:r w:rsidRPr="00351BC3">
        <w:rPr>
          <w:rFonts w:eastAsia="Arial Unicode MS"/>
          <w:color w:val="000000"/>
        </w:rPr>
        <w:t>culo e158. https://doi.org/10.3389/fpsyg.2020.00158</w:t>
      </w:r>
    </w:p>
    <w:p w14:paraId="70A06C01" w14:textId="7C8A0F80" w:rsidR="00351BC3" w:rsidRPr="00351BC3" w:rsidRDefault="00351BC3" w:rsidP="00351BC3">
      <w:pPr>
        <w:ind w:left="709" w:hanging="709"/>
        <w:jc w:val="both"/>
        <w:rPr>
          <w:b/>
          <w:bCs/>
          <w:color w:val="000000" w:themeColor="text1"/>
        </w:rPr>
      </w:pPr>
      <w:r w:rsidRPr="00351BC3">
        <w:rPr>
          <w:rFonts w:eastAsiaTheme="minorHAnsi"/>
          <w:color w:val="000000"/>
          <w:lang w:eastAsia="en-US"/>
        </w:rPr>
        <w:t xml:space="preserve">Alper-Köse, İ. (2014). Psychometric Properties of the Orientations to Happiness Scale and Measurement Invariance Between Samples of Turkish and Russian University Students. </w:t>
      </w:r>
      <w:r w:rsidRPr="00351BC3">
        <w:rPr>
          <w:rFonts w:eastAsiaTheme="minorHAnsi"/>
          <w:i/>
          <w:iCs/>
          <w:color w:val="000000"/>
          <w:lang w:eastAsia="en-US"/>
        </w:rPr>
        <w:t>Social Indicators Research</w:t>
      </w:r>
      <w:r w:rsidRPr="00B34949">
        <w:rPr>
          <w:rFonts w:eastAsiaTheme="minorHAnsi"/>
          <w:color w:val="000000"/>
          <w:lang w:eastAsia="en-US"/>
        </w:rPr>
        <w:t>,</w:t>
      </w:r>
      <w:r w:rsidRPr="00351BC3">
        <w:rPr>
          <w:rFonts w:eastAsiaTheme="minorHAnsi"/>
          <w:i/>
          <w:iCs/>
          <w:color w:val="000000"/>
          <w:lang w:eastAsia="en-US"/>
        </w:rPr>
        <w:t xml:space="preserve"> 122</w:t>
      </w:r>
      <w:r w:rsidRPr="00351BC3">
        <w:rPr>
          <w:rFonts w:eastAsiaTheme="minorHAnsi"/>
          <w:color w:val="000000"/>
          <w:lang w:eastAsia="en-US"/>
        </w:rPr>
        <w:t xml:space="preserve">(3), 945-959. </w:t>
      </w:r>
      <w:r w:rsidRPr="00351BC3">
        <w:rPr>
          <w:rFonts w:eastAsia="Arial Unicode MS"/>
          <w:color w:val="000000"/>
        </w:rPr>
        <w:t>https://doi.org/</w:t>
      </w:r>
      <w:r w:rsidRPr="00351BC3">
        <w:rPr>
          <w:rFonts w:eastAsiaTheme="minorHAnsi"/>
          <w:color w:val="000000"/>
          <w:lang w:eastAsia="en-US"/>
        </w:rPr>
        <w:t>10.1007/s11205-014-0721-8</w:t>
      </w:r>
      <w:r w:rsidRPr="00351BC3">
        <w:rPr>
          <w:b/>
          <w:bCs/>
          <w:color w:val="000000" w:themeColor="text1"/>
        </w:rPr>
        <w:t xml:space="preserve"> </w:t>
      </w:r>
      <w:r w:rsidRPr="00351BC3">
        <w:rPr>
          <w:rFonts w:eastAsia="Arial Unicode MS"/>
        </w:rPr>
        <w:tab/>
      </w:r>
    </w:p>
    <w:p w14:paraId="555C61F7" w14:textId="54FBC71B"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Anić, P., &amp; Tončić, M. (2013). Orientations to happiness, subjective well-being and life goals. </w:t>
      </w:r>
      <w:r w:rsidRPr="00351BC3">
        <w:rPr>
          <w:rFonts w:eastAsia="Arial Unicode MS"/>
          <w:i/>
          <w:iCs/>
          <w:color w:val="000000"/>
        </w:rPr>
        <w:t>Psihologijske Teme</w:t>
      </w:r>
      <w:r w:rsidRPr="00B34949">
        <w:rPr>
          <w:rFonts w:eastAsia="Arial Unicode MS"/>
          <w:color w:val="000000"/>
        </w:rPr>
        <w:t>,</w:t>
      </w:r>
      <w:r w:rsidRPr="00351BC3">
        <w:rPr>
          <w:rFonts w:eastAsia="Arial Unicode MS"/>
          <w:i/>
          <w:iCs/>
          <w:color w:val="000000"/>
        </w:rPr>
        <w:t xml:space="preserve"> 22</w:t>
      </w:r>
      <w:r w:rsidRPr="00351BC3">
        <w:rPr>
          <w:rFonts w:eastAsia="Arial Unicode MS"/>
          <w:color w:val="000000"/>
        </w:rPr>
        <w:t>(1), 135-153.</w:t>
      </w:r>
      <w:r>
        <w:rPr>
          <w:rFonts w:eastAsia="Arial Unicode MS"/>
          <w:color w:val="000000"/>
        </w:rPr>
        <w:t xml:space="preserve"> </w:t>
      </w:r>
      <w:r w:rsidRPr="00351BC3">
        <w:rPr>
          <w:rFonts w:eastAsia="Arial Unicode MS"/>
          <w:color w:val="000000"/>
        </w:rPr>
        <w:t>https://psycnet.apa.org/record/2013-16345-007</w:t>
      </w:r>
    </w:p>
    <w:p w14:paraId="54272775"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Avsec, A., &amp; Kavčič, T. (2012). Merske značilnosti slovenske oblike Vprašalnika usmerjenosti k sreči (OTH). </w:t>
      </w:r>
      <w:r w:rsidRPr="00351BC3">
        <w:rPr>
          <w:rFonts w:eastAsia="Arial Unicode MS"/>
          <w:i/>
          <w:iCs/>
          <w:color w:val="000000"/>
        </w:rPr>
        <w:t>Horizons of Psychology</w:t>
      </w:r>
      <w:r w:rsidRPr="00B34949">
        <w:rPr>
          <w:rFonts w:eastAsia="Arial Unicode MS"/>
          <w:color w:val="000000"/>
        </w:rPr>
        <w:t>,</w:t>
      </w:r>
      <w:r w:rsidRPr="00351BC3">
        <w:rPr>
          <w:rFonts w:eastAsia="Arial Unicode MS"/>
          <w:i/>
          <w:iCs/>
          <w:color w:val="000000"/>
        </w:rPr>
        <w:t xml:space="preserve"> 21</w:t>
      </w:r>
      <w:r w:rsidRPr="00351BC3">
        <w:rPr>
          <w:rFonts w:eastAsia="Arial Unicode MS"/>
          <w:color w:val="000000"/>
        </w:rPr>
        <w:t>(1), 7-18. https://doi.org/10.20419/2012.21.354 </w:t>
      </w:r>
    </w:p>
    <w:p w14:paraId="7D218E77"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Bartels, M. (2015). Genetics of Wellbeing and Its Components Satisfaction with Life, Happiness, and Quality of Life: A Review and Meta-analysis of Heritability Studies. </w:t>
      </w:r>
      <w:r w:rsidRPr="00351BC3">
        <w:rPr>
          <w:rFonts w:eastAsia="Arial Unicode MS"/>
          <w:i/>
          <w:iCs/>
          <w:color w:val="000000"/>
        </w:rPr>
        <w:t>Behavior Genetics</w:t>
      </w:r>
      <w:r w:rsidRPr="00B34949">
        <w:rPr>
          <w:rFonts w:eastAsia="Arial Unicode MS"/>
          <w:color w:val="000000"/>
        </w:rPr>
        <w:t>,</w:t>
      </w:r>
      <w:r w:rsidRPr="00351BC3">
        <w:rPr>
          <w:rFonts w:eastAsia="Arial Unicode MS"/>
          <w:i/>
          <w:iCs/>
          <w:color w:val="000000"/>
        </w:rPr>
        <w:t xml:space="preserve"> 45</w:t>
      </w:r>
      <w:r w:rsidRPr="00351BC3">
        <w:rPr>
          <w:rFonts w:eastAsia="Arial Unicode MS"/>
          <w:color w:val="000000"/>
        </w:rPr>
        <w:t>(2), 137–156. https://doi.org/10.1007/s10519-015-9713-y </w:t>
      </w:r>
    </w:p>
    <w:p w14:paraId="0B6358B4"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Blanchflower, D. G. (2020). Is happiness U-shaped everywhere? Age and subjective well-being in 145 countries. </w:t>
      </w:r>
      <w:r w:rsidRPr="00351BC3">
        <w:rPr>
          <w:rFonts w:eastAsia="Arial Unicode MS"/>
          <w:i/>
          <w:iCs/>
          <w:color w:val="000000"/>
        </w:rPr>
        <w:t>Journal of Population Economics</w:t>
      </w:r>
      <w:r w:rsidRPr="00B34949">
        <w:rPr>
          <w:rFonts w:eastAsia="Arial Unicode MS"/>
          <w:color w:val="000000"/>
        </w:rPr>
        <w:t>,</w:t>
      </w:r>
      <w:r w:rsidRPr="00351BC3">
        <w:rPr>
          <w:rFonts w:eastAsia="Arial Unicode MS"/>
          <w:i/>
          <w:iCs/>
          <w:color w:val="000000"/>
        </w:rPr>
        <w:t xml:space="preserve"> 34</w:t>
      </w:r>
      <w:r w:rsidRPr="00351BC3">
        <w:rPr>
          <w:rFonts w:eastAsia="Arial Unicode MS"/>
          <w:color w:val="000000"/>
        </w:rPr>
        <w:t>(2), 575-624. https://doi.org/10.1007/s00148-020-00797-z</w:t>
      </w:r>
    </w:p>
    <w:p w14:paraId="7D4EB366" w14:textId="77777777" w:rsidR="00351BC3" w:rsidRPr="00351BC3" w:rsidRDefault="00351BC3" w:rsidP="00351BC3">
      <w:pPr>
        <w:ind w:left="709" w:hanging="709"/>
        <w:jc w:val="both"/>
        <w:rPr>
          <w:color w:val="212121"/>
          <w:shd w:val="clear" w:color="auto" w:fill="FFFFFF"/>
        </w:rPr>
      </w:pPr>
      <w:r w:rsidRPr="00351BC3">
        <w:rPr>
          <w:color w:val="212121"/>
          <w:shd w:val="clear" w:color="auto" w:fill="FFFFFF"/>
        </w:rPr>
        <w:t>Bland, J. M., &amp; Altman, D. G. (1997). Cronbach's alpha. </w:t>
      </w:r>
      <w:r w:rsidRPr="00351BC3">
        <w:rPr>
          <w:i/>
          <w:iCs/>
          <w:color w:val="212121"/>
          <w:shd w:val="clear" w:color="auto" w:fill="FFFFFF"/>
        </w:rPr>
        <w:t>BMJ (Clinical research ed.)</w:t>
      </w:r>
      <w:r w:rsidRPr="00351BC3">
        <w:rPr>
          <w:color w:val="212121"/>
          <w:shd w:val="clear" w:color="auto" w:fill="FFFFFF"/>
        </w:rPr>
        <w:t>, </w:t>
      </w:r>
      <w:r w:rsidRPr="00351BC3">
        <w:rPr>
          <w:i/>
          <w:iCs/>
          <w:color w:val="212121"/>
          <w:shd w:val="clear" w:color="auto" w:fill="FFFFFF"/>
        </w:rPr>
        <w:t>314</w:t>
      </w:r>
      <w:r w:rsidRPr="00351BC3">
        <w:rPr>
          <w:color w:val="212121"/>
          <w:shd w:val="clear" w:color="auto" w:fill="FFFFFF"/>
        </w:rPr>
        <w:t>(7080), 572. https://doi.org/10.1136/bmj.314.7080.572</w:t>
      </w:r>
    </w:p>
    <w:p w14:paraId="4F45513B" w14:textId="77777777" w:rsidR="00351BC3" w:rsidRPr="00351BC3" w:rsidRDefault="00351BC3" w:rsidP="00351BC3">
      <w:pPr>
        <w:autoSpaceDE w:val="0"/>
        <w:autoSpaceDN w:val="0"/>
        <w:adjustRightInd w:val="0"/>
        <w:ind w:left="709" w:right="-198" w:hanging="709"/>
        <w:jc w:val="both"/>
        <w:rPr>
          <w:color w:val="212121"/>
          <w:shd w:val="clear" w:color="auto" w:fill="FFFFFF"/>
        </w:rPr>
      </w:pPr>
      <w:r w:rsidRPr="00351BC3">
        <w:rPr>
          <w:rFonts w:eastAsiaTheme="minorHAnsi"/>
          <w:color w:val="000000" w:themeColor="text1"/>
          <w:lang w:eastAsia="en-US"/>
        </w:rPr>
        <w:t xml:space="preserve">Bollen, K. A. (1989). </w:t>
      </w:r>
      <w:r w:rsidRPr="00351BC3">
        <w:rPr>
          <w:rFonts w:eastAsiaTheme="minorHAnsi"/>
          <w:i/>
          <w:iCs/>
          <w:color w:val="000000" w:themeColor="text1"/>
          <w:lang w:eastAsia="en-US"/>
        </w:rPr>
        <w:t>Structural Equations with Latent Variables</w:t>
      </w:r>
      <w:r w:rsidRPr="00351BC3">
        <w:rPr>
          <w:rFonts w:eastAsiaTheme="minorHAnsi"/>
          <w:color w:val="000000" w:themeColor="text1"/>
          <w:lang w:eastAsia="en-US"/>
        </w:rPr>
        <w:t>. John Wiley &amp; Sons, Inc.</w:t>
      </w:r>
    </w:p>
    <w:p w14:paraId="314A23F8" w14:textId="77777777"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 xml:space="preserve">Brodsky, S. L., &amp; Lichtenstein, B. (2020). The Gold Standard and the Pyrite Principle: Toward a Supplemental Frame of Reference. </w:t>
      </w:r>
      <w:r w:rsidRPr="00351BC3">
        <w:rPr>
          <w:i/>
          <w:iCs/>
          <w:color w:val="000000" w:themeColor="text1"/>
          <w:shd w:val="clear" w:color="auto" w:fill="FFFFFF"/>
        </w:rPr>
        <w:t>Frontiers in Psychology</w:t>
      </w:r>
      <w:r w:rsidRPr="00351BC3">
        <w:rPr>
          <w:color w:val="000000" w:themeColor="text1"/>
          <w:shd w:val="clear" w:color="auto" w:fill="FFFFFF"/>
        </w:rPr>
        <w:t xml:space="preserve">, </w:t>
      </w:r>
      <w:r w:rsidRPr="00DA23EF">
        <w:rPr>
          <w:i/>
          <w:iCs/>
          <w:color w:val="000000" w:themeColor="text1"/>
          <w:shd w:val="clear" w:color="auto" w:fill="FFFFFF"/>
        </w:rPr>
        <w:t>11</w:t>
      </w:r>
      <w:r w:rsidRPr="00351BC3">
        <w:rPr>
          <w:color w:val="000000" w:themeColor="text1"/>
          <w:shd w:val="clear" w:color="auto" w:fill="FFFFFF"/>
        </w:rPr>
        <w:t xml:space="preserve">. </w:t>
      </w:r>
      <w:r w:rsidRPr="00351BC3">
        <w:rPr>
          <w:rFonts w:eastAsia="Arial Unicode MS"/>
          <w:color w:val="000000"/>
        </w:rPr>
        <w:t>https://doi.org/</w:t>
      </w:r>
      <w:r w:rsidRPr="00351BC3">
        <w:rPr>
          <w:color w:val="000000" w:themeColor="text1"/>
          <w:shd w:val="clear" w:color="auto" w:fill="FFFFFF"/>
        </w:rPr>
        <w:t>10.3389/fpsyg.2020.00562</w:t>
      </w:r>
    </w:p>
    <w:p w14:paraId="5D8841AE" w14:textId="79829B74" w:rsidR="00DA23EF" w:rsidRPr="00351BC3" w:rsidRDefault="00DA23EF" w:rsidP="00351BC3">
      <w:pPr>
        <w:ind w:left="709" w:hanging="709"/>
        <w:jc w:val="both"/>
        <w:rPr>
          <w:color w:val="000000" w:themeColor="text1"/>
          <w:shd w:val="clear" w:color="auto" w:fill="FFFFFF"/>
        </w:rPr>
      </w:pPr>
      <w:r w:rsidRPr="00DA23EF">
        <w:rPr>
          <w:color w:val="000000" w:themeColor="text1"/>
          <w:shd w:val="clear" w:color="auto" w:fill="FFFFFF"/>
        </w:rPr>
        <w:t xml:space="preserve">Browne, M. W., &amp; Cudeck, R. (1992). Alternative Ways of Assessing Model Fit. </w:t>
      </w:r>
      <w:r w:rsidRPr="00DA23EF">
        <w:rPr>
          <w:i/>
          <w:iCs/>
          <w:color w:val="000000" w:themeColor="text1"/>
          <w:shd w:val="clear" w:color="auto" w:fill="FFFFFF"/>
        </w:rPr>
        <w:t>Sociological Methods &amp; Research, 21</w:t>
      </w:r>
      <w:r w:rsidRPr="00DA23EF">
        <w:rPr>
          <w:color w:val="000000" w:themeColor="text1"/>
          <w:shd w:val="clear" w:color="auto" w:fill="FFFFFF"/>
        </w:rPr>
        <w:t>(2), 230-258. https://doi.org/10.1177/0049124192021002005</w:t>
      </w:r>
    </w:p>
    <w:p w14:paraId="72816F86" w14:textId="77777777"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 xml:space="preserve">Byrne, B. M. (2009). </w:t>
      </w:r>
      <w:r w:rsidRPr="00351BC3">
        <w:rPr>
          <w:i/>
          <w:iCs/>
          <w:color w:val="000000" w:themeColor="text1"/>
          <w:shd w:val="clear" w:color="auto" w:fill="FFFFFF"/>
        </w:rPr>
        <w:t>Structural equation modeling with AMOS: Basic concepts, applications, and programming</w:t>
      </w:r>
      <w:r w:rsidRPr="00351BC3">
        <w:rPr>
          <w:color w:val="000000" w:themeColor="text1"/>
          <w:shd w:val="clear" w:color="auto" w:fill="FFFFFF"/>
        </w:rPr>
        <w:t>. Routledge &amp; Taylor &amp; Francis.</w:t>
      </w:r>
    </w:p>
    <w:p w14:paraId="6AA05260" w14:textId="77777777" w:rsidR="00351BC3" w:rsidRPr="00351BC3" w:rsidRDefault="00351BC3" w:rsidP="00351BC3">
      <w:pPr>
        <w:tabs>
          <w:tab w:val="left" w:pos="6219"/>
        </w:tabs>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Campbell, S., Greenwood, M., Prior, S., Shearer, T., Walkem, K., Young, S., Bywaters, D., &amp; Walker, K. (2020). Purposive sampling: complex or simple? Research case examples. </w:t>
      </w:r>
      <w:r w:rsidRPr="00351BC3">
        <w:rPr>
          <w:rFonts w:eastAsiaTheme="minorHAnsi"/>
          <w:i/>
          <w:iCs/>
          <w:color w:val="000000" w:themeColor="text1"/>
          <w:lang w:eastAsia="en-US"/>
        </w:rPr>
        <w:t>Journal of Research in Nursing: JRN</w:t>
      </w:r>
      <w:r w:rsidRPr="00CF3515">
        <w:rPr>
          <w:rFonts w:eastAsiaTheme="minorHAnsi"/>
          <w:color w:val="000000" w:themeColor="text1"/>
          <w:lang w:eastAsia="en-US"/>
        </w:rPr>
        <w:t>,</w:t>
      </w:r>
      <w:r w:rsidRPr="00351BC3">
        <w:rPr>
          <w:rFonts w:eastAsiaTheme="minorHAnsi"/>
          <w:i/>
          <w:iCs/>
          <w:color w:val="000000" w:themeColor="text1"/>
          <w:lang w:eastAsia="en-US"/>
        </w:rPr>
        <w:t> 25</w:t>
      </w:r>
      <w:r w:rsidRPr="00351BC3">
        <w:rPr>
          <w:rFonts w:eastAsiaTheme="minorHAnsi"/>
          <w:color w:val="000000" w:themeColor="text1"/>
          <w:lang w:eastAsia="en-US"/>
        </w:rPr>
        <w:t xml:space="preserve">(8), 652-661. </w:t>
      </w:r>
      <w:r w:rsidRPr="00351BC3">
        <w:rPr>
          <w:rFonts w:eastAsia="Arial Unicode MS"/>
          <w:color w:val="000000"/>
        </w:rPr>
        <w:t>https://doi.org/</w:t>
      </w:r>
      <w:r w:rsidRPr="00351BC3">
        <w:rPr>
          <w:rFonts w:eastAsiaTheme="minorHAnsi"/>
          <w:color w:val="000000" w:themeColor="text1"/>
          <w:lang w:eastAsia="en-US"/>
        </w:rPr>
        <w:t>10.1177/1744987120927206</w:t>
      </w:r>
    </w:p>
    <w:p w14:paraId="23851FE4" w14:textId="77777777"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 xml:space="preserve">Chan, D. W. (2009). Orientations to happiness and subjective well‐being among Chinese prospective and in‐service teachers in Hong Kong. </w:t>
      </w:r>
      <w:r w:rsidRPr="00351BC3">
        <w:rPr>
          <w:rFonts w:eastAsiaTheme="minorHAnsi"/>
          <w:i/>
          <w:iCs/>
          <w:color w:val="000000"/>
          <w:lang w:eastAsia="en-US"/>
        </w:rPr>
        <w:t>Educational Psychology</w:t>
      </w:r>
      <w:r w:rsidRPr="00CF3515">
        <w:rPr>
          <w:rFonts w:eastAsiaTheme="minorHAnsi"/>
          <w:color w:val="000000"/>
          <w:lang w:eastAsia="en-US"/>
        </w:rPr>
        <w:t>,</w:t>
      </w:r>
      <w:r w:rsidRPr="00351BC3">
        <w:rPr>
          <w:rFonts w:eastAsiaTheme="minorHAnsi"/>
          <w:i/>
          <w:iCs/>
          <w:color w:val="000000"/>
          <w:lang w:eastAsia="en-US"/>
        </w:rPr>
        <w:t xml:space="preserve"> 29</w:t>
      </w:r>
      <w:r w:rsidRPr="00351BC3">
        <w:rPr>
          <w:rFonts w:eastAsiaTheme="minorHAnsi"/>
          <w:color w:val="000000"/>
          <w:lang w:eastAsia="en-US"/>
        </w:rPr>
        <w:t xml:space="preserve">(2), 139-151. </w:t>
      </w:r>
      <w:r w:rsidRPr="00351BC3">
        <w:rPr>
          <w:rFonts w:eastAsia="Arial Unicode MS"/>
          <w:color w:val="000000"/>
        </w:rPr>
        <w:t>https://doi.org/10.1080/01443410802570907</w:t>
      </w:r>
    </w:p>
    <w:p w14:paraId="452540B3" w14:textId="77777777"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 xml:space="preserve">Chen, G. H. (2010). Validating the Orientations to Happiness Scale in a Chinese Sample of University Students. </w:t>
      </w:r>
      <w:r w:rsidRPr="00351BC3">
        <w:rPr>
          <w:rFonts w:eastAsiaTheme="minorHAnsi"/>
          <w:i/>
          <w:iCs/>
          <w:color w:val="000000"/>
          <w:lang w:eastAsia="en-US"/>
        </w:rPr>
        <w:t>Social Indicators Research</w:t>
      </w:r>
      <w:r w:rsidRPr="00CF3515">
        <w:rPr>
          <w:rFonts w:eastAsiaTheme="minorHAnsi"/>
          <w:color w:val="000000"/>
          <w:lang w:eastAsia="en-US"/>
        </w:rPr>
        <w:t>,</w:t>
      </w:r>
      <w:r w:rsidRPr="00351BC3">
        <w:rPr>
          <w:rFonts w:eastAsiaTheme="minorHAnsi"/>
          <w:i/>
          <w:iCs/>
          <w:color w:val="000000"/>
          <w:lang w:eastAsia="en-US"/>
        </w:rPr>
        <w:t xml:space="preserve"> 99</w:t>
      </w:r>
      <w:r w:rsidRPr="00351BC3">
        <w:rPr>
          <w:rFonts w:eastAsiaTheme="minorHAnsi"/>
          <w:color w:val="000000"/>
          <w:lang w:eastAsia="en-US"/>
        </w:rPr>
        <w:t xml:space="preserve">(3), 431-442. </w:t>
      </w:r>
      <w:r w:rsidRPr="00351BC3">
        <w:rPr>
          <w:rFonts w:eastAsia="Arial Unicode MS"/>
          <w:color w:val="000000"/>
        </w:rPr>
        <w:t>https://doi.org/</w:t>
      </w:r>
      <w:r w:rsidRPr="00351BC3">
        <w:rPr>
          <w:rFonts w:eastAsiaTheme="minorHAnsi"/>
          <w:color w:val="000000"/>
          <w:lang w:eastAsia="en-US"/>
        </w:rPr>
        <w:t>10.1007/s11205-010-9590-y</w:t>
      </w:r>
    </w:p>
    <w:p w14:paraId="412FE8D2"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lastRenderedPageBreak/>
        <w:t xml:space="preserve">Chen, L. H., Tsai, Y. M., &amp; Chen, M. Y. (2010). Psychometric Analysis of the Orientations to Happiness Questionnaire in Taiwanese Undergraduate Students. </w:t>
      </w:r>
      <w:r w:rsidRPr="00351BC3">
        <w:rPr>
          <w:rFonts w:eastAsia="Arial Unicode MS"/>
          <w:i/>
          <w:iCs/>
          <w:color w:val="000000"/>
        </w:rPr>
        <w:t>Social Indicators Research</w:t>
      </w:r>
      <w:r w:rsidRPr="00CF3515">
        <w:rPr>
          <w:rFonts w:eastAsia="Arial Unicode MS"/>
          <w:color w:val="000000"/>
        </w:rPr>
        <w:t>,</w:t>
      </w:r>
      <w:r w:rsidRPr="00351BC3">
        <w:rPr>
          <w:rFonts w:eastAsia="Arial Unicode MS"/>
          <w:i/>
          <w:iCs/>
          <w:color w:val="000000"/>
        </w:rPr>
        <w:t xml:space="preserve"> 98</w:t>
      </w:r>
      <w:r w:rsidRPr="00351BC3">
        <w:rPr>
          <w:rFonts w:eastAsia="Arial Unicode MS"/>
          <w:color w:val="000000"/>
        </w:rPr>
        <w:t>(2), 239-249. https://doi.org/10.1007/s11205-009-9473-2 </w:t>
      </w:r>
    </w:p>
    <w:p w14:paraId="6603994D" w14:textId="77777777" w:rsidR="00351BC3" w:rsidRPr="00351BC3" w:rsidRDefault="00351BC3" w:rsidP="00351BC3">
      <w:pPr>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 xml:space="preserve">Cho, E., &amp; Kim, S. (2015). Cronbach’s Coefficient Alpha: well-known but poorly understood. </w:t>
      </w:r>
      <w:r w:rsidRPr="00351BC3">
        <w:rPr>
          <w:rFonts w:eastAsiaTheme="minorHAnsi"/>
          <w:i/>
          <w:iCs/>
          <w:color w:val="000000" w:themeColor="text1"/>
          <w:lang w:eastAsia="en-US"/>
        </w:rPr>
        <w:t>Organizational Research Methods</w:t>
      </w:r>
      <w:r w:rsidRPr="00CF3515">
        <w:rPr>
          <w:rFonts w:eastAsiaTheme="minorHAnsi"/>
          <w:color w:val="000000" w:themeColor="text1"/>
          <w:lang w:eastAsia="en-US"/>
        </w:rPr>
        <w:t>,</w:t>
      </w:r>
      <w:r w:rsidRPr="00351BC3">
        <w:rPr>
          <w:rFonts w:eastAsiaTheme="minorHAnsi"/>
          <w:i/>
          <w:iCs/>
          <w:color w:val="000000" w:themeColor="text1"/>
          <w:lang w:eastAsia="en-US"/>
        </w:rPr>
        <w:t xml:space="preserve"> 18</w:t>
      </w:r>
      <w:r w:rsidRPr="00351BC3">
        <w:rPr>
          <w:rFonts w:eastAsiaTheme="minorHAnsi"/>
          <w:color w:val="000000" w:themeColor="text1"/>
          <w:lang w:eastAsia="en-US"/>
        </w:rPr>
        <w:t xml:space="preserve">(2), 207-230. </w:t>
      </w:r>
      <w:r w:rsidRPr="00351BC3">
        <w:rPr>
          <w:rFonts w:eastAsia="Arial Unicode MS"/>
          <w:color w:val="000000"/>
        </w:rPr>
        <w:t>https://doi.org/</w:t>
      </w:r>
      <w:r w:rsidRPr="00351BC3">
        <w:rPr>
          <w:rFonts w:eastAsiaTheme="minorHAnsi"/>
          <w:color w:val="000000" w:themeColor="text1"/>
          <w:lang w:eastAsia="en-US"/>
        </w:rPr>
        <w:t>10.1177/1094428114555994</w:t>
      </w:r>
    </w:p>
    <w:p w14:paraId="331D1715"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Cimpoeru, S. (2022). Impact of income and unemployment on happiness: panel data evidence for European countries. </w:t>
      </w:r>
      <w:r w:rsidRPr="00CF3515">
        <w:rPr>
          <w:rFonts w:eastAsia="Arial Unicode MS"/>
          <w:i/>
          <w:iCs/>
          <w:color w:val="000000"/>
        </w:rPr>
        <w:t>Applied Economics Letters</w:t>
      </w:r>
      <w:r w:rsidRPr="00351BC3">
        <w:rPr>
          <w:rFonts w:eastAsia="Arial Unicode MS"/>
          <w:color w:val="000000"/>
        </w:rPr>
        <w:t>, </w:t>
      </w:r>
      <w:r w:rsidRPr="00CF3515">
        <w:rPr>
          <w:rFonts w:eastAsia="Arial Unicode MS"/>
          <w:i/>
          <w:iCs/>
          <w:color w:val="000000"/>
        </w:rPr>
        <w:t>30</w:t>
      </w:r>
      <w:r w:rsidRPr="00351BC3">
        <w:rPr>
          <w:rFonts w:eastAsia="Arial Unicode MS"/>
          <w:color w:val="000000"/>
        </w:rPr>
        <w:t>(8), 1047-1051. https://doi.org/</w:t>
      </w:r>
      <w:r>
        <w:fldChar w:fldCharType="begin"/>
      </w:r>
      <w:r>
        <w:instrText>HYPERLINK "https://doi.org/10.1080/13504851.2022.2035666"</w:instrText>
      </w:r>
      <w:r>
        <w:fldChar w:fldCharType="separate"/>
      </w:r>
      <w:r w:rsidRPr="00351BC3">
        <w:rPr>
          <w:rFonts w:eastAsia="Arial Unicode MS"/>
          <w:color w:val="000000"/>
        </w:rPr>
        <w:t>10.1080/13504851.2022.2035666</w:t>
      </w:r>
      <w:r>
        <w:rPr>
          <w:rFonts w:eastAsia="Arial Unicode MS"/>
          <w:color w:val="000000"/>
        </w:rPr>
        <w:fldChar w:fldCharType="end"/>
      </w:r>
    </w:p>
    <w:p w14:paraId="7E0B60FC" w14:textId="77777777" w:rsidR="00351BC3" w:rsidRPr="00351BC3" w:rsidRDefault="00351BC3" w:rsidP="00351BC3">
      <w:pPr>
        <w:ind w:left="709" w:hanging="709"/>
        <w:jc w:val="both"/>
      </w:pPr>
      <w:r w:rsidRPr="00351BC3">
        <w:t xml:space="preserve">Csikszentmihalyi, M. (1990). </w:t>
      </w:r>
      <w:r w:rsidRPr="00351BC3">
        <w:rPr>
          <w:i/>
          <w:iCs/>
        </w:rPr>
        <w:t>Flow: The psychology of optimal experience</w:t>
      </w:r>
      <w:r w:rsidRPr="00351BC3">
        <w:t>. Harper &amp; Row.</w:t>
      </w:r>
    </w:p>
    <w:p w14:paraId="15949404"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Cuñado, J., &amp; de Gracia, F. P. (2012). Does Education Affect Happiness? Evidence for Spain. </w:t>
      </w:r>
      <w:r w:rsidRPr="00351BC3">
        <w:rPr>
          <w:rFonts w:eastAsia="Arial Unicode MS"/>
          <w:i/>
          <w:iCs/>
          <w:color w:val="000000"/>
        </w:rPr>
        <w:t>Social Indicators Research</w:t>
      </w:r>
      <w:r w:rsidRPr="00CF3515">
        <w:rPr>
          <w:rFonts w:eastAsia="Arial Unicode MS"/>
          <w:color w:val="000000"/>
        </w:rPr>
        <w:t>,</w:t>
      </w:r>
      <w:r w:rsidRPr="00351BC3">
        <w:rPr>
          <w:rFonts w:eastAsia="Arial Unicode MS"/>
          <w:i/>
          <w:iCs/>
          <w:color w:val="000000"/>
        </w:rPr>
        <w:t> 108</w:t>
      </w:r>
      <w:r w:rsidRPr="00351BC3">
        <w:rPr>
          <w:rFonts w:eastAsia="Arial Unicode MS"/>
          <w:color w:val="000000"/>
        </w:rPr>
        <w:t>(1), 185-196. https://doi.org/10.1007/s11205-011-9874-x</w:t>
      </w:r>
    </w:p>
    <w:p w14:paraId="7FFF29A7" w14:textId="572AAC8D" w:rsidR="00351BC3" w:rsidRPr="00351BC3" w:rsidRDefault="00351BC3" w:rsidP="00351BC3">
      <w:pPr>
        <w:ind w:left="709" w:hanging="709"/>
        <w:jc w:val="both"/>
      </w:pPr>
      <w:r w:rsidRPr="00351BC3">
        <w:t xml:space="preserve">Dominguez-Lara, S. (2019). Correlación entre residuales en análisis factorial confirmatorio: una breve guía para su uso e interpretación. </w:t>
      </w:r>
      <w:r w:rsidRPr="00351BC3">
        <w:rPr>
          <w:i/>
          <w:iCs/>
        </w:rPr>
        <w:t>Revista de Avances en Psicología</w:t>
      </w:r>
      <w:r w:rsidRPr="00CF3515">
        <w:t>,</w:t>
      </w:r>
      <w:r w:rsidRPr="00351BC3">
        <w:rPr>
          <w:i/>
          <w:iCs/>
        </w:rPr>
        <w:t xml:space="preserve"> 5</w:t>
      </w:r>
      <w:r w:rsidRPr="00351BC3">
        <w:t>(3), Art</w:t>
      </w:r>
      <w:r w:rsidR="00CF3515">
        <w:t>í</w:t>
      </w:r>
      <w:r w:rsidRPr="00351BC3">
        <w:t xml:space="preserve">culo e207. </w:t>
      </w:r>
      <w:r w:rsidRPr="00351BC3">
        <w:rPr>
          <w:rFonts w:eastAsia="Arial Unicode MS"/>
          <w:color w:val="000000"/>
        </w:rPr>
        <w:t>https://doi.org/</w:t>
      </w:r>
      <w:r w:rsidRPr="00351BC3">
        <w:t>10.24016/2019.v5n3.207</w:t>
      </w:r>
    </w:p>
    <w:p w14:paraId="7AEDE174" w14:textId="01A27EDC"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 xml:space="preserve">Durón, M., García, F., &amp; Gálvez, M. (2016). Traducción y validación de una escala para medir orientación a la felicidad en población Mexicana. </w:t>
      </w:r>
      <w:r w:rsidRPr="00351BC3">
        <w:rPr>
          <w:rFonts w:eastAsiaTheme="minorHAnsi"/>
          <w:i/>
          <w:iCs/>
          <w:color w:val="000000"/>
          <w:lang w:eastAsia="en-US"/>
        </w:rPr>
        <w:t>Revista Mexicana de Psicología</w:t>
      </w:r>
      <w:r w:rsidRPr="00CF3515">
        <w:rPr>
          <w:rFonts w:eastAsiaTheme="minorHAnsi"/>
          <w:color w:val="000000"/>
          <w:lang w:eastAsia="en-US"/>
        </w:rPr>
        <w:t>,</w:t>
      </w:r>
      <w:r w:rsidRPr="00351BC3">
        <w:rPr>
          <w:rFonts w:eastAsiaTheme="minorHAnsi"/>
          <w:i/>
          <w:iCs/>
          <w:color w:val="000000"/>
          <w:lang w:eastAsia="en-US"/>
        </w:rPr>
        <w:t xml:space="preserve"> Memorias en Extenso</w:t>
      </w:r>
      <w:r w:rsidRPr="00351BC3">
        <w:rPr>
          <w:rFonts w:eastAsiaTheme="minorHAnsi"/>
          <w:color w:val="000000"/>
          <w:lang w:eastAsia="en-US"/>
        </w:rPr>
        <w:t>, 468-469. https://www.researchgate.net/publication/308996074_Traduccion_y_validacion_de_una_escala_para_medir_orientacion_a_la_felicidad_en_poblacion_Mexicana</w:t>
      </w:r>
    </w:p>
    <w:p w14:paraId="12EF0DAA" w14:textId="77777777"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 xml:space="preserve">Enríquez, D., Arías, B., Sánchez, R., Briceño, I., Chala, M., Bustos, J., &amp; Martínez, T. (2018). Significado psicológico de la felicidad: estudio comparativo entre mujeres y hombres mexicanos. Ponencia presentada en el X Congreso Chileno de Sociología Pre-Alas, Iquique, Chile. </w:t>
      </w:r>
    </w:p>
    <w:p w14:paraId="77EBE33C" w14:textId="77777777"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Enríquez, D., Baéz, L., Sánchez, R., &amp; Arias, B. (aceptado) Propiedades psicométricas de la escala de Motivos Hedónicos y Eudaimónicos de Actividades (HEMA-R) en Mexicanos y Colombianos. Revista Iberoamericana de Diagnóstico y Evaluación Psicológica (RIDEP).</w:t>
      </w:r>
    </w:p>
    <w:p w14:paraId="2F7962A5" w14:textId="0DB942B5" w:rsidR="00351BC3" w:rsidRPr="00351BC3" w:rsidRDefault="00351BC3" w:rsidP="00351BC3">
      <w:pPr>
        <w:tabs>
          <w:tab w:val="left" w:pos="6219"/>
        </w:tabs>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 xml:space="preserve">Escobar, J., &amp; Cuervo, A. (2008). Validez de contenido y juicio de expertos: una aproximación a su utilización. </w:t>
      </w:r>
      <w:r w:rsidRPr="00351BC3">
        <w:rPr>
          <w:rFonts w:eastAsiaTheme="minorHAnsi"/>
          <w:i/>
          <w:iCs/>
          <w:color w:val="000000" w:themeColor="text1"/>
          <w:lang w:eastAsia="en-US"/>
        </w:rPr>
        <w:t>Avances en Medición</w:t>
      </w:r>
      <w:r w:rsidRPr="00CF3515">
        <w:rPr>
          <w:rFonts w:eastAsiaTheme="minorHAnsi"/>
          <w:color w:val="000000" w:themeColor="text1"/>
          <w:lang w:eastAsia="en-US"/>
        </w:rPr>
        <w:t>,</w:t>
      </w:r>
      <w:r w:rsidRPr="00351BC3">
        <w:rPr>
          <w:rFonts w:eastAsiaTheme="minorHAnsi"/>
          <w:i/>
          <w:iCs/>
          <w:color w:val="000000" w:themeColor="text1"/>
          <w:lang w:eastAsia="en-US"/>
        </w:rPr>
        <w:t xml:space="preserve"> 6</w:t>
      </w:r>
      <w:r w:rsidRPr="00351BC3">
        <w:rPr>
          <w:rFonts w:eastAsiaTheme="minorHAnsi"/>
          <w:color w:val="000000" w:themeColor="text1"/>
          <w:lang w:eastAsia="en-US"/>
        </w:rPr>
        <w:t xml:space="preserve">(1), 27-36. </w:t>
      </w:r>
      <w:r w:rsidR="00690D7C" w:rsidRPr="00690D7C">
        <w:rPr>
          <w:rFonts w:eastAsiaTheme="minorHAnsi"/>
          <w:color w:val="000000" w:themeColor="text1"/>
          <w:lang w:eastAsia="en-US"/>
        </w:rPr>
        <w:t>https://dialnet.unirioja.es/servlet/articulo?codigo=2981181</w:t>
      </w:r>
    </w:p>
    <w:p w14:paraId="5ECA1281" w14:textId="1740D014" w:rsidR="00351BC3" w:rsidRPr="00351BC3" w:rsidRDefault="00351BC3" w:rsidP="00351BC3">
      <w:pPr>
        <w:ind w:left="709" w:hanging="709"/>
        <w:jc w:val="both"/>
      </w:pPr>
      <w:r w:rsidRPr="00351BC3">
        <w:t xml:space="preserve">Escobedo, M., Hernández, J., Estebané, V., &amp; Martínez, G. (2016). Modelos de Ecuaciones Estructurales: Características, Fases, Construcción, Aplicación y Resultados. </w:t>
      </w:r>
      <w:r w:rsidRPr="00351BC3">
        <w:rPr>
          <w:i/>
          <w:iCs/>
        </w:rPr>
        <w:t>Ciencia &amp; Trabajo</w:t>
      </w:r>
      <w:r w:rsidRPr="00CF3515">
        <w:t>,</w:t>
      </w:r>
      <w:r w:rsidRPr="00351BC3">
        <w:rPr>
          <w:i/>
          <w:iCs/>
        </w:rPr>
        <w:t xml:space="preserve"> 18</w:t>
      </w:r>
      <w:r w:rsidRPr="00351BC3">
        <w:t xml:space="preserve">(55), 16-22. </w:t>
      </w:r>
      <w:r w:rsidR="00690D7C" w:rsidRPr="00690D7C">
        <w:t>https://www.scielo.cl/scielo.php?script=sci_arttext&amp;pid=S0718-24492016000100004</w:t>
      </w:r>
    </w:p>
    <w:p w14:paraId="0934D268" w14:textId="2C7B5D31" w:rsidR="00351BC3" w:rsidRPr="00351BC3" w:rsidRDefault="00351BC3" w:rsidP="00351BC3">
      <w:pPr>
        <w:tabs>
          <w:tab w:val="left" w:pos="6219"/>
        </w:tabs>
        <w:autoSpaceDE w:val="0"/>
        <w:autoSpaceDN w:val="0"/>
        <w:adjustRightInd w:val="0"/>
        <w:ind w:left="709" w:right="-198" w:hanging="709"/>
        <w:jc w:val="both"/>
        <w:rPr>
          <w:color w:val="000000" w:themeColor="text1"/>
          <w:shd w:val="clear" w:color="auto" w:fill="FFFFFF"/>
          <w:lang w:val="en-US"/>
        </w:rPr>
      </w:pPr>
      <w:r w:rsidRPr="00351BC3">
        <w:rPr>
          <w:color w:val="000000" w:themeColor="text1"/>
          <w:lang w:val="es"/>
        </w:rPr>
        <w:t xml:space="preserve">Ferrando, P. J., &amp; Anguiano-Carrasco, C. (2010). El Análisis Factorial como técnica de investigación en psicología. </w:t>
      </w:r>
      <w:r w:rsidRPr="00351BC3">
        <w:rPr>
          <w:i/>
          <w:iCs/>
          <w:color w:val="000000" w:themeColor="text1"/>
          <w:lang w:val="es"/>
        </w:rPr>
        <w:t>Papeles del Psicólogo</w:t>
      </w:r>
      <w:r w:rsidRPr="00CF3515">
        <w:rPr>
          <w:color w:val="000000" w:themeColor="text1"/>
          <w:lang w:val="es"/>
        </w:rPr>
        <w:t>,</w:t>
      </w:r>
      <w:r w:rsidRPr="00351BC3">
        <w:rPr>
          <w:i/>
          <w:iCs/>
          <w:color w:val="000000" w:themeColor="text1"/>
          <w:lang w:val="es"/>
        </w:rPr>
        <w:t xml:space="preserve"> 31</w:t>
      </w:r>
      <w:r w:rsidRPr="00351BC3">
        <w:rPr>
          <w:color w:val="000000" w:themeColor="text1"/>
          <w:lang w:val="es"/>
        </w:rPr>
        <w:t>(1), 18-33.</w:t>
      </w:r>
      <w:r w:rsidR="00690D7C">
        <w:rPr>
          <w:color w:val="000000" w:themeColor="text1"/>
          <w:lang w:val="es"/>
        </w:rPr>
        <w:t xml:space="preserve"> </w:t>
      </w:r>
      <w:r w:rsidR="00690D7C" w:rsidRPr="00690D7C">
        <w:rPr>
          <w:color w:val="000000" w:themeColor="text1"/>
          <w:lang w:val="es"/>
        </w:rPr>
        <w:t>https://www.redalyc.org/pdf/778/77812441003.pdf</w:t>
      </w:r>
    </w:p>
    <w:p w14:paraId="4A7896B4" w14:textId="77777777"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Finch, J. F., &amp; West, S. G. (1997). The Investigation of Personality Structure: Statistical Models.</w:t>
      </w:r>
      <w:r w:rsidRPr="00351BC3">
        <w:rPr>
          <w:i/>
          <w:iCs/>
          <w:color w:val="000000" w:themeColor="text1"/>
          <w:shd w:val="clear" w:color="auto" w:fill="FFFFFF"/>
        </w:rPr>
        <w:t xml:space="preserve"> Journal of Research in Personality</w:t>
      </w:r>
      <w:r w:rsidRPr="00CF3515">
        <w:rPr>
          <w:color w:val="000000" w:themeColor="text1"/>
          <w:shd w:val="clear" w:color="auto" w:fill="FFFFFF"/>
        </w:rPr>
        <w:t>,</w:t>
      </w:r>
      <w:r w:rsidRPr="00351BC3">
        <w:rPr>
          <w:i/>
          <w:iCs/>
          <w:color w:val="000000" w:themeColor="text1"/>
          <w:shd w:val="clear" w:color="auto" w:fill="FFFFFF"/>
        </w:rPr>
        <w:t xml:space="preserve"> 31</w:t>
      </w:r>
      <w:r w:rsidRPr="00CF3515">
        <w:rPr>
          <w:color w:val="000000" w:themeColor="text1"/>
          <w:shd w:val="clear" w:color="auto" w:fill="FFFFFF"/>
        </w:rPr>
        <w:t>(4), 439–485. </w:t>
      </w:r>
      <w:r w:rsidRPr="00351BC3">
        <w:rPr>
          <w:color w:val="212121"/>
          <w:shd w:val="clear" w:color="auto" w:fill="FFFFFF"/>
        </w:rPr>
        <w:t>https://doi.org/</w:t>
      </w:r>
      <w:r w:rsidRPr="00351BC3">
        <w:rPr>
          <w:color w:val="000000" w:themeColor="text1"/>
          <w:shd w:val="clear" w:color="auto" w:fill="FFFFFF"/>
        </w:rPr>
        <w:t>10.1006/jrpe.1997.2194 </w:t>
      </w:r>
    </w:p>
    <w:p w14:paraId="0F3A56B4" w14:textId="48D1D195"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 xml:space="preserve">Flores, O. (2023). ¿Cuál es la definición de felicidadde habitantes de la Ciudad de México? </w:t>
      </w:r>
      <w:r w:rsidRPr="00CF3515">
        <w:rPr>
          <w:i/>
          <w:iCs/>
          <w:color w:val="000000" w:themeColor="text1"/>
          <w:shd w:val="clear" w:color="auto" w:fill="FFFFFF"/>
        </w:rPr>
        <w:t>Revista Digital Internacional de Psicología y Ciencia Social</w:t>
      </w:r>
      <w:r w:rsidRPr="00351BC3">
        <w:rPr>
          <w:color w:val="000000" w:themeColor="text1"/>
          <w:shd w:val="clear" w:color="auto" w:fill="FFFFFF"/>
        </w:rPr>
        <w:t>,</w:t>
      </w:r>
      <w:r w:rsidR="00CF3515">
        <w:rPr>
          <w:color w:val="000000" w:themeColor="text1"/>
          <w:shd w:val="clear" w:color="auto" w:fill="FFFFFF"/>
        </w:rPr>
        <w:t xml:space="preserve"> </w:t>
      </w:r>
      <w:r w:rsidRPr="00CF3515">
        <w:rPr>
          <w:i/>
          <w:iCs/>
          <w:color w:val="000000" w:themeColor="text1"/>
          <w:shd w:val="clear" w:color="auto" w:fill="FFFFFF"/>
        </w:rPr>
        <w:t>9</w:t>
      </w:r>
      <w:r w:rsidRPr="00351BC3">
        <w:rPr>
          <w:color w:val="000000" w:themeColor="text1"/>
          <w:shd w:val="clear" w:color="auto" w:fill="FFFFFF"/>
        </w:rPr>
        <w:t xml:space="preserve">(1), Artículo e.9.1.2023.502e912023502. </w:t>
      </w:r>
      <w:r w:rsidRPr="00351BC3">
        <w:rPr>
          <w:color w:val="212121"/>
          <w:shd w:val="clear" w:color="auto" w:fill="FFFFFF"/>
        </w:rPr>
        <w:t>https://doi.org/</w:t>
      </w:r>
      <w:r w:rsidRPr="00351BC3">
        <w:rPr>
          <w:color w:val="000000" w:themeColor="text1"/>
          <w:shd w:val="clear" w:color="auto" w:fill="FFFFFF"/>
        </w:rPr>
        <w:t>10.22402/j.rdipycs.unam</w:t>
      </w:r>
    </w:p>
    <w:p w14:paraId="4C1CECAA" w14:textId="77777777" w:rsidR="00351BC3" w:rsidRPr="00351BC3" w:rsidRDefault="00351BC3" w:rsidP="00351BC3">
      <w:pPr>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lastRenderedPageBreak/>
        <w:t xml:space="preserve">Fornell, C., &amp; Larcker, D. (1981). Evaluating structural equation models with unobservable variables and measurement error. </w:t>
      </w:r>
      <w:r w:rsidRPr="00351BC3">
        <w:rPr>
          <w:rFonts w:eastAsiaTheme="minorHAnsi"/>
          <w:i/>
          <w:iCs/>
          <w:color w:val="000000" w:themeColor="text1"/>
          <w:lang w:eastAsia="en-US"/>
        </w:rPr>
        <w:t>Journal of Marketing Research</w:t>
      </w:r>
      <w:r w:rsidRPr="00CF3515">
        <w:rPr>
          <w:rFonts w:eastAsiaTheme="minorHAnsi"/>
          <w:color w:val="000000" w:themeColor="text1"/>
          <w:lang w:eastAsia="en-US"/>
        </w:rPr>
        <w:t>,</w:t>
      </w:r>
      <w:r w:rsidRPr="00351BC3">
        <w:rPr>
          <w:rFonts w:eastAsiaTheme="minorHAnsi"/>
          <w:i/>
          <w:iCs/>
          <w:color w:val="000000" w:themeColor="text1"/>
          <w:lang w:eastAsia="en-US"/>
        </w:rPr>
        <w:t xml:space="preserve"> 18</w:t>
      </w:r>
      <w:r w:rsidRPr="00351BC3">
        <w:rPr>
          <w:rFonts w:eastAsiaTheme="minorHAnsi"/>
          <w:color w:val="000000" w:themeColor="text1"/>
          <w:lang w:eastAsia="en-US"/>
        </w:rPr>
        <w:t xml:space="preserve">(1), 39-50. </w:t>
      </w:r>
      <w:r w:rsidRPr="00351BC3">
        <w:rPr>
          <w:rFonts w:eastAsia="Arial Unicode MS"/>
          <w:color w:val="000000"/>
        </w:rPr>
        <w:t>https://doi.org/</w:t>
      </w:r>
      <w:r w:rsidRPr="00351BC3">
        <w:rPr>
          <w:rFonts w:eastAsiaTheme="minorHAnsi"/>
          <w:color w:val="000000" w:themeColor="text1"/>
          <w:lang w:eastAsia="en-US"/>
        </w:rPr>
        <w:t>10.2307/3151312</w:t>
      </w:r>
    </w:p>
    <w:p w14:paraId="0CB01538" w14:textId="778E90E2" w:rsidR="00351BC3" w:rsidRPr="00351BC3" w:rsidRDefault="00351BC3" w:rsidP="00351BC3">
      <w:pPr>
        <w:ind w:left="709" w:hanging="709"/>
        <w:jc w:val="both"/>
      </w:pPr>
      <w:r w:rsidRPr="00351BC3">
        <w:t>Frías-Navarro, D., &amp; Pascual-Soler, M. (2012). Prácticas del Análisis Factorial Exploratorio (AFE) en la investigación sobre conducta del consumidor y marketing. </w:t>
      </w:r>
      <w:r w:rsidRPr="00351BC3">
        <w:rPr>
          <w:i/>
          <w:iCs/>
        </w:rPr>
        <w:t>Suma Psicológica</w:t>
      </w:r>
      <w:r w:rsidRPr="00CF3515">
        <w:t>,</w:t>
      </w:r>
      <w:r w:rsidRPr="00351BC3">
        <w:rPr>
          <w:i/>
          <w:iCs/>
        </w:rPr>
        <w:t> 19</w:t>
      </w:r>
      <w:r w:rsidRPr="00351BC3">
        <w:t xml:space="preserve">(1), 47-58. </w:t>
      </w:r>
      <w:r w:rsidR="00690D7C" w:rsidRPr="00690D7C">
        <w:t>https://www.redalyc.org/articulo.oa?id=134224283004</w:t>
      </w:r>
    </w:p>
    <w:p w14:paraId="5A2AC88E" w14:textId="77777777" w:rsidR="00351BC3" w:rsidRPr="00351BC3" w:rsidRDefault="00351BC3" w:rsidP="00351BC3">
      <w:pPr>
        <w:ind w:left="709" w:hanging="709"/>
        <w:jc w:val="both"/>
      </w:pPr>
      <w:r w:rsidRPr="00351BC3">
        <w:t xml:space="preserve">Gaskin, C. J., &amp; Happell, B. (2014). On Exploratory Factor Analysis: A review of recent evidence, an assessment of current practice, and recommendations for future use. </w:t>
      </w:r>
      <w:r w:rsidRPr="00351BC3">
        <w:rPr>
          <w:i/>
          <w:iCs/>
        </w:rPr>
        <w:t>International Journal of Nursing Studies</w:t>
      </w:r>
      <w:r w:rsidRPr="00CF3515">
        <w:t>,</w:t>
      </w:r>
      <w:r w:rsidRPr="00351BC3">
        <w:rPr>
          <w:i/>
          <w:iCs/>
        </w:rPr>
        <w:t xml:space="preserve"> 51</w:t>
      </w:r>
      <w:r w:rsidRPr="00351BC3">
        <w:t xml:space="preserve">(3), 511-521. </w:t>
      </w:r>
      <w:r w:rsidRPr="00351BC3">
        <w:rPr>
          <w:rFonts w:eastAsia="Arial Unicode MS"/>
          <w:color w:val="000000"/>
        </w:rPr>
        <w:t>https://doi.org/</w:t>
      </w:r>
      <w:r w:rsidRPr="00351BC3">
        <w:t>10.1016/j.ijnurstu.2013.10.005</w:t>
      </w:r>
    </w:p>
    <w:p w14:paraId="365CC6CE" w14:textId="77777777" w:rsidR="00351BC3" w:rsidRPr="00351BC3" w:rsidRDefault="00351BC3" w:rsidP="00351BC3">
      <w:pPr>
        <w:ind w:left="709" w:hanging="709"/>
        <w:jc w:val="both"/>
      </w:pPr>
      <w:r w:rsidRPr="00351BC3">
        <w:rPr>
          <w:rFonts w:eastAsiaTheme="minorHAnsi"/>
          <w:color w:val="000000"/>
          <w:lang w:eastAsia="en-US"/>
        </w:rPr>
        <w:t xml:space="preserve">Gaston-Breton, C., Lemoine, J. E., Voyer, B. G., &amp; Kastanakis, M. N. (2021). Pleasure, meaning or spirituality: Cross-cultural differences in orientations to happiness across 12 countries. </w:t>
      </w:r>
      <w:r w:rsidRPr="00351BC3">
        <w:rPr>
          <w:rFonts w:eastAsiaTheme="minorHAnsi"/>
          <w:i/>
          <w:iCs/>
          <w:color w:val="000000"/>
          <w:lang w:eastAsia="en-US"/>
        </w:rPr>
        <w:t>Journal of Business Research</w:t>
      </w:r>
      <w:r w:rsidRPr="00CF3515">
        <w:rPr>
          <w:rFonts w:eastAsiaTheme="minorHAnsi"/>
          <w:color w:val="000000"/>
          <w:lang w:eastAsia="en-US"/>
        </w:rPr>
        <w:t>,</w:t>
      </w:r>
      <w:r w:rsidRPr="00351BC3">
        <w:rPr>
          <w:rFonts w:eastAsiaTheme="minorHAnsi"/>
          <w:i/>
          <w:iCs/>
          <w:color w:val="000000"/>
          <w:lang w:eastAsia="en-US"/>
        </w:rPr>
        <w:t xml:space="preserve"> 134</w:t>
      </w:r>
      <w:r w:rsidRPr="00351BC3">
        <w:rPr>
          <w:rFonts w:eastAsiaTheme="minorHAnsi"/>
          <w:color w:val="000000"/>
          <w:lang w:eastAsia="en-US"/>
        </w:rPr>
        <w:t>, 1-12. https://doi.org/10.1016/j.jbusres.2021.05.013</w:t>
      </w:r>
    </w:p>
    <w:p w14:paraId="204390CC"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Henderson, L. W., Knight, T., &amp; Richardson, B. (2013). The Hedonic and Eudaimonic Validity of the Orientations to Happiness Scale. </w:t>
      </w:r>
      <w:r w:rsidRPr="00351BC3">
        <w:rPr>
          <w:rFonts w:eastAsia="Arial Unicode MS"/>
          <w:i/>
          <w:iCs/>
          <w:color w:val="000000"/>
        </w:rPr>
        <w:t>Social Indicators Research</w:t>
      </w:r>
      <w:r w:rsidRPr="00CF3515">
        <w:rPr>
          <w:rFonts w:eastAsia="Arial Unicode MS"/>
          <w:color w:val="000000"/>
        </w:rPr>
        <w:t>,</w:t>
      </w:r>
      <w:r w:rsidRPr="00351BC3">
        <w:rPr>
          <w:rFonts w:eastAsia="Arial Unicode MS"/>
          <w:i/>
          <w:iCs/>
          <w:color w:val="000000"/>
        </w:rPr>
        <w:t xml:space="preserve"> 115</w:t>
      </w:r>
      <w:r w:rsidRPr="00351BC3">
        <w:rPr>
          <w:rFonts w:eastAsia="Arial Unicode MS"/>
          <w:color w:val="000000"/>
        </w:rPr>
        <w:t xml:space="preserve">(3), 1087–1099. </w:t>
      </w:r>
      <w:r w:rsidRPr="00351BC3">
        <w:rPr>
          <w:color w:val="212121"/>
          <w:shd w:val="clear" w:color="auto" w:fill="FFFFFF"/>
        </w:rPr>
        <w:t>https://doi.org/</w:t>
      </w:r>
      <w:r w:rsidRPr="00351BC3">
        <w:rPr>
          <w:rFonts w:eastAsia="Arial Unicode MS"/>
          <w:color w:val="000000"/>
        </w:rPr>
        <w:t>10.1007/s11205-013-0264-4 </w:t>
      </w:r>
    </w:p>
    <w:p w14:paraId="5B16B248" w14:textId="33593712" w:rsidR="00351BC3" w:rsidRPr="00351BC3" w:rsidRDefault="00351BC3" w:rsidP="00351BC3">
      <w:pPr>
        <w:ind w:left="709" w:hanging="709"/>
        <w:jc w:val="both"/>
        <w:rPr>
          <w:color w:val="000000" w:themeColor="text1"/>
          <w:lang w:val="es"/>
        </w:rPr>
      </w:pPr>
      <w:r w:rsidRPr="00351BC3">
        <w:rPr>
          <w:color w:val="000000" w:themeColor="text1"/>
          <w:lang w:val="es"/>
        </w:rPr>
        <w:t xml:space="preserve">Hooper, D, </w:t>
      </w:r>
      <w:proofErr w:type="spellStart"/>
      <w:r w:rsidRPr="00351BC3">
        <w:rPr>
          <w:color w:val="000000" w:themeColor="text1"/>
          <w:lang w:val="es"/>
        </w:rPr>
        <w:t>Coughlan</w:t>
      </w:r>
      <w:proofErr w:type="spellEnd"/>
      <w:r w:rsidRPr="00351BC3">
        <w:rPr>
          <w:color w:val="000000" w:themeColor="text1"/>
          <w:lang w:val="es"/>
        </w:rPr>
        <w:t xml:space="preserve">, J., &amp; Mullen, M (2008) </w:t>
      </w:r>
      <w:proofErr w:type="spellStart"/>
      <w:r w:rsidRPr="00351BC3">
        <w:rPr>
          <w:color w:val="000000" w:themeColor="text1"/>
          <w:lang w:val="es"/>
        </w:rPr>
        <w:t>Structural</w:t>
      </w:r>
      <w:proofErr w:type="spellEnd"/>
      <w:r w:rsidRPr="00351BC3">
        <w:rPr>
          <w:color w:val="000000" w:themeColor="text1"/>
          <w:lang w:val="es"/>
        </w:rPr>
        <w:t xml:space="preserve"> </w:t>
      </w:r>
      <w:proofErr w:type="spellStart"/>
      <w:r w:rsidRPr="00351BC3">
        <w:rPr>
          <w:color w:val="000000" w:themeColor="text1"/>
          <w:lang w:val="es"/>
        </w:rPr>
        <w:t>Equation</w:t>
      </w:r>
      <w:proofErr w:type="spellEnd"/>
      <w:r w:rsidRPr="00351BC3">
        <w:rPr>
          <w:color w:val="000000" w:themeColor="text1"/>
          <w:lang w:val="es"/>
        </w:rPr>
        <w:t xml:space="preserve"> </w:t>
      </w:r>
      <w:proofErr w:type="spellStart"/>
      <w:r w:rsidRPr="00351BC3">
        <w:rPr>
          <w:color w:val="000000" w:themeColor="text1"/>
          <w:lang w:val="es"/>
        </w:rPr>
        <w:t>Modelling</w:t>
      </w:r>
      <w:proofErr w:type="spellEnd"/>
      <w:r w:rsidRPr="00351BC3">
        <w:rPr>
          <w:color w:val="000000" w:themeColor="text1"/>
          <w:lang w:val="es"/>
        </w:rPr>
        <w:t xml:space="preserve">: </w:t>
      </w:r>
      <w:proofErr w:type="spellStart"/>
      <w:r w:rsidRPr="00351BC3">
        <w:rPr>
          <w:color w:val="000000" w:themeColor="text1"/>
          <w:lang w:val="es"/>
        </w:rPr>
        <w:t>Guidelines</w:t>
      </w:r>
      <w:proofErr w:type="spellEnd"/>
      <w:r w:rsidRPr="00351BC3">
        <w:rPr>
          <w:color w:val="000000" w:themeColor="text1"/>
          <w:lang w:val="es"/>
        </w:rPr>
        <w:t xml:space="preserve"> </w:t>
      </w:r>
      <w:proofErr w:type="spellStart"/>
      <w:r w:rsidRPr="00351BC3">
        <w:rPr>
          <w:color w:val="000000" w:themeColor="text1"/>
          <w:lang w:val="es"/>
        </w:rPr>
        <w:t>for</w:t>
      </w:r>
      <w:proofErr w:type="spellEnd"/>
      <w:r w:rsidRPr="00351BC3">
        <w:rPr>
          <w:color w:val="000000" w:themeColor="text1"/>
          <w:lang w:val="es"/>
        </w:rPr>
        <w:t xml:space="preserve"> </w:t>
      </w:r>
      <w:proofErr w:type="spellStart"/>
      <w:r w:rsidRPr="00351BC3">
        <w:rPr>
          <w:color w:val="000000" w:themeColor="text1"/>
          <w:lang w:val="es"/>
        </w:rPr>
        <w:t>Determining</w:t>
      </w:r>
      <w:proofErr w:type="spellEnd"/>
      <w:r w:rsidRPr="00351BC3">
        <w:rPr>
          <w:color w:val="000000" w:themeColor="text1"/>
          <w:lang w:val="es"/>
        </w:rPr>
        <w:t xml:space="preserve"> </w:t>
      </w:r>
      <w:proofErr w:type="spellStart"/>
      <w:r w:rsidRPr="00351BC3">
        <w:rPr>
          <w:color w:val="000000" w:themeColor="text1"/>
          <w:lang w:val="es"/>
        </w:rPr>
        <w:t>Model</w:t>
      </w:r>
      <w:proofErr w:type="spellEnd"/>
      <w:r w:rsidRPr="00351BC3">
        <w:rPr>
          <w:color w:val="000000" w:themeColor="text1"/>
          <w:lang w:val="es"/>
        </w:rPr>
        <w:t xml:space="preserve"> </w:t>
      </w:r>
      <w:proofErr w:type="spellStart"/>
      <w:r w:rsidRPr="00351BC3">
        <w:rPr>
          <w:color w:val="000000" w:themeColor="text1"/>
          <w:lang w:val="es"/>
        </w:rPr>
        <w:t>Fit</w:t>
      </w:r>
      <w:proofErr w:type="spellEnd"/>
      <w:r w:rsidRPr="00351BC3">
        <w:rPr>
          <w:color w:val="000000" w:themeColor="text1"/>
          <w:lang w:val="es"/>
        </w:rPr>
        <w:t xml:space="preserve">. </w:t>
      </w:r>
      <w:r w:rsidRPr="00351BC3">
        <w:rPr>
          <w:i/>
          <w:iCs/>
          <w:color w:val="000000" w:themeColor="text1"/>
          <w:lang w:val="es"/>
        </w:rPr>
        <w:t xml:space="preserve">Electronic </w:t>
      </w:r>
      <w:proofErr w:type="spellStart"/>
      <w:r w:rsidRPr="00351BC3">
        <w:rPr>
          <w:i/>
          <w:iCs/>
          <w:color w:val="000000" w:themeColor="text1"/>
          <w:lang w:val="es"/>
        </w:rPr>
        <w:t>Journal</w:t>
      </w:r>
      <w:proofErr w:type="spellEnd"/>
      <w:r w:rsidRPr="00351BC3">
        <w:rPr>
          <w:i/>
          <w:iCs/>
          <w:color w:val="000000" w:themeColor="text1"/>
          <w:lang w:val="es"/>
        </w:rPr>
        <w:t xml:space="preserve"> </w:t>
      </w:r>
      <w:proofErr w:type="spellStart"/>
      <w:r w:rsidRPr="00351BC3">
        <w:rPr>
          <w:i/>
          <w:iCs/>
          <w:color w:val="000000" w:themeColor="text1"/>
          <w:lang w:val="es"/>
        </w:rPr>
        <w:t>of</w:t>
      </w:r>
      <w:proofErr w:type="spellEnd"/>
      <w:r w:rsidRPr="00351BC3">
        <w:rPr>
          <w:i/>
          <w:iCs/>
          <w:color w:val="000000" w:themeColor="text1"/>
          <w:lang w:val="es"/>
        </w:rPr>
        <w:t xml:space="preserve"> Business </w:t>
      </w:r>
      <w:proofErr w:type="spellStart"/>
      <w:r w:rsidRPr="00351BC3">
        <w:rPr>
          <w:i/>
          <w:iCs/>
          <w:color w:val="000000" w:themeColor="text1"/>
          <w:lang w:val="es"/>
        </w:rPr>
        <w:t>Research</w:t>
      </w:r>
      <w:proofErr w:type="spellEnd"/>
      <w:r w:rsidRPr="00351BC3">
        <w:rPr>
          <w:i/>
          <w:iCs/>
          <w:color w:val="000000" w:themeColor="text1"/>
          <w:lang w:val="es"/>
        </w:rPr>
        <w:t xml:space="preserve"> </w:t>
      </w:r>
      <w:proofErr w:type="spellStart"/>
      <w:r w:rsidRPr="00351BC3">
        <w:rPr>
          <w:i/>
          <w:iCs/>
          <w:color w:val="000000" w:themeColor="text1"/>
          <w:lang w:val="es"/>
        </w:rPr>
        <w:t>Methods</w:t>
      </w:r>
      <w:proofErr w:type="spellEnd"/>
      <w:r w:rsidRPr="00CF3515">
        <w:rPr>
          <w:color w:val="000000" w:themeColor="text1"/>
          <w:lang w:val="es"/>
        </w:rPr>
        <w:t>,</w:t>
      </w:r>
      <w:r w:rsidRPr="00351BC3">
        <w:rPr>
          <w:i/>
          <w:iCs/>
          <w:color w:val="000000" w:themeColor="text1"/>
          <w:lang w:val="es"/>
        </w:rPr>
        <w:t xml:space="preserve"> 6</w:t>
      </w:r>
      <w:r w:rsidRPr="00351BC3">
        <w:rPr>
          <w:color w:val="000000" w:themeColor="text1"/>
          <w:lang w:val="es"/>
        </w:rPr>
        <w:t xml:space="preserve">(1), 53-60. </w:t>
      </w:r>
      <w:r w:rsidR="00690D7C" w:rsidRPr="00690D7C">
        <w:rPr>
          <w:color w:val="000000" w:themeColor="text1"/>
          <w:lang w:val="es"/>
        </w:rPr>
        <w:t>https://www.researchgate.net/publication/254742561_Structural_Equation_Modeling_Guidelines_for_Determining_Model_Fit</w:t>
      </w:r>
    </w:p>
    <w:p w14:paraId="10C25BA3" w14:textId="77777777" w:rsidR="00351BC3" w:rsidRPr="00351BC3" w:rsidRDefault="00351BC3" w:rsidP="00351BC3">
      <w:pPr>
        <w:ind w:left="709" w:hanging="709"/>
        <w:jc w:val="both"/>
      </w:pPr>
      <w:r w:rsidRPr="00351BC3">
        <w:t xml:space="preserve">Hu, L. &amp; Bentler, P. M. (1999). Cutoff criteria for fit indexes in covariance structure analysis: Conventional criteria versus new alternatives. </w:t>
      </w:r>
      <w:r w:rsidRPr="00351BC3">
        <w:rPr>
          <w:i/>
          <w:iCs/>
        </w:rPr>
        <w:t>Structural Equation Modeling</w:t>
      </w:r>
      <w:r w:rsidRPr="00CF3515">
        <w:t>,</w:t>
      </w:r>
      <w:r w:rsidRPr="00351BC3">
        <w:rPr>
          <w:i/>
          <w:iCs/>
        </w:rPr>
        <w:t xml:space="preserve"> 6</w:t>
      </w:r>
      <w:r w:rsidRPr="00351BC3">
        <w:t xml:space="preserve">(1), 1-55. </w:t>
      </w:r>
      <w:r w:rsidRPr="00351BC3">
        <w:rPr>
          <w:rFonts w:eastAsiaTheme="minorHAnsi"/>
          <w:color w:val="000000"/>
          <w:lang w:eastAsia="en-US"/>
        </w:rPr>
        <w:t>https://doi.org/</w:t>
      </w:r>
      <w:r w:rsidRPr="00351BC3">
        <w:t>10.1080/10705519909540118</w:t>
      </w:r>
    </w:p>
    <w:p w14:paraId="0B4229C6" w14:textId="77777777" w:rsidR="00351BC3" w:rsidRPr="00351BC3" w:rsidRDefault="00351BC3" w:rsidP="00351BC3">
      <w:pPr>
        <w:pStyle w:val="NormalWeb"/>
        <w:shd w:val="clear" w:color="auto" w:fill="FFFFFF"/>
        <w:ind w:left="709" w:hanging="709"/>
        <w:jc w:val="both"/>
        <w:rPr>
          <w:color w:val="000000" w:themeColor="text1"/>
          <w:shd w:val="clear" w:color="auto" w:fill="FFFFFF"/>
        </w:rPr>
      </w:pPr>
      <w:r w:rsidRPr="00351BC3">
        <w:rPr>
          <w:color w:val="000000" w:themeColor="text1"/>
          <w:shd w:val="clear" w:color="auto" w:fill="FFFFFF"/>
        </w:rPr>
        <w:t xml:space="preserve">Huta V. (2016). Eudaimonic and Hedonic Orientations: Theoretical Considerations and Research Findings. En: Vittersø J. (Eds.) </w:t>
      </w:r>
      <w:r w:rsidRPr="00351BC3">
        <w:rPr>
          <w:i/>
          <w:iCs/>
          <w:color w:val="000000" w:themeColor="text1"/>
          <w:shd w:val="clear" w:color="auto" w:fill="FFFFFF"/>
        </w:rPr>
        <w:t>Handbook of Eudaimonic Well-Being (pp. 215-231). International Handbooks of Quality-of-Life</w:t>
      </w:r>
      <w:r w:rsidRPr="00351BC3">
        <w:rPr>
          <w:color w:val="000000" w:themeColor="text1"/>
          <w:shd w:val="clear" w:color="auto" w:fill="FFFFFF"/>
        </w:rPr>
        <w:t xml:space="preserve">. Springer. </w:t>
      </w:r>
      <w:r w:rsidRPr="00351BC3">
        <w:rPr>
          <w:rFonts w:eastAsiaTheme="minorHAnsi"/>
          <w:color w:val="000000"/>
          <w:lang w:eastAsia="en-US"/>
        </w:rPr>
        <w:t>https://doi.org/</w:t>
      </w:r>
      <w:r w:rsidRPr="00351BC3">
        <w:rPr>
          <w:color w:val="000000" w:themeColor="text1"/>
          <w:shd w:val="clear" w:color="auto" w:fill="FFFFFF"/>
        </w:rPr>
        <w:t>10.1007/978-3-319-42445-3_15</w:t>
      </w:r>
    </w:p>
    <w:p w14:paraId="04495531" w14:textId="00A288E1"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 xml:space="preserve">Huta, V. (2018). Eudaimonia versus Hedonia: What is the difference? And is it real? </w:t>
      </w:r>
      <w:r w:rsidRPr="00351BC3">
        <w:rPr>
          <w:i/>
          <w:iCs/>
          <w:color w:val="000000" w:themeColor="text1"/>
          <w:shd w:val="clear" w:color="auto" w:fill="FFFFFF"/>
        </w:rPr>
        <w:t>International Journal of Existential Psychology and Psychotherapy</w:t>
      </w:r>
      <w:r w:rsidRPr="00CF3515">
        <w:rPr>
          <w:color w:val="000000" w:themeColor="text1"/>
          <w:shd w:val="clear" w:color="auto" w:fill="FFFFFF"/>
        </w:rPr>
        <w:t>,</w:t>
      </w:r>
      <w:r w:rsidRPr="00351BC3">
        <w:rPr>
          <w:i/>
          <w:iCs/>
          <w:color w:val="000000" w:themeColor="text1"/>
          <w:shd w:val="clear" w:color="auto" w:fill="FFFFFF"/>
        </w:rPr>
        <w:t xml:space="preserve"> 7</w:t>
      </w:r>
      <w:r w:rsidRPr="00351BC3">
        <w:rPr>
          <w:color w:val="000000" w:themeColor="text1"/>
          <w:shd w:val="clear" w:color="auto" w:fill="FFFFFF"/>
        </w:rPr>
        <w:t>(2), 1-8.</w:t>
      </w:r>
      <w:r w:rsidR="00690D7C">
        <w:rPr>
          <w:color w:val="000000" w:themeColor="text1"/>
          <w:shd w:val="clear" w:color="auto" w:fill="FFFFFF"/>
        </w:rPr>
        <w:t xml:space="preserve"> </w:t>
      </w:r>
      <w:r w:rsidR="00690D7C" w:rsidRPr="00690D7C">
        <w:rPr>
          <w:color w:val="000000" w:themeColor="text1"/>
          <w:shd w:val="clear" w:color="auto" w:fill="FFFFFF"/>
        </w:rPr>
        <w:t>https://www.researchgate.net/publication/328315213_Eudaimonia_versus_Hedonia_What_Is_the_Difference_And_Is_It_Real</w:t>
      </w:r>
    </w:p>
    <w:p w14:paraId="0C55FE7D" w14:textId="77777777"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 xml:space="preserve">Huta, V., &amp; Ryan, R. M. (2010). Pursuing Pleasure or Virtue: The differential and overlapping Well-being benefits of Hedonic and Eudaimonic Motives. </w:t>
      </w:r>
      <w:r w:rsidRPr="00351BC3">
        <w:rPr>
          <w:i/>
          <w:iCs/>
          <w:color w:val="000000" w:themeColor="text1"/>
          <w:shd w:val="clear" w:color="auto" w:fill="FFFFFF"/>
        </w:rPr>
        <w:t>Journal of Happiness Studies</w:t>
      </w:r>
      <w:r w:rsidRPr="00CF3515">
        <w:rPr>
          <w:color w:val="000000" w:themeColor="text1"/>
          <w:shd w:val="clear" w:color="auto" w:fill="FFFFFF"/>
        </w:rPr>
        <w:t>,</w:t>
      </w:r>
      <w:r w:rsidRPr="00351BC3">
        <w:rPr>
          <w:i/>
          <w:iCs/>
          <w:color w:val="000000" w:themeColor="text1"/>
          <w:shd w:val="clear" w:color="auto" w:fill="FFFFFF"/>
        </w:rPr>
        <w:t xml:space="preserve"> 11</w:t>
      </w:r>
      <w:r w:rsidRPr="00351BC3">
        <w:rPr>
          <w:color w:val="000000" w:themeColor="text1"/>
          <w:shd w:val="clear" w:color="auto" w:fill="FFFFFF"/>
        </w:rPr>
        <w:t xml:space="preserve">, 735-762. </w:t>
      </w:r>
      <w:r w:rsidRPr="00351BC3">
        <w:rPr>
          <w:rFonts w:eastAsiaTheme="minorHAnsi"/>
          <w:color w:val="000000"/>
          <w:lang w:eastAsia="en-US"/>
        </w:rPr>
        <w:t>https://doi.org/</w:t>
      </w:r>
      <w:r w:rsidRPr="00351BC3">
        <w:rPr>
          <w:color w:val="000000" w:themeColor="text1"/>
          <w:shd w:val="clear" w:color="auto" w:fill="FFFFFF"/>
        </w:rPr>
        <w:t>10.1007/s10902-009-9171-4</w:t>
      </w:r>
    </w:p>
    <w:p w14:paraId="5A10B20A"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Jung, M. H. (2020). The Effect of Social Capital on Personal Happiness: A Focus on Service Inderstry Employees. </w:t>
      </w:r>
      <w:r w:rsidRPr="00351BC3">
        <w:rPr>
          <w:rFonts w:eastAsia="Arial Unicode MS"/>
          <w:i/>
          <w:iCs/>
          <w:color w:val="000000"/>
        </w:rPr>
        <w:t>The Journal of Asian Finance, Economics and Business</w:t>
      </w:r>
      <w:r w:rsidRPr="00CF3515">
        <w:rPr>
          <w:rFonts w:eastAsia="Arial Unicode MS"/>
          <w:color w:val="000000"/>
        </w:rPr>
        <w:t xml:space="preserve">, </w:t>
      </w:r>
      <w:r w:rsidRPr="00351BC3">
        <w:rPr>
          <w:rFonts w:eastAsia="Arial Unicode MS"/>
          <w:i/>
          <w:iCs/>
          <w:color w:val="000000"/>
        </w:rPr>
        <w:t>7</w:t>
      </w:r>
      <w:r w:rsidRPr="00351BC3">
        <w:rPr>
          <w:rFonts w:eastAsia="Arial Unicode MS"/>
          <w:color w:val="000000"/>
        </w:rPr>
        <w:t xml:space="preserve">(1), 291–299. </w:t>
      </w:r>
      <w:r w:rsidRPr="00351BC3">
        <w:rPr>
          <w:rFonts w:eastAsiaTheme="minorHAnsi"/>
          <w:color w:val="000000"/>
          <w:lang w:eastAsia="en-US"/>
        </w:rPr>
        <w:t>https://doi.org/</w:t>
      </w:r>
      <w:r w:rsidRPr="00351BC3">
        <w:rPr>
          <w:rFonts w:eastAsia="Arial Unicode MS"/>
          <w:color w:val="000000"/>
        </w:rPr>
        <w:t>10.13106/JAFEB.2020.VOL7.NO1.291</w:t>
      </w:r>
    </w:p>
    <w:p w14:paraId="4D8AFF0D" w14:textId="77777777" w:rsidR="00351BC3" w:rsidRPr="00351BC3" w:rsidRDefault="00351BC3" w:rsidP="00351BC3">
      <w:pPr>
        <w:tabs>
          <w:tab w:val="left" w:pos="6219"/>
        </w:tabs>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 xml:space="preserve">Kirchherr, J., &amp; Charles, K. (2018). Enhancing the sample diversity of snowball samples: Recommendations from a research project on anti-dam movements in Southeast Asia. </w:t>
      </w:r>
      <w:r w:rsidRPr="00351BC3">
        <w:rPr>
          <w:rFonts w:eastAsiaTheme="minorHAnsi"/>
          <w:i/>
          <w:iCs/>
          <w:color w:val="000000" w:themeColor="text1"/>
          <w:lang w:eastAsia="en-US"/>
        </w:rPr>
        <w:t>PloS One</w:t>
      </w:r>
      <w:r w:rsidRPr="00CF3515">
        <w:rPr>
          <w:rFonts w:eastAsiaTheme="minorHAnsi"/>
          <w:color w:val="000000" w:themeColor="text1"/>
          <w:lang w:eastAsia="en-US"/>
        </w:rPr>
        <w:t>,</w:t>
      </w:r>
      <w:r w:rsidRPr="00351BC3">
        <w:rPr>
          <w:rFonts w:eastAsiaTheme="minorHAnsi"/>
          <w:i/>
          <w:iCs/>
          <w:color w:val="000000" w:themeColor="text1"/>
          <w:lang w:eastAsia="en-US"/>
        </w:rPr>
        <w:t xml:space="preserve"> 13</w:t>
      </w:r>
      <w:r w:rsidRPr="00351BC3">
        <w:rPr>
          <w:rFonts w:eastAsiaTheme="minorHAnsi"/>
          <w:color w:val="000000" w:themeColor="text1"/>
          <w:lang w:eastAsia="en-US"/>
        </w:rPr>
        <w:t xml:space="preserve">(8), Artículo e0201710. </w:t>
      </w:r>
      <w:r w:rsidRPr="00351BC3">
        <w:rPr>
          <w:rFonts w:eastAsiaTheme="minorHAnsi"/>
          <w:color w:val="000000"/>
          <w:lang w:eastAsia="en-US"/>
        </w:rPr>
        <w:t>https://doi.org/</w:t>
      </w:r>
      <w:r w:rsidRPr="00351BC3">
        <w:rPr>
          <w:rFonts w:eastAsiaTheme="minorHAnsi"/>
          <w:color w:val="000000" w:themeColor="text1"/>
          <w:lang w:eastAsia="en-US"/>
        </w:rPr>
        <w:t>10.1371/journal.pone.0201710</w:t>
      </w:r>
    </w:p>
    <w:p w14:paraId="68677242" w14:textId="6667D6F2"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Kryvenko, I., &amp; Petryk, G. (2019). Subjective Dimension of Mental Health: Psychometric Properties of the Ukrainian Version of Orientation to Happiness Scale. </w:t>
      </w:r>
      <w:r w:rsidRPr="00351BC3">
        <w:rPr>
          <w:rFonts w:eastAsia="Arial Unicode MS"/>
          <w:i/>
          <w:iCs/>
          <w:color w:val="000000"/>
        </w:rPr>
        <w:t>European Journal of Interdisciplinary Studies</w:t>
      </w:r>
      <w:r w:rsidR="00CF3515">
        <w:rPr>
          <w:rFonts w:eastAsia="Arial Unicode MS"/>
          <w:color w:val="000000"/>
        </w:rPr>
        <w:t>,</w:t>
      </w:r>
      <w:r w:rsidRPr="00351BC3">
        <w:rPr>
          <w:rFonts w:eastAsia="Arial Unicode MS"/>
          <w:i/>
          <w:iCs/>
          <w:color w:val="000000"/>
        </w:rPr>
        <w:t xml:space="preserve"> 11</w:t>
      </w:r>
      <w:r w:rsidRPr="00351BC3">
        <w:rPr>
          <w:rFonts w:eastAsia="Arial Unicode MS"/>
          <w:color w:val="000000"/>
        </w:rPr>
        <w:t xml:space="preserve">(2), 26-40. </w:t>
      </w:r>
      <w:r w:rsidRPr="00351BC3">
        <w:rPr>
          <w:rFonts w:eastAsiaTheme="minorHAnsi"/>
          <w:color w:val="000000"/>
          <w:lang w:eastAsia="en-US"/>
        </w:rPr>
        <w:t>https://doi.org/</w:t>
      </w:r>
      <w:r w:rsidRPr="00351BC3">
        <w:rPr>
          <w:rFonts w:eastAsia="Arial Unicode MS"/>
          <w:color w:val="000000"/>
        </w:rPr>
        <w:t>10.24818/ejis.2019.07</w:t>
      </w:r>
    </w:p>
    <w:p w14:paraId="63973454" w14:textId="77777777"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 xml:space="preserve">Kumano, M. (2011). Orientations to happiness in Japanese people: Pleasure, meaning, and engagement. </w:t>
      </w:r>
      <w:r w:rsidRPr="00351BC3">
        <w:rPr>
          <w:rFonts w:eastAsiaTheme="minorHAnsi"/>
          <w:i/>
          <w:iCs/>
          <w:color w:val="000000"/>
          <w:lang w:eastAsia="en-US"/>
        </w:rPr>
        <w:t>The Japanese Journal of Psychology</w:t>
      </w:r>
      <w:r w:rsidRPr="00CF3515">
        <w:rPr>
          <w:rFonts w:eastAsiaTheme="minorHAnsi"/>
          <w:color w:val="000000"/>
          <w:lang w:eastAsia="en-US"/>
        </w:rPr>
        <w:t>,</w:t>
      </w:r>
      <w:r w:rsidRPr="00351BC3">
        <w:rPr>
          <w:rFonts w:eastAsiaTheme="minorHAnsi"/>
          <w:i/>
          <w:iCs/>
          <w:color w:val="000000"/>
          <w:lang w:eastAsia="en-US"/>
        </w:rPr>
        <w:t xml:space="preserve"> 81</w:t>
      </w:r>
      <w:r w:rsidRPr="00351BC3">
        <w:rPr>
          <w:rFonts w:eastAsiaTheme="minorHAnsi"/>
          <w:color w:val="000000"/>
          <w:lang w:eastAsia="en-US"/>
        </w:rPr>
        <w:t>(6), 619-624. https://doi.org/10.4992/jjpsy.81.619</w:t>
      </w:r>
    </w:p>
    <w:p w14:paraId="3ABF5900"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lastRenderedPageBreak/>
        <w:t xml:space="preserve">Kushlev, K., Heintzelman, S. J., Lutes, L. D., Wirtz, D., Kanippayoor, J. M., Leitner, D., &amp; Diener, E. (2020). Does Happiness Improve Health? Evidence From a Randomized Controlled Trial. </w:t>
      </w:r>
      <w:r w:rsidRPr="00351BC3">
        <w:rPr>
          <w:rFonts w:eastAsia="Arial Unicode MS"/>
          <w:i/>
          <w:iCs/>
          <w:color w:val="000000"/>
        </w:rPr>
        <w:t>Psychological Science</w:t>
      </w:r>
      <w:r w:rsidRPr="00351BC3">
        <w:rPr>
          <w:rFonts w:eastAsia="Arial Unicode MS"/>
          <w:color w:val="000000"/>
        </w:rPr>
        <w:t xml:space="preserve">, </w:t>
      </w:r>
      <w:r w:rsidRPr="00351BC3">
        <w:rPr>
          <w:rFonts w:eastAsia="Arial Unicode MS"/>
          <w:i/>
          <w:iCs/>
          <w:color w:val="000000"/>
        </w:rPr>
        <w:t>31</w:t>
      </w:r>
      <w:r w:rsidRPr="00351BC3">
        <w:rPr>
          <w:rFonts w:eastAsia="Arial Unicode MS"/>
          <w:color w:val="000000"/>
        </w:rPr>
        <w:t xml:space="preserve">(7), 807-821. </w:t>
      </w:r>
      <w:r w:rsidRPr="00351BC3">
        <w:rPr>
          <w:rFonts w:eastAsiaTheme="minorHAnsi"/>
          <w:color w:val="000000"/>
          <w:lang w:eastAsia="en-US"/>
        </w:rPr>
        <w:t>https://doi.org/</w:t>
      </w:r>
      <w:r w:rsidRPr="00351BC3">
        <w:rPr>
          <w:rFonts w:eastAsia="Arial Unicode MS"/>
          <w:color w:val="000000"/>
        </w:rPr>
        <w:t>10.1177/0956797620919673</w:t>
      </w:r>
    </w:p>
    <w:p w14:paraId="59C630B6" w14:textId="77777777" w:rsidR="00351BC3" w:rsidRPr="00351BC3" w:rsidRDefault="00351BC3" w:rsidP="00351BC3">
      <w:pPr>
        <w:pStyle w:val="NormalWeb"/>
        <w:ind w:left="709" w:hanging="709"/>
        <w:jc w:val="both"/>
      </w:pPr>
      <w:r w:rsidRPr="00351BC3">
        <w:t xml:space="preserve">Ledesma, R., Ferrando, P., &amp; Tosi, J. (2019). Uso del Análisis Factorial Exploratorio en RIDEP. Recomendaciones para Autores y Revisores. </w:t>
      </w:r>
      <w:r w:rsidRPr="00351BC3">
        <w:rPr>
          <w:i/>
          <w:iCs/>
        </w:rPr>
        <w:t>Revista Iberoamericana de Diagnóstico y Evaluación – e Avaliação Psicológica. RIDEP</w:t>
      </w:r>
      <w:r w:rsidRPr="00CF3515">
        <w:t>,</w:t>
      </w:r>
      <w:r w:rsidRPr="00351BC3">
        <w:rPr>
          <w:i/>
          <w:iCs/>
        </w:rPr>
        <w:t xml:space="preserve"> 53</w:t>
      </w:r>
      <w:r w:rsidRPr="00351BC3">
        <w:t xml:space="preserve">(3), 173-180. </w:t>
      </w:r>
      <w:r w:rsidRPr="00351BC3">
        <w:rPr>
          <w:rFonts w:eastAsiaTheme="minorHAnsi"/>
          <w:color w:val="000000"/>
          <w:lang w:eastAsia="en-US"/>
        </w:rPr>
        <w:t>https://doi.org/</w:t>
      </w:r>
      <w:r w:rsidRPr="00351BC3">
        <w:t>10.21865/RIDEP52.3.13</w:t>
      </w:r>
    </w:p>
    <w:p w14:paraId="23479C8C" w14:textId="77777777" w:rsidR="00351BC3" w:rsidRPr="00351BC3" w:rsidRDefault="00351BC3" w:rsidP="00351BC3">
      <w:pPr>
        <w:tabs>
          <w:tab w:val="left" w:pos="6219"/>
        </w:tabs>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 xml:space="preserve">Li, Y., Wen, Z., Hau, K. T., Yuan, K. H., &amp; Peng, Y. (2020). Effects of cross-loadings on determining the number of factors to retain. </w:t>
      </w:r>
      <w:r w:rsidRPr="00351BC3">
        <w:rPr>
          <w:rFonts w:eastAsiaTheme="minorHAnsi"/>
          <w:i/>
          <w:iCs/>
          <w:color w:val="000000" w:themeColor="text1"/>
          <w:lang w:eastAsia="en-US"/>
        </w:rPr>
        <w:t>Structural Equation Modeling: A</w:t>
      </w:r>
      <w:r w:rsidRPr="00351BC3">
        <w:rPr>
          <w:rFonts w:eastAsiaTheme="minorHAnsi"/>
          <w:color w:val="000000" w:themeColor="text1"/>
          <w:lang w:eastAsia="en-US"/>
        </w:rPr>
        <w:t xml:space="preserve"> </w:t>
      </w:r>
      <w:r w:rsidRPr="00351BC3">
        <w:rPr>
          <w:rFonts w:eastAsiaTheme="minorHAnsi"/>
          <w:i/>
          <w:iCs/>
          <w:color w:val="000000" w:themeColor="text1"/>
          <w:lang w:eastAsia="en-US"/>
        </w:rPr>
        <w:t>Multidisciplinary Journal</w:t>
      </w:r>
      <w:r w:rsidRPr="00351BC3">
        <w:rPr>
          <w:rFonts w:eastAsiaTheme="minorHAnsi"/>
          <w:color w:val="000000" w:themeColor="text1"/>
          <w:lang w:eastAsia="en-US"/>
        </w:rPr>
        <w:t xml:space="preserve">, 1-23. </w:t>
      </w:r>
      <w:r w:rsidRPr="00351BC3">
        <w:rPr>
          <w:rFonts w:eastAsiaTheme="minorHAnsi"/>
          <w:color w:val="000000"/>
          <w:lang w:eastAsia="en-US"/>
        </w:rPr>
        <w:t>https://doi.org/10.1080/10705511.2020.1745075</w:t>
      </w:r>
    </w:p>
    <w:p w14:paraId="0D4D65F4" w14:textId="38ADF54E" w:rsidR="00351BC3" w:rsidRPr="00351BC3" w:rsidRDefault="00351BC3" w:rsidP="00351BC3">
      <w:pPr>
        <w:ind w:left="709" w:hanging="709"/>
        <w:jc w:val="both"/>
      </w:pPr>
      <w:r w:rsidRPr="00351BC3">
        <w:t xml:space="preserve">Lloret-Segura, S., Ferreres-Traver, A., Hernández-Baeza, A., &amp; Tomás-Marco, I. (2014). El análisis factorial exploratorio de los ítems: Una guía práctica, revisada y actualizada. </w:t>
      </w:r>
      <w:r w:rsidRPr="00351BC3">
        <w:rPr>
          <w:i/>
          <w:iCs/>
        </w:rPr>
        <w:t>Anales de Psicología</w:t>
      </w:r>
      <w:r w:rsidRPr="00CF3515">
        <w:t>,</w:t>
      </w:r>
      <w:r w:rsidRPr="00351BC3">
        <w:rPr>
          <w:i/>
          <w:iCs/>
        </w:rPr>
        <w:t xml:space="preserve"> 30</w:t>
      </w:r>
      <w:r w:rsidRPr="00351BC3">
        <w:t xml:space="preserve">(3), 1151-1169. </w:t>
      </w:r>
      <w:r w:rsidRPr="00351BC3">
        <w:rPr>
          <w:rFonts w:eastAsiaTheme="minorHAnsi"/>
          <w:color w:val="000000"/>
          <w:lang w:eastAsia="en-US"/>
        </w:rPr>
        <w:t>https://doi.org/10.6018/analesps.33.2.270211</w:t>
      </w:r>
    </w:p>
    <w:p w14:paraId="6D4CF2DE"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Lorente, L., Tordera, N., &amp; Peiró, J. M. (2019). Measurement of Hedonic and Eudaimonic Orientations to Happiness: The Spanish Orientations to Happiness Scale. </w:t>
      </w:r>
      <w:r w:rsidRPr="00351BC3">
        <w:rPr>
          <w:rFonts w:eastAsia="Arial Unicode MS"/>
          <w:i/>
          <w:iCs/>
          <w:color w:val="000000"/>
        </w:rPr>
        <w:t>The Spanish Journal of Psychology</w:t>
      </w:r>
      <w:r w:rsidRPr="00351BC3">
        <w:rPr>
          <w:rFonts w:eastAsia="Arial Unicode MS"/>
          <w:color w:val="000000"/>
        </w:rPr>
        <w:t xml:space="preserve">, </w:t>
      </w:r>
      <w:r w:rsidRPr="00CF3515">
        <w:rPr>
          <w:rFonts w:eastAsia="Arial Unicode MS"/>
          <w:i/>
          <w:iCs/>
          <w:color w:val="000000"/>
        </w:rPr>
        <w:t>22</w:t>
      </w:r>
      <w:r w:rsidRPr="00351BC3">
        <w:rPr>
          <w:rFonts w:eastAsia="Arial Unicode MS"/>
          <w:color w:val="000000"/>
        </w:rPr>
        <w:t xml:space="preserve">. </w:t>
      </w:r>
      <w:r w:rsidRPr="00351BC3">
        <w:rPr>
          <w:rFonts w:eastAsiaTheme="minorHAnsi"/>
          <w:color w:val="000000"/>
          <w:lang w:eastAsia="en-US"/>
        </w:rPr>
        <w:t>https://doi.org/</w:t>
      </w:r>
      <w:r w:rsidRPr="00351BC3">
        <w:rPr>
          <w:rFonts w:eastAsia="Arial Unicode MS"/>
          <w:color w:val="000000"/>
        </w:rPr>
        <w:t>10.1017/sjp.2019.12 </w:t>
      </w:r>
    </w:p>
    <w:p w14:paraId="3C0E1573" w14:textId="77777777" w:rsidR="00351BC3" w:rsidRPr="00351BC3" w:rsidRDefault="00351BC3" w:rsidP="00351BC3">
      <w:pPr>
        <w:autoSpaceDE w:val="0"/>
        <w:autoSpaceDN w:val="0"/>
        <w:adjustRightInd w:val="0"/>
        <w:ind w:left="709" w:right="-198" w:hanging="709"/>
        <w:jc w:val="both"/>
        <w:rPr>
          <w:color w:val="000000"/>
        </w:rPr>
      </w:pPr>
      <w:r w:rsidRPr="00351BC3">
        <w:rPr>
          <w:color w:val="000000"/>
        </w:rPr>
        <w:t xml:space="preserve">Malhotra, N. K., &amp; Dash, S. (2011). </w:t>
      </w:r>
      <w:r w:rsidRPr="00351BC3">
        <w:rPr>
          <w:i/>
          <w:iCs/>
          <w:color w:val="000000"/>
        </w:rPr>
        <w:t>Marketing Research an Applied Orientation</w:t>
      </w:r>
      <w:r w:rsidRPr="00351BC3">
        <w:rPr>
          <w:color w:val="000000"/>
        </w:rPr>
        <w:t>. Pearson Publishing.</w:t>
      </w:r>
    </w:p>
    <w:p w14:paraId="0359BEB6"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Martin-Krumm, C., Kern, L., Fontayne, P., Romo, L., Boudoukha, A. H., &amp; Boniwell, I. (2014). French Adaptation of the Orientation to Happiness Scale and Its Relationship to Quality of Life in French Students. </w:t>
      </w:r>
      <w:r w:rsidRPr="00351BC3">
        <w:rPr>
          <w:rFonts w:eastAsia="Arial Unicode MS"/>
          <w:i/>
          <w:iCs/>
          <w:color w:val="000000"/>
        </w:rPr>
        <w:t>Social Indicators Research</w:t>
      </w:r>
      <w:r w:rsidRPr="00CF3515">
        <w:rPr>
          <w:rFonts w:eastAsia="Arial Unicode MS"/>
          <w:color w:val="000000"/>
        </w:rPr>
        <w:t>,</w:t>
      </w:r>
      <w:r w:rsidRPr="00351BC3">
        <w:rPr>
          <w:rFonts w:eastAsia="Arial Unicode MS"/>
          <w:i/>
          <w:iCs/>
          <w:color w:val="000000"/>
        </w:rPr>
        <w:t xml:space="preserve"> 124</w:t>
      </w:r>
      <w:r w:rsidRPr="00351BC3">
        <w:rPr>
          <w:rFonts w:eastAsia="Arial Unicode MS"/>
          <w:color w:val="000000"/>
        </w:rPr>
        <w:t xml:space="preserve">(1), 259-281. </w:t>
      </w:r>
      <w:r w:rsidRPr="00351BC3">
        <w:rPr>
          <w:rFonts w:eastAsiaTheme="minorHAnsi"/>
          <w:color w:val="000000"/>
          <w:lang w:eastAsia="en-US"/>
        </w:rPr>
        <w:t>https://doi.org/</w:t>
      </w:r>
      <w:r w:rsidRPr="00351BC3">
        <w:rPr>
          <w:rFonts w:eastAsia="Arial Unicode MS"/>
          <w:color w:val="000000"/>
        </w:rPr>
        <w:t>10.1007/s11205-014-0774-8 </w:t>
      </w:r>
    </w:p>
    <w:p w14:paraId="24F60F1B" w14:textId="77777777" w:rsidR="00351BC3" w:rsidRPr="00351BC3" w:rsidRDefault="00351BC3" w:rsidP="00351BC3">
      <w:pPr>
        <w:tabs>
          <w:tab w:val="left" w:pos="6219"/>
        </w:tabs>
        <w:autoSpaceDE w:val="0"/>
        <w:autoSpaceDN w:val="0"/>
        <w:adjustRightInd w:val="0"/>
        <w:ind w:left="709" w:right="-198" w:hanging="709"/>
        <w:jc w:val="both"/>
        <w:rPr>
          <w:color w:val="212529"/>
        </w:rPr>
      </w:pPr>
      <w:r w:rsidRPr="00351BC3">
        <w:rPr>
          <w:color w:val="212529"/>
        </w:rPr>
        <w:t>Matsunaga, M. (2010). How to factor-analyze your data right: do’s, don’ts, and how-to’s. </w:t>
      </w:r>
      <w:r w:rsidRPr="00351BC3">
        <w:rPr>
          <w:i/>
          <w:iCs/>
          <w:color w:val="212529"/>
        </w:rPr>
        <w:t>International Journal of Psychological Research</w:t>
      </w:r>
      <w:r w:rsidRPr="00351BC3">
        <w:rPr>
          <w:color w:val="212529"/>
        </w:rPr>
        <w:t>, </w:t>
      </w:r>
      <w:r w:rsidRPr="00351BC3">
        <w:rPr>
          <w:i/>
          <w:iCs/>
          <w:color w:val="212529"/>
        </w:rPr>
        <w:t>3</w:t>
      </w:r>
      <w:r w:rsidRPr="00351BC3">
        <w:rPr>
          <w:color w:val="212529"/>
        </w:rPr>
        <w:t xml:space="preserve">(1), 97–110. </w:t>
      </w:r>
      <w:r w:rsidRPr="00351BC3">
        <w:rPr>
          <w:rFonts w:eastAsiaTheme="minorHAnsi"/>
          <w:color w:val="000000"/>
          <w:lang w:eastAsia="en-US"/>
        </w:rPr>
        <w:t>https://doi.org/</w:t>
      </w:r>
      <w:r w:rsidRPr="00351BC3">
        <w:rPr>
          <w:color w:val="212529"/>
        </w:rPr>
        <w:t>10.21500/20112084.854</w:t>
      </w:r>
    </w:p>
    <w:p w14:paraId="0EAE4120" w14:textId="77777777" w:rsidR="00351BC3" w:rsidRPr="00351BC3" w:rsidRDefault="00351BC3" w:rsidP="00351BC3">
      <w:pPr>
        <w:tabs>
          <w:tab w:val="left" w:pos="6219"/>
        </w:tabs>
        <w:autoSpaceDE w:val="0"/>
        <w:autoSpaceDN w:val="0"/>
        <w:adjustRightInd w:val="0"/>
        <w:ind w:left="709" w:right="-198" w:hanging="709"/>
        <w:jc w:val="both"/>
        <w:rPr>
          <w:color w:val="000000" w:themeColor="text1"/>
          <w:shd w:val="clear" w:color="auto" w:fill="FFFFFF"/>
          <w:lang w:val="en-US"/>
        </w:rPr>
      </w:pPr>
      <w:r w:rsidRPr="00351BC3">
        <w:rPr>
          <w:color w:val="000000" w:themeColor="text1"/>
          <w:shd w:val="clear" w:color="auto" w:fill="FFFFFF"/>
          <w:lang w:val="en-US"/>
        </w:rPr>
        <w:t xml:space="preserve">McDonald, R. P. (1999). </w:t>
      </w:r>
      <w:r w:rsidRPr="00351BC3">
        <w:rPr>
          <w:i/>
          <w:iCs/>
          <w:color w:val="000000" w:themeColor="text1"/>
          <w:shd w:val="clear" w:color="auto" w:fill="FFFFFF"/>
          <w:lang w:val="en-US"/>
        </w:rPr>
        <w:t>Test theory: A unified treatment</w:t>
      </w:r>
      <w:r w:rsidRPr="00351BC3">
        <w:rPr>
          <w:color w:val="000000" w:themeColor="text1"/>
          <w:shd w:val="clear" w:color="auto" w:fill="FFFFFF"/>
          <w:lang w:val="en-US"/>
        </w:rPr>
        <w:t>. Lawrence Erlbaum.</w:t>
      </w:r>
    </w:p>
    <w:p w14:paraId="4E051296" w14:textId="7669E352" w:rsidR="00351BC3" w:rsidRPr="00351BC3" w:rsidRDefault="00351BC3" w:rsidP="00351BC3">
      <w:pPr>
        <w:ind w:left="709" w:hanging="709"/>
        <w:jc w:val="both"/>
        <w:rPr>
          <w:color w:val="000000" w:themeColor="text1"/>
          <w:shd w:val="clear" w:color="auto" w:fill="FFFFFF"/>
        </w:rPr>
      </w:pPr>
      <w:r w:rsidRPr="00351BC3">
        <w:rPr>
          <w:color w:val="212121"/>
          <w:shd w:val="clear" w:color="auto" w:fill="FFFFFF"/>
        </w:rPr>
        <w:t>Mukaka M. M. (2012). Statistics corner: A guide to appropriate use of correlation coefficient in medical research. </w:t>
      </w:r>
      <w:r w:rsidRPr="00351BC3">
        <w:rPr>
          <w:i/>
          <w:iCs/>
          <w:color w:val="212121"/>
          <w:shd w:val="clear" w:color="auto" w:fill="FFFFFF"/>
        </w:rPr>
        <w:t>Malawi Medical Journal: The Journal of Medical Association of Malawi</w:t>
      </w:r>
      <w:r w:rsidRPr="00351BC3">
        <w:rPr>
          <w:color w:val="212121"/>
          <w:shd w:val="clear" w:color="auto" w:fill="FFFFFF"/>
        </w:rPr>
        <w:t>, </w:t>
      </w:r>
      <w:r w:rsidRPr="00351BC3">
        <w:rPr>
          <w:i/>
          <w:iCs/>
          <w:color w:val="212121"/>
          <w:shd w:val="clear" w:color="auto" w:fill="FFFFFF"/>
        </w:rPr>
        <w:t>24</w:t>
      </w:r>
      <w:r w:rsidRPr="00351BC3">
        <w:rPr>
          <w:color w:val="212121"/>
          <w:shd w:val="clear" w:color="auto" w:fill="FFFFFF"/>
        </w:rPr>
        <w:t>(3), 69–71.</w:t>
      </w:r>
      <w:r w:rsidR="00690D7C">
        <w:rPr>
          <w:color w:val="212121"/>
          <w:shd w:val="clear" w:color="auto" w:fill="FFFFFF"/>
        </w:rPr>
        <w:t xml:space="preserve"> </w:t>
      </w:r>
      <w:r w:rsidR="00690D7C" w:rsidRPr="00690D7C">
        <w:rPr>
          <w:color w:val="212121"/>
          <w:shd w:val="clear" w:color="auto" w:fill="FFFFFF"/>
        </w:rPr>
        <w:t>https://pubmed.ncbi.nlm.nih.gov/23638278/</w:t>
      </w:r>
    </w:p>
    <w:p w14:paraId="33A6D38B" w14:textId="77777777" w:rsidR="00351BC3" w:rsidRPr="00351BC3" w:rsidRDefault="00351BC3" w:rsidP="00351BC3">
      <w:pPr>
        <w:pStyle w:val="NormalWeb"/>
        <w:ind w:left="709" w:hanging="709"/>
        <w:jc w:val="both"/>
      </w:pPr>
      <w:r w:rsidRPr="00351BC3">
        <w:rPr>
          <w:color w:val="000000"/>
        </w:rPr>
        <w:t xml:space="preserve">Oishi, S., Graham, J., Kesebir, S., &amp; Galinha, I. C. (2013). Concepts of Happiness Across Time and Cultures. </w:t>
      </w:r>
      <w:r w:rsidRPr="00351BC3">
        <w:rPr>
          <w:i/>
          <w:iCs/>
          <w:color w:val="000000"/>
        </w:rPr>
        <w:t>Personality and Social Psychology Bulletin</w:t>
      </w:r>
      <w:r w:rsidRPr="00CF3515">
        <w:rPr>
          <w:color w:val="000000"/>
        </w:rPr>
        <w:t>,</w:t>
      </w:r>
      <w:r w:rsidRPr="00351BC3">
        <w:rPr>
          <w:i/>
          <w:iCs/>
          <w:color w:val="000000"/>
        </w:rPr>
        <w:t xml:space="preserve"> 39</w:t>
      </w:r>
      <w:r w:rsidRPr="00351BC3">
        <w:rPr>
          <w:color w:val="000000"/>
        </w:rPr>
        <w:t xml:space="preserve">(5), 559-577. </w:t>
      </w:r>
      <w:r w:rsidRPr="00351BC3">
        <w:rPr>
          <w:color w:val="212121"/>
          <w:shd w:val="clear" w:color="auto" w:fill="FFFFFF"/>
        </w:rPr>
        <w:t>https://doi.org/</w:t>
      </w:r>
      <w:r w:rsidRPr="00351BC3">
        <w:rPr>
          <w:color w:val="000000"/>
        </w:rPr>
        <w:t>10.1177/0146167213480042</w:t>
      </w:r>
    </w:p>
    <w:p w14:paraId="220E472D" w14:textId="02090661"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 xml:space="preserve">Park, N., Peterson, C., &amp; Ruch, W. (2009) Orientations to happiness and life satisfaction in twenty-seven nations. </w:t>
      </w:r>
      <w:r w:rsidRPr="00351BC3">
        <w:rPr>
          <w:rFonts w:eastAsiaTheme="minorHAnsi"/>
          <w:i/>
          <w:iCs/>
          <w:color w:val="000000"/>
          <w:lang w:eastAsia="en-US"/>
        </w:rPr>
        <w:t>The Journal of Positive Psychology: Dedicated to furthering research and promoting good practice</w:t>
      </w:r>
      <w:r w:rsidRPr="00CF3515">
        <w:rPr>
          <w:rFonts w:eastAsiaTheme="minorHAnsi"/>
          <w:color w:val="000000"/>
          <w:lang w:eastAsia="en-US"/>
        </w:rPr>
        <w:t>,</w:t>
      </w:r>
      <w:r w:rsidRPr="00351BC3">
        <w:rPr>
          <w:rFonts w:eastAsiaTheme="minorHAnsi"/>
          <w:i/>
          <w:iCs/>
          <w:color w:val="000000"/>
          <w:lang w:eastAsia="en-US"/>
        </w:rPr>
        <w:t xml:space="preserve"> 4</w:t>
      </w:r>
      <w:r w:rsidRPr="00351BC3">
        <w:rPr>
          <w:rFonts w:eastAsiaTheme="minorHAnsi"/>
          <w:color w:val="000000"/>
          <w:lang w:eastAsia="en-US"/>
        </w:rPr>
        <w:t>(4), 273-279</w:t>
      </w:r>
      <w:r w:rsidR="00CF3515">
        <w:rPr>
          <w:rFonts w:eastAsiaTheme="minorHAnsi"/>
          <w:color w:val="000000"/>
          <w:lang w:eastAsia="en-US"/>
        </w:rPr>
        <w:t>.</w:t>
      </w:r>
      <w:r w:rsidRPr="00351BC3">
        <w:rPr>
          <w:rFonts w:eastAsiaTheme="minorHAnsi"/>
          <w:color w:val="000000"/>
          <w:lang w:eastAsia="en-US"/>
        </w:rPr>
        <w:t xml:space="preserve"> https://doi.org/10.1080/17439760902933690</w:t>
      </w:r>
    </w:p>
    <w:p w14:paraId="18CD4E5C" w14:textId="77777777"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 xml:space="preserve">Pedrosa, I., Suárez-Álvarez, &amp; García-Cueto, E. (2013). Evidencias sobre la Validez de Contenido: Avances Teóricos y Métodos para su Estimación [Content Validity Evidences: Theoretical Advances and Estimation Methods]. </w:t>
      </w:r>
      <w:r w:rsidRPr="00351BC3">
        <w:rPr>
          <w:rFonts w:eastAsiaTheme="minorHAnsi"/>
          <w:i/>
          <w:iCs/>
          <w:color w:val="000000"/>
          <w:lang w:eastAsia="en-US"/>
        </w:rPr>
        <w:t>Acción Psicológica</w:t>
      </w:r>
      <w:r w:rsidRPr="00CF3515">
        <w:rPr>
          <w:rFonts w:eastAsiaTheme="minorHAnsi"/>
          <w:color w:val="000000"/>
          <w:lang w:eastAsia="en-US"/>
        </w:rPr>
        <w:t>,</w:t>
      </w:r>
      <w:r w:rsidRPr="00351BC3">
        <w:rPr>
          <w:rFonts w:eastAsiaTheme="minorHAnsi"/>
          <w:i/>
          <w:iCs/>
          <w:color w:val="000000"/>
          <w:lang w:eastAsia="en-US"/>
        </w:rPr>
        <w:t xml:space="preserve"> 10</w:t>
      </w:r>
      <w:r w:rsidRPr="00351BC3">
        <w:rPr>
          <w:rFonts w:eastAsiaTheme="minorHAnsi"/>
          <w:color w:val="000000"/>
          <w:lang w:eastAsia="en-US"/>
        </w:rPr>
        <w:t>(2), 3-18. https://doi.org/10.5944/ap.10.2.11820</w:t>
      </w:r>
    </w:p>
    <w:p w14:paraId="1743DE11" w14:textId="77777777" w:rsidR="00351BC3" w:rsidRPr="00351BC3" w:rsidRDefault="00351BC3" w:rsidP="00351BC3">
      <w:pPr>
        <w:tabs>
          <w:tab w:val="left" w:pos="6219"/>
        </w:tabs>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 xml:space="preserve">Peterson, C., Park, N., &amp; Seligman, M. E. P. (2005). Orientations to happiness and life satisfaction: the full life versus the empty life. </w:t>
      </w:r>
      <w:r w:rsidRPr="00351BC3">
        <w:rPr>
          <w:rFonts w:eastAsiaTheme="minorHAnsi"/>
          <w:i/>
          <w:iCs/>
          <w:color w:val="000000" w:themeColor="text1"/>
          <w:lang w:eastAsia="en-US"/>
        </w:rPr>
        <w:t>Journal of Happiness Studies</w:t>
      </w:r>
      <w:r w:rsidRPr="00CF3515">
        <w:rPr>
          <w:rFonts w:eastAsiaTheme="minorHAnsi"/>
          <w:color w:val="000000" w:themeColor="text1"/>
          <w:lang w:eastAsia="en-US"/>
        </w:rPr>
        <w:t>,</w:t>
      </w:r>
      <w:r w:rsidRPr="00351BC3">
        <w:rPr>
          <w:rFonts w:eastAsiaTheme="minorHAnsi"/>
          <w:i/>
          <w:iCs/>
          <w:color w:val="000000" w:themeColor="text1"/>
          <w:lang w:eastAsia="en-US"/>
        </w:rPr>
        <w:t xml:space="preserve"> 6</w:t>
      </w:r>
      <w:r w:rsidRPr="00351BC3">
        <w:rPr>
          <w:rFonts w:eastAsiaTheme="minorHAnsi"/>
          <w:color w:val="000000" w:themeColor="text1"/>
          <w:lang w:eastAsia="en-US"/>
        </w:rPr>
        <w:t xml:space="preserve">(1), 25-41. </w:t>
      </w:r>
      <w:r w:rsidRPr="00351BC3">
        <w:rPr>
          <w:rFonts w:eastAsiaTheme="minorHAnsi"/>
          <w:color w:val="000000"/>
          <w:lang w:eastAsia="en-US"/>
        </w:rPr>
        <w:t>https://doi.org/</w:t>
      </w:r>
      <w:r w:rsidRPr="00351BC3">
        <w:rPr>
          <w:rFonts w:eastAsiaTheme="minorHAnsi"/>
          <w:color w:val="000000" w:themeColor="text1"/>
          <w:lang w:eastAsia="en-US"/>
        </w:rPr>
        <w:t>10.1007/s10902-004-1278-z</w:t>
      </w:r>
    </w:p>
    <w:p w14:paraId="21AADFF6" w14:textId="5742BAD9" w:rsidR="00351BC3" w:rsidRPr="00351BC3" w:rsidRDefault="00351BC3" w:rsidP="00351BC3">
      <w:pPr>
        <w:tabs>
          <w:tab w:val="left" w:pos="6219"/>
        </w:tabs>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Randolph, J. J. (2008). Online Kappa Calculator [Computer software]. http://justusrandolph.net/kappa/</w:t>
      </w:r>
    </w:p>
    <w:p w14:paraId="335E932B" w14:textId="77777777" w:rsidR="00351BC3" w:rsidRPr="00351BC3" w:rsidRDefault="00351BC3" w:rsidP="00351BC3">
      <w:pPr>
        <w:tabs>
          <w:tab w:val="left" w:pos="6219"/>
        </w:tabs>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lastRenderedPageBreak/>
        <w:t xml:space="preserve">Rogers, P. (2022). Mejores prácticas para su análisis factorial exploratorio: un tutorial factorial. </w:t>
      </w:r>
      <w:r w:rsidRPr="00351BC3">
        <w:rPr>
          <w:rFonts w:eastAsiaTheme="minorHAnsi"/>
          <w:i/>
          <w:iCs/>
          <w:color w:val="000000" w:themeColor="text1"/>
          <w:lang w:eastAsia="en-US"/>
        </w:rPr>
        <w:t>Revista Administración Contemporánea</w:t>
      </w:r>
      <w:r w:rsidRPr="00CF3515">
        <w:rPr>
          <w:rFonts w:eastAsiaTheme="minorHAnsi"/>
          <w:color w:val="000000" w:themeColor="text1"/>
          <w:lang w:eastAsia="en-US"/>
        </w:rPr>
        <w:t>,</w:t>
      </w:r>
      <w:r w:rsidRPr="00351BC3">
        <w:rPr>
          <w:rFonts w:eastAsiaTheme="minorHAnsi"/>
          <w:i/>
          <w:iCs/>
          <w:color w:val="000000" w:themeColor="text1"/>
          <w:lang w:eastAsia="en-US"/>
        </w:rPr>
        <w:t xml:space="preserve"> 26</w:t>
      </w:r>
      <w:r w:rsidRPr="00351BC3">
        <w:rPr>
          <w:rFonts w:eastAsiaTheme="minorHAnsi"/>
          <w:color w:val="000000" w:themeColor="text1"/>
          <w:lang w:eastAsia="en-US"/>
        </w:rPr>
        <w:t xml:space="preserve">(6), Artículo e210085. </w:t>
      </w:r>
      <w:r w:rsidRPr="00351BC3">
        <w:rPr>
          <w:rFonts w:eastAsiaTheme="minorHAnsi"/>
          <w:color w:val="000000"/>
          <w:lang w:eastAsia="en-US"/>
        </w:rPr>
        <w:t>https://doi.org/</w:t>
      </w:r>
      <w:r w:rsidRPr="00351BC3">
        <w:rPr>
          <w:rFonts w:eastAsiaTheme="minorHAnsi"/>
          <w:color w:val="000000" w:themeColor="text1"/>
          <w:lang w:eastAsia="en-US"/>
        </w:rPr>
        <w:t>10.1590/1982-7849rac2022210085.en</w:t>
      </w:r>
    </w:p>
    <w:p w14:paraId="4E40B84E" w14:textId="3606F82A" w:rsidR="00351BC3" w:rsidRPr="00351BC3" w:rsidRDefault="00351BC3" w:rsidP="00351BC3">
      <w:pPr>
        <w:ind w:left="709" w:hanging="709"/>
        <w:jc w:val="both"/>
        <w:rPr>
          <w:color w:val="000000" w:themeColor="text1"/>
          <w:shd w:val="clear" w:color="auto" w:fill="FFFFFF"/>
        </w:rPr>
      </w:pPr>
      <w:r w:rsidRPr="00351BC3">
        <w:rPr>
          <w:color w:val="000000" w:themeColor="text1"/>
          <w:shd w:val="clear" w:color="auto" w:fill="FFFFFF"/>
        </w:rPr>
        <w:t xml:space="preserve">Rojas, M. (2018). Happiness in Latin America has Social Foundations. En J. F. Helliwell, R. Layard &amp; J. D. Sachs (Eds.) </w:t>
      </w:r>
      <w:r w:rsidRPr="003232E9">
        <w:rPr>
          <w:i/>
          <w:iCs/>
          <w:color w:val="000000" w:themeColor="text1"/>
          <w:shd w:val="clear" w:color="auto" w:fill="FFFFFF"/>
        </w:rPr>
        <w:t>World Happiness Report 2018</w:t>
      </w:r>
      <w:r w:rsidRPr="00351BC3">
        <w:rPr>
          <w:color w:val="000000" w:themeColor="text1"/>
          <w:shd w:val="clear" w:color="auto" w:fill="FFFFFF"/>
        </w:rPr>
        <w:t xml:space="preserve"> (pp. 114-145). https://s3.amazonaws.com/happiness-report/2018/WHR_web.pdf</w:t>
      </w:r>
    </w:p>
    <w:p w14:paraId="23EB6074" w14:textId="47FE9393"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Ruch, W.</w:t>
      </w:r>
      <w:r w:rsidR="00BB2853" w:rsidRPr="00351BC3">
        <w:rPr>
          <w:rFonts w:eastAsiaTheme="minorHAnsi"/>
          <w:color w:val="000000"/>
          <w:lang w:eastAsia="en-US"/>
        </w:rPr>
        <w:t>, Martínez</w:t>
      </w:r>
      <w:r w:rsidRPr="00351BC3">
        <w:rPr>
          <w:rFonts w:eastAsiaTheme="minorHAnsi"/>
          <w:color w:val="000000"/>
          <w:lang w:eastAsia="en-US"/>
        </w:rPr>
        <w:t xml:space="preserve">-Martí, M. L., Heintz, S., &amp;  Brouwers, S., A. (2014). Short Form of the Orientations to Happiness Questionnaire for the German-Speaking Countries. </w:t>
      </w:r>
      <w:r w:rsidRPr="00351BC3">
        <w:rPr>
          <w:rFonts w:eastAsiaTheme="minorHAnsi"/>
          <w:i/>
          <w:iCs/>
          <w:color w:val="000000"/>
          <w:lang w:eastAsia="en-US"/>
        </w:rPr>
        <w:t>Swiss Journal of Psychology</w:t>
      </w:r>
      <w:r w:rsidRPr="003232E9">
        <w:rPr>
          <w:rFonts w:eastAsiaTheme="minorHAnsi"/>
          <w:color w:val="000000"/>
          <w:lang w:eastAsia="en-US"/>
        </w:rPr>
        <w:t>,</w:t>
      </w:r>
      <w:r w:rsidRPr="00351BC3">
        <w:rPr>
          <w:rFonts w:eastAsiaTheme="minorHAnsi"/>
          <w:i/>
          <w:iCs/>
          <w:color w:val="000000"/>
          <w:lang w:eastAsia="en-US"/>
        </w:rPr>
        <w:t xml:space="preserve"> 73</w:t>
      </w:r>
      <w:r w:rsidRPr="00351BC3">
        <w:rPr>
          <w:rFonts w:eastAsiaTheme="minorHAnsi"/>
          <w:color w:val="000000"/>
          <w:lang w:eastAsia="en-US"/>
        </w:rPr>
        <w:t>(4), 225-234. https://doi.org/10.1024/1421-0185/a000141</w:t>
      </w:r>
    </w:p>
    <w:p w14:paraId="17E00CFF" w14:textId="77777777"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 xml:space="preserve">Ruch, W., Harzer, C., Proyer, R. T., Park, N., &amp; Peterson, C. (2010). Ways to Happiness in German-Speaking Countries. The Adaptation of the German Version of the Orientations to Happiness Questionnaire in Paper-Pencil and Internet Samples. </w:t>
      </w:r>
      <w:r w:rsidRPr="00351BC3">
        <w:rPr>
          <w:rFonts w:eastAsiaTheme="minorHAnsi"/>
          <w:i/>
          <w:iCs/>
          <w:color w:val="000000"/>
          <w:lang w:eastAsia="en-US"/>
        </w:rPr>
        <w:t>European Journal of Psychological</w:t>
      </w:r>
      <w:r w:rsidRPr="003232E9">
        <w:rPr>
          <w:rFonts w:eastAsiaTheme="minorHAnsi"/>
          <w:color w:val="000000"/>
          <w:lang w:eastAsia="en-US"/>
        </w:rPr>
        <w:t>,</w:t>
      </w:r>
      <w:r w:rsidRPr="00351BC3">
        <w:rPr>
          <w:rFonts w:eastAsiaTheme="minorHAnsi"/>
          <w:i/>
          <w:iCs/>
          <w:color w:val="000000"/>
          <w:lang w:eastAsia="en-US"/>
        </w:rPr>
        <w:t xml:space="preserve"> 26</w:t>
      </w:r>
      <w:r w:rsidRPr="00351BC3">
        <w:rPr>
          <w:rFonts w:eastAsiaTheme="minorHAnsi"/>
          <w:color w:val="000000"/>
          <w:lang w:eastAsia="en-US"/>
        </w:rPr>
        <w:t>(3), 227-234. https://doi.org/10.1027/1015-5759/a000030</w:t>
      </w:r>
    </w:p>
    <w:p w14:paraId="095F57B9"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San Martín, J., Perles, F., &amp; Canto, J. M. (2010). Life satisfaction and perception of happiness among university students. </w:t>
      </w:r>
      <w:r w:rsidRPr="00351BC3">
        <w:rPr>
          <w:rFonts w:eastAsia="Arial Unicode MS"/>
          <w:i/>
          <w:iCs/>
          <w:color w:val="000000"/>
        </w:rPr>
        <w:t>The Spanish journal of psychology</w:t>
      </w:r>
      <w:r w:rsidRPr="003232E9">
        <w:rPr>
          <w:rFonts w:eastAsia="Arial Unicode MS"/>
          <w:color w:val="000000"/>
        </w:rPr>
        <w:t>,</w:t>
      </w:r>
      <w:r w:rsidRPr="00351BC3">
        <w:rPr>
          <w:rFonts w:eastAsia="Arial Unicode MS"/>
          <w:i/>
          <w:iCs/>
          <w:color w:val="000000"/>
        </w:rPr>
        <w:t xml:space="preserve"> 13</w:t>
      </w:r>
      <w:r w:rsidRPr="00351BC3">
        <w:rPr>
          <w:rFonts w:eastAsia="Arial Unicode MS"/>
          <w:color w:val="000000"/>
        </w:rPr>
        <w:t xml:space="preserve">(2), 617-628. https://doi.org/10.1017/s1138741600002298 </w:t>
      </w:r>
    </w:p>
    <w:p w14:paraId="29B519D1"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Saricam, H., &amp; Canatan, A. (2015). The Adaptation, Validation, Reliability Process of the Turkish Version Orientations to Happiness Scale. </w:t>
      </w:r>
      <w:r w:rsidRPr="00351BC3">
        <w:rPr>
          <w:rFonts w:eastAsia="Arial Unicode MS"/>
          <w:i/>
          <w:iCs/>
          <w:color w:val="000000"/>
        </w:rPr>
        <w:t>Üniversitepark Bülten</w:t>
      </w:r>
      <w:r w:rsidRPr="003232E9">
        <w:rPr>
          <w:rFonts w:eastAsia="Arial Unicode MS"/>
          <w:color w:val="000000"/>
        </w:rPr>
        <w:t>,</w:t>
      </w:r>
      <w:r w:rsidRPr="00351BC3">
        <w:rPr>
          <w:rFonts w:eastAsia="Arial Unicode MS"/>
          <w:i/>
          <w:iCs/>
          <w:color w:val="000000"/>
        </w:rPr>
        <w:t xml:space="preserve"> 4</w:t>
      </w:r>
      <w:r w:rsidRPr="00351BC3">
        <w:rPr>
          <w:rFonts w:eastAsia="Arial Unicode MS"/>
          <w:color w:val="000000"/>
        </w:rPr>
        <w:t>(1-2), 7-15. https://doi.org/</w:t>
      </w:r>
      <w:r>
        <w:fldChar w:fldCharType="begin"/>
      </w:r>
      <w:r>
        <w:instrText>HYPERLINK "http://dx.doi.org/10.12973/unibulletin.412.1"</w:instrText>
      </w:r>
      <w:r>
        <w:fldChar w:fldCharType="separate"/>
      </w:r>
      <w:r w:rsidRPr="00351BC3">
        <w:rPr>
          <w:rFonts w:eastAsia="Arial Unicode MS"/>
        </w:rPr>
        <w:t>10.12973/unibulletin.412.1</w:t>
      </w:r>
      <w:r>
        <w:rPr>
          <w:rFonts w:eastAsia="Arial Unicode MS"/>
        </w:rPr>
        <w:fldChar w:fldCharType="end"/>
      </w:r>
    </w:p>
    <w:p w14:paraId="23AC36F4" w14:textId="77777777" w:rsidR="00351BC3" w:rsidRPr="00351BC3" w:rsidRDefault="00351BC3" w:rsidP="00351BC3">
      <w:pPr>
        <w:ind w:left="709" w:hanging="709"/>
        <w:jc w:val="both"/>
      </w:pPr>
      <w:r w:rsidRPr="00351BC3">
        <w:t xml:space="preserve">Schueller, S. M., &amp; Seligman, M. E. P. (2010). Pursuit of pleasure, engagement, and meaning: Relationships to subjective and objective measures of well-being. </w:t>
      </w:r>
      <w:r w:rsidRPr="00351BC3">
        <w:rPr>
          <w:i/>
          <w:iCs/>
        </w:rPr>
        <w:t>The Journal of Positive Psychology</w:t>
      </w:r>
      <w:r w:rsidRPr="003232E9">
        <w:t>,</w:t>
      </w:r>
      <w:r w:rsidRPr="00351BC3">
        <w:rPr>
          <w:i/>
          <w:iCs/>
        </w:rPr>
        <w:t xml:space="preserve"> 5</w:t>
      </w:r>
      <w:r w:rsidRPr="00351BC3">
        <w:t>(4), 253-263. https://doi.org/10.1080/17439761003794130</w:t>
      </w:r>
    </w:p>
    <w:p w14:paraId="20C4E1D2" w14:textId="3578DCE7" w:rsidR="00351BC3" w:rsidRPr="00351BC3" w:rsidRDefault="00351BC3" w:rsidP="00351BC3">
      <w:pPr>
        <w:ind w:left="709" w:hanging="709"/>
        <w:jc w:val="both"/>
        <w:rPr>
          <w:b/>
          <w:bCs/>
          <w:color w:val="000000" w:themeColor="text1"/>
          <w:shd w:val="clear" w:color="auto" w:fill="FFFFFF"/>
        </w:rPr>
      </w:pPr>
      <w:r w:rsidRPr="00351BC3">
        <w:rPr>
          <w:rFonts w:eastAsia="Arial Unicode MS"/>
          <w:color w:val="000000"/>
        </w:rPr>
        <w:t>Seligman, M. (2011). </w:t>
      </w:r>
      <w:r w:rsidRPr="00351BC3">
        <w:rPr>
          <w:rFonts w:eastAsia="Arial Unicode MS"/>
          <w:i/>
          <w:iCs/>
          <w:color w:val="000000"/>
        </w:rPr>
        <w:t>Florecer. La nueva Psicología Positiva y la búsqueda del bienestar</w:t>
      </w:r>
      <w:r w:rsidRPr="00351BC3">
        <w:rPr>
          <w:rFonts w:eastAsia="Arial Unicode MS"/>
          <w:color w:val="000000"/>
        </w:rPr>
        <w:t>. Oc</w:t>
      </w:r>
      <w:r w:rsidR="003232E9">
        <w:rPr>
          <w:rFonts w:eastAsia="Arial Unicode MS"/>
          <w:color w:val="000000"/>
        </w:rPr>
        <w:t>é</w:t>
      </w:r>
      <w:r w:rsidRPr="00351BC3">
        <w:rPr>
          <w:rFonts w:eastAsia="Arial Unicode MS"/>
          <w:color w:val="000000"/>
        </w:rPr>
        <w:t>ano.</w:t>
      </w:r>
    </w:p>
    <w:p w14:paraId="3C17EB17" w14:textId="77777777" w:rsidR="00351BC3" w:rsidRPr="00351BC3" w:rsidRDefault="00351BC3" w:rsidP="00351BC3">
      <w:pPr>
        <w:ind w:left="709" w:hanging="709"/>
        <w:jc w:val="both"/>
        <w:rPr>
          <w:b/>
          <w:bCs/>
          <w:color w:val="000000" w:themeColor="text1"/>
          <w:shd w:val="clear" w:color="auto" w:fill="FFFFFF"/>
        </w:rPr>
      </w:pPr>
      <w:r w:rsidRPr="00351BC3">
        <w:rPr>
          <w:rFonts w:eastAsia="Arial Unicode MS"/>
          <w:color w:val="000000"/>
        </w:rPr>
        <w:t>Seligman, M. (2018). </w:t>
      </w:r>
      <w:r w:rsidRPr="00351BC3">
        <w:rPr>
          <w:rFonts w:eastAsia="Arial Unicode MS"/>
          <w:i/>
          <w:iCs/>
          <w:color w:val="000000"/>
        </w:rPr>
        <w:t>La auténtica felicidad</w:t>
      </w:r>
      <w:r w:rsidRPr="00351BC3">
        <w:rPr>
          <w:rFonts w:eastAsia="Arial Unicode MS"/>
          <w:color w:val="000000"/>
        </w:rPr>
        <w:t>. Penguin Random House.</w:t>
      </w:r>
    </w:p>
    <w:p w14:paraId="7CA294DD" w14:textId="6AB4FC47" w:rsidR="00351BC3" w:rsidRPr="00351BC3" w:rsidRDefault="00351BC3" w:rsidP="00351BC3">
      <w:pPr>
        <w:pStyle w:val="NormalWeb"/>
        <w:ind w:left="709" w:hanging="709"/>
        <w:jc w:val="both"/>
      </w:pPr>
      <w:r w:rsidRPr="00351BC3">
        <w:rPr>
          <w:lang w:val="en-US"/>
        </w:rPr>
        <w:t xml:space="preserve">Soper, D.S. (2021). A-priori Sample Size Calculator for Structural Equation Models [Software]. </w:t>
      </w:r>
      <w:r w:rsidRPr="00351BC3">
        <w:t>https://www.danielsoper.com/statcalc</w:t>
      </w:r>
    </w:p>
    <w:p w14:paraId="0435D561" w14:textId="77777777" w:rsidR="00351BC3" w:rsidRPr="00351BC3" w:rsidRDefault="00351BC3" w:rsidP="00351BC3">
      <w:pPr>
        <w:tabs>
          <w:tab w:val="left" w:pos="6219"/>
        </w:tabs>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 xml:space="preserve">Squires, J. E., Estabrooks, C. A., Newburn-Cook, C. V., &amp; Gierl, M. (2011). Validation of the conceptual research utilization scale: an application of the standards for educational and psychological testing in healthcare. </w:t>
      </w:r>
      <w:r w:rsidRPr="00351BC3">
        <w:rPr>
          <w:rFonts w:eastAsiaTheme="minorHAnsi"/>
          <w:i/>
          <w:iCs/>
          <w:color w:val="000000" w:themeColor="text1"/>
          <w:lang w:eastAsia="en-US"/>
        </w:rPr>
        <w:t>BMC Health Services Research</w:t>
      </w:r>
      <w:r w:rsidRPr="003232E9">
        <w:rPr>
          <w:rFonts w:eastAsiaTheme="minorHAnsi"/>
          <w:color w:val="000000" w:themeColor="text1"/>
          <w:lang w:eastAsia="en-US"/>
        </w:rPr>
        <w:t>,</w:t>
      </w:r>
      <w:r w:rsidRPr="00351BC3">
        <w:rPr>
          <w:rFonts w:eastAsiaTheme="minorHAnsi"/>
          <w:i/>
          <w:iCs/>
          <w:color w:val="000000" w:themeColor="text1"/>
          <w:lang w:eastAsia="en-US"/>
        </w:rPr>
        <w:t xml:space="preserve"> 11,</w:t>
      </w:r>
      <w:r w:rsidRPr="00351BC3">
        <w:rPr>
          <w:rFonts w:eastAsiaTheme="minorHAnsi"/>
          <w:color w:val="000000" w:themeColor="text1"/>
          <w:lang w:eastAsia="en-US"/>
        </w:rPr>
        <w:t xml:space="preserve"> 107. </w:t>
      </w:r>
      <w:r w:rsidRPr="00351BC3">
        <w:t>https://doi.org/</w:t>
      </w:r>
      <w:r w:rsidRPr="00351BC3">
        <w:rPr>
          <w:rFonts w:eastAsiaTheme="minorHAnsi"/>
          <w:color w:val="000000" w:themeColor="text1"/>
          <w:lang w:eastAsia="en-US"/>
        </w:rPr>
        <w:t>10.1186/1472-6963-11-107</w:t>
      </w:r>
    </w:p>
    <w:p w14:paraId="20479DB7" w14:textId="77777777" w:rsidR="00351BC3" w:rsidRPr="00351BC3" w:rsidRDefault="00351BC3" w:rsidP="00351BC3">
      <w:pPr>
        <w:ind w:left="709" w:hanging="709"/>
        <w:jc w:val="both"/>
        <w:rPr>
          <w:color w:val="212121"/>
          <w:shd w:val="clear" w:color="auto" w:fill="FFFFFF"/>
        </w:rPr>
      </w:pPr>
      <w:r w:rsidRPr="00351BC3">
        <w:rPr>
          <w:rFonts w:eastAsiaTheme="minorHAnsi"/>
          <w:color w:val="000000"/>
          <w:lang w:eastAsia="en-US"/>
        </w:rPr>
        <w:t xml:space="preserve">Szondy, M., &amp; Martos, T. (2014). The three faces of happiness: Psychometric properties of the Hungarian version of the Orientations to Happiness Scale. </w:t>
      </w:r>
      <w:r w:rsidRPr="003232E9">
        <w:rPr>
          <w:rFonts w:eastAsiaTheme="minorHAnsi"/>
          <w:i/>
          <w:iCs/>
          <w:color w:val="000000"/>
          <w:lang w:eastAsia="en-US"/>
        </w:rPr>
        <w:t>Mentálhigiéné És Pszichoszomatika</w:t>
      </w:r>
      <w:r w:rsidRPr="00351BC3">
        <w:rPr>
          <w:rFonts w:eastAsiaTheme="minorHAnsi"/>
          <w:color w:val="000000"/>
          <w:lang w:eastAsia="en-US"/>
        </w:rPr>
        <w:t xml:space="preserve">, </w:t>
      </w:r>
      <w:r w:rsidRPr="003232E9">
        <w:rPr>
          <w:rFonts w:eastAsiaTheme="minorHAnsi"/>
          <w:i/>
          <w:iCs/>
          <w:color w:val="000000"/>
          <w:lang w:eastAsia="en-US"/>
        </w:rPr>
        <w:t>15</w:t>
      </w:r>
      <w:r w:rsidRPr="00351BC3">
        <w:rPr>
          <w:rFonts w:eastAsiaTheme="minorHAnsi"/>
          <w:color w:val="000000"/>
          <w:lang w:eastAsia="en-US"/>
        </w:rPr>
        <w:t xml:space="preserve">(3), 229–243. </w:t>
      </w:r>
      <w:r w:rsidRPr="00351BC3">
        <w:t>https://doi.org/</w:t>
      </w:r>
      <w:r w:rsidRPr="00351BC3">
        <w:rPr>
          <w:rFonts w:eastAsiaTheme="minorHAnsi"/>
          <w:color w:val="000000"/>
          <w:lang w:eastAsia="en-US"/>
        </w:rPr>
        <w:t>10.1556/mental.15.2014.3.5</w:t>
      </w:r>
    </w:p>
    <w:p w14:paraId="767A4726"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 xml:space="preserve">Tao, H. L. (2018). Marriage and Happiness: Evidence from Taiwan. </w:t>
      </w:r>
      <w:r w:rsidRPr="00351BC3">
        <w:rPr>
          <w:rFonts w:eastAsia="Arial Unicode MS"/>
          <w:i/>
          <w:iCs/>
          <w:color w:val="000000"/>
        </w:rPr>
        <w:t>Journal of Happiness Studies</w:t>
      </w:r>
      <w:r w:rsidRPr="00351BC3">
        <w:rPr>
          <w:rFonts w:eastAsia="Arial Unicode MS"/>
          <w:color w:val="000000"/>
        </w:rPr>
        <w:t>, </w:t>
      </w:r>
      <w:r w:rsidRPr="00351BC3">
        <w:rPr>
          <w:rFonts w:eastAsia="Arial Unicode MS"/>
          <w:i/>
          <w:iCs/>
          <w:color w:val="000000"/>
        </w:rPr>
        <w:t>20</w:t>
      </w:r>
      <w:r w:rsidRPr="00351BC3">
        <w:rPr>
          <w:rFonts w:eastAsia="Arial Unicode MS"/>
          <w:color w:val="000000"/>
        </w:rPr>
        <w:t xml:space="preserve">, 1843-1861. </w:t>
      </w:r>
      <w:r w:rsidRPr="00351BC3">
        <w:t>https://doi.org/</w:t>
      </w:r>
      <w:r w:rsidRPr="00351BC3">
        <w:rPr>
          <w:rFonts w:eastAsia="Arial Unicode MS"/>
          <w:color w:val="000000"/>
        </w:rPr>
        <w:t>10.1007/s10902-018-0029-5</w:t>
      </w:r>
    </w:p>
    <w:p w14:paraId="4C087C8F" w14:textId="77777777" w:rsidR="00351BC3" w:rsidRPr="00351BC3" w:rsidRDefault="00351BC3" w:rsidP="00351BC3">
      <w:pPr>
        <w:ind w:left="709" w:hanging="709"/>
        <w:jc w:val="both"/>
        <w:rPr>
          <w:rFonts w:eastAsia="Arial Unicode MS"/>
          <w:color w:val="000000"/>
        </w:rPr>
      </w:pPr>
      <w:r w:rsidRPr="00351BC3">
        <w:rPr>
          <w:rFonts w:eastAsia="Arial Unicode MS"/>
          <w:color w:val="000000"/>
        </w:rPr>
        <w:t>Taquet, M., Quoidbach, J., de Montjoye, Y. A., Desseilles, M., &amp; Gross, J. J. (2016). Hedonism and the choice of everyday activities. </w:t>
      </w:r>
      <w:r w:rsidRPr="00351BC3">
        <w:rPr>
          <w:rFonts w:eastAsia="Arial Unicode MS"/>
          <w:i/>
          <w:iCs/>
          <w:color w:val="000000"/>
        </w:rPr>
        <w:t>Proceedings of the National Academy of Sciences of the United States of America</w:t>
      </w:r>
      <w:r w:rsidRPr="003232E9">
        <w:rPr>
          <w:rFonts w:eastAsia="Arial Unicode MS"/>
          <w:color w:val="000000"/>
        </w:rPr>
        <w:t>,</w:t>
      </w:r>
      <w:r w:rsidRPr="00351BC3">
        <w:rPr>
          <w:rFonts w:eastAsia="Arial Unicode MS"/>
          <w:i/>
          <w:iCs/>
          <w:color w:val="000000"/>
        </w:rPr>
        <w:t> 113</w:t>
      </w:r>
      <w:r w:rsidRPr="00351BC3">
        <w:rPr>
          <w:rFonts w:eastAsia="Arial Unicode MS"/>
          <w:color w:val="000000"/>
        </w:rPr>
        <w:t xml:space="preserve">(35), 9769–9773. </w:t>
      </w:r>
      <w:r w:rsidRPr="00351BC3">
        <w:t>https://doi.org/</w:t>
      </w:r>
      <w:r w:rsidRPr="00351BC3">
        <w:rPr>
          <w:rFonts w:eastAsia="Arial Unicode MS"/>
          <w:color w:val="000000"/>
        </w:rPr>
        <w:t>10.1073/pnas.1519998113</w:t>
      </w:r>
    </w:p>
    <w:p w14:paraId="7C9F483F" w14:textId="4855EB75" w:rsidR="00351BC3" w:rsidRPr="00351BC3" w:rsidRDefault="00351BC3" w:rsidP="00351BC3">
      <w:pPr>
        <w:ind w:left="709" w:hanging="709"/>
        <w:jc w:val="both"/>
        <w:rPr>
          <w:rFonts w:eastAsia="Arial Unicode MS"/>
          <w:color w:val="000000"/>
        </w:rPr>
      </w:pPr>
      <w:r w:rsidRPr="00351BC3">
        <w:rPr>
          <w:rFonts w:eastAsia="Arial Unicode MS"/>
          <w:color w:val="000000"/>
        </w:rPr>
        <w:t>Tov, W. (2018). Well-being concepts and components. En E. Diener, S. Oishi, &amp; L. Tay (Eds</w:t>
      </w:r>
      <w:r w:rsidR="003232E9">
        <w:rPr>
          <w:rFonts w:eastAsia="Arial Unicode MS"/>
          <w:color w:val="000000"/>
        </w:rPr>
        <w:t>.</w:t>
      </w:r>
      <w:r w:rsidRPr="00351BC3">
        <w:rPr>
          <w:rFonts w:eastAsia="Arial Unicode MS"/>
          <w:color w:val="000000"/>
        </w:rPr>
        <w:t xml:space="preserve">), </w:t>
      </w:r>
      <w:r w:rsidRPr="00351BC3">
        <w:rPr>
          <w:rFonts w:eastAsia="Arial Unicode MS"/>
          <w:i/>
          <w:iCs/>
          <w:color w:val="000000"/>
        </w:rPr>
        <w:t>Handbook of well-being</w:t>
      </w:r>
      <w:r w:rsidRPr="00351BC3">
        <w:rPr>
          <w:rFonts w:eastAsia="Arial Unicode MS"/>
          <w:color w:val="000000"/>
        </w:rPr>
        <w:t xml:space="preserve"> (pp. 1-15). DEF Publishers.</w:t>
      </w:r>
    </w:p>
    <w:p w14:paraId="05A391FA" w14:textId="77777777" w:rsidR="00351BC3" w:rsidRPr="00351BC3" w:rsidRDefault="00351BC3" w:rsidP="00351BC3">
      <w:pPr>
        <w:autoSpaceDE w:val="0"/>
        <w:autoSpaceDN w:val="0"/>
        <w:adjustRightInd w:val="0"/>
        <w:ind w:left="709" w:right="-198" w:hanging="709"/>
        <w:jc w:val="both"/>
        <w:rPr>
          <w:rFonts w:eastAsiaTheme="minorHAnsi"/>
          <w:color w:val="000000" w:themeColor="text1"/>
          <w:lang w:eastAsia="en-US"/>
        </w:rPr>
      </w:pPr>
      <w:r w:rsidRPr="00351BC3">
        <w:rPr>
          <w:rFonts w:eastAsiaTheme="minorHAnsi"/>
          <w:color w:val="000000" w:themeColor="text1"/>
          <w:lang w:eastAsia="en-US"/>
        </w:rPr>
        <w:t>Viladrich, C., Angulo-Brunet, A., &amp; Doval, E. (2017). A journey around alpha and omega to estimate internal consistency reliability. </w:t>
      </w:r>
      <w:r w:rsidRPr="00351BC3">
        <w:rPr>
          <w:rFonts w:eastAsiaTheme="minorHAnsi"/>
          <w:i/>
          <w:iCs/>
          <w:color w:val="000000" w:themeColor="text1"/>
          <w:lang w:eastAsia="en-US"/>
        </w:rPr>
        <w:t>Annals of Psychology</w:t>
      </w:r>
      <w:r w:rsidRPr="003232E9">
        <w:rPr>
          <w:rFonts w:eastAsiaTheme="minorHAnsi"/>
          <w:color w:val="000000" w:themeColor="text1"/>
          <w:lang w:eastAsia="en-US"/>
        </w:rPr>
        <w:t>,</w:t>
      </w:r>
      <w:r w:rsidRPr="00351BC3">
        <w:rPr>
          <w:rFonts w:eastAsiaTheme="minorHAnsi"/>
          <w:i/>
          <w:iCs/>
          <w:color w:val="000000" w:themeColor="text1"/>
          <w:lang w:eastAsia="en-US"/>
        </w:rPr>
        <w:t xml:space="preserve"> 33</w:t>
      </w:r>
      <w:r w:rsidRPr="00351BC3">
        <w:rPr>
          <w:rFonts w:eastAsiaTheme="minorHAnsi"/>
          <w:color w:val="000000" w:themeColor="text1"/>
          <w:lang w:eastAsia="en-US"/>
        </w:rPr>
        <w:t xml:space="preserve">(3), 755-782. </w:t>
      </w:r>
      <w:r w:rsidRPr="00351BC3">
        <w:t>https://doi.org/</w:t>
      </w:r>
      <w:r w:rsidRPr="00351BC3">
        <w:rPr>
          <w:rFonts w:eastAsiaTheme="minorHAnsi"/>
          <w:color w:val="000000" w:themeColor="text1"/>
          <w:lang w:eastAsia="en-US"/>
        </w:rPr>
        <w:t>10.6018/analesps.33.3.268401</w:t>
      </w:r>
    </w:p>
    <w:p w14:paraId="6F23C550" w14:textId="29045CC3" w:rsidR="00351BC3" w:rsidRPr="00351BC3" w:rsidRDefault="00351BC3" w:rsidP="00351BC3">
      <w:pPr>
        <w:ind w:left="709" w:hanging="709"/>
        <w:jc w:val="both"/>
        <w:rPr>
          <w:rFonts w:eastAsiaTheme="minorHAnsi"/>
          <w:color w:val="000000"/>
          <w:lang w:eastAsia="en-US"/>
        </w:rPr>
      </w:pPr>
      <w:r w:rsidRPr="00351BC3">
        <w:rPr>
          <w:rFonts w:eastAsiaTheme="minorHAnsi"/>
          <w:color w:val="000000"/>
          <w:lang w:eastAsia="en-US"/>
        </w:rPr>
        <w:t xml:space="preserve">Wagner, L., Conrad, D., Gajić, N., Kácha, O., Martinović‖, K., Skvortsova, A., van Doeselaar, L., &amp; Voitenko, D. (2014). Examining Adolescents’ Well-being: How Do the Orientations to </w:t>
      </w:r>
      <w:r w:rsidRPr="00351BC3">
        <w:rPr>
          <w:rFonts w:eastAsiaTheme="minorHAnsi"/>
          <w:color w:val="000000"/>
          <w:lang w:eastAsia="en-US"/>
        </w:rPr>
        <w:lastRenderedPageBreak/>
        <w:t xml:space="preserve">Happiness Relate to Their Leisure Time Activities? </w:t>
      </w:r>
      <w:r w:rsidRPr="00351BC3">
        <w:rPr>
          <w:rFonts w:eastAsiaTheme="minorHAnsi"/>
          <w:i/>
          <w:iCs/>
          <w:color w:val="000000"/>
          <w:lang w:eastAsia="en-US"/>
        </w:rPr>
        <w:t>Journal of European Psychology Students</w:t>
      </w:r>
      <w:r w:rsidRPr="003232E9">
        <w:rPr>
          <w:rFonts w:eastAsiaTheme="minorHAnsi"/>
          <w:color w:val="000000"/>
          <w:lang w:eastAsia="en-US"/>
        </w:rPr>
        <w:t>,</w:t>
      </w:r>
      <w:r w:rsidRPr="00351BC3">
        <w:rPr>
          <w:rFonts w:eastAsiaTheme="minorHAnsi"/>
          <w:i/>
          <w:iCs/>
          <w:color w:val="000000"/>
          <w:lang w:eastAsia="en-US"/>
        </w:rPr>
        <w:t xml:space="preserve"> 5</w:t>
      </w:r>
      <w:r w:rsidRPr="00351BC3">
        <w:rPr>
          <w:rFonts w:eastAsiaTheme="minorHAnsi"/>
          <w:color w:val="000000"/>
          <w:lang w:eastAsia="en-US"/>
        </w:rPr>
        <w:t>(2), 8-12</w:t>
      </w:r>
      <w:r w:rsidR="00690D7C">
        <w:rPr>
          <w:rFonts w:eastAsiaTheme="minorHAnsi"/>
          <w:color w:val="000000"/>
          <w:lang w:eastAsia="en-US"/>
        </w:rPr>
        <w:t xml:space="preserve">. </w:t>
      </w:r>
      <w:r w:rsidRPr="00351BC3">
        <w:t>https://doi.org/</w:t>
      </w:r>
      <w:r w:rsidRPr="00351BC3">
        <w:rPr>
          <w:rFonts w:eastAsiaTheme="minorHAnsi"/>
          <w:color w:val="000000"/>
          <w:lang w:eastAsia="en-US"/>
        </w:rPr>
        <w:t>10.5334/jeps.bv</w:t>
      </w:r>
    </w:p>
    <w:p w14:paraId="4A556F52" w14:textId="77777777" w:rsidR="00351BC3" w:rsidRPr="00351BC3" w:rsidRDefault="00351BC3" w:rsidP="00351BC3">
      <w:pPr>
        <w:ind w:left="709" w:hanging="709"/>
        <w:jc w:val="both"/>
      </w:pPr>
      <w:r w:rsidRPr="00351BC3">
        <w:t xml:space="preserve">Waterman, A. S. (1993). Two conceptions of happiness: Contrasts of personal expressiveness (eudaimonia) and hedonic enjoyment. </w:t>
      </w:r>
      <w:r w:rsidRPr="00351BC3">
        <w:rPr>
          <w:i/>
          <w:iCs/>
        </w:rPr>
        <w:t>Journal of Personality and Social Psychology</w:t>
      </w:r>
      <w:r w:rsidRPr="003232E9">
        <w:t>,</w:t>
      </w:r>
      <w:r w:rsidRPr="00351BC3">
        <w:rPr>
          <w:i/>
          <w:iCs/>
        </w:rPr>
        <w:t xml:space="preserve"> 64</w:t>
      </w:r>
      <w:r w:rsidRPr="00351BC3">
        <w:t>(4), 678–691. https://doi.org/10.1037/0022-3514.64.4.678</w:t>
      </w:r>
    </w:p>
    <w:p w14:paraId="4A9C6DF0" w14:textId="77777777" w:rsidR="00351BC3" w:rsidRPr="00351BC3" w:rsidRDefault="00351BC3" w:rsidP="00351BC3">
      <w:pPr>
        <w:ind w:left="709" w:hanging="709"/>
        <w:jc w:val="both"/>
      </w:pPr>
      <w:r w:rsidRPr="00351BC3">
        <w:t>Wu, L. F., Yang, S. H., &amp; Koo, M. (2017). Psychometric properties of the Chinese version of Spiritual Index of Well-Being in elderly Taiwanese. </w:t>
      </w:r>
      <w:r w:rsidRPr="00351BC3">
        <w:rPr>
          <w:i/>
          <w:iCs/>
        </w:rPr>
        <w:t>BMC Geriatrics</w:t>
      </w:r>
      <w:r w:rsidRPr="003232E9">
        <w:t>,</w:t>
      </w:r>
      <w:r w:rsidRPr="00351BC3">
        <w:rPr>
          <w:i/>
          <w:iCs/>
        </w:rPr>
        <w:t> 17</w:t>
      </w:r>
      <w:r w:rsidRPr="00351BC3">
        <w:t xml:space="preserve">(1), 3. https://doi.org/10.1186/s12877-016-0392-1 </w:t>
      </w:r>
    </w:p>
    <w:p w14:paraId="6E325F29" w14:textId="77777777" w:rsidR="00351BC3" w:rsidRPr="00351BC3" w:rsidRDefault="00351BC3" w:rsidP="00351BC3">
      <w:pPr>
        <w:pStyle w:val="NormalWeb"/>
        <w:ind w:left="709" w:hanging="709"/>
        <w:jc w:val="both"/>
        <w:rPr>
          <w:color w:val="212121"/>
          <w:shd w:val="clear" w:color="auto" w:fill="FFFFFF"/>
        </w:rPr>
      </w:pPr>
      <w:r w:rsidRPr="00351BC3">
        <w:rPr>
          <w:color w:val="212121"/>
          <w:shd w:val="clear" w:color="auto" w:fill="FFFFFF"/>
        </w:rPr>
        <w:t xml:space="preserve">Ximénez, C., Revuelta, J., &amp; Castañeda, R. (2022). What are the consequences of ignoring cross-loadings in bifactor models? A simulation study assessing parameter recovery and sensitivity of goodness-of-fit indices. </w:t>
      </w:r>
      <w:r w:rsidRPr="00351BC3">
        <w:rPr>
          <w:i/>
          <w:iCs/>
          <w:color w:val="212121"/>
          <w:shd w:val="clear" w:color="auto" w:fill="FFFFFF"/>
        </w:rPr>
        <w:t>Frontiers in psychology</w:t>
      </w:r>
      <w:r w:rsidRPr="00351BC3">
        <w:rPr>
          <w:color w:val="212121"/>
          <w:shd w:val="clear" w:color="auto" w:fill="FFFFFF"/>
        </w:rPr>
        <w:t xml:space="preserve">, </w:t>
      </w:r>
      <w:r w:rsidRPr="003232E9">
        <w:rPr>
          <w:i/>
          <w:iCs/>
          <w:color w:val="212121"/>
          <w:shd w:val="clear" w:color="auto" w:fill="FFFFFF"/>
        </w:rPr>
        <w:t>13</w:t>
      </w:r>
      <w:r w:rsidRPr="00351BC3">
        <w:rPr>
          <w:color w:val="212121"/>
          <w:shd w:val="clear" w:color="auto" w:fill="FFFFFF"/>
        </w:rPr>
        <w:t xml:space="preserve">, Artículo e923877. https://doi.org/10.3389/fpsyg.2022.923877 </w:t>
      </w:r>
    </w:p>
    <w:p w14:paraId="5CA55FC8" w14:textId="3C3F2F9F" w:rsidR="00CE7D65" w:rsidRPr="00E25900" w:rsidRDefault="00351BC3" w:rsidP="00690D7C">
      <w:pPr>
        <w:pStyle w:val="NormalWeb"/>
        <w:ind w:left="709" w:hanging="709"/>
        <w:jc w:val="both"/>
        <w:rPr>
          <w:lang w:val="en-US"/>
        </w:rPr>
      </w:pPr>
      <w:r w:rsidRPr="00351BC3">
        <w:rPr>
          <w:lang w:val="en-US"/>
        </w:rPr>
        <w:t xml:space="preserve">Yasir, A. S. M. (2016). Cross Cultural Adaptation &amp; Psychometric Validation of Instruments: Step-wise Description. </w:t>
      </w:r>
      <w:r w:rsidRPr="00351BC3">
        <w:rPr>
          <w:i/>
          <w:iCs/>
          <w:lang w:val="en-US"/>
        </w:rPr>
        <w:t>International Journal of Psychiatry, 1</w:t>
      </w:r>
      <w:r w:rsidRPr="00351BC3">
        <w:rPr>
          <w:lang w:val="en-US"/>
        </w:rPr>
        <w:t xml:space="preserve">(1), 1-4. </w:t>
      </w:r>
      <w:r w:rsidR="00690D7C" w:rsidRPr="00690D7C">
        <w:rPr>
          <w:lang w:val="en-US"/>
        </w:rPr>
        <w:t>https://www.semanticscholar.org/paper/Cross-Cultural-Adaptation-%26-Psychometric-Validation-Yasir/24e7b4ae16917cb1a8ff2b2b07f593c75e3a19ac</w:t>
      </w:r>
    </w:p>
    <w:p w14:paraId="2B09FC6A" w14:textId="57CE0D8E" w:rsidR="00594317" w:rsidRPr="00E25900" w:rsidRDefault="00594317" w:rsidP="007C3C14">
      <w:pPr>
        <w:shd w:val="clear" w:color="auto" w:fill="FFFFFF"/>
        <w:jc w:val="right"/>
        <w:rPr>
          <w:i/>
          <w:iCs/>
          <w:sz w:val="20"/>
          <w:szCs w:val="20"/>
          <w:lang w:val="es-AR"/>
        </w:rPr>
      </w:pPr>
      <w:r w:rsidRPr="006F6924">
        <w:rPr>
          <w:i/>
          <w:iCs/>
          <w:sz w:val="20"/>
          <w:szCs w:val="20"/>
          <w:lang w:val="en-US"/>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6ACF867C" w14:textId="6015F722" w:rsidR="00261CC1" w:rsidRPr="003D21B8" w:rsidRDefault="00261CC1" w:rsidP="00690D7C">
      <w:pPr>
        <w:rPr>
          <w:lang w:val="es-AR"/>
        </w:rPr>
      </w:pPr>
    </w:p>
    <w:sectPr w:rsidR="00261CC1" w:rsidRPr="003D21B8"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DA1E" w14:textId="77777777" w:rsidR="009B749B" w:rsidRDefault="009B749B" w:rsidP="00C413D4">
      <w:r>
        <w:separator/>
      </w:r>
    </w:p>
  </w:endnote>
  <w:endnote w:type="continuationSeparator" w:id="0">
    <w:p w14:paraId="11EF2C78" w14:textId="77777777" w:rsidR="009B749B" w:rsidRDefault="009B749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8908" w14:textId="77777777" w:rsidR="009B749B" w:rsidRDefault="009B749B" w:rsidP="00C413D4">
      <w:r>
        <w:separator/>
      </w:r>
    </w:p>
  </w:footnote>
  <w:footnote w:type="continuationSeparator" w:id="0">
    <w:p w14:paraId="5E7BD543" w14:textId="77777777" w:rsidR="009B749B" w:rsidRDefault="009B749B" w:rsidP="00C413D4">
      <w:r>
        <w:continuationSeparator/>
      </w:r>
    </w:p>
  </w:footnote>
  <w:footnote w:id="1">
    <w:p w14:paraId="3922689B" w14:textId="3D790E3D" w:rsidR="005F5E6D" w:rsidRPr="005F5E6D" w:rsidRDefault="005F5E6D">
      <w:pPr>
        <w:pStyle w:val="Textonotapie"/>
        <w:rPr>
          <w:lang w:val="es-ES"/>
        </w:rPr>
      </w:pPr>
      <w:r>
        <w:rPr>
          <w:rStyle w:val="Refdenotaalpie"/>
        </w:rPr>
        <w:footnoteRef/>
      </w:r>
      <w:r>
        <w:t xml:space="preserve"> </w:t>
      </w:r>
      <w:r w:rsidRPr="005F5E6D">
        <w:t>Investigación realizada gracias al Programa UNAM-PAPIIT- IN301522.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7CD67C4F" w:rsidR="007C3C14" w:rsidRPr="0027261B" w:rsidRDefault="007C3C14"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616956298">
    <w:abstractNumId w:val="10"/>
  </w:num>
  <w:num w:numId="2" w16cid:durableId="495851554">
    <w:abstractNumId w:val="4"/>
  </w:num>
  <w:num w:numId="3" w16cid:durableId="1915121853">
    <w:abstractNumId w:val="5"/>
  </w:num>
  <w:num w:numId="4" w16cid:durableId="1270308327">
    <w:abstractNumId w:val="6"/>
  </w:num>
  <w:num w:numId="5" w16cid:durableId="1584954800">
    <w:abstractNumId w:val="7"/>
  </w:num>
  <w:num w:numId="6" w16cid:durableId="438717850">
    <w:abstractNumId w:val="9"/>
  </w:num>
  <w:num w:numId="7" w16cid:durableId="2059472064">
    <w:abstractNumId w:val="0"/>
  </w:num>
  <w:num w:numId="8" w16cid:durableId="326519860">
    <w:abstractNumId w:val="1"/>
  </w:num>
  <w:num w:numId="9" w16cid:durableId="1154027115">
    <w:abstractNumId w:val="2"/>
  </w:num>
  <w:num w:numId="10" w16cid:durableId="946813685">
    <w:abstractNumId w:val="3"/>
  </w:num>
  <w:num w:numId="11" w16cid:durableId="138613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4C6"/>
    <w:rsid w:val="000105C0"/>
    <w:rsid w:val="000365CA"/>
    <w:rsid w:val="00076F0A"/>
    <w:rsid w:val="000C264C"/>
    <w:rsid w:val="000D35CD"/>
    <w:rsid w:val="000E3B16"/>
    <w:rsid w:val="00107993"/>
    <w:rsid w:val="001253E7"/>
    <w:rsid w:val="00127870"/>
    <w:rsid w:val="001516ED"/>
    <w:rsid w:val="00153DC5"/>
    <w:rsid w:val="001566F6"/>
    <w:rsid w:val="0018716C"/>
    <w:rsid w:val="001F7509"/>
    <w:rsid w:val="00216AFF"/>
    <w:rsid w:val="00234E5C"/>
    <w:rsid w:val="00246D04"/>
    <w:rsid w:val="00261CC1"/>
    <w:rsid w:val="002624E0"/>
    <w:rsid w:val="00271502"/>
    <w:rsid w:val="0027261B"/>
    <w:rsid w:val="00294547"/>
    <w:rsid w:val="00297AFB"/>
    <w:rsid w:val="002A394B"/>
    <w:rsid w:val="002B2297"/>
    <w:rsid w:val="002B4455"/>
    <w:rsid w:val="002B75F9"/>
    <w:rsid w:val="002C009C"/>
    <w:rsid w:val="002C1EB1"/>
    <w:rsid w:val="002C3A8D"/>
    <w:rsid w:val="002C7C6D"/>
    <w:rsid w:val="002C7DF0"/>
    <w:rsid w:val="002D1053"/>
    <w:rsid w:val="002D7BD5"/>
    <w:rsid w:val="002E0320"/>
    <w:rsid w:val="002F070D"/>
    <w:rsid w:val="002F257B"/>
    <w:rsid w:val="002F38C8"/>
    <w:rsid w:val="00302C5C"/>
    <w:rsid w:val="003232E9"/>
    <w:rsid w:val="00325D7E"/>
    <w:rsid w:val="00334D10"/>
    <w:rsid w:val="00351BC3"/>
    <w:rsid w:val="003909A7"/>
    <w:rsid w:val="003B41B3"/>
    <w:rsid w:val="003C4AA4"/>
    <w:rsid w:val="003D21B8"/>
    <w:rsid w:val="003E438F"/>
    <w:rsid w:val="003E4B06"/>
    <w:rsid w:val="0042142D"/>
    <w:rsid w:val="00430C97"/>
    <w:rsid w:val="00447E89"/>
    <w:rsid w:val="00475FC0"/>
    <w:rsid w:val="00482E1C"/>
    <w:rsid w:val="00483D6B"/>
    <w:rsid w:val="0048651A"/>
    <w:rsid w:val="004C0823"/>
    <w:rsid w:val="004D5719"/>
    <w:rsid w:val="004E0712"/>
    <w:rsid w:val="00510E52"/>
    <w:rsid w:val="00542090"/>
    <w:rsid w:val="005471D9"/>
    <w:rsid w:val="00565682"/>
    <w:rsid w:val="00566838"/>
    <w:rsid w:val="00576894"/>
    <w:rsid w:val="005839DF"/>
    <w:rsid w:val="0059034C"/>
    <w:rsid w:val="00594317"/>
    <w:rsid w:val="005B24FF"/>
    <w:rsid w:val="005B5614"/>
    <w:rsid w:val="005C3791"/>
    <w:rsid w:val="005F5E6D"/>
    <w:rsid w:val="0061199D"/>
    <w:rsid w:val="00617156"/>
    <w:rsid w:val="00690D7C"/>
    <w:rsid w:val="006937D3"/>
    <w:rsid w:val="006A1BA2"/>
    <w:rsid w:val="006B0812"/>
    <w:rsid w:val="006B088F"/>
    <w:rsid w:val="006B294A"/>
    <w:rsid w:val="006C21BC"/>
    <w:rsid w:val="006F2F56"/>
    <w:rsid w:val="006F6924"/>
    <w:rsid w:val="006F7E7E"/>
    <w:rsid w:val="00700F77"/>
    <w:rsid w:val="00704ECD"/>
    <w:rsid w:val="00712DFC"/>
    <w:rsid w:val="00724F5C"/>
    <w:rsid w:val="007250F8"/>
    <w:rsid w:val="00742E4A"/>
    <w:rsid w:val="00770AE4"/>
    <w:rsid w:val="0078058C"/>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1B91"/>
    <w:rsid w:val="009032D5"/>
    <w:rsid w:val="00903DEB"/>
    <w:rsid w:val="00913016"/>
    <w:rsid w:val="00977250"/>
    <w:rsid w:val="00993241"/>
    <w:rsid w:val="009A583F"/>
    <w:rsid w:val="009B3EF3"/>
    <w:rsid w:val="009B749B"/>
    <w:rsid w:val="009D2551"/>
    <w:rsid w:val="00A30790"/>
    <w:rsid w:val="00A457D0"/>
    <w:rsid w:val="00A516C7"/>
    <w:rsid w:val="00A62218"/>
    <w:rsid w:val="00A741BB"/>
    <w:rsid w:val="00A871FB"/>
    <w:rsid w:val="00AC0FD7"/>
    <w:rsid w:val="00AD3238"/>
    <w:rsid w:val="00AE48D4"/>
    <w:rsid w:val="00B02133"/>
    <w:rsid w:val="00B06283"/>
    <w:rsid w:val="00B06FE9"/>
    <w:rsid w:val="00B33FFF"/>
    <w:rsid w:val="00B34949"/>
    <w:rsid w:val="00B3549E"/>
    <w:rsid w:val="00B35B61"/>
    <w:rsid w:val="00B511FB"/>
    <w:rsid w:val="00B60E75"/>
    <w:rsid w:val="00B6522A"/>
    <w:rsid w:val="00B74D71"/>
    <w:rsid w:val="00B83A6E"/>
    <w:rsid w:val="00B845A1"/>
    <w:rsid w:val="00B9678D"/>
    <w:rsid w:val="00BA1859"/>
    <w:rsid w:val="00BA6D19"/>
    <w:rsid w:val="00BB2853"/>
    <w:rsid w:val="00BC2AFB"/>
    <w:rsid w:val="00BD26F5"/>
    <w:rsid w:val="00BF59E7"/>
    <w:rsid w:val="00C334A7"/>
    <w:rsid w:val="00C413D4"/>
    <w:rsid w:val="00C43335"/>
    <w:rsid w:val="00C64ECF"/>
    <w:rsid w:val="00C71E42"/>
    <w:rsid w:val="00C77C83"/>
    <w:rsid w:val="00C84812"/>
    <w:rsid w:val="00CA3BFF"/>
    <w:rsid w:val="00CA3C92"/>
    <w:rsid w:val="00CD4653"/>
    <w:rsid w:val="00CE7D65"/>
    <w:rsid w:val="00CF3515"/>
    <w:rsid w:val="00CF3CDF"/>
    <w:rsid w:val="00CF4E1F"/>
    <w:rsid w:val="00CF5D21"/>
    <w:rsid w:val="00D45F0B"/>
    <w:rsid w:val="00D609BB"/>
    <w:rsid w:val="00D94A3F"/>
    <w:rsid w:val="00DA23EF"/>
    <w:rsid w:val="00DB4A71"/>
    <w:rsid w:val="00DB6400"/>
    <w:rsid w:val="00DE1119"/>
    <w:rsid w:val="00DE7EB8"/>
    <w:rsid w:val="00E16F45"/>
    <w:rsid w:val="00E23C9E"/>
    <w:rsid w:val="00E25900"/>
    <w:rsid w:val="00E26883"/>
    <w:rsid w:val="00E3671F"/>
    <w:rsid w:val="00E416F6"/>
    <w:rsid w:val="00E449A9"/>
    <w:rsid w:val="00E55124"/>
    <w:rsid w:val="00E601FB"/>
    <w:rsid w:val="00E97D42"/>
    <w:rsid w:val="00EA6646"/>
    <w:rsid w:val="00EB213C"/>
    <w:rsid w:val="00ED2663"/>
    <w:rsid w:val="00F04081"/>
    <w:rsid w:val="00F10D24"/>
    <w:rsid w:val="00F21272"/>
    <w:rsid w:val="00F35A7A"/>
    <w:rsid w:val="00F377BE"/>
    <w:rsid w:val="00F546A4"/>
    <w:rsid w:val="00F92F1A"/>
    <w:rsid w:val="00FB0419"/>
    <w:rsid w:val="00FC5C57"/>
    <w:rsid w:val="00FD2D27"/>
    <w:rsid w:val="00FE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DF"/>
    <w:rPr>
      <w:rFonts w:ascii="Times New Roman" w:eastAsia="Times New Roman" w:hAnsi="Times New Roman" w:cs="Times New Roman"/>
      <w:lang w:val="es-MX" w:eastAsia="es-MX"/>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apple-tab-span">
    <w:name w:val="apple-tab-span"/>
    <w:basedOn w:val="Fuentedeprrafopredeter"/>
    <w:rsid w:val="00F377BE"/>
  </w:style>
  <w:style w:type="paragraph" w:styleId="Prrafodelista">
    <w:name w:val="List Paragraph"/>
    <w:basedOn w:val="Normal"/>
    <w:uiPriority w:val="34"/>
    <w:qFormat/>
    <w:rsid w:val="00F377BE"/>
    <w:pPr>
      <w:ind w:left="720"/>
      <w:contextualSpacing/>
    </w:pPr>
  </w:style>
  <w:style w:type="character" w:styleId="Refdecomentario">
    <w:name w:val="annotation reference"/>
    <w:basedOn w:val="Fuentedeprrafopredeter"/>
    <w:uiPriority w:val="99"/>
    <w:semiHidden/>
    <w:unhideWhenUsed/>
    <w:rsid w:val="005471D9"/>
    <w:rPr>
      <w:sz w:val="16"/>
      <w:szCs w:val="16"/>
    </w:rPr>
  </w:style>
  <w:style w:type="paragraph" w:styleId="Textocomentario">
    <w:name w:val="annotation text"/>
    <w:basedOn w:val="Normal"/>
    <w:link w:val="TextocomentarioCar"/>
    <w:uiPriority w:val="99"/>
    <w:unhideWhenUsed/>
    <w:rsid w:val="005471D9"/>
    <w:rPr>
      <w:sz w:val="20"/>
      <w:szCs w:val="20"/>
    </w:rPr>
  </w:style>
  <w:style w:type="character" w:customStyle="1" w:styleId="TextocomentarioCar">
    <w:name w:val="Texto comentario Car"/>
    <w:basedOn w:val="Fuentedeprrafopredeter"/>
    <w:link w:val="Textocomentario"/>
    <w:uiPriority w:val="99"/>
    <w:rsid w:val="005471D9"/>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5471D9"/>
    <w:rPr>
      <w:b/>
      <w:bCs/>
    </w:rPr>
  </w:style>
  <w:style w:type="character" w:customStyle="1" w:styleId="AsuntodelcomentarioCar">
    <w:name w:val="Asunto del comentario Car"/>
    <w:basedOn w:val="TextocomentarioCar"/>
    <w:link w:val="Asuntodelcomentario"/>
    <w:uiPriority w:val="99"/>
    <w:semiHidden/>
    <w:rsid w:val="005471D9"/>
    <w:rPr>
      <w:rFonts w:ascii="Times New Roman" w:eastAsia="Times New Roman" w:hAnsi="Times New Roman" w:cs="Times New Roman"/>
      <w:b/>
      <w:bCs/>
      <w:sz w:val="20"/>
      <w:szCs w:val="20"/>
      <w:lang w:val="es-MX" w:eastAsia="es-MX"/>
    </w:rPr>
  </w:style>
  <w:style w:type="character" w:styleId="Textodelmarcadordeposicin">
    <w:name w:val="Placeholder Text"/>
    <w:basedOn w:val="Fuentedeprrafopredeter"/>
    <w:uiPriority w:val="99"/>
    <w:semiHidden/>
    <w:rsid w:val="00B354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501">
      <w:bodyDiv w:val="1"/>
      <w:marLeft w:val="0"/>
      <w:marRight w:val="0"/>
      <w:marTop w:val="0"/>
      <w:marBottom w:val="0"/>
      <w:divBdr>
        <w:top w:val="none" w:sz="0" w:space="0" w:color="auto"/>
        <w:left w:val="none" w:sz="0" w:space="0" w:color="auto"/>
        <w:bottom w:val="none" w:sz="0" w:space="0" w:color="auto"/>
        <w:right w:val="none" w:sz="0" w:space="0" w:color="auto"/>
      </w:divBdr>
    </w:div>
    <w:div w:id="55707026">
      <w:bodyDiv w:val="1"/>
      <w:marLeft w:val="0"/>
      <w:marRight w:val="0"/>
      <w:marTop w:val="0"/>
      <w:marBottom w:val="0"/>
      <w:divBdr>
        <w:top w:val="none" w:sz="0" w:space="0" w:color="auto"/>
        <w:left w:val="none" w:sz="0" w:space="0" w:color="auto"/>
        <w:bottom w:val="none" w:sz="0" w:space="0" w:color="auto"/>
        <w:right w:val="none" w:sz="0" w:space="0" w:color="auto"/>
      </w:divBdr>
    </w:div>
    <w:div w:id="64381453">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36653266">
      <w:bodyDiv w:val="1"/>
      <w:marLeft w:val="0"/>
      <w:marRight w:val="0"/>
      <w:marTop w:val="0"/>
      <w:marBottom w:val="0"/>
      <w:divBdr>
        <w:top w:val="none" w:sz="0" w:space="0" w:color="auto"/>
        <w:left w:val="none" w:sz="0" w:space="0" w:color="auto"/>
        <w:bottom w:val="none" w:sz="0" w:space="0" w:color="auto"/>
        <w:right w:val="none" w:sz="0" w:space="0" w:color="auto"/>
      </w:divBdr>
    </w:div>
    <w:div w:id="141509839">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24530197">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389618070">
      <w:bodyDiv w:val="1"/>
      <w:marLeft w:val="0"/>
      <w:marRight w:val="0"/>
      <w:marTop w:val="0"/>
      <w:marBottom w:val="0"/>
      <w:divBdr>
        <w:top w:val="none" w:sz="0" w:space="0" w:color="auto"/>
        <w:left w:val="none" w:sz="0" w:space="0" w:color="auto"/>
        <w:bottom w:val="none" w:sz="0" w:space="0" w:color="auto"/>
        <w:right w:val="none" w:sz="0" w:space="0" w:color="auto"/>
      </w:divBdr>
    </w:div>
    <w:div w:id="469320594">
      <w:bodyDiv w:val="1"/>
      <w:marLeft w:val="0"/>
      <w:marRight w:val="0"/>
      <w:marTop w:val="0"/>
      <w:marBottom w:val="0"/>
      <w:divBdr>
        <w:top w:val="none" w:sz="0" w:space="0" w:color="auto"/>
        <w:left w:val="none" w:sz="0" w:space="0" w:color="auto"/>
        <w:bottom w:val="none" w:sz="0" w:space="0" w:color="auto"/>
        <w:right w:val="none" w:sz="0" w:space="0" w:color="auto"/>
      </w:divBdr>
    </w:div>
    <w:div w:id="514153770">
      <w:bodyDiv w:val="1"/>
      <w:marLeft w:val="0"/>
      <w:marRight w:val="0"/>
      <w:marTop w:val="0"/>
      <w:marBottom w:val="0"/>
      <w:divBdr>
        <w:top w:val="none" w:sz="0" w:space="0" w:color="auto"/>
        <w:left w:val="none" w:sz="0" w:space="0" w:color="auto"/>
        <w:bottom w:val="none" w:sz="0" w:space="0" w:color="auto"/>
        <w:right w:val="none" w:sz="0" w:space="0" w:color="auto"/>
      </w:divBdr>
    </w:div>
    <w:div w:id="516116863">
      <w:bodyDiv w:val="1"/>
      <w:marLeft w:val="0"/>
      <w:marRight w:val="0"/>
      <w:marTop w:val="0"/>
      <w:marBottom w:val="0"/>
      <w:divBdr>
        <w:top w:val="none" w:sz="0" w:space="0" w:color="auto"/>
        <w:left w:val="none" w:sz="0" w:space="0" w:color="auto"/>
        <w:bottom w:val="none" w:sz="0" w:space="0" w:color="auto"/>
        <w:right w:val="none" w:sz="0" w:space="0" w:color="auto"/>
      </w:divBdr>
    </w:div>
    <w:div w:id="539512310">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34674988">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53554407">
      <w:bodyDiv w:val="1"/>
      <w:marLeft w:val="0"/>
      <w:marRight w:val="0"/>
      <w:marTop w:val="0"/>
      <w:marBottom w:val="0"/>
      <w:divBdr>
        <w:top w:val="none" w:sz="0" w:space="0" w:color="auto"/>
        <w:left w:val="none" w:sz="0" w:space="0" w:color="auto"/>
        <w:bottom w:val="none" w:sz="0" w:space="0" w:color="auto"/>
        <w:right w:val="none" w:sz="0" w:space="0" w:color="auto"/>
      </w:divBdr>
    </w:div>
    <w:div w:id="790394393">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875774178">
      <w:bodyDiv w:val="1"/>
      <w:marLeft w:val="0"/>
      <w:marRight w:val="0"/>
      <w:marTop w:val="0"/>
      <w:marBottom w:val="0"/>
      <w:divBdr>
        <w:top w:val="none" w:sz="0" w:space="0" w:color="auto"/>
        <w:left w:val="none" w:sz="0" w:space="0" w:color="auto"/>
        <w:bottom w:val="none" w:sz="0" w:space="0" w:color="auto"/>
        <w:right w:val="none" w:sz="0" w:space="0" w:color="auto"/>
      </w:divBdr>
    </w:div>
    <w:div w:id="899902578">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25268950">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57305365">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15967894">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17606320">
      <w:bodyDiv w:val="1"/>
      <w:marLeft w:val="0"/>
      <w:marRight w:val="0"/>
      <w:marTop w:val="0"/>
      <w:marBottom w:val="0"/>
      <w:divBdr>
        <w:top w:val="none" w:sz="0" w:space="0" w:color="auto"/>
        <w:left w:val="none" w:sz="0" w:space="0" w:color="auto"/>
        <w:bottom w:val="none" w:sz="0" w:space="0" w:color="auto"/>
        <w:right w:val="none" w:sz="0" w:space="0" w:color="auto"/>
      </w:divBdr>
    </w:div>
    <w:div w:id="133656700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64214670">
      <w:bodyDiv w:val="1"/>
      <w:marLeft w:val="0"/>
      <w:marRight w:val="0"/>
      <w:marTop w:val="0"/>
      <w:marBottom w:val="0"/>
      <w:divBdr>
        <w:top w:val="none" w:sz="0" w:space="0" w:color="auto"/>
        <w:left w:val="none" w:sz="0" w:space="0" w:color="auto"/>
        <w:bottom w:val="none" w:sz="0" w:space="0" w:color="auto"/>
        <w:right w:val="none" w:sz="0" w:space="0" w:color="auto"/>
      </w:divBdr>
    </w:div>
    <w:div w:id="1367827975">
      <w:bodyDiv w:val="1"/>
      <w:marLeft w:val="0"/>
      <w:marRight w:val="0"/>
      <w:marTop w:val="0"/>
      <w:marBottom w:val="0"/>
      <w:divBdr>
        <w:top w:val="none" w:sz="0" w:space="0" w:color="auto"/>
        <w:left w:val="none" w:sz="0" w:space="0" w:color="auto"/>
        <w:bottom w:val="none" w:sz="0" w:space="0" w:color="auto"/>
        <w:right w:val="none" w:sz="0" w:space="0" w:color="auto"/>
      </w:divBdr>
    </w:div>
    <w:div w:id="1377705869">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28845869">
      <w:bodyDiv w:val="1"/>
      <w:marLeft w:val="0"/>
      <w:marRight w:val="0"/>
      <w:marTop w:val="0"/>
      <w:marBottom w:val="0"/>
      <w:divBdr>
        <w:top w:val="none" w:sz="0" w:space="0" w:color="auto"/>
        <w:left w:val="none" w:sz="0" w:space="0" w:color="auto"/>
        <w:bottom w:val="none" w:sz="0" w:space="0" w:color="auto"/>
        <w:right w:val="none" w:sz="0" w:space="0" w:color="auto"/>
      </w:divBdr>
    </w:div>
    <w:div w:id="1441948975">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08192104">
      <w:bodyDiv w:val="1"/>
      <w:marLeft w:val="0"/>
      <w:marRight w:val="0"/>
      <w:marTop w:val="0"/>
      <w:marBottom w:val="0"/>
      <w:divBdr>
        <w:top w:val="none" w:sz="0" w:space="0" w:color="auto"/>
        <w:left w:val="none" w:sz="0" w:space="0" w:color="auto"/>
        <w:bottom w:val="none" w:sz="0" w:space="0" w:color="auto"/>
        <w:right w:val="none" w:sz="0" w:space="0" w:color="auto"/>
      </w:divBdr>
    </w:div>
    <w:div w:id="1625456471">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76298908">
      <w:bodyDiv w:val="1"/>
      <w:marLeft w:val="0"/>
      <w:marRight w:val="0"/>
      <w:marTop w:val="0"/>
      <w:marBottom w:val="0"/>
      <w:divBdr>
        <w:top w:val="none" w:sz="0" w:space="0" w:color="auto"/>
        <w:left w:val="none" w:sz="0" w:space="0" w:color="auto"/>
        <w:bottom w:val="none" w:sz="0" w:space="0" w:color="auto"/>
        <w:right w:val="none" w:sz="0" w:space="0" w:color="auto"/>
      </w:divBdr>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07485512">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28348365">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1973245283">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659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13821</Words>
  <Characters>76019</Characters>
  <Application>Microsoft Office Word</Application>
  <DocSecurity>0</DocSecurity>
  <Lines>633</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Anonimo</cp:lastModifiedBy>
  <cp:revision>2</cp:revision>
  <cp:lastPrinted>2020-04-16T16:22:00Z</cp:lastPrinted>
  <dcterms:created xsi:type="dcterms:W3CDTF">2023-11-21T04:32:00Z</dcterms:created>
  <dcterms:modified xsi:type="dcterms:W3CDTF">2023-11-21T04:32:00Z</dcterms:modified>
</cp:coreProperties>
</file>