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BAAC2" w14:textId="77777777" w:rsidR="00532C7F" w:rsidRPr="00E10269" w:rsidRDefault="00532C7F" w:rsidP="00AE7044">
      <w:pPr>
        <w:spacing w:after="0" w:line="360" w:lineRule="auto"/>
        <w:jc w:val="center"/>
        <w:rPr>
          <w:rFonts w:cstheme="minorHAnsi"/>
          <w:sz w:val="24"/>
          <w:szCs w:val="24"/>
          <w:lang w:val="en-US"/>
        </w:rPr>
      </w:pPr>
      <w:r w:rsidRPr="00E10269">
        <w:rPr>
          <w:rFonts w:cstheme="minorHAnsi"/>
          <w:sz w:val="24"/>
          <w:szCs w:val="24"/>
          <w:lang w:val="en-US"/>
        </w:rPr>
        <w:t>Depression, Anxiety, and Stress in Brazilian Sexual and Gender Minorities: Psychometric Properties of The Depression, Anxiety, and Stress Scale – Short Form (DASS-21)</w:t>
      </w:r>
    </w:p>
    <w:p w14:paraId="6142BAC1" w14:textId="77777777" w:rsidR="00532C7F" w:rsidRPr="00E10269" w:rsidRDefault="00532C7F" w:rsidP="00AC2B27">
      <w:pPr>
        <w:spacing w:after="0" w:line="360" w:lineRule="auto"/>
        <w:rPr>
          <w:rFonts w:cstheme="minorHAnsi"/>
          <w:sz w:val="24"/>
          <w:szCs w:val="24"/>
          <w:lang w:val="en-US"/>
        </w:rPr>
      </w:pPr>
    </w:p>
    <w:p w14:paraId="315CE781" w14:textId="77777777" w:rsidR="00AC2B27" w:rsidRPr="00AC2B27" w:rsidRDefault="00AC2B27" w:rsidP="00E10269">
      <w:pPr>
        <w:spacing w:after="0" w:line="360" w:lineRule="auto"/>
        <w:jc w:val="center"/>
        <w:rPr>
          <w:rFonts w:cstheme="minorHAnsi"/>
          <w:sz w:val="24"/>
          <w:szCs w:val="24"/>
          <w:lang w:val="en-US"/>
        </w:rPr>
      </w:pPr>
      <w:r w:rsidRPr="00AC2B27">
        <w:rPr>
          <w:rFonts w:cstheme="minorHAnsi"/>
          <w:sz w:val="24"/>
          <w:szCs w:val="24"/>
          <w:lang w:val="en-US"/>
        </w:rPr>
        <w:t>Abstract</w:t>
      </w:r>
    </w:p>
    <w:p w14:paraId="542A06AB" w14:textId="508832D6" w:rsidR="00AC2B27" w:rsidRPr="00AC2B27" w:rsidRDefault="00AC2B27" w:rsidP="00AC2B27">
      <w:pPr>
        <w:spacing w:after="0" w:line="360" w:lineRule="auto"/>
        <w:rPr>
          <w:rFonts w:cstheme="minorHAnsi"/>
          <w:sz w:val="24"/>
          <w:szCs w:val="24"/>
          <w:lang w:val="en-US"/>
        </w:rPr>
      </w:pPr>
      <w:r w:rsidRPr="00AC2B27">
        <w:rPr>
          <w:rFonts w:cstheme="minorHAnsi"/>
          <w:sz w:val="24"/>
          <w:szCs w:val="24"/>
          <w:lang w:val="en-US"/>
        </w:rPr>
        <w:t>In Brazil, extensive research has been conducted on symptoms of depression, anxiety, and stress utilizing the Depression Anxiety Stress Scales (DASS-21) across diverse populations. Only a few of these studies examine the psychometric properties of the DASS-21, and none of them was specifically targeted to the LGBTQ+ population. To address this gap, we examined the psychometric properties of the DASS-21 with an online survey of 474 LGBTQ+ individuals, aged 18 to 62, from 23 of the 27 states in Brazil. We found robust statistical indicators that confirm the scale’s suitability for implementation in this population</w:t>
      </w:r>
      <w:r w:rsidR="00E018E2">
        <w:rPr>
          <w:rFonts w:cstheme="minorHAnsi"/>
          <w:sz w:val="24"/>
          <w:szCs w:val="24"/>
          <w:lang w:val="en-US"/>
        </w:rPr>
        <w:t>:</w:t>
      </w:r>
      <w:r w:rsidRPr="00AC2B27">
        <w:rPr>
          <w:rFonts w:cstheme="minorHAnsi"/>
          <w:sz w:val="24"/>
          <w:szCs w:val="24"/>
          <w:lang w:val="en-US"/>
        </w:rPr>
        <w:t xml:space="preserve"> [χ2/</w:t>
      </w:r>
      <w:proofErr w:type="spellStart"/>
      <w:r w:rsidRPr="00AC2B27">
        <w:rPr>
          <w:rFonts w:cstheme="minorHAnsi"/>
          <w:sz w:val="24"/>
          <w:szCs w:val="24"/>
          <w:lang w:val="en-US"/>
        </w:rPr>
        <w:t>gl</w:t>
      </w:r>
      <w:proofErr w:type="spellEnd"/>
      <w:r w:rsidRPr="00AC2B27">
        <w:rPr>
          <w:rFonts w:cstheme="minorHAnsi"/>
          <w:sz w:val="24"/>
          <w:szCs w:val="24"/>
          <w:lang w:val="en-US"/>
        </w:rPr>
        <w:t xml:space="preserve"> = 1.92; GFI = 0.94; AGFI = 0.92; CFI = 0.99; TLI = 0.99; RMSEA [90% CI] = 0.04; CAIC = 766.59; ECVI = 0.97; AIC = 504.34; BIC = 791.47; BCC = 511.07; CR = 0.91; AVE = 0.56]. Moreover, it was observed that the stress factor had a higher score when paired with depression and anxiety, suggesting a hierarchy of scores (Stress &gt; Depression &gt; Anxiety), which supports the hypothesis that a discriminatory environment generates unique stressors based on an individual's social status (distal stressors) and identity (proximal stressors), creating an overload of environmental stressors.</w:t>
      </w:r>
    </w:p>
    <w:p w14:paraId="5793FC42" w14:textId="6B4EC0E9" w:rsidR="00AC2B27" w:rsidRPr="00A76D38" w:rsidRDefault="00AC2B27" w:rsidP="00E10269">
      <w:pPr>
        <w:spacing w:after="0" w:line="360" w:lineRule="auto"/>
        <w:ind w:firstLine="708"/>
        <w:rPr>
          <w:rFonts w:cstheme="minorHAnsi"/>
          <w:sz w:val="24"/>
          <w:szCs w:val="24"/>
          <w:lang w:val="en-US"/>
        </w:rPr>
      </w:pPr>
      <w:r w:rsidRPr="00A76D38">
        <w:rPr>
          <w:rFonts w:cstheme="minorHAnsi"/>
          <w:sz w:val="24"/>
          <w:szCs w:val="24"/>
          <w:lang w:val="en-US"/>
        </w:rPr>
        <w:t>Keywords: psychometrics; psychological distress; sexual and gender minorities</w:t>
      </w:r>
    </w:p>
    <w:p w14:paraId="5F291583" w14:textId="77777777" w:rsidR="00AC2B27" w:rsidRPr="00A76D38" w:rsidRDefault="00AC2B27" w:rsidP="00AC2B27">
      <w:pPr>
        <w:spacing w:after="0" w:line="360" w:lineRule="auto"/>
        <w:rPr>
          <w:rFonts w:cstheme="minorHAnsi"/>
          <w:sz w:val="24"/>
          <w:szCs w:val="24"/>
          <w:lang w:val="en-US"/>
        </w:rPr>
      </w:pPr>
    </w:p>
    <w:p w14:paraId="173C5842" w14:textId="77777777" w:rsidR="00A76D38" w:rsidRDefault="00A76D38">
      <w:pPr>
        <w:spacing w:after="0" w:line="480" w:lineRule="auto"/>
        <w:rPr>
          <w:rFonts w:cstheme="minorHAnsi"/>
          <w:sz w:val="24"/>
          <w:szCs w:val="24"/>
        </w:rPr>
      </w:pPr>
      <w:r>
        <w:rPr>
          <w:rFonts w:cstheme="minorHAnsi"/>
          <w:sz w:val="24"/>
          <w:szCs w:val="24"/>
        </w:rPr>
        <w:br w:type="page"/>
      </w:r>
    </w:p>
    <w:p w14:paraId="15083F5A" w14:textId="217B6E1F" w:rsidR="00B828E7" w:rsidRDefault="00B828E7" w:rsidP="00A76D38">
      <w:pPr>
        <w:spacing w:after="0" w:line="360" w:lineRule="auto"/>
        <w:jc w:val="center"/>
        <w:rPr>
          <w:rFonts w:cstheme="minorHAnsi"/>
          <w:sz w:val="24"/>
          <w:szCs w:val="24"/>
        </w:rPr>
      </w:pPr>
      <w:r w:rsidRPr="00A76D38">
        <w:rPr>
          <w:rFonts w:cstheme="minorHAnsi"/>
          <w:sz w:val="24"/>
          <w:szCs w:val="24"/>
        </w:rPr>
        <w:lastRenderedPageBreak/>
        <w:t xml:space="preserve">Depressão, Ansiedade e Estresse em </w:t>
      </w:r>
      <w:r w:rsidR="007E63E0" w:rsidRPr="00A76D38">
        <w:rPr>
          <w:rFonts w:cstheme="minorHAnsi"/>
          <w:sz w:val="24"/>
          <w:szCs w:val="24"/>
        </w:rPr>
        <w:t xml:space="preserve">Minorias Sexuais e de Gênero Brasileiras: Propriedades Psicométricas da </w:t>
      </w:r>
      <w:r w:rsidR="00A76D38" w:rsidRPr="00A76D38">
        <w:rPr>
          <w:rFonts w:cstheme="minorHAnsi"/>
          <w:sz w:val="24"/>
          <w:szCs w:val="24"/>
        </w:rPr>
        <w:t>Escala de Depressão, Ansiedade e Estresse – Versão Reduzida (DASS-21)</w:t>
      </w:r>
    </w:p>
    <w:p w14:paraId="3F417062" w14:textId="77777777" w:rsidR="00A76D38" w:rsidRDefault="00A76D38" w:rsidP="00A76D38">
      <w:pPr>
        <w:spacing w:after="0" w:line="360" w:lineRule="auto"/>
        <w:jc w:val="center"/>
        <w:rPr>
          <w:rFonts w:cstheme="minorHAnsi"/>
          <w:sz w:val="24"/>
          <w:szCs w:val="24"/>
        </w:rPr>
      </w:pPr>
    </w:p>
    <w:p w14:paraId="14298554" w14:textId="66C07F0C" w:rsidR="00A76D38" w:rsidRDefault="00A76D38" w:rsidP="00A76D38">
      <w:pPr>
        <w:spacing w:after="0" w:line="360" w:lineRule="auto"/>
        <w:jc w:val="center"/>
        <w:rPr>
          <w:rFonts w:cstheme="minorHAnsi"/>
          <w:sz w:val="24"/>
          <w:szCs w:val="24"/>
        </w:rPr>
      </w:pPr>
      <w:r>
        <w:rPr>
          <w:rFonts w:cstheme="minorHAnsi"/>
          <w:sz w:val="24"/>
          <w:szCs w:val="24"/>
        </w:rPr>
        <w:t>Resumo</w:t>
      </w:r>
    </w:p>
    <w:p w14:paraId="656B5BF4" w14:textId="00306DE2" w:rsidR="00EE793C" w:rsidRDefault="00134A30" w:rsidP="00EE793C">
      <w:pPr>
        <w:spacing w:after="0" w:line="360" w:lineRule="auto"/>
        <w:rPr>
          <w:rFonts w:cstheme="minorHAnsi"/>
          <w:sz w:val="24"/>
          <w:szCs w:val="24"/>
        </w:rPr>
      </w:pPr>
      <w:r w:rsidRPr="00057D16">
        <w:rPr>
          <w:rFonts w:cstheme="minorHAnsi"/>
          <w:sz w:val="24"/>
          <w:szCs w:val="24"/>
        </w:rPr>
        <w:t xml:space="preserve">No Brasil, </w:t>
      </w:r>
      <w:r w:rsidR="008F133D" w:rsidRPr="00057D16">
        <w:rPr>
          <w:rFonts w:cstheme="minorHAnsi"/>
          <w:sz w:val="24"/>
          <w:szCs w:val="24"/>
        </w:rPr>
        <w:t xml:space="preserve">a Escala de Depressão, Ansiedade e Estresse (DASS-21) tem sido largamente utilizada </w:t>
      </w:r>
      <w:r w:rsidR="00057D16" w:rsidRPr="00057D16">
        <w:rPr>
          <w:rFonts w:cstheme="minorHAnsi"/>
          <w:sz w:val="24"/>
          <w:szCs w:val="24"/>
        </w:rPr>
        <w:t xml:space="preserve">para investigar </w:t>
      </w:r>
      <w:r w:rsidR="006B5C93" w:rsidRPr="00057D16">
        <w:rPr>
          <w:rFonts w:cstheme="minorHAnsi"/>
          <w:sz w:val="24"/>
          <w:szCs w:val="24"/>
        </w:rPr>
        <w:t xml:space="preserve">sintomas de depressão, ansiedade e estresse </w:t>
      </w:r>
      <w:r w:rsidR="00057D16">
        <w:rPr>
          <w:rFonts w:cstheme="minorHAnsi"/>
          <w:sz w:val="24"/>
          <w:szCs w:val="24"/>
        </w:rPr>
        <w:t xml:space="preserve">em diversas populações. </w:t>
      </w:r>
      <w:r w:rsidR="00FA4357">
        <w:rPr>
          <w:rFonts w:cstheme="minorHAnsi"/>
          <w:sz w:val="24"/>
          <w:szCs w:val="24"/>
        </w:rPr>
        <w:t xml:space="preserve">Entre esses estudos, poucos avaliam </w:t>
      </w:r>
      <w:r w:rsidR="00EC51BF">
        <w:rPr>
          <w:rFonts w:cstheme="minorHAnsi"/>
          <w:sz w:val="24"/>
          <w:szCs w:val="24"/>
        </w:rPr>
        <w:t>as propriedades psicométricas da esca</w:t>
      </w:r>
      <w:r w:rsidR="00F54D22">
        <w:rPr>
          <w:rFonts w:cstheme="minorHAnsi"/>
          <w:sz w:val="24"/>
          <w:szCs w:val="24"/>
        </w:rPr>
        <w:t xml:space="preserve">la e nenhum deles o faz utilizando a população </w:t>
      </w:r>
      <w:r w:rsidR="00FB687F">
        <w:rPr>
          <w:rFonts w:cstheme="minorHAnsi"/>
          <w:sz w:val="24"/>
          <w:szCs w:val="24"/>
        </w:rPr>
        <w:t xml:space="preserve">LGBTQ+ como amostra. </w:t>
      </w:r>
      <w:r w:rsidR="00442F01">
        <w:rPr>
          <w:rFonts w:cstheme="minorHAnsi"/>
          <w:sz w:val="24"/>
          <w:szCs w:val="24"/>
        </w:rPr>
        <w:t>Para abordar essa lacuna, examinou-se as propriedades psicométricas da DASS-21 por meio de um</w:t>
      </w:r>
      <w:r w:rsidR="00E93FEB">
        <w:rPr>
          <w:rFonts w:cstheme="minorHAnsi"/>
          <w:sz w:val="24"/>
          <w:szCs w:val="24"/>
        </w:rPr>
        <w:t xml:space="preserve"> levantamento online de 474 indivíduos LGBTQ+, com idades entre 18 </w:t>
      </w:r>
      <w:r w:rsidR="00A20C22">
        <w:rPr>
          <w:rFonts w:cstheme="minorHAnsi"/>
          <w:sz w:val="24"/>
          <w:szCs w:val="24"/>
        </w:rPr>
        <w:t xml:space="preserve">e 62 anos, de 23 dos 27 estados do Brasil. Encontrou-se indicadores estatísticos robustos que confirmam </w:t>
      </w:r>
      <w:r w:rsidR="00E018E2">
        <w:rPr>
          <w:rFonts w:cstheme="minorHAnsi"/>
          <w:sz w:val="24"/>
          <w:szCs w:val="24"/>
        </w:rPr>
        <w:t xml:space="preserve">a adequabilidade da escala para essa população: </w:t>
      </w:r>
      <w:r w:rsidR="00E018E2" w:rsidRPr="00E018E2">
        <w:rPr>
          <w:rFonts w:cstheme="minorHAnsi"/>
          <w:sz w:val="24"/>
          <w:szCs w:val="24"/>
        </w:rPr>
        <w:t>[χ2/</w:t>
      </w:r>
      <w:proofErr w:type="spellStart"/>
      <w:r w:rsidR="00E018E2" w:rsidRPr="00E018E2">
        <w:rPr>
          <w:rFonts w:cstheme="minorHAnsi"/>
          <w:sz w:val="24"/>
          <w:szCs w:val="24"/>
        </w:rPr>
        <w:t>gl</w:t>
      </w:r>
      <w:proofErr w:type="spellEnd"/>
      <w:r w:rsidR="00E018E2" w:rsidRPr="00E018E2">
        <w:rPr>
          <w:rFonts w:cstheme="minorHAnsi"/>
          <w:sz w:val="24"/>
          <w:szCs w:val="24"/>
        </w:rPr>
        <w:t xml:space="preserve"> = 1.92; GFI = 0.94; AGFI = 0.92; CFI = 0.99; TLI = 0.99; RMSEA [90% CI] = 0.04; CAIC = 766.59; ECVI = 0.97; AIC = 504.34; BIC = 791.47; BCC = 511.07; CR = 0.91; AVE = 0.56].</w:t>
      </w:r>
      <w:r w:rsidR="00E14EB0">
        <w:rPr>
          <w:rFonts w:cstheme="minorHAnsi"/>
          <w:sz w:val="24"/>
          <w:szCs w:val="24"/>
        </w:rPr>
        <w:t xml:space="preserve"> </w:t>
      </w:r>
      <w:r w:rsidR="00EE793C" w:rsidRPr="00EE793C">
        <w:rPr>
          <w:rFonts w:cstheme="minorHAnsi"/>
          <w:sz w:val="24"/>
          <w:szCs w:val="24"/>
        </w:rPr>
        <w:t xml:space="preserve">Além disso, observou-se que </w:t>
      </w:r>
      <w:r w:rsidR="00EE793C">
        <w:rPr>
          <w:rFonts w:cstheme="minorHAnsi"/>
          <w:sz w:val="24"/>
          <w:szCs w:val="24"/>
        </w:rPr>
        <w:t xml:space="preserve">o fator do estresse apresentou </w:t>
      </w:r>
      <w:r w:rsidR="00EE793C" w:rsidRPr="00EE793C">
        <w:rPr>
          <w:rFonts w:cstheme="minorHAnsi"/>
          <w:sz w:val="24"/>
          <w:szCs w:val="24"/>
        </w:rPr>
        <w:t xml:space="preserve">pontuação mais elevada quando </w:t>
      </w:r>
      <w:r w:rsidR="00D4353F">
        <w:rPr>
          <w:rFonts w:cstheme="minorHAnsi"/>
          <w:sz w:val="24"/>
          <w:szCs w:val="24"/>
        </w:rPr>
        <w:t>pareado</w:t>
      </w:r>
      <w:r w:rsidR="00EE793C" w:rsidRPr="00EE793C">
        <w:rPr>
          <w:rFonts w:cstheme="minorHAnsi"/>
          <w:sz w:val="24"/>
          <w:szCs w:val="24"/>
        </w:rPr>
        <w:t xml:space="preserve"> com a depressão e a ansiedade, sugerindo uma hierarquia de pontuações (</w:t>
      </w:r>
      <w:r w:rsidR="00D4353F">
        <w:rPr>
          <w:rFonts w:cstheme="minorHAnsi"/>
          <w:sz w:val="24"/>
          <w:szCs w:val="24"/>
        </w:rPr>
        <w:t>Estrese</w:t>
      </w:r>
      <w:r w:rsidR="00EE793C" w:rsidRPr="00EE793C">
        <w:rPr>
          <w:rFonts w:cstheme="minorHAnsi"/>
          <w:sz w:val="24"/>
          <w:szCs w:val="24"/>
        </w:rPr>
        <w:t xml:space="preserve"> &gt; Depressão &gt; Ansiedade), o que apoia a hipótese de que um ambiente discriminatório gera </w:t>
      </w:r>
      <w:r w:rsidR="00D4353F">
        <w:rPr>
          <w:rFonts w:cstheme="minorHAnsi"/>
          <w:sz w:val="24"/>
          <w:szCs w:val="24"/>
        </w:rPr>
        <w:t>e</w:t>
      </w:r>
      <w:r w:rsidR="00EE793C" w:rsidRPr="00EE793C">
        <w:rPr>
          <w:rFonts w:cstheme="minorHAnsi"/>
          <w:sz w:val="24"/>
          <w:szCs w:val="24"/>
        </w:rPr>
        <w:t xml:space="preserve">stressores únicos baseados no </w:t>
      </w:r>
      <w:r w:rsidR="00D4353F">
        <w:rPr>
          <w:rFonts w:cstheme="minorHAnsi"/>
          <w:sz w:val="24"/>
          <w:szCs w:val="24"/>
        </w:rPr>
        <w:t>status</w:t>
      </w:r>
      <w:r w:rsidR="00EE793C" w:rsidRPr="00EE793C">
        <w:rPr>
          <w:rFonts w:cstheme="minorHAnsi"/>
          <w:sz w:val="24"/>
          <w:szCs w:val="24"/>
        </w:rPr>
        <w:t xml:space="preserve"> social (</w:t>
      </w:r>
      <w:r w:rsidR="00D4353F">
        <w:rPr>
          <w:rFonts w:cstheme="minorHAnsi"/>
          <w:sz w:val="24"/>
          <w:szCs w:val="24"/>
        </w:rPr>
        <w:t>e</w:t>
      </w:r>
      <w:r w:rsidR="00EE793C" w:rsidRPr="00EE793C">
        <w:rPr>
          <w:rFonts w:cstheme="minorHAnsi"/>
          <w:sz w:val="24"/>
          <w:szCs w:val="24"/>
        </w:rPr>
        <w:t>stressores distais) e na identidade (</w:t>
      </w:r>
      <w:r w:rsidR="00D4353F">
        <w:rPr>
          <w:rFonts w:cstheme="minorHAnsi"/>
          <w:sz w:val="24"/>
          <w:szCs w:val="24"/>
        </w:rPr>
        <w:t>e</w:t>
      </w:r>
      <w:r w:rsidR="00EE793C" w:rsidRPr="00EE793C">
        <w:rPr>
          <w:rFonts w:cstheme="minorHAnsi"/>
          <w:sz w:val="24"/>
          <w:szCs w:val="24"/>
        </w:rPr>
        <w:t xml:space="preserve">stressores proximais) de um indivíduo, criando uma sobrecarga de </w:t>
      </w:r>
      <w:r w:rsidR="00D4353F">
        <w:rPr>
          <w:rFonts w:cstheme="minorHAnsi"/>
          <w:sz w:val="24"/>
          <w:szCs w:val="24"/>
        </w:rPr>
        <w:t>e</w:t>
      </w:r>
      <w:r w:rsidR="00EE793C" w:rsidRPr="00EE793C">
        <w:rPr>
          <w:rFonts w:cstheme="minorHAnsi"/>
          <w:sz w:val="24"/>
          <w:szCs w:val="24"/>
        </w:rPr>
        <w:t>stressores ambientais.</w:t>
      </w:r>
    </w:p>
    <w:p w14:paraId="5E7930E8" w14:textId="6A2FACA7" w:rsidR="00D4353F" w:rsidRPr="00EE793C" w:rsidRDefault="00D4353F" w:rsidP="00EE793C">
      <w:pPr>
        <w:spacing w:after="0" w:line="360" w:lineRule="auto"/>
        <w:rPr>
          <w:rFonts w:cstheme="minorHAnsi"/>
          <w:sz w:val="24"/>
          <w:szCs w:val="24"/>
        </w:rPr>
      </w:pPr>
      <w:r>
        <w:rPr>
          <w:rFonts w:cstheme="minorHAnsi"/>
          <w:sz w:val="24"/>
          <w:szCs w:val="24"/>
        </w:rPr>
        <w:tab/>
        <w:t xml:space="preserve">Palavras-chave: psicometria; </w:t>
      </w:r>
      <w:r w:rsidR="00064664">
        <w:rPr>
          <w:rFonts w:cstheme="minorHAnsi"/>
          <w:sz w:val="24"/>
          <w:szCs w:val="24"/>
        </w:rPr>
        <w:t>sofrimento psicológico; minorias sexuais e de gênero</w:t>
      </w:r>
    </w:p>
    <w:p w14:paraId="62B39307" w14:textId="77777777" w:rsidR="00EE793C" w:rsidRPr="00EE793C" w:rsidRDefault="00EE793C" w:rsidP="00EE793C">
      <w:pPr>
        <w:spacing w:after="0" w:line="360" w:lineRule="auto"/>
        <w:rPr>
          <w:rFonts w:cstheme="minorHAnsi"/>
          <w:sz w:val="24"/>
          <w:szCs w:val="24"/>
        </w:rPr>
      </w:pPr>
    </w:p>
    <w:p w14:paraId="5C8C06A7" w14:textId="77777777" w:rsidR="00A76D38" w:rsidRPr="00A76D38" w:rsidRDefault="00A76D38" w:rsidP="00A76D38">
      <w:pPr>
        <w:spacing w:after="0" w:line="360" w:lineRule="auto"/>
        <w:jc w:val="center"/>
        <w:rPr>
          <w:rFonts w:cstheme="minorHAnsi"/>
          <w:sz w:val="24"/>
          <w:szCs w:val="24"/>
        </w:rPr>
      </w:pPr>
    </w:p>
    <w:p w14:paraId="5FC8F072" w14:textId="77777777" w:rsidR="00B828E7" w:rsidRDefault="00B828E7">
      <w:pPr>
        <w:spacing w:after="0" w:line="480" w:lineRule="auto"/>
        <w:rPr>
          <w:rFonts w:cstheme="minorHAnsi"/>
          <w:color w:val="000000" w:themeColor="text1"/>
          <w:sz w:val="24"/>
          <w:szCs w:val="24"/>
          <w:lang w:val="en-US"/>
        </w:rPr>
      </w:pPr>
      <w:r>
        <w:rPr>
          <w:rFonts w:cstheme="minorHAnsi"/>
          <w:color w:val="000000" w:themeColor="text1"/>
          <w:sz w:val="24"/>
          <w:szCs w:val="24"/>
          <w:lang w:val="en-US"/>
        </w:rPr>
        <w:br w:type="page"/>
      </w:r>
    </w:p>
    <w:p w14:paraId="12FBC132" w14:textId="77777777" w:rsidR="00532C7F" w:rsidRPr="00233381" w:rsidRDefault="00532C7F" w:rsidP="00AE7044">
      <w:pPr>
        <w:spacing w:after="0" w:line="360" w:lineRule="auto"/>
        <w:ind w:firstLine="709"/>
        <w:rPr>
          <w:rFonts w:cstheme="minorHAnsi"/>
          <w:sz w:val="24"/>
          <w:szCs w:val="24"/>
          <w:lang w:val="en-US"/>
        </w:rPr>
      </w:pPr>
      <w:r w:rsidRPr="00233381">
        <w:rPr>
          <w:rFonts w:cstheme="minorHAnsi"/>
          <w:sz w:val="24"/>
          <w:szCs w:val="24"/>
          <w:lang w:val="en-US"/>
        </w:rPr>
        <w:lastRenderedPageBreak/>
        <w:t>Accurate measurements of distress and negative emotional symptoms are crucial for both research and practice in psychology. One widely recognized and valuable instrument for this purpose is the Depression, Anxiety, and Stress Scale – Short Form (DASS-21), which is the reduced version of the original DASS-42, developed by S. H. Lovibond and P. F. Lovibond in 1993 as a monograph and further published as a journal article in 1995. The population within which the scale was tested consisted of 717 first year psychology students at the University of New South Wales, in Australia (P. F. Lovibond &amp; Lovibond, 1995; S. H. Lovibond &amp; Lovibond, 1993). The scale is based on the tripartite model, in which anxiety and depression symptoms are grouped into three basic structures. The first is (a) defined by the presence of negative affect, such as depressed mood, insomnia, discomfort and irritability, which are non-specific symptoms and are present in both depression and anxiety; the second includes (b) factors that represent specific symptoms of depression, such as anhedonia and absence of positive affect; finally, the last structure refers to (c) specific symptoms of anxiety, such as somatic tension and hyperactivity (Watson et al., 1995).</w:t>
      </w:r>
    </w:p>
    <w:p w14:paraId="5F2F56BB" w14:textId="77777777" w:rsidR="00532C7F" w:rsidRPr="00233381" w:rsidRDefault="00532C7F" w:rsidP="00AE7044">
      <w:pPr>
        <w:spacing w:after="0" w:line="360" w:lineRule="auto"/>
        <w:ind w:firstLine="709"/>
        <w:rPr>
          <w:rFonts w:cstheme="minorHAnsi"/>
          <w:sz w:val="24"/>
          <w:szCs w:val="24"/>
          <w:lang w:val="en-US"/>
        </w:rPr>
      </w:pPr>
      <w:r w:rsidRPr="00233381">
        <w:rPr>
          <w:rFonts w:cstheme="minorHAnsi"/>
          <w:sz w:val="24"/>
          <w:szCs w:val="24"/>
          <w:lang w:val="en-US"/>
        </w:rPr>
        <w:t xml:space="preserve">Regarding the adaptation of the DASS-21 scale to Brazilian Portuguese, it is noteworthy that despite the existence of two sources in the literature that could be considered as the first adaptations in the year 2013, the adaptation by </w:t>
      </w:r>
      <w:proofErr w:type="spellStart"/>
      <w:r w:rsidRPr="00233381">
        <w:rPr>
          <w:rFonts w:cstheme="minorHAnsi"/>
          <w:sz w:val="24"/>
          <w:szCs w:val="24"/>
          <w:lang w:val="en-US"/>
        </w:rPr>
        <w:t>Patias</w:t>
      </w:r>
      <w:proofErr w:type="spellEnd"/>
      <w:r w:rsidRPr="00233381">
        <w:rPr>
          <w:rFonts w:cstheme="minorHAnsi"/>
          <w:sz w:val="24"/>
          <w:szCs w:val="24"/>
          <w:lang w:val="en-US"/>
        </w:rPr>
        <w:t xml:space="preserve"> et al. (2016) has emerged as the preferred choice among researchers in Brazil. These sources include a manuscript submitted for publication by Wagner de Lara Machado and Denise Ruschel Bandeira, as cited and referenced by </w:t>
      </w:r>
      <w:proofErr w:type="spellStart"/>
      <w:r w:rsidRPr="00233381">
        <w:rPr>
          <w:rFonts w:cstheme="minorHAnsi"/>
          <w:sz w:val="24"/>
          <w:szCs w:val="24"/>
          <w:lang w:val="en-US"/>
        </w:rPr>
        <w:t>Patias</w:t>
      </w:r>
      <w:proofErr w:type="spellEnd"/>
      <w:r w:rsidRPr="00233381">
        <w:rPr>
          <w:rFonts w:cstheme="minorHAnsi"/>
          <w:sz w:val="24"/>
          <w:szCs w:val="24"/>
          <w:lang w:val="en-US"/>
        </w:rPr>
        <w:t xml:space="preserve"> et al. (2016), and a master's thesis by Rose Claudia </w:t>
      </w:r>
      <w:proofErr w:type="spellStart"/>
      <w:r w:rsidRPr="00233381">
        <w:rPr>
          <w:rFonts w:cstheme="minorHAnsi"/>
          <w:sz w:val="24"/>
          <w:szCs w:val="24"/>
          <w:lang w:val="en-US"/>
        </w:rPr>
        <w:t>Batistelli</w:t>
      </w:r>
      <w:proofErr w:type="spellEnd"/>
      <w:r w:rsidRPr="00233381">
        <w:rPr>
          <w:rFonts w:cstheme="minorHAnsi"/>
          <w:sz w:val="24"/>
          <w:szCs w:val="24"/>
          <w:lang w:val="en-US"/>
        </w:rPr>
        <w:t xml:space="preserve"> Vignola, published the following year in the Journal of Affective Disorders (Vignola &amp; Tucci, 2014).</w:t>
      </w:r>
    </w:p>
    <w:p w14:paraId="361F2D49" w14:textId="77777777" w:rsidR="00532C7F" w:rsidRPr="00233381" w:rsidRDefault="00532C7F" w:rsidP="00AE7044">
      <w:pPr>
        <w:spacing w:after="0" w:line="360" w:lineRule="auto"/>
        <w:ind w:firstLine="709"/>
        <w:rPr>
          <w:rFonts w:cstheme="minorHAnsi"/>
          <w:sz w:val="24"/>
          <w:szCs w:val="24"/>
          <w:lang w:val="en-US"/>
        </w:rPr>
      </w:pPr>
      <w:r w:rsidRPr="00233381">
        <w:rPr>
          <w:rFonts w:cstheme="minorHAnsi"/>
          <w:sz w:val="24"/>
          <w:szCs w:val="24"/>
          <w:lang w:val="en-US"/>
        </w:rPr>
        <w:t>In Brazil, extensive research has been undertaken utilizing the DASS-21 across different populations. Recently, there has been a significant emphasis on assessing these symptoms in relation to the COVID-19 pandemic. Studies have been carried out with undergraduate medical students from Fortaleza, CE (n = 292) (</w:t>
      </w:r>
      <w:proofErr w:type="spellStart"/>
      <w:r w:rsidRPr="00233381">
        <w:rPr>
          <w:rFonts w:cstheme="minorHAnsi"/>
          <w:sz w:val="24"/>
          <w:szCs w:val="24"/>
          <w:lang w:val="en-US"/>
        </w:rPr>
        <w:t>Kubrusly</w:t>
      </w:r>
      <w:proofErr w:type="spellEnd"/>
      <w:r w:rsidRPr="00233381">
        <w:rPr>
          <w:rFonts w:cstheme="minorHAnsi"/>
          <w:sz w:val="24"/>
          <w:szCs w:val="24"/>
          <w:lang w:val="en-US"/>
        </w:rPr>
        <w:t xml:space="preserve"> et al., 2021) and Juiz de Fora, MG (n = 267) (Leite et al., 2021), physical therapy students in </w:t>
      </w:r>
      <w:proofErr w:type="spellStart"/>
      <w:r w:rsidRPr="00233381">
        <w:rPr>
          <w:rFonts w:cstheme="minorHAnsi"/>
          <w:sz w:val="24"/>
          <w:szCs w:val="24"/>
          <w:lang w:val="en-US"/>
        </w:rPr>
        <w:t>Goiânia</w:t>
      </w:r>
      <w:proofErr w:type="spellEnd"/>
      <w:r w:rsidRPr="00233381">
        <w:rPr>
          <w:rFonts w:cstheme="minorHAnsi"/>
          <w:sz w:val="24"/>
          <w:szCs w:val="24"/>
          <w:lang w:val="en-US"/>
        </w:rPr>
        <w:t xml:space="preserve">, GO (n = 115) (H. A. dos Santos et al., 2022), Brazilians symptomatic for COVID-19 (n = 300) (A. C. dos Santos et al., 2021), Brazilians aged 18 years and older, living in the period of the COVID-19 pandemic (n = 1,765) (Barbosa et al., 2021), and young LGBTQ+ Brazilians (n = 816) (Cerqueira-Santos et al., 2021). These studies, however, do not report any assessment of the psychometric properties of the DASS-21 other than Cronbach's Alpha (α). </w:t>
      </w:r>
    </w:p>
    <w:p w14:paraId="65190BD4" w14:textId="77777777" w:rsidR="00532C7F" w:rsidRPr="00233381" w:rsidRDefault="00532C7F" w:rsidP="00AE7044">
      <w:pPr>
        <w:spacing w:after="0" w:line="360" w:lineRule="auto"/>
        <w:ind w:firstLine="709"/>
        <w:rPr>
          <w:rFonts w:cstheme="minorHAnsi"/>
          <w:sz w:val="24"/>
          <w:szCs w:val="24"/>
          <w:lang w:val="en-US"/>
        </w:rPr>
      </w:pPr>
      <w:r w:rsidRPr="00233381">
        <w:rPr>
          <w:rFonts w:cstheme="minorHAnsi"/>
          <w:sz w:val="24"/>
          <w:szCs w:val="24"/>
          <w:lang w:val="en-US"/>
        </w:rPr>
        <w:lastRenderedPageBreak/>
        <w:t>In addition to considering alpha values, we believe it is imperative to investigate the psychometric properties of an instrument across diverse populations. In Brazil, within the body of research that investigates the psychometric properties of the DASS-21, consensus is evident regarding the robust statistical indicators that substantiate the tripartite model of distinct symptom dimensions for depression, anxiety, and stress (</w:t>
      </w:r>
      <w:proofErr w:type="spellStart"/>
      <w:r w:rsidRPr="00233381">
        <w:rPr>
          <w:rFonts w:cstheme="minorHAnsi"/>
          <w:sz w:val="24"/>
          <w:szCs w:val="24"/>
          <w:lang w:val="en-US"/>
        </w:rPr>
        <w:t>Formiga</w:t>
      </w:r>
      <w:proofErr w:type="spellEnd"/>
      <w:r w:rsidRPr="00233381">
        <w:rPr>
          <w:rFonts w:cstheme="minorHAnsi"/>
          <w:sz w:val="24"/>
          <w:szCs w:val="24"/>
          <w:lang w:val="en-US"/>
        </w:rPr>
        <w:t xml:space="preserve"> et al., 2021; Martins et al., 2020; </w:t>
      </w:r>
      <w:proofErr w:type="spellStart"/>
      <w:r w:rsidRPr="00233381">
        <w:rPr>
          <w:rFonts w:cstheme="minorHAnsi"/>
          <w:sz w:val="24"/>
          <w:szCs w:val="24"/>
          <w:lang w:val="en-US"/>
        </w:rPr>
        <w:t>Patias</w:t>
      </w:r>
      <w:proofErr w:type="spellEnd"/>
      <w:r w:rsidRPr="00233381">
        <w:rPr>
          <w:rFonts w:cstheme="minorHAnsi"/>
          <w:sz w:val="24"/>
          <w:szCs w:val="24"/>
          <w:lang w:val="en-US"/>
        </w:rPr>
        <w:t xml:space="preserve"> et al., 2016; Peixoto et al., 2021; Rocha et al., 2021; Silva et al., 2016; Vignola, 2013). Despite the existence of superpositions and overlaps among these dimensions, the literature consistently acknowledges the scale's efficacy in delineating three separate symptom constructs. The psychometric properties of the DASS-21 have been investigated across samples from the general population, such as outpatients of a cardiology clinic and their companions in Santo André, SP (</w:t>
      </w:r>
      <w:r w:rsidRPr="00233381">
        <w:rPr>
          <w:rFonts w:cstheme="minorHAnsi"/>
          <w:i/>
          <w:iCs/>
          <w:sz w:val="24"/>
          <w:szCs w:val="24"/>
          <w:lang w:val="en-US"/>
        </w:rPr>
        <w:t>n</w:t>
      </w:r>
      <w:r w:rsidRPr="00233381">
        <w:rPr>
          <w:rFonts w:cstheme="minorHAnsi"/>
          <w:sz w:val="24"/>
          <w:szCs w:val="24"/>
          <w:lang w:val="en-US"/>
        </w:rPr>
        <w:t xml:space="preserve"> = 242) (Vignola, 2013), adolescent students from public schools in Porto Alegre, RS (</w:t>
      </w:r>
      <w:r w:rsidRPr="00233381">
        <w:rPr>
          <w:rFonts w:cstheme="minorHAnsi"/>
          <w:i/>
          <w:iCs/>
          <w:sz w:val="24"/>
          <w:szCs w:val="24"/>
          <w:lang w:val="en-US"/>
        </w:rPr>
        <w:t>n</w:t>
      </w:r>
      <w:r w:rsidRPr="00233381">
        <w:rPr>
          <w:rFonts w:cstheme="minorHAnsi"/>
          <w:sz w:val="24"/>
          <w:szCs w:val="24"/>
          <w:lang w:val="en-US"/>
        </w:rPr>
        <w:t xml:space="preserve"> = 426) (</w:t>
      </w:r>
      <w:proofErr w:type="spellStart"/>
      <w:r w:rsidRPr="00233381">
        <w:rPr>
          <w:rFonts w:cstheme="minorHAnsi"/>
          <w:sz w:val="24"/>
          <w:szCs w:val="24"/>
          <w:lang w:val="en-US"/>
        </w:rPr>
        <w:t>Patias</w:t>
      </w:r>
      <w:proofErr w:type="spellEnd"/>
      <w:r w:rsidRPr="00233381">
        <w:rPr>
          <w:rFonts w:cstheme="minorHAnsi"/>
          <w:sz w:val="24"/>
          <w:szCs w:val="24"/>
          <w:lang w:val="en-US"/>
        </w:rPr>
        <w:t xml:space="preserve"> et al., 2016), adolescents from schools and sports centers in Petrolina, PE (</w:t>
      </w:r>
      <w:r w:rsidRPr="00233381">
        <w:rPr>
          <w:rFonts w:cstheme="minorHAnsi"/>
          <w:i/>
          <w:iCs/>
          <w:sz w:val="24"/>
          <w:szCs w:val="24"/>
          <w:lang w:val="en-US"/>
        </w:rPr>
        <w:t>n</w:t>
      </w:r>
      <w:r w:rsidRPr="00233381">
        <w:rPr>
          <w:rFonts w:cstheme="minorHAnsi"/>
          <w:sz w:val="24"/>
          <w:szCs w:val="24"/>
          <w:lang w:val="en-US"/>
        </w:rPr>
        <w:t xml:space="preserve"> = 310) (Silva et al., 2016), workers in João Pessoa, PB and Natal, RN (</w:t>
      </w:r>
      <w:r w:rsidRPr="00233381">
        <w:rPr>
          <w:rFonts w:cstheme="minorHAnsi"/>
          <w:i/>
          <w:iCs/>
          <w:sz w:val="24"/>
          <w:szCs w:val="24"/>
          <w:lang w:val="en-US"/>
        </w:rPr>
        <w:t>n</w:t>
      </w:r>
      <w:r w:rsidRPr="00233381">
        <w:rPr>
          <w:rFonts w:cstheme="minorHAnsi"/>
          <w:sz w:val="24"/>
          <w:szCs w:val="24"/>
          <w:lang w:val="en-US"/>
        </w:rPr>
        <w:t xml:space="preserve"> = 219) (</w:t>
      </w:r>
      <w:proofErr w:type="spellStart"/>
      <w:r w:rsidRPr="00233381">
        <w:rPr>
          <w:rFonts w:cstheme="minorHAnsi"/>
          <w:sz w:val="24"/>
          <w:szCs w:val="24"/>
          <w:lang w:val="en-US"/>
        </w:rPr>
        <w:t>Formiga</w:t>
      </w:r>
      <w:proofErr w:type="spellEnd"/>
      <w:r w:rsidRPr="00233381">
        <w:rPr>
          <w:rFonts w:cstheme="minorHAnsi"/>
          <w:sz w:val="24"/>
          <w:szCs w:val="24"/>
          <w:lang w:val="en-US"/>
        </w:rPr>
        <w:t xml:space="preserve"> et al., 2021), university students in </w:t>
      </w:r>
      <w:proofErr w:type="spellStart"/>
      <w:r w:rsidRPr="00233381">
        <w:rPr>
          <w:rFonts w:cstheme="minorHAnsi"/>
          <w:sz w:val="24"/>
          <w:szCs w:val="24"/>
          <w:lang w:val="en-US"/>
        </w:rPr>
        <w:t>Araraquara</w:t>
      </w:r>
      <w:proofErr w:type="spellEnd"/>
      <w:r w:rsidRPr="00233381">
        <w:rPr>
          <w:rFonts w:cstheme="minorHAnsi"/>
          <w:sz w:val="24"/>
          <w:szCs w:val="24"/>
          <w:lang w:val="en-US"/>
        </w:rPr>
        <w:t>, SP (n = 1,042 ) (Martins et al., 2020), Brazilian university students (</w:t>
      </w:r>
      <w:r w:rsidRPr="00233381">
        <w:rPr>
          <w:rFonts w:cstheme="minorHAnsi"/>
          <w:i/>
          <w:iCs/>
          <w:sz w:val="24"/>
          <w:szCs w:val="24"/>
          <w:lang w:val="en-US"/>
        </w:rPr>
        <w:t>n</w:t>
      </w:r>
      <w:r w:rsidRPr="00233381">
        <w:rPr>
          <w:rFonts w:cstheme="minorHAnsi"/>
          <w:sz w:val="24"/>
          <w:szCs w:val="24"/>
          <w:lang w:val="en-US"/>
        </w:rPr>
        <w:t xml:space="preserve"> = 250) (Rocha et al., 2021), and participants from non-clinical populations in the state of Pernambuco and the city of </w:t>
      </w:r>
      <w:proofErr w:type="spellStart"/>
      <w:r w:rsidRPr="00233381">
        <w:rPr>
          <w:rFonts w:cstheme="minorHAnsi"/>
          <w:sz w:val="24"/>
          <w:szCs w:val="24"/>
          <w:lang w:val="en-US"/>
        </w:rPr>
        <w:t>Goiânia</w:t>
      </w:r>
      <w:proofErr w:type="spellEnd"/>
      <w:r w:rsidRPr="00233381">
        <w:rPr>
          <w:rFonts w:cstheme="minorHAnsi"/>
          <w:sz w:val="24"/>
          <w:szCs w:val="24"/>
          <w:lang w:val="en-US"/>
        </w:rPr>
        <w:t>, GO (</w:t>
      </w:r>
      <w:r w:rsidRPr="00233381">
        <w:rPr>
          <w:rFonts w:cstheme="minorHAnsi"/>
          <w:i/>
          <w:iCs/>
          <w:sz w:val="24"/>
          <w:szCs w:val="24"/>
          <w:lang w:val="en-US"/>
        </w:rPr>
        <w:t>n</w:t>
      </w:r>
      <w:r w:rsidRPr="00233381">
        <w:rPr>
          <w:rFonts w:cstheme="minorHAnsi"/>
          <w:sz w:val="24"/>
          <w:szCs w:val="24"/>
          <w:lang w:val="en-US"/>
        </w:rPr>
        <w:t xml:space="preserve"> = 530) (Peixoto et al., 2021). </w:t>
      </w:r>
    </w:p>
    <w:p w14:paraId="0CE7BAB5" w14:textId="77777777" w:rsidR="00532C7F" w:rsidRPr="00233381" w:rsidRDefault="00532C7F" w:rsidP="00AE7044">
      <w:pPr>
        <w:spacing w:after="0" w:line="360" w:lineRule="auto"/>
        <w:ind w:firstLine="709"/>
        <w:rPr>
          <w:rFonts w:cstheme="minorHAnsi"/>
          <w:sz w:val="24"/>
          <w:szCs w:val="24"/>
          <w:lang w:val="en-US"/>
        </w:rPr>
      </w:pPr>
      <w:r w:rsidRPr="00233381">
        <w:rPr>
          <w:rFonts w:cstheme="minorHAnsi"/>
          <w:sz w:val="24"/>
          <w:szCs w:val="24"/>
          <w:lang w:val="en-US"/>
        </w:rPr>
        <w:t xml:space="preserve">Although they all investigate psychometric properties of the DASS-21, these studies have predominantly utilized samples that prioritize the general population, thereby neglecting a focus on minority groups. We have not yet found any study that examined the scale regarding its empirical verification, factorial variance, convergence, and sensibility in a sample of Brazilian sexual and gender minorities, also referred to as the LGBTQ+ community. In summary, these individuals are historically stigmatized and marginalized due to two main aspects of their lives: their gender identity and sexual orientation. Gender identity refers to the person’s self-identification as male, female, or non-binary, while sexual orientation is an often-enduring pattern of emotional, romantic, and/or sexual attractions in relation the other’s gender (American Psychological Association, 2015). These individuals face an elevated likelihood of encountering stressful life events in comparison to their cisgender heterosexual counterparts, thereby increasing their vulnerability to mental health difficulties. A recent Brazilian study on younger LGBTQ+ individuals, for example, called for urgent action (Terra et al., 2022). They investigated 1,475 young Brazilians (13-22 years old) and compared the rates of mental disorders between the cisgender heterosexual group and the LGBTQ+ </w:t>
      </w:r>
      <w:r w:rsidRPr="00233381">
        <w:rPr>
          <w:rFonts w:cstheme="minorHAnsi"/>
          <w:sz w:val="24"/>
          <w:szCs w:val="24"/>
          <w:lang w:val="en-US"/>
        </w:rPr>
        <w:lastRenderedPageBreak/>
        <w:t xml:space="preserve">group. As expected, the LGBTQ+ group presented higher rates of anxiety disorders, depressive disorders, and post-traumatic stress disorder. </w:t>
      </w:r>
    </w:p>
    <w:p w14:paraId="30F25A71" w14:textId="77777777" w:rsidR="00532C7F" w:rsidRPr="00233381" w:rsidRDefault="00532C7F" w:rsidP="00AE7044">
      <w:pPr>
        <w:spacing w:after="0" w:line="360" w:lineRule="auto"/>
        <w:ind w:firstLine="709"/>
        <w:rPr>
          <w:rFonts w:cstheme="minorHAnsi"/>
          <w:sz w:val="24"/>
          <w:szCs w:val="24"/>
          <w:lang w:val="en-US"/>
        </w:rPr>
      </w:pPr>
      <w:r w:rsidRPr="00233381">
        <w:rPr>
          <w:rFonts w:cstheme="minorHAnsi"/>
          <w:sz w:val="24"/>
          <w:szCs w:val="24"/>
          <w:lang w:val="en-US"/>
        </w:rPr>
        <w:t>Measuring symptoms of distress and negative emotions in this population holds significant importance within the field of mental health research and practice. Firstly, the LGBTQ+ population often faces unique stressors related to their sexual orientation or gender identity, including societal prejudice, discrimination, and minority stress experiences (Meyer, 2003a). In the context of the tripartite model encompassing depression, anxiety, and stress, we posit that stress plays a central role in the manifestation of depression and anxiety within the LGBTQ+ population, as well as other social minority groups. This assertion is grounded in the notion that both distal and proximal minority stressors contribute to an excessive burden of stressors experienced solely due to prejudice and discrimination, thereby necessitating coping strategies that individuals may lack (Meyer, 2001, 2003a). These stressors uniquely associated with minority status can significantly impact mental well-being, thereby establishing stress as a primary mediator underlying the occurrence of depression and anxiety in these populations.</w:t>
      </w:r>
    </w:p>
    <w:p w14:paraId="5C846CBA" w14:textId="5310FB31" w:rsidR="00532C7F" w:rsidRPr="00233381" w:rsidRDefault="00A553E4" w:rsidP="00AE7044">
      <w:pPr>
        <w:spacing w:after="0" w:line="360" w:lineRule="auto"/>
        <w:ind w:firstLine="709"/>
        <w:rPr>
          <w:rFonts w:cstheme="minorHAnsi"/>
          <w:sz w:val="24"/>
          <w:szCs w:val="24"/>
          <w:lang w:val="en-US"/>
        </w:rPr>
      </w:pPr>
      <w:r w:rsidRPr="00A553E4">
        <w:rPr>
          <w:rFonts w:cstheme="minorHAnsi"/>
          <w:sz w:val="24"/>
          <w:szCs w:val="24"/>
          <w:lang w:val="en-US"/>
        </w:rPr>
        <w:t>Different populations may exhibit variations in cultural norms, beliefs, values, and experiences, which can influence the manifestation and perception of distress and negative emotional symptoms. Therefore, it is crucial to empirically verify whether a psychological instrument adequately captures these variations in different populations. By conducting empirical studies, researchers can gather evidence on how well the instrument performs within specific populations and assess its applicability.</w:t>
      </w:r>
      <w:r>
        <w:rPr>
          <w:rFonts w:cstheme="minorHAnsi"/>
          <w:sz w:val="24"/>
          <w:szCs w:val="24"/>
          <w:lang w:val="en-US"/>
        </w:rPr>
        <w:t xml:space="preserve"> </w:t>
      </w:r>
      <w:r w:rsidR="00532C7F" w:rsidRPr="00233381">
        <w:rPr>
          <w:rFonts w:cstheme="minorHAnsi"/>
          <w:sz w:val="24"/>
          <w:szCs w:val="24"/>
          <w:lang w:val="en-US"/>
        </w:rPr>
        <w:t>Therefore, this study aims to address these gaps by examining the psychometric properties of the DASS-21 in a sample of LGBTQ+ individuals in Brazil, contributing to a more comprehensive understanding of its applicability in this marginalized population.</w:t>
      </w:r>
    </w:p>
    <w:p w14:paraId="02B3308F" w14:textId="77777777" w:rsidR="00532C7F" w:rsidRPr="00233381" w:rsidRDefault="00532C7F" w:rsidP="00AE7044">
      <w:pPr>
        <w:spacing w:after="0" w:line="360" w:lineRule="auto"/>
        <w:jc w:val="center"/>
        <w:rPr>
          <w:rFonts w:cstheme="minorHAnsi"/>
          <w:b/>
          <w:bCs/>
          <w:sz w:val="24"/>
          <w:szCs w:val="24"/>
          <w:lang w:val="en-US"/>
        </w:rPr>
      </w:pPr>
    </w:p>
    <w:p w14:paraId="2F5A8BBB" w14:textId="77777777" w:rsidR="00532C7F" w:rsidRPr="00233381" w:rsidRDefault="00532C7F" w:rsidP="00AE7044">
      <w:pPr>
        <w:spacing w:after="0" w:line="360" w:lineRule="auto"/>
        <w:jc w:val="center"/>
        <w:rPr>
          <w:rFonts w:cstheme="minorHAnsi"/>
          <w:b/>
          <w:bCs/>
          <w:sz w:val="24"/>
          <w:szCs w:val="24"/>
          <w:lang w:val="en-US"/>
        </w:rPr>
      </w:pPr>
      <w:r w:rsidRPr="00233381">
        <w:rPr>
          <w:rFonts w:cstheme="minorHAnsi"/>
          <w:b/>
          <w:bCs/>
          <w:sz w:val="24"/>
          <w:szCs w:val="24"/>
          <w:lang w:val="en-US"/>
        </w:rPr>
        <w:t>Method</w:t>
      </w:r>
    </w:p>
    <w:p w14:paraId="3FAF5E1A" w14:textId="77777777" w:rsidR="00532C7F" w:rsidRPr="00233381" w:rsidRDefault="00532C7F" w:rsidP="00AE7044">
      <w:pPr>
        <w:spacing w:after="0" w:line="360" w:lineRule="auto"/>
        <w:rPr>
          <w:rFonts w:cstheme="minorHAnsi"/>
          <w:b/>
          <w:bCs/>
          <w:sz w:val="24"/>
          <w:szCs w:val="24"/>
          <w:lang w:val="en-US"/>
        </w:rPr>
      </w:pPr>
      <w:r w:rsidRPr="00233381">
        <w:rPr>
          <w:rFonts w:cstheme="minorHAnsi"/>
          <w:b/>
          <w:bCs/>
          <w:sz w:val="24"/>
          <w:szCs w:val="24"/>
          <w:lang w:val="en-US"/>
        </w:rPr>
        <w:t>Sample</w:t>
      </w:r>
    </w:p>
    <w:p w14:paraId="45B9DBC5" w14:textId="77777777" w:rsidR="00532C7F" w:rsidRPr="00233381" w:rsidRDefault="00532C7F" w:rsidP="00AE7044">
      <w:pPr>
        <w:spacing w:after="0" w:line="360" w:lineRule="auto"/>
        <w:ind w:firstLine="709"/>
        <w:rPr>
          <w:rFonts w:cstheme="minorHAnsi"/>
          <w:sz w:val="24"/>
          <w:szCs w:val="24"/>
          <w:lang w:val="en-US"/>
        </w:rPr>
      </w:pPr>
      <w:r w:rsidRPr="00233381">
        <w:rPr>
          <w:rFonts w:cstheme="minorHAnsi"/>
          <w:color w:val="000000" w:themeColor="text1"/>
          <w:sz w:val="24"/>
          <w:szCs w:val="24"/>
          <w:lang w:val="en-US"/>
        </w:rPr>
        <w:t xml:space="preserve">Participants were 448 LGBTQ+ individuals, aged 18 to 62, from 23 of Brazil’s 27 states. </w:t>
      </w:r>
      <w:r w:rsidRPr="00233381">
        <w:rPr>
          <w:rFonts w:cstheme="minorHAnsi"/>
          <w:sz w:val="24"/>
          <w:szCs w:val="24"/>
          <w:lang w:val="en-US"/>
        </w:rPr>
        <w:t xml:space="preserve">This sample number meets the minimum necessary for factor analyses, even considering the most demanding authors, who suggest at least 10 participants per item of the instrument </w:t>
      </w:r>
      <w:r w:rsidRPr="00233381">
        <w:rPr>
          <w:rFonts w:cstheme="minorHAnsi"/>
          <w:color w:val="000000"/>
          <w:sz w:val="24"/>
          <w:szCs w:val="24"/>
          <w:lang w:val="en-US"/>
        </w:rPr>
        <w:t>(Everitt, 1975)</w:t>
      </w:r>
      <w:r w:rsidRPr="00233381">
        <w:rPr>
          <w:rFonts w:cstheme="minorHAnsi"/>
          <w:sz w:val="24"/>
          <w:szCs w:val="24"/>
          <w:lang w:val="en-US"/>
        </w:rPr>
        <w:t>. The sample is majorly young (</w:t>
      </w:r>
      <w:r w:rsidRPr="00233381">
        <w:rPr>
          <w:rFonts w:cstheme="minorHAnsi"/>
          <w:i/>
          <w:iCs/>
          <w:sz w:val="24"/>
          <w:szCs w:val="24"/>
          <w:lang w:val="en-US"/>
        </w:rPr>
        <w:t>M</w:t>
      </w:r>
      <w:r w:rsidRPr="00233381">
        <w:rPr>
          <w:rFonts w:cstheme="minorHAnsi"/>
          <w:sz w:val="24"/>
          <w:szCs w:val="24"/>
          <w:lang w:val="en-US"/>
        </w:rPr>
        <w:t xml:space="preserve"> = 27.3; </w:t>
      </w:r>
      <w:r w:rsidRPr="00233381">
        <w:rPr>
          <w:rFonts w:cstheme="minorHAnsi"/>
          <w:i/>
          <w:iCs/>
          <w:sz w:val="24"/>
          <w:szCs w:val="24"/>
          <w:lang w:val="en-US"/>
        </w:rPr>
        <w:t>SD</w:t>
      </w:r>
      <w:r w:rsidRPr="00233381">
        <w:rPr>
          <w:rFonts w:cstheme="minorHAnsi"/>
          <w:sz w:val="24"/>
          <w:szCs w:val="24"/>
          <w:lang w:val="en-US"/>
        </w:rPr>
        <w:t xml:space="preserve"> = 7.9; </w:t>
      </w:r>
      <w:proofErr w:type="spellStart"/>
      <w:r w:rsidRPr="00233381">
        <w:rPr>
          <w:rFonts w:cstheme="minorHAnsi"/>
          <w:i/>
          <w:iCs/>
          <w:sz w:val="24"/>
          <w:szCs w:val="24"/>
          <w:lang w:val="en-US"/>
        </w:rPr>
        <w:t>Mdn</w:t>
      </w:r>
      <w:proofErr w:type="spellEnd"/>
      <w:r w:rsidRPr="00233381">
        <w:rPr>
          <w:rFonts w:cstheme="minorHAnsi"/>
          <w:sz w:val="24"/>
          <w:szCs w:val="24"/>
          <w:lang w:val="en-US"/>
        </w:rPr>
        <w:t xml:space="preserve"> = 25), cisgender (94%), homosexual (69.4%), white (73.2%) and male (56.9%). A smaller proportion identified as </w:t>
      </w:r>
      <w:r w:rsidRPr="00233381">
        <w:rPr>
          <w:rFonts w:cstheme="minorHAnsi"/>
          <w:sz w:val="24"/>
          <w:szCs w:val="24"/>
          <w:lang w:val="en-US"/>
        </w:rPr>
        <w:lastRenderedPageBreak/>
        <w:t xml:space="preserve">non-binary (4.2%). In terms of sexual orientation, besides the largest group of homosexuals, participants were bisexual (22.1%) and pansexual (6%). Apart from the white majority, they were also </w:t>
      </w:r>
      <w:r w:rsidRPr="00233381">
        <w:rPr>
          <w:rFonts w:cstheme="minorHAnsi"/>
          <w:i/>
          <w:iCs/>
          <w:sz w:val="24"/>
          <w:szCs w:val="24"/>
          <w:lang w:val="en-US"/>
        </w:rPr>
        <w:t>Pardo</w:t>
      </w:r>
      <w:r w:rsidRPr="00233381">
        <w:rPr>
          <w:rFonts w:cstheme="minorHAnsi"/>
          <w:sz w:val="24"/>
          <w:szCs w:val="24"/>
          <w:lang w:val="en-US"/>
        </w:rPr>
        <w:t xml:space="preserve"> (Brown) (17.3%), Black (7%), Yellow (0.9%) and Indigenous (0.5%). In terms of family income, a significant portion reported income between R$ 4,000 to R$ 10,000 (33%) and R$ 2,000 to R$ 4,000 (30%). In terms of education, incomplete graduation was the most common level (40.4%), followed by complete graduation (20.2%) and complete post-graduation (18.8%). </w:t>
      </w:r>
      <w:proofErr w:type="gramStart"/>
      <w:r w:rsidRPr="00233381">
        <w:rPr>
          <w:rFonts w:cstheme="minorHAnsi"/>
          <w:sz w:val="24"/>
          <w:szCs w:val="24"/>
          <w:lang w:val="en-US"/>
        </w:rPr>
        <w:t>The majority of</w:t>
      </w:r>
      <w:proofErr w:type="gramEnd"/>
      <w:r w:rsidRPr="00233381">
        <w:rPr>
          <w:rFonts w:cstheme="minorHAnsi"/>
          <w:sz w:val="24"/>
          <w:szCs w:val="24"/>
          <w:lang w:val="en-US"/>
        </w:rPr>
        <w:t xml:space="preserve"> participants were from the state of Rio Grande do Sul (42.9%), followed by Rio de Janeiro (9.3%), Santa Catarina (8.8%), and São Paulo (7.7%). Other states, such as Minas Gerais, Distrito Federal, </w:t>
      </w:r>
      <w:proofErr w:type="spellStart"/>
      <w:r w:rsidRPr="00233381">
        <w:rPr>
          <w:rFonts w:cstheme="minorHAnsi"/>
          <w:sz w:val="24"/>
          <w:szCs w:val="24"/>
          <w:lang w:val="en-US"/>
        </w:rPr>
        <w:t>Ceará</w:t>
      </w:r>
      <w:proofErr w:type="spellEnd"/>
      <w:r w:rsidRPr="00233381">
        <w:rPr>
          <w:rFonts w:cstheme="minorHAnsi"/>
          <w:sz w:val="24"/>
          <w:szCs w:val="24"/>
          <w:lang w:val="en-US"/>
        </w:rPr>
        <w:t xml:space="preserve">, Paraná, Pernambuco, and Alagoas, had smaller percentages of participants ranging from 2.5% to 5.9%. Several states had minimal representation, with one or two participants each. It is important to note that there </w:t>
      </w:r>
      <w:proofErr w:type="gramStart"/>
      <w:r w:rsidRPr="00233381">
        <w:rPr>
          <w:rFonts w:cstheme="minorHAnsi"/>
          <w:sz w:val="24"/>
          <w:szCs w:val="24"/>
          <w:lang w:val="en-US"/>
        </w:rPr>
        <w:t>was</w:t>
      </w:r>
      <w:proofErr w:type="gramEnd"/>
      <w:r w:rsidRPr="00233381">
        <w:rPr>
          <w:rFonts w:cstheme="minorHAnsi"/>
          <w:sz w:val="24"/>
          <w:szCs w:val="24"/>
          <w:lang w:val="en-US"/>
        </w:rPr>
        <w:t xml:space="preserve"> no participants from the states of Acre, </w:t>
      </w:r>
      <w:proofErr w:type="spellStart"/>
      <w:r w:rsidRPr="00233381">
        <w:rPr>
          <w:rFonts w:cstheme="minorHAnsi"/>
          <w:sz w:val="24"/>
          <w:szCs w:val="24"/>
          <w:lang w:val="en-US"/>
        </w:rPr>
        <w:t>Amapá</w:t>
      </w:r>
      <w:proofErr w:type="spellEnd"/>
      <w:r w:rsidRPr="00233381">
        <w:rPr>
          <w:rFonts w:cstheme="minorHAnsi"/>
          <w:sz w:val="24"/>
          <w:szCs w:val="24"/>
          <w:lang w:val="en-US"/>
        </w:rPr>
        <w:t>, Roraima, and Tocantins. The homogeneity of the sample characteristics is noteworthy, also considering that the audience of this study had access to the internet and probably responded to the instruments with a considerable degree of social desirability.</w:t>
      </w:r>
    </w:p>
    <w:p w14:paraId="0630E39F" w14:textId="77777777" w:rsidR="00532C7F" w:rsidRPr="00233381" w:rsidRDefault="00532C7F" w:rsidP="00AE7044">
      <w:pPr>
        <w:spacing w:after="0" w:line="360" w:lineRule="auto"/>
        <w:rPr>
          <w:rFonts w:cstheme="minorHAnsi"/>
          <w:b/>
          <w:bCs/>
          <w:sz w:val="24"/>
          <w:szCs w:val="24"/>
          <w:lang w:val="en-US"/>
        </w:rPr>
      </w:pPr>
      <w:r w:rsidRPr="00233381">
        <w:rPr>
          <w:rFonts w:cstheme="minorHAnsi"/>
          <w:b/>
          <w:bCs/>
          <w:sz w:val="24"/>
          <w:szCs w:val="24"/>
          <w:lang w:val="en-US"/>
        </w:rPr>
        <w:t>Instrument</w:t>
      </w:r>
    </w:p>
    <w:p w14:paraId="1C98F014" w14:textId="77777777" w:rsidR="00532C7F" w:rsidRPr="00233381" w:rsidRDefault="00532C7F" w:rsidP="00AE7044">
      <w:pPr>
        <w:spacing w:after="0" w:line="360" w:lineRule="auto"/>
        <w:ind w:firstLine="709"/>
        <w:rPr>
          <w:rFonts w:cstheme="minorHAnsi"/>
          <w:sz w:val="24"/>
          <w:szCs w:val="24"/>
          <w:lang w:val="en-US"/>
        </w:rPr>
      </w:pPr>
      <w:r w:rsidRPr="00233381">
        <w:rPr>
          <w:rFonts w:cstheme="minorHAnsi"/>
          <w:sz w:val="24"/>
          <w:szCs w:val="24"/>
          <w:lang w:val="en-US"/>
        </w:rPr>
        <w:t xml:space="preserve">The Anxiety, Depression, and Stress Scale – Short Form (DASS-21) was used to assess the emotional states of depression, anxiety, and stress. We used the Brazilian version adapted by </w:t>
      </w:r>
      <w:proofErr w:type="spellStart"/>
      <w:r w:rsidRPr="00233381">
        <w:rPr>
          <w:rFonts w:cstheme="minorHAnsi"/>
          <w:sz w:val="24"/>
          <w:szCs w:val="24"/>
          <w:lang w:val="en-US"/>
        </w:rPr>
        <w:t>Patias</w:t>
      </w:r>
      <w:proofErr w:type="spellEnd"/>
      <w:r w:rsidRPr="00233381">
        <w:rPr>
          <w:rFonts w:cstheme="minorHAnsi"/>
          <w:sz w:val="24"/>
          <w:szCs w:val="24"/>
          <w:lang w:val="en-US"/>
        </w:rPr>
        <w:t xml:space="preserve"> et al. (2016), consisting of a set of three subscales answered on a 4-point Likert scale ranging from 0 = not entirely true to 4 = entirely true. Each subscale is made up of 7 items. Factor formation is based on the sum of the items belonging to each factor, and the total score of the emotional disorder construct is the sum of all 21 items. The items in Brazilian Portuguese are available in the appendix of the article (</w:t>
      </w:r>
      <w:proofErr w:type="spellStart"/>
      <w:r w:rsidRPr="00233381">
        <w:rPr>
          <w:rFonts w:cstheme="minorHAnsi"/>
          <w:sz w:val="24"/>
          <w:szCs w:val="24"/>
          <w:lang w:val="en-US"/>
        </w:rPr>
        <w:t>Patias</w:t>
      </w:r>
      <w:proofErr w:type="spellEnd"/>
      <w:r w:rsidRPr="00233381">
        <w:rPr>
          <w:rFonts w:cstheme="minorHAnsi"/>
          <w:sz w:val="24"/>
          <w:szCs w:val="24"/>
          <w:lang w:val="en-US"/>
        </w:rPr>
        <w:t xml:space="preserve"> et al., 2016, p. 469). Permission to use was not required if proper attribution is provided. Although this version of the scale was adapted to adolescents, only a few modifications were made for the application to that population, referring only to semantic aspects (</w:t>
      </w:r>
      <w:proofErr w:type="spellStart"/>
      <w:r w:rsidRPr="00233381">
        <w:rPr>
          <w:rFonts w:cstheme="minorHAnsi"/>
          <w:sz w:val="24"/>
          <w:szCs w:val="24"/>
          <w:lang w:val="en-US"/>
        </w:rPr>
        <w:t>Patias</w:t>
      </w:r>
      <w:proofErr w:type="spellEnd"/>
      <w:r w:rsidRPr="00233381">
        <w:rPr>
          <w:rFonts w:cstheme="minorHAnsi"/>
          <w:sz w:val="24"/>
          <w:szCs w:val="24"/>
          <w:lang w:val="en-US"/>
        </w:rPr>
        <w:t xml:space="preserve"> et al., 2016). The confirmatory factor analysis confirmed the superiority of the three-dimensional model, indicating three factors with good adjustment indicators.</w:t>
      </w:r>
    </w:p>
    <w:p w14:paraId="323EF447" w14:textId="77777777" w:rsidR="00532C7F" w:rsidRPr="00233381" w:rsidRDefault="00532C7F" w:rsidP="00AE7044">
      <w:pPr>
        <w:spacing w:after="0" w:line="360" w:lineRule="auto"/>
        <w:rPr>
          <w:rFonts w:cstheme="minorHAnsi"/>
          <w:b/>
          <w:bCs/>
          <w:sz w:val="24"/>
          <w:szCs w:val="24"/>
          <w:lang w:val="en-US"/>
        </w:rPr>
      </w:pPr>
      <w:r w:rsidRPr="00233381">
        <w:rPr>
          <w:rFonts w:cstheme="minorHAnsi"/>
          <w:b/>
          <w:bCs/>
          <w:sz w:val="24"/>
          <w:szCs w:val="24"/>
          <w:lang w:val="en-US"/>
        </w:rPr>
        <w:t>Procedures</w:t>
      </w:r>
    </w:p>
    <w:p w14:paraId="342E066F" w14:textId="17C62C24" w:rsidR="00532C7F" w:rsidRPr="00233381" w:rsidRDefault="00532C7F" w:rsidP="00AE7044">
      <w:pPr>
        <w:spacing w:after="0" w:line="360" w:lineRule="auto"/>
        <w:ind w:firstLine="709"/>
        <w:rPr>
          <w:rFonts w:cstheme="minorHAnsi"/>
          <w:sz w:val="24"/>
          <w:szCs w:val="24"/>
          <w:lang w:val="en-US"/>
        </w:rPr>
      </w:pPr>
      <w:r w:rsidRPr="00233381">
        <w:rPr>
          <w:rFonts w:cstheme="minorHAnsi"/>
          <w:sz w:val="24"/>
          <w:szCs w:val="24"/>
          <w:lang w:val="en-US"/>
        </w:rPr>
        <w:t xml:space="preserve">An online self-application questionnaire was built with the Google Forms tool, containing questions to collect sociodemographic data and the DASS-21. The participants of this study were recruited over the internet, through different forms of dissemination. We </w:t>
      </w:r>
      <w:r w:rsidRPr="00233381">
        <w:rPr>
          <w:rFonts w:cstheme="minorHAnsi"/>
          <w:sz w:val="24"/>
          <w:szCs w:val="24"/>
          <w:lang w:val="en-US"/>
        </w:rPr>
        <w:lastRenderedPageBreak/>
        <w:t>used a non-probabilistic strategy with the snowball method, driven by email, social networks and messaging apps to individuals and groups. A video was recorded to recruit participants and made available on YouTube [citation omitted for blind review] and shared on social networks and messaging apps. The questionnaire was available on the internet for 33 weeks (231 days) between September 2019 and May 2020. When accessing the questionnaire, the person should read the Informed Consent Form to proceed. The text informed the research data, objective, benefits and risks of participation, identity preservation, possibility of withdrawal and contacts of the researcher. This study was approved by the Research Ethics Committee of the [omitted for blind review] under number [omitted for blind review]. The research was conducted in the [omitted for blind review] and followed the ethical guidelines of Resolutions 466/12 and 510/16 of the National Health Council.</w:t>
      </w:r>
      <w:r w:rsidR="004122F5">
        <w:rPr>
          <w:rFonts w:cstheme="minorHAnsi"/>
          <w:sz w:val="24"/>
          <w:szCs w:val="24"/>
          <w:lang w:val="en-US"/>
        </w:rPr>
        <w:t xml:space="preserve"> </w:t>
      </w:r>
      <w:r w:rsidR="004122F5" w:rsidRPr="004122F5">
        <w:rPr>
          <w:rFonts w:cstheme="minorHAnsi"/>
          <w:sz w:val="24"/>
          <w:szCs w:val="24"/>
          <w:lang w:val="en-US"/>
        </w:rPr>
        <w:t xml:space="preserve">Also, </w:t>
      </w:r>
      <w:r w:rsidR="004122F5">
        <w:rPr>
          <w:rFonts w:cstheme="minorHAnsi"/>
          <w:sz w:val="24"/>
          <w:szCs w:val="24"/>
          <w:lang w:val="en-US"/>
        </w:rPr>
        <w:t xml:space="preserve">we </w:t>
      </w:r>
      <w:r w:rsidR="004122F5" w:rsidRPr="004122F5">
        <w:rPr>
          <w:rFonts w:cstheme="minorHAnsi"/>
          <w:sz w:val="24"/>
          <w:szCs w:val="24"/>
          <w:lang w:val="en-US"/>
        </w:rPr>
        <w:t>followed the Universal Declaration of Ethical Principles for Psychologists</w:t>
      </w:r>
      <w:r w:rsidR="004122F5">
        <w:rPr>
          <w:rFonts w:cstheme="minorHAnsi"/>
          <w:sz w:val="24"/>
          <w:szCs w:val="24"/>
          <w:lang w:val="en-US"/>
        </w:rPr>
        <w:t xml:space="preserve">, </w:t>
      </w:r>
      <w:r w:rsidR="004122F5" w:rsidRPr="004122F5">
        <w:rPr>
          <w:rFonts w:cstheme="minorHAnsi"/>
          <w:sz w:val="24"/>
          <w:szCs w:val="24"/>
          <w:lang w:val="en-US"/>
        </w:rPr>
        <w:t xml:space="preserve">the International Ethical Guidelines for Biomedical Research Involving Human </w:t>
      </w:r>
      <w:r w:rsidR="009977CC" w:rsidRPr="004122F5">
        <w:rPr>
          <w:rFonts w:cstheme="minorHAnsi"/>
          <w:sz w:val="24"/>
          <w:szCs w:val="24"/>
          <w:lang w:val="en-US"/>
        </w:rPr>
        <w:t>Subjects,</w:t>
      </w:r>
      <w:r w:rsidR="004122F5" w:rsidRPr="004122F5">
        <w:rPr>
          <w:rFonts w:cstheme="minorHAnsi"/>
          <w:sz w:val="24"/>
          <w:szCs w:val="24"/>
          <w:lang w:val="en-US"/>
        </w:rPr>
        <w:t xml:space="preserve"> and the declarations of the ISP regarding ethical behavior at the time of submission.</w:t>
      </w:r>
    </w:p>
    <w:p w14:paraId="64B9A477" w14:textId="77777777" w:rsidR="00532C7F" w:rsidRPr="00233381" w:rsidRDefault="00532C7F" w:rsidP="00AE7044">
      <w:pPr>
        <w:spacing w:after="0" w:line="360" w:lineRule="auto"/>
        <w:rPr>
          <w:rFonts w:cstheme="minorHAnsi"/>
          <w:b/>
          <w:bCs/>
          <w:sz w:val="24"/>
          <w:szCs w:val="24"/>
          <w:lang w:val="en-US"/>
        </w:rPr>
      </w:pPr>
      <w:r w:rsidRPr="00233381">
        <w:rPr>
          <w:rFonts w:cstheme="minorHAnsi"/>
          <w:b/>
          <w:bCs/>
          <w:sz w:val="24"/>
          <w:szCs w:val="24"/>
          <w:lang w:val="en-US"/>
        </w:rPr>
        <w:t>Data analysis</w:t>
      </w:r>
    </w:p>
    <w:p w14:paraId="40E768C2" w14:textId="77777777" w:rsidR="00532C7F" w:rsidRPr="00233381" w:rsidRDefault="00532C7F" w:rsidP="00AE7044">
      <w:pPr>
        <w:spacing w:after="0" w:line="360" w:lineRule="auto"/>
        <w:ind w:firstLine="709"/>
        <w:rPr>
          <w:rFonts w:cstheme="minorHAnsi"/>
          <w:color w:val="000000" w:themeColor="text1"/>
          <w:sz w:val="24"/>
          <w:szCs w:val="24"/>
          <w:lang w:val="en-US"/>
        </w:rPr>
      </w:pPr>
      <w:bookmarkStart w:id="0" w:name="_Hlk140910680"/>
      <w:r w:rsidRPr="00233381">
        <w:rPr>
          <w:rFonts w:cstheme="minorHAnsi"/>
          <w:color w:val="000000" w:themeColor="text1"/>
          <w:sz w:val="24"/>
          <w:szCs w:val="24"/>
          <w:lang w:val="en-US"/>
        </w:rPr>
        <w:t xml:space="preserve">Apart from the descriptive statistics, a confirmatory factor analysis was performed to assess the factor structure of the model. The covariance matrix was considered as an input to the ML (Maximum Likelihood) estimator. As a more prudent and rigorous type of statistical analysis, we sought to evaluate the theoretical structure of the DASS-21 with three factors. We used the following indicators (Hair et al., 2009; Lattin et al., 2011; </w:t>
      </w:r>
      <w:proofErr w:type="spellStart"/>
      <w:r w:rsidRPr="00233381">
        <w:rPr>
          <w:rFonts w:cstheme="minorHAnsi"/>
          <w:color w:val="000000" w:themeColor="text1"/>
          <w:sz w:val="24"/>
          <w:szCs w:val="24"/>
          <w:lang w:val="en-US"/>
        </w:rPr>
        <w:t>Marôco</w:t>
      </w:r>
      <w:proofErr w:type="spellEnd"/>
      <w:r w:rsidRPr="00233381">
        <w:rPr>
          <w:rFonts w:cstheme="minorHAnsi"/>
          <w:color w:val="000000" w:themeColor="text1"/>
          <w:sz w:val="24"/>
          <w:szCs w:val="24"/>
          <w:lang w:val="en-US"/>
        </w:rPr>
        <w:t>, 2010):</w:t>
      </w:r>
    </w:p>
    <w:bookmarkEnd w:id="0"/>
    <w:p w14:paraId="08AABA2A" w14:textId="77777777" w:rsidR="00532C7F" w:rsidRPr="00233381" w:rsidRDefault="00532C7F" w:rsidP="00AE7044">
      <w:pPr>
        <w:pStyle w:val="PargrafodaLista"/>
        <w:numPr>
          <w:ilvl w:val="0"/>
          <w:numId w:val="2"/>
        </w:numPr>
        <w:spacing w:after="0" w:line="360" w:lineRule="auto"/>
        <w:rPr>
          <w:rFonts w:cstheme="minorHAnsi"/>
          <w:color w:val="000000" w:themeColor="text1"/>
          <w:sz w:val="24"/>
          <w:szCs w:val="24"/>
          <w:lang w:val="en-US"/>
        </w:rPr>
      </w:pPr>
      <w:r w:rsidRPr="00233381">
        <w:rPr>
          <w:rFonts w:cstheme="minorHAnsi"/>
          <w:color w:val="000000" w:themeColor="text1"/>
          <w:sz w:val="24"/>
          <w:szCs w:val="24"/>
          <w:lang w:val="en-US"/>
        </w:rPr>
        <w:t>The χ² (Chi-square) tests the probability that the theoretical model fits the data: the higher the χ², the worse the fit. However, it has not been largely used in the literature and it is more common to consider its ratio to the degrees of freedom (χ²/</w:t>
      </w:r>
      <w:proofErr w:type="spellStart"/>
      <w:r w:rsidRPr="00233381">
        <w:rPr>
          <w:rFonts w:cstheme="minorHAnsi"/>
          <w:color w:val="000000" w:themeColor="text1"/>
          <w:sz w:val="24"/>
          <w:szCs w:val="24"/>
          <w:lang w:val="en-US"/>
        </w:rPr>
        <w:t>g.l.</w:t>
      </w:r>
      <w:proofErr w:type="spellEnd"/>
      <w:r w:rsidRPr="00233381">
        <w:rPr>
          <w:rFonts w:cstheme="minorHAnsi"/>
          <w:color w:val="000000" w:themeColor="text1"/>
          <w:sz w:val="24"/>
          <w:szCs w:val="24"/>
          <w:lang w:val="en-US"/>
        </w:rPr>
        <w:t>). In this case, values up to 3 indicate a good fit.</w:t>
      </w:r>
    </w:p>
    <w:p w14:paraId="18B48F03" w14:textId="77777777" w:rsidR="00532C7F" w:rsidRPr="00233381" w:rsidRDefault="00532C7F" w:rsidP="00AE7044">
      <w:pPr>
        <w:pStyle w:val="PargrafodaLista"/>
        <w:numPr>
          <w:ilvl w:val="0"/>
          <w:numId w:val="2"/>
        </w:numPr>
        <w:spacing w:after="0" w:line="360" w:lineRule="auto"/>
        <w:rPr>
          <w:rFonts w:cstheme="minorHAnsi"/>
          <w:color w:val="000000" w:themeColor="text1"/>
          <w:sz w:val="24"/>
          <w:szCs w:val="24"/>
          <w:lang w:val="en-US"/>
        </w:rPr>
      </w:pPr>
      <w:r w:rsidRPr="00233381">
        <w:rPr>
          <w:rFonts w:cstheme="minorHAnsi"/>
          <w:color w:val="000000" w:themeColor="text1"/>
          <w:sz w:val="24"/>
          <w:szCs w:val="24"/>
          <w:lang w:val="en-US"/>
        </w:rPr>
        <w:t>The Residual Root Mean Square (RMR) indicates the fit of the theoretical model to the data as the difference between the two approaches zero.</w:t>
      </w:r>
    </w:p>
    <w:p w14:paraId="61DF30F1" w14:textId="77777777" w:rsidR="00532C7F" w:rsidRPr="00233381" w:rsidRDefault="00532C7F" w:rsidP="00AE7044">
      <w:pPr>
        <w:pStyle w:val="PargrafodaLista"/>
        <w:numPr>
          <w:ilvl w:val="0"/>
          <w:numId w:val="2"/>
        </w:numPr>
        <w:spacing w:after="0" w:line="360" w:lineRule="auto"/>
        <w:rPr>
          <w:rFonts w:cstheme="minorHAnsi"/>
          <w:color w:val="000000" w:themeColor="text1"/>
          <w:sz w:val="24"/>
          <w:szCs w:val="24"/>
          <w:lang w:val="en-US"/>
        </w:rPr>
      </w:pPr>
      <w:r w:rsidRPr="00233381">
        <w:rPr>
          <w:rFonts w:cstheme="minorHAnsi"/>
          <w:color w:val="000000" w:themeColor="text1"/>
          <w:sz w:val="24"/>
          <w:szCs w:val="24"/>
          <w:lang w:val="en-US"/>
        </w:rPr>
        <w:t>The Goodness-of-Fit Index (GFI) and the Adjusted Goodness-of-Fit Index (AGFI) are analogous to the R² in multiple regression and therefore indicate the proportion of variance-covariance in the data explained by the model. The values of these indicators range from 0 to 1, with values between 0.80 and 0.90, or higher, indicating a satisfactory fit.</w:t>
      </w:r>
    </w:p>
    <w:p w14:paraId="4A6578FF" w14:textId="77777777" w:rsidR="00532C7F" w:rsidRPr="00233381" w:rsidRDefault="00532C7F" w:rsidP="00AE7044">
      <w:pPr>
        <w:pStyle w:val="PargrafodaLista"/>
        <w:numPr>
          <w:ilvl w:val="0"/>
          <w:numId w:val="2"/>
        </w:numPr>
        <w:spacing w:after="0" w:line="360" w:lineRule="auto"/>
        <w:rPr>
          <w:rFonts w:cstheme="minorHAnsi"/>
          <w:color w:val="000000" w:themeColor="text1"/>
          <w:sz w:val="24"/>
          <w:szCs w:val="24"/>
          <w:lang w:val="en-US"/>
        </w:rPr>
      </w:pPr>
      <w:r w:rsidRPr="00233381">
        <w:rPr>
          <w:rFonts w:cstheme="minorHAnsi"/>
          <w:color w:val="000000" w:themeColor="text1"/>
          <w:sz w:val="24"/>
          <w:szCs w:val="24"/>
          <w:lang w:val="en-US"/>
        </w:rPr>
        <w:lastRenderedPageBreak/>
        <w:t>The Root-Mean-Square Error of Approximation (RMSEA) with its 90% confidence interval (CI90%) is considered an indicator of 'badness' of fit, i.e., high values indicate an unadjusted model. Ideally, the RMSEA should be between 0.05 and 0.08, with values up to 0.10 accepted.</w:t>
      </w:r>
    </w:p>
    <w:p w14:paraId="31DFBA9C" w14:textId="77777777" w:rsidR="00532C7F" w:rsidRPr="00233381" w:rsidRDefault="00532C7F" w:rsidP="00AE7044">
      <w:pPr>
        <w:pStyle w:val="PargrafodaLista"/>
        <w:numPr>
          <w:ilvl w:val="0"/>
          <w:numId w:val="2"/>
        </w:numPr>
        <w:spacing w:after="0" w:line="360" w:lineRule="auto"/>
        <w:rPr>
          <w:rFonts w:cstheme="minorHAnsi"/>
          <w:color w:val="000000" w:themeColor="text1"/>
          <w:sz w:val="24"/>
          <w:szCs w:val="24"/>
          <w:lang w:val="en-US"/>
        </w:rPr>
      </w:pPr>
      <w:r w:rsidRPr="00233381">
        <w:rPr>
          <w:rFonts w:cstheme="minorHAnsi"/>
          <w:color w:val="000000" w:themeColor="text1"/>
          <w:sz w:val="24"/>
          <w:szCs w:val="24"/>
          <w:lang w:val="en-US"/>
        </w:rPr>
        <w:t>The Comparative Fit Index (CFI) compares in a general way the estimated model to the null model, considering values closer to one as indicators of satisfactory fit.</w:t>
      </w:r>
    </w:p>
    <w:p w14:paraId="6F06C2B1" w14:textId="77777777" w:rsidR="00532C7F" w:rsidRPr="00233381" w:rsidRDefault="00532C7F" w:rsidP="00AE7044">
      <w:pPr>
        <w:pStyle w:val="PargrafodaLista"/>
        <w:numPr>
          <w:ilvl w:val="0"/>
          <w:numId w:val="2"/>
        </w:numPr>
        <w:spacing w:after="0" w:line="360" w:lineRule="auto"/>
        <w:rPr>
          <w:rFonts w:cstheme="minorHAnsi"/>
          <w:color w:val="000000" w:themeColor="text1"/>
          <w:sz w:val="24"/>
          <w:szCs w:val="24"/>
          <w:lang w:val="en-US"/>
        </w:rPr>
      </w:pPr>
      <w:r w:rsidRPr="00233381">
        <w:rPr>
          <w:rFonts w:cstheme="minorHAnsi"/>
          <w:color w:val="000000" w:themeColor="text1"/>
          <w:sz w:val="24"/>
          <w:szCs w:val="24"/>
          <w:lang w:val="en-US"/>
        </w:rPr>
        <w:t>The Expected Cross-Validation Index (ECVI) and the Consistent Akaike Information Criterion (CAIC) are indicators generally employed to assess the adequacy of a given model in relation to another. Low values of ECVI and CAIC express the model with the best fit.</w:t>
      </w:r>
    </w:p>
    <w:p w14:paraId="71680033" w14:textId="77777777" w:rsidR="00532C7F" w:rsidRPr="00233381" w:rsidRDefault="00532C7F" w:rsidP="00AE7044">
      <w:pPr>
        <w:spacing w:after="0" w:line="360" w:lineRule="auto"/>
        <w:ind w:firstLine="709"/>
        <w:rPr>
          <w:rFonts w:cstheme="minorHAnsi"/>
          <w:color w:val="000000" w:themeColor="text1"/>
          <w:sz w:val="24"/>
          <w:szCs w:val="24"/>
          <w:lang w:val="en-US"/>
        </w:rPr>
      </w:pPr>
      <w:r w:rsidRPr="00233381">
        <w:rPr>
          <w:rFonts w:cstheme="minorHAnsi"/>
          <w:color w:val="000000" w:themeColor="text1"/>
          <w:sz w:val="24"/>
          <w:szCs w:val="24"/>
          <w:lang w:val="en-US"/>
        </w:rPr>
        <w:t>Both composite reliability (CC) and mean extracted variance (MVE) were calculated, the former requiring a score above 0.70 and the latter a score above 0.50 (Hair et al., 2009). Finally, a paired samples t-test was carried out to assess the scores in the pairing of the dimensions of anxiety, depression, and stress.</w:t>
      </w:r>
    </w:p>
    <w:p w14:paraId="3DDCA721" w14:textId="77777777" w:rsidR="00532C7F" w:rsidRPr="00233381" w:rsidRDefault="00532C7F" w:rsidP="00AE7044">
      <w:pPr>
        <w:spacing w:after="0" w:line="360" w:lineRule="auto"/>
        <w:ind w:firstLine="709"/>
        <w:rPr>
          <w:rFonts w:cstheme="minorHAnsi"/>
          <w:color w:val="000000" w:themeColor="text1"/>
          <w:sz w:val="24"/>
          <w:szCs w:val="24"/>
          <w:lang w:val="en-US"/>
        </w:rPr>
      </w:pPr>
    </w:p>
    <w:p w14:paraId="5504678A" w14:textId="77777777" w:rsidR="00532C7F" w:rsidRPr="00233381" w:rsidRDefault="00532C7F" w:rsidP="00AE7044">
      <w:pPr>
        <w:spacing w:after="0" w:line="360" w:lineRule="auto"/>
        <w:jc w:val="center"/>
        <w:rPr>
          <w:rFonts w:cstheme="minorHAnsi"/>
          <w:b/>
          <w:bCs/>
          <w:sz w:val="24"/>
          <w:szCs w:val="24"/>
          <w:lang w:val="en-US"/>
        </w:rPr>
      </w:pPr>
      <w:r w:rsidRPr="00233381">
        <w:rPr>
          <w:rFonts w:cstheme="minorHAnsi"/>
          <w:b/>
          <w:bCs/>
          <w:sz w:val="24"/>
          <w:szCs w:val="24"/>
          <w:lang w:val="en-US"/>
        </w:rPr>
        <w:t>Results</w:t>
      </w:r>
    </w:p>
    <w:p w14:paraId="25050F12" w14:textId="77777777" w:rsidR="00532C7F" w:rsidRPr="00233381" w:rsidRDefault="00532C7F" w:rsidP="00AE7044">
      <w:pPr>
        <w:spacing w:after="0" w:line="360" w:lineRule="auto"/>
        <w:ind w:firstLine="709"/>
        <w:rPr>
          <w:rFonts w:cstheme="minorHAnsi"/>
          <w:sz w:val="24"/>
          <w:szCs w:val="24"/>
          <w:lang w:val="en-US"/>
        </w:rPr>
      </w:pPr>
      <w:r w:rsidRPr="00233381">
        <w:rPr>
          <w:rFonts w:cstheme="minorHAnsi"/>
          <w:sz w:val="24"/>
          <w:szCs w:val="24"/>
          <w:lang w:val="en-US"/>
        </w:rPr>
        <w:t xml:space="preserve">First, we assessed the quality of the sample collected. Missing data did not exceed 5% and the multicollinearity between the variables met the parameters (r ≤ 0.90) set by (Tabachnick &amp; Fidell, 2001), ranging from -0.17 to 0.73. Multivariate outliers in the sample, based on Kolmogorov-Smirnov (K-S) normality test, showed a normality (S-W = 0.92) of the sample with a p &lt; 0.27 (Nascimento et al., 2015). </w:t>
      </w:r>
    </w:p>
    <w:p w14:paraId="4E1FFBA2" w14:textId="77777777" w:rsidR="00532C7F" w:rsidRPr="00233381" w:rsidRDefault="00532C7F" w:rsidP="00AE7044">
      <w:pPr>
        <w:spacing w:after="0" w:line="360" w:lineRule="auto"/>
        <w:ind w:firstLine="709"/>
        <w:rPr>
          <w:rFonts w:cstheme="minorHAnsi"/>
          <w:sz w:val="24"/>
          <w:szCs w:val="24"/>
          <w:lang w:val="en-US"/>
        </w:rPr>
      </w:pPr>
      <w:r w:rsidRPr="00233381">
        <w:rPr>
          <w:rFonts w:cstheme="minorHAnsi"/>
          <w:sz w:val="24"/>
          <w:szCs w:val="24"/>
          <w:lang w:val="en-US"/>
        </w:rPr>
        <w:t>Next, we verified the factor structure of the DASS-21 in the sample of 474 LGBTQ+ Brazilians. We assessed the factor organization with reference to the findings of previous studies (</w:t>
      </w:r>
      <w:proofErr w:type="spellStart"/>
      <w:r w:rsidRPr="00233381">
        <w:rPr>
          <w:rFonts w:cstheme="minorHAnsi"/>
          <w:sz w:val="24"/>
          <w:szCs w:val="24"/>
          <w:lang w:val="en-US"/>
        </w:rPr>
        <w:t>Formiga</w:t>
      </w:r>
      <w:proofErr w:type="spellEnd"/>
      <w:r w:rsidRPr="00233381">
        <w:rPr>
          <w:rFonts w:cstheme="minorHAnsi"/>
          <w:sz w:val="24"/>
          <w:szCs w:val="24"/>
          <w:lang w:val="en-US"/>
        </w:rPr>
        <w:t xml:space="preserve"> et al., 2021; P. F. Lovibond &amp; Lovibond, 1995; </w:t>
      </w:r>
      <w:proofErr w:type="spellStart"/>
      <w:r w:rsidRPr="00233381">
        <w:rPr>
          <w:rFonts w:cstheme="minorHAnsi"/>
          <w:sz w:val="24"/>
          <w:szCs w:val="24"/>
          <w:lang w:val="en-US"/>
        </w:rPr>
        <w:t>Patias</w:t>
      </w:r>
      <w:proofErr w:type="spellEnd"/>
      <w:r w:rsidRPr="00233381">
        <w:rPr>
          <w:rFonts w:cstheme="minorHAnsi"/>
          <w:sz w:val="24"/>
          <w:szCs w:val="24"/>
          <w:lang w:val="en-US"/>
        </w:rPr>
        <w:t xml:space="preserve"> et al., 2016; Vignola &amp; Tucci, 2014), which considered different samples, and found that the three-factor model was maintained. To ensure the quality of the measure, we generated both the proposed model (adjusted oblique trifactor model) and comparative models (one-factor and orthogonal), in which the factors are unrelated. We found that statistical indicators were better for the adjusted oblique trifactor model, especially when compared to the other models (see Table 1).</w:t>
      </w:r>
    </w:p>
    <w:p w14:paraId="3C054461" w14:textId="77777777" w:rsidR="00532C7F" w:rsidRDefault="00532C7F" w:rsidP="00AE7044">
      <w:pPr>
        <w:spacing w:after="0" w:line="360" w:lineRule="auto"/>
        <w:rPr>
          <w:rFonts w:cstheme="minorHAnsi"/>
          <w:sz w:val="24"/>
          <w:szCs w:val="24"/>
          <w:lang w:val="en-US"/>
        </w:rPr>
      </w:pPr>
    </w:p>
    <w:p w14:paraId="786239DE" w14:textId="77777777" w:rsidR="00A553E4" w:rsidRPr="00233381" w:rsidRDefault="00A553E4" w:rsidP="00AE7044">
      <w:pPr>
        <w:spacing w:after="0" w:line="360" w:lineRule="auto"/>
        <w:rPr>
          <w:rFonts w:cstheme="minorHAnsi"/>
          <w:sz w:val="24"/>
          <w:szCs w:val="24"/>
          <w:lang w:val="en-US"/>
        </w:rPr>
      </w:pPr>
    </w:p>
    <w:p w14:paraId="311CFE81" w14:textId="77777777" w:rsidR="00532C7F" w:rsidRPr="00233381" w:rsidRDefault="00532C7F" w:rsidP="00AE7044">
      <w:pPr>
        <w:spacing w:after="0" w:line="360" w:lineRule="auto"/>
        <w:jc w:val="both"/>
        <w:rPr>
          <w:rFonts w:cstheme="minorHAnsi"/>
          <w:b/>
          <w:bCs/>
          <w:sz w:val="24"/>
          <w:szCs w:val="24"/>
          <w:lang w:val="en-US"/>
        </w:rPr>
      </w:pPr>
      <w:r w:rsidRPr="00233381">
        <w:rPr>
          <w:rFonts w:cstheme="minorHAnsi"/>
          <w:b/>
          <w:bCs/>
          <w:sz w:val="24"/>
          <w:szCs w:val="24"/>
          <w:lang w:val="en-US"/>
        </w:rPr>
        <w:lastRenderedPageBreak/>
        <w:t>Table 1</w:t>
      </w:r>
    </w:p>
    <w:p w14:paraId="405C565B" w14:textId="77777777" w:rsidR="00532C7F" w:rsidRPr="00233381" w:rsidRDefault="00532C7F" w:rsidP="00AE7044">
      <w:pPr>
        <w:spacing w:after="0" w:line="360" w:lineRule="auto"/>
        <w:jc w:val="both"/>
        <w:rPr>
          <w:rFonts w:cstheme="minorHAnsi"/>
          <w:i/>
          <w:iCs/>
          <w:sz w:val="24"/>
          <w:szCs w:val="24"/>
          <w:lang w:val="en-US"/>
        </w:rPr>
      </w:pPr>
      <w:r w:rsidRPr="00233381">
        <w:rPr>
          <w:rFonts w:cstheme="minorHAnsi"/>
          <w:i/>
          <w:iCs/>
          <w:sz w:val="24"/>
          <w:szCs w:val="24"/>
          <w:lang w:val="en-US"/>
        </w:rPr>
        <w:t>DASS-21 Psychometric Indicators of Factor Structure Comparison</w:t>
      </w:r>
    </w:p>
    <w:tbl>
      <w:tblPr>
        <w:tblW w:w="8647" w:type="dxa"/>
        <w:tblInd w:w="-142" w:type="dxa"/>
        <w:tblLook w:val="04A0" w:firstRow="1" w:lastRow="0" w:firstColumn="1" w:lastColumn="0" w:noHBand="0" w:noVBand="1"/>
      </w:tblPr>
      <w:tblGrid>
        <w:gridCol w:w="1326"/>
        <w:gridCol w:w="642"/>
        <w:gridCol w:w="682"/>
        <w:gridCol w:w="654"/>
        <w:gridCol w:w="679"/>
        <w:gridCol w:w="714"/>
        <w:gridCol w:w="642"/>
        <w:gridCol w:w="1150"/>
        <w:gridCol w:w="1007"/>
        <w:gridCol w:w="1151"/>
      </w:tblGrid>
      <w:tr w:rsidR="00532C7F" w:rsidRPr="00233381" w14:paraId="649293E5" w14:textId="77777777" w:rsidTr="00357467">
        <w:trPr>
          <w:trHeight w:val="606"/>
        </w:trPr>
        <w:tc>
          <w:tcPr>
            <w:tcW w:w="1261" w:type="dxa"/>
            <w:tcBorders>
              <w:top w:val="single" w:sz="4" w:space="0" w:color="auto"/>
              <w:bottom w:val="single" w:sz="4" w:space="0" w:color="auto"/>
            </w:tcBorders>
          </w:tcPr>
          <w:p w14:paraId="3169C371" w14:textId="77777777" w:rsidR="00532C7F" w:rsidRPr="00233381" w:rsidRDefault="00532C7F" w:rsidP="00A553E4">
            <w:pPr>
              <w:spacing w:after="0" w:line="240" w:lineRule="auto"/>
              <w:jc w:val="both"/>
              <w:rPr>
                <w:rFonts w:cstheme="minorHAnsi"/>
                <w:bCs/>
                <w:color w:val="000000" w:themeColor="text1"/>
                <w:sz w:val="24"/>
                <w:szCs w:val="24"/>
                <w:lang w:val="en-US"/>
              </w:rPr>
            </w:pPr>
          </w:p>
          <w:p w14:paraId="417B8C7C" w14:textId="77777777" w:rsidR="00532C7F" w:rsidRPr="00233381" w:rsidRDefault="00532C7F" w:rsidP="00A553E4">
            <w:pPr>
              <w:spacing w:after="0" w:line="240" w:lineRule="auto"/>
              <w:jc w:val="both"/>
              <w:rPr>
                <w:rFonts w:cstheme="minorHAnsi"/>
                <w:bCs/>
                <w:color w:val="000000" w:themeColor="text1"/>
                <w:sz w:val="24"/>
                <w:szCs w:val="24"/>
                <w:lang w:val="en-US"/>
              </w:rPr>
            </w:pPr>
            <w:r w:rsidRPr="00233381">
              <w:rPr>
                <w:rFonts w:cstheme="minorHAnsi"/>
                <w:bCs/>
                <w:color w:val="000000" w:themeColor="text1"/>
                <w:sz w:val="24"/>
                <w:szCs w:val="24"/>
                <w:lang w:val="en-US"/>
              </w:rPr>
              <w:t>Models</w:t>
            </w:r>
          </w:p>
        </w:tc>
        <w:tc>
          <w:tcPr>
            <w:tcW w:w="2620" w:type="dxa"/>
            <w:gridSpan w:val="4"/>
            <w:tcBorders>
              <w:top w:val="single" w:sz="4" w:space="0" w:color="auto"/>
              <w:bottom w:val="single" w:sz="4" w:space="0" w:color="auto"/>
            </w:tcBorders>
          </w:tcPr>
          <w:p w14:paraId="3BC940FF"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 xml:space="preserve">Absolute Fit </w:t>
            </w:r>
          </w:p>
          <w:p w14:paraId="32CF4935"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Measures</w:t>
            </w:r>
          </w:p>
        </w:tc>
        <w:tc>
          <w:tcPr>
            <w:tcW w:w="2614" w:type="dxa"/>
            <w:gridSpan w:val="3"/>
            <w:tcBorders>
              <w:top w:val="single" w:sz="4" w:space="0" w:color="auto"/>
              <w:bottom w:val="single" w:sz="4" w:space="0" w:color="auto"/>
            </w:tcBorders>
          </w:tcPr>
          <w:p w14:paraId="55385689"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 xml:space="preserve">Incremental Adjustment </w:t>
            </w:r>
          </w:p>
          <w:p w14:paraId="6D5CAF44"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Measures</w:t>
            </w:r>
          </w:p>
        </w:tc>
        <w:tc>
          <w:tcPr>
            <w:tcW w:w="2152" w:type="dxa"/>
            <w:gridSpan w:val="2"/>
            <w:tcBorders>
              <w:top w:val="single" w:sz="4" w:space="0" w:color="auto"/>
              <w:bottom w:val="single" w:sz="4" w:space="0" w:color="auto"/>
            </w:tcBorders>
          </w:tcPr>
          <w:p w14:paraId="17BCBA51"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 xml:space="preserve">Parsimony-Adjusted </w:t>
            </w:r>
          </w:p>
          <w:p w14:paraId="3E447D95"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Measures</w:t>
            </w:r>
          </w:p>
        </w:tc>
      </w:tr>
      <w:tr w:rsidR="00532C7F" w:rsidRPr="00233381" w14:paraId="2CB55722" w14:textId="77777777" w:rsidTr="00357467">
        <w:trPr>
          <w:trHeight w:val="806"/>
        </w:trPr>
        <w:tc>
          <w:tcPr>
            <w:tcW w:w="1261" w:type="dxa"/>
            <w:tcBorders>
              <w:top w:val="single" w:sz="4" w:space="0" w:color="auto"/>
            </w:tcBorders>
          </w:tcPr>
          <w:p w14:paraId="66409F11" w14:textId="77777777" w:rsidR="00532C7F" w:rsidRPr="00233381" w:rsidRDefault="00532C7F" w:rsidP="00A553E4">
            <w:pPr>
              <w:spacing w:after="0" w:line="240" w:lineRule="auto"/>
              <w:jc w:val="both"/>
              <w:rPr>
                <w:rFonts w:cstheme="minorHAnsi"/>
                <w:bCs/>
                <w:color w:val="000000" w:themeColor="text1"/>
                <w:sz w:val="24"/>
                <w:szCs w:val="24"/>
                <w:lang w:val="en-US"/>
              </w:rPr>
            </w:pPr>
          </w:p>
        </w:tc>
        <w:tc>
          <w:tcPr>
            <w:tcW w:w="607" w:type="dxa"/>
            <w:tcBorders>
              <w:top w:val="single" w:sz="4" w:space="0" w:color="auto"/>
            </w:tcBorders>
          </w:tcPr>
          <w:p w14:paraId="58233813" w14:textId="77777777" w:rsidR="00532C7F" w:rsidRPr="00233381" w:rsidRDefault="00532C7F" w:rsidP="00A553E4">
            <w:pPr>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χ²/</w:t>
            </w:r>
            <w:proofErr w:type="spellStart"/>
            <w:r w:rsidRPr="00233381">
              <w:rPr>
                <w:rFonts w:cstheme="minorHAnsi"/>
                <w:bCs/>
                <w:color w:val="000000" w:themeColor="text1"/>
                <w:sz w:val="24"/>
                <w:szCs w:val="24"/>
                <w:lang w:val="en-US"/>
              </w:rPr>
              <w:t>gl</w:t>
            </w:r>
            <w:proofErr w:type="spellEnd"/>
          </w:p>
        </w:tc>
        <w:tc>
          <w:tcPr>
            <w:tcW w:w="660" w:type="dxa"/>
            <w:tcBorders>
              <w:top w:val="single" w:sz="4" w:space="0" w:color="auto"/>
            </w:tcBorders>
          </w:tcPr>
          <w:p w14:paraId="5A2B1621" w14:textId="77777777" w:rsidR="00532C7F" w:rsidRPr="00233381" w:rsidRDefault="00532C7F" w:rsidP="00A553E4">
            <w:pPr>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RMR</w:t>
            </w:r>
          </w:p>
        </w:tc>
        <w:tc>
          <w:tcPr>
            <w:tcW w:w="671" w:type="dxa"/>
            <w:tcBorders>
              <w:top w:val="single" w:sz="4" w:space="0" w:color="auto"/>
            </w:tcBorders>
          </w:tcPr>
          <w:p w14:paraId="41FCD90A" w14:textId="77777777" w:rsidR="00532C7F" w:rsidRPr="00233381" w:rsidRDefault="00532C7F" w:rsidP="00A553E4">
            <w:pPr>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GFI</w:t>
            </w:r>
          </w:p>
        </w:tc>
        <w:tc>
          <w:tcPr>
            <w:tcW w:w="682" w:type="dxa"/>
            <w:tcBorders>
              <w:top w:val="single" w:sz="4" w:space="0" w:color="auto"/>
              <w:right w:val="single" w:sz="4" w:space="0" w:color="auto"/>
            </w:tcBorders>
          </w:tcPr>
          <w:p w14:paraId="1C1F2170" w14:textId="77777777" w:rsidR="00532C7F" w:rsidRPr="00233381" w:rsidRDefault="00532C7F" w:rsidP="00A553E4">
            <w:pPr>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AGFI</w:t>
            </w:r>
          </w:p>
        </w:tc>
        <w:tc>
          <w:tcPr>
            <w:tcW w:w="798" w:type="dxa"/>
            <w:tcBorders>
              <w:top w:val="single" w:sz="4" w:space="0" w:color="auto"/>
              <w:left w:val="single" w:sz="4" w:space="0" w:color="auto"/>
            </w:tcBorders>
          </w:tcPr>
          <w:p w14:paraId="71528021" w14:textId="77777777" w:rsidR="00532C7F" w:rsidRPr="00233381" w:rsidRDefault="00532C7F" w:rsidP="00A553E4">
            <w:pPr>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CFI</w:t>
            </w:r>
          </w:p>
        </w:tc>
        <w:tc>
          <w:tcPr>
            <w:tcW w:w="0" w:type="auto"/>
            <w:tcBorders>
              <w:top w:val="single" w:sz="4" w:space="0" w:color="auto"/>
            </w:tcBorders>
          </w:tcPr>
          <w:p w14:paraId="050A65E8" w14:textId="77777777" w:rsidR="00532C7F" w:rsidRPr="00233381" w:rsidRDefault="00532C7F" w:rsidP="00A553E4">
            <w:pPr>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TLI</w:t>
            </w:r>
          </w:p>
        </w:tc>
        <w:tc>
          <w:tcPr>
            <w:tcW w:w="1209" w:type="dxa"/>
            <w:tcBorders>
              <w:top w:val="single" w:sz="4" w:space="0" w:color="auto"/>
              <w:right w:val="single" w:sz="4" w:space="0" w:color="auto"/>
            </w:tcBorders>
          </w:tcPr>
          <w:p w14:paraId="7AF428C1" w14:textId="77777777" w:rsidR="00532C7F" w:rsidRPr="00233381" w:rsidRDefault="00532C7F" w:rsidP="00A553E4">
            <w:pPr>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RMSEA (interval)</w:t>
            </w:r>
          </w:p>
        </w:tc>
        <w:tc>
          <w:tcPr>
            <w:tcW w:w="941" w:type="dxa"/>
            <w:tcBorders>
              <w:top w:val="single" w:sz="4" w:space="0" w:color="auto"/>
              <w:left w:val="single" w:sz="4" w:space="0" w:color="auto"/>
            </w:tcBorders>
          </w:tcPr>
          <w:p w14:paraId="03CC6C27" w14:textId="77777777" w:rsidR="00532C7F" w:rsidRPr="00233381" w:rsidRDefault="00532C7F" w:rsidP="00A553E4">
            <w:pPr>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CAIC</w:t>
            </w:r>
          </w:p>
        </w:tc>
        <w:tc>
          <w:tcPr>
            <w:tcW w:w="1211" w:type="dxa"/>
            <w:tcBorders>
              <w:top w:val="single" w:sz="4" w:space="0" w:color="auto"/>
            </w:tcBorders>
          </w:tcPr>
          <w:p w14:paraId="545DC758" w14:textId="77777777" w:rsidR="00532C7F" w:rsidRPr="00233381" w:rsidRDefault="00532C7F" w:rsidP="00A553E4">
            <w:pPr>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ECVI (interval)</w:t>
            </w:r>
          </w:p>
        </w:tc>
      </w:tr>
      <w:tr w:rsidR="00532C7F" w:rsidRPr="00233381" w14:paraId="08A99BEF" w14:textId="77777777" w:rsidTr="00357467">
        <w:trPr>
          <w:trHeight w:val="806"/>
        </w:trPr>
        <w:tc>
          <w:tcPr>
            <w:tcW w:w="1261" w:type="dxa"/>
          </w:tcPr>
          <w:p w14:paraId="43DC76DD" w14:textId="77777777" w:rsidR="00532C7F" w:rsidRPr="00233381" w:rsidRDefault="00532C7F" w:rsidP="00A553E4">
            <w:pPr>
              <w:widowControl w:val="0"/>
              <w:spacing w:after="0" w:line="240" w:lineRule="auto"/>
              <w:jc w:val="both"/>
              <w:rPr>
                <w:rFonts w:cstheme="minorHAnsi"/>
                <w:bCs/>
                <w:color w:val="000000" w:themeColor="text1"/>
                <w:sz w:val="24"/>
                <w:szCs w:val="24"/>
                <w:lang w:val="en-US"/>
              </w:rPr>
            </w:pPr>
            <w:r w:rsidRPr="00233381">
              <w:rPr>
                <w:rFonts w:cstheme="minorHAnsi"/>
                <w:bCs/>
                <w:color w:val="000000" w:themeColor="text1"/>
                <w:sz w:val="24"/>
                <w:szCs w:val="24"/>
                <w:lang w:val="en-US"/>
              </w:rPr>
              <w:t>One-factor</w:t>
            </w:r>
          </w:p>
        </w:tc>
        <w:tc>
          <w:tcPr>
            <w:tcW w:w="607" w:type="dxa"/>
          </w:tcPr>
          <w:p w14:paraId="7BC8C902"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2.93</w:t>
            </w:r>
          </w:p>
        </w:tc>
        <w:tc>
          <w:tcPr>
            <w:tcW w:w="660" w:type="dxa"/>
          </w:tcPr>
          <w:p w14:paraId="60D451ED"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0.07</w:t>
            </w:r>
          </w:p>
        </w:tc>
        <w:tc>
          <w:tcPr>
            <w:tcW w:w="671" w:type="dxa"/>
          </w:tcPr>
          <w:p w14:paraId="4C57E935"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0.79</w:t>
            </w:r>
          </w:p>
        </w:tc>
        <w:tc>
          <w:tcPr>
            <w:tcW w:w="682" w:type="dxa"/>
            <w:tcBorders>
              <w:right w:val="single" w:sz="4" w:space="0" w:color="auto"/>
            </w:tcBorders>
          </w:tcPr>
          <w:p w14:paraId="639A769C"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0.71</w:t>
            </w:r>
          </w:p>
        </w:tc>
        <w:tc>
          <w:tcPr>
            <w:tcW w:w="798" w:type="dxa"/>
            <w:tcBorders>
              <w:left w:val="single" w:sz="4" w:space="0" w:color="auto"/>
            </w:tcBorders>
          </w:tcPr>
          <w:p w14:paraId="37C52F24"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0.90</w:t>
            </w:r>
          </w:p>
        </w:tc>
        <w:tc>
          <w:tcPr>
            <w:tcW w:w="0" w:type="auto"/>
          </w:tcPr>
          <w:p w14:paraId="22AE4435"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0.88</w:t>
            </w:r>
          </w:p>
        </w:tc>
        <w:tc>
          <w:tcPr>
            <w:tcW w:w="1209" w:type="dxa"/>
            <w:tcBorders>
              <w:right w:val="single" w:sz="4" w:space="0" w:color="auto"/>
            </w:tcBorders>
          </w:tcPr>
          <w:p w14:paraId="127B6DB6"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0.09</w:t>
            </w:r>
          </w:p>
          <w:p w14:paraId="242CAB65"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(0.08-0.10)</w:t>
            </w:r>
          </w:p>
        </w:tc>
        <w:tc>
          <w:tcPr>
            <w:tcW w:w="941" w:type="dxa"/>
            <w:tcBorders>
              <w:left w:val="single" w:sz="4" w:space="0" w:color="auto"/>
            </w:tcBorders>
          </w:tcPr>
          <w:p w14:paraId="60B81815"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897.80</w:t>
            </w:r>
          </w:p>
        </w:tc>
        <w:tc>
          <w:tcPr>
            <w:tcW w:w="1211" w:type="dxa"/>
          </w:tcPr>
          <w:p w14:paraId="1180C808"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2.70</w:t>
            </w:r>
          </w:p>
          <w:p w14:paraId="14868BB0"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(2.43-3.01)</w:t>
            </w:r>
          </w:p>
        </w:tc>
      </w:tr>
      <w:tr w:rsidR="00532C7F" w:rsidRPr="00233381" w14:paraId="2D2341C6" w14:textId="77777777" w:rsidTr="00357467">
        <w:trPr>
          <w:trHeight w:val="806"/>
        </w:trPr>
        <w:tc>
          <w:tcPr>
            <w:tcW w:w="1261" w:type="dxa"/>
          </w:tcPr>
          <w:p w14:paraId="6DCFCDC1" w14:textId="77777777" w:rsidR="00532C7F" w:rsidRPr="00233381" w:rsidRDefault="00532C7F" w:rsidP="00A553E4">
            <w:pPr>
              <w:widowControl w:val="0"/>
              <w:spacing w:after="0" w:line="240" w:lineRule="auto"/>
              <w:jc w:val="both"/>
              <w:rPr>
                <w:rFonts w:cstheme="minorHAnsi"/>
                <w:bCs/>
                <w:color w:val="000000" w:themeColor="text1"/>
                <w:sz w:val="24"/>
                <w:szCs w:val="24"/>
                <w:lang w:val="en-US"/>
              </w:rPr>
            </w:pPr>
            <w:r w:rsidRPr="00233381">
              <w:rPr>
                <w:rFonts w:cstheme="minorHAnsi"/>
                <w:bCs/>
                <w:color w:val="000000" w:themeColor="text1"/>
                <w:sz w:val="24"/>
                <w:szCs w:val="24"/>
                <w:lang w:val="en-US"/>
              </w:rPr>
              <w:t>Orthogonal</w:t>
            </w:r>
          </w:p>
        </w:tc>
        <w:tc>
          <w:tcPr>
            <w:tcW w:w="607" w:type="dxa"/>
          </w:tcPr>
          <w:p w14:paraId="58154C37"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4.30</w:t>
            </w:r>
          </w:p>
        </w:tc>
        <w:tc>
          <w:tcPr>
            <w:tcW w:w="660" w:type="dxa"/>
          </w:tcPr>
          <w:p w14:paraId="4419B16C"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0.39</w:t>
            </w:r>
          </w:p>
        </w:tc>
        <w:tc>
          <w:tcPr>
            <w:tcW w:w="671" w:type="dxa"/>
          </w:tcPr>
          <w:p w14:paraId="28B8551A"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0.80</w:t>
            </w:r>
          </w:p>
        </w:tc>
        <w:tc>
          <w:tcPr>
            <w:tcW w:w="682" w:type="dxa"/>
            <w:tcBorders>
              <w:right w:val="single" w:sz="4" w:space="0" w:color="auto"/>
            </w:tcBorders>
          </w:tcPr>
          <w:p w14:paraId="42A58A41"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0.72</w:t>
            </w:r>
          </w:p>
        </w:tc>
        <w:tc>
          <w:tcPr>
            <w:tcW w:w="798" w:type="dxa"/>
            <w:tcBorders>
              <w:left w:val="single" w:sz="4" w:space="0" w:color="auto"/>
            </w:tcBorders>
          </w:tcPr>
          <w:p w14:paraId="63B5C836"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0.84</w:t>
            </w:r>
          </w:p>
        </w:tc>
        <w:tc>
          <w:tcPr>
            <w:tcW w:w="0" w:type="auto"/>
          </w:tcPr>
          <w:p w14:paraId="4FCEAF56"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0.79</w:t>
            </w:r>
          </w:p>
        </w:tc>
        <w:tc>
          <w:tcPr>
            <w:tcW w:w="1209" w:type="dxa"/>
            <w:tcBorders>
              <w:right w:val="single" w:sz="4" w:space="0" w:color="auto"/>
            </w:tcBorders>
          </w:tcPr>
          <w:p w14:paraId="4729496A"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0.12</w:t>
            </w:r>
          </w:p>
          <w:p w14:paraId="15F232D0"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(0.11-0.13)</w:t>
            </w:r>
          </w:p>
        </w:tc>
        <w:tc>
          <w:tcPr>
            <w:tcW w:w="941" w:type="dxa"/>
            <w:tcBorders>
              <w:left w:val="single" w:sz="4" w:space="0" w:color="auto"/>
            </w:tcBorders>
          </w:tcPr>
          <w:p w14:paraId="07941E19"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1124.46</w:t>
            </w:r>
          </w:p>
        </w:tc>
        <w:tc>
          <w:tcPr>
            <w:tcW w:w="1211" w:type="dxa"/>
          </w:tcPr>
          <w:p w14:paraId="585351F7"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3.69</w:t>
            </w:r>
          </w:p>
          <w:p w14:paraId="0F7C4301"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(3.34-4.07)</w:t>
            </w:r>
          </w:p>
        </w:tc>
      </w:tr>
      <w:tr w:rsidR="00532C7F" w:rsidRPr="00233381" w14:paraId="61EF3A3E" w14:textId="77777777" w:rsidTr="00357467">
        <w:trPr>
          <w:trHeight w:val="806"/>
        </w:trPr>
        <w:tc>
          <w:tcPr>
            <w:tcW w:w="1261" w:type="dxa"/>
            <w:tcBorders>
              <w:bottom w:val="single" w:sz="4" w:space="0" w:color="auto"/>
            </w:tcBorders>
          </w:tcPr>
          <w:p w14:paraId="3C9F1C8D" w14:textId="77777777" w:rsidR="00532C7F" w:rsidRPr="00233381" w:rsidRDefault="00532C7F" w:rsidP="00A553E4">
            <w:pPr>
              <w:widowControl w:val="0"/>
              <w:spacing w:after="0" w:line="240" w:lineRule="auto"/>
              <w:jc w:val="both"/>
              <w:rPr>
                <w:rFonts w:cstheme="minorHAnsi"/>
                <w:bCs/>
                <w:color w:val="000000" w:themeColor="text1"/>
                <w:sz w:val="24"/>
                <w:szCs w:val="24"/>
                <w:lang w:val="en-US"/>
              </w:rPr>
            </w:pPr>
            <w:r w:rsidRPr="00233381">
              <w:rPr>
                <w:rFonts w:cstheme="minorHAnsi"/>
                <w:bCs/>
                <w:color w:val="000000" w:themeColor="text1"/>
                <w:sz w:val="24"/>
                <w:szCs w:val="24"/>
                <w:lang w:val="en-US"/>
              </w:rPr>
              <w:t>Adjusted Oblique Trifactor</w:t>
            </w:r>
          </w:p>
        </w:tc>
        <w:tc>
          <w:tcPr>
            <w:tcW w:w="607" w:type="dxa"/>
            <w:tcBorders>
              <w:bottom w:val="single" w:sz="4" w:space="0" w:color="auto"/>
            </w:tcBorders>
          </w:tcPr>
          <w:p w14:paraId="3F171BF9"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1.92</w:t>
            </w:r>
          </w:p>
        </w:tc>
        <w:tc>
          <w:tcPr>
            <w:tcW w:w="660" w:type="dxa"/>
            <w:tcBorders>
              <w:bottom w:val="single" w:sz="4" w:space="0" w:color="auto"/>
            </w:tcBorders>
          </w:tcPr>
          <w:p w14:paraId="7498F59F"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0.04</w:t>
            </w:r>
          </w:p>
        </w:tc>
        <w:tc>
          <w:tcPr>
            <w:tcW w:w="671" w:type="dxa"/>
            <w:tcBorders>
              <w:bottom w:val="single" w:sz="4" w:space="0" w:color="auto"/>
            </w:tcBorders>
          </w:tcPr>
          <w:p w14:paraId="2B13D09F"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0.94</w:t>
            </w:r>
          </w:p>
        </w:tc>
        <w:tc>
          <w:tcPr>
            <w:tcW w:w="682" w:type="dxa"/>
            <w:tcBorders>
              <w:bottom w:val="single" w:sz="4" w:space="0" w:color="auto"/>
              <w:right w:val="single" w:sz="4" w:space="0" w:color="auto"/>
            </w:tcBorders>
          </w:tcPr>
          <w:p w14:paraId="323720FB"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0.92</w:t>
            </w:r>
          </w:p>
        </w:tc>
        <w:tc>
          <w:tcPr>
            <w:tcW w:w="798" w:type="dxa"/>
            <w:tcBorders>
              <w:left w:val="single" w:sz="4" w:space="0" w:color="auto"/>
              <w:bottom w:val="single" w:sz="4" w:space="0" w:color="auto"/>
            </w:tcBorders>
          </w:tcPr>
          <w:p w14:paraId="07F90006"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0.99</w:t>
            </w:r>
          </w:p>
        </w:tc>
        <w:tc>
          <w:tcPr>
            <w:tcW w:w="0" w:type="auto"/>
            <w:tcBorders>
              <w:bottom w:val="single" w:sz="4" w:space="0" w:color="auto"/>
            </w:tcBorders>
          </w:tcPr>
          <w:p w14:paraId="76829A8D"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0.99</w:t>
            </w:r>
          </w:p>
        </w:tc>
        <w:tc>
          <w:tcPr>
            <w:tcW w:w="1209" w:type="dxa"/>
            <w:tcBorders>
              <w:bottom w:val="single" w:sz="4" w:space="0" w:color="auto"/>
              <w:right w:val="single" w:sz="4" w:space="0" w:color="auto"/>
            </w:tcBorders>
          </w:tcPr>
          <w:p w14:paraId="0B701228"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0.04</w:t>
            </w:r>
          </w:p>
          <w:p w14:paraId="6575309E"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(0.04-0.05)</w:t>
            </w:r>
          </w:p>
        </w:tc>
        <w:tc>
          <w:tcPr>
            <w:tcW w:w="941" w:type="dxa"/>
            <w:tcBorders>
              <w:left w:val="single" w:sz="4" w:space="0" w:color="auto"/>
              <w:bottom w:val="single" w:sz="4" w:space="0" w:color="auto"/>
            </w:tcBorders>
          </w:tcPr>
          <w:p w14:paraId="5BD6FE0E"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766.59</w:t>
            </w:r>
          </w:p>
        </w:tc>
        <w:tc>
          <w:tcPr>
            <w:tcW w:w="1211" w:type="dxa"/>
            <w:tcBorders>
              <w:bottom w:val="single" w:sz="4" w:space="0" w:color="auto"/>
            </w:tcBorders>
          </w:tcPr>
          <w:p w14:paraId="61DD4510"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0.97</w:t>
            </w:r>
          </w:p>
          <w:p w14:paraId="00AF58D3" w14:textId="77777777" w:rsidR="00532C7F" w:rsidRPr="00233381" w:rsidRDefault="00532C7F" w:rsidP="00A553E4">
            <w:pPr>
              <w:widowControl w:val="0"/>
              <w:spacing w:after="0" w:line="240" w:lineRule="auto"/>
              <w:jc w:val="center"/>
              <w:rPr>
                <w:rFonts w:cstheme="minorHAnsi"/>
                <w:bCs/>
                <w:color w:val="000000" w:themeColor="text1"/>
                <w:sz w:val="24"/>
                <w:szCs w:val="24"/>
                <w:lang w:val="en-US"/>
              </w:rPr>
            </w:pPr>
            <w:r w:rsidRPr="00233381">
              <w:rPr>
                <w:rFonts w:cstheme="minorHAnsi"/>
                <w:bCs/>
                <w:color w:val="000000" w:themeColor="text1"/>
                <w:sz w:val="24"/>
                <w:szCs w:val="24"/>
                <w:lang w:val="en-US"/>
              </w:rPr>
              <w:t>(0.87-1.09)</w:t>
            </w:r>
          </w:p>
        </w:tc>
      </w:tr>
    </w:tbl>
    <w:p w14:paraId="319A4114" w14:textId="77777777" w:rsidR="00532C7F" w:rsidRPr="00233381" w:rsidRDefault="00532C7F" w:rsidP="00AE7044">
      <w:pPr>
        <w:spacing w:after="0" w:line="360" w:lineRule="auto"/>
        <w:rPr>
          <w:rFonts w:cstheme="minorHAnsi"/>
          <w:sz w:val="24"/>
          <w:szCs w:val="24"/>
          <w:lang w:val="en-US"/>
        </w:rPr>
      </w:pPr>
    </w:p>
    <w:p w14:paraId="05BF786E" w14:textId="77777777" w:rsidR="00532C7F" w:rsidRPr="00233381" w:rsidRDefault="00532C7F" w:rsidP="00AE7044">
      <w:pPr>
        <w:spacing w:after="0" w:line="360" w:lineRule="auto"/>
        <w:ind w:firstLine="709"/>
        <w:rPr>
          <w:rFonts w:cstheme="minorHAnsi"/>
          <w:sz w:val="24"/>
          <w:szCs w:val="24"/>
          <w:lang w:val="en-US"/>
        </w:rPr>
      </w:pPr>
      <w:r w:rsidRPr="00233381">
        <w:rPr>
          <w:rFonts w:cstheme="minorHAnsi"/>
          <w:sz w:val="24"/>
          <w:szCs w:val="24"/>
          <w:lang w:val="en-US"/>
        </w:rPr>
        <w:t>With the aim of proposing a parsimonious evaluation of the factorial model tested, the AIC, BIC and BCC indicators were verified, which accompany the CAIC and ECVI, responsible for assessing the suitability of the intended model, especially when it comes to comparing factorial structures (</w:t>
      </w:r>
      <w:proofErr w:type="spellStart"/>
      <w:r w:rsidRPr="00233381">
        <w:rPr>
          <w:rFonts w:cstheme="minorHAnsi"/>
          <w:sz w:val="24"/>
          <w:szCs w:val="24"/>
          <w:lang w:val="en-US"/>
        </w:rPr>
        <w:t>Marôco</w:t>
      </w:r>
      <w:proofErr w:type="spellEnd"/>
      <w:r w:rsidRPr="00233381">
        <w:rPr>
          <w:rFonts w:cstheme="minorHAnsi"/>
          <w:sz w:val="24"/>
          <w:szCs w:val="24"/>
          <w:lang w:val="en-US"/>
        </w:rPr>
        <w:t xml:space="preserve">, 2014). The model has been proven without exaggerated adjustment associations. Table 2 highlights the indicators of the adjusted oblique trifactor model as the best proposed measurement for DASS-21. This means that this model was theoretically and empirically supported and serves as a reliable measure of symptoms of depression, </w:t>
      </w:r>
      <w:proofErr w:type="gramStart"/>
      <w:r w:rsidRPr="00233381">
        <w:rPr>
          <w:rFonts w:cstheme="minorHAnsi"/>
          <w:sz w:val="24"/>
          <w:szCs w:val="24"/>
          <w:lang w:val="en-US"/>
        </w:rPr>
        <w:t>anxiety</w:t>
      </w:r>
      <w:proofErr w:type="gramEnd"/>
      <w:r w:rsidRPr="00233381">
        <w:rPr>
          <w:rFonts w:cstheme="minorHAnsi"/>
          <w:sz w:val="24"/>
          <w:szCs w:val="24"/>
          <w:lang w:val="en-US"/>
        </w:rPr>
        <w:t xml:space="preserve"> and stress in LGBTQ+ Brazilians.</w:t>
      </w:r>
    </w:p>
    <w:p w14:paraId="1D7BD779" w14:textId="77777777" w:rsidR="00532C7F" w:rsidRPr="00233381" w:rsidRDefault="00532C7F" w:rsidP="00AE7044">
      <w:pPr>
        <w:spacing w:after="0" w:line="360" w:lineRule="auto"/>
        <w:rPr>
          <w:rFonts w:cstheme="minorHAnsi"/>
          <w:sz w:val="24"/>
          <w:szCs w:val="24"/>
          <w:lang w:val="en-US"/>
        </w:rPr>
      </w:pPr>
    </w:p>
    <w:p w14:paraId="330609AF" w14:textId="77777777" w:rsidR="00532C7F" w:rsidRPr="00233381" w:rsidRDefault="00532C7F" w:rsidP="00AE7044">
      <w:pPr>
        <w:spacing w:after="0" w:line="360" w:lineRule="auto"/>
        <w:rPr>
          <w:rFonts w:cstheme="minorHAnsi"/>
          <w:b/>
          <w:bCs/>
          <w:sz w:val="24"/>
          <w:szCs w:val="24"/>
          <w:lang w:val="en-US"/>
        </w:rPr>
      </w:pPr>
      <w:r w:rsidRPr="00233381">
        <w:rPr>
          <w:rFonts w:cstheme="minorHAnsi"/>
          <w:b/>
          <w:bCs/>
          <w:sz w:val="24"/>
          <w:szCs w:val="24"/>
          <w:lang w:val="en-US"/>
        </w:rPr>
        <w:t>Table 2</w:t>
      </w:r>
    </w:p>
    <w:p w14:paraId="09AE586B" w14:textId="77777777" w:rsidR="00532C7F" w:rsidRPr="00233381" w:rsidRDefault="00532C7F" w:rsidP="00AE7044">
      <w:pPr>
        <w:spacing w:after="0" w:line="360" w:lineRule="auto"/>
        <w:rPr>
          <w:rFonts w:cstheme="minorHAnsi"/>
          <w:i/>
          <w:iCs/>
          <w:sz w:val="24"/>
          <w:szCs w:val="24"/>
          <w:lang w:val="en-US"/>
        </w:rPr>
      </w:pPr>
      <w:r w:rsidRPr="00233381">
        <w:rPr>
          <w:rFonts w:cstheme="minorHAnsi"/>
          <w:i/>
          <w:iCs/>
          <w:sz w:val="24"/>
          <w:szCs w:val="24"/>
          <w:lang w:val="en-US"/>
        </w:rPr>
        <w:t>Psychometric Indicators of Parsimony of DASS-21’s Factor Structure Models Comparison</w:t>
      </w:r>
    </w:p>
    <w:tbl>
      <w:tblPr>
        <w:tblW w:w="0" w:type="auto"/>
        <w:tblLook w:val="04A0" w:firstRow="1" w:lastRow="0" w:firstColumn="1" w:lastColumn="0" w:noHBand="0" w:noVBand="1"/>
      </w:tblPr>
      <w:tblGrid>
        <w:gridCol w:w="2819"/>
        <w:gridCol w:w="1652"/>
        <w:gridCol w:w="1652"/>
        <w:gridCol w:w="1655"/>
      </w:tblGrid>
      <w:tr w:rsidR="00532C7F" w:rsidRPr="00233381" w14:paraId="1305C5AD" w14:textId="77777777" w:rsidTr="00357467">
        <w:trPr>
          <w:trHeight w:val="172"/>
        </w:trPr>
        <w:tc>
          <w:tcPr>
            <w:tcW w:w="2819" w:type="dxa"/>
            <w:vMerge w:val="restart"/>
            <w:tcBorders>
              <w:top w:val="single" w:sz="4" w:space="0" w:color="auto"/>
            </w:tcBorders>
          </w:tcPr>
          <w:p w14:paraId="0082AC2F" w14:textId="77777777" w:rsidR="00532C7F" w:rsidRPr="00233381" w:rsidRDefault="00532C7F" w:rsidP="00A553E4">
            <w:pPr>
              <w:pStyle w:val="PargrafodaLista"/>
              <w:tabs>
                <w:tab w:val="right" w:pos="4038"/>
              </w:tabs>
              <w:spacing w:after="0" w:line="240" w:lineRule="auto"/>
              <w:ind w:left="0"/>
              <w:jc w:val="center"/>
              <w:rPr>
                <w:rFonts w:cstheme="minorHAnsi"/>
                <w:b/>
                <w:bCs/>
                <w:color w:val="000000" w:themeColor="text1"/>
                <w:sz w:val="24"/>
                <w:szCs w:val="24"/>
                <w:lang w:val="en-US"/>
              </w:rPr>
            </w:pPr>
            <w:r w:rsidRPr="00233381">
              <w:rPr>
                <w:rFonts w:cstheme="minorHAnsi"/>
                <w:bCs/>
                <w:color w:val="000000" w:themeColor="text1"/>
                <w:sz w:val="24"/>
                <w:szCs w:val="24"/>
                <w:lang w:val="en-US"/>
              </w:rPr>
              <w:t>Models</w:t>
            </w:r>
          </w:p>
        </w:tc>
        <w:tc>
          <w:tcPr>
            <w:tcW w:w="4959" w:type="dxa"/>
            <w:gridSpan w:val="3"/>
            <w:tcBorders>
              <w:top w:val="single" w:sz="4" w:space="0" w:color="auto"/>
              <w:bottom w:val="single" w:sz="4" w:space="0" w:color="auto"/>
            </w:tcBorders>
          </w:tcPr>
          <w:p w14:paraId="30143A1A" w14:textId="77777777" w:rsidR="00532C7F" w:rsidRPr="00233381" w:rsidRDefault="00532C7F" w:rsidP="00A553E4">
            <w:pPr>
              <w:pStyle w:val="PargrafodaLista"/>
              <w:spacing w:after="0" w:line="240" w:lineRule="auto"/>
              <w:ind w:left="0"/>
              <w:jc w:val="center"/>
              <w:rPr>
                <w:rFonts w:cstheme="minorHAnsi"/>
                <w:b/>
                <w:bCs/>
                <w:color w:val="000000" w:themeColor="text1"/>
                <w:sz w:val="24"/>
                <w:szCs w:val="24"/>
                <w:lang w:val="en-US"/>
              </w:rPr>
            </w:pPr>
            <w:r w:rsidRPr="00233381">
              <w:rPr>
                <w:rFonts w:cstheme="minorHAnsi"/>
                <w:color w:val="000000" w:themeColor="text1"/>
                <w:sz w:val="24"/>
                <w:szCs w:val="24"/>
                <w:lang w:val="en-US"/>
              </w:rPr>
              <w:t>Indicators of Parsimony</w:t>
            </w:r>
          </w:p>
        </w:tc>
      </w:tr>
      <w:tr w:rsidR="00532C7F" w:rsidRPr="00233381" w14:paraId="7471BD48" w14:textId="77777777" w:rsidTr="00357467">
        <w:trPr>
          <w:trHeight w:val="350"/>
        </w:trPr>
        <w:tc>
          <w:tcPr>
            <w:tcW w:w="2819" w:type="dxa"/>
            <w:vMerge/>
            <w:shd w:val="clear" w:color="auto" w:fill="FFFFFF"/>
          </w:tcPr>
          <w:p w14:paraId="5F7D2EBD" w14:textId="77777777" w:rsidR="00532C7F" w:rsidRPr="00233381" w:rsidRDefault="00532C7F" w:rsidP="00A553E4">
            <w:pPr>
              <w:pStyle w:val="PargrafodaLista"/>
              <w:spacing w:after="0" w:line="240" w:lineRule="auto"/>
              <w:ind w:left="0"/>
              <w:jc w:val="center"/>
              <w:rPr>
                <w:rFonts w:cstheme="minorHAnsi"/>
                <w:b/>
                <w:bCs/>
                <w:color w:val="000000" w:themeColor="text1"/>
                <w:sz w:val="24"/>
                <w:szCs w:val="24"/>
                <w:lang w:val="en-US"/>
              </w:rPr>
            </w:pPr>
          </w:p>
        </w:tc>
        <w:tc>
          <w:tcPr>
            <w:tcW w:w="1652" w:type="dxa"/>
            <w:tcBorders>
              <w:top w:val="single" w:sz="4" w:space="0" w:color="auto"/>
            </w:tcBorders>
            <w:shd w:val="clear" w:color="auto" w:fill="FFFFFF"/>
          </w:tcPr>
          <w:p w14:paraId="6076E349" w14:textId="77777777" w:rsidR="00532C7F" w:rsidRPr="00233381" w:rsidRDefault="00532C7F" w:rsidP="00A553E4">
            <w:pPr>
              <w:pStyle w:val="PargrafodaLista"/>
              <w:spacing w:after="0" w:line="240" w:lineRule="auto"/>
              <w:ind w:left="0"/>
              <w:jc w:val="center"/>
              <w:rPr>
                <w:rFonts w:cstheme="minorHAnsi"/>
                <w:color w:val="000000" w:themeColor="text1"/>
                <w:sz w:val="24"/>
                <w:szCs w:val="24"/>
                <w:lang w:val="en-US"/>
              </w:rPr>
            </w:pPr>
            <w:r w:rsidRPr="00233381">
              <w:rPr>
                <w:rFonts w:cstheme="minorHAnsi"/>
                <w:color w:val="000000" w:themeColor="text1"/>
                <w:sz w:val="24"/>
                <w:szCs w:val="24"/>
                <w:lang w:val="en-US"/>
              </w:rPr>
              <w:t>AIC</w:t>
            </w:r>
          </w:p>
        </w:tc>
        <w:tc>
          <w:tcPr>
            <w:tcW w:w="1652" w:type="dxa"/>
            <w:tcBorders>
              <w:top w:val="single" w:sz="4" w:space="0" w:color="auto"/>
            </w:tcBorders>
            <w:shd w:val="clear" w:color="auto" w:fill="FFFFFF"/>
          </w:tcPr>
          <w:p w14:paraId="4BFA48C7" w14:textId="77777777" w:rsidR="00532C7F" w:rsidRPr="00233381" w:rsidRDefault="00532C7F" w:rsidP="00A553E4">
            <w:pPr>
              <w:pStyle w:val="PargrafodaLista"/>
              <w:spacing w:after="0" w:line="240" w:lineRule="auto"/>
              <w:ind w:left="0"/>
              <w:jc w:val="center"/>
              <w:rPr>
                <w:rFonts w:cstheme="minorHAnsi"/>
                <w:color w:val="000000" w:themeColor="text1"/>
                <w:sz w:val="24"/>
                <w:szCs w:val="24"/>
                <w:lang w:val="en-US"/>
              </w:rPr>
            </w:pPr>
            <w:r w:rsidRPr="00233381">
              <w:rPr>
                <w:rFonts w:cstheme="minorHAnsi"/>
                <w:color w:val="000000" w:themeColor="text1"/>
                <w:sz w:val="24"/>
                <w:szCs w:val="24"/>
                <w:lang w:val="en-US"/>
              </w:rPr>
              <w:t>BIC</w:t>
            </w:r>
          </w:p>
        </w:tc>
        <w:tc>
          <w:tcPr>
            <w:tcW w:w="1655" w:type="dxa"/>
            <w:tcBorders>
              <w:top w:val="single" w:sz="4" w:space="0" w:color="auto"/>
            </w:tcBorders>
            <w:shd w:val="clear" w:color="auto" w:fill="FFFFFF"/>
          </w:tcPr>
          <w:p w14:paraId="5BC6CB4A" w14:textId="77777777" w:rsidR="00532C7F" w:rsidRPr="00233381" w:rsidRDefault="00532C7F" w:rsidP="00A553E4">
            <w:pPr>
              <w:pStyle w:val="PargrafodaLista"/>
              <w:spacing w:after="0" w:line="240" w:lineRule="auto"/>
              <w:ind w:left="0"/>
              <w:jc w:val="center"/>
              <w:rPr>
                <w:rFonts w:cstheme="minorHAnsi"/>
                <w:color w:val="000000" w:themeColor="text1"/>
                <w:sz w:val="24"/>
                <w:szCs w:val="24"/>
                <w:lang w:val="en-US"/>
              </w:rPr>
            </w:pPr>
            <w:r w:rsidRPr="00233381">
              <w:rPr>
                <w:rFonts w:cstheme="minorHAnsi"/>
                <w:color w:val="000000" w:themeColor="text1"/>
                <w:sz w:val="24"/>
                <w:szCs w:val="24"/>
                <w:lang w:val="en-US"/>
              </w:rPr>
              <w:t>BCC</w:t>
            </w:r>
          </w:p>
        </w:tc>
      </w:tr>
      <w:tr w:rsidR="00532C7F" w:rsidRPr="00233381" w14:paraId="43FF1D8B" w14:textId="77777777" w:rsidTr="00357467">
        <w:trPr>
          <w:trHeight w:val="502"/>
        </w:trPr>
        <w:tc>
          <w:tcPr>
            <w:tcW w:w="2819" w:type="dxa"/>
            <w:shd w:val="clear" w:color="auto" w:fill="FFFFFF"/>
          </w:tcPr>
          <w:p w14:paraId="4A776678" w14:textId="77777777" w:rsidR="00532C7F" w:rsidRPr="00233381" w:rsidRDefault="00532C7F" w:rsidP="00A553E4">
            <w:pPr>
              <w:widowControl w:val="0"/>
              <w:spacing w:after="0" w:line="240" w:lineRule="auto"/>
              <w:rPr>
                <w:rFonts w:cstheme="minorHAnsi"/>
                <w:bCs/>
                <w:color w:val="000000" w:themeColor="text1"/>
                <w:sz w:val="24"/>
                <w:szCs w:val="24"/>
                <w:lang w:val="en-US"/>
              </w:rPr>
            </w:pPr>
            <w:r w:rsidRPr="00233381">
              <w:rPr>
                <w:rFonts w:cstheme="minorHAnsi"/>
                <w:bCs/>
                <w:color w:val="000000" w:themeColor="text1"/>
                <w:sz w:val="24"/>
                <w:szCs w:val="24"/>
                <w:lang w:val="en-US"/>
              </w:rPr>
              <w:t>One-factor</w:t>
            </w:r>
          </w:p>
        </w:tc>
        <w:tc>
          <w:tcPr>
            <w:tcW w:w="1652" w:type="dxa"/>
            <w:shd w:val="clear" w:color="auto" w:fill="FFFFFF"/>
          </w:tcPr>
          <w:p w14:paraId="61A2F869" w14:textId="77777777" w:rsidR="00532C7F" w:rsidRPr="00233381" w:rsidRDefault="00532C7F" w:rsidP="00A553E4">
            <w:pPr>
              <w:pStyle w:val="PargrafodaLista"/>
              <w:spacing w:after="0" w:line="240" w:lineRule="auto"/>
              <w:ind w:left="0"/>
              <w:jc w:val="center"/>
              <w:rPr>
                <w:rFonts w:cstheme="minorHAnsi"/>
                <w:color w:val="000000" w:themeColor="text1"/>
                <w:sz w:val="24"/>
                <w:szCs w:val="24"/>
                <w:lang w:val="en-US"/>
              </w:rPr>
            </w:pPr>
            <w:r w:rsidRPr="00233381">
              <w:rPr>
                <w:rFonts w:cstheme="minorHAnsi"/>
                <w:color w:val="000000" w:themeColor="text1"/>
                <w:sz w:val="24"/>
                <w:szCs w:val="24"/>
                <w:lang w:val="en-US"/>
              </w:rPr>
              <w:t>618.20</w:t>
            </w:r>
          </w:p>
        </w:tc>
        <w:tc>
          <w:tcPr>
            <w:tcW w:w="1652" w:type="dxa"/>
            <w:shd w:val="clear" w:color="auto" w:fill="FFFFFF"/>
          </w:tcPr>
          <w:p w14:paraId="4420C6C9" w14:textId="77777777" w:rsidR="00532C7F" w:rsidRPr="00233381" w:rsidRDefault="00532C7F" w:rsidP="00A553E4">
            <w:pPr>
              <w:pStyle w:val="PargrafodaLista"/>
              <w:spacing w:after="0" w:line="240" w:lineRule="auto"/>
              <w:ind w:left="0"/>
              <w:jc w:val="center"/>
              <w:rPr>
                <w:rFonts w:cstheme="minorHAnsi"/>
                <w:color w:val="000000" w:themeColor="text1"/>
                <w:sz w:val="24"/>
                <w:szCs w:val="24"/>
                <w:lang w:val="en-US"/>
              </w:rPr>
            </w:pPr>
            <w:r w:rsidRPr="00233381">
              <w:rPr>
                <w:rFonts w:cstheme="minorHAnsi"/>
                <w:color w:val="000000" w:themeColor="text1"/>
                <w:sz w:val="24"/>
                <w:szCs w:val="24"/>
                <w:lang w:val="en-US"/>
              </w:rPr>
              <w:t>834.80</w:t>
            </w:r>
          </w:p>
        </w:tc>
        <w:tc>
          <w:tcPr>
            <w:tcW w:w="1655" w:type="dxa"/>
            <w:shd w:val="clear" w:color="auto" w:fill="FFFFFF"/>
          </w:tcPr>
          <w:p w14:paraId="3876E36A" w14:textId="77777777" w:rsidR="00532C7F" w:rsidRPr="00233381" w:rsidRDefault="00532C7F" w:rsidP="00A553E4">
            <w:pPr>
              <w:pStyle w:val="PargrafodaLista"/>
              <w:spacing w:after="0" w:line="240" w:lineRule="auto"/>
              <w:ind w:left="0"/>
              <w:jc w:val="center"/>
              <w:rPr>
                <w:rFonts w:cstheme="minorHAnsi"/>
                <w:color w:val="000000" w:themeColor="text1"/>
                <w:sz w:val="24"/>
                <w:szCs w:val="24"/>
                <w:lang w:val="en-US"/>
              </w:rPr>
            </w:pPr>
            <w:r w:rsidRPr="00233381">
              <w:rPr>
                <w:rFonts w:cstheme="minorHAnsi"/>
                <w:color w:val="000000" w:themeColor="text1"/>
                <w:sz w:val="24"/>
                <w:szCs w:val="24"/>
                <w:lang w:val="en-US"/>
              </w:rPr>
              <w:t>631.59</w:t>
            </w:r>
          </w:p>
        </w:tc>
      </w:tr>
      <w:tr w:rsidR="00532C7F" w:rsidRPr="00233381" w14:paraId="6D93CC9F" w14:textId="77777777" w:rsidTr="00357467">
        <w:trPr>
          <w:trHeight w:val="394"/>
        </w:trPr>
        <w:tc>
          <w:tcPr>
            <w:tcW w:w="2819" w:type="dxa"/>
            <w:shd w:val="clear" w:color="auto" w:fill="FFFFFF"/>
          </w:tcPr>
          <w:p w14:paraId="2D1D34A4" w14:textId="77777777" w:rsidR="00532C7F" w:rsidRPr="00233381" w:rsidRDefault="00532C7F" w:rsidP="00A553E4">
            <w:pPr>
              <w:widowControl w:val="0"/>
              <w:spacing w:after="0" w:line="240" w:lineRule="auto"/>
              <w:rPr>
                <w:rFonts w:cstheme="minorHAnsi"/>
                <w:bCs/>
                <w:color w:val="000000" w:themeColor="text1"/>
                <w:sz w:val="24"/>
                <w:szCs w:val="24"/>
                <w:lang w:val="en-US"/>
              </w:rPr>
            </w:pPr>
            <w:r w:rsidRPr="00233381">
              <w:rPr>
                <w:rFonts w:cstheme="minorHAnsi"/>
                <w:bCs/>
                <w:color w:val="000000" w:themeColor="text1"/>
                <w:sz w:val="24"/>
                <w:szCs w:val="24"/>
                <w:lang w:val="en-US"/>
              </w:rPr>
              <w:t>Orthogonal</w:t>
            </w:r>
          </w:p>
        </w:tc>
        <w:tc>
          <w:tcPr>
            <w:tcW w:w="1652" w:type="dxa"/>
            <w:shd w:val="clear" w:color="auto" w:fill="FFFFFF"/>
          </w:tcPr>
          <w:p w14:paraId="54793492" w14:textId="77777777" w:rsidR="00532C7F" w:rsidRPr="00233381" w:rsidRDefault="00532C7F" w:rsidP="00A553E4">
            <w:pPr>
              <w:pStyle w:val="PargrafodaLista"/>
              <w:spacing w:after="0" w:line="240" w:lineRule="auto"/>
              <w:ind w:left="0"/>
              <w:jc w:val="center"/>
              <w:rPr>
                <w:rFonts w:cstheme="minorHAnsi"/>
                <w:color w:val="000000" w:themeColor="text1"/>
                <w:sz w:val="24"/>
                <w:szCs w:val="24"/>
                <w:lang w:val="en-US"/>
              </w:rPr>
            </w:pPr>
            <w:r w:rsidRPr="00233381">
              <w:rPr>
                <w:rFonts w:cstheme="minorHAnsi"/>
                <w:color w:val="000000" w:themeColor="text1"/>
                <w:sz w:val="24"/>
                <w:szCs w:val="24"/>
                <w:lang w:val="en-US"/>
              </w:rPr>
              <w:t>844.86</w:t>
            </w:r>
          </w:p>
        </w:tc>
        <w:tc>
          <w:tcPr>
            <w:tcW w:w="1652" w:type="dxa"/>
            <w:shd w:val="clear" w:color="auto" w:fill="FFFFFF"/>
          </w:tcPr>
          <w:p w14:paraId="48E29955" w14:textId="77777777" w:rsidR="00532C7F" w:rsidRPr="00233381" w:rsidRDefault="00532C7F" w:rsidP="00A553E4">
            <w:pPr>
              <w:pStyle w:val="PargrafodaLista"/>
              <w:spacing w:after="0" w:line="240" w:lineRule="auto"/>
              <w:ind w:left="0"/>
              <w:jc w:val="center"/>
              <w:rPr>
                <w:rFonts w:cstheme="minorHAnsi"/>
                <w:color w:val="000000" w:themeColor="text1"/>
                <w:sz w:val="24"/>
                <w:szCs w:val="24"/>
                <w:lang w:val="en-US"/>
              </w:rPr>
            </w:pPr>
            <w:r w:rsidRPr="00233381">
              <w:rPr>
                <w:rFonts w:cstheme="minorHAnsi"/>
                <w:color w:val="000000" w:themeColor="text1"/>
                <w:sz w:val="24"/>
                <w:szCs w:val="24"/>
                <w:lang w:val="en-US"/>
              </w:rPr>
              <w:t>1256.20</w:t>
            </w:r>
          </w:p>
        </w:tc>
        <w:tc>
          <w:tcPr>
            <w:tcW w:w="1655" w:type="dxa"/>
            <w:shd w:val="clear" w:color="auto" w:fill="FFFFFF"/>
          </w:tcPr>
          <w:p w14:paraId="382138FB" w14:textId="77777777" w:rsidR="00532C7F" w:rsidRPr="00233381" w:rsidRDefault="00532C7F" w:rsidP="00A553E4">
            <w:pPr>
              <w:pStyle w:val="PargrafodaLista"/>
              <w:spacing w:after="0" w:line="240" w:lineRule="auto"/>
              <w:ind w:left="0"/>
              <w:jc w:val="center"/>
              <w:rPr>
                <w:rFonts w:cstheme="minorHAnsi"/>
                <w:color w:val="000000" w:themeColor="text1"/>
                <w:sz w:val="24"/>
                <w:szCs w:val="24"/>
                <w:lang w:val="en-US"/>
              </w:rPr>
            </w:pPr>
            <w:r w:rsidRPr="00233381">
              <w:rPr>
                <w:rFonts w:cstheme="minorHAnsi"/>
                <w:color w:val="000000" w:themeColor="text1"/>
                <w:sz w:val="24"/>
                <w:szCs w:val="24"/>
                <w:lang w:val="en-US"/>
              </w:rPr>
              <w:t>858.25</w:t>
            </w:r>
          </w:p>
        </w:tc>
      </w:tr>
      <w:tr w:rsidR="00532C7F" w:rsidRPr="00233381" w14:paraId="111F4909" w14:textId="77777777" w:rsidTr="00357467">
        <w:trPr>
          <w:trHeight w:val="288"/>
        </w:trPr>
        <w:tc>
          <w:tcPr>
            <w:tcW w:w="2819" w:type="dxa"/>
            <w:tcBorders>
              <w:bottom w:val="single" w:sz="4" w:space="0" w:color="auto"/>
            </w:tcBorders>
            <w:shd w:val="clear" w:color="auto" w:fill="FFFFFF"/>
          </w:tcPr>
          <w:p w14:paraId="5A1DEEFD" w14:textId="77777777" w:rsidR="00532C7F" w:rsidRPr="00233381" w:rsidRDefault="00532C7F" w:rsidP="00A553E4">
            <w:pPr>
              <w:widowControl w:val="0"/>
              <w:spacing w:after="0" w:line="240" w:lineRule="auto"/>
              <w:rPr>
                <w:rFonts w:cstheme="minorHAnsi"/>
                <w:bCs/>
                <w:color w:val="000000" w:themeColor="text1"/>
                <w:sz w:val="24"/>
                <w:szCs w:val="24"/>
                <w:lang w:val="en-US"/>
              </w:rPr>
            </w:pPr>
            <w:r w:rsidRPr="00233381">
              <w:rPr>
                <w:rFonts w:cstheme="minorHAnsi"/>
                <w:bCs/>
                <w:color w:val="000000" w:themeColor="text1"/>
                <w:sz w:val="24"/>
                <w:szCs w:val="24"/>
                <w:lang w:val="en-US"/>
              </w:rPr>
              <w:t>Adjusted Oblique Trifactor</w:t>
            </w:r>
          </w:p>
        </w:tc>
        <w:tc>
          <w:tcPr>
            <w:tcW w:w="1652" w:type="dxa"/>
            <w:tcBorders>
              <w:bottom w:val="single" w:sz="4" w:space="0" w:color="auto"/>
            </w:tcBorders>
            <w:shd w:val="clear" w:color="auto" w:fill="FFFFFF"/>
          </w:tcPr>
          <w:p w14:paraId="49664A3C" w14:textId="77777777" w:rsidR="00532C7F" w:rsidRPr="00233381" w:rsidRDefault="00532C7F" w:rsidP="00A553E4">
            <w:pPr>
              <w:pStyle w:val="PargrafodaLista"/>
              <w:spacing w:after="0" w:line="240" w:lineRule="auto"/>
              <w:ind w:left="0"/>
              <w:jc w:val="center"/>
              <w:rPr>
                <w:rFonts w:cstheme="minorHAnsi"/>
                <w:bCs/>
                <w:color w:val="000000" w:themeColor="text1"/>
                <w:sz w:val="24"/>
                <w:szCs w:val="24"/>
                <w:lang w:val="en-US"/>
              </w:rPr>
            </w:pPr>
            <w:r w:rsidRPr="00233381">
              <w:rPr>
                <w:rFonts w:cstheme="minorHAnsi"/>
                <w:bCs/>
                <w:color w:val="000000" w:themeColor="text1"/>
                <w:sz w:val="24"/>
                <w:szCs w:val="24"/>
                <w:lang w:val="en-US"/>
              </w:rPr>
              <w:t>504.34</w:t>
            </w:r>
          </w:p>
        </w:tc>
        <w:tc>
          <w:tcPr>
            <w:tcW w:w="1652" w:type="dxa"/>
            <w:tcBorders>
              <w:bottom w:val="single" w:sz="4" w:space="0" w:color="auto"/>
            </w:tcBorders>
            <w:shd w:val="clear" w:color="auto" w:fill="FFFFFF"/>
          </w:tcPr>
          <w:p w14:paraId="743AAFF8" w14:textId="77777777" w:rsidR="00532C7F" w:rsidRPr="00233381" w:rsidRDefault="00532C7F" w:rsidP="00A553E4">
            <w:pPr>
              <w:pStyle w:val="PargrafodaLista"/>
              <w:spacing w:after="0" w:line="240" w:lineRule="auto"/>
              <w:ind w:left="0"/>
              <w:jc w:val="center"/>
              <w:rPr>
                <w:rFonts w:cstheme="minorHAnsi"/>
                <w:bCs/>
                <w:color w:val="000000" w:themeColor="text1"/>
                <w:sz w:val="24"/>
                <w:szCs w:val="24"/>
                <w:lang w:val="en-US"/>
              </w:rPr>
            </w:pPr>
            <w:r w:rsidRPr="00233381">
              <w:rPr>
                <w:rFonts w:cstheme="minorHAnsi"/>
                <w:bCs/>
                <w:color w:val="000000" w:themeColor="text1"/>
                <w:sz w:val="24"/>
                <w:szCs w:val="24"/>
                <w:lang w:val="en-US"/>
              </w:rPr>
              <w:t>791.47</w:t>
            </w:r>
          </w:p>
        </w:tc>
        <w:tc>
          <w:tcPr>
            <w:tcW w:w="1655" w:type="dxa"/>
            <w:tcBorders>
              <w:bottom w:val="single" w:sz="4" w:space="0" w:color="auto"/>
            </w:tcBorders>
            <w:shd w:val="clear" w:color="auto" w:fill="FFFFFF"/>
          </w:tcPr>
          <w:p w14:paraId="0A7DA493" w14:textId="77777777" w:rsidR="00532C7F" w:rsidRPr="00233381" w:rsidRDefault="00532C7F" w:rsidP="00A553E4">
            <w:pPr>
              <w:pStyle w:val="PargrafodaLista"/>
              <w:spacing w:after="0" w:line="240" w:lineRule="auto"/>
              <w:ind w:left="0"/>
              <w:jc w:val="center"/>
              <w:rPr>
                <w:rFonts w:cstheme="minorHAnsi"/>
                <w:bCs/>
                <w:color w:val="000000" w:themeColor="text1"/>
                <w:sz w:val="24"/>
                <w:szCs w:val="24"/>
                <w:lang w:val="en-US"/>
              </w:rPr>
            </w:pPr>
            <w:r w:rsidRPr="00233381">
              <w:rPr>
                <w:rFonts w:cstheme="minorHAnsi"/>
                <w:bCs/>
                <w:color w:val="000000" w:themeColor="text1"/>
                <w:sz w:val="24"/>
                <w:szCs w:val="24"/>
                <w:lang w:val="en-US"/>
              </w:rPr>
              <w:t>511.07</w:t>
            </w:r>
          </w:p>
        </w:tc>
      </w:tr>
    </w:tbl>
    <w:p w14:paraId="7841A97F" w14:textId="77777777" w:rsidR="00532C7F" w:rsidRPr="00233381" w:rsidRDefault="00532C7F" w:rsidP="00AE7044">
      <w:pPr>
        <w:spacing w:after="0" w:line="360" w:lineRule="auto"/>
        <w:jc w:val="both"/>
        <w:rPr>
          <w:rFonts w:cstheme="minorHAnsi"/>
          <w:color w:val="FF0000"/>
          <w:sz w:val="24"/>
          <w:szCs w:val="24"/>
          <w:lang w:val="en-US"/>
        </w:rPr>
      </w:pPr>
    </w:p>
    <w:p w14:paraId="0A105511" w14:textId="77777777" w:rsidR="00532C7F" w:rsidRPr="00233381" w:rsidRDefault="00532C7F" w:rsidP="00AE7044">
      <w:pPr>
        <w:spacing w:after="0" w:line="360" w:lineRule="auto"/>
        <w:ind w:firstLine="709"/>
        <w:rPr>
          <w:rFonts w:cstheme="minorHAnsi"/>
          <w:color w:val="000000" w:themeColor="text1"/>
          <w:sz w:val="24"/>
          <w:szCs w:val="24"/>
          <w:lang w:val="en-US"/>
        </w:rPr>
      </w:pPr>
      <w:r w:rsidRPr="00233381">
        <w:rPr>
          <w:rFonts w:cstheme="minorHAnsi"/>
          <w:color w:val="000000" w:themeColor="text1"/>
          <w:sz w:val="24"/>
          <w:szCs w:val="24"/>
          <w:lang w:val="en-US"/>
        </w:rPr>
        <w:t>In Table 3, it is possible to observe that the saturations (Lambdas, λ) are in the interval 0—1, highlighting the non-existence of estimation problems for the model. Besides being inserted in these parameters, they are statistically different from zero (</w:t>
      </w:r>
      <w:r w:rsidRPr="00233381">
        <w:rPr>
          <w:rFonts w:cstheme="minorHAnsi"/>
          <w:i/>
          <w:iCs/>
          <w:color w:val="000000" w:themeColor="text1"/>
          <w:sz w:val="24"/>
          <w:szCs w:val="24"/>
          <w:lang w:val="en-US"/>
        </w:rPr>
        <w:t>t</w:t>
      </w:r>
      <w:r w:rsidRPr="00233381">
        <w:rPr>
          <w:rFonts w:cstheme="minorHAnsi"/>
          <w:color w:val="000000" w:themeColor="text1"/>
          <w:sz w:val="24"/>
          <w:szCs w:val="24"/>
          <w:lang w:val="en-US"/>
        </w:rPr>
        <w:t xml:space="preserve"> &gt; 1.96, </w:t>
      </w:r>
      <w:r w:rsidRPr="00233381">
        <w:rPr>
          <w:rFonts w:cstheme="minorHAnsi"/>
          <w:i/>
          <w:iCs/>
          <w:color w:val="000000" w:themeColor="text1"/>
          <w:sz w:val="24"/>
          <w:szCs w:val="24"/>
          <w:lang w:val="en-US"/>
        </w:rPr>
        <w:t>p</w:t>
      </w:r>
      <w:r w:rsidRPr="00233381">
        <w:rPr>
          <w:rFonts w:cstheme="minorHAnsi"/>
          <w:color w:val="000000" w:themeColor="text1"/>
          <w:sz w:val="24"/>
          <w:szCs w:val="24"/>
          <w:lang w:val="en-US"/>
        </w:rPr>
        <w:t xml:space="preserve"> &lt; </w:t>
      </w:r>
      <w:r w:rsidRPr="00233381">
        <w:rPr>
          <w:rFonts w:cstheme="minorHAnsi"/>
          <w:color w:val="000000" w:themeColor="text1"/>
          <w:sz w:val="24"/>
          <w:szCs w:val="24"/>
          <w:lang w:val="en-US"/>
        </w:rPr>
        <w:lastRenderedPageBreak/>
        <w:t>0.05), guaranteeing the validity of the factor structure of the DASS-21, which, presented positive Phi associations (</w:t>
      </w:r>
      <w:r w:rsidRPr="00233381">
        <w:rPr>
          <w:rFonts w:cstheme="minorHAnsi"/>
          <w:color w:val="000000" w:themeColor="text1"/>
          <w:sz w:val="24"/>
          <w:szCs w:val="24"/>
          <w:lang w:val="en-US"/>
        </w:rPr>
        <w:sym w:font="Symbol" w:char="F066"/>
      </w:r>
      <w:r w:rsidRPr="00233381">
        <w:rPr>
          <w:rFonts w:cstheme="minorHAnsi"/>
          <w:color w:val="000000" w:themeColor="text1"/>
          <w:sz w:val="24"/>
          <w:szCs w:val="24"/>
          <w:lang w:val="en-US"/>
        </w:rPr>
        <w:t xml:space="preserve">) between the dimensions that ranged from 0.76 to 0.88. Still in the context of validity, it is important to assess the Composite Reliability (CR), expecting a value above 0.70, and the Average Variance Extracted (AVE), which should have a value above 0.50 (Hair et al., 2009; Lattin et al., 2011; </w:t>
      </w:r>
      <w:proofErr w:type="spellStart"/>
      <w:r w:rsidRPr="00233381">
        <w:rPr>
          <w:rFonts w:cstheme="minorHAnsi"/>
          <w:color w:val="000000" w:themeColor="text1"/>
          <w:sz w:val="24"/>
          <w:szCs w:val="24"/>
          <w:lang w:val="en-US"/>
        </w:rPr>
        <w:t>Marôco</w:t>
      </w:r>
      <w:proofErr w:type="spellEnd"/>
      <w:r w:rsidRPr="00233381">
        <w:rPr>
          <w:rFonts w:cstheme="minorHAnsi"/>
          <w:color w:val="000000" w:themeColor="text1"/>
          <w:sz w:val="24"/>
          <w:szCs w:val="24"/>
          <w:lang w:val="en-US"/>
        </w:rPr>
        <w:t>, 2010). In the present study, they were both above those requirements, respectively 0.91 and 0.56, both for the total dimension of the DASS-21 and for the specificities of its dimensions (anxiety, depression, and stress), which demonstrate the reliability and the convergent validity of the construct assessed.</w:t>
      </w:r>
    </w:p>
    <w:p w14:paraId="2F9C1E41" w14:textId="77777777" w:rsidR="00532C7F" w:rsidRPr="00233381" w:rsidRDefault="00532C7F" w:rsidP="00AE7044">
      <w:pPr>
        <w:spacing w:after="0" w:line="360" w:lineRule="auto"/>
        <w:rPr>
          <w:rFonts w:cstheme="minorHAnsi"/>
          <w:color w:val="000000" w:themeColor="text1"/>
          <w:sz w:val="24"/>
          <w:szCs w:val="24"/>
          <w:lang w:val="en-US"/>
        </w:rPr>
      </w:pPr>
    </w:p>
    <w:p w14:paraId="13417C7B" w14:textId="77777777" w:rsidR="00532C7F" w:rsidRPr="00233381" w:rsidRDefault="00532C7F" w:rsidP="00AE7044">
      <w:pPr>
        <w:spacing w:after="0" w:line="360" w:lineRule="auto"/>
        <w:rPr>
          <w:rFonts w:cstheme="minorHAnsi"/>
          <w:b/>
          <w:bCs/>
          <w:sz w:val="24"/>
          <w:szCs w:val="24"/>
          <w:lang w:val="en-US"/>
        </w:rPr>
      </w:pPr>
      <w:r w:rsidRPr="00233381">
        <w:rPr>
          <w:rFonts w:cstheme="minorHAnsi"/>
          <w:b/>
          <w:bCs/>
          <w:sz w:val="24"/>
          <w:szCs w:val="24"/>
          <w:lang w:val="en-US"/>
        </w:rPr>
        <w:t>Table 3</w:t>
      </w:r>
    </w:p>
    <w:p w14:paraId="52513E7E" w14:textId="77777777" w:rsidR="00532C7F" w:rsidRPr="00233381" w:rsidRDefault="00532C7F" w:rsidP="00AE7044">
      <w:pPr>
        <w:spacing w:after="0" w:line="360" w:lineRule="auto"/>
        <w:rPr>
          <w:rFonts w:cstheme="minorHAnsi"/>
          <w:i/>
          <w:iCs/>
          <w:sz w:val="24"/>
          <w:szCs w:val="24"/>
          <w:lang w:val="en-US"/>
        </w:rPr>
      </w:pPr>
      <w:r w:rsidRPr="00233381">
        <w:rPr>
          <w:rFonts w:cstheme="minorHAnsi"/>
          <w:i/>
          <w:iCs/>
          <w:sz w:val="24"/>
          <w:szCs w:val="24"/>
          <w:lang w:val="en-US"/>
        </w:rPr>
        <w:t>Factor Structure of the DASS-21 in LGBTQ+ Brazilians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8"/>
        <w:gridCol w:w="1261"/>
        <w:gridCol w:w="876"/>
        <w:gridCol w:w="1357"/>
        <w:gridCol w:w="755"/>
        <w:gridCol w:w="1057"/>
        <w:gridCol w:w="783"/>
        <w:gridCol w:w="1633"/>
      </w:tblGrid>
      <w:tr w:rsidR="00532C7F" w:rsidRPr="00233381" w14:paraId="3D06F98B" w14:textId="77777777" w:rsidTr="00357467">
        <w:tc>
          <w:tcPr>
            <w:tcW w:w="744" w:type="pct"/>
            <w:tcBorders>
              <w:top w:val="single" w:sz="4" w:space="0" w:color="auto"/>
              <w:bottom w:val="single" w:sz="4" w:space="0" w:color="auto"/>
            </w:tcBorders>
          </w:tcPr>
          <w:p w14:paraId="11D75060"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ξ (Construct)</w:t>
            </w:r>
          </w:p>
        </w:tc>
        <w:tc>
          <w:tcPr>
            <w:tcW w:w="690" w:type="pct"/>
            <w:tcBorders>
              <w:top w:val="single" w:sz="4" w:space="0" w:color="auto"/>
              <w:bottom w:val="single" w:sz="4" w:space="0" w:color="auto"/>
            </w:tcBorders>
          </w:tcPr>
          <w:p w14:paraId="0C333C3C"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Χ</w:t>
            </w:r>
          </w:p>
          <w:p w14:paraId="249A769B"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(Variables)</w:t>
            </w:r>
          </w:p>
        </w:tc>
        <w:tc>
          <w:tcPr>
            <w:tcW w:w="484" w:type="pct"/>
            <w:tcBorders>
              <w:top w:val="single" w:sz="4" w:space="0" w:color="auto"/>
              <w:bottom w:val="single" w:sz="4" w:space="0" w:color="auto"/>
            </w:tcBorders>
          </w:tcPr>
          <w:p w14:paraId="54C4E39C"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 xml:space="preserve">λ   </w:t>
            </w:r>
          </w:p>
        </w:tc>
        <w:tc>
          <w:tcPr>
            <w:tcW w:w="749" w:type="pct"/>
            <w:tcBorders>
              <w:top w:val="single" w:sz="4" w:space="0" w:color="auto"/>
              <w:bottom w:val="single" w:sz="4" w:space="0" w:color="auto"/>
            </w:tcBorders>
          </w:tcPr>
          <w:p w14:paraId="205CC691"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Ε</w:t>
            </w:r>
          </w:p>
          <w:p w14:paraId="223A7BEC"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(Errors)</w:t>
            </w:r>
          </w:p>
        </w:tc>
        <w:tc>
          <w:tcPr>
            <w:tcW w:w="417" w:type="pct"/>
            <w:tcBorders>
              <w:top w:val="single" w:sz="4" w:space="0" w:color="auto"/>
              <w:bottom w:val="single" w:sz="4" w:space="0" w:color="auto"/>
            </w:tcBorders>
          </w:tcPr>
          <w:p w14:paraId="38B0DF02"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CC</w:t>
            </w:r>
          </w:p>
        </w:tc>
        <w:tc>
          <w:tcPr>
            <w:tcW w:w="583" w:type="pct"/>
            <w:tcBorders>
              <w:top w:val="single" w:sz="4" w:space="0" w:color="auto"/>
              <w:bottom w:val="single" w:sz="4" w:space="0" w:color="auto"/>
            </w:tcBorders>
          </w:tcPr>
          <w:p w14:paraId="74681422"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AVE</w:t>
            </w:r>
          </w:p>
        </w:tc>
        <w:tc>
          <w:tcPr>
            <w:tcW w:w="432" w:type="pct"/>
            <w:tcBorders>
              <w:top w:val="single" w:sz="4" w:space="0" w:color="auto"/>
              <w:bottom w:val="single" w:sz="4" w:space="0" w:color="auto"/>
            </w:tcBorders>
          </w:tcPr>
          <w:p w14:paraId="57D95655"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 xml:space="preserve">Alpha </w:t>
            </w:r>
          </w:p>
        </w:tc>
        <w:tc>
          <w:tcPr>
            <w:tcW w:w="901" w:type="pct"/>
            <w:tcBorders>
              <w:top w:val="single" w:sz="4" w:space="0" w:color="auto"/>
              <w:bottom w:val="single" w:sz="4" w:space="0" w:color="auto"/>
            </w:tcBorders>
          </w:tcPr>
          <w:p w14:paraId="47D1EFFE"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ICC</w:t>
            </w:r>
          </w:p>
          <w:p w14:paraId="5BF0B971"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(IC 95%)</w:t>
            </w:r>
          </w:p>
        </w:tc>
      </w:tr>
      <w:tr w:rsidR="00532C7F" w:rsidRPr="00233381" w14:paraId="0FE37860" w14:textId="77777777" w:rsidTr="00357467">
        <w:tc>
          <w:tcPr>
            <w:tcW w:w="744" w:type="pct"/>
            <w:vMerge w:val="restart"/>
            <w:tcBorders>
              <w:top w:val="single" w:sz="4" w:space="0" w:color="auto"/>
            </w:tcBorders>
          </w:tcPr>
          <w:p w14:paraId="4FA02D00" w14:textId="77777777" w:rsidR="00532C7F" w:rsidRPr="00233381" w:rsidRDefault="00532C7F" w:rsidP="00A553E4">
            <w:pPr>
              <w:spacing w:line="240" w:lineRule="auto"/>
              <w:jc w:val="both"/>
              <w:rPr>
                <w:rFonts w:asciiTheme="minorHAnsi" w:hAnsiTheme="minorHAnsi" w:cstheme="minorHAnsi"/>
                <w:sz w:val="24"/>
                <w:szCs w:val="24"/>
                <w:lang w:val="en-US"/>
              </w:rPr>
            </w:pPr>
          </w:p>
          <w:p w14:paraId="4EEB3B3B" w14:textId="77777777" w:rsidR="00532C7F" w:rsidRPr="00233381" w:rsidRDefault="00532C7F" w:rsidP="00A553E4">
            <w:pPr>
              <w:spacing w:line="240" w:lineRule="auto"/>
              <w:jc w:val="both"/>
              <w:rPr>
                <w:rFonts w:asciiTheme="minorHAnsi" w:hAnsiTheme="minorHAnsi" w:cstheme="minorHAnsi"/>
                <w:sz w:val="24"/>
                <w:szCs w:val="24"/>
                <w:lang w:val="en-US"/>
              </w:rPr>
            </w:pPr>
          </w:p>
          <w:p w14:paraId="314C254B" w14:textId="77777777" w:rsidR="00532C7F" w:rsidRPr="00233381" w:rsidRDefault="00532C7F" w:rsidP="00A553E4">
            <w:pPr>
              <w:spacing w:line="240" w:lineRule="auto"/>
              <w:jc w:val="both"/>
              <w:rPr>
                <w:rFonts w:asciiTheme="minorHAnsi" w:hAnsiTheme="minorHAnsi" w:cstheme="minorHAnsi"/>
                <w:sz w:val="24"/>
                <w:szCs w:val="24"/>
                <w:lang w:val="en-US"/>
              </w:rPr>
            </w:pPr>
          </w:p>
          <w:p w14:paraId="513F8670" w14:textId="77777777" w:rsidR="00532C7F" w:rsidRPr="00233381" w:rsidRDefault="00532C7F" w:rsidP="00A553E4">
            <w:pPr>
              <w:spacing w:line="240" w:lineRule="auto"/>
              <w:jc w:val="both"/>
              <w:rPr>
                <w:rFonts w:asciiTheme="minorHAnsi" w:hAnsiTheme="minorHAnsi" w:cstheme="minorHAnsi"/>
                <w:sz w:val="24"/>
                <w:szCs w:val="24"/>
                <w:lang w:val="en-US"/>
              </w:rPr>
            </w:pPr>
            <w:r w:rsidRPr="00233381">
              <w:rPr>
                <w:rFonts w:asciiTheme="minorHAnsi" w:hAnsiTheme="minorHAnsi" w:cstheme="minorHAnsi"/>
                <w:sz w:val="24"/>
                <w:szCs w:val="24"/>
                <w:lang w:val="en-US"/>
              </w:rPr>
              <w:t>Stress</w:t>
            </w:r>
          </w:p>
        </w:tc>
        <w:tc>
          <w:tcPr>
            <w:tcW w:w="690" w:type="pct"/>
            <w:tcBorders>
              <w:top w:val="single" w:sz="4" w:space="0" w:color="auto"/>
            </w:tcBorders>
          </w:tcPr>
          <w:p w14:paraId="0D154883" w14:textId="77777777" w:rsidR="00532C7F" w:rsidRPr="00233381" w:rsidRDefault="00532C7F" w:rsidP="00A553E4">
            <w:pPr>
              <w:spacing w:line="240" w:lineRule="auto"/>
              <w:rPr>
                <w:rFonts w:asciiTheme="minorHAnsi" w:hAnsiTheme="minorHAnsi" w:cstheme="minorHAnsi"/>
                <w:sz w:val="24"/>
                <w:szCs w:val="24"/>
                <w:lang w:val="en-US"/>
              </w:rPr>
            </w:pPr>
            <w:r w:rsidRPr="00233381">
              <w:rPr>
                <w:rFonts w:asciiTheme="minorHAnsi" w:hAnsiTheme="minorHAnsi" w:cstheme="minorHAnsi"/>
                <w:sz w:val="24"/>
                <w:szCs w:val="24"/>
                <w:lang w:val="en-US"/>
              </w:rPr>
              <w:t>DASS1</w:t>
            </w:r>
          </w:p>
        </w:tc>
        <w:tc>
          <w:tcPr>
            <w:tcW w:w="484" w:type="pct"/>
            <w:tcBorders>
              <w:top w:val="single" w:sz="4" w:space="0" w:color="auto"/>
            </w:tcBorders>
          </w:tcPr>
          <w:p w14:paraId="048B8A8E"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0.75</w:t>
            </w:r>
          </w:p>
        </w:tc>
        <w:tc>
          <w:tcPr>
            <w:tcW w:w="749" w:type="pct"/>
            <w:tcBorders>
              <w:top w:val="single" w:sz="4" w:space="0" w:color="auto"/>
            </w:tcBorders>
          </w:tcPr>
          <w:p w14:paraId="784F2F91"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0.49</w:t>
            </w:r>
          </w:p>
        </w:tc>
        <w:tc>
          <w:tcPr>
            <w:tcW w:w="417" w:type="pct"/>
            <w:vMerge w:val="restart"/>
            <w:tcBorders>
              <w:top w:val="single" w:sz="4" w:space="0" w:color="auto"/>
            </w:tcBorders>
          </w:tcPr>
          <w:p w14:paraId="10E0C08B"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19475982"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61418EDD"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2B12AECB"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0.91</w:t>
            </w:r>
          </w:p>
          <w:p w14:paraId="06C87AEA"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583" w:type="pct"/>
            <w:vMerge w:val="restart"/>
            <w:tcBorders>
              <w:top w:val="single" w:sz="4" w:space="0" w:color="auto"/>
            </w:tcBorders>
          </w:tcPr>
          <w:p w14:paraId="54201C54"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6EEB9AA1"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5F9803B4"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65D2FBE9"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0.62</w:t>
            </w:r>
          </w:p>
          <w:p w14:paraId="6A170C95"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32" w:type="pct"/>
            <w:vMerge w:val="restart"/>
            <w:tcBorders>
              <w:top w:val="single" w:sz="4" w:space="0" w:color="auto"/>
            </w:tcBorders>
          </w:tcPr>
          <w:p w14:paraId="114AA266"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7744D69A"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26E9D0F3"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7301CF9E"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0.89</w:t>
            </w:r>
          </w:p>
        </w:tc>
        <w:tc>
          <w:tcPr>
            <w:tcW w:w="901" w:type="pct"/>
            <w:vMerge w:val="restart"/>
            <w:tcBorders>
              <w:top w:val="single" w:sz="4" w:space="0" w:color="auto"/>
            </w:tcBorders>
          </w:tcPr>
          <w:p w14:paraId="2786DC55"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7BBF6D23"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79CAC3C2"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72C4E6FB"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0.89</w:t>
            </w:r>
          </w:p>
          <w:p w14:paraId="06DE0E9E"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(0.87—0.91)</w:t>
            </w:r>
          </w:p>
        </w:tc>
      </w:tr>
      <w:tr w:rsidR="00532C7F" w:rsidRPr="00233381" w14:paraId="646F63DA" w14:textId="77777777" w:rsidTr="00357467">
        <w:tc>
          <w:tcPr>
            <w:tcW w:w="744" w:type="pct"/>
            <w:vMerge/>
          </w:tcPr>
          <w:p w14:paraId="248DBE76" w14:textId="77777777" w:rsidR="00532C7F" w:rsidRPr="00233381" w:rsidRDefault="00532C7F" w:rsidP="00A553E4">
            <w:pPr>
              <w:spacing w:line="240" w:lineRule="auto"/>
              <w:jc w:val="both"/>
              <w:rPr>
                <w:rFonts w:asciiTheme="minorHAnsi" w:hAnsiTheme="minorHAnsi" w:cstheme="minorHAnsi"/>
                <w:sz w:val="24"/>
                <w:szCs w:val="24"/>
                <w:lang w:val="en-US"/>
              </w:rPr>
            </w:pPr>
          </w:p>
        </w:tc>
        <w:tc>
          <w:tcPr>
            <w:tcW w:w="690" w:type="pct"/>
          </w:tcPr>
          <w:p w14:paraId="6CD0888F" w14:textId="77777777" w:rsidR="00532C7F" w:rsidRPr="00233381" w:rsidRDefault="00532C7F" w:rsidP="00A553E4">
            <w:pPr>
              <w:spacing w:line="240" w:lineRule="auto"/>
              <w:rPr>
                <w:rFonts w:asciiTheme="minorHAnsi" w:hAnsiTheme="minorHAnsi" w:cstheme="minorHAnsi"/>
                <w:sz w:val="24"/>
                <w:szCs w:val="24"/>
                <w:lang w:val="en-US"/>
              </w:rPr>
            </w:pPr>
            <w:r w:rsidRPr="00233381">
              <w:rPr>
                <w:rFonts w:asciiTheme="minorHAnsi" w:hAnsiTheme="minorHAnsi" w:cstheme="minorHAnsi"/>
                <w:sz w:val="24"/>
                <w:szCs w:val="24"/>
                <w:lang w:val="en-US"/>
              </w:rPr>
              <w:t>DASS6</w:t>
            </w:r>
          </w:p>
        </w:tc>
        <w:tc>
          <w:tcPr>
            <w:tcW w:w="484" w:type="pct"/>
          </w:tcPr>
          <w:p w14:paraId="1713D209"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0.73</w:t>
            </w:r>
          </w:p>
        </w:tc>
        <w:tc>
          <w:tcPr>
            <w:tcW w:w="749" w:type="pct"/>
          </w:tcPr>
          <w:p w14:paraId="6E6D4EF3"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0.40</w:t>
            </w:r>
          </w:p>
        </w:tc>
        <w:tc>
          <w:tcPr>
            <w:tcW w:w="417" w:type="pct"/>
            <w:vMerge/>
          </w:tcPr>
          <w:p w14:paraId="727ABC81"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583" w:type="pct"/>
            <w:vMerge/>
          </w:tcPr>
          <w:p w14:paraId="699EA75B"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32" w:type="pct"/>
            <w:vMerge/>
          </w:tcPr>
          <w:p w14:paraId="06875010"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901" w:type="pct"/>
            <w:vMerge/>
          </w:tcPr>
          <w:p w14:paraId="10172EE9" w14:textId="77777777" w:rsidR="00532C7F" w:rsidRPr="00233381" w:rsidRDefault="00532C7F" w:rsidP="00A553E4">
            <w:pPr>
              <w:spacing w:line="240" w:lineRule="auto"/>
              <w:jc w:val="center"/>
              <w:rPr>
                <w:rFonts w:asciiTheme="minorHAnsi" w:hAnsiTheme="minorHAnsi" w:cstheme="minorHAnsi"/>
                <w:sz w:val="24"/>
                <w:szCs w:val="24"/>
                <w:lang w:val="en-US"/>
              </w:rPr>
            </w:pPr>
          </w:p>
        </w:tc>
      </w:tr>
      <w:tr w:rsidR="00532C7F" w:rsidRPr="00233381" w14:paraId="584F8BA6" w14:textId="77777777" w:rsidTr="00357467">
        <w:tc>
          <w:tcPr>
            <w:tcW w:w="744" w:type="pct"/>
            <w:vMerge/>
          </w:tcPr>
          <w:p w14:paraId="20569FC7" w14:textId="77777777" w:rsidR="00532C7F" w:rsidRPr="00233381" w:rsidRDefault="00532C7F" w:rsidP="00A553E4">
            <w:pPr>
              <w:spacing w:line="240" w:lineRule="auto"/>
              <w:jc w:val="both"/>
              <w:rPr>
                <w:rFonts w:asciiTheme="minorHAnsi" w:hAnsiTheme="minorHAnsi" w:cstheme="minorHAnsi"/>
                <w:sz w:val="24"/>
                <w:szCs w:val="24"/>
                <w:lang w:val="en-US"/>
              </w:rPr>
            </w:pPr>
          </w:p>
        </w:tc>
        <w:tc>
          <w:tcPr>
            <w:tcW w:w="690" w:type="pct"/>
          </w:tcPr>
          <w:p w14:paraId="363C5941" w14:textId="77777777" w:rsidR="00532C7F" w:rsidRPr="00233381" w:rsidRDefault="00532C7F" w:rsidP="00A553E4">
            <w:pPr>
              <w:spacing w:line="240" w:lineRule="auto"/>
              <w:rPr>
                <w:rFonts w:asciiTheme="minorHAnsi" w:hAnsiTheme="minorHAnsi" w:cstheme="minorHAnsi"/>
                <w:sz w:val="24"/>
                <w:szCs w:val="24"/>
                <w:lang w:val="en-US"/>
              </w:rPr>
            </w:pPr>
            <w:r w:rsidRPr="00233381">
              <w:rPr>
                <w:rFonts w:asciiTheme="minorHAnsi" w:hAnsiTheme="minorHAnsi" w:cstheme="minorHAnsi"/>
                <w:sz w:val="24"/>
                <w:szCs w:val="24"/>
                <w:lang w:val="en-US"/>
              </w:rPr>
              <w:t>DASS8</w:t>
            </w:r>
          </w:p>
        </w:tc>
        <w:tc>
          <w:tcPr>
            <w:tcW w:w="484" w:type="pct"/>
          </w:tcPr>
          <w:p w14:paraId="4438E2C9"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0.85</w:t>
            </w:r>
          </w:p>
        </w:tc>
        <w:tc>
          <w:tcPr>
            <w:tcW w:w="749" w:type="pct"/>
          </w:tcPr>
          <w:p w14:paraId="5561207F"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0.73</w:t>
            </w:r>
          </w:p>
        </w:tc>
        <w:tc>
          <w:tcPr>
            <w:tcW w:w="417" w:type="pct"/>
            <w:vMerge/>
          </w:tcPr>
          <w:p w14:paraId="0A287C0F"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583" w:type="pct"/>
            <w:vMerge/>
          </w:tcPr>
          <w:p w14:paraId="4E2C0FB5"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32" w:type="pct"/>
            <w:vMerge/>
          </w:tcPr>
          <w:p w14:paraId="0B637ECE"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901" w:type="pct"/>
            <w:vMerge/>
          </w:tcPr>
          <w:p w14:paraId="03045578" w14:textId="77777777" w:rsidR="00532C7F" w:rsidRPr="00233381" w:rsidRDefault="00532C7F" w:rsidP="00A553E4">
            <w:pPr>
              <w:spacing w:line="240" w:lineRule="auto"/>
              <w:jc w:val="center"/>
              <w:rPr>
                <w:rFonts w:asciiTheme="minorHAnsi" w:hAnsiTheme="minorHAnsi" w:cstheme="minorHAnsi"/>
                <w:sz w:val="24"/>
                <w:szCs w:val="24"/>
                <w:lang w:val="en-US"/>
              </w:rPr>
            </w:pPr>
          </w:p>
        </w:tc>
      </w:tr>
      <w:tr w:rsidR="00532C7F" w:rsidRPr="00233381" w14:paraId="06015CF7" w14:textId="77777777" w:rsidTr="00357467">
        <w:tc>
          <w:tcPr>
            <w:tcW w:w="744" w:type="pct"/>
            <w:vMerge/>
          </w:tcPr>
          <w:p w14:paraId="7EAD3BD7" w14:textId="77777777" w:rsidR="00532C7F" w:rsidRPr="00233381" w:rsidRDefault="00532C7F" w:rsidP="00A553E4">
            <w:pPr>
              <w:spacing w:line="240" w:lineRule="auto"/>
              <w:jc w:val="both"/>
              <w:rPr>
                <w:rFonts w:asciiTheme="minorHAnsi" w:hAnsiTheme="minorHAnsi" w:cstheme="minorHAnsi"/>
                <w:sz w:val="24"/>
                <w:szCs w:val="24"/>
                <w:lang w:val="en-US"/>
              </w:rPr>
            </w:pPr>
          </w:p>
        </w:tc>
        <w:tc>
          <w:tcPr>
            <w:tcW w:w="690" w:type="pct"/>
          </w:tcPr>
          <w:p w14:paraId="56DDA476" w14:textId="77777777" w:rsidR="00532C7F" w:rsidRPr="00233381" w:rsidRDefault="00532C7F" w:rsidP="00A553E4">
            <w:pPr>
              <w:spacing w:line="240" w:lineRule="auto"/>
              <w:rPr>
                <w:rFonts w:asciiTheme="minorHAnsi" w:hAnsiTheme="minorHAnsi" w:cstheme="minorHAnsi"/>
                <w:sz w:val="24"/>
                <w:szCs w:val="24"/>
                <w:lang w:val="en-US"/>
              </w:rPr>
            </w:pPr>
            <w:r w:rsidRPr="00233381">
              <w:rPr>
                <w:rFonts w:asciiTheme="minorHAnsi" w:hAnsiTheme="minorHAnsi" w:cstheme="minorHAnsi"/>
                <w:sz w:val="24"/>
                <w:szCs w:val="24"/>
                <w:lang w:val="en-US"/>
              </w:rPr>
              <w:t>DASS11</w:t>
            </w:r>
          </w:p>
        </w:tc>
        <w:tc>
          <w:tcPr>
            <w:tcW w:w="484" w:type="pct"/>
          </w:tcPr>
          <w:p w14:paraId="0FFB185D"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0.81</w:t>
            </w:r>
          </w:p>
        </w:tc>
        <w:tc>
          <w:tcPr>
            <w:tcW w:w="749" w:type="pct"/>
          </w:tcPr>
          <w:p w14:paraId="2EE264EE"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0.66</w:t>
            </w:r>
          </w:p>
        </w:tc>
        <w:tc>
          <w:tcPr>
            <w:tcW w:w="417" w:type="pct"/>
            <w:vMerge/>
          </w:tcPr>
          <w:p w14:paraId="3E46BA54"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583" w:type="pct"/>
            <w:vMerge/>
          </w:tcPr>
          <w:p w14:paraId="3A670760"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32" w:type="pct"/>
            <w:vMerge/>
          </w:tcPr>
          <w:p w14:paraId="1D92C611"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901" w:type="pct"/>
            <w:vMerge/>
          </w:tcPr>
          <w:p w14:paraId="22C54C00" w14:textId="77777777" w:rsidR="00532C7F" w:rsidRPr="00233381" w:rsidRDefault="00532C7F" w:rsidP="00A553E4">
            <w:pPr>
              <w:spacing w:line="240" w:lineRule="auto"/>
              <w:jc w:val="center"/>
              <w:rPr>
                <w:rFonts w:asciiTheme="minorHAnsi" w:hAnsiTheme="minorHAnsi" w:cstheme="minorHAnsi"/>
                <w:sz w:val="24"/>
                <w:szCs w:val="24"/>
                <w:lang w:val="en-US"/>
              </w:rPr>
            </w:pPr>
          </w:p>
        </w:tc>
      </w:tr>
      <w:tr w:rsidR="00532C7F" w:rsidRPr="00233381" w14:paraId="455118F9" w14:textId="77777777" w:rsidTr="00357467">
        <w:tc>
          <w:tcPr>
            <w:tcW w:w="744" w:type="pct"/>
            <w:vMerge/>
          </w:tcPr>
          <w:p w14:paraId="7D5835B6" w14:textId="77777777" w:rsidR="00532C7F" w:rsidRPr="00233381" w:rsidRDefault="00532C7F" w:rsidP="00A553E4">
            <w:pPr>
              <w:spacing w:line="240" w:lineRule="auto"/>
              <w:jc w:val="both"/>
              <w:rPr>
                <w:rFonts w:asciiTheme="minorHAnsi" w:hAnsiTheme="minorHAnsi" w:cstheme="minorHAnsi"/>
                <w:sz w:val="24"/>
                <w:szCs w:val="24"/>
                <w:lang w:val="en-US"/>
              </w:rPr>
            </w:pPr>
          </w:p>
        </w:tc>
        <w:tc>
          <w:tcPr>
            <w:tcW w:w="690" w:type="pct"/>
          </w:tcPr>
          <w:p w14:paraId="3C1179FC" w14:textId="77777777" w:rsidR="00532C7F" w:rsidRPr="00233381" w:rsidRDefault="00532C7F" w:rsidP="00A553E4">
            <w:pPr>
              <w:spacing w:line="240" w:lineRule="auto"/>
              <w:rPr>
                <w:rFonts w:asciiTheme="minorHAnsi" w:hAnsiTheme="minorHAnsi" w:cstheme="minorHAnsi"/>
                <w:sz w:val="24"/>
                <w:szCs w:val="24"/>
                <w:lang w:val="en-US"/>
              </w:rPr>
            </w:pPr>
            <w:r w:rsidRPr="00233381">
              <w:rPr>
                <w:rFonts w:asciiTheme="minorHAnsi" w:hAnsiTheme="minorHAnsi" w:cstheme="minorHAnsi"/>
                <w:sz w:val="24"/>
                <w:szCs w:val="24"/>
                <w:lang w:val="en-US"/>
              </w:rPr>
              <w:t>DASS12</w:t>
            </w:r>
          </w:p>
        </w:tc>
        <w:tc>
          <w:tcPr>
            <w:tcW w:w="484" w:type="pct"/>
          </w:tcPr>
          <w:p w14:paraId="05817D8F"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0.83</w:t>
            </w:r>
          </w:p>
        </w:tc>
        <w:tc>
          <w:tcPr>
            <w:tcW w:w="749" w:type="pct"/>
          </w:tcPr>
          <w:p w14:paraId="53BA9597"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0.68</w:t>
            </w:r>
          </w:p>
        </w:tc>
        <w:tc>
          <w:tcPr>
            <w:tcW w:w="417" w:type="pct"/>
            <w:vMerge/>
          </w:tcPr>
          <w:p w14:paraId="38099600"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583" w:type="pct"/>
            <w:vMerge/>
          </w:tcPr>
          <w:p w14:paraId="62CC572A"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32" w:type="pct"/>
            <w:vMerge/>
          </w:tcPr>
          <w:p w14:paraId="5438C5F1"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901" w:type="pct"/>
            <w:vMerge/>
          </w:tcPr>
          <w:p w14:paraId="210E86AB" w14:textId="77777777" w:rsidR="00532C7F" w:rsidRPr="00233381" w:rsidRDefault="00532C7F" w:rsidP="00A553E4">
            <w:pPr>
              <w:spacing w:line="240" w:lineRule="auto"/>
              <w:jc w:val="center"/>
              <w:rPr>
                <w:rFonts w:asciiTheme="minorHAnsi" w:hAnsiTheme="minorHAnsi" w:cstheme="minorHAnsi"/>
                <w:sz w:val="24"/>
                <w:szCs w:val="24"/>
                <w:lang w:val="en-US"/>
              </w:rPr>
            </w:pPr>
          </w:p>
        </w:tc>
      </w:tr>
      <w:tr w:rsidR="00532C7F" w:rsidRPr="00233381" w14:paraId="2F740015" w14:textId="77777777" w:rsidTr="00357467">
        <w:tc>
          <w:tcPr>
            <w:tcW w:w="744" w:type="pct"/>
            <w:vMerge/>
          </w:tcPr>
          <w:p w14:paraId="5337F3E7" w14:textId="77777777" w:rsidR="00532C7F" w:rsidRPr="00233381" w:rsidRDefault="00532C7F" w:rsidP="00A553E4">
            <w:pPr>
              <w:spacing w:line="240" w:lineRule="auto"/>
              <w:jc w:val="both"/>
              <w:rPr>
                <w:rFonts w:asciiTheme="minorHAnsi" w:hAnsiTheme="minorHAnsi" w:cstheme="minorHAnsi"/>
                <w:sz w:val="24"/>
                <w:szCs w:val="24"/>
                <w:lang w:val="en-US"/>
              </w:rPr>
            </w:pPr>
          </w:p>
        </w:tc>
        <w:tc>
          <w:tcPr>
            <w:tcW w:w="690" w:type="pct"/>
          </w:tcPr>
          <w:p w14:paraId="2494D0E4" w14:textId="77777777" w:rsidR="00532C7F" w:rsidRPr="00233381" w:rsidRDefault="00532C7F" w:rsidP="00A553E4">
            <w:pPr>
              <w:spacing w:line="240" w:lineRule="auto"/>
              <w:rPr>
                <w:rFonts w:asciiTheme="minorHAnsi" w:hAnsiTheme="minorHAnsi" w:cstheme="minorHAnsi"/>
                <w:sz w:val="24"/>
                <w:szCs w:val="24"/>
                <w:lang w:val="en-US"/>
              </w:rPr>
            </w:pPr>
            <w:r w:rsidRPr="00233381">
              <w:rPr>
                <w:rFonts w:asciiTheme="minorHAnsi" w:hAnsiTheme="minorHAnsi" w:cstheme="minorHAnsi"/>
                <w:sz w:val="24"/>
                <w:szCs w:val="24"/>
                <w:lang w:val="en-US"/>
              </w:rPr>
              <w:t>DASS14</w:t>
            </w:r>
          </w:p>
        </w:tc>
        <w:tc>
          <w:tcPr>
            <w:tcW w:w="484" w:type="pct"/>
          </w:tcPr>
          <w:p w14:paraId="7C1E8AD9"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0.73</w:t>
            </w:r>
          </w:p>
        </w:tc>
        <w:tc>
          <w:tcPr>
            <w:tcW w:w="749" w:type="pct"/>
          </w:tcPr>
          <w:p w14:paraId="3AC1A6BC"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0.59</w:t>
            </w:r>
          </w:p>
        </w:tc>
        <w:tc>
          <w:tcPr>
            <w:tcW w:w="417" w:type="pct"/>
            <w:vMerge/>
          </w:tcPr>
          <w:p w14:paraId="32265689"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583" w:type="pct"/>
            <w:vMerge/>
          </w:tcPr>
          <w:p w14:paraId="03D29041"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32" w:type="pct"/>
            <w:vMerge/>
          </w:tcPr>
          <w:p w14:paraId="3FF4AFDB"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901" w:type="pct"/>
            <w:vMerge/>
          </w:tcPr>
          <w:p w14:paraId="290B3EC6" w14:textId="77777777" w:rsidR="00532C7F" w:rsidRPr="00233381" w:rsidRDefault="00532C7F" w:rsidP="00A553E4">
            <w:pPr>
              <w:spacing w:line="240" w:lineRule="auto"/>
              <w:jc w:val="center"/>
              <w:rPr>
                <w:rFonts w:asciiTheme="minorHAnsi" w:hAnsiTheme="minorHAnsi" w:cstheme="minorHAnsi"/>
                <w:sz w:val="24"/>
                <w:szCs w:val="24"/>
                <w:lang w:val="en-US"/>
              </w:rPr>
            </w:pPr>
          </w:p>
        </w:tc>
      </w:tr>
      <w:tr w:rsidR="00532C7F" w:rsidRPr="00233381" w14:paraId="0751DB99" w14:textId="77777777" w:rsidTr="00357467">
        <w:tc>
          <w:tcPr>
            <w:tcW w:w="744" w:type="pct"/>
            <w:vMerge/>
          </w:tcPr>
          <w:p w14:paraId="1033EA6B" w14:textId="77777777" w:rsidR="00532C7F" w:rsidRPr="00233381" w:rsidRDefault="00532C7F" w:rsidP="00A553E4">
            <w:pPr>
              <w:spacing w:line="240" w:lineRule="auto"/>
              <w:jc w:val="both"/>
              <w:rPr>
                <w:rFonts w:asciiTheme="minorHAnsi" w:hAnsiTheme="minorHAnsi" w:cstheme="minorHAnsi"/>
                <w:sz w:val="24"/>
                <w:szCs w:val="24"/>
                <w:lang w:val="en-US"/>
              </w:rPr>
            </w:pPr>
          </w:p>
        </w:tc>
        <w:tc>
          <w:tcPr>
            <w:tcW w:w="690" w:type="pct"/>
          </w:tcPr>
          <w:p w14:paraId="32B4B49B" w14:textId="77777777" w:rsidR="00532C7F" w:rsidRPr="00233381" w:rsidRDefault="00532C7F" w:rsidP="00A553E4">
            <w:pPr>
              <w:spacing w:line="240" w:lineRule="auto"/>
              <w:rPr>
                <w:rFonts w:asciiTheme="minorHAnsi" w:hAnsiTheme="minorHAnsi" w:cstheme="minorHAnsi"/>
                <w:sz w:val="24"/>
                <w:szCs w:val="24"/>
                <w:lang w:val="en-US"/>
              </w:rPr>
            </w:pPr>
            <w:r w:rsidRPr="00233381">
              <w:rPr>
                <w:rFonts w:asciiTheme="minorHAnsi" w:hAnsiTheme="minorHAnsi" w:cstheme="minorHAnsi"/>
                <w:sz w:val="24"/>
                <w:szCs w:val="24"/>
                <w:lang w:val="en-US"/>
              </w:rPr>
              <w:t>DASS18</w:t>
            </w:r>
          </w:p>
        </w:tc>
        <w:tc>
          <w:tcPr>
            <w:tcW w:w="484" w:type="pct"/>
          </w:tcPr>
          <w:p w14:paraId="59817ED1"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0.79</w:t>
            </w:r>
          </w:p>
        </w:tc>
        <w:tc>
          <w:tcPr>
            <w:tcW w:w="749" w:type="pct"/>
          </w:tcPr>
          <w:p w14:paraId="57EAEFF7"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0.48</w:t>
            </w:r>
          </w:p>
        </w:tc>
        <w:tc>
          <w:tcPr>
            <w:tcW w:w="417" w:type="pct"/>
            <w:vMerge/>
          </w:tcPr>
          <w:p w14:paraId="6B04C0FA"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583" w:type="pct"/>
            <w:vMerge/>
          </w:tcPr>
          <w:p w14:paraId="306C2664"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32" w:type="pct"/>
            <w:vMerge/>
          </w:tcPr>
          <w:p w14:paraId="40098FA3"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901" w:type="pct"/>
            <w:vMerge/>
          </w:tcPr>
          <w:p w14:paraId="49D83ABA" w14:textId="77777777" w:rsidR="00532C7F" w:rsidRPr="00233381" w:rsidRDefault="00532C7F" w:rsidP="00A553E4">
            <w:pPr>
              <w:spacing w:line="240" w:lineRule="auto"/>
              <w:jc w:val="center"/>
              <w:rPr>
                <w:rFonts w:asciiTheme="minorHAnsi" w:hAnsiTheme="minorHAnsi" w:cstheme="minorHAnsi"/>
                <w:sz w:val="24"/>
                <w:szCs w:val="24"/>
                <w:lang w:val="en-US"/>
              </w:rPr>
            </w:pPr>
          </w:p>
        </w:tc>
      </w:tr>
      <w:tr w:rsidR="00532C7F" w:rsidRPr="00233381" w14:paraId="408C85A2" w14:textId="77777777" w:rsidTr="00357467">
        <w:tc>
          <w:tcPr>
            <w:tcW w:w="744" w:type="pct"/>
          </w:tcPr>
          <w:p w14:paraId="6A6230E1" w14:textId="77777777" w:rsidR="00532C7F" w:rsidRPr="00233381" w:rsidRDefault="00532C7F" w:rsidP="00A553E4">
            <w:pPr>
              <w:spacing w:line="240" w:lineRule="auto"/>
              <w:jc w:val="both"/>
              <w:rPr>
                <w:rFonts w:asciiTheme="minorHAnsi" w:hAnsiTheme="minorHAnsi" w:cstheme="minorHAnsi"/>
                <w:sz w:val="24"/>
                <w:szCs w:val="24"/>
                <w:lang w:val="en-US"/>
              </w:rPr>
            </w:pPr>
          </w:p>
        </w:tc>
        <w:tc>
          <w:tcPr>
            <w:tcW w:w="690" w:type="pct"/>
          </w:tcPr>
          <w:p w14:paraId="53FA1FB3"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84" w:type="pct"/>
          </w:tcPr>
          <w:p w14:paraId="3D9EE873"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749" w:type="pct"/>
          </w:tcPr>
          <w:p w14:paraId="14485620"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17" w:type="pct"/>
          </w:tcPr>
          <w:p w14:paraId="361CD501"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583" w:type="pct"/>
          </w:tcPr>
          <w:p w14:paraId="0B2456DE"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32" w:type="pct"/>
          </w:tcPr>
          <w:p w14:paraId="0C252B6A"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901" w:type="pct"/>
          </w:tcPr>
          <w:p w14:paraId="08FF2DCB" w14:textId="77777777" w:rsidR="00532C7F" w:rsidRPr="00233381" w:rsidRDefault="00532C7F" w:rsidP="00A553E4">
            <w:pPr>
              <w:spacing w:line="240" w:lineRule="auto"/>
              <w:jc w:val="center"/>
              <w:rPr>
                <w:rFonts w:asciiTheme="minorHAnsi" w:hAnsiTheme="minorHAnsi" w:cstheme="minorHAnsi"/>
                <w:sz w:val="24"/>
                <w:szCs w:val="24"/>
                <w:lang w:val="en-US"/>
              </w:rPr>
            </w:pPr>
          </w:p>
        </w:tc>
      </w:tr>
      <w:tr w:rsidR="00532C7F" w:rsidRPr="00233381" w14:paraId="6F9B4D34" w14:textId="77777777" w:rsidTr="00357467">
        <w:tc>
          <w:tcPr>
            <w:tcW w:w="744" w:type="pct"/>
            <w:vMerge w:val="restart"/>
          </w:tcPr>
          <w:p w14:paraId="69EF7D3A" w14:textId="77777777" w:rsidR="00532C7F" w:rsidRPr="00233381" w:rsidRDefault="00532C7F" w:rsidP="00A553E4">
            <w:pPr>
              <w:spacing w:line="240" w:lineRule="auto"/>
              <w:jc w:val="both"/>
              <w:rPr>
                <w:rFonts w:asciiTheme="minorHAnsi" w:hAnsiTheme="minorHAnsi" w:cstheme="minorHAnsi"/>
                <w:sz w:val="24"/>
                <w:szCs w:val="24"/>
                <w:lang w:val="en-US"/>
              </w:rPr>
            </w:pPr>
          </w:p>
          <w:p w14:paraId="23A4110F" w14:textId="77777777" w:rsidR="00532C7F" w:rsidRPr="00233381" w:rsidRDefault="00532C7F" w:rsidP="00A553E4">
            <w:pPr>
              <w:spacing w:line="240" w:lineRule="auto"/>
              <w:jc w:val="both"/>
              <w:rPr>
                <w:rFonts w:asciiTheme="minorHAnsi" w:hAnsiTheme="minorHAnsi" w:cstheme="minorHAnsi"/>
                <w:sz w:val="24"/>
                <w:szCs w:val="24"/>
                <w:lang w:val="en-US"/>
              </w:rPr>
            </w:pPr>
          </w:p>
          <w:p w14:paraId="682F3102" w14:textId="77777777" w:rsidR="00532C7F" w:rsidRPr="00233381" w:rsidRDefault="00532C7F" w:rsidP="00A553E4">
            <w:pPr>
              <w:spacing w:line="240" w:lineRule="auto"/>
              <w:jc w:val="both"/>
              <w:rPr>
                <w:rFonts w:asciiTheme="minorHAnsi" w:hAnsiTheme="minorHAnsi" w:cstheme="minorHAnsi"/>
                <w:sz w:val="24"/>
                <w:szCs w:val="24"/>
                <w:lang w:val="en-US"/>
              </w:rPr>
            </w:pPr>
          </w:p>
          <w:p w14:paraId="7577FB48" w14:textId="77777777" w:rsidR="00532C7F" w:rsidRPr="00233381" w:rsidRDefault="00532C7F" w:rsidP="00A553E4">
            <w:pPr>
              <w:spacing w:line="240" w:lineRule="auto"/>
              <w:jc w:val="both"/>
              <w:rPr>
                <w:rFonts w:asciiTheme="minorHAnsi" w:hAnsiTheme="minorHAnsi" w:cstheme="minorHAnsi"/>
                <w:sz w:val="24"/>
                <w:szCs w:val="24"/>
                <w:lang w:val="en-US"/>
              </w:rPr>
            </w:pPr>
            <w:r w:rsidRPr="00233381">
              <w:rPr>
                <w:rFonts w:asciiTheme="minorHAnsi" w:hAnsiTheme="minorHAnsi" w:cstheme="minorHAnsi"/>
                <w:sz w:val="24"/>
                <w:szCs w:val="24"/>
                <w:lang w:val="en-US"/>
              </w:rPr>
              <w:t>Anxiety</w:t>
            </w:r>
          </w:p>
        </w:tc>
        <w:tc>
          <w:tcPr>
            <w:tcW w:w="690" w:type="pct"/>
          </w:tcPr>
          <w:p w14:paraId="16EFE608" w14:textId="77777777" w:rsidR="00532C7F" w:rsidRPr="00233381" w:rsidRDefault="00532C7F" w:rsidP="00A553E4">
            <w:pPr>
              <w:spacing w:line="240" w:lineRule="auto"/>
              <w:rPr>
                <w:rFonts w:asciiTheme="minorHAnsi" w:hAnsiTheme="minorHAnsi" w:cstheme="minorHAnsi"/>
                <w:sz w:val="24"/>
                <w:szCs w:val="24"/>
                <w:lang w:val="en-US"/>
              </w:rPr>
            </w:pPr>
            <w:r w:rsidRPr="00233381">
              <w:rPr>
                <w:rFonts w:asciiTheme="minorHAnsi" w:hAnsiTheme="minorHAnsi" w:cstheme="minorHAnsi"/>
                <w:sz w:val="24"/>
                <w:szCs w:val="24"/>
                <w:lang w:val="en-US"/>
              </w:rPr>
              <w:t>DASS2</w:t>
            </w:r>
          </w:p>
        </w:tc>
        <w:tc>
          <w:tcPr>
            <w:tcW w:w="484" w:type="pct"/>
          </w:tcPr>
          <w:p w14:paraId="0C58718A"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0.79</w:t>
            </w:r>
          </w:p>
        </w:tc>
        <w:tc>
          <w:tcPr>
            <w:tcW w:w="749" w:type="pct"/>
          </w:tcPr>
          <w:p w14:paraId="38086A30"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0.53</w:t>
            </w:r>
          </w:p>
        </w:tc>
        <w:tc>
          <w:tcPr>
            <w:tcW w:w="417" w:type="pct"/>
            <w:vMerge w:val="restart"/>
          </w:tcPr>
          <w:p w14:paraId="35DE8FFA"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364629CF"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3CBEC8AF"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7E25BD48"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0.90</w:t>
            </w:r>
          </w:p>
          <w:p w14:paraId="08DB7FF3"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583" w:type="pct"/>
            <w:vMerge w:val="restart"/>
          </w:tcPr>
          <w:p w14:paraId="67C84C71"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0A29699D"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71C5685A"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3D412700"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0.59</w:t>
            </w:r>
          </w:p>
          <w:p w14:paraId="078210D5"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32" w:type="pct"/>
            <w:vMerge w:val="restart"/>
          </w:tcPr>
          <w:p w14:paraId="23CC6916"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73E84330"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30666C3E"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64535E43"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0.88</w:t>
            </w:r>
          </w:p>
        </w:tc>
        <w:tc>
          <w:tcPr>
            <w:tcW w:w="901" w:type="pct"/>
            <w:vMerge w:val="restart"/>
          </w:tcPr>
          <w:p w14:paraId="6D542513"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501F49F4"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5B64FFD0"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4CB6B729"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0.88</w:t>
            </w:r>
          </w:p>
          <w:p w14:paraId="189D8F9E"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(0.86—0.91)</w:t>
            </w:r>
          </w:p>
        </w:tc>
      </w:tr>
      <w:tr w:rsidR="00532C7F" w:rsidRPr="00233381" w14:paraId="0B4F498E" w14:textId="77777777" w:rsidTr="00357467">
        <w:tc>
          <w:tcPr>
            <w:tcW w:w="744" w:type="pct"/>
            <w:vMerge/>
          </w:tcPr>
          <w:p w14:paraId="33EDB58F" w14:textId="77777777" w:rsidR="00532C7F" w:rsidRPr="00233381" w:rsidRDefault="00532C7F" w:rsidP="00A553E4">
            <w:pPr>
              <w:spacing w:line="240" w:lineRule="auto"/>
              <w:jc w:val="both"/>
              <w:rPr>
                <w:rFonts w:asciiTheme="minorHAnsi" w:hAnsiTheme="minorHAnsi" w:cstheme="minorHAnsi"/>
                <w:sz w:val="24"/>
                <w:szCs w:val="24"/>
                <w:lang w:val="en-US"/>
              </w:rPr>
            </w:pPr>
          </w:p>
        </w:tc>
        <w:tc>
          <w:tcPr>
            <w:tcW w:w="690" w:type="pct"/>
          </w:tcPr>
          <w:p w14:paraId="415AF78E" w14:textId="77777777" w:rsidR="00532C7F" w:rsidRPr="00233381" w:rsidRDefault="00532C7F" w:rsidP="00A553E4">
            <w:pPr>
              <w:spacing w:line="240" w:lineRule="auto"/>
              <w:rPr>
                <w:rFonts w:asciiTheme="minorHAnsi" w:hAnsiTheme="minorHAnsi" w:cstheme="minorHAnsi"/>
                <w:sz w:val="24"/>
                <w:szCs w:val="24"/>
                <w:lang w:val="en-US"/>
              </w:rPr>
            </w:pPr>
            <w:r w:rsidRPr="00233381">
              <w:rPr>
                <w:rFonts w:asciiTheme="minorHAnsi" w:hAnsiTheme="minorHAnsi" w:cstheme="minorHAnsi"/>
                <w:sz w:val="24"/>
                <w:szCs w:val="24"/>
                <w:lang w:val="en-US"/>
              </w:rPr>
              <w:t>DASS4</w:t>
            </w:r>
          </w:p>
        </w:tc>
        <w:tc>
          <w:tcPr>
            <w:tcW w:w="484" w:type="pct"/>
          </w:tcPr>
          <w:p w14:paraId="59D7DCCC"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0.73</w:t>
            </w:r>
          </w:p>
        </w:tc>
        <w:tc>
          <w:tcPr>
            <w:tcW w:w="749" w:type="pct"/>
          </w:tcPr>
          <w:p w14:paraId="493E729F"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0.43</w:t>
            </w:r>
          </w:p>
        </w:tc>
        <w:tc>
          <w:tcPr>
            <w:tcW w:w="417" w:type="pct"/>
            <w:vMerge/>
          </w:tcPr>
          <w:p w14:paraId="7BC028E8"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583" w:type="pct"/>
            <w:vMerge/>
          </w:tcPr>
          <w:p w14:paraId="15EE42BF"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32" w:type="pct"/>
            <w:vMerge/>
          </w:tcPr>
          <w:p w14:paraId="7083539A"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901" w:type="pct"/>
            <w:vMerge/>
          </w:tcPr>
          <w:p w14:paraId="792B4051" w14:textId="77777777" w:rsidR="00532C7F" w:rsidRPr="00233381" w:rsidRDefault="00532C7F" w:rsidP="00A553E4">
            <w:pPr>
              <w:spacing w:line="240" w:lineRule="auto"/>
              <w:jc w:val="center"/>
              <w:rPr>
                <w:rFonts w:asciiTheme="minorHAnsi" w:hAnsiTheme="minorHAnsi" w:cstheme="minorHAnsi"/>
                <w:sz w:val="24"/>
                <w:szCs w:val="24"/>
                <w:lang w:val="en-US"/>
              </w:rPr>
            </w:pPr>
          </w:p>
        </w:tc>
      </w:tr>
      <w:tr w:rsidR="00532C7F" w:rsidRPr="00233381" w14:paraId="007102F5" w14:textId="77777777" w:rsidTr="00357467">
        <w:tc>
          <w:tcPr>
            <w:tcW w:w="744" w:type="pct"/>
            <w:vMerge/>
          </w:tcPr>
          <w:p w14:paraId="7BC5963D" w14:textId="77777777" w:rsidR="00532C7F" w:rsidRPr="00233381" w:rsidRDefault="00532C7F" w:rsidP="00A553E4">
            <w:pPr>
              <w:spacing w:line="240" w:lineRule="auto"/>
              <w:jc w:val="both"/>
              <w:rPr>
                <w:rFonts w:asciiTheme="minorHAnsi" w:hAnsiTheme="minorHAnsi" w:cstheme="minorHAnsi"/>
                <w:sz w:val="24"/>
                <w:szCs w:val="24"/>
                <w:lang w:val="en-US"/>
              </w:rPr>
            </w:pPr>
          </w:p>
        </w:tc>
        <w:tc>
          <w:tcPr>
            <w:tcW w:w="690" w:type="pct"/>
          </w:tcPr>
          <w:p w14:paraId="66219134" w14:textId="77777777" w:rsidR="00532C7F" w:rsidRPr="00233381" w:rsidRDefault="00532C7F" w:rsidP="00A553E4">
            <w:pPr>
              <w:spacing w:line="240" w:lineRule="auto"/>
              <w:rPr>
                <w:rFonts w:asciiTheme="minorHAnsi" w:hAnsiTheme="minorHAnsi" w:cstheme="minorHAnsi"/>
                <w:sz w:val="24"/>
                <w:szCs w:val="24"/>
                <w:lang w:val="en-US"/>
              </w:rPr>
            </w:pPr>
            <w:r w:rsidRPr="00233381">
              <w:rPr>
                <w:rFonts w:asciiTheme="minorHAnsi" w:hAnsiTheme="minorHAnsi" w:cstheme="minorHAnsi"/>
                <w:sz w:val="24"/>
                <w:szCs w:val="24"/>
                <w:lang w:val="en-US"/>
              </w:rPr>
              <w:t>DASS7</w:t>
            </w:r>
          </w:p>
        </w:tc>
        <w:tc>
          <w:tcPr>
            <w:tcW w:w="484" w:type="pct"/>
          </w:tcPr>
          <w:p w14:paraId="30CC5939"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0.75</w:t>
            </w:r>
          </w:p>
        </w:tc>
        <w:tc>
          <w:tcPr>
            <w:tcW w:w="749" w:type="pct"/>
          </w:tcPr>
          <w:p w14:paraId="2A87B7AD"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0.62</w:t>
            </w:r>
          </w:p>
        </w:tc>
        <w:tc>
          <w:tcPr>
            <w:tcW w:w="417" w:type="pct"/>
            <w:vMerge/>
          </w:tcPr>
          <w:p w14:paraId="339E24C4"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583" w:type="pct"/>
            <w:vMerge/>
          </w:tcPr>
          <w:p w14:paraId="54F54087"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32" w:type="pct"/>
            <w:vMerge/>
          </w:tcPr>
          <w:p w14:paraId="5FB96644"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901" w:type="pct"/>
            <w:vMerge/>
          </w:tcPr>
          <w:p w14:paraId="669515C5" w14:textId="77777777" w:rsidR="00532C7F" w:rsidRPr="00233381" w:rsidRDefault="00532C7F" w:rsidP="00A553E4">
            <w:pPr>
              <w:spacing w:line="240" w:lineRule="auto"/>
              <w:jc w:val="center"/>
              <w:rPr>
                <w:rFonts w:asciiTheme="minorHAnsi" w:hAnsiTheme="minorHAnsi" w:cstheme="minorHAnsi"/>
                <w:sz w:val="24"/>
                <w:szCs w:val="24"/>
                <w:lang w:val="en-US"/>
              </w:rPr>
            </w:pPr>
          </w:p>
        </w:tc>
      </w:tr>
      <w:tr w:rsidR="00532C7F" w:rsidRPr="00233381" w14:paraId="0B741305" w14:textId="77777777" w:rsidTr="00357467">
        <w:tc>
          <w:tcPr>
            <w:tcW w:w="744" w:type="pct"/>
            <w:vMerge/>
          </w:tcPr>
          <w:p w14:paraId="0A8B230F" w14:textId="77777777" w:rsidR="00532C7F" w:rsidRPr="00233381" w:rsidRDefault="00532C7F" w:rsidP="00A553E4">
            <w:pPr>
              <w:spacing w:line="240" w:lineRule="auto"/>
              <w:jc w:val="both"/>
              <w:rPr>
                <w:rFonts w:asciiTheme="minorHAnsi" w:hAnsiTheme="minorHAnsi" w:cstheme="minorHAnsi"/>
                <w:sz w:val="24"/>
                <w:szCs w:val="24"/>
                <w:lang w:val="en-US"/>
              </w:rPr>
            </w:pPr>
          </w:p>
        </w:tc>
        <w:tc>
          <w:tcPr>
            <w:tcW w:w="690" w:type="pct"/>
          </w:tcPr>
          <w:p w14:paraId="16CCB6D1" w14:textId="77777777" w:rsidR="00532C7F" w:rsidRPr="00233381" w:rsidRDefault="00532C7F" w:rsidP="00A553E4">
            <w:pPr>
              <w:spacing w:line="240" w:lineRule="auto"/>
              <w:rPr>
                <w:rFonts w:asciiTheme="minorHAnsi" w:hAnsiTheme="minorHAnsi" w:cstheme="minorHAnsi"/>
                <w:sz w:val="24"/>
                <w:szCs w:val="24"/>
                <w:lang w:val="en-US"/>
              </w:rPr>
            </w:pPr>
            <w:r w:rsidRPr="00233381">
              <w:rPr>
                <w:rFonts w:asciiTheme="minorHAnsi" w:hAnsiTheme="minorHAnsi" w:cstheme="minorHAnsi"/>
                <w:sz w:val="24"/>
                <w:szCs w:val="24"/>
                <w:lang w:val="en-US"/>
              </w:rPr>
              <w:t>DASS9</w:t>
            </w:r>
          </w:p>
        </w:tc>
        <w:tc>
          <w:tcPr>
            <w:tcW w:w="484" w:type="pct"/>
          </w:tcPr>
          <w:p w14:paraId="468E3007"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0.79</w:t>
            </w:r>
          </w:p>
        </w:tc>
        <w:tc>
          <w:tcPr>
            <w:tcW w:w="749" w:type="pct"/>
          </w:tcPr>
          <w:p w14:paraId="57D5524C"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0.66</w:t>
            </w:r>
          </w:p>
        </w:tc>
        <w:tc>
          <w:tcPr>
            <w:tcW w:w="417" w:type="pct"/>
            <w:vMerge/>
          </w:tcPr>
          <w:p w14:paraId="2DC3165C"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583" w:type="pct"/>
            <w:vMerge/>
          </w:tcPr>
          <w:p w14:paraId="303D9EB7"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32" w:type="pct"/>
            <w:vMerge/>
          </w:tcPr>
          <w:p w14:paraId="46FE9D69"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901" w:type="pct"/>
            <w:vMerge/>
          </w:tcPr>
          <w:p w14:paraId="30E99133" w14:textId="77777777" w:rsidR="00532C7F" w:rsidRPr="00233381" w:rsidRDefault="00532C7F" w:rsidP="00A553E4">
            <w:pPr>
              <w:spacing w:line="240" w:lineRule="auto"/>
              <w:jc w:val="center"/>
              <w:rPr>
                <w:rFonts w:asciiTheme="minorHAnsi" w:hAnsiTheme="minorHAnsi" w:cstheme="minorHAnsi"/>
                <w:sz w:val="24"/>
                <w:szCs w:val="24"/>
                <w:lang w:val="en-US"/>
              </w:rPr>
            </w:pPr>
          </w:p>
        </w:tc>
      </w:tr>
      <w:tr w:rsidR="00532C7F" w:rsidRPr="00233381" w14:paraId="0B16BB12" w14:textId="77777777" w:rsidTr="00357467">
        <w:tc>
          <w:tcPr>
            <w:tcW w:w="744" w:type="pct"/>
            <w:vMerge/>
          </w:tcPr>
          <w:p w14:paraId="7F0A50D9" w14:textId="77777777" w:rsidR="00532C7F" w:rsidRPr="00233381" w:rsidRDefault="00532C7F" w:rsidP="00A553E4">
            <w:pPr>
              <w:spacing w:line="240" w:lineRule="auto"/>
              <w:jc w:val="both"/>
              <w:rPr>
                <w:rFonts w:asciiTheme="minorHAnsi" w:hAnsiTheme="minorHAnsi" w:cstheme="minorHAnsi"/>
                <w:sz w:val="24"/>
                <w:szCs w:val="24"/>
                <w:lang w:val="en-US"/>
              </w:rPr>
            </w:pPr>
          </w:p>
        </w:tc>
        <w:tc>
          <w:tcPr>
            <w:tcW w:w="690" w:type="pct"/>
          </w:tcPr>
          <w:p w14:paraId="49CC9136" w14:textId="77777777" w:rsidR="00532C7F" w:rsidRPr="00233381" w:rsidRDefault="00532C7F" w:rsidP="00A553E4">
            <w:pPr>
              <w:spacing w:line="240" w:lineRule="auto"/>
              <w:rPr>
                <w:rFonts w:asciiTheme="minorHAnsi" w:hAnsiTheme="minorHAnsi" w:cstheme="minorHAnsi"/>
                <w:sz w:val="24"/>
                <w:szCs w:val="24"/>
                <w:lang w:val="en-US"/>
              </w:rPr>
            </w:pPr>
            <w:r w:rsidRPr="00233381">
              <w:rPr>
                <w:rFonts w:asciiTheme="minorHAnsi" w:hAnsiTheme="minorHAnsi" w:cstheme="minorHAnsi"/>
                <w:sz w:val="24"/>
                <w:szCs w:val="24"/>
                <w:lang w:val="en-US"/>
              </w:rPr>
              <w:t>DASS15</w:t>
            </w:r>
          </w:p>
        </w:tc>
        <w:tc>
          <w:tcPr>
            <w:tcW w:w="484" w:type="pct"/>
          </w:tcPr>
          <w:p w14:paraId="47EBB289"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0.81</w:t>
            </w:r>
          </w:p>
        </w:tc>
        <w:tc>
          <w:tcPr>
            <w:tcW w:w="749" w:type="pct"/>
          </w:tcPr>
          <w:p w14:paraId="382D1D84"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0.55</w:t>
            </w:r>
          </w:p>
        </w:tc>
        <w:tc>
          <w:tcPr>
            <w:tcW w:w="417" w:type="pct"/>
            <w:vMerge/>
          </w:tcPr>
          <w:p w14:paraId="35D23270"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583" w:type="pct"/>
            <w:vMerge/>
          </w:tcPr>
          <w:p w14:paraId="5BE5B23A"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32" w:type="pct"/>
            <w:vMerge/>
          </w:tcPr>
          <w:p w14:paraId="15F3361C"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901" w:type="pct"/>
            <w:vMerge/>
          </w:tcPr>
          <w:p w14:paraId="2E6F9E40" w14:textId="77777777" w:rsidR="00532C7F" w:rsidRPr="00233381" w:rsidRDefault="00532C7F" w:rsidP="00A553E4">
            <w:pPr>
              <w:spacing w:line="240" w:lineRule="auto"/>
              <w:jc w:val="center"/>
              <w:rPr>
                <w:rFonts w:asciiTheme="minorHAnsi" w:hAnsiTheme="minorHAnsi" w:cstheme="minorHAnsi"/>
                <w:sz w:val="24"/>
                <w:szCs w:val="24"/>
                <w:lang w:val="en-US"/>
              </w:rPr>
            </w:pPr>
          </w:p>
        </w:tc>
      </w:tr>
      <w:tr w:rsidR="00532C7F" w:rsidRPr="00233381" w14:paraId="45BD8561" w14:textId="77777777" w:rsidTr="00357467">
        <w:tc>
          <w:tcPr>
            <w:tcW w:w="744" w:type="pct"/>
            <w:vMerge/>
          </w:tcPr>
          <w:p w14:paraId="02134F66" w14:textId="77777777" w:rsidR="00532C7F" w:rsidRPr="00233381" w:rsidRDefault="00532C7F" w:rsidP="00A553E4">
            <w:pPr>
              <w:spacing w:line="240" w:lineRule="auto"/>
              <w:jc w:val="both"/>
              <w:rPr>
                <w:rFonts w:asciiTheme="minorHAnsi" w:hAnsiTheme="minorHAnsi" w:cstheme="minorHAnsi"/>
                <w:sz w:val="24"/>
                <w:szCs w:val="24"/>
                <w:lang w:val="en-US"/>
              </w:rPr>
            </w:pPr>
          </w:p>
        </w:tc>
        <w:tc>
          <w:tcPr>
            <w:tcW w:w="690" w:type="pct"/>
          </w:tcPr>
          <w:p w14:paraId="39D9B5D3" w14:textId="77777777" w:rsidR="00532C7F" w:rsidRPr="00233381" w:rsidRDefault="00532C7F" w:rsidP="00A553E4">
            <w:pPr>
              <w:spacing w:line="240" w:lineRule="auto"/>
              <w:rPr>
                <w:rFonts w:asciiTheme="minorHAnsi" w:hAnsiTheme="minorHAnsi" w:cstheme="minorHAnsi"/>
                <w:sz w:val="24"/>
                <w:szCs w:val="24"/>
                <w:lang w:val="en-US"/>
              </w:rPr>
            </w:pPr>
            <w:r w:rsidRPr="00233381">
              <w:rPr>
                <w:rFonts w:asciiTheme="minorHAnsi" w:hAnsiTheme="minorHAnsi" w:cstheme="minorHAnsi"/>
                <w:sz w:val="24"/>
                <w:szCs w:val="24"/>
                <w:lang w:val="en-US"/>
              </w:rPr>
              <w:t>DASS19</w:t>
            </w:r>
          </w:p>
        </w:tc>
        <w:tc>
          <w:tcPr>
            <w:tcW w:w="484" w:type="pct"/>
          </w:tcPr>
          <w:p w14:paraId="70213B37"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0.74</w:t>
            </w:r>
          </w:p>
        </w:tc>
        <w:tc>
          <w:tcPr>
            <w:tcW w:w="749" w:type="pct"/>
          </w:tcPr>
          <w:p w14:paraId="45E99C79"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0.58</w:t>
            </w:r>
          </w:p>
        </w:tc>
        <w:tc>
          <w:tcPr>
            <w:tcW w:w="417" w:type="pct"/>
            <w:vMerge/>
          </w:tcPr>
          <w:p w14:paraId="2E24B296"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583" w:type="pct"/>
            <w:vMerge/>
          </w:tcPr>
          <w:p w14:paraId="50E3FC28"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32" w:type="pct"/>
            <w:vMerge/>
          </w:tcPr>
          <w:p w14:paraId="554D784D"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901" w:type="pct"/>
            <w:vMerge/>
          </w:tcPr>
          <w:p w14:paraId="180CFFC9" w14:textId="77777777" w:rsidR="00532C7F" w:rsidRPr="00233381" w:rsidRDefault="00532C7F" w:rsidP="00A553E4">
            <w:pPr>
              <w:spacing w:line="240" w:lineRule="auto"/>
              <w:jc w:val="center"/>
              <w:rPr>
                <w:rFonts w:asciiTheme="minorHAnsi" w:hAnsiTheme="minorHAnsi" w:cstheme="minorHAnsi"/>
                <w:sz w:val="24"/>
                <w:szCs w:val="24"/>
                <w:lang w:val="en-US"/>
              </w:rPr>
            </w:pPr>
          </w:p>
        </w:tc>
      </w:tr>
      <w:tr w:rsidR="00532C7F" w:rsidRPr="00233381" w14:paraId="5E1E7079" w14:textId="77777777" w:rsidTr="00357467">
        <w:tc>
          <w:tcPr>
            <w:tcW w:w="744" w:type="pct"/>
            <w:vMerge/>
          </w:tcPr>
          <w:p w14:paraId="12B2BF65" w14:textId="77777777" w:rsidR="00532C7F" w:rsidRPr="00233381" w:rsidRDefault="00532C7F" w:rsidP="00A553E4">
            <w:pPr>
              <w:spacing w:line="240" w:lineRule="auto"/>
              <w:jc w:val="both"/>
              <w:rPr>
                <w:rFonts w:asciiTheme="minorHAnsi" w:hAnsiTheme="minorHAnsi" w:cstheme="minorHAnsi"/>
                <w:sz w:val="24"/>
                <w:szCs w:val="24"/>
                <w:lang w:val="en-US"/>
              </w:rPr>
            </w:pPr>
          </w:p>
        </w:tc>
        <w:tc>
          <w:tcPr>
            <w:tcW w:w="690" w:type="pct"/>
          </w:tcPr>
          <w:p w14:paraId="6E654168" w14:textId="77777777" w:rsidR="00532C7F" w:rsidRPr="00233381" w:rsidRDefault="00532C7F" w:rsidP="00A553E4">
            <w:pPr>
              <w:spacing w:line="240" w:lineRule="auto"/>
              <w:rPr>
                <w:rFonts w:asciiTheme="minorHAnsi" w:hAnsiTheme="minorHAnsi" w:cstheme="minorHAnsi"/>
                <w:sz w:val="24"/>
                <w:szCs w:val="24"/>
                <w:lang w:val="en-US"/>
              </w:rPr>
            </w:pPr>
            <w:r w:rsidRPr="00233381">
              <w:rPr>
                <w:rFonts w:asciiTheme="minorHAnsi" w:hAnsiTheme="minorHAnsi" w:cstheme="minorHAnsi"/>
                <w:sz w:val="24"/>
                <w:szCs w:val="24"/>
                <w:lang w:val="en-US"/>
              </w:rPr>
              <w:t>DASS20</w:t>
            </w:r>
          </w:p>
        </w:tc>
        <w:tc>
          <w:tcPr>
            <w:tcW w:w="484" w:type="pct"/>
          </w:tcPr>
          <w:p w14:paraId="3D8B2A11"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0.76</w:t>
            </w:r>
          </w:p>
        </w:tc>
        <w:tc>
          <w:tcPr>
            <w:tcW w:w="749" w:type="pct"/>
          </w:tcPr>
          <w:p w14:paraId="1ED9AE9C"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0.52</w:t>
            </w:r>
          </w:p>
        </w:tc>
        <w:tc>
          <w:tcPr>
            <w:tcW w:w="417" w:type="pct"/>
            <w:vMerge/>
          </w:tcPr>
          <w:p w14:paraId="200C67BF"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583" w:type="pct"/>
            <w:vMerge/>
          </w:tcPr>
          <w:p w14:paraId="16F4D265"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32" w:type="pct"/>
            <w:vMerge/>
          </w:tcPr>
          <w:p w14:paraId="49383585"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901" w:type="pct"/>
            <w:vMerge/>
          </w:tcPr>
          <w:p w14:paraId="0C6A1E70" w14:textId="77777777" w:rsidR="00532C7F" w:rsidRPr="00233381" w:rsidRDefault="00532C7F" w:rsidP="00A553E4">
            <w:pPr>
              <w:spacing w:line="240" w:lineRule="auto"/>
              <w:jc w:val="center"/>
              <w:rPr>
                <w:rFonts w:asciiTheme="minorHAnsi" w:hAnsiTheme="minorHAnsi" w:cstheme="minorHAnsi"/>
                <w:sz w:val="24"/>
                <w:szCs w:val="24"/>
                <w:lang w:val="en-US"/>
              </w:rPr>
            </w:pPr>
          </w:p>
        </w:tc>
      </w:tr>
      <w:tr w:rsidR="00532C7F" w:rsidRPr="00233381" w14:paraId="592E2F59" w14:textId="77777777" w:rsidTr="00357467">
        <w:tc>
          <w:tcPr>
            <w:tcW w:w="744" w:type="pct"/>
          </w:tcPr>
          <w:p w14:paraId="50CDBE3A" w14:textId="77777777" w:rsidR="00532C7F" w:rsidRPr="00233381" w:rsidRDefault="00532C7F" w:rsidP="00A553E4">
            <w:pPr>
              <w:spacing w:line="240" w:lineRule="auto"/>
              <w:jc w:val="both"/>
              <w:rPr>
                <w:rFonts w:asciiTheme="minorHAnsi" w:hAnsiTheme="minorHAnsi" w:cstheme="minorHAnsi"/>
                <w:sz w:val="24"/>
                <w:szCs w:val="24"/>
                <w:lang w:val="en-US"/>
              </w:rPr>
            </w:pPr>
          </w:p>
        </w:tc>
        <w:tc>
          <w:tcPr>
            <w:tcW w:w="690" w:type="pct"/>
          </w:tcPr>
          <w:p w14:paraId="0007A2F9"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84" w:type="pct"/>
          </w:tcPr>
          <w:p w14:paraId="4003CD26"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749" w:type="pct"/>
          </w:tcPr>
          <w:p w14:paraId="6CE20877"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17" w:type="pct"/>
          </w:tcPr>
          <w:p w14:paraId="366BA6A8"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583" w:type="pct"/>
          </w:tcPr>
          <w:p w14:paraId="5AE54462"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32" w:type="pct"/>
          </w:tcPr>
          <w:p w14:paraId="287D5D23"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901" w:type="pct"/>
          </w:tcPr>
          <w:p w14:paraId="6C6AD304" w14:textId="77777777" w:rsidR="00532C7F" w:rsidRPr="00233381" w:rsidRDefault="00532C7F" w:rsidP="00A553E4">
            <w:pPr>
              <w:spacing w:line="240" w:lineRule="auto"/>
              <w:jc w:val="center"/>
              <w:rPr>
                <w:rFonts w:asciiTheme="minorHAnsi" w:hAnsiTheme="minorHAnsi" w:cstheme="minorHAnsi"/>
                <w:sz w:val="24"/>
                <w:szCs w:val="24"/>
                <w:lang w:val="en-US"/>
              </w:rPr>
            </w:pPr>
          </w:p>
        </w:tc>
      </w:tr>
      <w:tr w:rsidR="00532C7F" w:rsidRPr="00233381" w14:paraId="25DC5C5C" w14:textId="77777777" w:rsidTr="00357467">
        <w:tc>
          <w:tcPr>
            <w:tcW w:w="744" w:type="pct"/>
            <w:vMerge w:val="restart"/>
          </w:tcPr>
          <w:p w14:paraId="5BDB3C93" w14:textId="77777777" w:rsidR="00532C7F" w:rsidRPr="00233381" w:rsidRDefault="00532C7F" w:rsidP="00A553E4">
            <w:pPr>
              <w:spacing w:line="240" w:lineRule="auto"/>
              <w:jc w:val="both"/>
              <w:rPr>
                <w:rFonts w:asciiTheme="minorHAnsi" w:hAnsiTheme="minorHAnsi" w:cstheme="minorHAnsi"/>
                <w:sz w:val="24"/>
                <w:szCs w:val="24"/>
                <w:lang w:val="en-US"/>
              </w:rPr>
            </w:pPr>
          </w:p>
          <w:p w14:paraId="04AFCC0A" w14:textId="77777777" w:rsidR="00532C7F" w:rsidRPr="00233381" w:rsidRDefault="00532C7F" w:rsidP="00A553E4">
            <w:pPr>
              <w:spacing w:line="240" w:lineRule="auto"/>
              <w:jc w:val="both"/>
              <w:rPr>
                <w:rFonts w:asciiTheme="minorHAnsi" w:hAnsiTheme="minorHAnsi" w:cstheme="minorHAnsi"/>
                <w:sz w:val="24"/>
                <w:szCs w:val="24"/>
                <w:lang w:val="en-US"/>
              </w:rPr>
            </w:pPr>
          </w:p>
          <w:p w14:paraId="6733600A" w14:textId="77777777" w:rsidR="00532C7F" w:rsidRPr="00233381" w:rsidRDefault="00532C7F" w:rsidP="00A553E4">
            <w:pPr>
              <w:spacing w:line="240" w:lineRule="auto"/>
              <w:jc w:val="both"/>
              <w:rPr>
                <w:rFonts w:asciiTheme="minorHAnsi" w:hAnsiTheme="minorHAnsi" w:cstheme="minorHAnsi"/>
                <w:sz w:val="24"/>
                <w:szCs w:val="24"/>
                <w:lang w:val="en-US"/>
              </w:rPr>
            </w:pPr>
            <w:r w:rsidRPr="00233381">
              <w:rPr>
                <w:rFonts w:asciiTheme="minorHAnsi" w:hAnsiTheme="minorHAnsi" w:cstheme="minorHAnsi"/>
                <w:sz w:val="24"/>
                <w:szCs w:val="24"/>
                <w:lang w:val="en-US"/>
              </w:rPr>
              <w:t>Depression</w:t>
            </w:r>
          </w:p>
        </w:tc>
        <w:tc>
          <w:tcPr>
            <w:tcW w:w="690" w:type="pct"/>
          </w:tcPr>
          <w:p w14:paraId="38F8599E" w14:textId="77777777" w:rsidR="00532C7F" w:rsidRPr="00233381" w:rsidRDefault="00532C7F" w:rsidP="00A553E4">
            <w:pPr>
              <w:spacing w:line="240" w:lineRule="auto"/>
              <w:rPr>
                <w:rFonts w:asciiTheme="minorHAnsi" w:hAnsiTheme="minorHAnsi" w:cstheme="minorHAnsi"/>
                <w:sz w:val="24"/>
                <w:szCs w:val="24"/>
                <w:lang w:val="en-US"/>
              </w:rPr>
            </w:pPr>
            <w:r w:rsidRPr="00233381">
              <w:rPr>
                <w:rFonts w:asciiTheme="minorHAnsi" w:hAnsiTheme="minorHAnsi" w:cstheme="minorHAnsi"/>
                <w:sz w:val="24"/>
                <w:szCs w:val="24"/>
                <w:lang w:val="en-US"/>
              </w:rPr>
              <w:lastRenderedPageBreak/>
              <w:t>DASS3</w:t>
            </w:r>
          </w:p>
        </w:tc>
        <w:tc>
          <w:tcPr>
            <w:tcW w:w="484" w:type="pct"/>
          </w:tcPr>
          <w:p w14:paraId="2A92D126"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0.72</w:t>
            </w:r>
          </w:p>
        </w:tc>
        <w:tc>
          <w:tcPr>
            <w:tcW w:w="749" w:type="pct"/>
          </w:tcPr>
          <w:p w14:paraId="5D6E74F9"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0.52</w:t>
            </w:r>
          </w:p>
        </w:tc>
        <w:tc>
          <w:tcPr>
            <w:tcW w:w="417" w:type="pct"/>
            <w:vMerge w:val="restart"/>
          </w:tcPr>
          <w:p w14:paraId="718A49F3"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6143D2C8"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01FA24E4"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7465F752"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0.92</w:t>
            </w:r>
          </w:p>
          <w:p w14:paraId="06CE0359"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583" w:type="pct"/>
            <w:vMerge w:val="restart"/>
          </w:tcPr>
          <w:p w14:paraId="28632FCC"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002D5D03"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6755DC88"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63FA4032"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0.64</w:t>
            </w:r>
          </w:p>
          <w:p w14:paraId="127DB0E2"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32" w:type="pct"/>
            <w:vMerge w:val="restart"/>
          </w:tcPr>
          <w:p w14:paraId="7AF78518"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04B9F65D"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6D2CFF03"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723FFCE4"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0.92</w:t>
            </w:r>
          </w:p>
        </w:tc>
        <w:tc>
          <w:tcPr>
            <w:tcW w:w="901" w:type="pct"/>
            <w:vMerge w:val="restart"/>
          </w:tcPr>
          <w:p w14:paraId="1BD598C3"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6C5233E6"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289DEE33" w14:textId="77777777" w:rsidR="00532C7F" w:rsidRPr="00233381" w:rsidRDefault="00532C7F" w:rsidP="00A553E4">
            <w:pPr>
              <w:spacing w:line="240" w:lineRule="auto"/>
              <w:jc w:val="center"/>
              <w:rPr>
                <w:rFonts w:asciiTheme="minorHAnsi" w:hAnsiTheme="minorHAnsi" w:cstheme="minorHAnsi"/>
                <w:sz w:val="24"/>
                <w:szCs w:val="24"/>
                <w:lang w:val="en-US"/>
              </w:rPr>
            </w:pPr>
          </w:p>
          <w:p w14:paraId="4DC7E6E1"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0.92</w:t>
            </w:r>
          </w:p>
          <w:p w14:paraId="08F1231A"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(0.91—0.94)</w:t>
            </w:r>
          </w:p>
        </w:tc>
      </w:tr>
      <w:tr w:rsidR="00532C7F" w:rsidRPr="00233381" w14:paraId="379C97A4" w14:textId="77777777" w:rsidTr="00357467">
        <w:tc>
          <w:tcPr>
            <w:tcW w:w="744" w:type="pct"/>
            <w:vMerge/>
          </w:tcPr>
          <w:p w14:paraId="11D00CF1" w14:textId="77777777" w:rsidR="00532C7F" w:rsidRPr="00233381" w:rsidRDefault="00532C7F" w:rsidP="00A553E4">
            <w:pPr>
              <w:spacing w:line="240" w:lineRule="auto"/>
              <w:jc w:val="both"/>
              <w:rPr>
                <w:rFonts w:asciiTheme="minorHAnsi" w:hAnsiTheme="minorHAnsi" w:cstheme="minorHAnsi"/>
                <w:sz w:val="24"/>
                <w:szCs w:val="24"/>
                <w:lang w:val="en-US"/>
              </w:rPr>
            </w:pPr>
          </w:p>
        </w:tc>
        <w:tc>
          <w:tcPr>
            <w:tcW w:w="690" w:type="pct"/>
          </w:tcPr>
          <w:p w14:paraId="758D3305" w14:textId="77777777" w:rsidR="00532C7F" w:rsidRPr="00233381" w:rsidRDefault="00532C7F" w:rsidP="00A553E4">
            <w:pPr>
              <w:spacing w:line="240" w:lineRule="auto"/>
              <w:rPr>
                <w:rFonts w:asciiTheme="minorHAnsi" w:hAnsiTheme="minorHAnsi" w:cstheme="minorHAnsi"/>
                <w:sz w:val="24"/>
                <w:szCs w:val="24"/>
                <w:lang w:val="en-US"/>
              </w:rPr>
            </w:pPr>
            <w:r w:rsidRPr="00233381">
              <w:rPr>
                <w:rFonts w:asciiTheme="minorHAnsi" w:hAnsiTheme="minorHAnsi" w:cstheme="minorHAnsi"/>
                <w:sz w:val="24"/>
                <w:szCs w:val="24"/>
                <w:lang w:val="en-US"/>
              </w:rPr>
              <w:t>DASS5</w:t>
            </w:r>
          </w:p>
        </w:tc>
        <w:tc>
          <w:tcPr>
            <w:tcW w:w="484" w:type="pct"/>
          </w:tcPr>
          <w:p w14:paraId="44EB2CDE"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0.71</w:t>
            </w:r>
          </w:p>
        </w:tc>
        <w:tc>
          <w:tcPr>
            <w:tcW w:w="749" w:type="pct"/>
          </w:tcPr>
          <w:p w14:paraId="0D2529C7"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0.50</w:t>
            </w:r>
          </w:p>
        </w:tc>
        <w:tc>
          <w:tcPr>
            <w:tcW w:w="417" w:type="pct"/>
            <w:vMerge/>
          </w:tcPr>
          <w:p w14:paraId="65C064B3"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583" w:type="pct"/>
            <w:vMerge/>
          </w:tcPr>
          <w:p w14:paraId="20E403B7"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32" w:type="pct"/>
            <w:vMerge/>
          </w:tcPr>
          <w:p w14:paraId="666F5167"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901" w:type="pct"/>
            <w:vMerge/>
          </w:tcPr>
          <w:p w14:paraId="5792D906" w14:textId="77777777" w:rsidR="00532C7F" w:rsidRPr="00233381" w:rsidRDefault="00532C7F" w:rsidP="00A553E4">
            <w:pPr>
              <w:spacing w:line="240" w:lineRule="auto"/>
              <w:jc w:val="center"/>
              <w:rPr>
                <w:rFonts w:asciiTheme="minorHAnsi" w:hAnsiTheme="minorHAnsi" w:cstheme="minorHAnsi"/>
                <w:sz w:val="24"/>
                <w:szCs w:val="24"/>
                <w:lang w:val="en-US"/>
              </w:rPr>
            </w:pPr>
          </w:p>
        </w:tc>
      </w:tr>
      <w:tr w:rsidR="00532C7F" w:rsidRPr="00233381" w14:paraId="457847AA" w14:textId="77777777" w:rsidTr="00357467">
        <w:tc>
          <w:tcPr>
            <w:tcW w:w="744" w:type="pct"/>
            <w:vMerge/>
          </w:tcPr>
          <w:p w14:paraId="0D724DF7" w14:textId="77777777" w:rsidR="00532C7F" w:rsidRPr="00233381" w:rsidRDefault="00532C7F" w:rsidP="00A553E4">
            <w:pPr>
              <w:spacing w:line="240" w:lineRule="auto"/>
              <w:jc w:val="both"/>
              <w:rPr>
                <w:rFonts w:asciiTheme="minorHAnsi" w:hAnsiTheme="minorHAnsi" w:cstheme="minorHAnsi"/>
                <w:sz w:val="24"/>
                <w:szCs w:val="24"/>
                <w:lang w:val="en-US"/>
              </w:rPr>
            </w:pPr>
          </w:p>
        </w:tc>
        <w:tc>
          <w:tcPr>
            <w:tcW w:w="690" w:type="pct"/>
          </w:tcPr>
          <w:p w14:paraId="7525B8F8" w14:textId="77777777" w:rsidR="00532C7F" w:rsidRPr="00233381" w:rsidRDefault="00532C7F" w:rsidP="00A553E4">
            <w:pPr>
              <w:spacing w:line="240" w:lineRule="auto"/>
              <w:rPr>
                <w:rFonts w:asciiTheme="minorHAnsi" w:hAnsiTheme="minorHAnsi" w:cstheme="minorHAnsi"/>
                <w:sz w:val="24"/>
                <w:szCs w:val="24"/>
                <w:lang w:val="en-US"/>
              </w:rPr>
            </w:pPr>
            <w:r w:rsidRPr="00233381">
              <w:rPr>
                <w:rFonts w:asciiTheme="minorHAnsi" w:hAnsiTheme="minorHAnsi" w:cstheme="minorHAnsi"/>
                <w:sz w:val="24"/>
                <w:szCs w:val="24"/>
                <w:lang w:val="en-US"/>
              </w:rPr>
              <w:t>DAS10</w:t>
            </w:r>
          </w:p>
        </w:tc>
        <w:tc>
          <w:tcPr>
            <w:tcW w:w="484" w:type="pct"/>
          </w:tcPr>
          <w:p w14:paraId="433603CB"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0.83</w:t>
            </w:r>
          </w:p>
        </w:tc>
        <w:tc>
          <w:tcPr>
            <w:tcW w:w="749" w:type="pct"/>
          </w:tcPr>
          <w:p w14:paraId="0A3C6CC6"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0.69</w:t>
            </w:r>
          </w:p>
        </w:tc>
        <w:tc>
          <w:tcPr>
            <w:tcW w:w="417" w:type="pct"/>
            <w:vMerge/>
          </w:tcPr>
          <w:p w14:paraId="4B259C3B"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583" w:type="pct"/>
            <w:vMerge/>
          </w:tcPr>
          <w:p w14:paraId="7CE75507"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32" w:type="pct"/>
            <w:vMerge/>
          </w:tcPr>
          <w:p w14:paraId="51B5E654"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901" w:type="pct"/>
            <w:vMerge/>
          </w:tcPr>
          <w:p w14:paraId="4A51F6DD" w14:textId="77777777" w:rsidR="00532C7F" w:rsidRPr="00233381" w:rsidRDefault="00532C7F" w:rsidP="00A553E4">
            <w:pPr>
              <w:spacing w:line="240" w:lineRule="auto"/>
              <w:jc w:val="center"/>
              <w:rPr>
                <w:rFonts w:asciiTheme="minorHAnsi" w:hAnsiTheme="minorHAnsi" w:cstheme="minorHAnsi"/>
                <w:sz w:val="24"/>
                <w:szCs w:val="24"/>
                <w:lang w:val="en-US"/>
              </w:rPr>
            </w:pPr>
          </w:p>
        </w:tc>
      </w:tr>
      <w:tr w:rsidR="00532C7F" w:rsidRPr="00233381" w14:paraId="38147D74" w14:textId="77777777" w:rsidTr="00357467">
        <w:tc>
          <w:tcPr>
            <w:tcW w:w="744" w:type="pct"/>
            <w:vMerge/>
          </w:tcPr>
          <w:p w14:paraId="32621442" w14:textId="77777777" w:rsidR="00532C7F" w:rsidRPr="00233381" w:rsidRDefault="00532C7F" w:rsidP="00A553E4">
            <w:pPr>
              <w:spacing w:line="240" w:lineRule="auto"/>
              <w:jc w:val="both"/>
              <w:rPr>
                <w:rFonts w:asciiTheme="minorHAnsi" w:hAnsiTheme="minorHAnsi" w:cstheme="minorHAnsi"/>
                <w:sz w:val="24"/>
                <w:szCs w:val="24"/>
                <w:lang w:val="en-US"/>
              </w:rPr>
            </w:pPr>
          </w:p>
        </w:tc>
        <w:tc>
          <w:tcPr>
            <w:tcW w:w="690" w:type="pct"/>
          </w:tcPr>
          <w:p w14:paraId="77AFF719" w14:textId="77777777" w:rsidR="00532C7F" w:rsidRPr="00233381" w:rsidRDefault="00532C7F" w:rsidP="00A553E4">
            <w:pPr>
              <w:spacing w:line="240" w:lineRule="auto"/>
              <w:rPr>
                <w:rFonts w:asciiTheme="minorHAnsi" w:hAnsiTheme="minorHAnsi" w:cstheme="minorHAnsi"/>
                <w:sz w:val="24"/>
                <w:szCs w:val="24"/>
                <w:lang w:val="en-US"/>
              </w:rPr>
            </w:pPr>
            <w:r w:rsidRPr="00233381">
              <w:rPr>
                <w:rFonts w:asciiTheme="minorHAnsi" w:hAnsiTheme="minorHAnsi" w:cstheme="minorHAnsi"/>
                <w:sz w:val="24"/>
                <w:szCs w:val="24"/>
                <w:lang w:val="en-US"/>
              </w:rPr>
              <w:t>DAS13</w:t>
            </w:r>
          </w:p>
        </w:tc>
        <w:tc>
          <w:tcPr>
            <w:tcW w:w="484" w:type="pct"/>
          </w:tcPr>
          <w:p w14:paraId="34A77318"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0.88</w:t>
            </w:r>
          </w:p>
        </w:tc>
        <w:tc>
          <w:tcPr>
            <w:tcW w:w="749" w:type="pct"/>
          </w:tcPr>
          <w:p w14:paraId="16F720AF"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0.68</w:t>
            </w:r>
          </w:p>
        </w:tc>
        <w:tc>
          <w:tcPr>
            <w:tcW w:w="417" w:type="pct"/>
            <w:vMerge/>
          </w:tcPr>
          <w:p w14:paraId="21AD9F8F"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583" w:type="pct"/>
            <w:vMerge/>
          </w:tcPr>
          <w:p w14:paraId="1CCEFD74"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32" w:type="pct"/>
            <w:vMerge/>
          </w:tcPr>
          <w:p w14:paraId="4BDE1013"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901" w:type="pct"/>
            <w:vMerge/>
          </w:tcPr>
          <w:p w14:paraId="211B86F1" w14:textId="77777777" w:rsidR="00532C7F" w:rsidRPr="00233381" w:rsidRDefault="00532C7F" w:rsidP="00A553E4">
            <w:pPr>
              <w:spacing w:line="240" w:lineRule="auto"/>
              <w:jc w:val="center"/>
              <w:rPr>
                <w:rFonts w:asciiTheme="minorHAnsi" w:hAnsiTheme="minorHAnsi" w:cstheme="minorHAnsi"/>
                <w:sz w:val="24"/>
                <w:szCs w:val="24"/>
                <w:lang w:val="en-US"/>
              </w:rPr>
            </w:pPr>
          </w:p>
        </w:tc>
      </w:tr>
      <w:tr w:rsidR="00532C7F" w:rsidRPr="00233381" w14:paraId="17843569" w14:textId="77777777" w:rsidTr="00357467">
        <w:tc>
          <w:tcPr>
            <w:tcW w:w="744" w:type="pct"/>
            <w:vMerge/>
          </w:tcPr>
          <w:p w14:paraId="051DA3EF" w14:textId="77777777" w:rsidR="00532C7F" w:rsidRPr="00233381" w:rsidRDefault="00532C7F" w:rsidP="00A553E4">
            <w:pPr>
              <w:spacing w:line="240" w:lineRule="auto"/>
              <w:jc w:val="both"/>
              <w:rPr>
                <w:rFonts w:asciiTheme="minorHAnsi" w:hAnsiTheme="minorHAnsi" w:cstheme="minorHAnsi"/>
                <w:sz w:val="24"/>
                <w:szCs w:val="24"/>
                <w:lang w:val="en-US"/>
              </w:rPr>
            </w:pPr>
          </w:p>
        </w:tc>
        <w:tc>
          <w:tcPr>
            <w:tcW w:w="690" w:type="pct"/>
          </w:tcPr>
          <w:p w14:paraId="5D26C4AA" w14:textId="77777777" w:rsidR="00532C7F" w:rsidRPr="00233381" w:rsidRDefault="00532C7F" w:rsidP="00A553E4">
            <w:pPr>
              <w:spacing w:line="240" w:lineRule="auto"/>
              <w:rPr>
                <w:rFonts w:asciiTheme="minorHAnsi" w:hAnsiTheme="minorHAnsi" w:cstheme="minorHAnsi"/>
                <w:sz w:val="24"/>
                <w:szCs w:val="24"/>
                <w:lang w:val="en-US"/>
              </w:rPr>
            </w:pPr>
            <w:r w:rsidRPr="00233381">
              <w:rPr>
                <w:rFonts w:asciiTheme="minorHAnsi" w:hAnsiTheme="minorHAnsi" w:cstheme="minorHAnsi"/>
                <w:sz w:val="24"/>
                <w:szCs w:val="24"/>
                <w:lang w:val="en-US"/>
              </w:rPr>
              <w:t>DASS16</w:t>
            </w:r>
          </w:p>
        </w:tc>
        <w:tc>
          <w:tcPr>
            <w:tcW w:w="484" w:type="pct"/>
          </w:tcPr>
          <w:p w14:paraId="33539A7B"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0.88</w:t>
            </w:r>
          </w:p>
        </w:tc>
        <w:tc>
          <w:tcPr>
            <w:tcW w:w="749" w:type="pct"/>
          </w:tcPr>
          <w:p w14:paraId="295A29AA"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0.68</w:t>
            </w:r>
          </w:p>
        </w:tc>
        <w:tc>
          <w:tcPr>
            <w:tcW w:w="417" w:type="pct"/>
            <w:vMerge/>
          </w:tcPr>
          <w:p w14:paraId="02FD3574"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583" w:type="pct"/>
            <w:vMerge/>
          </w:tcPr>
          <w:p w14:paraId="46F85CAF"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32" w:type="pct"/>
            <w:vMerge/>
          </w:tcPr>
          <w:p w14:paraId="41089299"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901" w:type="pct"/>
            <w:vMerge/>
          </w:tcPr>
          <w:p w14:paraId="00ECCD14" w14:textId="77777777" w:rsidR="00532C7F" w:rsidRPr="00233381" w:rsidRDefault="00532C7F" w:rsidP="00A553E4">
            <w:pPr>
              <w:spacing w:line="240" w:lineRule="auto"/>
              <w:jc w:val="center"/>
              <w:rPr>
                <w:rFonts w:asciiTheme="minorHAnsi" w:hAnsiTheme="minorHAnsi" w:cstheme="minorHAnsi"/>
                <w:sz w:val="24"/>
                <w:szCs w:val="24"/>
                <w:lang w:val="en-US"/>
              </w:rPr>
            </w:pPr>
          </w:p>
        </w:tc>
      </w:tr>
      <w:tr w:rsidR="00532C7F" w:rsidRPr="00233381" w14:paraId="37685966" w14:textId="77777777" w:rsidTr="00357467">
        <w:tc>
          <w:tcPr>
            <w:tcW w:w="744" w:type="pct"/>
            <w:vMerge/>
          </w:tcPr>
          <w:p w14:paraId="4601B903" w14:textId="77777777" w:rsidR="00532C7F" w:rsidRPr="00233381" w:rsidRDefault="00532C7F" w:rsidP="00A553E4">
            <w:pPr>
              <w:spacing w:line="240" w:lineRule="auto"/>
              <w:jc w:val="both"/>
              <w:rPr>
                <w:rFonts w:asciiTheme="minorHAnsi" w:hAnsiTheme="minorHAnsi" w:cstheme="minorHAnsi"/>
                <w:sz w:val="24"/>
                <w:szCs w:val="24"/>
                <w:lang w:val="en-US"/>
              </w:rPr>
            </w:pPr>
          </w:p>
        </w:tc>
        <w:tc>
          <w:tcPr>
            <w:tcW w:w="690" w:type="pct"/>
          </w:tcPr>
          <w:p w14:paraId="4B239273" w14:textId="77777777" w:rsidR="00532C7F" w:rsidRPr="00233381" w:rsidRDefault="00532C7F" w:rsidP="00A553E4">
            <w:pPr>
              <w:spacing w:line="240" w:lineRule="auto"/>
              <w:rPr>
                <w:rFonts w:asciiTheme="minorHAnsi" w:hAnsiTheme="minorHAnsi" w:cstheme="minorHAnsi"/>
                <w:sz w:val="24"/>
                <w:szCs w:val="24"/>
                <w:lang w:val="en-US"/>
              </w:rPr>
            </w:pPr>
            <w:r w:rsidRPr="00233381">
              <w:rPr>
                <w:rFonts w:asciiTheme="minorHAnsi" w:hAnsiTheme="minorHAnsi" w:cstheme="minorHAnsi"/>
                <w:sz w:val="24"/>
                <w:szCs w:val="24"/>
                <w:lang w:val="en-US"/>
              </w:rPr>
              <w:t>DASS17</w:t>
            </w:r>
          </w:p>
        </w:tc>
        <w:tc>
          <w:tcPr>
            <w:tcW w:w="484" w:type="pct"/>
          </w:tcPr>
          <w:p w14:paraId="2EB62C95"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0.79</w:t>
            </w:r>
          </w:p>
        </w:tc>
        <w:tc>
          <w:tcPr>
            <w:tcW w:w="749" w:type="pct"/>
          </w:tcPr>
          <w:p w14:paraId="1DD90BB3"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0.53</w:t>
            </w:r>
          </w:p>
        </w:tc>
        <w:tc>
          <w:tcPr>
            <w:tcW w:w="417" w:type="pct"/>
            <w:vMerge/>
          </w:tcPr>
          <w:p w14:paraId="2AA29504"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583" w:type="pct"/>
            <w:vMerge/>
          </w:tcPr>
          <w:p w14:paraId="3A3B7CC4"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32" w:type="pct"/>
            <w:vMerge/>
          </w:tcPr>
          <w:p w14:paraId="172E3B87"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901" w:type="pct"/>
            <w:vMerge/>
          </w:tcPr>
          <w:p w14:paraId="63AE7917" w14:textId="77777777" w:rsidR="00532C7F" w:rsidRPr="00233381" w:rsidRDefault="00532C7F" w:rsidP="00A553E4">
            <w:pPr>
              <w:spacing w:line="240" w:lineRule="auto"/>
              <w:jc w:val="center"/>
              <w:rPr>
                <w:rFonts w:asciiTheme="minorHAnsi" w:hAnsiTheme="minorHAnsi" w:cstheme="minorHAnsi"/>
                <w:sz w:val="24"/>
                <w:szCs w:val="24"/>
                <w:lang w:val="en-US"/>
              </w:rPr>
            </w:pPr>
          </w:p>
        </w:tc>
      </w:tr>
      <w:tr w:rsidR="00532C7F" w:rsidRPr="00233381" w14:paraId="35B4D7A6" w14:textId="77777777" w:rsidTr="00357467">
        <w:tc>
          <w:tcPr>
            <w:tcW w:w="744" w:type="pct"/>
            <w:vMerge/>
            <w:tcBorders>
              <w:bottom w:val="single" w:sz="4" w:space="0" w:color="auto"/>
            </w:tcBorders>
          </w:tcPr>
          <w:p w14:paraId="393A6310" w14:textId="77777777" w:rsidR="00532C7F" w:rsidRPr="00233381" w:rsidRDefault="00532C7F" w:rsidP="00A553E4">
            <w:pPr>
              <w:spacing w:line="240" w:lineRule="auto"/>
              <w:jc w:val="both"/>
              <w:rPr>
                <w:rFonts w:asciiTheme="minorHAnsi" w:hAnsiTheme="minorHAnsi" w:cstheme="minorHAnsi"/>
                <w:sz w:val="24"/>
                <w:szCs w:val="24"/>
                <w:lang w:val="en-US"/>
              </w:rPr>
            </w:pPr>
          </w:p>
        </w:tc>
        <w:tc>
          <w:tcPr>
            <w:tcW w:w="690" w:type="pct"/>
            <w:tcBorders>
              <w:bottom w:val="single" w:sz="4" w:space="0" w:color="auto"/>
            </w:tcBorders>
          </w:tcPr>
          <w:p w14:paraId="0FF741D2" w14:textId="77777777" w:rsidR="00532C7F" w:rsidRPr="00233381" w:rsidRDefault="00532C7F" w:rsidP="00A553E4">
            <w:pPr>
              <w:spacing w:line="240" w:lineRule="auto"/>
              <w:rPr>
                <w:rFonts w:asciiTheme="minorHAnsi" w:hAnsiTheme="minorHAnsi" w:cstheme="minorHAnsi"/>
                <w:sz w:val="24"/>
                <w:szCs w:val="24"/>
                <w:lang w:val="en-US"/>
              </w:rPr>
            </w:pPr>
            <w:r w:rsidRPr="00233381">
              <w:rPr>
                <w:rFonts w:asciiTheme="minorHAnsi" w:hAnsiTheme="minorHAnsi" w:cstheme="minorHAnsi"/>
                <w:sz w:val="24"/>
                <w:szCs w:val="24"/>
                <w:lang w:val="en-US"/>
              </w:rPr>
              <w:t>DASS21</w:t>
            </w:r>
          </w:p>
        </w:tc>
        <w:tc>
          <w:tcPr>
            <w:tcW w:w="484" w:type="pct"/>
            <w:tcBorders>
              <w:bottom w:val="single" w:sz="4" w:space="0" w:color="auto"/>
            </w:tcBorders>
          </w:tcPr>
          <w:p w14:paraId="1BA4C313"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0.79</w:t>
            </w:r>
          </w:p>
        </w:tc>
        <w:tc>
          <w:tcPr>
            <w:tcW w:w="749" w:type="pct"/>
            <w:tcBorders>
              <w:bottom w:val="single" w:sz="4" w:space="0" w:color="auto"/>
            </w:tcBorders>
          </w:tcPr>
          <w:p w14:paraId="1ADC62B5" w14:textId="77777777" w:rsidR="00532C7F" w:rsidRPr="00233381" w:rsidRDefault="00532C7F" w:rsidP="00A553E4">
            <w:pPr>
              <w:spacing w:line="240" w:lineRule="auto"/>
              <w:jc w:val="center"/>
              <w:rPr>
                <w:rFonts w:asciiTheme="minorHAnsi" w:hAnsiTheme="minorHAnsi" w:cstheme="minorHAnsi"/>
                <w:sz w:val="24"/>
                <w:szCs w:val="24"/>
                <w:lang w:val="en-US"/>
              </w:rPr>
            </w:pPr>
            <w:r w:rsidRPr="00233381">
              <w:rPr>
                <w:rFonts w:asciiTheme="minorHAnsi" w:hAnsiTheme="minorHAnsi" w:cstheme="minorHAnsi"/>
                <w:sz w:val="24"/>
                <w:szCs w:val="24"/>
                <w:lang w:val="en-US"/>
              </w:rPr>
              <w:t>0.52</w:t>
            </w:r>
          </w:p>
        </w:tc>
        <w:tc>
          <w:tcPr>
            <w:tcW w:w="417" w:type="pct"/>
            <w:vMerge/>
            <w:tcBorders>
              <w:bottom w:val="single" w:sz="4" w:space="0" w:color="auto"/>
            </w:tcBorders>
          </w:tcPr>
          <w:p w14:paraId="13C37314"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583" w:type="pct"/>
            <w:vMerge/>
            <w:tcBorders>
              <w:bottom w:val="single" w:sz="4" w:space="0" w:color="auto"/>
            </w:tcBorders>
          </w:tcPr>
          <w:p w14:paraId="4C227805"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432" w:type="pct"/>
            <w:vMerge/>
            <w:tcBorders>
              <w:bottom w:val="single" w:sz="4" w:space="0" w:color="auto"/>
            </w:tcBorders>
          </w:tcPr>
          <w:p w14:paraId="616322AB" w14:textId="77777777" w:rsidR="00532C7F" w:rsidRPr="00233381" w:rsidRDefault="00532C7F" w:rsidP="00A553E4">
            <w:pPr>
              <w:spacing w:line="240" w:lineRule="auto"/>
              <w:jc w:val="center"/>
              <w:rPr>
                <w:rFonts w:asciiTheme="minorHAnsi" w:hAnsiTheme="minorHAnsi" w:cstheme="minorHAnsi"/>
                <w:sz w:val="24"/>
                <w:szCs w:val="24"/>
                <w:lang w:val="en-US"/>
              </w:rPr>
            </w:pPr>
          </w:p>
        </w:tc>
        <w:tc>
          <w:tcPr>
            <w:tcW w:w="901" w:type="pct"/>
            <w:vMerge/>
            <w:tcBorders>
              <w:bottom w:val="single" w:sz="4" w:space="0" w:color="auto"/>
            </w:tcBorders>
          </w:tcPr>
          <w:p w14:paraId="3335E592" w14:textId="77777777" w:rsidR="00532C7F" w:rsidRPr="00233381" w:rsidRDefault="00532C7F" w:rsidP="00A553E4">
            <w:pPr>
              <w:spacing w:line="240" w:lineRule="auto"/>
              <w:jc w:val="center"/>
              <w:rPr>
                <w:rFonts w:asciiTheme="minorHAnsi" w:hAnsiTheme="minorHAnsi" w:cstheme="minorHAnsi"/>
                <w:sz w:val="24"/>
                <w:szCs w:val="24"/>
                <w:lang w:val="en-US"/>
              </w:rPr>
            </w:pPr>
          </w:p>
        </w:tc>
      </w:tr>
    </w:tbl>
    <w:p w14:paraId="75C1CB53" w14:textId="77777777" w:rsidR="00532C7F" w:rsidRPr="00233381" w:rsidRDefault="00532C7F" w:rsidP="00AE7044">
      <w:pPr>
        <w:spacing w:after="0" w:line="360" w:lineRule="auto"/>
        <w:jc w:val="both"/>
        <w:rPr>
          <w:rFonts w:cstheme="minorHAnsi"/>
          <w:sz w:val="24"/>
          <w:szCs w:val="24"/>
          <w:lang w:val="en-US"/>
        </w:rPr>
      </w:pPr>
    </w:p>
    <w:p w14:paraId="26A22F0F" w14:textId="77777777" w:rsidR="00532C7F" w:rsidRPr="00233381" w:rsidRDefault="00532C7F" w:rsidP="00AE7044">
      <w:pPr>
        <w:spacing w:after="0" w:line="360" w:lineRule="auto"/>
        <w:ind w:firstLine="709"/>
        <w:rPr>
          <w:rFonts w:cstheme="minorHAnsi"/>
          <w:sz w:val="24"/>
          <w:szCs w:val="24"/>
          <w:lang w:val="en-US"/>
        </w:rPr>
      </w:pPr>
      <w:r w:rsidRPr="00233381">
        <w:rPr>
          <w:rFonts w:cstheme="minorHAnsi"/>
          <w:sz w:val="24"/>
          <w:szCs w:val="24"/>
          <w:lang w:val="en-US"/>
        </w:rPr>
        <w:t>The results relating to the three-factor structure were confirmed when looking at the predictive estimates from the regression analysis. Therefore, the proposed model presented a criterion ratio that not only corresponded to what was statistically expected but was also different from zero (</w:t>
      </w:r>
      <w:r w:rsidRPr="00233381">
        <w:rPr>
          <w:rFonts w:cstheme="minorHAnsi"/>
          <w:i/>
          <w:iCs/>
          <w:sz w:val="24"/>
          <w:szCs w:val="24"/>
          <w:lang w:val="en-US"/>
        </w:rPr>
        <w:t>t</w:t>
      </w:r>
      <w:r w:rsidRPr="00233381">
        <w:rPr>
          <w:rFonts w:cstheme="minorHAnsi"/>
          <w:sz w:val="24"/>
          <w:szCs w:val="24"/>
          <w:lang w:val="en-US"/>
        </w:rPr>
        <w:t xml:space="preserve"> &gt; 1.96, </w:t>
      </w:r>
      <w:r w:rsidRPr="00233381">
        <w:rPr>
          <w:rFonts w:cstheme="minorHAnsi"/>
          <w:i/>
          <w:iCs/>
          <w:sz w:val="24"/>
          <w:szCs w:val="24"/>
          <w:lang w:val="en-US"/>
        </w:rPr>
        <w:t>p</w:t>
      </w:r>
      <w:r w:rsidRPr="00233381">
        <w:rPr>
          <w:rFonts w:cstheme="minorHAnsi"/>
          <w:sz w:val="24"/>
          <w:szCs w:val="24"/>
          <w:lang w:val="en-US"/>
        </w:rPr>
        <w:t xml:space="preserve"> &lt; 0.05), all of them significant (see Table 4).</w:t>
      </w:r>
    </w:p>
    <w:p w14:paraId="36F40853" w14:textId="77777777" w:rsidR="00532C7F" w:rsidRPr="00233381" w:rsidRDefault="00532C7F" w:rsidP="00AE7044">
      <w:pPr>
        <w:spacing w:after="0" w:line="360" w:lineRule="auto"/>
        <w:rPr>
          <w:rFonts w:cstheme="minorHAnsi"/>
          <w:sz w:val="24"/>
          <w:szCs w:val="24"/>
          <w:lang w:val="en-US"/>
        </w:rPr>
      </w:pPr>
    </w:p>
    <w:p w14:paraId="4AF022A1" w14:textId="77777777" w:rsidR="00532C7F" w:rsidRPr="00233381" w:rsidRDefault="00532C7F" w:rsidP="00AE7044">
      <w:pPr>
        <w:spacing w:after="0" w:line="360" w:lineRule="auto"/>
        <w:rPr>
          <w:rFonts w:cstheme="minorHAnsi"/>
          <w:b/>
          <w:bCs/>
          <w:sz w:val="24"/>
          <w:szCs w:val="24"/>
          <w:lang w:val="en-US"/>
        </w:rPr>
      </w:pPr>
      <w:r w:rsidRPr="00233381">
        <w:rPr>
          <w:rFonts w:cstheme="minorHAnsi"/>
          <w:b/>
          <w:bCs/>
          <w:sz w:val="24"/>
          <w:szCs w:val="24"/>
          <w:lang w:val="en-US"/>
        </w:rPr>
        <w:t>Table 4</w:t>
      </w:r>
    </w:p>
    <w:p w14:paraId="796D6974" w14:textId="77777777" w:rsidR="00532C7F" w:rsidRPr="00233381" w:rsidRDefault="00532C7F" w:rsidP="00AE7044">
      <w:pPr>
        <w:spacing w:after="0" w:line="360" w:lineRule="auto"/>
        <w:rPr>
          <w:rFonts w:cstheme="minorHAnsi"/>
          <w:i/>
          <w:iCs/>
          <w:sz w:val="24"/>
          <w:szCs w:val="24"/>
          <w:lang w:val="en-US"/>
        </w:rPr>
      </w:pPr>
      <w:r w:rsidRPr="00233381">
        <w:rPr>
          <w:rFonts w:cstheme="minorHAnsi"/>
          <w:i/>
          <w:iCs/>
          <w:sz w:val="24"/>
          <w:szCs w:val="24"/>
          <w:lang w:val="en-US"/>
        </w:rPr>
        <w:t>Predictive Estimates of Item-Factor Association of the DASS-21 in LGBTQ+ Brazilians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66"/>
        <w:gridCol w:w="1082"/>
        <w:gridCol w:w="1224"/>
        <w:gridCol w:w="1290"/>
        <w:gridCol w:w="828"/>
        <w:gridCol w:w="1695"/>
        <w:gridCol w:w="998"/>
      </w:tblGrid>
      <w:tr w:rsidR="00532C7F" w:rsidRPr="00233381" w14:paraId="2D83EA84" w14:textId="77777777" w:rsidTr="00357467">
        <w:trPr>
          <w:tblHeader/>
        </w:trPr>
        <w:tc>
          <w:tcPr>
            <w:tcW w:w="0" w:type="auto"/>
            <w:tcBorders>
              <w:top w:val="single" w:sz="6" w:space="0" w:color="auto"/>
              <w:left w:val="nil"/>
              <w:bottom w:val="single" w:sz="6" w:space="0" w:color="auto"/>
            </w:tcBorders>
            <w:tcMar>
              <w:top w:w="15" w:type="dxa"/>
              <w:left w:w="140" w:type="dxa"/>
              <w:bottom w:w="15" w:type="dxa"/>
              <w:right w:w="140" w:type="dxa"/>
            </w:tcMar>
            <w:vAlign w:val="center"/>
            <w:hideMark/>
          </w:tcPr>
          <w:p w14:paraId="757387B7" w14:textId="77777777" w:rsidR="00532C7F" w:rsidRPr="00233381" w:rsidRDefault="00532C7F" w:rsidP="00A553E4">
            <w:pPr>
              <w:spacing w:after="0" w:line="240" w:lineRule="auto"/>
              <w:rPr>
                <w:rFonts w:cstheme="minorHAnsi"/>
                <w:sz w:val="24"/>
                <w:szCs w:val="24"/>
                <w:lang w:val="en-US" w:eastAsia="pt-BR"/>
              </w:rPr>
            </w:pPr>
            <w:r w:rsidRPr="00233381">
              <w:rPr>
                <w:rFonts w:cstheme="minorHAnsi"/>
                <w:sz w:val="24"/>
                <w:szCs w:val="24"/>
                <w:lang w:val="en-US" w:eastAsia="pt-BR"/>
              </w:rPr>
              <w:t>Items</w:t>
            </w:r>
          </w:p>
        </w:tc>
        <w:tc>
          <w:tcPr>
            <w:tcW w:w="0" w:type="auto"/>
            <w:tcBorders>
              <w:top w:val="single" w:sz="6" w:space="0" w:color="auto"/>
              <w:bottom w:val="single" w:sz="6" w:space="0" w:color="auto"/>
            </w:tcBorders>
            <w:tcMar>
              <w:top w:w="15" w:type="dxa"/>
              <w:left w:w="140" w:type="dxa"/>
              <w:bottom w:w="15" w:type="dxa"/>
              <w:right w:w="140" w:type="dxa"/>
            </w:tcMar>
            <w:vAlign w:val="center"/>
            <w:hideMark/>
          </w:tcPr>
          <w:p w14:paraId="6C2A6BFE" w14:textId="77777777" w:rsidR="00532C7F" w:rsidRPr="00233381" w:rsidRDefault="00532C7F" w:rsidP="00A553E4">
            <w:pPr>
              <w:spacing w:after="0" w:line="240" w:lineRule="auto"/>
              <w:rPr>
                <w:rFonts w:cstheme="minorHAnsi"/>
                <w:sz w:val="24"/>
                <w:szCs w:val="24"/>
                <w:lang w:val="en-US" w:eastAsia="pt-BR"/>
              </w:rPr>
            </w:pPr>
            <w:r w:rsidRPr="00233381">
              <w:rPr>
                <w:rFonts w:cstheme="minorHAnsi"/>
                <w:sz w:val="24"/>
                <w:szCs w:val="24"/>
                <w:lang w:val="en-US" w:eastAsia="pt-BR"/>
              </w:rPr>
              <w:t>Relation</w:t>
            </w:r>
          </w:p>
        </w:tc>
        <w:tc>
          <w:tcPr>
            <w:tcW w:w="0" w:type="auto"/>
            <w:tcBorders>
              <w:top w:val="single" w:sz="6" w:space="0" w:color="auto"/>
              <w:bottom w:val="single" w:sz="6" w:space="0" w:color="auto"/>
              <w:right w:val="single" w:sz="6" w:space="0" w:color="auto"/>
            </w:tcBorders>
            <w:tcMar>
              <w:top w:w="15" w:type="dxa"/>
              <w:left w:w="140" w:type="dxa"/>
              <w:bottom w:w="15" w:type="dxa"/>
              <w:right w:w="140" w:type="dxa"/>
            </w:tcMar>
            <w:vAlign w:val="center"/>
            <w:hideMark/>
          </w:tcPr>
          <w:p w14:paraId="327DDA7F" w14:textId="77777777" w:rsidR="00532C7F" w:rsidRPr="00233381" w:rsidRDefault="00532C7F" w:rsidP="00A553E4">
            <w:pPr>
              <w:spacing w:after="0" w:line="240" w:lineRule="auto"/>
              <w:jc w:val="right"/>
              <w:rPr>
                <w:rFonts w:cstheme="minorHAnsi"/>
                <w:sz w:val="24"/>
                <w:szCs w:val="24"/>
                <w:lang w:val="en-US" w:eastAsia="pt-BR"/>
              </w:rPr>
            </w:pPr>
            <w:r w:rsidRPr="00233381">
              <w:rPr>
                <w:rFonts w:cstheme="minorHAnsi"/>
                <w:sz w:val="24"/>
                <w:szCs w:val="24"/>
                <w:lang w:val="en-US" w:eastAsia="pt-BR"/>
              </w:rPr>
              <w:t xml:space="preserve">Construct </w:t>
            </w:r>
          </w:p>
        </w:tc>
        <w:tc>
          <w:tcPr>
            <w:tcW w:w="0" w:type="auto"/>
            <w:tcBorders>
              <w:top w:val="single" w:sz="6" w:space="0" w:color="auto"/>
              <w:bottom w:val="single" w:sz="6" w:space="0" w:color="auto"/>
            </w:tcBorders>
            <w:tcMar>
              <w:top w:w="15" w:type="dxa"/>
              <w:left w:w="140" w:type="dxa"/>
              <w:bottom w:w="15" w:type="dxa"/>
              <w:right w:w="140" w:type="dxa"/>
            </w:tcMar>
            <w:vAlign w:val="center"/>
            <w:hideMark/>
          </w:tcPr>
          <w:p w14:paraId="21341148" w14:textId="77777777" w:rsidR="00532C7F" w:rsidRPr="00233381" w:rsidRDefault="00532C7F" w:rsidP="00A553E4">
            <w:pPr>
              <w:spacing w:after="0" w:line="240" w:lineRule="auto"/>
              <w:jc w:val="right"/>
              <w:rPr>
                <w:rFonts w:cstheme="minorHAnsi"/>
                <w:sz w:val="24"/>
                <w:szCs w:val="24"/>
                <w:lang w:val="en-US" w:eastAsia="pt-BR"/>
              </w:rPr>
            </w:pPr>
            <w:r w:rsidRPr="00233381">
              <w:rPr>
                <w:rFonts w:cstheme="minorHAnsi"/>
                <w:sz w:val="24"/>
                <w:szCs w:val="24"/>
                <w:lang w:val="en-US" w:eastAsia="pt-BR"/>
              </w:rPr>
              <w:t>Estimative</w:t>
            </w:r>
          </w:p>
        </w:tc>
        <w:tc>
          <w:tcPr>
            <w:tcW w:w="0" w:type="auto"/>
            <w:tcBorders>
              <w:top w:val="single" w:sz="6" w:space="0" w:color="auto"/>
              <w:bottom w:val="single" w:sz="6" w:space="0" w:color="auto"/>
            </w:tcBorders>
            <w:tcMar>
              <w:top w:w="15" w:type="dxa"/>
              <w:left w:w="140" w:type="dxa"/>
              <w:bottom w:w="15" w:type="dxa"/>
              <w:right w:w="140" w:type="dxa"/>
            </w:tcMar>
            <w:vAlign w:val="center"/>
            <w:hideMark/>
          </w:tcPr>
          <w:p w14:paraId="6587B425" w14:textId="77777777" w:rsidR="00532C7F" w:rsidRPr="00233381" w:rsidRDefault="00532C7F" w:rsidP="00A553E4">
            <w:pPr>
              <w:spacing w:after="0" w:line="240" w:lineRule="auto"/>
              <w:jc w:val="right"/>
              <w:rPr>
                <w:rFonts w:cstheme="minorHAnsi"/>
                <w:sz w:val="24"/>
                <w:szCs w:val="24"/>
                <w:lang w:val="en-US" w:eastAsia="pt-BR"/>
              </w:rPr>
            </w:pPr>
            <w:r w:rsidRPr="00233381">
              <w:rPr>
                <w:rFonts w:cstheme="minorHAnsi"/>
                <w:sz w:val="24"/>
                <w:szCs w:val="24"/>
                <w:lang w:val="en-US" w:eastAsia="pt-BR"/>
              </w:rPr>
              <w:t>SD</w:t>
            </w:r>
          </w:p>
        </w:tc>
        <w:tc>
          <w:tcPr>
            <w:tcW w:w="0" w:type="auto"/>
            <w:tcBorders>
              <w:top w:val="single" w:sz="6" w:space="0" w:color="auto"/>
              <w:bottom w:val="single" w:sz="6" w:space="0" w:color="auto"/>
            </w:tcBorders>
            <w:tcMar>
              <w:top w:w="15" w:type="dxa"/>
              <w:left w:w="140" w:type="dxa"/>
              <w:bottom w:w="15" w:type="dxa"/>
              <w:right w:w="140" w:type="dxa"/>
            </w:tcMar>
            <w:vAlign w:val="center"/>
            <w:hideMark/>
          </w:tcPr>
          <w:p w14:paraId="2216EA1A" w14:textId="77777777" w:rsidR="00532C7F" w:rsidRPr="00233381" w:rsidRDefault="00532C7F" w:rsidP="00A553E4">
            <w:pPr>
              <w:spacing w:after="0" w:line="240" w:lineRule="auto"/>
              <w:jc w:val="right"/>
              <w:rPr>
                <w:rFonts w:cstheme="minorHAnsi"/>
                <w:sz w:val="24"/>
                <w:szCs w:val="24"/>
                <w:lang w:val="en-US" w:eastAsia="pt-BR"/>
              </w:rPr>
            </w:pPr>
            <w:r w:rsidRPr="00233381">
              <w:rPr>
                <w:rFonts w:cstheme="minorHAnsi"/>
                <w:sz w:val="24"/>
                <w:szCs w:val="24"/>
                <w:lang w:val="en-US" w:eastAsia="pt-BR"/>
              </w:rPr>
              <w:t>Criterion Ratio</w:t>
            </w:r>
          </w:p>
        </w:tc>
        <w:tc>
          <w:tcPr>
            <w:tcW w:w="0" w:type="auto"/>
            <w:tcBorders>
              <w:top w:val="single" w:sz="6" w:space="0" w:color="auto"/>
              <w:bottom w:val="single" w:sz="6" w:space="0" w:color="auto"/>
              <w:right w:val="nil"/>
            </w:tcBorders>
            <w:tcMar>
              <w:top w:w="15" w:type="dxa"/>
              <w:left w:w="140" w:type="dxa"/>
              <w:bottom w:w="15" w:type="dxa"/>
              <w:right w:w="140" w:type="dxa"/>
            </w:tcMar>
            <w:vAlign w:val="center"/>
            <w:hideMark/>
          </w:tcPr>
          <w:p w14:paraId="641FA82E" w14:textId="77777777" w:rsidR="00532C7F" w:rsidRPr="00233381" w:rsidRDefault="00532C7F" w:rsidP="00A553E4">
            <w:pPr>
              <w:spacing w:after="0" w:line="240" w:lineRule="auto"/>
              <w:jc w:val="right"/>
              <w:rPr>
                <w:rFonts w:cstheme="minorHAnsi"/>
                <w:sz w:val="24"/>
                <w:szCs w:val="24"/>
                <w:lang w:val="en-US" w:eastAsia="pt-BR"/>
              </w:rPr>
            </w:pPr>
            <w:r w:rsidRPr="00233381">
              <w:rPr>
                <w:rFonts w:cstheme="minorHAnsi"/>
                <w:sz w:val="24"/>
                <w:szCs w:val="24"/>
                <w:lang w:val="en-US" w:eastAsia="pt-BR"/>
              </w:rPr>
              <w:t>p-value</w:t>
            </w:r>
          </w:p>
        </w:tc>
      </w:tr>
      <w:tr w:rsidR="00532C7F" w:rsidRPr="00233381" w14:paraId="05A57A10" w14:textId="77777777" w:rsidTr="00357467">
        <w:tc>
          <w:tcPr>
            <w:tcW w:w="0" w:type="auto"/>
            <w:tcBorders>
              <w:left w:val="nil"/>
            </w:tcBorders>
            <w:tcMar>
              <w:top w:w="15" w:type="dxa"/>
              <w:left w:w="57" w:type="dxa"/>
              <w:bottom w:w="15" w:type="dxa"/>
              <w:right w:w="57" w:type="dxa"/>
            </w:tcMar>
            <w:vAlign w:val="center"/>
            <w:hideMark/>
          </w:tcPr>
          <w:p w14:paraId="38C8A2D2"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STRES1</w:t>
            </w:r>
          </w:p>
        </w:tc>
        <w:tc>
          <w:tcPr>
            <w:tcW w:w="0" w:type="auto"/>
            <w:noWrap/>
            <w:tcMar>
              <w:top w:w="15" w:type="dxa"/>
              <w:left w:w="57" w:type="dxa"/>
              <w:bottom w:w="15" w:type="dxa"/>
              <w:right w:w="57" w:type="dxa"/>
            </w:tcMar>
            <w:vAlign w:val="center"/>
            <w:hideMark/>
          </w:tcPr>
          <w:p w14:paraId="041B161A"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&lt;---</w:t>
            </w:r>
          </w:p>
        </w:tc>
        <w:tc>
          <w:tcPr>
            <w:tcW w:w="0" w:type="auto"/>
            <w:tcBorders>
              <w:right w:val="single" w:sz="6" w:space="0" w:color="auto"/>
            </w:tcBorders>
            <w:tcMar>
              <w:top w:w="15" w:type="dxa"/>
              <w:left w:w="140" w:type="dxa"/>
              <w:bottom w:w="15" w:type="dxa"/>
              <w:right w:w="140" w:type="dxa"/>
            </w:tcMar>
            <w:vAlign w:val="center"/>
            <w:hideMark/>
          </w:tcPr>
          <w:p w14:paraId="1E2BA5AF"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ESTRES</w:t>
            </w:r>
          </w:p>
        </w:tc>
        <w:tc>
          <w:tcPr>
            <w:tcW w:w="0" w:type="auto"/>
            <w:tcMar>
              <w:top w:w="15" w:type="dxa"/>
              <w:left w:w="140" w:type="dxa"/>
              <w:bottom w:w="15" w:type="dxa"/>
              <w:right w:w="140" w:type="dxa"/>
            </w:tcMar>
            <w:vAlign w:val="center"/>
            <w:hideMark/>
          </w:tcPr>
          <w:p w14:paraId="0B7FF3EF"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1.000</w:t>
            </w:r>
          </w:p>
        </w:tc>
        <w:tc>
          <w:tcPr>
            <w:tcW w:w="0" w:type="auto"/>
            <w:tcMar>
              <w:top w:w="15" w:type="dxa"/>
              <w:left w:w="140" w:type="dxa"/>
              <w:bottom w:w="15" w:type="dxa"/>
              <w:right w:w="140" w:type="dxa"/>
            </w:tcMar>
            <w:vAlign w:val="center"/>
            <w:hideMark/>
          </w:tcPr>
          <w:p w14:paraId="46BDC4A2"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w:t>
            </w:r>
          </w:p>
        </w:tc>
        <w:tc>
          <w:tcPr>
            <w:tcW w:w="0" w:type="auto"/>
            <w:vAlign w:val="center"/>
            <w:hideMark/>
          </w:tcPr>
          <w:p w14:paraId="792D4627"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w:t>
            </w:r>
          </w:p>
        </w:tc>
        <w:tc>
          <w:tcPr>
            <w:tcW w:w="0" w:type="auto"/>
            <w:tcBorders>
              <w:right w:val="nil"/>
            </w:tcBorders>
            <w:vAlign w:val="center"/>
            <w:hideMark/>
          </w:tcPr>
          <w:p w14:paraId="58E93510"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w:t>
            </w:r>
          </w:p>
        </w:tc>
      </w:tr>
      <w:tr w:rsidR="00532C7F" w:rsidRPr="00233381" w14:paraId="3619E772" w14:textId="77777777" w:rsidTr="00357467">
        <w:tc>
          <w:tcPr>
            <w:tcW w:w="0" w:type="auto"/>
            <w:tcBorders>
              <w:left w:val="nil"/>
            </w:tcBorders>
            <w:tcMar>
              <w:top w:w="15" w:type="dxa"/>
              <w:left w:w="57" w:type="dxa"/>
              <w:bottom w:w="15" w:type="dxa"/>
              <w:right w:w="57" w:type="dxa"/>
            </w:tcMar>
            <w:vAlign w:val="center"/>
            <w:hideMark/>
          </w:tcPr>
          <w:p w14:paraId="384863B9"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STRES2</w:t>
            </w:r>
          </w:p>
        </w:tc>
        <w:tc>
          <w:tcPr>
            <w:tcW w:w="0" w:type="auto"/>
            <w:noWrap/>
            <w:tcMar>
              <w:top w:w="15" w:type="dxa"/>
              <w:left w:w="57" w:type="dxa"/>
              <w:bottom w:w="15" w:type="dxa"/>
              <w:right w:w="57" w:type="dxa"/>
            </w:tcMar>
            <w:vAlign w:val="center"/>
            <w:hideMark/>
          </w:tcPr>
          <w:p w14:paraId="4C26749E"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&lt;---</w:t>
            </w:r>
          </w:p>
        </w:tc>
        <w:tc>
          <w:tcPr>
            <w:tcW w:w="0" w:type="auto"/>
            <w:tcBorders>
              <w:right w:val="single" w:sz="6" w:space="0" w:color="auto"/>
            </w:tcBorders>
            <w:tcMar>
              <w:top w:w="15" w:type="dxa"/>
              <w:left w:w="140" w:type="dxa"/>
              <w:bottom w:w="15" w:type="dxa"/>
              <w:right w:w="140" w:type="dxa"/>
            </w:tcMar>
            <w:vAlign w:val="center"/>
            <w:hideMark/>
          </w:tcPr>
          <w:p w14:paraId="7A54A504"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ESTRES</w:t>
            </w:r>
          </w:p>
        </w:tc>
        <w:tc>
          <w:tcPr>
            <w:tcW w:w="0" w:type="auto"/>
            <w:tcMar>
              <w:top w:w="15" w:type="dxa"/>
              <w:left w:w="140" w:type="dxa"/>
              <w:bottom w:w="15" w:type="dxa"/>
              <w:right w:w="140" w:type="dxa"/>
            </w:tcMar>
            <w:vAlign w:val="center"/>
            <w:hideMark/>
          </w:tcPr>
          <w:p w14:paraId="1C4B7F92"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0.980</w:t>
            </w:r>
          </w:p>
        </w:tc>
        <w:tc>
          <w:tcPr>
            <w:tcW w:w="0" w:type="auto"/>
            <w:tcMar>
              <w:top w:w="15" w:type="dxa"/>
              <w:left w:w="140" w:type="dxa"/>
              <w:bottom w:w="15" w:type="dxa"/>
              <w:right w:w="140" w:type="dxa"/>
            </w:tcMar>
            <w:vAlign w:val="center"/>
            <w:hideMark/>
          </w:tcPr>
          <w:p w14:paraId="1769B3EC"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0.115</w:t>
            </w:r>
          </w:p>
        </w:tc>
        <w:tc>
          <w:tcPr>
            <w:tcW w:w="0" w:type="auto"/>
            <w:tcMar>
              <w:top w:w="15" w:type="dxa"/>
              <w:left w:w="140" w:type="dxa"/>
              <w:bottom w:w="15" w:type="dxa"/>
              <w:right w:w="140" w:type="dxa"/>
            </w:tcMar>
            <w:vAlign w:val="center"/>
            <w:hideMark/>
          </w:tcPr>
          <w:p w14:paraId="4D281AD5"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8.552</w:t>
            </w:r>
          </w:p>
        </w:tc>
        <w:tc>
          <w:tcPr>
            <w:tcW w:w="0" w:type="auto"/>
            <w:tcBorders>
              <w:right w:val="nil"/>
            </w:tcBorders>
            <w:tcMar>
              <w:top w:w="15" w:type="dxa"/>
              <w:left w:w="140" w:type="dxa"/>
              <w:bottom w:w="15" w:type="dxa"/>
              <w:right w:w="140" w:type="dxa"/>
            </w:tcMar>
            <w:vAlign w:val="center"/>
            <w:hideMark/>
          </w:tcPr>
          <w:p w14:paraId="169A3CC4"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0.001</w:t>
            </w:r>
          </w:p>
        </w:tc>
      </w:tr>
      <w:tr w:rsidR="00532C7F" w:rsidRPr="00233381" w14:paraId="6725A633" w14:textId="77777777" w:rsidTr="00357467">
        <w:tc>
          <w:tcPr>
            <w:tcW w:w="0" w:type="auto"/>
            <w:tcBorders>
              <w:left w:val="nil"/>
            </w:tcBorders>
            <w:tcMar>
              <w:top w:w="15" w:type="dxa"/>
              <w:left w:w="57" w:type="dxa"/>
              <w:bottom w:w="15" w:type="dxa"/>
              <w:right w:w="57" w:type="dxa"/>
            </w:tcMar>
            <w:vAlign w:val="center"/>
            <w:hideMark/>
          </w:tcPr>
          <w:p w14:paraId="1AD0DBC1"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STRES3</w:t>
            </w:r>
          </w:p>
        </w:tc>
        <w:tc>
          <w:tcPr>
            <w:tcW w:w="0" w:type="auto"/>
            <w:noWrap/>
            <w:tcMar>
              <w:top w:w="15" w:type="dxa"/>
              <w:left w:w="57" w:type="dxa"/>
              <w:bottom w:w="15" w:type="dxa"/>
              <w:right w:w="57" w:type="dxa"/>
            </w:tcMar>
            <w:vAlign w:val="center"/>
            <w:hideMark/>
          </w:tcPr>
          <w:p w14:paraId="598B3EB3"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&lt;---</w:t>
            </w:r>
          </w:p>
        </w:tc>
        <w:tc>
          <w:tcPr>
            <w:tcW w:w="0" w:type="auto"/>
            <w:tcBorders>
              <w:right w:val="single" w:sz="6" w:space="0" w:color="auto"/>
            </w:tcBorders>
            <w:tcMar>
              <w:top w:w="15" w:type="dxa"/>
              <w:left w:w="140" w:type="dxa"/>
              <w:bottom w:w="15" w:type="dxa"/>
              <w:right w:w="140" w:type="dxa"/>
            </w:tcMar>
            <w:vAlign w:val="center"/>
            <w:hideMark/>
          </w:tcPr>
          <w:p w14:paraId="4DF12CB9"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ESTRES</w:t>
            </w:r>
          </w:p>
        </w:tc>
        <w:tc>
          <w:tcPr>
            <w:tcW w:w="0" w:type="auto"/>
            <w:tcMar>
              <w:top w:w="15" w:type="dxa"/>
              <w:left w:w="140" w:type="dxa"/>
              <w:bottom w:w="15" w:type="dxa"/>
              <w:right w:w="140" w:type="dxa"/>
            </w:tcMar>
            <w:vAlign w:val="center"/>
            <w:hideMark/>
          </w:tcPr>
          <w:p w14:paraId="384D8AED"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1.315</w:t>
            </w:r>
          </w:p>
        </w:tc>
        <w:tc>
          <w:tcPr>
            <w:tcW w:w="0" w:type="auto"/>
            <w:tcMar>
              <w:top w:w="15" w:type="dxa"/>
              <w:left w:w="140" w:type="dxa"/>
              <w:bottom w:w="15" w:type="dxa"/>
              <w:right w:w="140" w:type="dxa"/>
            </w:tcMar>
            <w:vAlign w:val="center"/>
            <w:hideMark/>
          </w:tcPr>
          <w:p w14:paraId="11D77826"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0.119</w:t>
            </w:r>
          </w:p>
        </w:tc>
        <w:tc>
          <w:tcPr>
            <w:tcW w:w="0" w:type="auto"/>
            <w:tcMar>
              <w:top w:w="15" w:type="dxa"/>
              <w:left w:w="140" w:type="dxa"/>
              <w:bottom w:w="15" w:type="dxa"/>
              <w:right w:w="140" w:type="dxa"/>
            </w:tcMar>
            <w:vAlign w:val="center"/>
            <w:hideMark/>
          </w:tcPr>
          <w:p w14:paraId="1228F950"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11.022</w:t>
            </w:r>
          </w:p>
        </w:tc>
        <w:tc>
          <w:tcPr>
            <w:tcW w:w="0" w:type="auto"/>
            <w:tcBorders>
              <w:right w:val="nil"/>
            </w:tcBorders>
            <w:tcMar>
              <w:top w:w="15" w:type="dxa"/>
              <w:left w:w="140" w:type="dxa"/>
              <w:bottom w:w="15" w:type="dxa"/>
              <w:right w:w="140" w:type="dxa"/>
            </w:tcMar>
            <w:vAlign w:val="center"/>
            <w:hideMark/>
          </w:tcPr>
          <w:p w14:paraId="48F12BAF"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0.001</w:t>
            </w:r>
          </w:p>
        </w:tc>
      </w:tr>
      <w:tr w:rsidR="00532C7F" w:rsidRPr="00233381" w14:paraId="74FD180A" w14:textId="77777777" w:rsidTr="00357467">
        <w:tc>
          <w:tcPr>
            <w:tcW w:w="0" w:type="auto"/>
            <w:tcBorders>
              <w:left w:val="nil"/>
            </w:tcBorders>
            <w:tcMar>
              <w:top w:w="15" w:type="dxa"/>
              <w:left w:w="57" w:type="dxa"/>
              <w:bottom w:w="15" w:type="dxa"/>
              <w:right w:w="57" w:type="dxa"/>
            </w:tcMar>
            <w:vAlign w:val="center"/>
            <w:hideMark/>
          </w:tcPr>
          <w:p w14:paraId="2A65D343"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STRES4</w:t>
            </w:r>
          </w:p>
        </w:tc>
        <w:tc>
          <w:tcPr>
            <w:tcW w:w="0" w:type="auto"/>
            <w:noWrap/>
            <w:tcMar>
              <w:top w:w="15" w:type="dxa"/>
              <w:left w:w="57" w:type="dxa"/>
              <w:bottom w:w="15" w:type="dxa"/>
              <w:right w:w="57" w:type="dxa"/>
            </w:tcMar>
            <w:vAlign w:val="center"/>
            <w:hideMark/>
          </w:tcPr>
          <w:p w14:paraId="1F6677ED"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&lt;---</w:t>
            </w:r>
          </w:p>
        </w:tc>
        <w:tc>
          <w:tcPr>
            <w:tcW w:w="0" w:type="auto"/>
            <w:tcBorders>
              <w:right w:val="single" w:sz="6" w:space="0" w:color="auto"/>
            </w:tcBorders>
            <w:tcMar>
              <w:top w:w="15" w:type="dxa"/>
              <w:left w:w="140" w:type="dxa"/>
              <w:bottom w:w="15" w:type="dxa"/>
              <w:right w:w="140" w:type="dxa"/>
            </w:tcMar>
            <w:vAlign w:val="center"/>
            <w:hideMark/>
          </w:tcPr>
          <w:p w14:paraId="3913769F"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ESTRES</w:t>
            </w:r>
          </w:p>
        </w:tc>
        <w:tc>
          <w:tcPr>
            <w:tcW w:w="0" w:type="auto"/>
            <w:tcMar>
              <w:top w:w="15" w:type="dxa"/>
              <w:left w:w="140" w:type="dxa"/>
              <w:bottom w:w="15" w:type="dxa"/>
              <w:right w:w="140" w:type="dxa"/>
            </w:tcMar>
            <w:vAlign w:val="center"/>
            <w:hideMark/>
          </w:tcPr>
          <w:p w14:paraId="3ABA7C17"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1.258</w:t>
            </w:r>
          </w:p>
        </w:tc>
        <w:tc>
          <w:tcPr>
            <w:tcW w:w="0" w:type="auto"/>
            <w:tcMar>
              <w:top w:w="15" w:type="dxa"/>
              <w:left w:w="140" w:type="dxa"/>
              <w:bottom w:w="15" w:type="dxa"/>
              <w:right w:w="140" w:type="dxa"/>
            </w:tcMar>
            <w:vAlign w:val="center"/>
            <w:hideMark/>
          </w:tcPr>
          <w:p w14:paraId="1F375F64"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0.120</w:t>
            </w:r>
          </w:p>
        </w:tc>
        <w:tc>
          <w:tcPr>
            <w:tcW w:w="0" w:type="auto"/>
            <w:tcMar>
              <w:top w:w="15" w:type="dxa"/>
              <w:left w:w="140" w:type="dxa"/>
              <w:bottom w:w="15" w:type="dxa"/>
              <w:right w:w="140" w:type="dxa"/>
            </w:tcMar>
            <w:vAlign w:val="center"/>
            <w:hideMark/>
          </w:tcPr>
          <w:p w14:paraId="2A533B6C"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10.486</w:t>
            </w:r>
          </w:p>
        </w:tc>
        <w:tc>
          <w:tcPr>
            <w:tcW w:w="0" w:type="auto"/>
            <w:tcBorders>
              <w:right w:val="nil"/>
            </w:tcBorders>
            <w:tcMar>
              <w:top w:w="15" w:type="dxa"/>
              <w:left w:w="140" w:type="dxa"/>
              <w:bottom w:w="15" w:type="dxa"/>
              <w:right w:w="140" w:type="dxa"/>
            </w:tcMar>
            <w:vAlign w:val="center"/>
            <w:hideMark/>
          </w:tcPr>
          <w:p w14:paraId="561B6BA2"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0.001</w:t>
            </w:r>
          </w:p>
        </w:tc>
      </w:tr>
      <w:tr w:rsidR="00532C7F" w:rsidRPr="00233381" w14:paraId="54AAE55E" w14:textId="77777777" w:rsidTr="00357467">
        <w:tc>
          <w:tcPr>
            <w:tcW w:w="0" w:type="auto"/>
            <w:tcBorders>
              <w:left w:val="nil"/>
            </w:tcBorders>
            <w:tcMar>
              <w:top w:w="15" w:type="dxa"/>
              <w:left w:w="57" w:type="dxa"/>
              <w:bottom w:w="15" w:type="dxa"/>
              <w:right w:w="57" w:type="dxa"/>
            </w:tcMar>
            <w:vAlign w:val="center"/>
            <w:hideMark/>
          </w:tcPr>
          <w:p w14:paraId="2C9030F1"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STRES5</w:t>
            </w:r>
          </w:p>
        </w:tc>
        <w:tc>
          <w:tcPr>
            <w:tcW w:w="0" w:type="auto"/>
            <w:noWrap/>
            <w:tcMar>
              <w:top w:w="15" w:type="dxa"/>
              <w:left w:w="57" w:type="dxa"/>
              <w:bottom w:w="15" w:type="dxa"/>
              <w:right w:w="57" w:type="dxa"/>
            </w:tcMar>
            <w:vAlign w:val="center"/>
            <w:hideMark/>
          </w:tcPr>
          <w:p w14:paraId="32B26A63"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&lt;---</w:t>
            </w:r>
          </w:p>
        </w:tc>
        <w:tc>
          <w:tcPr>
            <w:tcW w:w="0" w:type="auto"/>
            <w:tcBorders>
              <w:right w:val="single" w:sz="6" w:space="0" w:color="auto"/>
            </w:tcBorders>
            <w:tcMar>
              <w:top w:w="15" w:type="dxa"/>
              <w:left w:w="140" w:type="dxa"/>
              <w:bottom w:w="15" w:type="dxa"/>
              <w:right w:w="140" w:type="dxa"/>
            </w:tcMar>
            <w:vAlign w:val="center"/>
            <w:hideMark/>
          </w:tcPr>
          <w:p w14:paraId="01A833D5"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ESTRES</w:t>
            </w:r>
          </w:p>
        </w:tc>
        <w:tc>
          <w:tcPr>
            <w:tcW w:w="0" w:type="auto"/>
            <w:tcMar>
              <w:top w:w="15" w:type="dxa"/>
              <w:left w:w="140" w:type="dxa"/>
              <w:bottom w:w="15" w:type="dxa"/>
              <w:right w:w="140" w:type="dxa"/>
            </w:tcMar>
            <w:vAlign w:val="center"/>
            <w:hideMark/>
          </w:tcPr>
          <w:p w14:paraId="2CD91A04"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1.376</w:t>
            </w:r>
          </w:p>
        </w:tc>
        <w:tc>
          <w:tcPr>
            <w:tcW w:w="0" w:type="auto"/>
            <w:tcMar>
              <w:top w:w="15" w:type="dxa"/>
              <w:left w:w="140" w:type="dxa"/>
              <w:bottom w:w="15" w:type="dxa"/>
              <w:right w:w="140" w:type="dxa"/>
            </w:tcMar>
            <w:vAlign w:val="center"/>
            <w:hideMark/>
          </w:tcPr>
          <w:p w14:paraId="1FC7E8AB"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0.128</w:t>
            </w:r>
          </w:p>
        </w:tc>
        <w:tc>
          <w:tcPr>
            <w:tcW w:w="0" w:type="auto"/>
            <w:tcMar>
              <w:top w:w="15" w:type="dxa"/>
              <w:left w:w="140" w:type="dxa"/>
              <w:bottom w:w="15" w:type="dxa"/>
              <w:right w:w="140" w:type="dxa"/>
            </w:tcMar>
            <w:vAlign w:val="center"/>
            <w:hideMark/>
          </w:tcPr>
          <w:p w14:paraId="5335A599"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10.739</w:t>
            </w:r>
          </w:p>
        </w:tc>
        <w:tc>
          <w:tcPr>
            <w:tcW w:w="0" w:type="auto"/>
            <w:tcBorders>
              <w:right w:val="nil"/>
            </w:tcBorders>
            <w:tcMar>
              <w:top w:w="15" w:type="dxa"/>
              <w:left w:w="140" w:type="dxa"/>
              <w:bottom w:w="15" w:type="dxa"/>
              <w:right w:w="140" w:type="dxa"/>
            </w:tcMar>
            <w:vAlign w:val="center"/>
            <w:hideMark/>
          </w:tcPr>
          <w:p w14:paraId="4C1ECCFD"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0.001</w:t>
            </w:r>
          </w:p>
        </w:tc>
      </w:tr>
      <w:tr w:rsidR="00532C7F" w:rsidRPr="00233381" w14:paraId="0DE3A663" w14:textId="77777777" w:rsidTr="00357467">
        <w:tc>
          <w:tcPr>
            <w:tcW w:w="0" w:type="auto"/>
            <w:tcBorders>
              <w:left w:val="nil"/>
            </w:tcBorders>
            <w:tcMar>
              <w:top w:w="15" w:type="dxa"/>
              <w:left w:w="57" w:type="dxa"/>
              <w:bottom w:w="15" w:type="dxa"/>
              <w:right w:w="57" w:type="dxa"/>
            </w:tcMar>
            <w:vAlign w:val="center"/>
            <w:hideMark/>
          </w:tcPr>
          <w:p w14:paraId="3B2E30B9"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STRES6</w:t>
            </w:r>
          </w:p>
        </w:tc>
        <w:tc>
          <w:tcPr>
            <w:tcW w:w="0" w:type="auto"/>
            <w:noWrap/>
            <w:tcMar>
              <w:top w:w="15" w:type="dxa"/>
              <w:left w:w="57" w:type="dxa"/>
              <w:bottom w:w="15" w:type="dxa"/>
              <w:right w:w="57" w:type="dxa"/>
            </w:tcMar>
            <w:vAlign w:val="center"/>
            <w:hideMark/>
          </w:tcPr>
          <w:p w14:paraId="7610006C"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&lt;---</w:t>
            </w:r>
          </w:p>
        </w:tc>
        <w:tc>
          <w:tcPr>
            <w:tcW w:w="0" w:type="auto"/>
            <w:tcBorders>
              <w:right w:val="single" w:sz="6" w:space="0" w:color="auto"/>
            </w:tcBorders>
            <w:tcMar>
              <w:top w:w="15" w:type="dxa"/>
              <w:left w:w="140" w:type="dxa"/>
              <w:bottom w:w="15" w:type="dxa"/>
              <w:right w:w="140" w:type="dxa"/>
            </w:tcMar>
            <w:vAlign w:val="center"/>
            <w:hideMark/>
          </w:tcPr>
          <w:p w14:paraId="5EED198E"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ESTRES</w:t>
            </w:r>
          </w:p>
        </w:tc>
        <w:tc>
          <w:tcPr>
            <w:tcW w:w="0" w:type="auto"/>
            <w:tcMar>
              <w:top w:w="15" w:type="dxa"/>
              <w:left w:w="140" w:type="dxa"/>
              <w:bottom w:w="15" w:type="dxa"/>
              <w:right w:w="140" w:type="dxa"/>
            </w:tcMar>
            <w:vAlign w:val="center"/>
            <w:hideMark/>
          </w:tcPr>
          <w:p w14:paraId="48FA5332"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.978</w:t>
            </w:r>
          </w:p>
        </w:tc>
        <w:tc>
          <w:tcPr>
            <w:tcW w:w="0" w:type="auto"/>
            <w:tcMar>
              <w:top w:w="15" w:type="dxa"/>
              <w:left w:w="140" w:type="dxa"/>
              <w:bottom w:w="15" w:type="dxa"/>
              <w:right w:w="140" w:type="dxa"/>
            </w:tcMar>
            <w:vAlign w:val="center"/>
            <w:hideMark/>
          </w:tcPr>
          <w:p w14:paraId="4656939C"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0.114</w:t>
            </w:r>
          </w:p>
        </w:tc>
        <w:tc>
          <w:tcPr>
            <w:tcW w:w="0" w:type="auto"/>
            <w:tcMar>
              <w:top w:w="15" w:type="dxa"/>
              <w:left w:w="140" w:type="dxa"/>
              <w:bottom w:w="15" w:type="dxa"/>
              <w:right w:w="140" w:type="dxa"/>
            </w:tcMar>
            <w:vAlign w:val="center"/>
            <w:hideMark/>
          </w:tcPr>
          <w:p w14:paraId="02699779"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8.556</w:t>
            </w:r>
          </w:p>
        </w:tc>
        <w:tc>
          <w:tcPr>
            <w:tcW w:w="0" w:type="auto"/>
            <w:tcBorders>
              <w:right w:val="nil"/>
            </w:tcBorders>
            <w:tcMar>
              <w:top w:w="15" w:type="dxa"/>
              <w:left w:w="140" w:type="dxa"/>
              <w:bottom w:w="15" w:type="dxa"/>
              <w:right w:w="140" w:type="dxa"/>
            </w:tcMar>
            <w:vAlign w:val="center"/>
            <w:hideMark/>
          </w:tcPr>
          <w:p w14:paraId="27E4C198"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0.001</w:t>
            </w:r>
          </w:p>
        </w:tc>
      </w:tr>
      <w:tr w:rsidR="00532C7F" w:rsidRPr="00233381" w14:paraId="27F9AB23" w14:textId="77777777" w:rsidTr="00357467">
        <w:tc>
          <w:tcPr>
            <w:tcW w:w="0" w:type="auto"/>
            <w:tcBorders>
              <w:left w:val="nil"/>
            </w:tcBorders>
            <w:tcMar>
              <w:top w:w="15" w:type="dxa"/>
              <w:left w:w="57" w:type="dxa"/>
              <w:bottom w:w="15" w:type="dxa"/>
              <w:right w:w="57" w:type="dxa"/>
            </w:tcMar>
            <w:vAlign w:val="center"/>
            <w:hideMark/>
          </w:tcPr>
          <w:p w14:paraId="7172D6FD"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STRES7</w:t>
            </w:r>
          </w:p>
        </w:tc>
        <w:tc>
          <w:tcPr>
            <w:tcW w:w="0" w:type="auto"/>
            <w:noWrap/>
            <w:tcMar>
              <w:top w:w="15" w:type="dxa"/>
              <w:left w:w="57" w:type="dxa"/>
              <w:bottom w:w="15" w:type="dxa"/>
              <w:right w:w="57" w:type="dxa"/>
            </w:tcMar>
            <w:vAlign w:val="center"/>
            <w:hideMark/>
          </w:tcPr>
          <w:p w14:paraId="5DAE9C7F"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&lt;---</w:t>
            </w:r>
          </w:p>
        </w:tc>
        <w:tc>
          <w:tcPr>
            <w:tcW w:w="0" w:type="auto"/>
            <w:tcBorders>
              <w:right w:val="single" w:sz="6" w:space="0" w:color="auto"/>
            </w:tcBorders>
            <w:tcMar>
              <w:top w:w="15" w:type="dxa"/>
              <w:left w:w="140" w:type="dxa"/>
              <w:bottom w:w="15" w:type="dxa"/>
              <w:right w:w="140" w:type="dxa"/>
            </w:tcMar>
            <w:vAlign w:val="center"/>
            <w:hideMark/>
          </w:tcPr>
          <w:p w14:paraId="0EB6A641"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ESTRES</w:t>
            </w:r>
          </w:p>
        </w:tc>
        <w:tc>
          <w:tcPr>
            <w:tcW w:w="0" w:type="auto"/>
            <w:tcMar>
              <w:top w:w="15" w:type="dxa"/>
              <w:left w:w="140" w:type="dxa"/>
              <w:bottom w:w="15" w:type="dxa"/>
              <w:right w:w="140" w:type="dxa"/>
            </w:tcMar>
            <w:vAlign w:val="center"/>
            <w:hideMark/>
          </w:tcPr>
          <w:p w14:paraId="1014D798"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1.112</w:t>
            </w:r>
          </w:p>
        </w:tc>
        <w:tc>
          <w:tcPr>
            <w:tcW w:w="0" w:type="auto"/>
            <w:tcMar>
              <w:top w:w="15" w:type="dxa"/>
              <w:left w:w="140" w:type="dxa"/>
              <w:bottom w:w="15" w:type="dxa"/>
              <w:right w:w="140" w:type="dxa"/>
            </w:tcMar>
            <w:vAlign w:val="center"/>
            <w:hideMark/>
          </w:tcPr>
          <w:p w14:paraId="0A9F9CBE"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0.120</w:t>
            </w:r>
          </w:p>
        </w:tc>
        <w:tc>
          <w:tcPr>
            <w:tcW w:w="0" w:type="auto"/>
            <w:tcMar>
              <w:top w:w="15" w:type="dxa"/>
              <w:left w:w="140" w:type="dxa"/>
              <w:bottom w:w="15" w:type="dxa"/>
              <w:right w:w="140" w:type="dxa"/>
            </w:tcMar>
            <w:vAlign w:val="center"/>
            <w:hideMark/>
          </w:tcPr>
          <w:p w14:paraId="284CD32E"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9.273</w:t>
            </w:r>
          </w:p>
        </w:tc>
        <w:tc>
          <w:tcPr>
            <w:tcW w:w="0" w:type="auto"/>
            <w:tcBorders>
              <w:right w:val="nil"/>
            </w:tcBorders>
            <w:tcMar>
              <w:top w:w="15" w:type="dxa"/>
              <w:left w:w="140" w:type="dxa"/>
              <w:bottom w:w="15" w:type="dxa"/>
              <w:right w:w="140" w:type="dxa"/>
            </w:tcMar>
            <w:vAlign w:val="center"/>
            <w:hideMark/>
          </w:tcPr>
          <w:p w14:paraId="264E615B"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0.001</w:t>
            </w:r>
          </w:p>
        </w:tc>
      </w:tr>
      <w:tr w:rsidR="00532C7F" w:rsidRPr="00233381" w14:paraId="090CBF46" w14:textId="77777777" w:rsidTr="00357467">
        <w:tc>
          <w:tcPr>
            <w:tcW w:w="0" w:type="auto"/>
            <w:tcBorders>
              <w:left w:val="nil"/>
            </w:tcBorders>
            <w:tcMar>
              <w:top w:w="15" w:type="dxa"/>
              <w:left w:w="57" w:type="dxa"/>
              <w:bottom w:w="15" w:type="dxa"/>
              <w:right w:w="57" w:type="dxa"/>
            </w:tcMar>
            <w:vAlign w:val="center"/>
            <w:hideMark/>
          </w:tcPr>
          <w:p w14:paraId="302737B4"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ANSIE1</w:t>
            </w:r>
          </w:p>
        </w:tc>
        <w:tc>
          <w:tcPr>
            <w:tcW w:w="0" w:type="auto"/>
            <w:noWrap/>
            <w:tcMar>
              <w:top w:w="15" w:type="dxa"/>
              <w:left w:w="57" w:type="dxa"/>
              <w:bottom w:w="15" w:type="dxa"/>
              <w:right w:w="57" w:type="dxa"/>
            </w:tcMar>
            <w:vAlign w:val="center"/>
            <w:hideMark/>
          </w:tcPr>
          <w:p w14:paraId="6B90D3FF"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&lt;---</w:t>
            </w:r>
          </w:p>
        </w:tc>
        <w:tc>
          <w:tcPr>
            <w:tcW w:w="0" w:type="auto"/>
            <w:tcBorders>
              <w:right w:val="single" w:sz="6" w:space="0" w:color="auto"/>
            </w:tcBorders>
            <w:tcMar>
              <w:top w:w="15" w:type="dxa"/>
              <w:left w:w="140" w:type="dxa"/>
              <w:bottom w:w="15" w:type="dxa"/>
              <w:right w:w="140" w:type="dxa"/>
            </w:tcMar>
            <w:vAlign w:val="center"/>
            <w:hideMark/>
          </w:tcPr>
          <w:p w14:paraId="2E21D526"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ANS</w:t>
            </w:r>
          </w:p>
        </w:tc>
        <w:tc>
          <w:tcPr>
            <w:tcW w:w="0" w:type="auto"/>
            <w:tcMar>
              <w:top w:w="15" w:type="dxa"/>
              <w:left w:w="140" w:type="dxa"/>
              <w:bottom w:w="15" w:type="dxa"/>
              <w:right w:w="140" w:type="dxa"/>
            </w:tcMar>
            <w:vAlign w:val="center"/>
            <w:hideMark/>
          </w:tcPr>
          <w:p w14:paraId="62FAE1DA"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1.000</w:t>
            </w:r>
          </w:p>
        </w:tc>
        <w:tc>
          <w:tcPr>
            <w:tcW w:w="0" w:type="auto"/>
            <w:tcMar>
              <w:top w:w="15" w:type="dxa"/>
              <w:left w:w="140" w:type="dxa"/>
              <w:bottom w:w="15" w:type="dxa"/>
              <w:right w:w="140" w:type="dxa"/>
            </w:tcMar>
            <w:vAlign w:val="center"/>
            <w:hideMark/>
          </w:tcPr>
          <w:p w14:paraId="4DB75A3C"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w:t>
            </w:r>
          </w:p>
        </w:tc>
        <w:tc>
          <w:tcPr>
            <w:tcW w:w="0" w:type="auto"/>
            <w:vAlign w:val="center"/>
            <w:hideMark/>
          </w:tcPr>
          <w:p w14:paraId="0E0D9B2C"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w:t>
            </w:r>
          </w:p>
        </w:tc>
        <w:tc>
          <w:tcPr>
            <w:tcW w:w="0" w:type="auto"/>
            <w:tcBorders>
              <w:right w:val="nil"/>
            </w:tcBorders>
            <w:vAlign w:val="center"/>
            <w:hideMark/>
          </w:tcPr>
          <w:p w14:paraId="3B06A5A0"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w:t>
            </w:r>
          </w:p>
        </w:tc>
      </w:tr>
      <w:tr w:rsidR="00532C7F" w:rsidRPr="00233381" w14:paraId="7E208D38" w14:textId="77777777" w:rsidTr="00357467">
        <w:tc>
          <w:tcPr>
            <w:tcW w:w="0" w:type="auto"/>
            <w:tcBorders>
              <w:left w:val="nil"/>
            </w:tcBorders>
            <w:tcMar>
              <w:top w:w="15" w:type="dxa"/>
              <w:left w:w="57" w:type="dxa"/>
              <w:bottom w:w="15" w:type="dxa"/>
              <w:right w:w="57" w:type="dxa"/>
            </w:tcMar>
            <w:vAlign w:val="center"/>
            <w:hideMark/>
          </w:tcPr>
          <w:p w14:paraId="4912933B"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ANSIED2</w:t>
            </w:r>
          </w:p>
        </w:tc>
        <w:tc>
          <w:tcPr>
            <w:tcW w:w="0" w:type="auto"/>
            <w:noWrap/>
            <w:tcMar>
              <w:top w:w="15" w:type="dxa"/>
              <w:left w:w="57" w:type="dxa"/>
              <w:bottom w:w="15" w:type="dxa"/>
              <w:right w:w="57" w:type="dxa"/>
            </w:tcMar>
            <w:vAlign w:val="center"/>
            <w:hideMark/>
          </w:tcPr>
          <w:p w14:paraId="68A71E1D"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&lt;---</w:t>
            </w:r>
          </w:p>
        </w:tc>
        <w:tc>
          <w:tcPr>
            <w:tcW w:w="0" w:type="auto"/>
            <w:tcBorders>
              <w:right w:val="single" w:sz="6" w:space="0" w:color="auto"/>
            </w:tcBorders>
            <w:tcMar>
              <w:top w:w="15" w:type="dxa"/>
              <w:left w:w="140" w:type="dxa"/>
              <w:bottom w:w="15" w:type="dxa"/>
              <w:right w:w="140" w:type="dxa"/>
            </w:tcMar>
            <w:vAlign w:val="center"/>
            <w:hideMark/>
          </w:tcPr>
          <w:p w14:paraId="6E3B3D03"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ANS</w:t>
            </w:r>
          </w:p>
        </w:tc>
        <w:tc>
          <w:tcPr>
            <w:tcW w:w="0" w:type="auto"/>
            <w:tcMar>
              <w:top w:w="15" w:type="dxa"/>
              <w:left w:w="140" w:type="dxa"/>
              <w:bottom w:w="15" w:type="dxa"/>
              <w:right w:w="140" w:type="dxa"/>
            </w:tcMar>
            <w:vAlign w:val="center"/>
            <w:hideMark/>
          </w:tcPr>
          <w:p w14:paraId="71A08D4E"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1.173</w:t>
            </w:r>
          </w:p>
        </w:tc>
        <w:tc>
          <w:tcPr>
            <w:tcW w:w="0" w:type="auto"/>
            <w:tcMar>
              <w:top w:w="15" w:type="dxa"/>
              <w:left w:w="140" w:type="dxa"/>
              <w:bottom w:w="15" w:type="dxa"/>
              <w:right w:w="140" w:type="dxa"/>
            </w:tcMar>
            <w:vAlign w:val="center"/>
            <w:hideMark/>
          </w:tcPr>
          <w:p w14:paraId="3759D4DC"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0.126</w:t>
            </w:r>
          </w:p>
        </w:tc>
        <w:tc>
          <w:tcPr>
            <w:tcW w:w="0" w:type="auto"/>
            <w:tcMar>
              <w:top w:w="15" w:type="dxa"/>
              <w:left w:w="140" w:type="dxa"/>
              <w:bottom w:w="15" w:type="dxa"/>
              <w:right w:w="140" w:type="dxa"/>
            </w:tcMar>
            <w:vAlign w:val="center"/>
            <w:hideMark/>
          </w:tcPr>
          <w:p w14:paraId="0C47C894"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9.279</w:t>
            </w:r>
          </w:p>
        </w:tc>
        <w:tc>
          <w:tcPr>
            <w:tcW w:w="0" w:type="auto"/>
            <w:tcBorders>
              <w:right w:val="nil"/>
            </w:tcBorders>
            <w:tcMar>
              <w:top w:w="15" w:type="dxa"/>
              <w:left w:w="140" w:type="dxa"/>
              <w:bottom w:w="15" w:type="dxa"/>
              <w:right w:w="140" w:type="dxa"/>
            </w:tcMar>
            <w:vAlign w:val="center"/>
            <w:hideMark/>
          </w:tcPr>
          <w:p w14:paraId="38E68246"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0.001</w:t>
            </w:r>
          </w:p>
        </w:tc>
      </w:tr>
      <w:tr w:rsidR="00532C7F" w:rsidRPr="00233381" w14:paraId="737CDFE2" w14:textId="77777777" w:rsidTr="00357467">
        <w:tc>
          <w:tcPr>
            <w:tcW w:w="0" w:type="auto"/>
            <w:tcBorders>
              <w:left w:val="nil"/>
            </w:tcBorders>
            <w:tcMar>
              <w:top w:w="15" w:type="dxa"/>
              <w:left w:w="57" w:type="dxa"/>
              <w:bottom w:w="15" w:type="dxa"/>
              <w:right w:w="57" w:type="dxa"/>
            </w:tcMar>
            <w:vAlign w:val="center"/>
            <w:hideMark/>
          </w:tcPr>
          <w:p w14:paraId="41D69CB9"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ANSIED3</w:t>
            </w:r>
          </w:p>
        </w:tc>
        <w:tc>
          <w:tcPr>
            <w:tcW w:w="0" w:type="auto"/>
            <w:noWrap/>
            <w:tcMar>
              <w:top w:w="15" w:type="dxa"/>
              <w:left w:w="57" w:type="dxa"/>
              <w:bottom w:w="15" w:type="dxa"/>
              <w:right w:w="57" w:type="dxa"/>
            </w:tcMar>
            <w:vAlign w:val="center"/>
            <w:hideMark/>
          </w:tcPr>
          <w:p w14:paraId="614736F4"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&lt;---</w:t>
            </w:r>
          </w:p>
        </w:tc>
        <w:tc>
          <w:tcPr>
            <w:tcW w:w="0" w:type="auto"/>
            <w:tcBorders>
              <w:right w:val="single" w:sz="6" w:space="0" w:color="auto"/>
            </w:tcBorders>
            <w:tcMar>
              <w:top w:w="15" w:type="dxa"/>
              <w:left w:w="140" w:type="dxa"/>
              <w:bottom w:w="15" w:type="dxa"/>
              <w:right w:w="140" w:type="dxa"/>
            </w:tcMar>
            <w:vAlign w:val="center"/>
            <w:hideMark/>
          </w:tcPr>
          <w:p w14:paraId="04140F01"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ANS</w:t>
            </w:r>
          </w:p>
        </w:tc>
        <w:tc>
          <w:tcPr>
            <w:tcW w:w="0" w:type="auto"/>
            <w:tcMar>
              <w:top w:w="15" w:type="dxa"/>
              <w:left w:w="140" w:type="dxa"/>
              <w:bottom w:w="15" w:type="dxa"/>
              <w:right w:w="140" w:type="dxa"/>
            </w:tcMar>
            <w:vAlign w:val="center"/>
            <w:hideMark/>
          </w:tcPr>
          <w:p w14:paraId="10903D1B"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1.114</w:t>
            </w:r>
          </w:p>
        </w:tc>
        <w:tc>
          <w:tcPr>
            <w:tcW w:w="0" w:type="auto"/>
            <w:tcMar>
              <w:top w:w="15" w:type="dxa"/>
              <w:left w:w="140" w:type="dxa"/>
              <w:bottom w:w="15" w:type="dxa"/>
              <w:right w:w="140" w:type="dxa"/>
            </w:tcMar>
            <w:vAlign w:val="center"/>
            <w:hideMark/>
          </w:tcPr>
          <w:p w14:paraId="088500F0"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0.138</w:t>
            </w:r>
          </w:p>
        </w:tc>
        <w:tc>
          <w:tcPr>
            <w:tcW w:w="0" w:type="auto"/>
            <w:tcMar>
              <w:top w:w="15" w:type="dxa"/>
              <w:left w:w="140" w:type="dxa"/>
              <w:bottom w:w="15" w:type="dxa"/>
              <w:right w:w="140" w:type="dxa"/>
            </w:tcMar>
            <w:vAlign w:val="center"/>
            <w:hideMark/>
          </w:tcPr>
          <w:p w14:paraId="7181BFA4"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8.075</w:t>
            </w:r>
          </w:p>
        </w:tc>
        <w:tc>
          <w:tcPr>
            <w:tcW w:w="0" w:type="auto"/>
            <w:tcBorders>
              <w:right w:val="nil"/>
            </w:tcBorders>
            <w:tcMar>
              <w:top w:w="15" w:type="dxa"/>
              <w:left w:w="140" w:type="dxa"/>
              <w:bottom w:w="15" w:type="dxa"/>
              <w:right w:w="140" w:type="dxa"/>
            </w:tcMar>
            <w:vAlign w:val="center"/>
            <w:hideMark/>
          </w:tcPr>
          <w:p w14:paraId="19A1E939"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0.001</w:t>
            </w:r>
          </w:p>
        </w:tc>
      </w:tr>
      <w:tr w:rsidR="00532C7F" w:rsidRPr="00233381" w14:paraId="61D12E0E" w14:textId="77777777" w:rsidTr="00357467">
        <w:tc>
          <w:tcPr>
            <w:tcW w:w="0" w:type="auto"/>
            <w:tcBorders>
              <w:left w:val="nil"/>
            </w:tcBorders>
            <w:tcMar>
              <w:top w:w="15" w:type="dxa"/>
              <w:left w:w="57" w:type="dxa"/>
              <w:bottom w:w="15" w:type="dxa"/>
              <w:right w:w="57" w:type="dxa"/>
            </w:tcMar>
            <w:vAlign w:val="center"/>
            <w:hideMark/>
          </w:tcPr>
          <w:p w14:paraId="18A5D970"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ANSIED4</w:t>
            </w:r>
          </w:p>
        </w:tc>
        <w:tc>
          <w:tcPr>
            <w:tcW w:w="0" w:type="auto"/>
            <w:noWrap/>
            <w:tcMar>
              <w:top w:w="15" w:type="dxa"/>
              <w:left w:w="57" w:type="dxa"/>
              <w:bottom w:w="15" w:type="dxa"/>
              <w:right w:w="57" w:type="dxa"/>
            </w:tcMar>
            <w:vAlign w:val="center"/>
            <w:hideMark/>
          </w:tcPr>
          <w:p w14:paraId="2D936CBD"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&lt;---</w:t>
            </w:r>
          </w:p>
        </w:tc>
        <w:tc>
          <w:tcPr>
            <w:tcW w:w="0" w:type="auto"/>
            <w:tcBorders>
              <w:right w:val="single" w:sz="6" w:space="0" w:color="auto"/>
            </w:tcBorders>
            <w:tcMar>
              <w:top w:w="15" w:type="dxa"/>
              <w:left w:w="140" w:type="dxa"/>
              <w:bottom w:w="15" w:type="dxa"/>
              <w:right w:w="140" w:type="dxa"/>
            </w:tcMar>
            <w:vAlign w:val="center"/>
            <w:hideMark/>
          </w:tcPr>
          <w:p w14:paraId="0BBF5A57"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ANS</w:t>
            </w:r>
          </w:p>
        </w:tc>
        <w:tc>
          <w:tcPr>
            <w:tcW w:w="0" w:type="auto"/>
            <w:tcMar>
              <w:top w:w="15" w:type="dxa"/>
              <w:left w:w="140" w:type="dxa"/>
              <w:bottom w:w="15" w:type="dxa"/>
              <w:right w:w="140" w:type="dxa"/>
            </w:tcMar>
            <w:vAlign w:val="center"/>
            <w:hideMark/>
          </w:tcPr>
          <w:p w14:paraId="46F9809D"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1.378</w:t>
            </w:r>
          </w:p>
        </w:tc>
        <w:tc>
          <w:tcPr>
            <w:tcW w:w="0" w:type="auto"/>
            <w:tcMar>
              <w:top w:w="15" w:type="dxa"/>
              <w:left w:w="140" w:type="dxa"/>
              <w:bottom w:w="15" w:type="dxa"/>
              <w:right w:w="140" w:type="dxa"/>
            </w:tcMar>
            <w:vAlign w:val="center"/>
            <w:hideMark/>
          </w:tcPr>
          <w:p w14:paraId="6CC7EC09"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0.153</w:t>
            </w:r>
          </w:p>
        </w:tc>
        <w:tc>
          <w:tcPr>
            <w:tcW w:w="0" w:type="auto"/>
            <w:tcMar>
              <w:top w:w="15" w:type="dxa"/>
              <w:left w:w="140" w:type="dxa"/>
              <w:bottom w:w="15" w:type="dxa"/>
              <w:right w:w="140" w:type="dxa"/>
            </w:tcMar>
            <w:vAlign w:val="center"/>
            <w:hideMark/>
          </w:tcPr>
          <w:p w14:paraId="4CB70FC7"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9.026</w:t>
            </w:r>
          </w:p>
        </w:tc>
        <w:tc>
          <w:tcPr>
            <w:tcW w:w="0" w:type="auto"/>
            <w:tcBorders>
              <w:right w:val="nil"/>
            </w:tcBorders>
            <w:tcMar>
              <w:top w:w="15" w:type="dxa"/>
              <w:left w:w="140" w:type="dxa"/>
              <w:bottom w:w="15" w:type="dxa"/>
              <w:right w:w="140" w:type="dxa"/>
            </w:tcMar>
            <w:vAlign w:val="center"/>
            <w:hideMark/>
          </w:tcPr>
          <w:p w14:paraId="25E51E89"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0.001</w:t>
            </w:r>
          </w:p>
        </w:tc>
      </w:tr>
      <w:tr w:rsidR="00532C7F" w:rsidRPr="00233381" w14:paraId="5C925479" w14:textId="77777777" w:rsidTr="00357467">
        <w:tc>
          <w:tcPr>
            <w:tcW w:w="0" w:type="auto"/>
            <w:tcBorders>
              <w:left w:val="nil"/>
            </w:tcBorders>
            <w:tcMar>
              <w:top w:w="15" w:type="dxa"/>
              <w:left w:w="57" w:type="dxa"/>
              <w:bottom w:w="15" w:type="dxa"/>
              <w:right w:w="57" w:type="dxa"/>
            </w:tcMar>
            <w:vAlign w:val="center"/>
            <w:hideMark/>
          </w:tcPr>
          <w:p w14:paraId="30E0C972"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ANSIED5</w:t>
            </w:r>
          </w:p>
        </w:tc>
        <w:tc>
          <w:tcPr>
            <w:tcW w:w="0" w:type="auto"/>
            <w:noWrap/>
            <w:tcMar>
              <w:top w:w="15" w:type="dxa"/>
              <w:left w:w="57" w:type="dxa"/>
              <w:bottom w:w="15" w:type="dxa"/>
              <w:right w:w="57" w:type="dxa"/>
            </w:tcMar>
            <w:vAlign w:val="center"/>
            <w:hideMark/>
          </w:tcPr>
          <w:p w14:paraId="3A9CE5A5"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&lt;---</w:t>
            </w:r>
          </w:p>
        </w:tc>
        <w:tc>
          <w:tcPr>
            <w:tcW w:w="0" w:type="auto"/>
            <w:tcBorders>
              <w:right w:val="single" w:sz="6" w:space="0" w:color="auto"/>
            </w:tcBorders>
            <w:tcMar>
              <w:top w:w="15" w:type="dxa"/>
              <w:left w:w="140" w:type="dxa"/>
              <w:bottom w:w="15" w:type="dxa"/>
              <w:right w:w="140" w:type="dxa"/>
            </w:tcMar>
            <w:vAlign w:val="center"/>
            <w:hideMark/>
          </w:tcPr>
          <w:p w14:paraId="3022AC81"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ANS</w:t>
            </w:r>
          </w:p>
        </w:tc>
        <w:tc>
          <w:tcPr>
            <w:tcW w:w="0" w:type="auto"/>
            <w:tcMar>
              <w:top w:w="15" w:type="dxa"/>
              <w:left w:w="140" w:type="dxa"/>
              <w:bottom w:w="15" w:type="dxa"/>
              <w:right w:w="140" w:type="dxa"/>
            </w:tcMar>
            <w:vAlign w:val="center"/>
            <w:hideMark/>
          </w:tcPr>
          <w:p w14:paraId="3D40A83B"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1.430</w:t>
            </w:r>
          </w:p>
        </w:tc>
        <w:tc>
          <w:tcPr>
            <w:tcW w:w="0" w:type="auto"/>
            <w:tcMar>
              <w:top w:w="15" w:type="dxa"/>
              <w:left w:w="140" w:type="dxa"/>
              <w:bottom w:w="15" w:type="dxa"/>
              <w:right w:w="140" w:type="dxa"/>
            </w:tcMar>
            <w:vAlign w:val="center"/>
            <w:hideMark/>
          </w:tcPr>
          <w:p w14:paraId="7482B154"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0.154</w:t>
            </w:r>
          </w:p>
        </w:tc>
        <w:tc>
          <w:tcPr>
            <w:tcW w:w="0" w:type="auto"/>
            <w:tcMar>
              <w:top w:w="15" w:type="dxa"/>
              <w:left w:w="140" w:type="dxa"/>
              <w:bottom w:w="15" w:type="dxa"/>
              <w:right w:w="140" w:type="dxa"/>
            </w:tcMar>
            <w:vAlign w:val="center"/>
            <w:hideMark/>
          </w:tcPr>
          <w:p w14:paraId="54D9D1CF"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9.293</w:t>
            </w:r>
          </w:p>
        </w:tc>
        <w:tc>
          <w:tcPr>
            <w:tcW w:w="0" w:type="auto"/>
            <w:tcBorders>
              <w:right w:val="nil"/>
            </w:tcBorders>
            <w:tcMar>
              <w:top w:w="15" w:type="dxa"/>
              <w:left w:w="140" w:type="dxa"/>
              <w:bottom w:w="15" w:type="dxa"/>
              <w:right w:w="140" w:type="dxa"/>
            </w:tcMar>
            <w:vAlign w:val="center"/>
            <w:hideMark/>
          </w:tcPr>
          <w:p w14:paraId="4352DA6D"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0.001</w:t>
            </w:r>
          </w:p>
        </w:tc>
      </w:tr>
      <w:tr w:rsidR="00532C7F" w:rsidRPr="00233381" w14:paraId="281A1835" w14:textId="77777777" w:rsidTr="00357467">
        <w:tc>
          <w:tcPr>
            <w:tcW w:w="0" w:type="auto"/>
            <w:tcBorders>
              <w:left w:val="nil"/>
            </w:tcBorders>
            <w:tcMar>
              <w:top w:w="15" w:type="dxa"/>
              <w:left w:w="57" w:type="dxa"/>
              <w:bottom w:w="15" w:type="dxa"/>
              <w:right w:w="57" w:type="dxa"/>
            </w:tcMar>
            <w:vAlign w:val="center"/>
            <w:hideMark/>
          </w:tcPr>
          <w:p w14:paraId="74BF8DBB"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ANSIED6</w:t>
            </w:r>
          </w:p>
        </w:tc>
        <w:tc>
          <w:tcPr>
            <w:tcW w:w="0" w:type="auto"/>
            <w:noWrap/>
            <w:tcMar>
              <w:top w:w="15" w:type="dxa"/>
              <w:left w:w="57" w:type="dxa"/>
              <w:bottom w:w="15" w:type="dxa"/>
              <w:right w:w="57" w:type="dxa"/>
            </w:tcMar>
            <w:vAlign w:val="center"/>
            <w:hideMark/>
          </w:tcPr>
          <w:p w14:paraId="73AD2EB9"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&lt;---</w:t>
            </w:r>
          </w:p>
        </w:tc>
        <w:tc>
          <w:tcPr>
            <w:tcW w:w="0" w:type="auto"/>
            <w:tcBorders>
              <w:right w:val="single" w:sz="6" w:space="0" w:color="auto"/>
            </w:tcBorders>
            <w:tcMar>
              <w:top w:w="15" w:type="dxa"/>
              <w:left w:w="140" w:type="dxa"/>
              <w:bottom w:w="15" w:type="dxa"/>
              <w:right w:w="140" w:type="dxa"/>
            </w:tcMar>
            <w:vAlign w:val="center"/>
            <w:hideMark/>
          </w:tcPr>
          <w:p w14:paraId="55E66FB5"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ANS</w:t>
            </w:r>
          </w:p>
        </w:tc>
        <w:tc>
          <w:tcPr>
            <w:tcW w:w="0" w:type="auto"/>
            <w:tcMar>
              <w:top w:w="15" w:type="dxa"/>
              <w:left w:w="140" w:type="dxa"/>
              <w:bottom w:w="15" w:type="dxa"/>
              <w:right w:w="140" w:type="dxa"/>
            </w:tcMar>
            <w:vAlign w:val="center"/>
            <w:hideMark/>
          </w:tcPr>
          <w:p w14:paraId="04586061"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1.351</w:t>
            </w:r>
          </w:p>
        </w:tc>
        <w:tc>
          <w:tcPr>
            <w:tcW w:w="0" w:type="auto"/>
            <w:tcMar>
              <w:top w:w="15" w:type="dxa"/>
              <w:left w:w="140" w:type="dxa"/>
              <w:bottom w:w="15" w:type="dxa"/>
              <w:right w:w="140" w:type="dxa"/>
            </w:tcMar>
            <w:vAlign w:val="center"/>
            <w:hideMark/>
          </w:tcPr>
          <w:p w14:paraId="4D7612C0"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0.154</w:t>
            </w:r>
          </w:p>
        </w:tc>
        <w:tc>
          <w:tcPr>
            <w:tcW w:w="0" w:type="auto"/>
            <w:tcMar>
              <w:top w:w="15" w:type="dxa"/>
              <w:left w:w="140" w:type="dxa"/>
              <w:bottom w:w="15" w:type="dxa"/>
              <w:right w:w="140" w:type="dxa"/>
            </w:tcMar>
            <w:vAlign w:val="center"/>
            <w:hideMark/>
          </w:tcPr>
          <w:p w14:paraId="45BA1B5A"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8.759</w:t>
            </w:r>
          </w:p>
        </w:tc>
        <w:tc>
          <w:tcPr>
            <w:tcW w:w="0" w:type="auto"/>
            <w:tcBorders>
              <w:right w:val="nil"/>
            </w:tcBorders>
            <w:tcMar>
              <w:top w:w="15" w:type="dxa"/>
              <w:left w:w="140" w:type="dxa"/>
              <w:bottom w:w="15" w:type="dxa"/>
              <w:right w:w="140" w:type="dxa"/>
            </w:tcMar>
            <w:vAlign w:val="center"/>
            <w:hideMark/>
          </w:tcPr>
          <w:p w14:paraId="0FB8301A"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0.001</w:t>
            </w:r>
          </w:p>
        </w:tc>
      </w:tr>
      <w:tr w:rsidR="00532C7F" w:rsidRPr="00233381" w14:paraId="1E19E8E1" w14:textId="77777777" w:rsidTr="00357467">
        <w:tc>
          <w:tcPr>
            <w:tcW w:w="0" w:type="auto"/>
            <w:tcBorders>
              <w:left w:val="nil"/>
            </w:tcBorders>
            <w:tcMar>
              <w:top w:w="15" w:type="dxa"/>
              <w:left w:w="57" w:type="dxa"/>
              <w:bottom w:w="15" w:type="dxa"/>
              <w:right w:w="57" w:type="dxa"/>
            </w:tcMar>
            <w:vAlign w:val="center"/>
            <w:hideMark/>
          </w:tcPr>
          <w:p w14:paraId="0C1F7D07"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ANSIED7</w:t>
            </w:r>
          </w:p>
        </w:tc>
        <w:tc>
          <w:tcPr>
            <w:tcW w:w="0" w:type="auto"/>
            <w:noWrap/>
            <w:tcMar>
              <w:top w:w="15" w:type="dxa"/>
              <w:left w:w="57" w:type="dxa"/>
              <w:bottom w:w="15" w:type="dxa"/>
              <w:right w:w="57" w:type="dxa"/>
            </w:tcMar>
            <w:vAlign w:val="center"/>
            <w:hideMark/>
          </w:tcPr>
          <w:p w14:paraId="2F0C2BDE"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&lt;---</w:t>
            </w:r>
          </w:p>
        </w:tc>
        <w:tc>
          <w:tcPr>
            <w:tcW w:w="0" w:type="auto"/>
            <w:tcBorders>
              <w:right w:val="single" w:sz="6" w:space="0" w:color="auto"/>
            </w:tcBorders>
            <w:tcMar>
              <w:top w:w="15" w:type="dxa"/>
              <w:left w:w="140" w:type="dxa"/>
              <w:bottom w:w="15" w:type="dxa"/>
              <w:right w:w="140" w:type="dxa"/>
            </w:tcMar>
            <w:vAlign w:val="center"/>
            <w:hideMark/>
          </w:tcPr>
          <w:p w14:paraId="00FBB194"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ANS</w:t>
            </w:r>
          </w:p>
        </w:tc>
        <w:tc>
          <w:tcPr>
            <w:tcW w:w="0" w:type="auto"/>
            <w:tcMar>
              <w:top w:w="15" w:type="dxa"/>
              <w:left w:w="140" w:type="dxa"/>
              <w:bottom w:w="15" w:type="dxa"/>
              <w:right w:w="140" w:type="dxa"/>
            </w:tcMar>
            <w:vAlign w:val="center"/>
            <w:hideMark/>
          </w:tcPr>
          <w:p w14:paraId="52D82AA5"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1.357</w:t>
            </w:r>
          </w:p>
        </w:tc>
        <w:tc>
          <w:tcPr>
            <w:tcW w:w="0" w:type="auto"/>
            <w:tcMar>
              <w:top w:w="15" w:type="dxa"/>
              <w:left w:w="140" w:type="dxa"/>
              <w:bottom w:w="15" w:type="dxa"/>
              <w:right w:w="140" w:type="dxa"/>
            </w:tcMar>
            <w:vAlign w:val="center"/>
            <w:hideMark/>
          </w:tcPr>
          <w:p w14:paraId="49E8D867"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0.152</w:t>
            </w:r>
          </w:p>
        </w:tc>
        <w:tc>
          <w:tcPr>
            <w:tcW w:w="0" w:type="auto"/>
            <w:tcMar>
              <w:top w:w="15" w:type="dxa"/>
              <w:left w:w="140" w:type="dxa"/>
              <w:bottom w:w="15" w:type="dxa"/>
              <w:right w:w="140" w:type="dxa"/>
            </w:tcMar>
            <w:vAlign w:val="center"/>
            <w:hideMark/>
          </w:tcPr>
          <w:p w14:paraId="04C2D245"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8.952</w:t>
            </w:r>
          </w:p>
        </w:tc>
        <w:tc>
          <w:tcPr>
            <w:tcW w:w="0" w:type="auto"/>
            <w:tcBorders>
              <w:right w:val="nil"/>
            </w:tcBorders>
            <w:tcMar>
              <w:top w:w="15" w:type="dxa"/>
              <w:left w:w="140" w:type="dxa"/>
              <w:bottom w:w="15" w:type="dxa"/>
              <w:right w:w="140" w:type="dxa"/>
            </w:tcMar>
            <w:vAlign w:val="center"/>
            <w:hideMark/>
          </w:tcPr>
          <w:p w14:paraId="4109554B"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0.001</w:t>
            </w:r>
          </w:p>
        </w:tc>
      </w:tr>
      <w:tr w:rsidR="00532C7F" w:rsidRPr="00233381" w14:paraId="61209999" w14:textId="77777777" w:rsidTr="00357467">
        <w:tc>
          <w:tcPr>
            <w:tcW w:w="0" w:type="auto"/>
            <w:tcBorders>
              <w:left w:val="nil"/>
            </w:tcBorders>
            <w:tcMar>
              <w:top w:w="15" w:type="dxa"/>
              <w:left w:w="57" w:type="dxa"/>
              <w:bottom w:w="15" w:type="dxa"/>
              <w:right w:w="57" w:type="dxa"/>
            </w:tcMar>
            <w:vAlign w:val="center"/>
            <w:hideMark/>
          </w:tcPr>
          <w:p w14:paraId="6307AFEA"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DEPR1</w:t>
            </w:r>
          </w:p>
        </w:tc>
        <w:tc>
          <w:tcPr>
            <w:tcW w:w="0" w:type="auto"/>
            <w:noWrap/>
            <w:tcMar>
              <w:top w:w="15" w:type="dxa"/>
              <w:left w:w="57" w:type="dxa"/>
              <w:bottom w:w="15" w:type="dxa"/>
              <w:right w:w="57" w:type="dxa"/>
            </w:tcMar>
            <w:vAlign w:val="center"/>
            <w:hideMark/>
          </w:tcPr>
          <w:p w14:paraId="38F49C58"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&lt;---</w:t>
            </w:r>
          </w:p>
        </w:tc>
        <w:tc>
          <w:tcPr>
            <w:tcW w:w="0" w:type="auto"/>
            <w:tcBorders>
              <w:right w:val="single" w:sz="6" w:space="0" w:color="auto"/>
            </w:tcBorders>
            <w:tcMar>
              <w:top w:w="15" w:type="dxa"/>
              <w:left w:w="140" w:type="dxa"/>
              <w:bottom w:w="15" w:type="dxa"/>
              <w:right w:w="140" w:type="dxa"/>
            </w:tcMar>
            <w:vAlign w:val="center"/>
            <w:hideMark/>
          </w:tcPr>
          <w:p w14:paraId="1B1EAADF"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DEP</w:t>
            </w:r>
          </w:p>
        </w:tc>
        <w:tc>
          <w:tcPr>
            <w:tcW w:w="0" w:type="auto"/>
            <w:tcMar>
              <w:top w:w="15" w:type="dxa"/>
              <w:left w:w="140" w:type="dxa"/>
              <w:bottom w:w="15" w:type="dxa"/>
              <w:right w:w="140" w:type="dxa"/>
            </w:tcMar>
            <w:vAlign w:val="center"/>
            <w:hideMark/>
          </w:tcPr>
          <w:p w14:paraId="028DEAC2"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1.000</w:t>
            </w:r>
          </w:p>
        </w:tc>
        <w:tc>
          <w:tcPr>
            <w:tcW w:w="0" w:type="auto"/>
            <w:tcMar>
              <w:top w:w="15" w:type="dxa"/>
              <w:left w:w="140" w:type="dxa"/>
              <w:bottom w:w="15" w:type="dxa"/>
              <w:right w:w="140" w:type="dxa"/>
            </w:tcMar>
            <w:vAlign w:val="center"/>
            <w:hideMark/>
          </w:tcPr>
          <w:p w14:paraId="1973BB5E"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w:t>
            </w:r>
          </w:p>
        </w:tc>
        <w:tc>
          <w:tcPr>
            <w:tcW w:w="0" w:type="auto"/>
            <w:vAlign w:val="center"/>
            <w:hideMark/>
          </w:tcPr>
          <w:p w14:paraId="07E7C30C"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w:t>
            </w:r>
          </w:p>
        </w:tc>
        <w:tc>
          <w:tcPr>
            <w:tcW w:w="0" w:type="auto"/>
            <w:tcBorders>
              <w:right w:val="nil"/>
            </w:tcBorders>
            <w:vAlign w:val="center"/>
            <w:hideMark/>
          </w:tcPr>
          <w:p w14:paraId="613248D2"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w:t>
            </w:r>
          </w:p>
        </w:tc>
      </w:tr>
      <w:tr w:rsidR="00532C7F" w:rsidRPr="00233381" w14:paraId="57656E44" w14:textId="77777777" w:rsidTr="00357467">
        <w:tc>
          <w:tcPr>
            <w:tcW w:w="0" w:type="auto"/>
            <w:tcBorders>
              <w:left w:val="nil"/>
            </w:tcBorders>
            <w:tcMar>
              <w:top w:w="15" w:type="dxa"/>
              <w:left w:w="57" w:type="dxa"/>
              <w:bottom w:w="15" w:type="dxa"/>
              <w:right w:w="57" w:type="dxa"/>
            </w:tcMar>
            <w:vAlign w:val="center"/>
            <w:hideMark/>
          </w:tcPr>
          <w:p w14:paraId="3AB15F58"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DEPR2</w:t>
            </w:r>
          </w:p>
        </w:tc>
        <w:tc>
          <w:tcPr>
            <w:tcW w:w="0" w:type="auto"/>
            <w:noWrap/>
            <w:tcMar>
              <w:top w:w="15" w:type="dxa"/>
              <w:left w:w="57" w:type="dxa"/>
              <w:bottom w:w="15" w:type="dxa"/>
              <w:right w:w="57" w:type="dxa"/>
            </w:tcMar>
            <w:vAlign w:val="center"/>
            <w:hideMark/>
          </w:tcPr>
          <w:p w14:paraId="41A387DD"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&lt;---</w:t>
            </w:r>
          </w:p>
        </w:tc>
        <w:tc>
          <w:tcPr>
            <w:tcW w:w="0" w:type="auto"/>
            <w:tcBorders>
              <w:right w:val="single" w:sz="6" w:space="0" w:color="auto"/>
            </w:tcBorders>
            <w:tcMar>
              <w:top w:w="15" w:type="dxa"/>
              <w:left w:w="140" w:type="dxa"/>
              <w:bottom w:w="15" w:type="dxa"/>
              <w:right w:w="140" w:type="dxa"/>
            </w:tcMar>
            <w:vAlign w:val="center"/>
            <w:hideMark/>
          </w:tcPr>
          <w:p w14:paraId="399FFB68"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DEP</w:t>
            </w:r>
          </w:p>
        </w:tc>
        <w:tc>
          <w:tcPr>
            <w:tcW w:w="0" w:type="auto"/>
            <w:tcMar>
              <w:top w:w="15" w:type="dxa"/>
              <w:left w:w="140" w:type="dxa"/>
              <w:bottom w:w="15" w:type="dxa"/>
              <w:right w:w="140" w:type="dxa"/>
            </w:tcMar>
            <w:vAlign w:val="center"/>
            <w:hideMark/>
          </w:tcPr>
          <w:p w14:paraId="497CA19E"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1.112</w:t>
            </w:r>
          </w:p>
        </w:tc>
        <w:tc>
          <w:tcPr>
            <w:tcW w:w="0" w:type="auto"/>
            <w:tcMar>
              <w:top w:w="15" w:type="dxa"/>
              <w:left w:w="140" w:type="dxa"/>
              <w:bottom w:w="15" w:type="dxa"/>
              <w:right w:w="140" w:type="dxa"/>
            </w:tcMar>
            <w:vAlign w:val="center"/>
            <w:hideMark/>
          </w:tcPr>
          <w:p w14:paraId="4D510643"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0.105</w:t>
            </w:r>
          </w:p>
        </w:tc>
        <w:tc>
          <w:tcPr>
            <w:tcW w:w="0" w:type="auto"/>
            <w:tcMar>
              <w:top w:w="15" w:type="dxa"/>
              <w:left w:w="140" w:type="dxa"/>
              <w:bottom w:w="15" w:type="dxa"/>
              <w:right w:w="140" w:type="dxa"/>
            </w:tcMar>
            <w:vAlign w:val="center"/>
            <w:hideMark/>
          </w:tcPr>
          <w:p w14:paraId="386A0657"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10.605</w:t>
            </w:r>
          </w:p>
        </w:tc>
        <w:tc>
          <w:tcPr>
            <w:tcW w:w="0" w:type="auto"/>
            <w:tcBorders>
              <w:right w:val="nil"/>
            </w:tcBorders>
            <w:tcMar>
              <w:top w:w="15" w:type="dxa"/>
              <w:left w:w="140" w:type="dxa"/>
              <w:bottom w:w="15" w:type="dxa"/>
              <w:right w:w="140" w:type="dxa"/>
            </w:tcMar>
            <w:vAlign w:val="center"/>
            <w:hideMark/>
          </w:tcPr>
          <w:p w14:paraId="568214D1"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0.001</w:t>
            </w:r>
          </w:p>
        </w:tc>
      </w:tr>
      <w:tr w:rsidR="00532C7F" w:rsidRPr="00233381" w14:paraId="2D10A333" w14:textId="77777777" w:rsidTr="00357467">
        <w:tc>
          <w:tcPr>
            <w:tcW w:w="0" w:type="auto"/>
            <w:tcBorders>
              <w:left w:val="nil"/>
            </w:tcBorders>
            <w:tcMar>
              <w:top w:w="15" w:type="dxa"/>
              <w:left w:w="57" w:type="dxa"/>
              <w:bottom w:w="15" w:type="dxa"/>
              <w:right w:w="57" w:type="dxa"/>
            </w:tcMar>
            <w:vAlign w:val="center"/>
            <w:hideMark/>
          </w:tcPr>
          <w:p w14:paraId="69440676"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DEPR3</w:t>
            </w:r>
          </w:p>
        </w:tc>
        <w:tc>
          <w:tcPr>
            <w:tcW w:w="0" w:type="auto"/>
            <w:noWrap/>
            <w:tcMar>
              <w:top w:w="15" w:type="dxa"/>
              <w:left w:w="57" w:type="dxa"/>
              <w:bottom w:w="15" w:type="dxa"/>
              <w:right w:w="57" w:type="dxa"/>
            </w:tcMar>
            <w:vAlign w:val="center"/>
            <w:hideMark/>
          </w:tcPr>
          <w:p w14:paraId="71B8BBF3"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&lt;---</w:t>
            </w:r>
          </w:p>
        </w:tc>
        <w:tc>
          <w:tcPr>
            <w:tcW w:w="0" w:type="auto"/>
            <w:tcBorders>
              <w:right w:val="single" w:sz="6" w:space="0" w:color="auto"/>
            </w:tcBorders>
            <w:tcMar>
              <w:top w:w="15" w:type="dxa"/>
              <w:left w:w="140" w:type="dxa"/>
              <w:bottom w:w="15" w:type="dxa"/>
              <w:right w:w="140" w:type="dxa"/>
            </w:tcMar>
            <w:vAlign w:val="center"/>
            <w:hideMark/>
          </w:tcPr>
          <w:p w14:paraId="570F465F"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DEP</w:t>
            </w:r>
          </w:p>
        </w:tc>
        <w:tc>
          <w:tcPr>
            <w:tcW w:w="0" w:type="auto"/>
            <w:tcMar>
              <w:top w:w="15" w:type="dxa"/>
              <w:left w:w="140" w:type="dxa"/>
              <w:bottom w:w="15" w:type="dxa"/>
              <w:right w:w="140" w:type="dxa"/>
            </w:tcMar>
            <w:vAlign w:val="center"/>
            <w:hideMark/>
          </w:tcPr>
          <w:p w14:paraId="000B9656"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1.354</w:t>
            </w:r>
          </w:p>
        </w:tc>
        <w:tc>
          <w:tcPr>
            <w:tcW w:w="0" w:type="auto"/>
            <w:tcMar>
              <w:top w:w="15" w:type="dxa"/>
              <w:left w:w="140" w:type="dxa"/>
              <w:bottom w:w="15" w:type="dxa"/>
              <w:right w:w="140" w:type="dxa"/>
            </w:tcMar>
            <w:vAlign w:val="center"/>
            <w:hideMark/>
          </w:tcPr>
          <w:p w14:paraId="57932354"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0.108</w:t>
            </w:r>
          </w:p>
        </w:tc>
        <w:tc>
          <w:tcPr>
            <w:tcW w:w="0" w:type="auto"/>
            <w:tcMar>
              <w:top w:w="15" w:type="dxa"/>
              <w:left w:w="140" w:type="dxa"/>
              <w:bottom w:w="15" w:type="dxa"/>
              <w:right w:w="140" w:type="dxa"/>
            </w:tcMar>
            <w:vAlign w:val="center"/>
            <w:hideMark/>
          </w:tcPr>
          <w:p w14:paraId="42BF2F4C"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12.506</w:t>
            </w:r>
          </w:p>
        </w:tc>
        <w:tc>
          <w:tcPr>
            <w:tcW w:w="0" w:type="auto"/>
            <w:tcBorders>
              <w:right w:val="nil"/>
            </w:tcBorders>
            <w:tcMar>
              <w:top w:w="15" w:type="dxa"/>
              <w:left w:w="140" w:type="dxa"/>
              <w:bottom w:w="15" w:type="dxa"/>
              <w:right w:w="140" w:type="dxa"/>
            </w:tcMar>
            <w:vAlign w:val="center"/>
            <w:hideMark/>
          </w:tcPr>
          <w:p w14:paraId="3B865FA9"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0.001</w:t>
            </w:r>
          </w:p>
        </w:tc>
      </w:tr>
      <w:tr w:rsidR="00532C7F" w:rsidRPr="00233381" w14:paraId="1C5A4C3F" w14:textId="77777777" w:rsidTr="00357467">
        <w:tc>
          <w:tcPr>
            <w:tcW w:w="0" w:type="auto"/>
            <w:tcBorders>
              <w:left w:val="nil"/>
            </w:tcBorders>
            <w:tcMar>
              <w:top w:w="15" w:type="dxa"/>
              <w:left w:w="57" w:type="dxa"/>
              <w:bottom w:w="15" w:type="dxa"/>
              <w:right w:w="57" w:type="dxa"/>
            </w:tcMar>
            <w:vAlign w:val="center"/>
            <w:hideMark/>
          </w:tcPr>
          <w:p w14:paraId="725195F8"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DEPR4</w:t>
            </w:r>
          </w:p>
        </w:tc>
        <w:tc>
          <w:tcPr>
            <w:tcW w:w="0" w:type="auto"/>
            <w:noWrap/>
            <w:tcMar>
              <w:top w:w="15" w:type="dxa"/>
              <w:left w:w="57" w:type="dxa"/>
              <w:bottom w:w="15" w:type="dxa"/>
              <w:right w:w="57" w:type="dxa"/>
            </w:tcMar>
            <w:vAlign w:val="center"/>
            <w:hideMark/>
          </w:tcPr>
          <w:p w14:paraId="3EF33F02"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&lt;---</w:t>
            </w:r>
          </w:p>
        </w:tc>
        <w:tc>
          <w:tcPr>
            <w:tcW w:w="0" w:type="auto"/>
            <w:tcBorders>
              <w:right w:val="single" w:sz="6" w:space="0" w:color="auto"/>
            </w:tcBorders>
            <w:tcMar>
              <w:top w:w="15" w:type="dxa"/>
              <w:left w:w="140" w:type="dxa"/>
              <w:bottom w:w="15" w:type="dxa"/>
              <w:right w:w="140" w:type="dxa"/>
            </w:tcMar>
            <w:vAlign w:val="center"/>
            <w:hideMark/>
          </w:tcPr>
          <w:p w14:paraId="14C50992"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DEP</w:t>
            </w:r>
          </w:p>
        </w:tc>
        <w:tc>
          <w:tcPr>
            <w:tcW w:w="0" w:type="auto"/>
            <w:tcMar>
              <w:top w:w="15" w:type="dxa"/>
              <w:left w:w="140" w:type="dxa"/>
              <w:bottom w:w="15" w:type="dxa"/>
              <w:right w:w="140" w:type="dxa"/>
            </w:tcMar>
            <w:vAlign w:val="center"/>
            <w:hideMark/>
          </w:tcPr>
          <w:p w14:paraId="660CD158"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1.447</w:t>
            </w:r>
          </w:p>
        </w:tc>
        <w:tc>
          <w:tcPr>
            <w:tcW w:w="0" w:type="auto"/>
            <w:tcMar>
              <w:top w:w="15" w:type="dxa"/>
              <w:left w:w="140" w:type="dxa"/>
              <w:bottom w:w="15" w:type="dxa"/>
              <w:right w:w="140" w:type="dxa"/>
            </w:tcMar>
            <w:vAlign w:val="center"/>
            <w:hideMark/>
          </w:tcPr>
          <w:p w14:paraId="14C81CB9"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0.109</w:t>
            </w:r>
          </w:p>
        </w:tc>
        <w:tc>
          <w:tcPr>
            <w:tcW w:w="0" w:type="auto"/>
            <w:tcMar>
              <w:top w:w="15" w:type="dxa"/>
              <w:left w:w="140" w:type="dxa"/>
              <w:bottom w:w="15" w:type="dxa"/>
              <w:right w:w="140" w:type="dxa"/>
            </w:tcMar>
            <w:vAlign w:val="center"/>
            <w:hideMark/>
          </w:tcPr>
          <w:p w14:paraId="5C02B36E"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13.307</w:t>
            </w:r>
          </w:p>
        </w:tc>
        <w:tc>
          <w:tcPr>
            <w:tcW w:w="0" w:type="auto"/>
            <w:tcBorders>
              <w:right w:val="nil"/>
            </w:tcBorders>
            <w:tcMar>
              <w:top w:w="15" w:type="dxa"/>
              <w:left w:w="140" w:type="dxa"/>
              <w:bottom w:w="15" w:type="dxa"/>
              <w:right w:w="140" w:type="dxa"/>
            </w:tcMar>
            <w:vAlign w:val="center"/>
            <w:hideMark/>
          </w:tcPr>
          <w:p w14:paraId="6EAA7513"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0.001</w:t>
            </w:r>
          </w:p>
        </w:tc>
      </w:tr>
      <w:tr w:rsidR="00532C7F" w:rsidRPr="00233381" w14:paraId="124480A8" w14:textId="77777777" w:rsidTr="00357467">
        <w:tc>
          <w:tcPr>
            <w:tcW w:w="0" w:type="auto"/>
            <w:tcBorders>
              <w:left w:val="nil"/>
            </w:tcBorders>
            <w:tcMar>
              <w:top w:w="15" w:type="dxa"/>
              <w:left w:w="57" w:type="dxa"/>
              <w:bottom w:w="15" w:type="dxa"/>
              <w:right w:w="57" w:type="dxa"/>
            </w:tcMar>
            <w:vAlign w:val="center"/>
            <w:hideMark/>
          </w:tcPr>
          <w:p w14:paraId="4F2BC78E"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DEPR5</w:t>
            </w:r>
          </w:p>
        </w:tc>
        <w:tc>
          <w:tcPr>
            <w:tcW w:w="0" w:type="auto"/>
            <w:noWrap/>
            <w:tcMar>
              <w:top w:w="15" w:type="dxa"/>
              <w:left w:w="57" w:type="dxa"/>
              <w:bottom w:w="15" w:type="dxa"/>
              <w:right w:w="57" w:type="dxa"/>
            </w:tcMar>
            <w:vAlign w:val="center"/>
            <w:hideMark/>
          </w:tcPr>
          <w:p w14:paraId="5D93750A"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&lt;---</w:t>
            </w:r>
          </w:p>
        </w:tc>
        <w:tc>
          <w:tcPr>
            <w:tcW w:w="0" w:type="auto"/>
            <w:tcBorders>
              <w:right w:val="single" w:sz="6" w:space="0" w:color="auto"/>
            </w:tcBorders>
            <w:tcMar>
              <w:top w:w="15" w:type="dxa"/>
              <w:left w:w="140" w:type="dxa"/>
              <w:bottom w:w="15" w:type="dxa"/>
              <w:right w:w="140" w:type="dxa"/>
            </w:tcMar>
            <w:vAlign w:val="center"/>
            <w:hideMark/>
          </w:tcPr>
          <w:p w14:paraId="7CFDF465"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DEP</w:t>
            </w:r>
          </w:p>
        </w:tc>
        <w:tc>
          <w:tcPr>
            <w:tcW w:w="0" w:type="auto"/>
            <w:tcMar>
              <w:top w:w="15" w:type="dxa"/>
              <w:left w:w="140" w:type="dxa"/>
              <w:bottom w:w="15" w:type="dxa"/>
              <w:right w:w="140" w:type="dxa"/>
            </w:tcMar>
            <w:vAlign w:val="center"/>
            <w:hideMark/>
          </w:tcPr>
          <w:p w14:paraId="3595B8E2"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1.469</w:t>
            </w:r>
          </w:p>
        </w:tc>
        <w:tc>
          <w:tcPr>
            <w:tcW w:w="0" w:type="auto"/>
            <w:tcMar>
              <w:top w:w="15" w:type="dxa"/>
              <w:left w:w="140" w:type="dxa"/>
              <w:bottom w:w="15" w:type="dxa"/>
              <w:right w:w="140" w:type="dxa"/>
            </w:tcMar>
            <w:vAlign w:val="center"/>
            <w:hideMark/>
          </w:tcPr>
          <w:p w14:paraId="4BE2890C"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0.109</w:t>
            </w:r>
          </w:p>
        </w:tc>
        <w:tc>
          <w:tcPr>
            <w:tcW w:w="0" w:type="auto"/>
            <w:tcMar>
              <w:top w:w="15" w:type="dxa"/>
              <w:left w:w="140" w:type="dxa"/>
              <w:bottom w:w="15" w:type="dxa"/>
              <w:right w:w="140" w:type="dxa"/>
            </w:tcMar>
            <w:vAlign w:val="center"/>
            <w:hideMark/>
          </w:tcPr>
          <w:p w14:paraId="4CB06E1F"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13.457</w:t>
            </w:r>
          </w:p>
        </w:tc>
        <w:tc>
          <w:tcPr>
            <w:tcW w:w="0" w:type="auto"/>
            <w:tcBorders>
              <w:right w:val="nil"/>
            </w:tcBorders>
            <w:tcMar>
              <w:top w:w="15" w:type="dxa"/>
              <w:left w:w="140" w:type="dxa"/>
              <w:bottom w:w="15" w:type="dxa"/>
              <w:right w:w="140" w:type="dxa"/>
            </w:tcMar>
            <w:vAlign w:val="center"/>
            <w:hideMark/>
          </w:tcPr>
          <w:p w14:paraId="277D7028"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0.001</w:t>
            </w:r>
          </w:p>
        </w:tc>
      </w:tr>
      <w:tr w:rsidR="00532C7F" w:rsidRPr="00233381" w14:paraId="4F5F693E" w14:textId="77777777" w:rsidTr="00357467">
        <w:tc>
          <w:tcPr>
            <w:tcW w:w="0" w:type="auto"/>
            <w:tcBorders>
              <w:left w:val="nil"/>
            </w:tcBorders>
            <w:tcMar>
              <w:top w:w="15" w:type="dxa"/>
              <w:left w:w="57" w:type="dxa"/>
              <w:bottom w:w="15" w:type="dxa"/>
              <w:right w:w="57" w:type="dxa"/>
            </w:tcMar>
            <w:vAlign w:val="center"/>
            <w:hideMark/>
          </w:tcPr>
          <w:p w14:paraId="69086380"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DEPR6</w:t>
            </w:r>
          </w:p>
        </w:tc>
        <w:tc>
          <w:tcPr>
            <w:tcW w:w="0" w:type="auto"/>
            <w:noWrap/>
            <w:tcMar>
              <w:top w:w="15" w:type="dxa"/>
              <w:left w:w="57" w:type="dxa"/>
              <w:bottom w:w="15" w:type="dxa"/>
              <w:right w:w="57" w:type="dxa"/>
            </w:tcMar>
            <w:vAlign w:val="center"/>
            <w:hideMark/>
          </w:tcPr>
          <w:p w14:paraId="01DE27BB"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&lt;---</w:t>
            </w:r>
          </w:p>
        </w:tc>
        <w:tc>
          <w:tcPr>
            <w:tcW w:w="0" w:type="auto"/>
            <w:tcBorders>
              <w:right w:val="single" w:sz="6" w:space="0" w:color="auto"/>
            </w:tcBorders>
            <w:tcMar>
              <w:top w:w="15" w:type="dxa"/>
              <w:left w:w="140" w:type="dxa"/>
              <w:bottom w:w="15" w:type="dxa"/>
              <w:right w:w="140" w:type="dxa"/>
            </w:tcMar>
            <w:vAlign w:val="center"/>
            <w:hideMark/>
          </w:tcPr>
          <w:p w14:paraId="42A6D892"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DEP</w:t>
            </w:r>
          </w:p>
        </w:tc>
        <w:tc>
          <w:tcPr>
            <w:tcW w:w="0" w:type="auto"/>
            <w:tcMar>
              <w:top w:w="15" w:type="dxa"/>
              <w:left w:w="140" w:type="dxa"/>
              <w:bottom w:w="15" w:type="dxa"/>
              <w:right w:w="140" w:type="dxa"/>
            </w:tcMar>
            <w:vAlign w:val="center"/>
            <w:hideMark/>
          </w:tcPr>
          <w:p w14:paraId="15CF3641"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1.332</w:t>
            </w:r>
          </w:p>
        </w:tc>
        <w:tc>
          <w:tcPr>
            <w:tcW w:w="0" w:type="auto"/>
            <w:tcMar>
              <w:top w:w="15" w:type="dxa"/>
              <w:left w:w="140" w:type="dxa"/>
              <w:bottom w:w="15" w:type="dxa"/>
              <w:right w:w="140" w:type="dxa"/>
            </w:tcMar>
            <w:vAlign w:val="center"/>
            <w:hideMark/>
          </w:tcPr>
          <w:p w14:paraId="49612498"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0.111</w:t>
            </w:r>
          </w:p>
        </w:tc>
        <w:tc>
          <w:tcPr>
            <w:tcW w:w="0" w:type="auto"/>
            <w:tcMar>
              <w:top w:w="15" w:type="dxa"/>
              <w:left w:w="140" w:type="dxa"/>
              <w:bottom w:w="15" w:type="dxa"/>
              <w:right w:w="140" w:type="dxa"/>
            </w:tcMar>
            <w:vAlign w:val="center"/>
            <w:hideMark/>
          </w:tcPr>
          <w:p w14:paraId="2EC5B1EA"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11.982</w:t>
            </w:r>
          </w:p>
        </w:tc>
        <w:tc>
          <w:tcPr>
            <w:tcW w:w="0" w:type="auto"/>
            <w:tcBorders>
              <w:right w:val="nil"/>
            </w:tcBorders>
            <w:tcMar>
              <w:top w:w="15" w:type="dxa"/>
              <w:left w:w="140" w:type="dxa"/>
              <w:bottom w:w="15" w:type="dxa"/>
              <w:right w:w="140" w:type="dxa"/>
            </w:tcMar>
            <w:vAlign w:val="center"/>
            <w:hideMark/>
          </w:tcPr>
          <w:p w14:paraId="7147178D"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0.001</w:t>
            </w:r>
          </w:p>
        </w:tc>
      </w:tr>
      <w:tr w:rsidR="00532C7F" w:rsidRPr="00233381" w14:paraId="4D22DDA7" w14:textId="77777777" w:rsidTr="00357467">
        <w:tc>
          <w:tcPr>
            <w:tcW w:w="0" w:type="auto"/>
            <w:tcBorders>
              <w:left w:val="nil"/>
              <w:bottom w:val="single" w:sz="6" w:space="0" w:color="auto"/>
            </w:tcBorders>
            <w:tcMar>
              <w:top w:w="15" w:type="dxa"/>
              <w:left w:w="57" w:type="dxa"/>
              <w:bottom w:w="15" w:type="dxa"/>
              <w:right w:w="57" w:type="dxa"/>
            </w:tcMar>
            <w:vAlign w:val="center"/>
            <w:hideMark/>
          </w:tcPr>
          <w:p w14:paraId="1A555474"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DEPR7</w:t>
            </w:r>
          </w:p>
        </w:tc>
        <w:tc>
          <w:tcPr>
            <w:tcW w:w="0" w:type="auto"/>
            <w:tcBorders>
              <w:bottom w:val="single" w:sz="6" w:space="0" w:color="auto"/>
            </w:tcBorders>
            <w:noWrap/>
            <w:tcMar>
              <w:top w:w="15" w:type="dxa"/>
              <w:left w:w="57" w:type="dxa"/>
              <w:bottom w:w="15" w:type="dxa"/>
              <w:right w:w="57" w:type="dxa"/>
            </w:tcMar>
            <w:vAlign w:val="center"/>
            <w:hideMark/>
          </w:tcPr>
          <w:p w14:paraId="5695B351"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&lt;---</w:t>
            </w: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14:paraId="480D07B6"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DEP</w:t>
            </w:r>
          </w:p>
        </w:tc>
        <w:tc>
          <w:tcPr>
            <w:tcW w:w="0" w:type="auto"/>
            <w:tcBorders>
              <w:bottom w:val="single" w:sz="6" w:space="0" w:color="auto"/>
            </w:tcBorders>
            <w:tcMar>
              <w:top w:w="15" w:type="dxa"/>
              <w:left w:w="140" w:type="dxa"/>
              <w:bottom w:w="15" w:type="dxa"/>
              <w:right w:w="140" w:type="dxa"/>
            </w:tcMar>
            <w:vAlign w:val="center"/>
            <w:hideMark/>
          </w:tcPr>
          <w:p w14:paraId="36EDB06D"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1.373</w:t>
            </w:r>
          </w:p>
        </w:tc>
        <w:tc>
          <w:tcPr>
            <w:tcW w:w="0" w:type="auto"/>
            <w:tcBorders>
              <w:bottom w:val="single" w:sz="6" w:space="0" w:color="auto"/>
            </w:tcBorders>
            <w:tcMar>
              <w:top w:w="15" w:type="dxa"/>
              <w:left w:w="140" w:type="dxa"/>
              <w:bottom w:w="15" w:type="dxa"/>
              <w:right w:w="140" w:type="dxa"/>
            </w:tcMar>
            <w:vAlign w:val="center"/>
            <w:hideMark/>
          </w:tcPr>
          <w:p w14:paraId="5796213C"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0.116</w:t>
            </w:r>
          </w:p>
        </w:tc>
        <w:tc>
          <w:tcPr>
            <w:tcW w:w="0" w:type="auto"/>
            <w:tcBorders>
              <w:bottom w:val="single" w:sz="6" w:space="0" w:color="auto"/>
            </w:tcBorders>
            <w:tcMar>
              <w:top w:w="15" w:type="dxa"/>
              <w:left w:w="140" w:type="dxa"/>
              <w:bottom w:w="15" w:type="dxa"/>
              <w:right w:w="140" w:type="dxa"/>
            </w:tcMar>
            <w:vAlign w:val="center"/>
            <w:hideMark/>
          </w:tcPr>
          <w:p w14:paraId="3585DA42"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11.883</w:t>
            </w:r>
          </w:p>
        </w:tc>
        <w:tc>
          <w:tcPr>
            <w:tcW w:w="0" w:type="auto"/>
            <w:tcBorders>
              <w:bottom w:val="single" w:sz="6" w:space="0" w:color="auto"/>
              <w:right w:val="nil"/>
            </w:tcBorders>
            <w:tcMar>
              <w:top w:w="15" w:type="dxa"/>
              <w:left w:w="140" w:type="dxa"/>
              <w:bottom w:w="15" w:type="dxa"/>
              <w:right w:w="140" w:type="dxa"/>
            </w:tcMar>
            <w:vAlign w:val="center"/>
            <w:hideMark/>
          </w:tcPr>
          <w:p w14:paraId="6B12D92F" w14:textId="77777777" w:rsidR="00532C7F" w:rsidRPr="00233381" w:rsidRDefault="00532C7F" w:rsidP="00A553E4">
            <w:pPr>
              <w:spacing w:after="0" w:line="240" w:lineRule="auto"/>
              <w:jc w:val="center"/>
              <w:rPr>
                <w:rFonts w:cstheme="minorHAnsi"/>
                <w:sz w:val="24"/>
                <w:szCs w:val="24"/>
                <w:lang w:val="en-US" w:eastAsia="pt-BR"/>
              </w:rPr>
            </w:pPr>
            <w:r w:rsidRPr="00233381">
              <w:rPr>
                <w:rFonts w:cstheme="minorHAnsi"/>
                <w:sz w:val="24"/>
                <w:szCs w:val="24"/>
                <w:lang w:val="en-US" w:eastAsia="pt-BR"/>
              </w:rPr>
              <w:t>0.001</w:t>
            </w:r>
          </w:p>
        </w:tc>
      </w:tr>
    </w:tbl>
    <w:p w14:paraId="4D9E39FE" w14:textId="77777777" w:rsidR="00532C7F" w:rsidRPr="00233381" w:rsidRDefault="00532C7F" w:rsidP="00AE7044">
      <w:pPr>
        <w:spacing w:after="0" w:line="360" w:lineRule="auto"/>
        <w:rPr>
          <w:rFonts w:cstheme="minorHAnsi"/>
          <w:sz w:val="24"/>
          <w:szCs w:val="24"/>
          <w:lang w:val="en-US"/>
        </w:rPr>
      </w:pPr>
    </w:p>
    <w:p w14:paraId="4A239572" w14:textId="77777777" w:rsidR="00532C7F" w:rsidRPr="00233381" w:rsidRDefault="00532C7F" w:rsidP="00AE7044">
      <w:pPr>
        <w:spacing w:after="0" w:line="360" w:lineRule="auto"/>
        <w:rPr>
          <w:rFonts w:cstheme="minorHAnsi"/>
          <w:sz w:val="24"/>
          <w:szCs w:val="24"/>
          <w:lang w:val="en-US"/>
        </w:rPr>
      </w:pPr>
    </w:p>
    <w:p w14:paraId="52291DE4" w14:textId="77777777" w:rsidR="00532C7F" w:rsidRPr="00233381" w:rsidRDefault="00532C7F" w:rsidP="00AE7044">
      <w:pPr>
        <w:spacing w:after="0" w:line="360" w:lineRule="auto"/>
        <w:ind w:firstLine="708"/>
        <w:rPr>
          <w:rFonts w:cstheme="minorHAnsi"/>
          <w:bCs/>
          <w:sz w:val="24"/>
          <w:szCs w:val="24"/>
          <w:lang w:val="en-US"/>
        </w:rPr>
      </w:pPr>
      <w:r w:rsidRPr="00233381">
        <w:rPr>
          <w:rFonts w:cstheme="minorHAnsi"/>
          <w:sz w:val="24"/>
          <w:szCs w:val="24"/>
          <w:lang w:val="en-US"/>
        </w:rPr>
        <w:t>Following the successful outcomes obtained from the total sample, we administered the same examination using a second subset (n = 244). The analysis revealed consistent and comparable psychometric indicators for the DASS-21 scale, as demonstrated by the following results: -</w:t>
      </w:r>
      <w:r w:rsidRPr="00233381">
        <w:rPr>
          <w:rFonts w:cstheme="minorHAnsi"/>
          <w:bCs/>
          <w:sz w:val="24"/>
          <w:szCs w:val="24"/>
          <w:lang w:val="en-US"/>
        </w:rPr>
        <w:t>χ²/</w:t>
      </w:r>
      <w:proofErr w:type="spellStart"/>
      <w:r w:rsidRPr="00233381">
        <w:rPr>
          <w:rFonts w:cstheme="minorHAnsi"/>
          <w:bCs/>
          <w:sz w:val="24"/>
          <w:szCs w:val="24"/>
          <w:lang w:val="en-US"/>
        </w:rPr>
        <w:t>gl</w:t>
      </w:r>
      <w:proofErr w:type="spellEnd"/>
      <w:r w:rsidRPr="00233381">
        <w:rPr>
          <w:rFonts w:cstheme="minorHAnsi"/>
          <w:bCs/>
          <w:sz w:val="24"/>
          <w:szCs w:val="24"/>
          <w:lang w:val="en-US"/>
        </w:rPr>
        <w:t xml:space="preserve"> = 2.08; RMR = 0.04; GFI = 0.95; AGFI = 0.93; CFI = 0.98; TLI = 0.99; RMSEA = 0.04; CAIC = 759.48; ECVI = 0.94; Lambdas (</w:t>
      </w:r>
      <w:r w:rsidRPr="00233381">
        <w:rPr>
          <w:rFonts w:cstheme="minorHAnsi"/>
          <w:bCs/>
          <w:sz w:val="24"/>
          <w:szCs w:val="24"/>
          <w:lang w:val="en-US"/>
        </w:rPr>
        <w:sym w:font="Symbol" w:char="F06C"/>
      </w:r>
      <w:r w:rsidRPr="00233381">
        <w:rPr>
          <w:rFonts w:cstheme="minorHAnsi"/>
          <w:bCs/>
          <w:sz w:val="24"/>
          <w:szCs w:val="24"/>
          <w:lang w:val="en-US"/>
        </w:rPr>
        <w:t>) = 0,70 to 0,89; Alphas ≥ 0,70.</w:t>
      </w:r>
    </w:p>
    <w:p w14:paraId="0E6C87C0" w14:textId="77777777" w:rsidR="00532C7F" w:rsidRPr="00233381" w:rsidRDefault="00532C7F" w:rsidP="00AE7044">
      <w:pPr>
        <w:spacing w:after="0" w:line="360" w:lineRule="auto"/>
        <w:ind w:firstLine="708"/>
        <w:rPr>
          <w:rFonts w:cstheme="minorHAnsi"/>
          <w:sz w:val="24"/>
          <w:szCs w:val="24"/>
          <w:lang w:val="en-US"/>
        </w:rPr>
      </w:pPr>
      <w:r w:rsidRPr="00233381">
        <w:rPr>
          <w:rFonts w:cstheme="minorHAnsi"/>
          <w:bCs/>
          <w:sz w:val="24"/>
          <w:szCs w:val="24"/>
          <w:lang w:val="en-US"/>
        </w:rPr>
        <w:t xml:space="preserve">Taking these analyses into account, the invariance of the three-factor structure was also assessed. Based on the item parameters as a function of the adjusted oblique </w:t>
      </w:r>
      <w:proofErr w:type="spellStart"/>
      <w:r w:rsidRPr="00233381">
        <w:rPr>
          <w:rFonts w:cstheme="minorHAnsi"/>
          <w:bCs/>
          <w:sz w:val="24"/>
          <w:szCs w:val="24"/>
          <w:lang w:val="en-US"/>
        </w:rPr>
        <w:t>tetrafactorial</w:t>
      </w:r>
      <w:proofErr w:type="spellEnd"/>
      <w:r w:rsidRPr="00233381">
        <w:rPr>
          <w:rFonts w:cstheme="minorHAnsi"/>
          <w:bCs/>
          <w:sz w:val="24"/>
          <w:szCs w:val="24"/>
          <w:lang w:val="en-US"/>
        </w:rPr>
        <w:t xml:space="preserve"> structure of the DASS-21 measure, the TLI </w:t>
      </w:r>
      <w:r w:rsidRPr="00233381">
        <w:rPr>
          <w:rFonts w:cstheme="minorHAnsi"/>
          <w:bCs/>
          <w:color w:val="000000" w:themeColor="text1"/>
          <w:sz w:val="24"/>
          <w:szCs w:val="24"/>
          <w:lang w:val="en-US"/>
        </w:rPr>
        <w:t xml:space="preserve">and CFI indicators were compared in relation to the model to be tested. According to Hair et al. (2009), a difference of </w:t>
      </w:r>
      <w:r w:rsidRPr="00233381">
        <w:rPr>
          <w:rFonts w:cstheme="minorHAnsi"/>
          <w:color w:val="000000" w:themeColor="text1"/>
          <w:sz w:val="24"/>
          <w:szCs w:val="24"/>
          <w:lang w:val="en-US"/>
        </w:rPr>
        <w:sym w:font="Symbol" w:char="F044"/>
      </w:r>
      <w:r w:rsidRPr="00233381">
        <w:rPr>
          <w:rFonts w:cstheme="minorHAnsi"/>
          <w:color w:val="000000" w:themeColor="text1"/>
          <w:sz w:val="24"/>
          <w:szCs w:val="24"/>
          <w:lang w:val="en-US"/>
        </w:rPr>
        <w:t xml:space="preserve"> &lt; 0.01</w:t>
      </w:r>
      <w:r w:rsidRPr="00233381">
        <w:rPr>
          <w:rFonts w:cstheme="minorHAnsi"/>
          <w:bCs/>
          <w:color w:val="000000" w:themeColor="text1"/>
          <w:sz w:val="24"/>
          <w:szCs w:val="24"/>
          <w:lang w:val="en-US"/>
        </w:rPr>
        <w:t xml:space="preserve"> in CFI and TLI between two samples is expected to confirm the invariance of the model and guarantee the factorial structure. Therefore, </w:t>
      </w:r>
      <w:r w:rsidRPr="00233381">
        <w:rPr>
          <w:rFonts w:cstheme="minorHAnsi"/>
          <w:bCs/>
          <w:sz w:val="24"/>
          <w:szCs w:val="24"/>
          <w:lang w:val="en-US"/>
        </w:rPr>
        <w:t xml:space="preserve">we divided the subjects of the study into two samples, one with 230 subjects (N1) and another with 244 (N2). </w:t>
      </w:r>
      <w:r w:rsidRPr="00233381">
        <w:rPr>
          <w:rFonts w:cstheme="minorHAnsi"/>
          <w:sz w:val="24"/>
          <w:szCs w:val="24"/>
          <w:lang w:val="en-US"/>
        </w:rPr>
        <w:t xml:space="preserve">With that, we obtained the following: </w:t>
      </w:r>
      <w:proofErr w:type="spellStart"/>
      <w:r w:rsidRPr="00233381">
        <w:rPr>
          <w:rFonts w:cstheme="minorHAnsi"/>
          <w:sz w:val="24"/>
          <w:szCs w:val="24"/>
          <w:lang w:val="en-US"/>
        </w:rPr>
        <w:t>CFI</w:t>
      </w:r>
      <w:r w:rsidRPr="00233381">
        <w:rPr>
          <w:rFonts w:cstheme="minorHAnsi"/>
          <w:sz w:val="24"/>
          <w:szCs w:val="24"/>
          <w:vertAlign w:val="subscript"/>
          <w:lang w:val="en-US"/>
        </w:rPr>
        <w:t>General</w:t>
      </w:r>
      <w:proofErr w:type="spellEnd"/>
      <w:r w:rsidRPr="00233381">
        <w:rPr>
          <w:rFonts w:cstheme="minorHAnsi"/>
          <w:sz w:val="24"/>
          <w:szCs w:val="24"/>
          <w:lang w:val="en-US"/>
        </w:rPr>
        <w:t xml:space="preserve"> = 0.99; CFI</w:t>
      </w:r>
      <w:r w:rsidRPr="00233381">
        <w:rPr>
          <w:rFonts w:cstheme="minorHAnsi"/>
          <w:sz w:val="24"/>
          <w:szCs w:val="24"/>
          <w:vertAlign w:val="subscript"/>
          <w:lang w:val="en-US"/>
        </w:rPr>
        <w:t xml:space="preserve">N1 </w:t>
      </w:r>
      <w:r w:rsidRPr="00233381">
        <w:rPr>
          <w:rFonts w:cstheme="minorHAnsi"/>
          <w:sz w:val="24"/>
          <w:szCs w:val="24"/>
          <w:lang w:val="en-US"/>
        </w:rPr>
        <w:t>= 0.99; CFI</w:t>
      </w:r>
      <w:r w:rsidRPr="00233381">
        <w:rPr>
          <w:rFonts w:cstheme="minorHAnsi"/>
          <w:sz w:val="24"/>
          <w:szCs w:val="24"/>
          <w:vertAlign w:val="subscript"/>
          <w:lang w:val="en-US"/>
        </w:rPr>
        <w:t xml:space="preserve">N2 </w:t>
      </w:r>
      <w:r w:rsidRPr="00233381">
        <w:rPr>
          <w:rFonts w:cstheme="minorHAnsi"/>
          <w:sz w:val="24"/>
          <w:szCs w:val="24"/>
          <w:lang w:val="en-US"/>
        </w:rPr>
        <w:t xml:space="preserve">= 0.98; </w:t>
      </w:r>
      <w:proofErr w:type="spellStart"/>
      <w:r w:rsidRPr="00233381">
        <w:rPr>
          <w:rFonts w:cstheme="minorHAnsi"/>
          <w:sz w:val="24"/>
          <w:szCs w:val="24"/>
          <w:lang w:val="en-US"/>
        </w:rPr>
        <w:t>TLI</w:t>
      </w:r>
      <w:r w:rsidRPr="00233381">
        <w:rPr>
          <w:rFonts w:cstheme="minorHAnsi"/>
          <w:sz w:val="24"/>
          <w:szCs w:val="24"/>
          <w:vertAlign w:val="subscript"/>
          <w:lang w:val="en-US"/>
        </w:rPr>
        <w:t>General</w:t>
      </w:r>
      <w:proofErr w:type="spellEnd"/>
      <w:r w:rsidRPr="00233381">
        <w:rPr>
          <w:rFonts w:cstheme="minorHAnsi"/>
          <w:sz w:val="24"/>
          <w:szCs w:val="24"/>
          <w:lang w:val="en-US"/>
        </w:rPr>
        <w:t xml:space="preserve"> = 0.99; TLI</w:t>
      </w:r>
      <w:r w:rsidRPr="00233381">
        <w:rPr>
          <w:rFonts w:cstheme="minorHAnsi"/>
          <w:sz w:val="24"/>
          <w:szCs w:val="24"/>
          <w:vertAlign w:val="subscript"/>
          <w:lang w:val="en-US"/>
        </w:rPr>
        <w:t xml:space="preserve">N1 </w:t>
      </w:r>
      <w:r w:rsidRPr="00233381">
        <w:rPr>
          <w:rFonts w:cstheme="minorHAnsi"/>
          <w:sz w:val="24"/>
          <w:szCs w:val="24"/>
          <w:lang w:val="en-US"/>
        </w:rPr>
        <w:t>= 0.99; TLI</w:t>
      </w:r>
      <w:r w:rsidRPr="00233381">
        <w:rPr>
          <w:rFonts w:cstheme="minorHAnsi"/>
          <w:sz w:val="24"/>
          <w:szCs w:val="24"/>
          <w:vertAlign w:val="subscript"/>
          <w:lang w:val="en-US"/>
        </w:rPr>
        <w:t xml:space="preserve">N2 </w:t>
      </w:r>
      <w:r w:rsidRPr="00233381">
        <w:rPr>
          <w:rFonts w:cstheme="minorHAnsi"/>
          <w:sz w:val="24"/>
          <w:szCs w:val="24"/>
          <w:lang w:val="en-US"/>
        </w:rPr>
        <w:t xml:space="preserve">= 0.99. With these results it can be highlighted that the trifactor model of the DASS-21 is invariant, i.e., the </w:t>
      </w:r>
      <w:proofErr w:type="spellStart"/>
      <w:r w:rsidRPr="00233381">
        <w:rPr>
          <w:rFonts w:cstheme="minorHAnsi"/>
          <w:sz w:val="24"/>
          <w:szCs w:val="24"/>
          <w:lang w:val="en-US"/>
        </w:rPr>
        <w:t>factoriality</w:t>
      </w:r>
      <w:proofErr w:type="spellEnd"/>
      <w:r w:rsidRPr="00233381">
        <w:rPr>
          <w:rFonts w:cstheme="minorHAnsi"/>
          <w:sz w:val="24"/>
          <w:szCs w:val="24"/>
          <w:lang w:val="en-US"/>
        </w:rPr>
        <w:t xml:space="preserve"> is maintained regardless of the sample.</w:t>
      </w:r>
    </w:p>
    <w:p w14:paraId="74A09502" w14:textId="77777777" w:rsidR="00532C7F" w:rsidRPr="00233381" w:rsidRDefault="00532C7F" w:rsidP="00AE7044">
      <w:pPr>
        <w:spacing w:after="0" w:line="360" w:lineRule="auto"/>
        <w:ind w:firstLine="708"/>
        <w:rPr>
          <w:rFonts w:cstheme="minorHAnsi"/>
          <w:sz w:val="24"/>
          <w:szCs w:val="24"/>
          <w:lang w:val="en-US"/>
        </w:rPr>
      </w:pPr>
      <w:r w:rsidRPr="00233381">
        <w:rPr>
          <w:rFonts w:cstheme="minorHAnsi"/>
          <w:sz w:val="24"/>
          <w:szCs w:val="24"/>
          <w:lang w:val="en-US"/>
        </w:rPr>
        <w:t>With the statistical indicators corresponding to the proposed factorial structure of the scale, a paired samples t-test was carried out asses the scores in the pairing of the dimensions of anxiety, depression, and stress in the sample of LGBTQ+ participants. It was observed that the stress factor had a higher score when paired with depression and anxiety. This suggests a hierarchy of scores between the factors: Stress &gt; Depression &gt; Anxiety (see Table 5).</w:t>
      </w:r>
    </w:p>
    <w:p w14:paraId="4F8159C6" w14:textId="77777777" w:rsidR="00532C7F" w:rsidRPr="00233381" w:rsidRDefault="00532C7F" w:rsidP="00AE7044">
      <w:pPr>
        <w:spacing w:after="0" w:line="360" w:lineRule="auto"/>
        <w:jc w:val="both"/>
        <w:rPr>
          <w:rFonts w:cstheme="minorHAnsi"/>
          <w:color w:val="FF0000"/>
          <w:sz w:val="24"/>
          <w:szCs w:val="24"/>
          <w:lang w:val="en-US"/>
        </w:rPr>
      </w:pPr>
    </w:p>
    <w:tbl>
      <w:tblPr>
        <w:tblW w:w="7993" w:type="dxa"/>
        <w:tblLayout w:type="fixed"/>
        <w:tblCellMar>
          <w:left w:w="0" w:type="dxa"/>
          <w:right w:w="0" w:type="dxa"/>
        </w:tblCellMar>
        <w:tblLook w:val="0000" w:firstRow="0" w:lastRow="0" w:firstColumn="0" w:lastColumn="0" w:noHBand="0" w:noVBand="0"/>
      </w:tblPr>
      <w:tblGrid>
        <w:gridCol w:w="1200"/>
        <w:gridCol w:w="1374"/>
        <w:gridCol w:w="1589"/>
        <w:gridCol w:w="2240"/>
        <w:gridCol w:w="1485"/>
        <w:gridCol w:w="105"/>
      </w:tblGrid>
      <w:tr w:rsidR="00532C7F" w:rsidRPr="00233381" w14:paraId="2A1CDE7D" w14:textId="77777777" w:rsidTr="00357467">
        <w:trPr>
          <w:gridAfter w:val="1"/>
          <w:wAfter w:w="105" w:type="dxa"/>
          <w:cantSplit/>
          <w:trHeight w:val="335"/>
        </w:trPr>
        <w:tc>
          <w:tcPr>
            <w:tcW w:w="7888" w:type="dxa"/>
            <w:gridSpan w:val="5"/>
            <w:shd w:val="clear" w:color="auto" w:fill="FFFFFF"/>
          </w:tcPr>
          <w:p w14:paraId="305DD813" w14:textId="77777777" w:rsidR="00532C7F" w:rsidRPr="00233381" w:rsidRDefault="00532C7F" w:rsidP="00A553E4">
            <w:pPr>
              <w:autoSpaceDE w:val="0"/>
              <w:autoSpaceDN w:val="0"/>
              <w:adjustRightInd w:val="0"/>
              <w:spacing w:after="0" w:line="240" w:lineRule="auto"/>
              <w:rPr>
                <w:rFonts w:cstheme="minorHAnsi"/>
                <w:b/>
                <w:bCs/>
                <w:sz w:val="24"/>
                <w:szCs w:val="24"/>
                <w:lang w:val="en-US"/>
              </w:rPr>
            </w:pPr>
            <w:r w:rsidRPr="00233381">
              <w:rPr>
                <w:rFonts w:cstheme="minorHAnsi"/>
                <w:b/>
                <w:bCs/>
                <w:sz w:val="24"/>
                <w:szCs w:val="24"/>
                <w:lang w:val="en-US"/>
              </w:rPr>
              <w:t>Table 5</w:t>
            </w:r>
          </w:p>
          <w:p w14:paraId="1B370DE6" w14:textId="77777777" w:rsidR="00532C7F" w:rsidRPr="00233381" w:rsidRDefault="00532C7F" w:rsidP="00A553E4">
            <w:pPr>
              <w:autoSpaceDE w:val="0"/>
              <w:autoSpaceDN w:val="0"/>
              <w:adjustRightInd w:val="0"/>
              <w:spacing w:after="0" w:line="240" w:lineRule="auto"/>
              <w:rPr>
                <w:rFonts w:cstheme="minorHAnsi"/>
                <w:i/>
                <w:iCs/>
                <w:sz w:val="24"/>
                <w:szCs w:val="24"/>
                <w:lang w:val="en-US"/>
              </w:rPr>
            </w:pPr>
            <w:r w:rsidRPr="00233381">
              <w:rPr>
                <w:rFonts w:cstheme="minorHAnsi"/>
                <w:i/>
                <w:iCs/>
                <w:sz w:val="24"/>
                <w:szCs w:val="24"/>
                <w:lang w:val="en-US"/>
              </w:rPr>
              <w:t>Comparison of Mean Scores on DASS-21 Variables using Paired t-Tests</w:t>
            </w:r>
          </w:p>
        </w:tc>
      </w:tr>
      <w:tr w:rsidR="00532C7F" w:rsidRPr="00233381" w14:paraId="29719956" w14:textId="77777777" w:rsidTr="00357467">
        <w:trPr>
          <w:cantSplit/>
          <w:trHeight w:val="326"/>
        </w:trPr>
        <w:tc>
          <w:tcPr>
            <w:tcW w:w="2574" w:type="dxa"/>
            <w:gridSpan w:val="2"/>
            <w:tcBorders>
              <w:top w:val="single" w:sz="4" w:space="0" w:color="auto"/>
            </w:tcBorders>
            <w:shd w:val="clear" w:color="auto" w:fill="FFFFFF"/>
          </w:tcPr>
          <w:p w14:paraId="30902226" w14:textId="77777777" w:rsidR="00532C7F" w:rsidRPr="00233381" w:rsidRDefault="00532C7F" w:rsidP="00A553E4">
            <w:pPr>
              <w:autoSpaceDE w:val="0"/>
              <w:autoSpaceDN w:val="0"/>
              <w:adjustRightInd w:val="0"/>
              <w:spacing w:after="0" w:line="240" w:lineRule="auto"/>
              <w:ind w:left="60" w:right="60"/>
              <w:rPr>
                <w:rFonts w:cstheme="minorHAnsi"/>
                <w:sz w:val="24"/>
                <w:szCs w:val="24"/>
                <w:lang w:val="en-US"/>
              </w:rPr>
            </w:pPr>
            <w:r w:rsidRPr="00233381">
              <w:rPr>
                <w:rFonts w:cstheme="minorHAnsi"/>
                <w:sz w:val="24"/>
                <w:szCs w:val="24"/>
                <w:lang w:val="en-US"/>
              </w:rPr>
              <w:t>Pairs of variables</w:t>
            </w:r>
          </w:p>
        </w:tc>
        <w:tc>
          <w:tcPr>
            <w:tcW w:w="1589" w:type="dxa"/>
            <w:tcBorders>
              <w:top w:val="single" w:sz="4" w:space="0" w:color="auto"/>
            </w:tcBorders>
            <w:shd w:val="clear" w:color="auto" w:fill="FFFFFF"/>
          </w:tcPr>
          <w:p w14:paraId="247AE33F" w14:textId="77777777" w:rsidR="00532C7F" w:rsidRPr="00233381" w:rsidRDefault="00532C7F" w:rsidP="00A553E4">
            <w:pPr>
              <w:autoSpaceDE w:val="0"/>
              <w:autoSpaceDN w:val="0"/>
              <w:adjustRightInd w:val="0"/>
              <w:spacing w:after="0" w:line="240" w:lineRule="auto"/>
              <w:ind w:left="60" w:right="60"/>
              <w:jc w:val="center"/>
              <w:rPr>
                <w:rFonts w:cstheme="minorHAnsi"/>
                <w:sz w:val="24"/>
                <w:szCs w:val="24"/>
                <w:lang w:val="en-US"/>
              </w:rPr>
            </w:pPr>
            <w:r w:rsidRPr="00233381">
              <w:rPr>
                <w:rFonts w:cstheme="minorHAnsi"/>
                <w:sz w:val="24"/>
                <w:szCs w:val="24"/>
                <w:lang w:val="en-US"/>
              </w:rPr>
              <w:t>Mean</w:t>
            </w:r>
          </w:p>
        </w:tc>
        <w:tc>
          <w:tcPr>
            <w:tcW w:w="2240" w:type="dxa"/>
            <w:tcBorders>
              <w:top w:val="single" w:sz="4" w:space="0" w:color="auto"/>
            </w:tcBorders>
            <w:shd w:val="clear" w:color="auto" w:fill="FFFFFF"/>
          </w:tcPr>
          <w:p w14:paraId="196CC0C1" w14:textId="77777777" w:rsidR="00532C7F" w:rsidRPr="00233381" w:rsidRDefault="00532C7F" w:rsidP="00A553E4">
            <w:pPr>
              <w:autoSpaceDE w:val="0"/>
              <w:autoSpaceDN w:val="0"/>
              <w:adjustRightInd w:val="0"/>
              <w:spacing w:after="0" w:line="240" w:lineRule="auto"/>
              <w:ind w:left="60" w:right="60"/>
              <w:jc w:val="center"/>
              <w:rPr>
                <w:rFonts w:cstheme="minorHAnsi"/>
                <w:sz w:val="24"/>
                <w:szCs w:val="24"/>
                <w:lang w:val="en-US"/>
              </w:rPr>
            </w:pPr>
            <w:r w:rsidRPr="00233381">
              <w:rPr>
                <w:rFonts w:cstheme="minorHAnsi"/>
                <w:sz w:val="24"/>
                <w:szCs w:val="24"/>
                <w:lang w:val="en-US"/>
              </w:rPr>
              <w:t>SD</w:t>
            </w:r>
          </w:p>
        </w:tc>
        <w:tc>
          <w:tcPr>
            <w:tcW w:w="1590" w:type="dxa"/>
            <w:gridSpan w:val="2"/>
            <w:tcBorders>
              <w:top w:val="single" w:sz="4" w:space="0" w:color="auto"/>
            </w:tcBorders>
            <w:shd w:val="clear" w:color="auto" w:fill="FFFFFF"/>
          </w:tcPr>
          <w:p w14:paraId="7C2B6FEC" w14:textId="77777777" w:rsidR="00532C7F" w:rsidRPr="00233381" w:rsidRDefault="00532C7F" w:rsidP="00A553E4">
            <w:pPr>
              <w:autoSpaceDE w:val="0"/>
              <w:autoSpaceDN w:val="0"/>
              <w:adjustRightInd w:val="0"/>
              <w:spacing w:after="0" w:line="240" w:lineRule="auto"/>
              <w:ind w:left="60" w:right="60"/>
              <w:jc w:val="center"/>
              <w:rPr>
                <w:rFonts w:cstheme="minorHAnsi"/>
                <w:sz w:val="24"/>
                <w:szCs w:val="24"/>
                <w:lang w:val="en-US"/>
              </w:rPr>
            </w:pPr>
            <w:r w:rsidRPr="00233381">
              <w:rPr>
                <w:rFonts w:cstheme="minorHAnsi"/>
                <w:sz w:val="24"/>
                <w:szCs w:val="24"/>
                <w:lang w:val="en-US"/>
              </w:rPr>
              <w:t>t</w:t>
            </w:r>
          </w:p>
        </w:tc>
      </w:tr>
      <w:tr w:rsidR="00532C7F" w:rsidRPr="00233381" w14:paraId="51D7DF07" w14:textId="77777777" w:rsidTr="00357467">
        <w:trPr>
          <w:cantSplit/>
          <w:trHeight w:val="326"/>
        </w:trPr>
        <w:tc>
          <w:tcPr>
            <w:tcW w:w="1200" w:type="dxa"/>
            <w:vMerge w:val="restart"/>
            <w:shd w:val="clear" w:color="auto" w:fill="FFFFFF"/>
            <w:vAlign w:val="center"/>
          </w:tcPr>
          <w:p w14:paraId="0614419A" w14:textId="77777777" w:rsidR="00532C7F" w:rsidRPr="00233381" w:rsidRDefault="00532C7F" w:rsidP="00A553E4">
            <w:pPr>
              <w:autoSpaceDE w:val="0"/>
              <w:autoSpaceDN w:val="0"/>
              <w:adjustRightInd w:val="0"/>
              <w:spacing w:after="0" w:line="240" w:lineRule="auto"/>
              <w:ind w:left="60" w:right="60"/>
              <w:rPr>
                <w:rFonts w:cstheme="minorHAnsi"/>
                <w:sz w:val="24"/>
                <w:szCs w:val="24"/>
                <w:lang w:val="en-US"/>
              </w:rPr>
            </w:pPr>
            <w:r w:rsidRPr="00233381">
              <w:rPr>
                <w:rFonts w:cstheme="minorHAnsi"/>
                <w:sz w:val="24"/>
                <w:szCs w:val="24"/>
                <w:lang w:val="en-US"/>
              </w:rPr>
              <w:t>Pairs 1</w:t>
            </w:r>
          </w:p>
        </w:tc>
        <w:tc>
          <w:tcPr>
            <w:tcW w:w="1374" w:type="dxa"/>
            <w:shd w:val="clear" w:color="auto" w:fill="FFFFFF"/>
            <w:vAlign w:val="center"/>
          </w:tcPr>
          <w:p w14:paraId="52255DC0" w14:textId="77777777" w:rsidR="00532C7F" w:rsidRPr="00233381" w:rsidRDefault="00532C7F" w:rsidP="00A553E4">
            <w:pPr>
              <w:autoSpaceDE w:val="0"/>
              <w:autoSpaceDN w:val="0"/>
              <w:adjustRightInd w:val="0"/>
              <w:spacing w:after="0" w:line="240" w:lineRule="auto"/>
              <w:ind w:left="60" w:right="60"/>
              <w:rPr>
                <w:rFonts w:cstheme="minorHAnsi"/>
                <w:sz w:val="24"/>
                <w:szCs w:val="24"/>
                <w:lang w:val="en-US"/>
              </w:rPr>
            </w:pPr>
            <w:r w:rsidRPr="00233381">
              <w:rPr>
                <w:rFonts w:cstheme="minorHAnsi"/>
                <w:sz w:val="24"/>
                <w:szCs w:val="24"/>
                <w:lang w:val="en-US"/>
              </w:rPr>
              <w:t>Stress</w:t>
            </w:r>
          </w:p>
        </w:tc>
        <w:tc>
          <w:tcPr>
            <w:tcW w:w="1589" w:type="dxa"/>
            <w:shd w:val="clear" w:color="auto" w:fill="FFFFFF"/>
            <w:vAlign w:val="center"/>
          </w:tcPr>
          <w:p w14:paraId="7E8A806A" w14:textId="77777777" w:rsidR="00532C7F" w:rsidRPr="00233381" w:rsidRDefault="00532C7F" w:rsidP="00A553E4">
            <w:pPr>
              <w:autoSpaceDE w:val="0"/>
              <w:autoSpaceDN w:val="0"/>
              <w:adjustRightInd w:val="0"/>
              <w:spacing w:after="0" w:line="240" w:lineRule="auto"/>
              <w:ind w:left="60" w:right="60"/>
              <w:jc w:val="center"/>
              <w:rPr>
                <w:rFonts w:cstheme="minorHAnsi"/>
                <w:sz w:val="24"/>
                <w:szCs w:val="24"/>
                <w:lang w:val="en-US"/>
              </w:rPr>
            </w:pPr>
            <w:r w:rsidRPr="00233381">
              <w:rPr>
                <w:rFonts w:cstheme="minorHAnsi"/>
                <w:sz w:val="24"/>
                <w:szCs w:val="24"/>
                <w:lang w:val="en-US"/>
              </w:rPr>
              <w:t>16.17</w:t>
            </w:r>
          </w:p>
        </w:tc>
        <w:tc>
          <w:tcPr>
            <w:tcW w:w="2240" w:type="dxa"/>
            <w:shd w:val="clear" w:color="auto" w:fill="FFFFFF"/>
            <w:vAlign w:val="center"/>
          </w:tcPr>
          <w:p w14:paraId="226D5167" w14:textId="77777777" w:rsidR="00532C7F" w:rsidRPr="00233381" w:rsidRDefault="00532C7F" w:rsidP="00A553E4">
            <w:pPr>
              <w:autoSpaceDE w:val="0"/>
              <w:autoSpaceDN w:val="0"/>
              <w:adjustRightInd w:val="0"/>
              <w:spacing w:after="0" w:line="240" w:lineRule="auto"/>
              <w:ind w:left="60" w:right="60"/>
              <w:jc w:val="center"/>
              <w:rPr>
                <w:rFonts w:cstheme="minorHAnsi"/>
                <w:sz w:val="24"/>
                <w:szCs w:val="24"/>
                <w:lang w:val="en-US"/>
              </w:rPr>
            </w:pPr>
            <w:r w:rsidRPr="00233381">
              <w:rPr>
                <w:rFonts w:cstheme="minorHAnsi"/>
                <w:sz w:val="24"/>
                <w:szCs w:val="24"/>
                <w:lang w:val="en-US"/>
              </w:rPr>
              <w:t>5.37</w:t>
            </w:r>
          </w:p>
        </w:tc>
        <w:tc>
          <w:tcPr>
            <w:tcW w:w="1590" w:type="dxa"/>
            <w:gridSpan w:val="2"/>
            <w:shd w:val="clear" w:color="auto" w:fill="FFFFFF"/>
          </w:tcPr>
          <w:p w14:paraId="56D8AFAA" w14:textId="77777777" w:rsidR="00532C7F" w:rsidRPr="00233381" w:rsidRDefault="00532C7F" w:rsidP="00A553E4">
            <w:pPr>
              <w:autoSpaceDE w:val="0"/>
              <w:autoSpaceDN w:val="0"/>
              <w:adjustRightInd w:val="0"/>
              <w:spacing w:after="0" w:line="240" w:lineRule="auto"/>
              <w:ind w:left="60" w:right="60"/>
              <w:jc w:val="center"/>
              <w:rPr>
                <w:rFonts w:cstheme="minorHAnsi"/>
                <w:sz w:val="24"/>
                <w:szCs w:val="24"/>
                <w:lang w:val="en-US"/>
              </w:rPr>
            </w:pPr>
            <w:r w:rsidRPr="00233381">
              <w:rPr>
                <w:rFonts w:cstheme="minorHAnsi"/>
                <w:sz w:val="24"/>
                <w:szCs w:val="24"/>
                <w:lang w:val="en-US"/>
              </w:rPr>
              <w:t>8.37*</w:t>
            </w:r>
          </w:p>
        </w:tc>
      </w:tr>
      <w:tr w:rsidR="00532C7F" w:rsidRPr="00233381" w14:paraId="3F920D96" w14:textId="77777777" w:rsidTr="00357467">
        <w:trPr>
          <w:cantSplit/>
          <w:trHeight w:val="370"/>
        </w:trPr>
        <w:tc>
          <w:tcPr>
            <w:tcW w:w="1200" w:type="dxa"/>
            <w:vMerge/>
            <w:shd w:val="clear" w:color="auto" w:fill="FFFFFF"/>
            <w:vAlign w:val="center"/>
          </w:tcPr>
          <w:p w14:paraId="6193FA50" w14:textId="77777777" w:rsidR="00532C7F" w:rsidRPr="00233381" w:rsidRDefault="00532C7F" w:rsidP="00A553E4">
            <w:pPr>
              <w:autoSpaceDE w:val="0"/>
              <w:autoSpaceDN w:val="0"/>
              <w:adjustRightInd w:val="0"/>
              <w:spacing w:after="0" w:line="240" w:lineRule="auto"/>
              <w:rPr>
                <w:rFonts w:cstheme="minorHAnsi"/>
                <w:sz w:val="24"/>
                <w:szCs w:val="24"/>
                <w:lang w:val="en-US"/>
              </w:rPr>
            </w:pPr>
          </w:p>
        </w:tc>
        <w:tc>
          <w:tcPr>
            <w:tcW w:w="1374" w:type="dxa"/>
            <w:shd w:val="clear" w:color="auto" w:fill="FFFFFF"/>
            <w:vAlign w:val="center"/>
          </w:tcPr>
          <w:p w14:paraId="04F6C90D" w14:textId="77777777" w:rsidR="00532C7F" w:rsidRPr="00233381" w:rsidRDefault="00532C7F" w:rsidP="00A553E4">
            <w:pPr>
              <w:autoSpaceDE w:val="0"/>
              <w:autoSpaceDN w:val="0"/>
              <w:adjustRightInd w:val="0"/>
              <w:spacing w:after="0" w:line="240" w:lineRule="auto"/>
              <w:ind w:left="60" w:right="60"/>
              <w:rPr>
                <w:rFonts w:cstheme="minorHAnsi"/>
                <w:sz w:val="24"/>
                <w:szCs w:val="24"/>
                <w:lang w:val="en-US"/>
              </w:rPr>
            </w:pPr>
            <w:r w:rsidRPr="00233381">
              <w:rPr>
                <w:rFonts w:cstheme="minorHAnsi"/>
                <w:sz w:val="24"/>
                <w:szCs w:val="24"/>
                <w:lang w:val="en-US"/>
              </w:rPr>
              <w:t>Depression</w:t>
            </w:r>
          </w:p>
        </w:tc>
        <w:tc>
          <w:tcPr>
            <w:tcW w:w="1589" w:type="dxa"/>
            <w:shd w:val="clear" w:color="auto" w:fill="FFFFFF"/>
            <w:vAlign w:val="center"/>
          </w:tcPr>
          <w:p w14:paraId="0A8BA01D" w14:textId="77777777" w:rsidR="00532C7F" w:rsidRPr="00233381" w:rsidRDefault="00532C7F" w:rsidP="00A553E4">
            <w:pPr>
              <w:autoSpaceDE w:val="0"/>
              <w:autoSpaceDN w:val="0"/>
              <w:adjustRightInd w:val="0"/>
              <w:spacing w:after="0" w:line="240" w:lineRule="auto"/>
              <w:ind w:left="60" w:right="60"/>
              <w:jc w:val="center"/>
              <w:rPr>
                <w:rFonts w:cstheme="minorHAnsi"/>
                <w:sz w:val="24"/>
                <w:szCs w:val="24"/>
                <w:lang w:val="en-US"/>
              </w:rPr>
            </w:pPr>
            <w:r w:rsidRPr="00233381">
              <w:rPr>
                <w:rFonts w:cstheme="minorHAnsi"/>
                <w:sz w:val="24"/>
                <w:szCs w:val="24"/>
                <w:lang w:val="en-US"/>
              </w:rPr>
              <w:t>14.58</w:t>
            </w:r>
          </w:p>
        </w:tc>
        <w:tc>
          <w:tcPr>
            <w:tcW w:w="2240" w:type="dxa"/>
            <w:shd w:val="clear" w:color="auto" w:fill="FFFFFF"/>
            <w:vAlign w:val="center"/>
          </w:tcPr>
          <w:p w14:paraId="298A2857" w14:textId="77777777" w:rsidR="00532C7F" w:rsidRPr="00233381" w:rsidRDefault="00532C7F" w:rsidP="00A553E4">
            <w:pPr>
              <w:autoSpaceDE w:val="0"/>
              <w:autoSpaceDN w:val="0"/>
              <w:adjustRightInd w:val="0"/>
              <w:spacing w:after="0" w:line="240" w:lineRule="auto"/>
              <w:ind w:left="60" w:right="60"/>
              <w:jc w:val="center"/>
              <w:rPr>
                <w:rFonts w:cstheme="minorHAnsi"/>
                <w:sz w:val="24"/>
                <w:szCs w:val="24"/>
                <w:lang w:val="en-US"/>
              </w:rPr>
            </w:pPr>
            <w:r w:rsidRPr="00233381">
              <w:rPr>
                <w:rFonts w:cstheme="minorHAnsi"/>
                <w:sz w:val="24"/>
                <w:szCs w:val="24"/>
                <w:lang w:val="en-US"/>
              </w:rPr>
              <w:t>5.76</w:t>
            </w:r>
          </w:p>
        </w:tc>
        <w:tc>
          <w:tcPr>
            <w:tcW w:w="1590" w:type="dxa"/>
            <w:gridSpan w:val="2"/>
            <w:shd w:val="clear" w:color="auto" w:fill="FFFFFF"/>
          </w:tcPr>
          <w:p w14:paraId="343A671A" w14:textId="77777777" w:rsidR="00532C7F" w:rsidRPr="00233381" w:rsidRDefault="00532C7F" w:rsidP="00A553E4">
            <w:pPr>
              <w:autoSpaceDE w:val="0"/>
              <w:autoSpaceDN w:val="0"/>
              <w:adjustRightInd w:val="0"/>
              <w:spacing w:after="0" w:line="240" w:lineRule="auto"/>
              <w:jc w:val="center"/>
              <w:rPr>
                <w:rFonts w:cstheme="minorHAnsi"/>
                <w:sz w:val="24"/>
                <w:szCs w:val="24"/>
                <w:lang w:val="en-US"/>
              </w:rPr>
            </w:pPr>
          </w:p>
        </w:tc>
      </w:tr>
      <w:tr w:rsidR="00532C7F" w:rsidRPr="00233381" w14:paraId="2355FE38" w14:textId="77777777" w:rsidTr="00357467">
        <w:trPr>
          <w:cantSplit/>
          <w:trHeight w:val="80"/>
        </w:trPr>
        <w:tc>
          <w:tcPr>
            <w:tcW w:w="1200" w:type="dxa"/>
            <w:shd w:val="clear" w:color="auto" w:fill="FFFFFF"/>
            <w:vAlign w:val="center"/>
          </w:tcPr>
          <w:p w14:paraId="612015B9" w14:textId="77777777" w:rsidR="00532C7F" w:rsidRPr="00233381" w:rsidRDefault="00532C7F" w:rsidP="00A553E4">
            <w:pPr>
              <w:autoSpaceDE w:val="0"/>
              <w:autoSpaceDN w:val="0"/>
              <w:adjustRightInd w:val="0"/>
              <w:spacing w:after="0" w:line="240" w:lineRule="auto"/>
              <w:rPr>
                <w:rFonts w:cstheme="minorHAnsi"/>
                <w:sz w:val="24"/>
                <w:szCs w:val="24"/>
                <w:lang w:val="en-US"/>
              </w:rPr>
            </w:pPr>
          </w:p>
        </w:tc>
        <w:tc>
          <w:tcPr>
            <w:tcW w:w="1374" w:type="dxa"/>
            <w:shd w:val="clear" w:color="auto" w:fill="FFFFFF"/>
            <w:vAlign w:val="center"/>
          </w:tcPr>
          <w:p w14:paraId="26EE3911" w14:textId="77777777" w:rsidR="00532C7F" w:rsidRPr="00233381" w:rsidRDefault="00532C7F" w:rsidP="00A553E4">
            <w:pPr>
              <w:autoSpaceDE w:val="0"/>
              <w:autoSpaceDN w:val="0"/>
              <w:adjustRightInd w:val="0"/>
              <w:spacing w:after="0" w:line="240" w:lineRule="auto"/>
              <w:ind w:left="60" w:right="60"/>
              <w:rPr>
                <w:rFonts w:cstheme="minorHAnsi"/>
                <w:sz w:val="24"/>
                <w:szCs w:val="24"/>
                <w:lang w:val="en-US"/>
              </w:rPr>
            </w:pPr>
          </w:p>
        </w:tc>
        <w:tc>
          <w:tcPr>
            <w:tcW w:w="1589" w:type="dxa"/>
            <w:shd w:val="clear" w:color="auto" w:fill="FFFFFF"/>
            <w:vAlign w:val="center"/>
          </w:tcPr>
          <w:p w14:paraId="1C10195E" w14:textId="77777777" w:rsidR="00532C7F" w:rsidRPr="00233381" w:rsidRDefault="00532C7F" w:rsidP="00A553E4">
            <w:pPr>
              <w:autoSpaceDE w:val="0"/>
              <w:autoSpaceDN w:val="0"/>
              <w:adjustRightInd w:val="0"/>
              <w:spacing w:after="0" w:line="240" w:lineRule="auto"/>
              <w:ind w:left="60" w:right="60"/>
              <w:jc w:val="center"/>
              <w:rPr>
                <w:rFonts w:cstheme="minorHAnsi"/>
                <w:sz w:val="24"/>
                <w:szCs w:val="24"/>
                <w:lang w:val="en-US"/>
              </w:rPr>
            </w:pPr>
          </w:p>
        </w:tc>
        <w:tc>
          <w:tcPr>
            <w:tcW w:w="2240" w:type="dxa"/>
            <w:shd w:val="clear" w:color="auto" w:fill="FFFFFF"/>
            <w:vAlign w:val="center"/>
          </w:tcPr>
          <w:p w14:paraId="30A9FCF9" w14:textId="77777777" w:rsidR="00532C7F" w:rsidRPr="00233381" w:rsidRDefault="00532C7F" w:rsidP="00A553E4">
            <w:pPr>
              <w:autoSpaceDE w:val="0"/>
              <w:autoSpaceDN w:val="0"/>
              <w:adjustRightInd w:val="0"/>
              <w:spacing w:after="0" w:line="240" w:lineRule="auto"/>
              <w:ind w:left="60" w:right="60"/>
              <w:jc w:val="center"/>
              <w:rPr>
                <w:rFonts w:cstheme="minorHAnsi"/>
                <w:sz w:val="24"/>
                <w:szCs w:val="24"/>
                <w:lang w:val="en-US"/>
              </w:rPr>
            </w:pPr>
          </w:p>
        </w:tc>
        <w:tc>
          <w:tcPr>
            <w:tcW w:w="1590" w:type="dxa"/>
            <w:gridSpan w:val="2"/>
            <w:shd w:val="clear" w:color="auto" w:fill="FFFFFF"/>
          </w:tcPr>
          <w:p w14:paraId="045A9D6D" w14:textId="77777777" w:rsidR="00532C7F" w:rsidRPr="00233381" w:rsidRDefault="00532C7F" w:rsidP="00A553E4">
            <w:pPr>
              <w:autoSpaceDE w:val="0"/>
              <w:autoSpaceDN w:val="0"/>
              <w:adjustRightInd w:val="0"/>
              <w:spacing w:after="0" w:line="240" w:lineRule="auto"/>
              <w:jc w:val="center"/>
              <w:rPr>
                <w:rFonts w:cstheme="minorHAnsi"/>
                <w:sz w:val="24"/>
                <w:szCs w:val="24"/>
                <w:lang w:val="en-US"/>
              </w:rPr>
            </w:pPr>
          </w:p>
        </w:tc>
      </w:tr>
      <w:tr w:rsidR="00532C7F" w:rsidRPr="00233381" w14:paraId="2D4E532C" w14:textId="77777777" w:rsidTr="00357467">
        <w:trPr>
          <w:cantSplit/>
          <w:trHeight w:val="326"/>
        </w:trPr>
        <w:tc>
          <w:tcPr>
            <w:tcW w:w="1200" w:type="dxa"/>
            <w:vMerge w:val="restart"/>
            <w:shd w:val="clear" w:color="auto" w:fill="FFFFFF"/>
            <w:vAlign w:val="center"/>
          </w:tcPr>
          <w:p w14:paraId="350676D9" w14:textId="77777777" w:rsidR="00532C7F" w:rsidRPr="00233381" w:rsidRDefault="00532C7F" w:rsidP="00A553E4">
            <w:pPr>
              <w:autoSpaceDE w:val="0"/>
              <w:autoSpaceDN w:val="0"/>
              <w:adjustRightInd w:val="0"/>
              <w:spacing w:after="0" w:line="240" w:lineRule="auto"/>
              <w:ind w:left="60" w:right="60"/>
              <w:rPr>
                <w:rFonts w:cstheme="minorHAnsi"/>
                <w:sz w:val="24"/>
                <w:szCs w:val="24"/>
                <w:lang w:val="en-US"/>
              </w:rPr>
            </w:pPr>
            <w:r w:rsidRPr="00233381">
              <w:rPr>
                <w:rFonts w:cstheme="minorHAnsi"/>
                <w:sz w:val="24"/>
                <w:szCs w:val="24"/>
                <w:lang w:val="en-US"/>
              </w:rPr>
              <w:t>Pairs 2</w:t>
            </w:r>
          </w:p>
        </w:tc>
        <w:tc>
          <w:tcPr>
            <w:tcW w:w="1374" w:type="dxa"/>
            <w:shd w:val="clear" w:color="auto" w:fill="FFFFFF"/>
            <w:vAlign w:val="center"/>
          </w:tcPr>
          <w:p w14:paraId="540A27C4" w14:textId="77777777" w:rsidR="00532C7F" w:rsidRPr="00233381" w:rsidRDefault="00532C7F" w:rsidP="00A553E4">
            <w:pPr>
              <w:autoSpaceDE w:val="0"/>
              <w:autoSpaceDN w:val="0"/>
              <w:adjustRightInd w:val="0"/>
              <w:spacing w:after="0" w:line="240" w:lineRule="auto"/>
              <w:ind w:left="60" w:right="60"/>
              <w:rPr>
                <w:rFonts w:cstheme="minorHAnsi"/>
                <w:sz w:val="24"/>
                <w:szCs w:val="24"/>
                <w:lang w:val="en-US"/>
              </w:rPr>
            </w:pPr>
            <w:r w:rsidRPr="00233381">
              <w:rPr>
                <w:rFonts w:cstheme="minorHAnsi"/>
                <w:sz w:val="24"/>
                <w:szCs w:val="24"/>
                <w:lang w:val="en-US"/>
              </w:rPr>
              <w:t>Stress</w:t>
            </w:r>
          </w:p>
        </w:tc>
        <w:tc>
          <w:tcPr>
            <w:tcW w:w="1589" w:type="dxa"/>
            <w:shd w:val="clear" w:color="auto" w:fill="FFFFFF"/>
            <w:vAlign w:val="center"/>
          </w:tcPr>
          <w:p w14:paraId="24A4683D" w14:textId="77777777" w:rsidR="00532C7F" w:rsidRPr="00233381" w:rsidRDefault="00532C7F" w:rsidP="00A553E4">
            <w:pPr>
              <w:autoSpaceDE w:val="0"/>
              <w:autoSpaceDN w:val="0"/>
              <w:adjustRightInd w:val="0"/>
              <w:spacing w:after="0" w:line="240" w:lineRule="auto"/>
              <w:ind w:left="60" w:right="60"/>
              <w:jc w:val="center"/>
              <w:rPr>
                <w:rFonts w:cstheme="minorHAnsi"/>
                <w:sz w:val="24"/>
                <w:szCs w:val="24"/>
                <w:lang w:val="en-US"/>
              </w:rPr>
            </w:pPr>
            <w:r w:rsidRPr="00233381">
              <w:rPr>
                <w:rFonts w:cstheme="minorHAnsi"/>
                <w:sz w:val="24"/>
                <w:szCs w:val="24"/>
                <w:lang w:val="en-US"/>
              </w:rPr>
              <w:t>16.17</w:t>
            </w:r>
          </w:p>
        </w:tc>
        <w:tc>
          <w:tcPr>
            <w:tcW w:w="2240" w:type="dxa"/>
            <w:shd w:val="clear" w:color="auto" w:fill="FFFFFF"/>
            <w:vAlign w:val="center"/>
          </w:tcPr>
          <w:p w14:paraId="523FC46D" w14:textId="77777777" w:rsidR="00532C7F" w:rsidRPr="00233381" w:rsidRDefault="00532C7F" w:rsidP="00A553E4">
            <w:pPr>
              <w:autoSpaceDE w:val="0"/>
              <w:autoSpaceDN w:val="0"/>
              <w:adjustRightInd w:val="0"/>
              <w:spacing w:after="0" w:line="240" w:lineRule="auto"/>
              <w:ind w:left="60" w:right="60"/>
              <w:jc w:val="center"/>
              <w:rPr>
                <w:rFonts w:cstheme="minorHAnsi"/>
                <w:sz w:val="24"/>
                <w:szCs w:val="24"/>
                <w:lang w:val="en-US"/>
              </w:rPr>
            </w:pPr>
            <w:r w:rsidRPr="00233381">
              <w:rPr>
                <w:rFonts w:cstheme="minorHAnsi"/>
                <w:sz w:val="24"/>
                <w:szCs w:val="24"/>
                <w:lang w:val="en-US"/>
              </w:rPr>
              <w:t>5.37</w:t>
            </w:r>
          </w:p>
        </w:tc>
        <w:tc>
          <w:tcPr>
            <w:tcW w:w="1590" w:type="dxa"/>
            <w:gridSpan w:val="2"/>
            <w:shd w:val="clear" w:color="auto" w:fill="FFFFFF"/>
          </w:tcPr>
          <w:p w14:paraId="735F6263" w14:textId="77777777" w:rsidR="00532C7F" w:rsidRPr="00233381" w:rsidRDefault="00532C7F" w:rsidP="00A553E4">
            <w:pPr>
              <w:autoSpaceDE w:val="0"/>
              <w:autoSpaceDN w:val="0"/>
              <w:adjustRightInd w:val="0"/>
              <w:spacing w:after="0" w:line="240" w:lineRule="auto"/>
              <w:ind w:left="60" w:right="60"/>
              <w:jc w:val="center"/>
              <w:rPr>
                <w:rFonts w:cstheme="minorHAnsi"/>
                <w:sz w:val="24"/>
                <w:szCs w:val="24"/>
                <w:lang w:val="en-US"/>
              </w:rPr>
            </w:pPr>
            <w:r w:rsidRPr="00233381">
              <w:rPr>
                <w:rFonts w:cstheme="minorHAnsi"/>
                <w:sz w:val="24"/>
                <w:szCs w:val="24"/>
                <w:lang w:val="en-US"/>
              </w:rPr>
              <w:t>21.14*</w:t>
            </w:r>
          </w:p>
        </w:tc>
      </w:tr>
      <w:tr w:rsidR="00532C7F" w:rsidRPr="00233381" w14:paraId="4D9770AB" w14:textId="77777777" w:rsidTr="00357467">
        <w:trPr>
          <w:cantSplit/>
          <w:trHeight w:val="326"/>
        </w:trPr>
        <w:tc>
          <w:tcPr>
            <w:tcW w:w="1200" w:type="dxa"/>
            <w:vMerge/>
            <w:shd w:val="clear" w:color="auto" w:fill="FFFFFF"/>
            <w:vAlign w:val="center"/>
          </w:tcPr>
          <w:p w14:paraId="30D98558" w14:textId="77777777" w:rsidR="00532C7F" w:rsidRPr="00233381" w:rsidRDefault="00532C7F" w:rsidP="00A553E4">
            <w:pPr>
              <w:autoSpaceDE w:val="0"/>
              <w:autoSpaceDN w:val="0"/>
              <w:adjustRightInd w:val="0"/>
              <w:spacing w:after="0" w:line="240" w:lineRule="auto"/>
              <w:rPr>
                <w:rFonts w:cstheme="minorHAnsi"/>
                <w:sz w:val="24"/>
                <w:szCs w:val="24"/>
                <w:lang w:val="en-US"/>
              </w:rPr>
            </w:pPr>
          </w:p>
        </w:tc>
        <w:tc>
          <w:tcPr>
            <w:tcW w:w="1374" w:type="dxa"/>
            <w:shd w:val="clear" w:color="auto" w:fill="FFFFFF"/>
            <w:vAlign w:val="center"/>
          </w:tcPr>
          <w:p w14:paraId="23DD49F3" w14:textId="77777777" w:rsidR="00532C7F" w:rsidRPr="00233381" w:rsidRDefault="00532C7F" w:rsidP="00A553E4">
            <w:pPr>
              <w:autoSpaceDE w:val="0"/>
              <w:autoSpaceDN w:val="0"/>
              <w:adjustRightInd w:val="0"/>
              <w:spacing w:after="0" w:line="240" w:lineRule="auto"/>
              <w:ind w:left="60" w:right="60"/>
              <w:rPr>
                <w:rFonts w:cstheme="minorHAnsi"/>
                <w:sz w:val="24"/>
                <w:szCs w:val="24"/>
                <w:lang w:val="en-US"/>
              </w:rPr>
            </w:pPr>
            <w:r w:rsidRPr="00233381">
              <w:rPr>
                <w:rFonts w:cstheme="minorHAnsi"/>
                <w:sz w:val="24"/>
                <w:szCs w:val="24"/>
                <w:lang w:val="en-US"/>
              </w:rPr>
              <w:t>Anxiety</w:t>
            </w:r>
          </w:p>
        </w:tc>
        <w:tc>
          <w:tcPr>
            <w:tcW w:w="1589" w:type="dxa"/>
            <w:shd w:val="clear" w:color="auto" w:fill="FFFFFF"/>
            <w:vAlign w:val="center"/>
          </w:tcPr>
          <w:p w14:paraId="7B6AC5F7" w14:textId="77777777" w:rsidR="00532C7F" w:rsidRPr="00233381" w:rsidRDefault="00532C7F" w:rsidP="00A553E4">
            <w:pPr>
              <w:autoSpaceDE w:val="0"/>
              <w:autoSpaceDN w:val="0"/>
              <w:adjustRightInd w:val="0"/>
              <w:spacing w:after="0" w:line="240" w:lineRule="auto"/>
              <w:ind w:left="60" w:right="60"/>
              <w:jc w:val="center"/>
              <w:rPr>
                <w:rFonts w:cstheme="minorHAnsi"/>
                <w:sz w:val="24"/>
                <w:szCs w:val="24"/>
                <w:lang w:val="en-US"/>
              </w:rPr>
            </w:pPr>
            <w:r w:rsidRPr="00233381">
              <w:rPr>
                <w:rFonts w:cstheme="minorHAnsi"/>
                <w:sz w:val="24"/>
                <w:szCs w:val="24"/>
                <w:lang w:val="en-US"/>
              </w:rPr>
              <w:t>12.94</w:t>
            </w:r>
          </w:p>
        </w:tc>
        <w:tc>
          <w:tcPr>
            <w:tcW w:w="2240" w:type="dxa"/>
            <w:shd w:val="clear" w:color="auto" w:fill="FFFFFF"/>
            <w:vAlign w:val="center"/>
          </w:tcPr>
          <w:p w14:paraId="4A399B00" w14:textId="77777777" w:rsidR="00532C7F" w:rsidRPr="00233381" w:rsidRDefault="00532C7F" w:rsidP="00A553E4">
            <w:pPr>
              <w:autoSpaceDE w:val="0"/>
              <w:autoSpaceDN w:val="0"/>
              <w:adjustRightInd w:val="0"/>
              <w:spacing w:after="0" w:line="240" w:lineRule="auto"/>
              <w:ind w:left="60" w:right="60"/>
              <w:jc w:val="center"/>
              <w:rPr>
                <w:rFonts w:cstheme="minorHAnsi"/>
                <w:sz w:val="24"/>
                <w:szCs w:val="24"/>
                <w:lang w:val="en-US"/>
              </w:rPr>
            </w:pPr>
            <w:r w:rsidRPr="00233381">
              <w:rPr>
                <w:rFonts w:cstheme="minorHAnsi"/>
                <w:sz w:val="24"/>
                <w:szCs w:val="24"/>
                <w:lang w:val="en-US"/>
              </w:rPr>
              <w:t>5.36</w:t>
            </w:r>
          </w:p>
        </w:tc>
        <w:tc>
          <w:tcPr>
            <w:tcW w:w="1590" w:type="dxa"/>
            <w:gridSpan w:val="2"/>
            <w:shd w:val="clear" w:color="auto" w:fill="FFFFFF"/>
          </w:tcPr>
          <w:p w14:paraId="1EFC3C06" w14:textId="77777777" w:rsidR="00532C7F" w:rsidRPr="00233381" w:rsidRDefault="00532C7F" w:rsidP="00A553E4">
            <w:pPr>
              <w:autoSpaceDE w:val="0"/>
              <w:autoSpaceDN w:val="0"/>
              <w:adjustRightInd w:val="0"/>
              <w:spacing w:after="0" w:line="240" w:lineRule="auto"/>
              <w:jc w:val="center"/>
              <w:rPr>
                <w:rFonts w:cstheme="minorHAnsi"/>
                <w:sz w:val="24"/>
                <w:szCs w:val="24"/>
                <w:lang w:val="en-US"/>
              </w:rPr>
            </w:pPr>
          </w:p>
        </w:tc>
      </w:tr>
      <w:tr w:rsidR="00532C7F" w:rsidRPr="00233381" w14:paraId="0DAD3667" w14:textId="77777777" w:rsidTr="00357467">
        <w:trPr>
          <w:cantSplit/>
          <w:trHeight w:val="80"/>
        </w:trPr>
        <w:tc>
          <w:tcPr>
            <w:tcW w:w="1200" w:type="dxa"/>
            <w:shd w:val="clear" w:color="auto" w:fill="FFFFFF"/>
            <w:vAlign w:val="center"/>
          </w:tcPr>
          <w:p w14:paraId="45CA3CB1" w14:textId="77777777" w:rsidR="00532C7F" w:rsidRPr="00233381" w:rsidRDefault="00532C7F" w:rsidP="00A553E4">
            <w:pPr>
              <w:autoSpaceDE w:val="0"/>
              <w:autoSpaceDN w:val="0"/>
              <w:adjustRightInd w:val="0"/>
              <w:spacing w:after="0" w:line="240" w:lineRule="auto"/>
              <w:rPr>
                <w:rFonts w:cstheme="minorHAnsi"/>
                <w:sz w:val="24"/>
                <w:szCs w:val="24"/>
                <w:lang w:val="en-US"/>
              </w:rPr>
            </w:pPr>
          </w:p>
        </w:tc>
        <w:tc>
          <w:tcPr>
            <w:tcW w:w="1374" w:type="dxa"/>
            <w:shd w:val="clear" w:color="auto" w:fill="FFFFFF"/>
            <w:vAlign w:val="center"/>
          </w:tcPr>
          <w:p w14:paraId="7A8733B4" w14:textId="77777777" w:rsidR="00532C7F" w:rsidRPr="00233381" w:rsidRDefault="00532C7F" w:rsidP="00A553E4">
            <w:pPr>
              <w:autoSpaceDE w:val="0"/>
              <w:autoSpaceDN w:val="0"/>
              <w:adjustRightInd w:val="0"/>
              <w:spacing w:after="0" w:line="240" w:lineRule="auto"/>
              <w:ind w:left="60" w:right="60"/>
              <w:rPr>
                <w:rFonts w:cstheme="minorHAnsi"/>
                <w:sz w:val="24"/>
                <w:szCs w:val="24"/>
                <w:lang w:val="en-US"/>
              </w:rPr>
            </w:pPr>
          </w:p>
        </w:tc>
        <w:tc>
          <w:tcPr>
            <w:tcW w:w="1589" w:type="dxa"/>
            <w:shd w:val="clear" w:color="auto" w:fill="FFFFFF"/>
            <w:vAlign w:val="center"/>
          </w:tcPr>
          <w:p w14:paraId="2FD785B0" w14:textId="77777777" w:rsidR="00532C7F" w:rsidRPr="00233381" w:rsidRDefault="00532C7F" w:rsidP="00A553E4">
            <w:pPr>
              <w:autoSpaceDE w:val="0"/>
              <w:autoSpaceDN w:val="0"/>
              <w:adjustRightInd w:val="0"/>
              <w:spacing w:after="0" w:line="240" w:lineRule="auto"/>
              <w:ind w:left="60" w:right="60"/>
              <w:jc w:val="center"/>
              <w:rPr>
                <w:rFonts w:cstheme="minorHAnsi"/>
                <w:sz w:val="24"/>
                <w:szCs w:val="24"/>
                <w:lang w:val="en-US"/>
              </w:rPr>
            </w:pPr>
          </w:p>
        </w:tc>
        <w:tc>
          <w:tcPr>
            <w:tcW w:w="2240" w:type="dxa"/>
            <w:shd w:val="clear" w:color="auto" w:fill="FFFFFF"/>
            <w:vAlign w:val="center"/>
          </w:tcPr>
          <w:p w14:paraId="7A30902B" w14:textId="77777777" w:rsidR="00532C7F" w:rsidRPr="00233381" w:rsidRDefault="00532C7F" w:rsidP="00A553E4">
            <w:pPr>
              <w:autoSpaceDE w:val="0"/>
              <w:autoSpaceDN w:val="0"/>
              <w:adjustRightInd w:val="0"/>
              <w:spacing w:after="0" w:line="240" w:lineRule="auto"/>
              <w:ind w:left="60" w:right="60"/>
              <w:jc w:val="center"/>
              <w:rPr>
                <w:rFonts w:cstheme="minorHAnsi"/>
                <w:sz w:val="24"/>
                <w:szCs w:val="24"/>
                <w:lang w:val="en-US"/>
              </w:rPr>
            </w:pPr>
          </w:p>
        </w:tc>
        <w:tc>
          <w:tcPr>
            <w:tcW w:w="1590" w:type="dxa"/>
            <w:gridSpan w:val="2"/>
            <w:shd w:val="clear" w:color="auto" w:fill="FFFFFF"/>
          </w:tcPr>
          <w:p w14:paraId="3417BCA8" w14:textId="77777777" w:rsidR="00532C7F" w:rsidRPr="00233381" w:rsidRDefault="00532C7F" w:rsidP="00A553E4">
            <w:pPr>
              <w:autoSpaceDE w:val="0"/>
              <w:autoSpaceDN w:val="0"/>
              <w:adjustRightInd w:val="0"/>
              <w:spacing w:after="0" w:line="240" w:lineRule="auto"/>
              <w:jc w:val="center"/>
              <w:rPr>
                <w:rFonts w:cstheme="minorHAnsi"/>
                <w:sz w:val="24"/>
                <w:szCs w:val="24"/>
                <w:lang w:val="en-US"/>
              </w:rPr>
            </w:pPr>
          </w:p>
        </w:tc>
      </w:tr>
      <w:tr w:rsidR="00532C7F" w:rsidRPr="00233381" w14:paraId="64231554" w14:textId="77777777" w:rsidTr="00357467">
        <w:trPr>
          <w:cantSplit/>
          <w:trHeight w:val="326"/>
        </w:trPr>
        <w:tc>
          <w:tcPr>
            <w:tcW w:w="1200" w:type="dxa"/>
            <w:vMerge w:val="restart"/>
            <w:shd w:val="clear" w:color="auto" w:fill="FFFFFF"/>
            <w:vAlign w:val="center"/>
          </w:tcPr>
          <w:p w14:paraId="490CB7D4" w14:textId="77777777" w:rsidR="00532C7F" w:rsidRPr="00233381" w:rsidRDefault="00532C7F" w:rsidP="00A553E4">
            <w:pPr>
              <w:autoSpaceDE w:val="0"/>
              <w:autoSpaceDN w:val="0"/>
              <w:adjustRightInd w:val="0"/>
              <w:spacing w:after="0" w:line="240" w:lineRule="auto"/>
              <w:ind w:left="60" w:right="60"/>
              <w:rPr>
                <w:rFonts w:cstheme="minorHAnsi"/>
                <w:sz w:val="24"/>
                <w:szCs w:val="24"/>
                <w:lang w:val="en-US"/>
              </w:rPr>
            </w:pPr>
            <w:r w:rsidRPr="00233381">
              <w:rPr>
                <w:rFonts w:cstheme="minorHAnsi"/>
                <w:sz w:val="24"/>
                <w:szCs w:val="24"/>
                <w:lang w:val="en-US"/>
              </w:rPr>
              <w:t>Pairs 3</w:t>
            </w:r>
          </w:p>
        </w:tc>
        <w:tc>
          <w:tcPr>
            <w:tcW w:w="1374" w:type="dxa"/>
            <w:shd w:val="clear" w:color="auto" w:fill="FFFFFF"/>
            <w:vAlign w:val="center"/>
          </w:tcPr>
          <w:p w14:paraId="07F51284" w14:textId="77777777" w:rsidR="00532C7F" w:rsidRPr="00233381" w:rsidRDefault="00532C7F" w:rsidP="00A553E4">
            <w:pPr>
              <w:autoSpaceDE w:val="0"/>
              <w:autoSpaceDN w:val="0"/>
              <w:adjustRightInd w:val="0"/>
              <w:spacing w:after="0" w:line="240" w:lineRule="auto"/>
              <w:ind w:left="60" w:right="60"/>
              <w:rPr>
                <w:rFonts w:cstheme="minorHAnsi"/>
                <w:sz w:val="24"/>
                <w:szCs w:val="24"/>
                <w:lang w:val="en-US"/>
              </w:rPr>
            </w:pPr>
            <w:r w:rsidRPr="00233381">
              <w:rPr>
                <w:rFonts w:cstheme="minorHAnsi"/>
                <w:sz w:val="24"/>
                <w:szCs w:val="24"/>
                <w:lang w:val="en-US"/>
              </w:rPr>
              <w:t>Depression</w:t>
            </w:r>
          </w:p>
        </w:tc>
        <w:tc>
          <w:tcPr>
            <w:tcW w:w="1589" w:type="dxa"/>
            <w:shd w:val="clear" w:color="auto" w:fill="FFFFFF"/>
            <w:vAlign w:val="center"/>
          </w:tcPr>
          <w:p w14:paraId="5FD404E7" w14:textId="77777777" w:rsidR="00532C7F" w:rsidRPr="00233381" w:rsidRDefault="00532C7F" w:rsidP="00A553E4">
            <w:pPr>
              <w:autoSpaceDE w:val="0"/>
              <w:autoSpaceDN w:val="0"/>
              <w:adjustRightInd w:val="0"/>
              <w:spacing w:after="0" w:line="240" w:lineRule="auto"/>
              <w:ind w:left="60" w:right="60"/>
              <w:jc w:val="center"/>
              <w:rPr>
                <w:rFonts w:cstheme="minorHAnsi"/>
                <w:sz w:val="24"/>
                <w:szCs w:val="24"/>
                <w:lang w:val="en-US"/>
              </w:rPr>
            </w:pPr>
            <w:r w:rsidRPr="00233381">
              <w:rPr>
                <w:rFonts w:cstheme="minorHAnsi"/>
                <w:sz w:val="24"/>
                <w:szCs w:val="24"/>
                <w:lang w:val="en-US"/>
              </w:rPr>
              <w:t>14.58</w:t>
            </w:r>
          </w:p>
        </w:tc>
        <w:tc>
          <w:tcPr>
            <w:tcW w:w="2240" w:type="dxa"/>
            <w:shd w:val="clear" w:color="auto" w:fill="FFFFFF"/>
            <w:vAlign w:val="center"/>
          </w:tcPr>
          <w:p w14:paraId="63CCFF89" w14:textId="77777777" w:rsidR="00532C7F" w:rsidRPr="00233381" w:rsidRDefault="00532C7F" w:rsidP="00A553E4">
            <w:pPr>
              <w:autoSpaceDE w:val="0"/>
              <w:autoSpaceDN w:val="0"/>
              <w:adjustRightInd w:val="0"/>
              <w:spacing w:after="0" w:line="240" w:lineRule="auto"/>
              <w:ind w:left="60" w:right="60"/>
              <w:jc w:val="center"/>
              <w:rPr>
                <w:rFonts w:cstheme="minorHAnsi"/>
                <w:sz w:val="24"/>
                <w:szCs w:val="24"/>
                <w:lang w:val="en-US"/>
              </w:rPr>
            </w:pPr>
            <w:r w:rsidRPr="00233381">
              <w:rPr>
                <w:rFonts w:cstheme="minorHAnsi"/>
                <w:sz w:val="24"/>
                <w:szCs w:val="24"/>
                <w:lang w:val="en-US"/>
              </w:rPr>
              <w:t>5.76</w:t>
            </w:r>
          </w:p>
        </w:tc>
        <w:tc>
          <w:tcPr>
            <w:tcW w:w="1590" w:type="dxa"/>
            <w:gridSpan w:val="2"/>
            <w:shd w:val="clear" w:color="auto" w:fill="FFFFFF"/>
          </w:tcPr>
          <w:p w14:paraId="4A742102" w14:textId="77777777" w:rsidR="00532C7F" w:rsidRPr="00233381" w:rsidRDefault="00532C7F" w:rsidP="00A553E4">
            <w:pPr>
              <w:autoSpaceDE w:val="0"/>
              <w:autoSpaceDN w:val="0"/>
              <w:adjustRightInd w:val="0"/>
              <w:spacing w:after="0" w:line="240" w:lineRule="auto"/>
              <w:ind w:left="60" w:right="60"/>
              <w:jc w:val="center"/>
              <w:rPr>
                <w:rFonts w:cstheme="minorHAnsi"/>
                <w:sz w:val="24"/>
                <w:szCs w:val="24"/>
                <w:lang w:val="en-US"/>
              </w:rPr>
            </w:pPr>
            <w:r w:rsidRPr="00233381">
              <w:rPr>
                <w:rFonts w:cstheme="minorHAnsi"/>
                <w:sz w:val="24"/>
                <w:szCs w:val="24"/>
                <w:lang w:val="en-US"/>
              </w:rPr>
              <w:t>8.18*</w:t>
            </w:r>
          </w:p>
        </w:tc>
      </w:tr>
      <w:tr w:rsidR="00532C7F" w:rsidRPr="00233381" w14:paraId="09A287FE" w14:textId="77777777" w:rsidTr="00357467">
        <w:trPr>
          <w:cantSplit/>
          <w:trHeight w:val="370"/>
        </w:trPr>
        <w:tc>
          <w:tcPr>
            <w:tcW w:w="1200" w:type="dxa"/>
            <w:vMerge/>
            <w:tcBorders>
              <w:bottom w:val="single" w:sz="4" w:space="0" w:color="auto"/>
            </w:tcBorders>
            <w:shd w:val="clear" w:color="auto" w:fill="FFFFFF"/>
            <w:vAlign w:val="center"/>
          </w:tcPr>
          <w:p w14:paraId="30F61BEC" w14:textId="77777777" w:rsidR="00532C7F" w:rsidRPr="00233381" w:rsidRDefault="00532C7F" w:rsidP="00A553E4">
            <w:pPr>
              <w:autoSpaceDE w:val="0"/>
              <w:autoSpaceDN w:val="0"/>
              <w:adjustRightInd w:val="0"/>
              <w:spacing w:after="0" w:line="240" w:lineRule="auto"/>
              <w:rPr>
                <w:rFonts w:cstheme="minorHAnsi"/>
                <w:sz w:val="24"/>
                <w:szCs w:val="24"/>
                <w:lang w:val="en-US"/>
              </w:rPr>
            </w:pPr>
          </w:p>
        </w:tc>
        <w:tc>
          <w:tcPr>
            <w:tcW w:w="1374" w:type="dxa"/>
            <w:tcBorders>
              <w:bottom w:val="single" w:sz="4" w:space="0" w:color="auto"/>
            </w:tcBorders>
            <w:shd w:val="clear" w:color="auto" w:fill="FFFFFF"/>
            <w:vAlign w:val="center"/>
          </w:tcPr>
          <w:p w14:paraId="6C99EF7E" w14:textId="77777777" w:rsidR="00532C7F" w:rsidRPr="00233381" w:rsidRDefault="00532C7F" w:rsidP="00A553E4">
            <w:pPr>
              <w:autoSpaceDE w:val="0"/>
              <w:autoSpaceDN w:val="0"/>
              <w:adjustRightInd w:val="0"/>
              <w:spacing w:after="0" w:line="240" w:lineRule="auto"/>
              <w:ind w:left="60" w:right="60"/>
              <w:rPr>
                <w:rFonts w:cstheme="minorHAnsi"/>
                <w:sz w:val="24"/>
                <w:szCs w:val="24"/>
                <w:lang w:val="en-US"/>
              </w:rPr>
            </w:pPr>
            <w:r w:rsidRPr="00233381">
              <w:rPr>
                <w:rFonts w:cstheme="minorHAnsi"/>
                <w:sz w:val="24"/>
                <w:szCs w:val="24"/>
                <w:lang w:val="en-US"/>
              </w:rPr>
              <w:t>Anxiety</w:t>
            </w:r>
          </w:p>
        </w:tc>
        <w:tc>
          <w:tcPr>
            <w:tcW w:w="1589" w:type="dxa"/>
            <w:tcBorders>
              <w:bottom w:val="single" w:sz="4" w:space="0" w:color="auto"/>
            </w:tcBorders>
            <w:shd w:val="clear" w:color="auto" w:fill="FFFFFF"/>
            <w:vAlign w:val="center"/>
          </w:tcPr>
          <w:p w14:paraId="6885AEE8" w14:textId="77777777" w:rsidR="00532C7F" w:rsidRPr="00233381" w:rsidRDefault="00532C7F" w:rsidP="00A553E4">
            <w:pPr>
              <w:autoSpaceDE w:val="0"/>
              <w:autoSpaceDN w:val="0"/>
              <w:adjustRightInd w:val="0"/>
              <w:spacing w:after="0" w:line="240" w:lineRule="auto"/>
              <w:ind w:left="60" w:right="60"/>
              <w:jc w:val="center"/>
              <w:rPr>
                <w:rFonts w:cstheme="minorHAnsi"/>
                <w:sz w:val="24"/>
                <w:szCs w:val="24"/>
                <w:lang w:val="en-US"/>
              </w:rPr>
            </w:pPr>
            <w:r w:rsidRPr="00233381">
              <w:rPr>
                <w:rFonts w:cstheme="minorHAnsi"/>
                <w:sz w:val="24"/>
                <w:szCs w:val="24"/>
                <w:lang w:val="en-US"/>
              </w:rPr>
              <w:t>12.94</w:t>
            </w:r>
          </w:p>
        </w:tc>
        <w:tc>
          <w:tcPr>
            <w:tcW w:w="2240" w:type="dxa"/>
            <w:tcBorders>
              <w:bottom w:val="single" w:sz="4" w:space="0" w:color="auto"/>
            </w:tcBorders>
            <w:shd w:val="clear" w:color="auto" w:fill="FFFFFF"/>
            <w:vAlign w:val="center"/>
          </w:tcPr>
          <w:p w14:paraId="6B93D71D" w14:textId="77777777" w:rsidR="00532C7F" w:rsidRPr="00233381" w:rsidRDefault="00532C7F" w:rsidP="00A553E4">
            <w:pPr>
              <w:autoSpaceDE w:val="0"/>
              <w:autoSpaceDN w:val="0"/>
              <w:adjustRightInd w:val="0"/>
              <w:spacing w:after="0" w:line="240" w:lineRule="auto"/>
              <w:ind w:left="60" w:right="60"/>
              <w:jc w:val="center"/>
              <w:rPr>
                <w:rFonts w:cstheme="minorHAnsi"/>
                <w:sz w:val="24"/>
                <w:szCs w:val="24"/>
                <w:lang w:val="en-US"/>
              </w:rPr>
            </w:pPr>
            <w:r w:rsidRPr="00233381">
              <w:rPr>
                <w:rFonts w:cstheme="minorHAnsi"/>
                <w:sz w:val="24"/>
                <w:szCs w:val="24"/>
                <w:lang w:val="en-US"/>
              </w:rPr>
              <w:t>5.36</w:t>
            </w:r>
          </w:p>
        </w:tc>
        <w:tc>
          <w:tcPr>
            <w:tcW w:w="1590" w:type="dxa"/>
            <w:gridSpan w:val="2"/>
            <w:tcBorders>
              <w:bottom w:val="single" w:sz="4" w:space="0" w:color="auto"/>
            </w:tcBorders>
            <w:shd w:val="clear" w:color="auto" w:fill="FFFFFF"/>
          </w:tcPr>
          <w:p w14:paraId="21B075C3" w14:textId="77777777" w:rsidR="00532C7F" w:rsidRPr="00233381" w:rsidRDefault="00532C7F" w:rsidP="00A553E4">
            <w:pPr>
              <w:autoSpaceDE w:val="0"/>
              <w:autoSpaceDN w:val="0"/>
              <w:adjustRightInd w:val="0"/>
              <w:spacing w:after="0" w:line="240" w:lineRule="auto"/>
              <w:jc w:val="center"/>
              <w:rPr>
                <w:rFonts w:cstheme="minorHAnsi"/>
                <w:sz w:val="24"/>
                <w:szCs w:val="24"/>
                <w:lang w:val="en-US"/>
              </w:rPr>
            </w:pPr>
          </w:p>
        </w:tc>
      </w:tr>
    </w:tbl>
    <w:p w14:paraId="3B47E00F" w14:textId="77777777" w:rsidR="00532C7F" w:rsidRPr="00233381" w:rsidRDefault="00532C7F" w:rsidP="00AE7044">
      <w:pPr>
        <w:autoSpaceDE w:val="0"/>
        <w:autoSpaceDN w:val="0"/>
        <w:adjustRightInd w:val="0"/>
        <w:spacing w:after="0" w:line="360" w:lineRule="auto"/>
        <w:rPr>
          <w:rFonts w:cstheme="minorHAnsi"/>
          <w:sz w:val="24"/>
          <w:szCs w:val="24"/>
          <w:lang w:val="en-US"/>
        </w:rPr>
      </w:pPr>
      <w:r w:rsidRPr="00233381">
        <w:rPr>
          <w:rFonts w:cstheme="minorHAnsi"/>
          <w:i/>
          <w:iCs/>
          <w:sz w:val="24"/>
          <w:szCs w:val="24"/>
          <w:lang w:val="en-US"/>
        </w:rPr>
        <w:t>Note</w:t>
      </w:r>
      <w:r w:rsidRPr="00233381">
        <w:rPr>
          <w:rFonts w:cstheme="minorHAnsi"/>
          <w:sz w:val="24"/>
          <w:szCs w:val="24"/>
          <w:lang w:val="en-US"/>
        </w:rPr>
        <w:t>: * p-value &lt;0.05.</w:t>
      </w:r>
    </w:p>
    <w:p w14:paraId="67A32E5D" w14:textId="77777777" w:rsidR="00532C7F" w:rsidRPr="00233381" w:rsidRDefault="00532C7F" w:rsidP="00AE7044">
      <w:pPr>
        <w:spacing w:after="0" w:line="360" w:lineRule="auto"/>
        <w:jc w:val="both"/>
        <w:rPr>
          <w:rFonts w:cstheme="minorHAnsi"/>
          <w:sz w:val="24"/>
          <w:szCs w:val="24"/>
          <w:lang w:val="en-US"/>
        </w:rPr>
      </w:pPr>
    </w:p>
    <w:p w14:paraId="7A36A430" w14:textId="77777777" w:rsidR="00532C7F" w:rsidRPr="00233381" w:rsidRDefault="00532C7F" w:rsidP="00AE7044">
      <w:pPr>
        <w:spacing w:after="0" w:line="360" w:lineRule="auto"/>
        <w:jc w:val="center"/>
        <w:rPr>
          <w:rFonts w:cstheme="minorHAnsi"/>
          <w:b/>
          <w:bCs/>
          <w:sz w:val="24"/>
          <w:szCs w:val="24"/>
          <w:lang w:val="en-US"/>
        </w:rPr>
      </w:pPr>
      <w:r w:rsidRPr="00233381">
        <w:rPr>
          <w:rFonts w:cstheme="minorHAnsi"/>
          <w:b/>
          <w:bCs/>
          <w:sz w:val="24"/>
          <w:szCs w:val="24"/>
          <w:lang w:val="en-US"/>
        </w:rPr>
        <w:t>Discussion</w:t>
      </w:r>
    </w:p>
    <w:p w14:paraId="1D45AFB0" w14:textId="77777777" w:rsidR="00532C7F" w:rsidRPr="00233381" w:rsidRDefault="00532C7F" w:rsidP="00AE7044">
      <w:pPr>
        <w:spacing w:after="0" w:line="360" w:lineRule="auto"/>
        <w:ind w:firstLine="709"/>
        <w:rPr>
          <w:rFonts w:cstheme="minorHAnsi"/>
          <w:sz w:val="24"/>
          <w:szCs w:val="24"/>
          <w:lang w:val="en-US"/>
        </w:rPr>
      </w:pPr>
      <w:r w:rsidRPr="00233381">
        <w:rPr>
          <w:rFonts w:cstheme="minorHAnsi"/>
          <w:sz w:val="24"/>
          <w:szCs w:val="24"/>
          <w:lang w:val="en-US"/>
        </w:rPr>
        <w:t xml:space="preserve">Overall, your study's findings support the use of the adapted version of the DASS-21 scale in assessing distress and negative emotional symptoms specifically in LGBTQ+ Brazilians. Its strong psychometric properties provide confidence in its reliability and validity, enabling more accurate assessments and interventions to support the mental well-being of this population. </w:t>
      </w:r>
    </w:p>
    <w:p w14:paraId="1571BC4C" w14:textId="77777777" w:rsidR="00532C7F" w:rsidRPr="00233381" w:rsidRDefault="00532C7F" w:rsidP="00AE7044">
      <w:pPr>
        <w:spacing w:after="0" w:line="360" w:lineRule="auto"/>
        <w:ind w:firstLine="709"/>
        <w:rPr>
          <w:rFonts w:cstheme="minorHAnsi"/>
          <w:sz w:val="24"/>
          <w:szCs w:val="24"/>
          <w:lang w:val="en-US"/>
        </w:rPr>
      </w:pPr>
      <w:r w:rsidRPr="00233381">
        <w:rPr>
          <w:rFonts w:cstheme="minorHAnsi"/>
          <w:sz w:val="24"/>
          <w:szCs w:val="24"/>
          <w:lang w:val="en-US"/>
        </w:rPr>
        <w:t xml:space="preserve">The factorial variance of psychological instruments refers to the extent to which the factor structure of the instrument remains consistent across different populations. The factor structure represents how the items of the instrument relate to the underlying constructs being measured. It is essential to examine factorial variance because cultural and contextual differences may lead to variations in the underlying dimensions of distress and negative emotional symptoms. Assessing factorial variance helps determine whether the instrument captures the same constructs in different populations or if modifications are needed to account for population-specific variations. In this sense, our investigation confirms the hypothesis of an adjusted three-factor model for the symptoms measured by the scale in accordance with other Brazilian studies. These include indicators found by </w:t>
      </w:r>
      <w:proofErr w:type="spellStart"/>
      <w:r w:rsidRPr="00233381">
        <w:rPr>
          <w:rFonts w:cstheme="minorHAnsi"/>
          <w:sz w:val="24"/>
          <w:szCs w:val="24"/>
          <w:lang w:val="en-US"/>
        </w:rPr>
        <w:t>Patias</w:t>
      </w:r>
      <w:proofErr w:type="spellEnd"/>
      <w:r w:rsidRPr="00233381">
        <w:rPr>
          <w:rFonts w:cstheme="minorHAnsi"/>
          <w:sz w:val="24"/>
          <w:szCs w:val="24"/>
          <w:lang w:val="en-US"/>
        </w:rPr>
        <w:t xml:space="preserve"> et al. (2016) [</w:t>
      </w:r>
      <w:r w:rsidRPr="00233381">
        <w:rPr>
          <w:rFonts w:cstheme="minorHAnsi"/>
          <w:color w:val="000000" w:themeColor="text1"/>
          <w:sz w:val="24"/>
          <w:szCs w:val="24"/>
          <w:lang w:val="en-US"/>
        </w:rPr>
        <w:t>χ²/</w:t>
      </w:r>
      <w:proofErr w:type="spellStart"/>
      <w:r w:rsidRPr="00233381">
        <w:rPr>
          <w:rFonts w:cstheme="minorHAnsi"/>
          <w:color w:val="000000" w:themeColor="text1"/>
          <w:sz w:val="24"/>
          <w:szCs w:val="24"/>
          <w:lang w:val="en-US"/>
        </w:rPr>
        <w:t>gl</w:t>
      </w:r>
      <w:proofErr w:type="spellEnd"/>
      <w:r w:rsidRPr="00233381">
        <w:rPr>
          <w:rFonts w:cstheme="minorHAnsi"/>
          <w:color w:val="000000" w:themeColor="text1"/>
          <w:sz w:val="24"/>
          <w:szCs w:val="24"/>
          <w:lang w:val="en-US"/>
        </w:rPr>
        <w:t xml:space="preserve"> = 3</w:t>
      </w:r>
      <w:r w:rsidRPr="00233381">
        <w:rPr>
          <w:rFonts w:cstheme="minorHAnsi"/>
          <w:sz w:val="24"/>
          <w:szCs w:val="24"/>
          <w:lang w:val="en-US"/>
        </w:rPr>
        <w:t xml:space="preserve">66.16 (186); p &lt; 0,001; CFI = 0.96; TLI = 0.96; RMSEA = 0.047 (0.040—0.054)], </w:t>
      </w:r>
      <w:proofErr w:type="spellStart"/>
      <w:r w:rsidRPr="00233381">
        <w:rPr>
          <w:rFonts w:cstheme="minorHAnsi"/>
          <w:sz w:val="24"/>
          <w:szCs w:val="24"/>
          <w:lang w:val="en-US"/>
        </w:rPr>
        <w:t>Formiga</w:t>
      </w:r>
      <w:proofErr w:type="spellEnd"/>
      <w:r w:rsidRPr="00233381">
        <w:rPr>
          <w:rFonts w:cstheme="minorHAnsi"/>
          <w:sz w:val="24"/>
          <w:szCs w:val="24"/>
          <w:lang w:val="en-US"/>
        </w:rPr>
        <w:t xml:space="preserve"> et al. (2021) </w:t>
      </w:r>
      <w:r w:rsidRPr="00233381">
        <w:rPr>
          <w:rFonts w:cstheme="minorHAnsi"/>
          <w:color w:val="000000"/>
          <w:sz w:val="24"/>
          <w:szCs w:val="24"/>
          <w:lang w:val="en-US"/>
        </w:rPr>
        <w:t>[</w:t>
      </w:r>
      <w:r w:rsidRPr="00233381">
        <w:rPr>
          <w:rFonts w:cstheme="minorHAnsi"/>
          <w:color w:val="000000" w:themeColor="text1"/>
          <w:sz w:val="24"/>
          <w:szCs w:val="24"/>
          <w:lang w:val="en-US"/>
        </w:rPr>
        <w:t>χ²</w:t>
      </w:r>
      <w:r w:rsidRPr="00233381">
        <w:rPr>
          <w:rFonts w:cstheme="minorHAnsi"/>
          <w:sz w:val="24"/>
          <w:szCs w:val="24"/>
          <w:lang w:val="en-US"/>
        </w:rPr>
        <w:t>/</w:t>
      </w:r>
      <w:proofErr w:type="spellStart"/>
      <w:r w:rsidRPr="00233381">
        <w:rPr>
          <w:rFonts w:cstheme="minorHAnsi"/>
          <w:sz w:val="24"/>
          <w:szCs w:val="24"/>
          <w:lang w:val="en-US"/>
        </w:rPr>
        <w:t>gl</w:t>
      </w:r>
      <w:proofErr w:type="spellEnd"/>
      <w:r w:rsidRPr="00233381">
        <w:rPr>
          <w:rFonts w:cstheme="minorHAnsi"/>
          <w:sz w:val="24"/>
          <w:szCs w:val="24"/>
          <w:lang w:val="en-US"/>
        </w:rPr>
        <w:t xml:space="preserve"> = 1.92; RMR = 0.04; GFI = 0.92; AGFI = 0.92; CFI = 0.99; TLI = 0.99; RMSEA = 0.04 (0.04—0.05); CAIC = 766,59; ECVI = 0.97 (0.87—1,09)] and Martins et al. (2020) [</w:t>
      </w:r>
      <w:r w:rsidRPr="00233381">
        <w:rPr>
          <w:rFonts w:cstheme="minorHAnsi"/>
          <w:color w:val="000000" w:themeColor="text1"/>
          <w:sz w:val="24"/>
          <w:szCs w:val="24"/>
          <w:lang w:val="en-US"/>
        </w:rPr>
        <w:t>χ²</w:t>
      </w:r>
      <w:r w:rsidRPr="00233381">
        <w:rPr>
          <w:rFonts w:cstheme="minorHAnsi"/>
          <w:sz w:val="24"/>
          <w:szCs w:val="24"/>
          <w:lang w:val="en-US"/>
        </w:rPr>
        <w:t>/</w:t>
      </w:r>
      <w:proofErr w:type="spellStart"/>
      <w:r w:rsidRPr="00233381">
        <w:rPr>
          <w:rFonts w:cstheme="minorHAnsi"/>
          <w:sz w:val="24"/>
          <w:szCs w:val="24"/>
          <w:lang w:val="en-US"/>
        </w:rPr>
        <w:t>gl</w:t>
      </w:r>
      <w:proofErr w:type="spellEnd"/>
      <w:r w:rsidRPr="00233381">
        <w:rPr>
          <w:rFonts w:cstheme="minorHAnsi"/>
          <w:sz w:val="24"/>
          <w:szCs w:val="24"/>
          <w:lang w:val="en-US"/>
        </w:rPr>
        <w:t xml:space="preserve"> = 5.83; CFI = 0.96; TLI = 0.97; RMSEA = 0.07). In the latter, however, the anxiety item 2 ("My mouth felt dry") had low factor weight and was therefore excluded (</w:t>
      </w:r>
      <w:r w:rsidRPr="00233381">
        <w:rPr>
          <w:rFonts w:cstheme="minorHAnsi"/>
          <w:color w:val="000000" w:themeColor="text1"/>
          <w:sz w:val="24"/>
          <w:szCs w:val="24"/>
          <w:lang w:val="en-US"/>
        </w:rPr>
        <w:t>χ²</w:t>
      </w:r>
      <w:r w:rsidRPr="00233381">
        <w:rPr>
          <w:rFonts w:cstheme="minorHAnsi"/>
          <w:sz w:val="24"/>
          <w:szCs w:val="24"/>
          <w:lang w:val="en-US"/>
        </w:rPr>
        <w:t>/</w:t>
      </w:r>
      <w:proofErr w:type="spellStart"/>
      <w:r w:rsidRPr="00233381">
        <w:rPr>
          <w:rFonts w:cstheme="minorHAnsi"/>
          <w:sz w:val="24"/>
          <w:szCs w:val="24"/>
          <w:lang w:val="en-US"/>
        </w:rPr>
        <w:t>gl</w:t>
      </w:r>
      <w:proofErr w:type="spellEnd"/>
      <w:r w:rsidRPr="00233381">
        <w:rPr>
          <w:rFonts w:cstheme="minorHAnsi"/>
          <w:sz w:val="24"/>
          <w:szCs w:val="24"/>
          <w:lang w:val="en-US"/>
        </w:rPr>
        <w:t xml:space="preserve"> = = 6.05; CFI = 0.98; TLI = 0.97; RMSEA = 0.07) (Martins et al., 2020).</w:t>
      </w:r>
    </w:p>
    <w:p w14:paraId="47515C6B" w14:textId="77777777" w:rsidR="00532C7F" w:rsidRPr="00233381" w:rsidRDefault="00532C7F" w:rsidP="00AE7044">
      <w:pPr>
        <w:spacing w:after="0" w:line="360" w:lineRule="auto"/>
        <w:ind w:firstLine="709"/>
        <w:rPr>
          <w:rFonts w:cstheme="minorHAnsi"/>
          <w:sz w:val="24"/>
          <w:szCs w:val="24"/>
          <w:lang w:val="en-US"/>
        </w:rPr>
      </w:pPr>
      <w:r w:rsidRPr="00233381">
        <w:rPr>
          <w:rFonts w:cstheme="minorHAnsi"/>
          <w:sz w:val="24"/>
          <w:szCs w:val="24"/>
          <w:lang w:val="en-US"/>
        </w:rPr>
        <w:t xml:space="preserve">On the other hand, the structural analysis of the three-factor model in </w:t>
      </w:r>
      <w:r w:rsidRPr="00233381">
        <w:rPr>
          <w:rFonts w:cstheme="minorHAnsi"/>
          <w:color w:val="000000"/>
          <w:sz w:val="24"/>
          <w:szCs w:val="24"/>
          <w:lang w:val="en-US"/>
        </w:rPr>
        <w:t>Silva et al. (2016)</w:t>
      </w:r>
      <w:r w:rsidRPr="00233381">
        <w:rPr>
          <w:rFonts w:cstheme="minorHAnsi"/>
          <w:sz w:val="24"/>
          <w:szCs w:val="24"/>
          <w:lang w:val="en-US"/>
        </w:rPr>
        <w:t xml:space="preserve"> revealed that certain items (stress items 12, 14, and 18) displayed strong loadings on both the stress and anxiety constructs. The researchers found that while the two-factor model provided a better fit for the items by reducing floating items, there was a decrease in the explained variance, indicating potential issues with the interpretation of the items in both models. Consequently, the study's findings raise concerns about the representativeness of the DASS-21 dimensions, even in the two-factor model.</w:t>
      </w:r>
    </w:p>
    <w:p w14:paraId="1753402D" w14:textId="77777777" w:rsidR="00532C7F" w:rsidRPr="00233381" w:rsidRDefault="00532C7F" w:rsidP="00AE7044">
      <w:pPr>
        <w:spacing w:after="0" w:line="360" w:lineRule="auto"/>
        <w:ind w:firstLine="709"/>
        <w:rPr>
          <w:rFonts w:cstheme="minorHAnsi"/>
          <w:sz w:val="24"/>
          <w:szCs w:val="24"/>
          <w:lang w:val="en-US"/>
        </w:rPr>
      </w:pPr>
      <w:r w:rsidRPr="00233381">
        <w:rPr>
          <w:rFonts w:cstheme="minorHAnsi"/>
          <w:sz w:val="24"/>
          <w:szCs w:val="24"/>
          <w:lang w:val="en-US"/>
        </w:rPr>
        <w:t xml:space="preserve">More recently, Peixoto et al. (2021) confirmed that the DASS-21 can be used as general measure of psychological distress as well as separate measures of depression, </w:t>
      </w:r>
      <w:r w:rsidRPr="00233381">
        <w:rPr>
          <w:rFonts w:cstheme="minorHAnsi"/>
          <w:sz w:val="24"/>
          <w:szCs w:val="24"/>
          <w:lang w:val="en-US"/>
        </w:rPr>
        <w:lastRenderedPageBreak/>
        <w:t>anxiety, and stress. This assertion stems from their testing of the theoretical hypothesis that a better fit is found in a bifactor model, composed of three specific factors (depression, anxiety, and stress) and a general factor (general psychological distress). According to the authors, there is a “</w:t>
      </w:r>
      <w:r w:rsidRPr="00233381">
        <w:rPr>
          <w:rFonts w:cstheme="minorHAnsi"/>
          <w:i/>
          <w:iCs/>
          <w:sz w:val="24"/>
          <w:szCs w:val="24"/>
          <w:lang w:val="en-US"/>
        </w:rPr>
        <w:t>continuum</w:t>
      </w:r>
      <w:r w:rsidRPr="00233381">
        <w:rPr>
          <w:rFonts w:cstheme="minorHAnsi"/>
          <w:sz w:val="24"/>
          <w:szCs w:val="24"/>
          <w:lang w:val="en-US"/>
        </w:rPr>
        <w:t xml:space="preserve"> of disposition of difficulty of the items” (p. 764). It begins with milder symptoms, including difficulty relaxing, feeling nervous, and irritation, progresses to an intermediate stage with symptoms like feelings of sadness and difficulty taking initiatives, and culminates with more complex symptoms such as lack of enthusiasm, loss of meaning in life, and fear of panicking. This continuum represents different intensities of psychological distress, ranging from everyday stress to excessive worry and ultimately a sense of loss of control and high levels of stress.</w:t>
      </w:r>
    </w:p>
    <w:p w14:paraId="6FD1C6E0" w14:textId="77777777" w:rsidR="00532C7F" w:rsidRPr="00233381" w:rsidRDefault="00532C7F" w:rsidP="00AE7044">
      <w:pPr>
        <w:spacing w:after="0" w:line="360" w:lineRule="auto"/>
        <w:ind w:firstLine="709"/>
        <w:rPr>
          <w:rFonts w:cstheme="minorHAnsi"/>
          <w:sz w:val="24"/>
          <w:szCs w:val="24"/>
          <w:lang w:val="en-US"/>
        </w:rPr>
      </w:pPr>
      <w:r w:rsidRPr="00233381">
        <w:rPr>
          <w:rFonts w:cstheme="minorHAnsi"/>
          <w:sz w:val="24"/>
          <w:szCs w:val="24"/>
          <w:lang w:val="en-US"/>
        </w:rPr>
        <w:t>In the same direction, Rocha et al. (2021) examined four models (one-dimensional, three oblique factors, hierarchical, and bifactor) and noted that the hierarchical model (with one global second-order factor and three first-order factors) and the three oblique factors model demonstrated similar good fit indicators. However, despite the items' satisfactory individual reliability and their alignment with their respective factors, the AVE calculations revealed insufficient discriminant validity between the DASS-21 factors. The authors explain this result citing the significant clinical overlap of depression, anxiety, and stress symptoms warned by P. F. Lovibond and S. H. Lovibond (1995), which leads to strong correlations among these factors. They point out the prominent presence of a common factor of negative affectivity (that is, psychological distress) in the DASS-21 and understand that “the specific factors are minor variations of a global factor” (Rocha et al., 2021, p. 9).</w:t>
      </w:r>
    </w:p>
    <w:p w14:paraId="5DC778FB" w14:textId="77777777" w:rsidR="00532C7F" w:rsidRPr="00233381" w:rsidRDefault="00532C7F" w:rsidP="00AE7044">
      <w:pPr>
        <w:spacing w:after="0" w:line="360" w:lineRule="auto"/>
        <w:ind w:firstLine="709"/>
        <w:rPr>
          <w:rFonts w:cstheme="minorHAnsi"/>
          <w:sz w:val="24"/>
          <w:szCs w:val="24"/>
          <w:lang w:val="en-US"/>
        </w:rPr>
      </w:pPr>
      <w:r w:rsidRPr="00233381">
        <w:rPr>
          <w:rFonts w:cstheme="minorHAnsi"/>
          <w:sz w:val="24"/>
          <w:szCs w:val="24"/>
          <w:lang w:val="en-US"/>
        </w:rPr>
        <w:t>In our study, Stress consistently showed higher mean scores compared to both Depression and Anxiety. This suggests that participants in the sample tended to report experiencing higher levels of stress in comparison to feelings of depression or anxiety, which could be explained by the occurrence of minority distal and proximal stressors. The Minority Stress Theory (Meyer, 1995, 2003a, 2003b) emerged in the late 1990s to explain mental health disparities in the homosexual population compared to the heterosexual population. Meyer drew on the social stress model (</w:t>
      </w:r>
      <w:proofErr w:type="spellStart"/>
      <w:r w:rsidRPr="00233381">
        <w:rPr>
          <w:rFonts w:cstheme="minorHAnsi"/>
          <w:sz w:val="24"/>
          <w:szCs w:val="24"/>
          <w:lang w:val="en-US"/>
        </w:rPr>
        <w:t>Pearlin</w:t>
      </w:r>
      <w:proofErr w:type="spellEnd"/>
      <w:r w:rsidRPr="00233381">
        <w:rPr>
          <w:rFonts w:cstheme="minorHAnsi"/>
          <w:sz w:val="24"/>
          <w:szCs w:val="24"/>
          <w:lang w:val="en-US"/>
        </w:rPr>
        <w:t xml:space="preserve"> et al., 1981), which explains that the impact of environmental stressors on an individual's health is mediated by their internal and external coping resources. In essence, the model helps to understand the particularities of personal responses to environmental stimuli by considering this set of resources as mediators of the relationship. Building on this universal model, Meyer postulated that a </w:t>
      </w:r>
      <w:r w:rsidRPr="00233381">
        <w:rPr>
          <w:rFonts w:cstheme="minorHAnsi"/>
          <w:sz w:val="24"/>
          <w:szCs w:val="24"/>
          <w:lang w:val="en-US"/>
        </w:rPr>
        <w:lastRenderedPageBreak/>
        <w:t xml:space="preserve">discriminatory environment produces different stressors depending on an individual's social status (distal stressors) and identity (proximal stressors). These minority stressors add to the general stressors and create an overload. Minority stressors are so called because they only affect an individual who is socially considered to be a member of a social minority. </w:t>
      </w:r>
    </w:p>
    <w:p w14:paraId="48792DE5" w14:textId="77777777" w:rsidR="00532C7F" w:rsidRPr="00233381" w:rsidRDefault="00532C7F" w:rsidP="00AE7044">
      <w:pPr>
        <w:spacing w:after="0" w:line="360" w:lineRule="auto"/>
        <w:ind w:firstLine="709"/>
        <w:rPr>
          <w:rFonts w:cstheme="minorHAnsi"/>
          <w:sz w:val="24"/>
          <w:szCs w:val="24"/>
          <w:lang w:val="en-US"/>
        </w:rPr>
      </w:pPr>
      <w:r w:rsidRPr="00233381">
        <w:rPr>
          <w:rFonts w:cstheme="minorHAnsi"/>
          <w:sz w:val="24"/>
          <w:szCs w:val="24"/>
          <w:lang w:val="en-US"/>
        </w:rPr>
        <w:t>Minority stressors have been theorized as three possible manifestations: a) the direct experience of discrimination and violence motivated by prejudice; b) the person's expectation that they will be discriminated against or not accepted; c) internalized prejudice (or self-stigma), which would be the negative consideration of their minority status (Meyer, 1995, 2003a, 2003b). These are events considered "minor" by most people, as they may seem too "silly", however, they are related to something very intimate to the individual, which is central to their existence. These events are manifested by daily aggressions and episodes of discrimination, the so-called "microaggressions", and generate a surplus of stress caused by the expectation of being discriminated against. The expectation of prejudice involves expecting life events to be frustrated, unequal opportunities for structural reasons, a low sense of belonging to the social environment and low social well-being. Thus, minority environmental stressors may explain, by functioning as mediating variables, the negative mental health consequences for sexual and gender minorities.</w:t>
      </w:r>
    </w:p>
    <w:p w14:paraId="6BE27591" w14:textId="77777777" w:rsidR="00532C7F" w:rsidRPr="00233381" w:rsidRDefault="00532C7F" w:rsidP="00AE7044">
      <w:pPr>
        <w:spacing w:after="0" w:line="360" w:lineRule="auto"/>
        <w:ind w:firstLine="709"/>
        <w:rPr>
          <w:rFonts w:cstheme="minorHAnsi"/>
          <w:sz w:val="24"/>
          <w:szCs w:val="24"/>
          <w:lang w:val="en-US"/>
        </w:rPr>
      </w:pPr>
      <w:r w:rsidRPr="00233381">
        <w:rPr>
          <w:rFonts w:cstheme="minorHAnsi"/>
          <w:sz w:val="24"/>
          <w:szCs w:val="24"/>
          <w:lang w:val="en-US"/>
        </w:rPr>
        <w:t>These findings offer valuable insights into the relative severity of distress and negative emotional symptoms in the studied population and can aid researchers and practitioners in understanding the emotional well-being of individuals within this context. However, further investigations are needed to explore the specific factors contributing to these variations and their implications for mental health interventions and support.</w:t>
      </w:r>
    </w:p>
    <w:p w14:paraId="69C53189" w14:textId="77777777" w:rsidR="00532C7F" w:rsidRPr="00233381" w:rsidRDefault="00532C7F" w:rsidP="00AE7044">
      <w:pPr>
        <w:spacing w:after="0" w:line="360" w:lineRule="auto"/>
        <w:ind w:firstLine="709"/>
        <w:rPr>
          <w:rFonts w:cstheme="minorHAnsi"/>
          <w:sz w:val="24"/>
          <w:szCs w:val="24"/>
          <w:lang w:val="en-US"/>
        </w:rPr>
      </w:pPr>
      <w:r w:rsidRPr="00233381">
        <w:rPr>
          <w:rFonts w:cstheme="minorHAnsi"/>
          <w:sz w:val="24"/>
          <w:szCs w:val="24"/>
          <w:lang w:val="en-US"/>
        </w:rPr>
        <w:t>The high discriminatory power of the instrument implies that it can effectively identify and measure the severity of depression, anxiety, and stress symptoms experienced by LGBTQ+ individuals. This is valuable information as it contributes to the understanding of the mental health challenges faced by this population and can aid in developing targeted interventions and support systems. Furthermore, the fact that the adapted scale has been successfully used in different age groups and regions within Brazil highlights its versatility and generalizability. It suggests that the instrument is applicable across different subgroups within the LGBTQ+ population, making it a valuable tool for researchers and clinicians working with this community.</w:t>
      </w:r>
    </w:p>
    <w:p w14:paraId="4D0A4A55" w14:textId="77777777" w:rsidR="00532C7F" w:rsidRPr="00233381" w:rsidRDefault="00532C7F" w:rsidP="00AE7044">
      <w:pPr>
        <w:spacing w:after="0" w:line="360" w:lineRule="auto"/>
        <w:ind w:firstLine="709"/>
        <w:rPr>
          <w:rFonts w:cstheme="minorHAnsi"/>
          <w:sz w:val="24"/>
          <w:szCs w:val="24"/>
          <w:lang w:val="en-US"/>
        </w:rPr>
      </w:pPr>
      <w:r w:rsidRPr="00233381">
        <w:rPr>
          <w:rFonts w:cstheme="minorHAnsi"/>
          <w:sz w:val="24"/>
          <w:szCs w:val="24"/>
          <w:lang w:val="en-US"/>
        </w:rPr>
        <w:lastRenderedPageBreak/>
        <w:t xml:space="preserve">Indeed, the composition of the sample, consisting primarily of young, white, cisgender, homosexual individuals with higher education, highlights the intersectionality of social markers of difference and the influence of mechanisms of oppression and privilege. This finding raises important considerations regarding the representativeness of the sample and the generalizability of the study's findings to the broader LGBTQ+ population in Brazil. The overrepresentation of certain demographic groups within the sample suggests potential barriers or limitations that may have influenced participation rates or accessibility to the online questionnaire. Factors such as digital divide, cultural stigma, and social networks may have played a role in shaping the composition of the sample. Another study showed a similar tendency (Cerqueira-Santos et al., 2021). </w:t>
      </w:r>
      <w:r w:rsidRPr="00233381">
        <w:rPr>
          <w:rFonts w:cstheme="minorHAnsi"/>
          <w:color w:val="000000"/>
          <w:sz w:val="24"/>
          <w:szCs w:val="24"/>
          <w:lang w:val="en-US"/>
        </w:rPr>
        <w:t xml:space="preserve">They </w:t>
      </w:r>
      <w:r w:rsidRPr="00233381">
        <w:rPr>
          <w:rFonts w:cstheme="minorHAnsi"/>
          <w:sz w:val="24"/>
          <w:szCs w:val="24"/>
          <w:lang w:val="en-US"/>
        </w:rPr>
        <w:t xml:space="preserve">collected data using the DASS-21 with an online questionnaire during the period of social isolation caused by the COVID-19 pandemic in Brazil. The sample consisted of 816 young LGBT+ Brazilians, aged 18 to 32 years (M = 23.02; SD = 3.98). </w:t>
      </w:r>
      <w:r w:rsidRPr="00233381">
        <w:rPr>
          <w:rFonts w:cstheme="minorHAnsi"/>
          <w:color w:val="000000"/>
          <w:sz w:val="24"/>
          <w:szCs w:val="24"/>
          <w:lang w:val="en-US"/>
        </w:rPr>
        <w:t>Although, like ours, t</w:t>
      </w:r>
      <w:r w:rsidRPr="00233381">
        <w:rPr>
          <w:rFonts w:cstheme="minorHAnsi"/>
          <w:sz w:val="24"/>
          <w:szCs w:val="24"/>
          <w:lang w:val="en-US"/>
        </w:rPr>
        <w:t xml:space="preserve">he sample was geographically diverse, in terms of racial-ethnic identification, </w:t>
      </w:r>
      <w:proofErr w:type="gramStart"/>
      <w:r w:rsidRPr="00233381">
        <w:rPr>
          <w:rFonts w:cstheme="minorHAnsi"/>
          <w:sz w:val="24"/>
          <w:szCs w:val="24"/>
          <w:lang w:val="en-US"/>
        </w:rPr>
        <w:t>the majority of</w:t>
      </w:r>
      <w:proofErr w:type="gramEnd"/>
      <w:r w:rsidRPr="00233381">
        <w:rPr>
          <w:rFonts w:cstheme="minorHAnsi"/>
          <w:sz w:val="24"/>
          <w:szCs w:val="24"/>
          <w:lang w:val="en-US"/>
        </w:rPr>
        <w:t xml:space="preserve"> participants were white (53.8%), followed by brown (27.9%), black (15.9%), and other racial-ethnic identifications (2.3%). Regarding education, 52.6% of the participants had already completed high school, while 45.0% had completed higher education. Acknowledging the limitations of the sample composition is crucial for understanding the scope and generalizability of the study's findings. While the study provides valuable insights into the experiences of the surveyed young, white, cisgender, homosexual individuals, caution should be exercised when extrapolating these findings to the broader LGBTQ+ population.</w:t>
      </w:r>
    </w:p>
    <w:p w14:paraId="1ED2787F" w14:textId="77777777" w:rsidR="00532C7F" w:rsidRPr="00233381" w:rsidRDefault="00532C7F" w:rsidP="00AE7044">
      <w:pPr>
        <w:spacing w:after="0" w:line="360" w:lineRule="auto"/>
        <w:ind w:firstLine="709"/>
        <w:rPr>
          <w:rFonts w:cstheme="minorHAnsi"/>
          <w:b/>
          <w:bCs/>
          <w:sz w:val="24"/>
          <w:szCs w:val="24"/>
          <w:lang w:val="en-US"/>
        </w:rPr>
      </w:pPr>
      <w:r w:rsidRPr="00233381">
        <w:rPr>
          <w:rFonts w:cstheme="minorHAnsi"/>
          <w:sz w:val="24"/>
          <w:szCs w:val="24"/>
          <w:lang w:val="en-US"/>
        </w:rPr>
        <w:t>Future research should strive to include a more diverse range of participants, considering intersecting identities such as race, gender identity, socioeconomic status, and age. By doing so, a more comprehensive understanding of the experiences and needs of diverse LGBTQ+ individuals can be achieved, thereby addressing the complex dynamics of privilege and oppression within the community.</w:t>
      </w:r>
    </w:p>
    <w:p w14:paraId="0B655CE8" w14:textId="77777777" w:rsidR="00532C7F" w:rsidRPr="00233381" w:rsidRDefault="00532C7F" w:rsidP="00AE7044">
      <w:pPr>
        <w:spacing w:after="0" w:line="360" w:lineRule="auto"/>
        <w:ind w:firstLine="709"/>
        <w:rPr>
          <w:rFonts w:cstheme="minorHAnsi"/>
          <w:sz w:val="24"/>
          <w:szCs w:val="24"/>
          <w:lang w:val="en-US"/>
        </w:rPr>
      </w:pPr>
      <w:r w:rsidRPr="00233381">
        <w:rPr>
          <w:rFonts w:cstheme="minorHAnsi"/>
          <w:sz w:val="24"/>
          <w:szCs w:val="24"/>
          <w:lang w:val="en-US"/>
        </w:rPr>
        <w:t xml:space="preserve">By assessing and understanding the mental health status of LGBTQ+ individuals, researchers and practitioners can gain insights into the specific challenges they encounter and tailor interventions accordingly. Moreover, accurately measuring these symptoms allows for the identification of mental health disparities between LGBTQ+ and non-LGBTQ+ populations, aiding in the development of targeted interventions and policies to address the specific needs of the LGBTQ+ community. Ultimately, measuring anxiety, depression, and </w:t>
      </w:r>
      <w:r w:rsidRPr="00233381">
        <w:rPr>
          <w:rFonts w:cstheme="minorHAnsi"/>
          <w:sz w:val="24"/>
          <w:szCs w:val="24"/>
          <w:lang w:val="en-US"/>
        </w:rPr>
        <w:lastRenderedPageBreak/>
        <w:t>stress in LGBTQ+ individuals in Brazil contributes to promoting their mental well-being and fostering inclusivity, which are essential goals for enhancing the overall health and quality of life of this population.</w:t>
      </w:r>
      <w:r w:rsidRPr="00233381">
        <w:rPr>
          <w:rFonts w:cstheme="minorHAnsi"/>
          <w:sz w:val="24"/>
          <w:szCs w:val="24"/>
          <w:lang w:val="en-US"/>
        </w:rPr>
        <w:t> </w:t>
      </w:r>
    </w:p>
    <w:p w14:paraId="4AA9EFAC" w14:textId="77777777" w:rsidR="00532C7F" w:rsidRPr="00233381" w:rsidRDefault="00532C7F" w:rsidP="00AE7044">
      <w:pPr>
        <w:spacing w:after="0" w:line="360" w:lineRule="auto"/>
        <w:jc w:val="center"/>
        <w:rPr>
          <w:rFonts w:cstheme="minorHAnsi"/>
          <w:b/>
          <w:bCs/>
          <w:sz w:val="24"/>
          <w:szCs w:val="24"/>
          <w:lang w:val="en-US"/>
        </w:rPr>
      </w:pPr>
    </w:p>
    <w:p w14:paraId="745C6695" w14:textId="77777777" w:rsidR="00532C7F" w:rsidRPr="00233381" w:rsidRDefault="00532C7F" w:rsidP="00AE7044">
      <w:pPr>
        <w:spacing w:after="0" w:line="360" w:lineRule="auto"/>
        <w:jc w:val="center"/>
        <w:rPr>
          <w:rFonts w:cstheme="minorHAnsi"/>
          <w:b/>
          <w:bCs/>
          <w:sz w:val="24"/>
          <w:szCs w:val="24"/>
          <w:lang w:val="en-US"/>
        </w:rPr>
      </w:pPr>
      <w:r w:rsidRPr="00233381">
        <w:rPr>
          <w:rFonts w:cstheme="minorHAnsi"/>
          <w:b/>
          <w:bCs/>
          <w:sz w:val="24"/>
          <w:szCs w:val="24"/>
          <w:lang w:val="en-US"/>
        </w:rPr>
        <w:t>References</w:t>
      </w:r>
    </w:p>
    <w:p w14:paraId="17D85ED0" w14:textId="77777777" w:rsidR="00532C7F" w:rsidRPr="00233381" w:rsidRDefault="00532C7F" w:rsidP="00AE7044">
      <w:pPr>
        <w:spacing w:after="0" w:line="360" w:lineRule="auto"/>
        <w:ind w:left="482" w:hanging="482"/>
        <w:rPr>
          <w:rFonts w:cstheme="minorHAnsi"/>
          <w:sz w:val="24"/>
          <w:szCs w:val="24"/>
          <w:lang w:val="en-US"/>
        </w:rPr>
      </w:pPr>
      <w:r w:rsidRPr="00233381">
        <w:rPr>
          <w:rFonts w:cstheme="minorHAnsi"/>
          <w:sz w:val="24"/>
          <w:szCs w:val="24"/>
          <w:lang w:val="en-US"/>
        </w:rPr>
        <w:t xml:space="preserve">American Psychological Association. (2015). Guidelines for psychological practice with transgender and gender nonconforming people. </w:t>
      </w:r>
      <w:r w:rsidRPr="00233381">
        <w:rPr>
          <w:rFonts w:cstheme="minorHAnsi"/>
          <w:i/>
          <w:iCs/>
          <w:sz w:val="24"/>
          <w:szCs w:val="24"/>
          <w:lang w:val="en-US"/>
        </w:rPr>
        <w:t>American Psychologist, 70</w:t>
      </w:r>
      <w:r w:rsidRPr="00233381">
        <w:rPr>
          <w:rFonts w:cstheme="minorHAnsi"/>
          <w:sz w:val="24"/>
          <w:szCs w:val="24"/>
          <w:lang w:val="en-US"/>
        </w:rPr>
        <w:t xml:space="preserve">(9), 832–864. </w:t>
      </w:r>
      <w:hyperlink r:id="rId7" w:history="1">
        <w:r w:rsidRPr="00233381">
          <w:rPr>
            <w:rStyle w:val="Hyperlink"/>
            <w:rFonts w:cstheme="minorHAnsi"/>
            <w:sz w:val="24"/>
            <w:szCs w:val="24"/>
            <w:lang w:val="en-US"/>
          </w:rPr>
          <w:t>https://doi.org/10.1037/a0039906</w:t>
        </w:r>
      </w:hyperlink>
      <w:r w:rsidRPr="00233381">
        <w:rPr>
          <w:rFonts w:cstheme="minorHAnsi"/>
          <w:sz w:val="24"/>
          <w:szCs w:val="24"/>
          <w:lang w:val="en-US"/>
        </w:rPr>
        <w:t xml:space="preserve"> </w:t>
      </w:r>
    </w:p>
    <w:p w14:paraId="62BA0EA1" w14:textId="77777777" w:rsidR="00532C7F" w:rsidRPr="00233381" w:rsidRDefault="00532C7F" w:rsidP="00AE7044">
      <w:pPr>
        <w:spacing w:after="0" w:line="360" w:lineRule="auto"/>
        <w:ind w:left="482" w:hanging="482"/>
        <w:rPr>
          <w:rFonts w:cstheme="minorHAnsi"/>
          <w:sz w:val="24"/>
          <w:szCs w:val="24"/>
          <w:lang w:val="en-US"/>
        </w:rPr>
      </w:pPr>
      <w:r w:rsidRPr="00233381">
        <w:rPr>
          <w:rFonts w:cstheme="minorHAnsi"/>
          <w:sz w:val="24"/>
          <w:szCs w:val="24"/>
          <w:lang w:val="en-US"/>
        </w:rPr>
        <w:t xml:space="preserve">Barbosa, L. N. F., Melo, M. C. B. de, Cunha, M. do C. V. da, Albuquerque, E. N., Costa, J. M., &amp; Silva, E. F. F. da. (2021). Brazilian’s frequency of anxiety, </w:t>
      </w:r>
      <w:proofErr w:type="gramStart"/>
      <w:r w:rsidRPr="00233381">
        <w:rPr>
          <w:rFonts w:cstheme="minorHAnsi"/>
          <w:sz w:val="24"/>
          <w:szCs w:val="24"/>
          <w:lang w:val="en-US"/>
        </w:rPr>
        <w:t>depression</w:t>
      </w:r>
      <w:proofErr w:type="gramEnd"/>
      <w:r w:rsidRPr="00233381">
        <w:rPr>
          <w:rFonts w:cstheme="minorHAnsi"/>
          <w:sz w:val="24"/>
          <w:szCs w:val="24"/>
          <w:lang w:val="en-US"/>
        </w:rPr>
        <w:t xml:space="preserve"> and stress symptoms in the COVID-19 pandemic. </w:t>
      </w:r>
      <w:proofErr w:type="spellStart"/>
      <w:r w:rsidRPr="00233381">
        <w:rPr>
          <w:rFonts w:cstheme="minorHAnsi"/>
          <w:i/>
          <w:iCs/>
          <w:sz w:val="24"/>
          <w:szCs w:val="24"/>
          <w:lang w:val="en-US"/>
        </w:rPr>
        <w:t>Revista</w:t>
      </w:r>
      <w:proofErr w:type="spellEnd"/>
      <w:r w:rsidRPr="00233381">
        <w:rPr>
          <w:rFonts w:cstheme="minorHAnsi"/>
          <w:i/>
          <w:iCs/>
          <w:sz w:val="24"/>
          <w:szCs w:val="24"/>
          <w:lang w:val="en-US"/>
        </w:rPr>
        <w:t xml:space="preserve"> Brasileira de Saúde Materno </w:t>
      </w:r>
      <w:proofErr w:type="spellStart"/>
      <w:r w:rsidRPr="00233381">
        <w:rPr>
          <w:rFonts w:cstheme="minorHAnsi"/>
          <w:i/>
          <w:iCs/>
          <w:sz w:val="24"/>
          <w:szCs w:val="24"/>
          <w:lang w:val="en-US"/>
        </w:rPr>
        <w:t>Infantil</w:t>
      </w:r>
      <w:proofErr w:type="spellEnd"/>
      <w:r w:rsidRPr="00233381">
        <w:rPr>
          <w:rFonts w:cstheme="minorHAnsi"/>
          <w:i/>
          <w:iCs/>
          <w:sz w:val="24"/>
          <w:szCs w:val="24"/>
          <w:lang w:val="en-US"/>
        </w:rPr>
        <w:t>, 21</w:t>
      </w:r>
      <w:r w:rsidRPr="00233381">
        <w:rPr>
          <w:rFonts w:cstheme="minorHAnsi"/>
          <w:sz w:val="24"/>
          <w:szCs w:val="24"/>
          <w:lang w:val="en-US"/>
        </w:rPr>
        <w:t xml:space="preserve">(suppl 2), 413–419. </w:t>
      </w:r>
      <w:hyperlink r:id="rId8" w:history="1">
        <w:r w:rsidRPr="00233381">
          <w:rPr>
            <w:rStyle w:val="Hyperlink"/>
            <w:rFonts w:cstheme="minorHAnsi"/>
            <w:sz w:val="24"/>
            <w:szCs w:val="24"/>
            <w:lang w:val="en-US"/>
          </w:rPr>
          <w:t>https://doi.org/10.1590/1806-9304202100s200005</w:t>
        </w:r>
      </w:hyperlink>
      <w:r w:rsidRPr="00233381">
        <w:rPr>
          <w:rFonts w:cstheme="minorHAnsi"/>
          <w:sz w:val="24"/>
          <w:szCs w:val="24"/>
          <w:lang w:val="en-US"/>
        </w:rPr>
        <w:t xml:space="preserve"> </w:t>
      </w:r>
    </w:p>
    <w:p w14:paraId="16D011C1" w14:textId="77777777" w:rsidR="00532C7F" w:rsidRPr="00233381" w:rsidRDefault="00532C7F" w:rsidP="00AE7044">
      <w:pPr>
        <w:spacing w:after="0" w:line="360" w:lineRule="auto"/>
        <w:ind w:left="482" w:hanging="482"/>
        <w:rPr>
          <w:rFonts w:cstheme="minorHAnsi"/>
          <w:sz w:val="24"/>
          <w:szCs w:val="24"/>
          <w:lang w:val="en-US"/>
        </w:rPr>
      </w:pPr>
      <w:r w:rsidRPr="00233381">
        <w:rPr>
          <w:rFonts w:cstheme="minorHAnsi"/>
          <w:sz w:val="24"/>
          <w:szCs w:val="24"/>
          <w:lang w:val="en-US"/>
        </w:rPr>
        <w:t xml:space="preserve">Cerqueira-Santos, E., Ramos, M. de M., &amp; Gato, J. (2021). </w:t>
      </w:r>
      <w:proofErr w:type="spellStart"/>
      <w:r w:rsidRPr="00233381">
        <w:rPr>
          <w:rFonts w:cstheme="minorHAnsi"/>
          <w:sz w:val="24"/>
          <w:szCs w:val="24"/>
          <w:lang w:val="en-US"/>
        </w:rPr>
        <w:t>Indicadores</w:t>
      </w:r>
      <w:proofErr w:type="spellEnd"/>
      <w:r w:rsidRPr="00233381">
        <w:rPr>
          <w:rFonts w:cstheme="minorHAnsi"/>
          <w:sz w:val="24"/>
          <w:szCs w:val="24"/>
          <w:lang w:val="en-US"/>
        </w:rPr>
        <w:t xml:space="preserve"> de distress entre </w:t>
      </w:r>
      <w:proofErr w:type="spellStart"/>
      <w:r w:rsidRPr="00233381">
        <w:rPr>
          <w:rFonts w:cstheme="minorHAnsi"/>
          <w:sz w:val="24"/>
          <w:szCs w:val="24"/>
          <w:lang w:val="en-US"/>
        </w:rPr>
        <w:t>jovens</w:t>
      </w:r>
      <w:proofErr w:type="spellEnd"/>
      <w:r w:rsidRPr="00233381">
        <w:rPr>
          <w:rFonts w:cstheme="minorHAnsi"/>
          <w:sz w:val="24"/>
          <w:szCs w:val="24"/>
          <w:lang w:val="en-US"/>
        </w:rPr>
        <w:t xml:space="preserve"> LGBT+ </w:t>
      </w:r>
      <w:proofErr w:type="spellStart"/>
      <w:r w:rsidRPr="00233381">
        <w:rPr>
          <w:rFonts w:cstheme="minorHAnsi"/>
          <w:sz w:val="24"/>
          <w:szCs w:val="24"/>
          <w:lang w:val="en-US"/>
        </w:rPr>
        <w:t>durante</w:t>
      </w:r>
      <w:proofErr w:type="spellEnd"/>
      <w:r w:rsidRPr="00233381">
        <w:rPr>
          <w:rFonts w:cstheme="minorHAnsi"/>
          <w:sz w:val="24"/>
          <w:szCs w:val="24"/>
          <w:lang w:val="en-US"/>
        </w:rPr>
        <w:t xml:space="preserve"> o </w:t>
      </w:r>
      <w:proofErr w:type="spellStart"/>
      <w:r w:rsidRPr="00233381">
        <w:rPr>
          <w:rFonts w:cstheme="minorHAnsi"/>
          <w:sz w:val="24"/>
          <w:szCs w:val="24"/>
          <w:lang w:val="en-US"/>
        </w:rPr>
        <w:t>isolamento</w:t>
      </w:r>
      <w:proofErr w:type="spellEnd"/>
      <w:r w:rsidRPr="00233381">
        <w:rPr>
          <w:rFonts w:cstheme="minorHAnsi"/>
          <w:sz w:val="24"/>
          <w:szCs w:val="24"/>
          <w:lang w:val="en-US"/>
        </w:rPr>
        <w:t xml:space="preserve"> social pela COVID-19 no </w:t>
      </w:r>
      <w:proofErr w:type="spellStart"/>
      <w:r w:rsidRPr="00233381">
        <w:rPr>
          <w:rFonts w:cstheme="minorHAnsi"/>
          <w:sz w:val="24"/>
          <w:szCs w:val="24"/>
          <w:lang w:val="en-US"/>
        </w:rPr>
        <w:t>Brasil</w:t>
      </w:r>
      <w:proofErr w:type="spellEnd"/>
      <w:r w:rsidRPr="00233381">
        <w:rPr>
          <w:rFonts w:cstheme="minorHAnsi"/>
          <w:sz w:val="24"/>
          <w:szCs w:val="24"/>
          <w:lang w:val="en-US"/>
        </w:rPr>
        <w:t xml:space="preserve">. </w:t>
      </w:r>
      <w:proofErr w:type="spellStart"/>
      <w:r w:rsidRPr="00233381">
        <w:rPr>
          <w:rFonts w:cstheme="minorHAnsi"/>
          <w:i/>
          <w:iCs/>
          <w:sz w:val="24"/>
          <w:szCs w:val="24"/>
          <w:lang w:val="en-US"/>
        </w:rPr>
        <w:t>Revista</w:t>
      </w:r>
      <w:proofErr w:type="spellEnd"/>
      <w:r w:rsidRPr="00233381">
        <w:rPr>
          <w:rFonts w:cstheme="minorHAnsi"/>
          <w:i/>
          <w:iCs/>
          <w:sz w:val="24"/>
          <w:szCs w:val="24"/>
          <w:lang w:val="en-US"/>
        </w:rPr>
        <w:t xml:space="preserve"> Brasileira de </w:t>
      </w:r>
      <w:proofErr w:type="spellStart"/>
      <w:r w:rsidRPr="00233381">
        <w:rPr>
          <w:rFonts w:cstheme="minorHAnsi"/>
          <w:i/>
          <w:iCs/>
          <w:sz w:val="24"/>
          <w:szCs w:val="24"/>
          <w:lang w:val="en-US"/>
        </w:rPr>
        <w:t>Psicoterapia</w:t>
      </w:r>
      <w:proofErr w:type="spellEnd"/>
      <w:r w:rsidRPr="00233381">
        <w:rPr>
          <w:rFonts w:cstheme="minorHAnsi"/>
          <w:i/>
          <w:iCs/>
          <w:sz w:val="24"/>
          <w:szCs w:val="24"/>
          <w:lang w:val="en-US"/>
        </w:rPr>
        <w:t>, 23</w:t>
      </w:r>
      <w:r w:rsidRPr="00233381">
        <w:rPr>
          <w:rFonts w:cstheme="minorHAnsi"/>
          <w:sz w:val="24"/>
          <w:szCs w:val="24"/>
          <w:lang w:val="en-US"/>
        </w:rPr>
        <w:t xml:space="preserve">(2). </w:t>
      </w:r>
      <w:hyperlink r:id="rId9" w:history="1">
        <w:r w:rsidRPr="00233381">
          <w:rPr>
            <w:rStyle w:val="Hyperlink"/>
            <w:rFonts w:cstheme="minorHAnsi"/>
            <w:sz w:val="24"/>
            <w:szCs w:val="24"/>
            <w:lang w:val="en-US"/>
          </w:rPr>
          <w:t>https://doi.org/10.5935/2318-0404.20210024</w:t>
        </w:r>
      </w:hyperlink>
      <w:r w:rsidRPr="00233381">
        <w:rPr>
          <w:rFonts w:cstheme="minorHAnsi"/>
          <w:sz w:val="24"/>
          <w:szCs w:val="24"/>
          <w:lang w:val="en-US"/>
        </w:rPr>
        <w:t xml:space="preserve"> </w:t>
      </w:r>
    </w:p>
    <w:p w14:paraId="4745D5BB" w14:textId="77777777" w:rsidR="00532C7F" w:rsidRPr="00233381" w:rsidRDefault="00532C7F" w:rsidP="00AE7044">
      <w:pPr>
        <w:spacing w:after="0" w:line="360" w:lineRule="auto"/>
        <w:ind w:left="482" w:hanging="482"/>
        <w:rPr>
          <w:rFonts w:cstheme="minorHAnsi"/>
          <w:sz w:val="24"/>
          <w:szCs w:val="24"/>
          <w:lang w:val="en-US"/>
        </w:rPr>
      </w:pPr>
      <w:r w:rsidRPr="00233381">
        <w:rPr>
          <w:rFonts w:cstheme="minorHAnsi"/>
          <w:sz w:val="24"/>
          <w:szCs w:val="24"/>
          <w:lang w:val="en-US"/>
        </w:rPr>
        <w:t xml:space="preserve">Everitt, B. S. (1975). Multivariate analysis: The need for data, and other problems. </w:t>
      </w:r>
      <w:r w:rsidRPr="00233381">
        <w:rPr>
          <w:rFonts w:cstheme="minorHAnsi"/>
          <w:i/>
          <w:iCs/>
          <w:sz w:val="24"/>
          <w:szCs w:val="24"/>
          <w:lang w:val="en-US"/>
        </w:rPr>
        <w:t>British Journal of Psychiatry, 126</w:t>
      </w:r>
      <w:r w:rsidRPr="00233381">
        <w:rPr>
          <w:rFonts w:cstheme="minorHAnsi"/>
          <w:sz w:val="24"/>
          <w:szCs w:val="24"/>
          <w:lang w:val="en-US"/>
        </w:rPr>
        <w:t xml:space="preserve">(3), 237–240. </w:t>
      </w:r>
      <w:hyperlink r:id="rId10" w:history="1">
        <w:r w:rsidRPr="00233381">
          <w:rPr>
            <w:rStyle w:val="Hyperlink"/>
            <w:rFonts w:cstheme="minorHAnsi"/>
            <w:sz w:val="24"/>
            <w:szCs w:val="24"/>
            <w:lang w:val="en-US"/>
          </w:rPr>
          <w:t>https://doi.org/10.1192/bjp.126.3.237</w:t>
        </w:r>
      </w:hyperlink>
      <w:r w:rsidRPr="00233381">
        <w:rPr>
          <w:rFonts w:cstheme="minorHAnsi"/>
          <w:sz w:val="24"/>
          <w:szCs w:val="24"/>
          <w:lang w:val="en-US"/>
        </w:rPr>
        <w:t xml:space="preserve"> </w:t>
      </w:r>
    </w:p>
    <w:p w14:paraId="5D253EC0" w14:textId="77777777" w:rsidR="00532C7F" w:rsidRPr="00233381" w:rsidRDefault="00532C7F" w:rsidP="00AE7044">
      <w:pPr>
        <w:spacing w:after="0" w:line="360" w:lineRule="auto"/>
        <w:ind w:left="482" w:hanging="482"/>
        <w:rPr>
          <w:rFonts w:cstheme="minorHAnsi"/>
          <w:sz w:val="24"/>
          <w:szCs w:val="24"/>
          <w:lang w:val="en-US"/>
        </w:rPr>
      </w:pPr>
      <w:proofErr w:type="spellStart"/>
      <w:r w:rsidRPr="00233381">
        <w:rPr>
          <w:rFonts w:cstheme="minorHAnsi"/>
          <w:sz w:val="24"/>
          <w:szCs w:val="24"/>
          <w:lang w:val="en-US"/>
        </w:rPr>
        <w:t>Formiga</w:t>
      </w:r>
      <w:proofErr w:type="spellEnd"/>
      <w:r w:rsidRPr="00233381">
        <w:rPr>
          <w:rFonts w:cstheme="minorHAnsi"/>
          <w:sz w:val="24"/>
          <w:szCs w:val="24"/>
          <w:lang w:val="en-US"/>
        </w:rPr>
        <w:t xml:space="preserve">, N. S., Franco, J. B. M., Oliveira, H. C. C., Prochazka, G. L., Beserra, T. K. P., Valin, C. G. P., </w:t>
      </w:r>
      <w:proofErr w:type="spellStart"/>
      <w:r w:rsidRPr="00233381">
        <w:rPr>
          <w:rFonts w:cstheme="minorHAnsi"/>
          <w:sz w:val="24"/>
          <w:szCs w:val="24"/>
          <w:lang w:val="en-US"/>
        </w:rPr>
        <w:t>Grangeiro</w:t>
      </w:r>
      <w:proofErr w:type="spellEnd"/>
      <w:r w:rsidRPr="00233381">
        <w:rPr>
          <w:rFonts w:cstheme="minorHAnsi"/>
          <w:sz w:val="24"/>
          <w:szCs w:val="24"/>
          <w:lang w:val="en-US"/>
        </w:rPr>
        <w:t xml:space="preserve">, S. R. A., &amp; Nascimento, R. L. (2021). </w:t>
      </w:r>
      <w:proofErr w:type="spellStart"/>
      <w:r w:rsidRPr="00233381">
        <w:rPr>
          <w:rFonts w:cstheme="minorHAnsi"/>
          <w:sz w:val="24"/>
          <w:szCs w:val="24"/>
          <w:lang w:val="en-US"/>
        </w:rPr>
        <w:t>Invariância</w:t>
      </w:r>
      <w:proofErr w:type="spellEnd"/>
      <w:r w:rsidRPr="00233381">
        <w:rPr>
          <w:rFonts w:cstheme="minorHAnsi"/>
          <w:sz w:val="24"/>
          <w:szCs w:val="24"/>
          <w:lang w:val="en-US"/>
        </w:rPr>
        <w:t xml:space="preserve"> </w:t>
      </w:r>
      <w:proofErr w:type="spellStart"/>
      <w:r w:rsidRPr="00233381">
        <w:rPr>
          <w:rFonts w:cstheme="minorHAnsi"/>
          <w:sz w:val="24"/>
          <w:szCs w:val="24"/>
          <w:lang w:val="en-US"/>
        </w:rPr>
        <w:t>fatorial</w:t>
      </w:r>
      <w:proofErr w:type="spellEnd"/>
      <w:r w:rsidRPr="00233381">
        <w:rPr>
          <w:rFonts w:cstheme="minorHAnsi"/>
          <w:sz w:val="24"/>
          <w:szCs w:val="24"/>
          <w:lang w:val="en-US"/>
        </w:rPr>
        <w:t xml:space="preserve">, </w:t>
      </w:r>
      <w:proofErr w:type="spellStart"/>
      <w:r w:rsidRPr="00233381">
        <w:rPr>
          <w:rFonts w:cstheme="minorHAnsi"/>
          <w:sz w:val="24"/>
          <w:szCs w:val="24"/>
          <w:lang w:val="en-US"/>
        </w:rPr>
        <w:t>sensibilidade</w:t>
      </w:r>
      <w:proofErr w:type="spellEnd"/>
      <w:r w:rsidRPr="00233381">
        <w:rPr>
          <w:rFonts w:cstheme="minorHAnsi"/>
          <w:sz w:val="24"/>
          <w:szCs w:val="24"/>
          <w:lang w:val="en-US"/>
        </w:rPr>
        <w:t xml:space="preserve"> e </w:t>
      </w:r>
      <w:proofErr w:type="spellStart"/>
      <w:r w:rsidRPr="00233381">
        <w:rPr>
          <w:rFonts w:cstheme="minorHAnsi"/>
          <w:sz w:val="24"/>
          <w:szCs w:val="24"/>
          <w:lang w:val="en-US"/>
        </w:rPr>
        <w:t>diferenças</w:t>
      </w:r>
      <w:proofErr w:type="spellEnd"/>
      <w:r w:rsidRPr="00233381">
        <w:rPr>
          <w:rFonts w:cstheme="minorHAnsi"/>
          <w:sz w:val="24"/>
          <w:szCs w:val="24"/>
          <w:lang w:val="en-US"/>
        </w:rPr>
        <w:t xml:space="preserve"> da </w:t>
      </w:r>
      <w:proofErr w:type="spellStart"/>
      <w:r w:rsidRPr="00233381">
        <w:rPr>
          <w:rFonts w:cstheme="minorHAnsi"/>
          <w:sz w:val="24"/>
          <w:szCs w:val="24"/>
          <w:lang w:val="en-US"/>
        </w:rPr>
        <w:t>medida</w:t>
      </w:r>
      <w:proofErr w:type="spellEnd"/>
      <w:r w:rsidRPr="00233381">
        <w:rPr>
          <w:rFonts w:cstheme="minorHAnsi"/>
          <w:sz w:val="24"/>
          <w:szCs w:val="24"/>
          <w:lang w:val="en-US"/>
        </w:rPr>
        <w:t xml:space="preserve"> de </w:t>
      </w:r>
      <w:proofErr w:type="spellStart"/>
      <w:r w:rsidRPr="00233381">
        <w:rPr>
          <w:rFonts w:cstheme="minorHAnsi"/>
          <w:sz w:val="24"/>
          <w:szCs w:val="24"/>
          <w:lang w:val="en-US"/>
        </w:rPr>
        <w:t>ansiedade</w:t>
      </w:r>
      <w:proofErr w:type="spellEnd"/>
      <w:r w:rsidRPr="00233381">
        <w:rPr>
          <w:rFonts w:cstheme="minorHAnsi"/>
          <w:sz w:val="24"/>
          <w:szCs w:val="24"/>
          <w:lang w:val="en-US"/>
        </w:rPr>
        <w:t xml:space="preserve">, </w:t>
      </w:r>
      <w:proofErr w:type="spellStart"/>
      <w:r w:rsidRPr="00233381">
        <w:rPr>
          <w:rFonts w:cstheme="minorHAnsi"/>
          <w:sz w:val="24"/>
          <w:szCs w:val="24"/>
          <w:lang w:val="en-US"/>
        </w:rPr>
        <w:t>estresse</w:t>
      </w:r>
      <w:proofErr w:type="spellEnd"/>
      <w:r w:rsidRPr="00233381">
        <w:rPr>
          <w:rFonts w:cstheme="minorHAnsi"/>
          <w:sz w:val="24"/>
          <w:szCs w:val="24"/>
          <w:lang w:val="en-US"/>
        </w:rPr>
        <w:t xml:space="preserve"> e </w:t>
      </w:r>
      <w:proofErr w:type="spellStart"/>
      <w:r w:rsidRPr="00233381">
        <w:rPr>
          <w:rFonts w:cstheme="minorHAnsi"/>
          <w:sz w:val="24"/>
          <w:szCs w:val="24"/>
          <w:lang w:val="en-US"/>
        </w:rPr>
        <w:t>depressão</w:t>
      </w:r>
      <w:proofErr w:type="spellEnd"/>
      <w:r w:rsidRPr="00233381">
        <w:rPr>
          <w:rFonts w:cstheme="minorHAnsi"/>
          <w:sz w:val="24"/>
          <w:szCs w:val="24"/>
          <w:lang w:val="en-US"/>
        </w:rPr>
        <w:t xml:space="preserve"> (DASS-21) </w:t>
      </w:r>
      <w:proofErr w:type="spellStart"/>
      <w:r w:rsidRPr="00233381">
        <w:rPr>
          <w:rFonts w:cstheme="minorHAnsi"/>
          <w:sz w:val="24"/>
          <w:szCs w:val="24"/>
          <w:lang w:val="en-US"/>
        </w:rPr>
        <w:t>em</w:t>
      </w:r>
      <w:proofErr w:type="spellEnd"/>
      <w:r w:rsidRPr="00233381">
        <w:rPr>
          <w:rFonts w:cstheme="minorHAnsi"/>
          <w:sz w:val="24"/>
          <w:szCs w:val="24"/>
          <w:lang w:val="en-US"/>
        </w:rPr>
        <w:t xml:space="preserve"> </w:t>
      </w:r>
      <w:proofErr w:type="spellStart"/>
      <w:r w:rsidRPr="00233381">
        <w:rPr>
          <w:rFonts w:cstheme="minorHAnsi"/>
          <w:sz w:val="24"/>
          <w:szCs w:val="24"/>
          <w:lang w:val="en-US"/>
        </w:rPr>
        <w:t>trabalhadores</w:t>
      </w:r>
      <w:proofErr w:type="spellEnd"/>
      <w:r w:rsidRPr="00233381">
        <w:rPr>
          <w:rFonts w:cstheme="minorHAnsi"/>
          <w:sz w:val="24"/>
          <w:szCs w:val="24"/>
          <w:lang w:val="en-US"/>
        </w:rPr>
        <w:t xml:space="preserve"> </w:t>
      </w:r>
      <w:proofErr w:type="spellStart"/>
      <w:r w:rsidRPr="00233381">
        <w:rPr>
          <w:rFonts w:cstheme="minorHAnsi"/>
          <w:sz w:val="24"/>
          <w:szCs w:val="24"/>
          <w:lang w:val="en-US"/>
        </w:rPr>
        <w:t>brasileiros</w:t>
      </w:r>
      <w:proofErr w:type="spellEnd"/>
      <w:r w:rsidRPr="00233381">
        <w:rPr>
          <w:rFonts w:cstheme="minorHAnsi"/>
          <w:sz w:val="24"/>
          <w:szCs w:val="24"/>
          <w:lang w:val="en-US"/>
        </w:rPr>
        <w:t xml:space="preserve">. </w:t>
      </w:r>
      <w:r w:rsidRPr="00233381">
        <w:rPr>
          <w:rFonts w:cstheme="minorHAnsi"/>
          <w:i/>
          <w:iCs/>
          <w:sz w:val="24"/>
          <w:szCs w:val="24"/>
          <w:lang w:val="en-US"/>
        </w:rPr>
        <w:t>Research, Society and Development, 10</w:t>
      </w:r>
      <w:r w:rsidRPr="00233381">
        <w:rPr>
          <w:rFonts w:cstheme="minorHAnsi"/>
          <w:sz w:val="24"/>
          <w:szCs w:val="24"/>
          <w:lang w:val="en-US"/>
        </w:rPr>
        <w:t xml:space="preserve">(7), e26910715572. </w:t>
      </w:r>
      <w:hyperlink r:id="rId11" w:history="1">
        <w:r w:rsidRPr="00233381">
          <w:rPr>
            <w:rStyle w:val="Hyperlink"/>
            <w:rFonts w:cstheme="minorHAnsi"/>
            <w:sz w:val="24"/>
            <w:szCs w:val="24"/>
            <w:lang w:val="en-US"/>
          </w:rPr>
          <w:t>https://doi.org/10.33448/rsd-v10i7.15572</w:t>
        </w:r>
      </w:hyperlink>
      <w:r w:rsidRPr="00233381">
        <w:rPr>
          <w:rFonts w:cstheme="minorHAnsi"/>
          <w:sz w:val="24"/>
          <w:szCs w:val="24"/>
          <w:lang w:val="en-US"/>
        </w:rPr>
        <w:t xml:space="preserve"> </w:t>
      </w:r>
    </w:p>
    <w:p w14:paraId="78E52117" w14:textId="77777777" w:rsidR="00532C7F" w:rsidRPr="00233381" w:rsidRDefault="00532C7F" w:rsidP="00AE7044">
      <w:pPr>
        <w:spacing w:after="0" w:line="360" w:lineRule="auto"/>
        <w:ind w:left="482" w:hanging="482"/>
        <w:rPr>
          <w:rFonts w:cstheme="minorHAnsi"/>
          <w:sz w:val="24"/>
          <w:szCs w:val="24"/>
          <w:lang w:val="en-US"/>
        </w:rPr>
      </w:pPr>
      <w:r w:rsidRPr="00233381">
        <w:rPr>
          <w:rFonts w:cstheme="minorHAnsi"/>
          <w:sz w:val="24"/>
          <w:szCs w:val="24"/>
          <w:lang w:val="en-US"/>
        </w:rPr>
        <w:t>Hair, J. F., Black, W. C., Babin, B. J., Anderson, R. E., &amp; Tatham, R. L. (2009</w:t>
      </w:r>
      <w:r w:rsidRPr="00233381">
        <w:rPr>
          <w:rFonts w:cstheme="minorHAnsi"/>
          <w:i/>
          <w:iCs/>
          <w:sz w:val="24"/>
          <w:szCs w:val="24"/>
          <w:lang w:val="en-US"/>
        </w:rPr>
        <w:t xml:space="preserve">). </w:t>
      </w:r>
      <w:proofErr w:type="spellStart"/>
      <w:r w:rsidRPr="00233381">
        <w:rPr>
          <w:rFonts w:cstheme="minorHAnsi"/>
          <w:i/>
          <w:iCs/>
          <w:sz w:val="24"/>
          <w:szCs w:val="24"/>
          <w:lang w:val="en-US"/>
        </w:rPr>
        <w:t>Análise</w:t>
      </w:r>
      <w:proofErr w:type="spellEnd"/>
      <w:r w:rsidRPr="00233381">
        <w:rPr>
          <w:rFonts w:cstheme="minorHAnsi"/>
          <w:i/>
          <w:iCs/>
          <w:sz w:val="24"/>
          <w:szCs w:val="24"/>
          <w:lang w:val="en-US"/>
        </w:rPr>
        <w:t xml:space="preserve"> </w:t>
      </w:r>
      <w:proofErr w:type="spellStart"/>
      <w:r w:rsidRPr="00233381">
        <w:rPr>
          <w:rFonts w:cstheme="minorHAnsi"/>
          <w:i/>
          <w:iCs/>
          <w:sz w:val="24"/>
          <w:szCs w:val="24"/>
          <w:lang w:val="en-US"/>
        </w:rPr>
        <w:t>multivariada</w:t>
      </w:r>
      <w:proofErr w:type="spellEnd"/>
      <w:r w:rsidRPr="00233381">
        <w:rPr>
          <w:rFonts w:cstheme="minorHAnsi"/>
          <w:i/>
          <w:iCs/>
          <w:sz w:val="24"/>
          <w:szCs w:val="24"/>
          <w:lang w:val="en-US"/>
        </w:rPr>
        <w:t xml:space="preserve"> de dados</w:t>
      </w:r>
      <w:r w:rsidRPr="00233381">
        <w:rPr>
          <w:rFonts w:cstheme="minorHAnsi"/>
          <w:sz w:val="24"/>
          <w:szCs w:val="24"/>
          <w:lang w:val="en-US"/>
        </w:rPr>
        <w:t xml:space="preserve"> (6a ed.). Bookman.</w:t>
      </w:r>
    </w:p>
    <w:p w14:paraId="09336B4A" w14:textId="77777777" w:rsidR="00532C7F" w:rsidRPr="00233381" w:rsidRDefault="00532C7F" w:rsidP="00AE7044">
      <w:pPr>
        <w:spacing w:after="0" w:line="360" w:lineRule="auto"/>
        <w:ind w:left="482" w:hanging="482"/>
        <w:rPr>
          <w:rFonts w:cstheme="minorHAnsi"/>
          <w:sz w:val="24"/>
          <w:szCs w:val="24"/>
          <w:lang w:val="en-US"/>
        </w:rPr>
      </w:pPr>
      <w:proofErr w:type="spellStart"/>
      <w:r w:rsidRPr="00233381">
        <w:rPr>
          <w:rFonts w:cstheme="minorHAnsi"/>
          <w:sz w:val="24"/>
          <w:szCs w:val="24"/>
          <w:lang w:val="en-US"/>
        </w:rPr>
        <w:t>Kubrusly</w:t>
      </w:r>
      <w:proofErr w:type="spellEnd"/>
      <w:r w:rsidRPr="00233381">
        <w:rPr>
          <w:rFonts w:cstheme="minorHAnsi"/>
          <w:sz w:val="24"/>
          <w:szCs w:val="24"/>
          <w:lang w:val="en-US"/>
        </w:rPr>
        <w:t xml:space="preserve">, M., Silva, P. G. de B., Vasconcelos, G. V. de, Leite, E. D. L. G., Santos, P. de A., &amp; Rocha, H. A. L. (2021). Nomophobia among medical students and its association with depression, anxiety, </w:t>
      </w:r>
      <w:proofErr w:type="gramStart"/>
      <w:r w:rsidRPr="00233381">
        <w:rPr>
          <w:rFonts w:cstheme="minorHAnsi"/>
          <w:sz w:val="24"/>
          <w:szCs w:val="24"/>
          <w:lang w:val="en-US"/>
        </w:rPr>
        <w:t>stress</w:t>
      </w:r>
      <w:proofErr w:type="gramEnd"/>
      <w:r w:rsidRPr="00233381">
        <w:rPr>
          <w:rFonts w:cstheme="minorHAnsi"/>
          <w:sz w:val="24"/>
          <w:szCs w:val="24"/>
          <w:lang w:val="en-US"/>
        </w:rPr>
        <w:t xml:space="preserve"> and academic performance. </w:t>
      </w:r>
      <w:proofErr w:type="spellStart"/>
      <w:r w:rsidRPr="00233381">
        <w:rPr>
          <w:rFonts w:cstheme="minorHAnsi"/>
          <w:i/>
          <w:iCs/>
          <w:sz w:val="24"/>
          <w:szCs w:val="24"/>
          <w:lang w:val="en-US"/>
        </w:rPr>
        <w:t>Revista</w:t>
      </w:r>
      <w:proofErr w:type="spellEnd"/>
      <w:r w:rsidRPr="00233381">
        <w:rPr>
          <w:rFonts w:cstheme="minorHAnsi"/>
          <w:i/>
          <w:iCs/>
          <w:sz w:val="24"/>
          <w:szCs w:val="24"/>
          <w:lang w:val="en-US"/>
        </w:rPr>
        <w:t xml:space="preserve"> Brasileira de </w:t>
      </w:r>
      <w:proofErr w:type="spellStart"/>
      <w:r w:rsidRPr="00233381">
        <w:rPr>
          <w:rFonts w:cstheme="minorHAnsi"/>
          <w:i/>
          <w:iCs/>
          <w:sz w:val="24"/>
          <w:szCs w:val="24"/>
          <w:lang w:val="en-US"/>
        </w:rPr>
        <w:t>Educação</w:t>
      </w:r>
      <w:proofErr w:type="spellEnd"/>
      <w:r w:rsidRPr="00233381">
        <w:rPr>
          <w:rFonts w:cstheme="minorHAnsi"/>
          <w:i/>
          <w:iCs/>
          <w:sz w:val="24"/>
          <w:szCs w:val="24"/>
          <w:lang w:val="en-US"/>
        </w:rPr>
        <w:t xml:space="preserve"> </w:t>
      </w:r>
      <w:proofErr w:type="spellStart"/>
      <w:r w:rsidRPr="00233381">
        <w:rPr>
          <w:rFonts w:cstheme="minorHAnsi"/>
          <w:i/>
          <w:iCs/>
          <w:sz w:val="24"/>
          <w:szCs w:val="24"/>
          <w:lang w:val="en-US"/>
        </w:rPr>
        <w:t>Médica</w:t>
      </w:r>
      <w:proofErr w:type="spellEnd"/>
      <w:r w:rsidRPr="00233381">
        <w:rPr>
          <w:rFonts w:cstheme="minorHAnsi"/>
          <w:i/>
          <w:iCs/>
          <w:sz w:val="24"/>
          <w:szCs w:val="24"/>
          <w:lang w:val="en-US"/>
        </w:rPr>
        <w:t>, 45</w:t>
      </w:r>
      <w:r w:rsidRPr="00233381">
        <w:rPr>
          <w:rFonts w:cstheme="minorHAnsi"/>
          <w:sz w:val="24"/>
          <w:szCs w:val="24"/>
          <w:lang w:val="en-US"/>
        </w:rPr>
        <w:t xml:space="preserve">(3). </w:t>
      </w:r>
      <w:hyperlink r:id="rId12" w:history="1">
        <w:r w:rsidRPr="00233381">
          <w:rPr>
            <w:rStyle w:val="Hyperlink"/>
            <w:rFonts w:cstheme="minorHAnsi"/>
            <w:sz w:val="24"/>
            <w:szCs w:val="24"/>
            <w:lang w:val="en-US"/>
          </w:rPr>
          <w:t>https://doi.org/10.1590/1981-5271v45.3-20200493.ing</w:t>
        </w:r>
      </w:hyperlink>
      <w:r w:rsidRPr="00233381">
        <w:rPr>
          <w:rFonts w:cstheme="minorHAnsi"/>
          <w:sz w:val="24"/>
          <w:szCs w:val="24"/>
          <w:lang w:val="en-US"/>
        </w:rPr>
        <w:t xml:space="preserve"> </w:t>
      </w:r>
    </w:p>
    <w:p w14:paraId="14A7BA25" w14:textId="77777777" w:rsidR="00532C7F" w:rsidRPr="00233381" w:rsidRDefault="00532C7F" w:rsidP="00AE7044">
      <w:pPr>
        <w:spacing w:after="0" w:line="360" w:lineRule="auto"/>
        <w:ind w:left="482" w:hanging="482"/>
        <w:rPr>
          <w:rFonts w:cstheme="minorHAnsi"/>
          <w:sz w:val="24"/>
          <w:szCs w:val="24"/>
          <w:lang w:val="en-US"/>
        </w:rPr>
      </w:pPr>
      <w:r w:rsidRPr="00233381">
        <w:rPr>
          <w:rFonts w:cstheme="minorHAnsi"/>
          <w:sz w:val="24"/>
          <w:szCs w:val="24"/>
          <w:lang w:val="en-US"/>
        </w:rPr>
        <w:t xml:space="preserve">Lattin, J., Carroll, J. D., &amp; Green, Paul. E. (2011). </w:t>
      </w:r>
      <w:proofErr w:type="spellStart"/>
      <w:r w:rsidRPr="00233381">
        <w:rPr>
          <w:rFonts w:cstheme="minorHAnsi"/>
          <w:i/>
          <w:iCs/>
          <w:sz w:val="24"/>
          <w:szCs w:val="24"/>
          <w:lang w:val="en-US"/>
        </w:rPr>
        <w:t>Análise</w:t>
      </w:r>
      <w:proofErr w:type="spellEnd"/>
      <w:r w:rsidRPr="00233381">
        <w:rPr>
          <w:rFonts w:cstheme="minorHAnsi"/>
          <w:i/>
          <w:iCs/>
          <w:sz w:val="24"/>
          <w:szCs w:val="24"/>
          <w:lang w:val="en-US"/>
        </w:rPr>
        <w:t xml:space="preserve"> de dados </w:t>
      </w:r>
      <w:proofErr w:type="spellStart"/>
      <w:r w:rsidRPr="00233381">
        <w:rPr>
          <w:rFonts w:cstheme="minorHAnsi"/>
          <w:i/>
          <w:iCs/>
          <w:sz w:val="24"/>
          <w:szCs w:val="24"/>
          <w:lang w:val="en-US"/>
        </w:rPr>
        <w:t>multivariados</w:t>
      </w:r>
      <w:proofErr w:type="spellEnd"/>
      <w:r w:rsidRPr="00233381">
        <w:rPr>
          <w:rFonts w:cstheme="minorHAnsi"/>
          <w:sz w:val="24"/>
          <w:szCs w:val="24"/>
          <w:lang w:val="en-US"/>
        </w:rPr>
        <w:t>. Cengage Learning.</w:t>
      </w:r>
    </w:p>
    <w:p w14:paraId="019CE321" w14:textId="77777777" w:rsidR="00532C7F" w:rsidRPr="00233381" w:rsidRDefault="00532C7F" w:rsidP="00AE7044">
      <w:pPr>
        <w:spacing w:after="0" w:line="360" w:lineRule="auto"/>
        <w:ind w:left="482" w:hanging="482"/>
        <w:rPr>
          <w:rFonts w:cstheme="minorHAnsi"/>
          <w:sz w:val="24"/>
          <w:szCs w:val="24"/>
          <w:lang w:val="en-US"/>
        </w:rPr>
      </w:pPr>
      <w:r w:rsidRPr="00233381">
        <w:rPr>
          <w:rFonts w:cstheme="minorHAnsi"/>
          <w:sz w:val="24"/>
          <w:szCs w:val="24"/>
          <w:lang w:val="en-US"/>
        </w:rPr>
        <w:lastRenderedPageBreak/>
        <w:t xml:space="preserve">Leite, L. C., Dornelas, L. V., &amp; </w:t>
      </w:r>
      <w:proofErr w:type="spellStart"/>
      <w:r w:rsidRPr="00233381">
        <w:rPr>
          <w:rFonts w:cstheme="minorHAnsi"/>
          <w:sz w:val="24"/>
          <w:szCs w:val="24"/>
          <w:lang w:val="en-US"/>
        </w:rPr>
        <w:t>Secchin</w:t>
      </w:r>
      <w:proofErr w:type="spellEnd"/>
      <w:r w:rsidRPr="00233381">
        <w:rPr>
          <w:rFonts w:cstheme="minorHAnsi"/>
          <w:sz w:val="24"/>
          <w:szCs w:val="24"/>
          <w:lang w:val="en-US"/>
        </w:rPr>
        <w:t xml:space="preserve">, L. de S. B. (2021). Influence of religiosity on medical students’ mental health. </w:t>
      </w:r>
      <w:proofErr w:type="spellStart"/>
      <w:r w:rsidRPr="00233381">
        <w:rPr>
          <w:rFonts w:cstheme="minorHAnsi"/>
          <w:i/>
          <w:iCs/>
          <w:sz w:val="24"/>
          <w:szCs w:val="24"/>
          <w:lang w:val="en-US"/>
        </w:rPr>
        <w:t>Revista</w:t>
      </w:r>
      <w:proofErr w:type="spellEnd"/>
      <w:r w:rsidRPr="00233381">
        <w:rPr>
          <w:rFonts w:cstheme="minorHAnsi"/>
          <w:i/>
          <w:iCs/>
          <w:sz w:val="24"/>
          <w:szCs w:val="24"/>
          <w:lang w:val="en-US"/>
        </w:rPr>
        <w:t xml:space="preserve"> Brasileira de </w:t>
      </w:r>
      <w:proofErr w:type="spellStart"/>
      <w:r w:rsidRPr="00233381">
        <w:rPr>
          <w:rFonts w:cstheme="minorHAnsi"/>
          <w:i/>
          <w:iCs/>
          <w:sz w:val="24"/>
          <w:szCs w:val="24"/>
          <w:lang w:val="en-US"/>
        </w:rPr>
        <w:t>Educação</w:t>
      </w:r>
      <w:proofErr w:type="spellEnd"/>
      <w:r w:rsidRPr="00233381">
        <w:rPr>
          <w:rFonts w:cstheme="minorHAnsi"/>
          <w:i/>
          <w:iCs/>
          <w:sz w:val="24"/>
          <w:szCs w:val="24"/>
          <w:lang w:val="en-US"/>
        </w:rPr>
        <w:t xml:space="preserve"> </w:t>
      </w:r>
      <w:proofErr w:type="spellStart"/>
      <w:r w:rsidRPr="00233381">
        <w:rPr>
          <w:rFonts w:cstheme="minorHAnsi"/>
          <w:i/>
          <w:iCs/>
          <w:sz w:val="24"/>
          <w:szCs w:val="24"/>
          <w:lang w:val="en-US"/>
        </w:rPr>
        <w:t>Médica</w:t>
      </w:r>
      <w:proofErr w:type="spellEnd"/>
      <w:r w:rsidRPr="00233381">
        <w:rPr>
          <w:rFonts w:cstheme="minorHAnsi"/>
          <w:i/>
          <w:iCs/>
          <w:sz w:val="24"/>
          <w:szCs w:val="24"/>
          <w:lang w:val="en-US"/>
        </w:rPr>
        <w:t>, 45</w:t>
      </w:r>
      <w:r w:rsidRPr="00233381">
        <w:rPr>
          <w:rFonts w:cstheme="minorHAnsi"/>
          <w:sz w:val="24"/>
          <w:szCs w:val="24"/>
          <w:lang w:val="en-US"/>
        </w:rPr>
        <w:t xml:space="preserve">(2). </w:t>
      </w:r>
      <w:hyperlink r:id="rId13" w:history="1">
        <w:r w:rsidRPr="00233381">
          <w:rPr>
            <w:rStyle w:val="Hyperlink"/>
            <w:rFonts w:cstheme="minorHAnsi"/>
            <w:sz w:val="24"/>
            <w:szCs w:val="24"/>
            <w:lang w:val="en-US"/>
          </w:rPr>
          <w:t>https://doi.org/10.1590/1981-5271v45.2-20200446.ing</w:t>
        </w:r>
      </w:hyperlink>
      <w:r w:rsidRPr="00233381">
        <w:rPr>
          <w:rFonts w:cstheme="minorHAnsi"/>
          <w:sz w:val="24"/>
          <w:szCs w:val="24"/>
          <w:lang w:val="en-US"/>
        </w:rPr>
        <w:t xml:space="preserve"> </w:t>
      </w:r>
    </w:p>
    <w:p w14:paraId="7AC2199D" w14:textId="77777777" w:rsidR="00532C7F" w:rsidRPr="00233381" w:rsidRDefault="00532C7F" w:rsidP="00AE7044">
      <w:pPr>
        <w:spacing w:after="0" w:line="360" w:lineRule="auto"/>
        <w:ind w:left="482" w:hanging="482"/>
        <w:rPr>
          <w:rFonts w:cstheme="minorHAnsi"/>
          <w:sz w:val="24"/>
          <w:szCs w:val="24"/>
          <w:lang w:val="en-US"/>
        </w:rPr>
      </w:pPr>
      <w:r w:rsidRPr="00233381">
        <w:rPr>
          <w:rFonts w:cstheme="minorHAnsi"/>
          <w:sz w:val="24"/>
          <w:szCs w:val="24"/>
          <w:lang w:val="en-US"/>
        </w:rPr>
        <w:t xml:space="preserve">Lovibond, P. F., &amp; Lovibond, S. H. (1995). The structure of negative emotional states: Comparison of the Depression Anxiety Stress Scales (DASS) with the Beck Depression and Anxiety Inventories. </w:t>
      </w:r>
      <w:proofErr w:type="spellStart"/>
      <w:r w:rsidRPr="00233381">
        <w:rPr>
          <w:rFonts w:cstheme="minorHAnsi"/>
          <w:i/>
          <w:iCs/>
          <w:sz w:val="24"/>
          <w:szCs w:val="24"/>
          <w:lang w:val="en-US"/>
        </w:rPr>
        <w:t>Behaviour</w:t>
      </w:r>
      <w:proofErr w:type="spellEnd"/>
      <w:r w:rsidRPr="00233381">
        <w:rPr>
          <w:rFonts w:cstheme="minorHAnsi"/>
          <w:i/>
          <w:iCs/>
          <w:sz w:val="24"/>
          <w:szCs w:val="24"/>
          <w:lang w:val="en-US"/>
        </w:rPr>
        <w:t xml:space="preserve"> Research and Therapy, 33</w:t>
      </w:r>
      <w:r w:rsidRPr="00233381">
        <w:rPr>
          <w:rFonts w:cstheme="minorHAnsi"/>
          <w:sz w:val="24"/>
          <w:szCs w:val="24"/>
          <w:lang w:val="en-US"/>
        </w:rPr>
        <w:t xml:space="preserve">(3), 335–343. </w:t>
      </w:r>
      <w:hyperlink r:id="rId14" w:history="1">
        <w:r w:rsidRPr="00233381">
          <w:rPr>
            <w:rStyle w:val="Hyperlink"/>
            <w:rFonts w:cstheme="minorHAnsi"/>
            <w:sz w:val="24"/>
            <w:szCs w:val="24"/>
            <w:lang w:val="en-US"/>
          </w:rPr>
          <w:t>https://doi.org/10.1016/0005-7967(94)00075-U</w:t>
        </w:r>
      </w:hyperlink>
      <w:r w:rsidRPr="00233381">
        <w:rPr>
          <w:rFonts w:cstheme="minorHAnsi"/>
          <w:sz w:val="24"/>
          <w:szCs w:val="24"/>
          <w:lang w:val="en-US"/>
        </w:rPr>
        <w:t xml:space="preserve"> </w:t>
      </w:r>
    </w:p>
    <w:p w14:paraId="035D97D2" w14:textId="77777777" w:rsidR="00532C7F" w:rsidRPr="00233381" w:rsidRDefault="00532C7F" w:rsidP="00AE7044">
      <w:pPr>
        <w:spacing w:after="0" w:line="360" w:lineRule="auto"/>
        <w:ind w:left="482" w:hanging="482"/>
        <w:rPr>
          <w:rFonts w:cstheme="minorHAnsi"/>
          <w:sz w:val="24"/>
          <w:szCs w:val="24"/>
          <w:lang w:val="en-US"/>
        </w:rPr>
      </w:pPr>
      <w:r w:rsidRPr="00233381">
        <w:rPr>
          <w:rFonts w:cstheme="minorHAnsi"/>
          <w:sz w:val="24"/>
          <w:szCs w:val="24"/>
          <w:lang w:val="en-US"/>
        </w:rPr>
        <w:t xml:space="preserve">Lovibond, S. H., &amp; Lovibond, P. F. (1993). </w:t>
      </w:r>
      <w:r w:rsidRPr="00233381">
        <w:rPr>
          <w:rFonts w:cstheme="minorHAnsi"/>
          <w:i/>
          <w:iCs/>
          <w:sz w:val="24"/>
          <w:szCs w:val="24"/>
          <w:lang w:val="en-US"/>
        </w:rPr>
        <w:t>Manual for the Depression Anxiety Stress Scales (DASS)</w:t>
      </w:r>
      <w:r w:rsidRPr="00233381">
        <w:rPr>
          <w:rFonts w:cstheme="minorHAnsi"/>
          <w:sz w:val="24"/>
          <w:szCs w:val="24"/>
          <w:lang w:val="en-US"/>
        </w:rPr>
        <w:t>. Psychology Foundation (Available from the Psychology Foundation, Room 1005 Mathews Building, University of New South Wales, NSW 2052, Australia).</w:t>
      </w:r>
    </w:p>
    <w:p w14:paraId="38961501" w14:textId="77777777" w:rsidR="00532C7F" w:rsidRPr="00233381" w:rsidRDefault="00532C7F" w:rsidP="00AE7044">
      <w:pPr>
        <w:spacing w:after="0" w:line="360" w:lineRule="auto"/>
        <w:ind w:left="482" w:hanging="482"/>
        <w:rPr>
          <w:rFonts w:cstheme="minorHAnsi"/>
          <w:sz w:val="24"/>
          <w:szCs w:val="24"/>
          <w:lang w:val="en-US"/>
        </w:rPr>
      </w:pPr>
      <w:proofErr w:type="spellStart"/>
      <w:r w:rsidRPr="00233381">
        <w:rPr>
          <w:rFonts w:cstheme="minorHAnsi"/>
          <w:sz w:val="24"/>
          <w:szCs w:val="24"/>
          <w:lang w:val="en-US"/>
        </w:rPr>
        <w:t>Marôco</w:t>
      </w:r>
      <w:proofErr w:type="spellEnd"/>
      <w:r w:rsidRPr="00233381">
        <w:rPr>
          <w:rFonts w:cstheme="minorHAnsi"/>
          <w:sz w:val="24"/>
          <w:szCs w:val="24"/>
          <w:lang w:val="en-US"/>
        </w:rPr>
        <w:t xml:space="preserve">, J. (2010). </w:t>
      </w:r>
      <w:proofErr w:type="spellStart"/>
      <w:r w:rsidRPr="00233381">
        <w:rPr>
          <w:rFonts w:cstheme="minorHAnsi"/>
          <w:i/>
          <w:iCs/>
          <w:sz w:val="24"/>
          <w:szCs w:val="24"/>
          <w:lang w:val="en-US"/>
        </w:rPr>
        <w:t>Análise</w:t>
      </w:r>
      <w:proofErr w:type="spellEnd"/>
      <w:r w:rsidRPr="00233381">
        <w:rPr>
          <w:rFonts w:cstheme="minorHAnsi"/>
          <w:i/>
          <w:iCs/>
          <w:sz w:val="24"/>
          <w:szCs w:val="24"/>
          <w:lang w:val="en-US"/>
        </w:rPr>
        <w:t xml:space="preserve"> de </w:t>
      </w:r>
      <w:proofErr w:type="spellStart"/>
      <w:r w:rsidRPr="00233381">
        <w:rPr>
          <w:rFonts w:cstheme="minorHAnsi"/>
          <w:i/>
          <w:iCs/>
          <w:sz w:val="24"/>
          <w:szCs w:val="24"/>
          <w:lang w:val="en-US"/>
        </w:rPr>
        <w:t>equações</w:t>
      </w:r>
      <w:proofErr w:type="spellEnd"/>
      <w:r w:rsidRPr="00233381">
        <w:rPr>
          <w:rFonts w:cstheme="minorHAnsi"/>
          <w:i/>
          <w:iCs/>
          <w:sz w:val="24"/>
          <w:szCs w:val="24"/>
          <w:lang w:val="en-US"/>
        </w:rPr>
        <w:t xml:space="preserve"> </w:t>
      </w:r>
      <w:proofErr w:type="spellStart"/>
      <w:r w:rsidRPr="00233381">
        <w:rPr>
          <w:rFonts w:cstheme="minorHAnsi"/>
          <w:i/>
          <w:iCs/>
          <w:sz w:val="24"/>
          <w:szCs w:val="24"/>
          <w:lang w:val="en-US"/>
        </w:rPr>
        <w:t>estruturais</w:t>
      </w:r>
      <w:proofErr w:type="spellEnd"/>
      <w:r w:rsidRPr="00233381">
        <w:rPr>
          <w:rFonts w:cstheme="minorHAnsi"/>
          <w:i/>
          <w:iCs/>
          <w:sz w:val="24"/>
          <w:szCs w:val="24"/>
          <w:lang w:val="en-US"/>
        </w:rPr>
        <w:t xml:space="preserve">: </w:t>
      </w:r>
      <w:proofErr w:type="spellStart"/>
      <w:r w:rsidRPr="00233381">
        <w:rPr>
          <w:rFonts w:cstheme="minorHAnsi"/>
          <w:i/>
          <w:iCs/>
          <w:sz w:val="24"/>
          <w:szCs w:val="24"/>
          <w:lang w:val="en-US"/>
        </w:rPr>
        <w:t>Fundamentos</w:t>
      </w:r>
      <w:proofErr w:type="spellEnd"/>
      <w:r w:rsidRPr="00233381">
        <w:rPr>
          <w:rFonts w:cstheme="minorHAnsi"/>
          <w:i/>
          <w:iCs/>
          <w:sz w:val="24"/>
          <w:szCs w:val="24"/>
          <w:lang w:val="en-US"/>
        </w:rPr>
        <w:t xml:space="preserve"> </w:t>
      </w:r>
      <w:proofErr w:type="spellStart"/>
      <w:r w:rsidRPr="00233381">
        <w:rPr>
          <w:rFonts w:cstheme="minorHAnsi"/>
          <w:i/>
          <w:iCs/>
          <w:sz w:val="24"/>
          <w:szCs w:val="24"/>
          <w:lang w:val="en-US"/>
        </w:rPr>
        <w:t>teóricos</w:t>
      </w:r>
      <w:proofErr w:type="spellEnd"/>
      <w:r w:rsidRPr="00233381">
        <w:rPr>
          <w:rFonts w:cstheme="minorHAnsi"/>
          <w:i/>
          <w:iCs/>
          <w:sz w:val="24"/>
          <w:szCs w:val="24"/>
          <w:lang w:val="en-US"/>
        </w:rPr>
        <w:t xml:space="preserve">, software e </w:t>
      </w:r>
      <w:proofErr w:type="spellStart"/>
      <w:r w:rsidRPr="00233381">
        <w:rPr>
          <w:rFonts w:cstheme="minorHAnsi"/>
          <w:i/>
          <w:iCs/>
          <w:sz w:val="24"/>
          <w:szCs w:val="24"/>
          <w:lang w:val="en-US"/>
        </w:rPr>
        <w:t>aplicações</w:t>
      </w:r>
      <w:proofErr w:type="spellEnd"/>
      <w:r w:rsidRPr="00233381">
        <w:rPr>
          <w:rFonts w:cstheme="minorHAnsi"/>
          <w:sz w:val="24"/>
          <w:szCs w:val="24"/>
          <w:lang w:val="en-US"/>
        </w:rPr>
        <w:t xml:space="preserve">. </w:t>
      </w:r>
      <w:proofErr w:type="spellStart"/>
      <w:r w:rsidRPr="00233381">
        <w:rPr>
          <w:rFonts w:cstheme="minorHAnsi"/>
          <w:sz w:val="24"/>
          <w:szCs w:val="24"/>
          <w:lang w:val="en-US"/>
        </w:rPr>
        <w:t>ReportNumber</w:t>
      </w:r>
      <w:proofErr w:type="spellEnd"/>
      <w:r w:rsidRPr="00233381">
        <w:rPr>
          <w:rFonts w:cstheme="minorHAnsi"/>
          <w:sz w:val="24"/>
          <w:szCs w:val="24"/>
          <w:lang w:val="en-US"/>
        </w:rPr>
        <w:t>.</w:t>
      </w:r>
    </w:p>
    <w:p w14:paraId="70B0864D" w14:textId="77777777" w:rsidR="00532C7F" w:rsidRPr="00233381" w:rsidRDefault="00532C7F" w:rsidP="00AE7044">
      <w:pPr>
        <w:spacing w:after="0" w:line="360" w:lineRule="auto"/>
        <w:ind w:left="482" w:hanging="482"/>
        <w:rPr>
          <w:rFonts w:cstheme="minorHAnsi"/>
          <w:sz w:val="24"/>
          <w:szCs w:val="24"/>
          <w:lang w:val="en-US"/>
        </w:rPr>
      </w:pPr>
      <w:r w:rsidRPr="00233381">
        <w:rPr>
          <w:rFonts w:cstheme="minorHAnsi"/>
          <w:sz w:val="24"/>
          <w:szCs w:val="24"/>
          <w:lang w:val="en-US"/>
        </w:rPr>
        <w:t xml:space="preserve">Martins, B. G., Silva, W. R. da, </w:t>
      </w:r>
      <w:proofErr w:type="spellStart"/>
      <w:r w:rsidRPr="00233381">
        <w:rPr>
          <w:rFonts w:cstheme="minorHAnsi"/>
          <w:sz w:val="24"/>
          <w:szCs w:val="24"/>
          <w:lang w:val="en-US"/>
        </w:rPr>
        <w:t>Maroco</w:t>
      </w:r>
      <w:proofErr w:type="spellEnd"/>
      <w:r w:rsidRPr="00233381">
        <w:rPr>
          <w:rFonts w:cstheme="minorHAnsi"/>
          <w:sz w:val="24"/>
          <w:szCs w:val="24"/>
          <w:lang w:val="en-US"/>
        </w:rPr>
        <w:t xml:space="preserve">, J., &amp; Campos, J. A. D. B. (2020). Escala de </w:t>
      </w:r>
      <w:proofErr w:type="spellStart"/>
      <w:r w:rsidRPr="00233381">
        <w:rPr>
          <w:rFonts w:cstheme="minorHAnsi"/>
          <w:sz w:val="24"/>
          <w:szCs w:val="24"/>
          <w:lang w:val="en-US"/>
        </w:rPr>
        <w:t>Depressão</w:t>
      </w:r>
      <w:proofErr w:type="spellEnd"/>
      <w:r w:rsidRPr="00233381">
        <w:rPr>
          <w:rFonts w:cstheme="minorHAnsi"/>
          <w:sz w:val="24"/>
          <w:szCs w:val="24"/>
          <w:lang w:val="en-US"/>
        </w:rPr>
        <w:t xml:space="preserve">, </w:t>
      </w:r>
      <w:proofErr w:type="spellStart"/>
      <w:r w:rsidRPr="00233381">
        <w:rPr>
          <w:rFonts w:cstheme="minorHAnsi"/>
          <w:sz w:val="24"/>
          <w:szCs w:val="24"/>
          <w:lang w:val="en-US"/>
        </w:rPr>
        <w:t>Ansiedade</w:t>
      </w:r>
      <w:proofErr w:type="spellEnd"/>
      <w:r w:rsidRPr="00233381">
        <w:rPr>
          <w:rFonts w:cstheme="minorHAnsi"/>
          <w:sz w:val="24"/>
          <w:szCs w:val="24"/>
          <w:lang w:val="en-US"/>
        </w:rPr>
        <w:t xml:space="preserve"> e </w:t>
      </w:r>
      <w:proofErr w:type="spellStart"/>
      <w:r w:rsidRPr="00233381">
        <w:rPr>
          <w:rFonts w:cstheme="minorHAnsi"/>
          <w:sz w:val="24"/>
          <w:szCs w:val="24"/>
          <w:lang w:val="en-US"/>
        </w:rPr>
        <w:t>Estresse</w:t>
      </w:r>
      <w:proofErr w:type="spellEnd"/>
      <w:r w:rsidRPr="00233381">
        <w:rPr>
          <w:rFonts w:cstheme="minorHAnsi"/>
          <w:sz w:val="24"/>
          <w:szCs w:val="24"/>
          <w:lang w:val="en-US"/>
        </w:rPr>
        <w:t xml:space="preserve">: </w:t>
      </w:r>
      <w:proofErr w:type="spellStart"/>
      <w:r w:rsidRPr="00233381">
        <w:rPr>
          <w:rFonts w:cstheme="minorHAnsi"/>
          <w:sz w:val="24"/>
          <w:szCs w:val="24"/>
          <w:lang w:val="en-US"/>
        </w:rPr>
        <w:t>propriedades</w:t>
      </w:r>
      <w:proofErr w:type="spellEnd"/>
      <w:r w:rsidRPr="00233381">
        <w:rPr>
          <w:rFonts w:cstheme="minorHAnsi"/>
          <w:sz w:val="24"/>
          <w:szCs w:val="24"/>
          <w:lang w:val="en-US"/>
        </w:rPr>
        <w:t xml:space="preserve"> </w:t>
      </w:r>
      <w:proofErr w:type="spellStart"/>
      <w:r w:rsidRPr="00233381">
        <w:rPr>
          <w:rFonts w:cstheme="minorHAnsi"/>
          <w:sz w:val="24"/>
          <w:szCs w:val="24"/>
          <w:lang w:val="en-US"/>
        </w:rPr>
        <w:t>psicométricas</w:t>
      </w:r>
      <w:proofErr w:type="spellEnd"/>
      <w:r w:rsidRPr="00233381">
        <w:rPr>
          <w:rFonts w:cstheme="minorHAnsi"/>
          <w:sz w:val="24"/>
          <w:szCs w:val="24"/>
          <w:lang w:val="en-US"/>
        </w:rPr>
        <w:t xml:space="preserve"> e </w:t>
      </w:r>
      <w:proofErr w:type="spellStart"/>
      <w:r w:rsidRPr="00233381">
        <w:rPr>
          <w:rFonts w:cstheme="minorHAnsi"/>
          <w:sz w:val="24"/>
          <w:szCs w:val="24"/>
          <w:lang w:val="en-US"/>
        </w:rPr>
        <w:t>prevalência</w:t>
      </w:r>
      <w:proofErr w:type="spellEnd"/>
      <w:r w:rsidRPr="00233381">
        <w:rPr>
          <w:rFonts w:cstheme="minorHAnsi"/>
          <w:sz w:val="24"/>
          <w:szCs w:val="24"/>
          <w:lang w:val="en-US"/>
        </w:rPr>
        <w:t xml:space="preserve"> das </w:t>
      </w:r>
      <w:proofErr w:type="spellStart"/>
      <w:r w:rsidRPr="00233381">
        <w:rPr>
          <w:rFonts w:cstheme="minorHAnsi"/>
          <w:sz w:val="24"/>
          <w:szCs w:val="24"/>
          <w:lang w:val="en-US"/>
        </w:rPr>
        <w:t>afetividades</w:t>
      </w:r>
      <w:proofErr w:type="spellEnd"/>
      <w:r w:rsidRPr="00233381">
        <w:rPr>
          <w:rFonts w:cstheme="minorHAnsi"/>
          <w:sz w:val="24"/>
          <w:szCs w:val="24"/>
          <w:lang w:val="en-US"/>
        </w:rPr>
        <w:t xml:space="preserve">. </w:t>
      </w:r>
      <w:proofErr w:type="spellStart"/>
      <w:r w:rsidRPr="00233381">
        <w:rPr>
          <w:rFonts w:cstheme="minorHAnsi"/>
          <w:i/>
          <w:iCs/>
          <w:sz w:val="24"/>
          <w:szCs w:val="24"/>
          <w:lang w:val="en-US"/>
        </w:rPr>
        <w:t>Jornal</w:t>
      </w:r>
      <w:proofErr w:type="spellEnd"/>
      <w:r w:rsidRPr="00233381">
        <w:rPr>
          <w:rFonts w:cstheme="minorHAnsi"/>
          <w:i/>
          <w:iCs/>
          <w:sz w:val="24"/>
          <w:szCs w:val="24"/>
          <w:lang w:val="en-US"/>
        </w:rPr>
        <w:t xml:space="preserve"> Brasileiro de </w:t>
      </w:r>
      <w:proofErr w:type="spellStart"/>
      <w:r w:rsidRPr="00233381">
        <w:rPr>
          <w:rFonts w:cstheme="minorHAnsi"/>
          <w:i/>
          <w:iCs/>
          <w:sz w:val="24"/>
          <w:szCs w:val="24"/>
          <w:lang w:val="en-US"/>
        </w:rPr>
        <w:t>Psiquiatria</w:t>
      </w:r>
      <w:proofErr w:type="spellEnd"/>
      <w:r w:rsidRPr="00233381">
        <w:rPr>
          <w:rFonts w:cstheme="minorHAnsi"/>
          <w:i/>
          <w:iCs/>
          <w:sz w:val="24"/>
          <w:szCs w:val="24"/>
          <w:lang w:val="en-US"/>
        </w:rPr>
        <w:t>, 69</w:t>
      </w:r>
      <w:r w:rsidRPr="00233381">
        <w:rPr>
          <w:rFonts w:cstheme="minorHAnsi"/>
          <w:sz w:val="24"/>
          <w:szCs w:val="24"/>
          <w:lang w:val="en-US"/>
        </w:rPr>
        <w:t xml:space="preserve">(3), 205–205. </w:t>
      </w:r>
      <w:hyperlink r:id="rId15" w:history="1">
        <w:r w:rsidRPr="00233381">
          <w:rPr>
            <w:rStyle w:val="Hyperlink"/>
            <w:rFonts w:cstheme="minorHAnsi"/>
            <w:sz w:val="24"/>
            <w:szCs w:val="24"/>
            <w:lang w:val="en-US"/>
          </w:rPr>
          <w:t>https://doi.org/10.1590/0047-2085000000284</w:t>
        </w:r>
      </w:hyperlink>
      <w:r w:rsidRPr="00233381">
        <w:rPr>
          <w:rFonts w:cstheme="minorHAnsi"/>
          <w:sz w:val="24"/>
          <w:szCs w:val="24"/>
          <w:lang w:val="en-US"/>
        </w:rPr>
        <w:t xml:space="preserve"> </w:t>
      </w:r>
    </w:p>
    <w:p w14:paraId="3F1D27FE" w14:textId="77777777" w:rsidR="00532C7F" w:rsidRPr="00233381" w:rsidRDefault="00532C7F" w:rsidP="00AE7044">
      <w:pPr>
        <w:spacing w:after="0" w:line="360" w:lineRule="auto"/>
        <w:ind w:left="482" w:hanging="482"/>
        <w:rPr>
          <w:rFonts w:cstheme="minorHAnsi"/>
          <w:sz w:val="24"/>
          <w:szCs w:val="24"/>
          <w:lang w:val="en-US"/>
        </w:rPr>
      </w:pPr>
      <w:r w:rsidRPr="00233381">
        <w:rPr>
          <w:rFonts w:cstheme="minorHAnsi"/>
          <w:sz w:val="24"/>
          <w:szCs w:val="24"/>
          <w:lang w:val="en-US"/>
        </w:rPr>
        <w:t xml:space="preserve">Meyer, I. H. (1995). Minority stress and mental health in gay men. </w:t>
      </w:r>
      <w:r w:rsidRPr="00233381">
        <w:rPr>
          <w:rFonts w:cstheme="minorHAnsi"/>
          <w:i/>
          <w:iCs/>
          <w:sz w:val="24"/>
          <w:szCs w:val="24"/>
          <w:lang w:val="en-US"/>
        </w:rPr>
        <w:t>Journal of Health and Social Behavior, 36(</w:t>
      </w:r>
      <w:r w:rsidRPr="00233381">
        <w:rPr>
          <w:rFonts w:cstheme="minorHAnsi"/>
          <w:sz w:val="24"/>
          <w:szCs w:val="24"/>
          <w:lang w:val="en-US"/>
        </w:rPr>
        <w:t xml:space="preserve">1), 38–56. </w:t>
      </w:r>
      <w:hyperlink r:id="rId16" w:history="1">
        <w:r w:rsidRPr="00233381">
          <w:rPr>
            <w:rStyle w:val="Hyperlink"/>
            <w:rFonts w:cstheme="minorHAnsi"/>
            <w:sz w:val="24"/>
            <w:szCs w:val="24"/>
            <w:lang w:val="en-US"/>
          </w:rPr>
          <w:t>https://doi.org/10.2307/2137286</w:t>
        </w:r>
      </w:hyperlink>
      <w:r w:rsidRPr="00233381">
        <w:rPr>
          <w:rFonts w:cstheme="minorHAnsi"/>
          <w:sz w:val="24"/>
          <w:szCs w:val="24"/>
          <w:lang w:val="en-US"/>
        </w:rPr>
        <w:t xml:space="preserve"> </w:t>
      </w:r>
    </w:p>
    <w:p w14:paraId="5C940407" w14:textId="77777777" w:rsidR="00532C7F" w:rsidRPr="00233381" w:rsidRDefault="00532C7F" w:rsidP="00AE7044">
      <w:pPr>
        <w:spacing w:after="0" w:line="360" w:lineRule="auto"/>
        <w:ind w:left="482" w:hanging="482"/>
        <w:rPr>
          <w:rFonts w:cstheme="minorHAnsi"/>
          <w:sz w:val="24"/>
          <w:szCs w:val="24"/>
          <w:lang w:val="en-US"/>
        </w:rPr>
      </w:pPr>
      <w:r w:rsidRPr="00233381">
        <w:rPr>
          <w:rFonts w:cstheme="minorHAnsi"/>
          <w:sz w:val="24"/>
          <w:szCs w:val="24"/>
          <w:lang w:val="en-US"/>
        </w:rPr>
        <w:t xml:space="preserve">Meyer, I. H. (2001). Why lesbian, gay, bisexual, and transgender public health? American </w:t>
      </w:r>
      <w:r w:rsidRPr="00233381">
        <w:rPr>
          <w:rFonts w:cstheme="minorHAnsi"/>
          <w:i/>
          <w:iCs/>
          <w:sz w:val="24"/>
          <w:szCs w:val="24"/>
          <w:lang w:val="en-US"/>
        </w:rPr>
        <w:t>Journal of Public Health, 91</w:t>
      </w:r>
      <w:r w:rsidRPr="00233381">
        <w:rPr>
          <w:rFonts w:cstheme="minorHAnsi"/>
          <w:sz w:val="24"/>
          <w:szCs w:val="24"/>
          <w:lang w:val="en-US"/>
        </w:rPr>
        <w:t xml:space="preserve">(6), 856–859. </w:t>
      </w:r>
      <w:hyperlink r:id="rId17" w:history="1">
        <w:r w:rsidRPr="00233381">
          <w:rPr>
            <w:rStyle w:val="Hyperlink"/>
            <w:rFonts w:cstheme="minorHAnsi"/>
            <w:sz w:val="24"/>
            <w:szCs w:val="24"/>
            <w:lang w:val="en-US"/>
          </w:rPr>
          <w:t>https://doi.org/10.2105/ajph.91.6.856</w:t>
        </w:r>
      </w:hyperlink>
      <w:r w:rsidRPr="00233381">
        <w:rPr>
          <w:rFonts w:cstheme="minorHAnsi"/>
          <w:sz w:val="24"/>
          <w:szCs w:val="24"/>
          <w:lang w:val="en-US"/>
        </w:rPr>
        <w:t xml:space="preserve"> </w:t>
      </w:r>
    </w:p>
    <w:p w14:paraId="356B68B2" w14:textId="77777777" w:rsidR="00532C7F" w:rsidRPr="00233381" w:rsidRDefault="00532C7F" w:rsidP="00AE7044">
      <w:pPr>
        <w:spacing w:after="0" w:line="360" w:lineRule="auto"/>
        <w:ind w:left="482" w:hanging="482"/>
        <w:rPr>
          <w:rFonts w:cstheme="minorHAnsi"/>
          <w:sz w:val="24"/>
          <w:szCs w:val="24"/>
          <w:lang w:val="en-US"/>
        </w:rPr>
      </w:pPr>
      <w:r w:rsidRPr="00233381">
        <w:rPr>
          <w:rFonts w:cstheme="minorHAnsi"/>
          <w:sz w:val="24"/>
          <w:szCs w:val="24"/>
          <w:lang w:val="en-US"/>
        </w:rPr>
        <w:t xml:space="preserve">Meyer, I. H. (2003a). Prejudice as stress: Conceptual and measurement problems. </w:t>
      </w:r>
      <w:r w:rsidRPr="00233381">
        <w:rPr>
          <w:rFonts w:cstheme="minorHAnsi"/>
          <w:i/>
          <w:iCs/>
          <w:sz w:val="24"/>
          <w:szCs w:val="24"/>
          <w:lang w:val="en-US"/>
        </w:rPr>
        <w:t>American Journal of Public Health, 93</w:t>
      </w:r>
      <w:r w:rsidRPr="00233381">
        <w:rPr>
          <w:rFonts w:cstheme="minorHAnsi"/>
          <w:sz w:val="24"/>
          <w:szCs w:val="24"/>
          <w:lang w:val="en-US"/>
        </w:rPr>
        <w:t xml:space="preserve">(2), 262–265. </w:t>
      </w:r>
      <w:hyperlink r:id="rId18" w:history="1">
        <w:r w:rsidRPr="00233381">
          <w:rPr>
            <w:rStyle w:val="Hyperlink"/>
            <w:rFonts w:cstheme="minorHAnsi"/>
            <w:sz w:val="24"/>
            <w:szCs w:val="24"/>
            <w:lang w:val="en-US"/>
          </w:rPr>
          <w:t>https://doi.org/10.2105/ajph.93.2.262</w:t>
        </w:r>
      </w:hyperlink>
      <w:r w:rsidRPr="00233381">
        <w:rPr>
          <w:rFonts w:cstheme="minorHAnsi"/>
          <w:sz w:val="24"/>
          <w:szCs w:val="24"/>
          <w:lang w:val="en-US"/>
        </w:rPr>
        <w:t xml:space="preserve"> </w:t>
      </w:r>
    </w:p>
    <w:p w14:paraId="749C3A92" w14:textId="77777777" w:rsidR="00532C7F" w:rsidRPr="00233381" w:rsidRDefault="00532C7F" w:rsidP="00AE7044">
      <w:pPr>
        <w:spacing w:after="0" w:line="360" w:lineRule="auto"/>
        <w:ind w:left="482" w:hanging="482"/>
        <w:rPr>
          <w:rFonts w:cstheme="minorHAnsi"/>
          <w:sz w:val="24"/>
          <w:szCs w:val="24"/>
          <w:lang w:val="en-US"/>
        </w:rPr>
      </w:pPr>
      <w:r w:rsidRPr="00233381">
        <w:rPr>
          <w:rFonts w:cstheme="minorHAnsi"/>
          <w:sz w:val="24"/>
          <w:szCs w:val="24"/>
          <w:lang w:val="en-US"/>
        </w:rPr>
        <w:t xml:space="preserve">Meyer, I. H. (2003b). Prejudice, social stress, and mental health in lesbian, gay, and bisexual populations: Conceptual issues and research evidence. </w:t>
      </w:r>
      <w:r w:rsidRPr="00233381">
        <w:rPr>
          <w:rFonts w:cstheme="minorHAnsi"/>
          <w:i/>
          <w:iCs/>
          <w:sz w:val="24"/>
          <w:szCs w:val="24"/>
          <w:lang w:val="en-US"/>
        </w:rPr>
        <w:t>Psychological Bulletin, 129</w:t>
      </w:r>
      <w:r w:rsidRPr="00233381">
        <w:rPr>
          <w:rFonts w:cstheme="minorHAnsi"/>
          <w:sz w:val="24"/>
          <w:szCs w:val="24"/>
          <w:lang w:val="en-US"/>
        </w:rPr>
        <w:t xml:space="preserve">(5), 674–697. </w:t>
      </w:r>
      <w:hyperlink r:id="rId19" w:history="1">
        <w:r w:rsidRPr="00233381">
          <w:rPr>
            <w:rStyle w:val="Hyperlink"/>
            <w:rFonts w:cstheme="minorHAnsi"/>
            <w:sz w:val="24"/>
            <w:szCs w:val="24"/>
            <w:lang w:val="en-US"/>
          </w:rPr>
          <w:t>https://doi.org/10.1037/0033-2909.129.5.674</w:t>
        </w:r>
      </w:hyperlink>
      <w:r w:rsidRPr="00233381">
        <w:rPr>
          <w:rFonts w:cstheme="minorHAnsi"/>
          <w:sz w:val="24"/>
          <w:szCs w:val="24"/>
          <w:lang w:val="en-US"/>
        </w:rPr>
        <w:t xml:space="preserve"> </w:t>
      </w:r>
    </w:p>
    <w:p w14:paraId="287FDEF0" w14:textId="77777777" w:rsidR="00532C7F" w:rsidRPr="00233381" w:rsidRDefault="00532C7F" w:rsidP="00AE7044">
      <w:pPr>
        <w:spacing w:after="0" w:line="360" w:lineRule="auto"/>
        <w:ind w:left="482" w:hanging="482"/>
        <w:rPr>
          <w:rFonts w:cstheme="minorHAnsi"/>
          <w:sz w:val="24"/>
          <w:szCs w:val="24"/>
          <w:lang w:val="en-US"/>
        </w:rPr>
      </w:pPr>
      <w:r w:rsidRPr="00233381">
        <w:rPr>
          <w:rFonts w:cstheme="minorHAnsi"/>
          <w:sz w:val="24"/>
          <w:szCs w:val="24"/>
          <w:lang w:val="en-US"/>
        </w:rPr>
        <w:t xml:space="preserve">Nascimento, D. da C., </w:t>
      </w:r>
      <w:proofErr w:type="spellStart"/>
      <w:r w:rsidRPr="00233381">
        <w:rPr>
          <w:rFonts w:cstheme="minorHAnsi"/>
          <w:sz w:val="24"/>
          <w:szCs w:val="24"/>
          <w:lang w:val="en-US"/>
        </w:rPr>
        <w:t>Tibana</w:t>
      </w:r>
      <w:proofErr w:type="spellEnd"/>
      <w:r w:rsidRPr="00233381">
        <w:rPr>
          <w:rFonts w:cstheme="minorHAnsi"/>
          <w:sz w:val="24"/>
          <w:szCs w:val="24"/>
          <w:lang w:val="en-US"/>
        </w:rPr>
        <w:t xml:space="preserve">, R. A., Melo, G. F. de, &amp; Prestes, J. (2015). Testes de </w:t>
      </w:r>
      <w:proofErr w:type="spellStart"/>
      <w:r w:rsidRPr="00233381">
        <w:rPr>
          <w:rFonts w:cstheme="minorHAnsi"/>
          <w:sz w:val="24"/>
          <w:szCs w:val="24"/>
          <w:lang w:val="en-US"/>
        </w:rPr>
        <w:t>normalidade</w:t>
      </w:r>
      <w:proofErr w:type="spellEnd"/>
      <w:r w:rsidRPr="00233381">
        <w:rPr>
          <w:rFonts w:cstheme="minorHAnsi"/>
          <w:sz w:val="24"/>
          <w:szCs w:val="24"/>
          <w:lang w:val="en-US"/>
        </w:rPr>
        <w:t xml:space="preserve"> </w:t>
      </w:r>
      <w:proofErr w:type="spellStart"/>
      <w:r w:rsidRPr="00233381">
        <w:rPr>
          <w:rFonts w:cstheme="minorHAnsi"/>
          <w:sz w:val="24"/>
          <w:szCs w:val="24"/>
          <w:lang w:val="en-US"/>
        </w:rPr>
        <w:t>em</w:t>
      </w:r>
      <w:proofErr w:type="spellEnd"/>
      <w:r w:rsidRPr="00233381">
        <w:rPr>
          <w:rFonts w:cstheme="minorHAnsi"/>
          <w:sz w:val="24"/>
          <w:szCs w:val="24"/>
          <w:lang w:val="en-US"/>
        </w:rPr>
        <w:t xml:space="preserve"> </w:t>
      </w:r>
      <w:proofErr w:type="spellStart"/>
      <w:r w:rsidRPr="00233381">
        <w:rPr>
          <w:rFonts w:cstheme="minorHAnsi"/>
          <w:sz w:val="24"/>
          <w:szCs w:val="24"/>
          <w:lang w:val="en-US"/>
        </w:rPr>
        <w:t>análises</w:t>
      </w:r>
      <w:proofErr w:type="spellEnd"/>
      <w:r w:rsidRPr="00233381">
        <w:rPr>
          <w:rFonts w:cstheme="minorHAnsi"/>
          <w:sz w:val="24"/>
          <w:szCs w:val="24"/>
          <w:lang w:val="en-US"/>
        </w:rPr>
        <w:t xml:space="preserve"> </w:t>
      </w:r>
      <w:proofErr w:type="spellStart"/>
      <w:r w:rsidRPr="00233381">
        <w:rPr>
          <w:rFonts w:cstheme="minorHAnsi"/>
          <w:sz w:val="24"/>
          <w:szCs w:val="24"/>
          <w:lang w:val="en-US"/>
        </w:rPr>
        <w:t>estatísticas</w:t>
      </w:r>
      <w:proofErr w:type="spellEnd"/>
      <w:r w:rsidRPr="00233381">
        <w:rPr>
          <w:rFonts w:cstheme="minorHAnsi"/>
          <w:sz w:val="24"/>
          <w:szCs w:val="24"/>
          <w:lang w:val="en-US"/>
        </w:rPr>
        <w:t xml:space="preserve">: Uma </w:t>
      </w:r>
      <w:proofErr w:type="spellStart"/>
      <w:r w:rsidRPr="00233381">
        <w:rPr>
          <w:rFonts w:cstheme="minorHAnsi"/>
          <w:sz w:val="24"/>
          <w:szCs w:val="24"/>
          <w:lang w:val="en-US"/>
        </w:rPr>
        <w:t>orientação</w:t>
      </w:r>
      <w:proofErr w:type="spellEnd"/>
      <w:r w:rsidRPr="00233381">
        <w:rPr>
          <w:rFonts w:cstheme="minorHAnsi"/>
          <w:sz w:val="24"/>
          <w:szCs w:val="24"/>
          <w:lang w:val="en-US"/>
        </w:rPr>
        <w:t xml:space="preserve"> para </w:t>
      </w:r>
      <w:proofErr w:type="spellStart"/>
      <w:r w:rsidRPr="00233381">
        <w:rPr>
          <w:rFonts w:cstheme="minorHAnsi"/>
          <w:sz w:val="24"/>
          <w:szCs w:val="24"/>
          <w:lang w:val="en-US"/>
        </w:rPr>
        <w:t>praticantes</w:t>
      </w:r>
      <w:proofErr w:type="spellEnd"/>
      <w:r w:rsidRPr="00233381">
        <w:rPr>
          <w:rFonts w:cstheme="minorHAnsi"/>
          <w:sz w:val="24"/>
          <w:szCs w:val="24"/>
          <w:lang w:val="en-US"/>
        </w:rPr>
        <w:t xml:space="preserve"> </w:t>
      </w:r>
      <w:proofErr w:type="spellStart"/>
      <w:r w:rsidRPr="00233381">
        <w:rPr>
          <w:rFonts w:cstheme="minorHAnsi"/>
          <w:sz w:val="24"/>
          <w:szCs w:val="24"/>
          <w:lang w:val="en-US"/>
        </w:rPr>
        <w:t>em</w:t>
      </w:r>
      <w:proofErr w:type="spellEnd"/>
      <w:r w:rsidRPr="00233381">
        <w:rPr>
          <w:rFonts w:cstheme="minorHAnsi"/>
          <w:sz w:val="24"/>
          <w:szCs w:val="24"/>
          <w:lang w:val="en-US"/>
        </w:rPr>
        <w:t xml:space="preserve"> </w:t>
      </w:r>
      <w:proofErr w:type="spellStart"/>
      <w:r w:rsidRPr="00233381">
        <w:rPr>
          <w:rFonts w:cstheme="minorHAnsi"/>
          <w:sz w:val="24"/>
          <w:szCs w:val="24"/>
          <w:lang w:val="en-US"/>
        </w:rPr>
        <w:t>ciências</w:t>
      </w:r>
      <w:proofErr w:type="spellEnd"/>
      <w:r w:rsidRPr="00233381">
        <w:rPr>
          <w:rFonts w:cstheme="minorHAnsi"/>
          <w:sz w:val="24"/>
          <w:szCs w:val="24"/>
          <w:lang w:val="en-US"/>
        </w:rPr>
        <w:t xml:space="preserve"> da </w:t>
      </w:r>
      <w:proofErr w:type="spellStart"/>
      <w:r w:rsidRPr="00233381">
        <w:rPr>
          <w:rFonts w:cstheme="minorHAnsi"/>
          <w:sz w:val="24"/>
          <w:szCs w:val="24"/>
          <w:lang w:val="en-US"/>
        </w:rPr>
        <w:t>saúde</w:t>
      </w:r>
      <w:proofErr w:type="spellEnd"/>
      <w:r w:rsidRPr="00233381">
        <w:rPr>
          <w:rFonts w:cstheme="minorHAnsi"/>
          <w:sz w:val="24"/>
          <w:szCs w:val="24"/>
          <w:lang w:val="en-US"/>
        </w:rPr>
        <w:t xml:space="preserve"> e </w:t>
      </w:r>
      <w:proofErr w:type="spellStart"/>
      <w:r w:rsidRPr="00233381">
        <w:rPr>
          <w:rFonts w:cstheme="minorHAnsi"/>
          <w:sz w:val="24"/>
          <w:szCs w:val="24"/>
          <w:lang w:val="en-US"/>
        </w:rPr>
        <w:t>atividade</w:t>
      </w:r>
      <w:proofErr w:type="spellEnd"/>
      <w:r w:rsidRPr="00233381">
        <w:rPr>
          <w:rFonts w:cstheme="minorHAnsi"/>
          <w:sz w:val="24"/>
          <w:szCs w:val="24"/>
          <w:lang w:val="en-US"/>
        </w:rPr>
        <w:t xml:space="preserve"> </w:t>
      </w:r>
      <w:proofErr w:type="spellStart"/>
      <w:r w:rsidRPr="00233381">
        <w:rPr>
          <w:rFonts w:cstheme="minorHAnsi"/>
          <w:sz w:val="24"/>
          <w:szCs w:val="24"/>
          <w:lang w:val="en-US"/>
        </w:rPr>
        <w:t>física</w:t>
      </w:r>
      <w:proofErr w:type="spellEnd"/>
      <w:r w:rsidRPr="00233381">
        <w:rPr>
          <w:rFonts w:cstheme="minorHAnsi"/>
          <w:sz w:val="24"/>
          <w:szCs w:val="24"/>
          <w:lang w:val="en-US"/>
        </w:rPr>
        <w:t xml:space="preserve">. </w:t>
      </w:r>
      <w:proofErr w:type="spellStart"/>
      <w:r w:rsidRPr="00233381">
        <w:rPr>
          <w:rFonts w:cstheme="minorHAnsi"/>
          <w:i/>
          <w:iCs/>
          <w:sz w:val="24"/>
          <w:szCs w:val="24"/>
          <w:lang w:val="en-US"/>
        </w:rPr>
        <w:t>Revista</w:t>
      </w:r>
      <w:proofErr w:type="spellEnd"/>
      <w:r w:rsidRPr="00233381">
        <w:rPr>
          <w:rFonts w:cstheme="minorHAnsi"/>
          <w:i/>
          <w:iCs/>
          <w:sz w:val="24"/>
          <w:szCs w:val="24"/>
          <w:lang w:val="en-US"/>
        </w:rPr>
        <w:t xml:space="preserve"> Mackenzie de </w:t>
      </w:r>
      <w:proofErr w:type="spellStart"/>
      <w:r w:rsidRPr="00233381">
        <w:rPr>
          <w:rFonts w:cstheme="minorHAnsi"/>
          <w:i/>
          <w:iCs/>
          <w:sz w:val="24"/>
          <w:szCs w:val="24"/>
          <w:lang w:val="en-US"/>
        </w:rPr>
        <w:t>Educação</w:t>
      </w:r>
      <w:proofErr w:type="spellEnd"/>
      <w:r w:rsidRPr="00233381">
        <w:rPr>
          <w:rFonts w:cstheme="minorHAnsi"/>
          <w:i/>
          <w:iCs/>
          <w:sz w:val="24"/>
          <w:szCs w:val="24"/>
          <w:lang w:val="en-US"/>
        </w:rPr>
        <w:t xml:space="preserve"> </w:t>
      </w:r>
      <w:proofErr w:type="spellStart"/>
      <w:r w:rsidRPr="00233381">
        <w:rPr>
          <w:rFonts w:cstheme="minorHAnsi"/>
          <w:i/>
          <w:iCs/>
          <w:sz w:val="24"/>
          <w:szCs w:val="24"/>
          <w:lang w:val="en-US"/>
        </w:rPr>
        <w:t>Física</w:t>
      </w:r>
      <w:proofErr w:type="spellEnd"/>
      <w:r w:rsidRPr="00233381">
        <w:rPr>
          <w:rFonts w:cstheme="minorHAnsi"/>
          <w:i/>
          <w:iCs/>
          <w:sz w:val="24"/>
          <w:szCs w:val="24"/>
          <w:lang w:val="en-US"/>
        </w:rPr>
        <w:t xml:space="preserve"> e </w:t>
      </w:r>
      <w:proofErr w:type="spellStart"/>
      <w:r w:rsidRPr="00233381">
        <w:rPr>
          <w:rFonts w:cstheme="minorHAnsi"/>
          <w:i/>
          <w:iCs/>
          <w:sz w:val="24"/>
          <w:szCs w:val="24"/>
          <w:lang w:val="en-US"/>
        </w:rPr>
        <w:t>Esporte</w:t>
      </w:r>
      <w:proofErr w:type="spellEnd"/>
      <w:r w:rsidRPr="00233381">
        <w:rPr>
          <w:rFonts w:cstheme="minorHAnsi"/>
          <w:i/>
          <w:iCs/>
          <w:sz w:val="24"/>
          <w:szCs w:val="24"/>
          <w:lang w:val="en-US"/>
        </w:rPr>
        <w:t>, 14</w:t>
      </w:r>
      <w:r w:rsidRPr="00233381">
        <w:rPr>
          <w:rFonts w:cstheme="minorHAnsi"/>
          <w:sz w:val="24"/>
          <w:szCs w:val="24"/>
          <w:lang w:val="en-US"/>
        </w:rPr>
        <w:t xml:space="preserve">(2), 73–77. </w:t>
      </w:r>
      <w:hyperlink r:id="rId20" w:history="1">
        <w:r w:rsidRPr="00233381">
          <w:rPr>
            <w:rStyle w:val="Hyperlink"/>
            <w:rFonts w:cstheme="minorHAnsi"/>
            <w:sz w:val="24"/>
            <w:szCs w:val="24"/>
            <w:lang w:val="en-US"/>
          </w:rPr>
          <w:t>https://editorarevistas.mackenzie.br/index.php/remef/article/view/658</w:t>
        </w:r>
      </w:hyperlink>
      <w:r w:rsidRPr="00233381">
        <w:rPr>
          <w:rFonts w:cstheme="minorHAnsi"/>
          <w:sz w:val="24"/>
          <w:szCs w:val="24"/>
          <w:lang w:val="en-US"/>
        </w:rPr>
        <w:t xml:space="preserve"> </w:t>
      </w:r>
    </w:p>
    <w:p w14:paraId="4C98663E" w14:textId="77777777" w:rsidR="00532C7F" w:rsidRPr="00233381" w:rsidRDefault="00532C7F" w:rsidP="00AE7044">
      <w:pPr>
        <w:spacing w:after="0" w:line="360" w:lineRule="auto"/>
        <w:ind w:left="482" w:hanging="482"/>
        <w:rPr>
          <w:rFonts w:cstheme="minorHAnsi"/>
          <w:sz w:val="24"/>
          <w:szCs w:val="24"/>
          <w:lang w:val="en-US"/>
        </w:rPr>
      </w:pPr>
      <w:proofErr w:type="spellStart"/>
      <w:r w:rsidRPr="00233381">
        <w:rPr>
          <w:rFonts w:cstheme="minorHAnsi"/>
          <w:sz w:val="24"/>
          <w:szCs w:val="24"/>
          <w:lang w:val="en-US"/>
        </w:rPr>
        <w:t>Patias</w:t>
      </w:r>
      <w:proofErr w:type="spellEnd"/>
      <w:r w:rsidRPr="00233381">
        <w:rPr>
          <w:rFonts w:cstheme="minorHAnsi"/>
          <w:sz w:val="24"/>
          <w:szCs w:val="24"/>
          <w:lang w:val="en-US"/>
        </w:rPr>
        <w:t xml:space="preserve">, N. D., Machado, W. D. L., Bandeira, D. R., &amp; </w:t>
      </w:r>
      <w:proofErr w:type="spellStart"/>
      <w:r w:rsidRPr="00233381">
        <w:rPr>
          <w:rFonts w:cstheme="minorHAnsi"/>
          <w:sz w:val="24"/>
          <w:szCs w:val="24"/>
          <w:lang w:val="en-US"/>
        </w:rPr>
        <w:t>Dell’Aglio</w:t>
      </w:r>
      <w:proofErr w:type="spellEnd"/>
      <w:r w:rsidRPr="00233381">
        <w:rPr>
          <w:rFonts w:cstheme="minorHAnsi"/>
          <w:sz w:val="24"/>
          <w:szCs w:val="24"/>
          <w:lang w:val="en-US"/>
        </w:rPr>
        <w:t xml:space="preserve">, D. D. (2016). Depression Anxiety and Stress Scale (DASS-21) - Short Form: </w:t>
      </w:r>
      <w:proofErr w:type="spellStart"/>
      <w:r w:rsidRPr="00233381">
        <w:rPr>
          <w:rFonts w:cstheme="minorHAnsi"/>
          <w:sz w:val="24"/>
          <w:szCs w:val="24"/>
          <w:lang w:val="en-US"/>
        </w:rPr>
        <w:t>Adaptação</w:t>
      </w:r>
      <w:proofErr w:type="spellEnd"/>
      <w:r w:rsidRPr="00233381">
        <w:rPr>
          <w:rFonts w:cstheme="minorHAnsi"/>
          <w:sz w:val="24"/>
          <w:szCs w:val="24"/>
          <w:lang w:val="en-US"/>
        </w:rPr>
        <w:t xml:space="preserve"> e </w:t>
      </w:r>
      <w:proofErr w:type="spellStart"/>
      <w:r w:rsidRPr="00233381">
        <w:rPr>
          <w:rFonts w:cstheme="minorHAnsi"/>
          <w:sz w:val="24"/>
          <w:szCs w:val="24"/>
          <w:lang w:val="en-US"/>
        </w:rPr>
        <w:t>validação</w:t>
      </w:r>
      <w:proofErr w:type="spellEnd"/>
      <w:r w:rsidRPr="00233381">
        <w:rPr>
          <w:rFonts w:cstheme="minorHAnsi"/>
          <w:sz w:val="24"/>
          <w:szCs w:val="24"/>
          <w:lang w:val="en-US"/>
        </w:rPr>
        <w:t xml:space="preserve"> para </w:t>
      </w:r>
      <w:proofErr w:type="spellStart"/>
      <w:r w:rsidRPr="00233381">
        <w:rPr>
          <w:rFonts w:cstheme="minorHAnsi"/>
          <w:sz w:val="24"/>
          <w:szCs w:val="24"/>
          <w:lang w:val="en-US"/>
        </w:rPr>
        <w:t>adolescentes</w:t>
      </w:r>
      <w:proofErr w:type="spellEnd"/>
      <w:r w:rsidRPr="00233381">
        <w:rPr>
          <w:rFonts w:cstheme="minorHAnsi"/>
          <w:sz w:val="24"/>
          <w:szCs w:val="24"/>
          <w:lang w:val="en-US"/>
        </w:rPr>
        <w:t xml:space="preserve"> </w:t>
      </w:r>
      <w:proofErr w:type="spellStart"/>
      <w:r w:rsidRPr="00233381">
        <w:rPr>
          <w:rFonts w:cstheme="minorHAnsi"/>
          <w:sz w:val="24"/>
          <w:szCs w:val="24"/>
          <w:lang w:val="en-US"/>
        </w:rPr>
        <w:t>brasileiros</w:t>
      </w:r>
      <w:proofErr w:type="spellEnd"/>
      <w:r w:rsidRPr="00233381">
        <w:rPr>
          <w:rFonts w:cstheme="minorHAnsi"/>
          <w:sz w:val="24"/>
          <w:szCs w:val="24"/>
          <w:lang w:val="en-US"/>
        </w:rPr>
        <w:t xml:space="preserve">. </w:t>
      </w:r>
      <w:proofErr w:type="spellStart"/>
      <w:r w:rsidRPr="00233381">
        <w:rPr>
          <w:rFonts w:cstheme="minorHAnsi"/>
          <w:i/>
          <w:iCs/>
          <w:sz w:val="24"/>
          <w:szCs w:val="24"/>
          <w:lang w:val="en-US"/>
        </w:rPr>
        <w:t>Psico</w:t>
      </w:r>
      <w:proofErr w:type="spellEnd"/>
      <w:r w:rsidRPr="00233381">
        <w:rPr>
          <w:rFonts w:cstheme="minorHAnsi"/>
          <w:i/>
          <w:iCs/>
          <w:sz w:val="24"/>
          <w:szCs w:val="24"/>
          <w:lang w:val="en-US"/>
        </w:rPr>
        <w:t>-USF, 21</w:t>
      </w:r>
      <w:r w:rsidRPr="00233381">
        <w:rPr>
          <w:rFonts w:cstheme="minorHAnsi"/>
          <w:sz w:val="24"/>
          <w:szCs w:val="24"/>
          <w:lang w:val="en-US"/>
        </w:rPr>
        <w:t xml:space="preserve">(3), 459–469. </w:t>
      </w:r>
      <w:hyperlink r:id="rId21" w:history="1">
        <w:r w:rsidRPr="00233381">
          <w:rPr>
            <w:rStyle w:val="Hyperlink"/>
            <w:rFonts w:cstheme="minorHAnsi"/>
            <w:sz w:val="24"/>
            <w:szCs w:val="24"/>
            <w:lang w:val="en-US"/>
          </w:rPr>
          <w:t>https://doi.org/10.1590/1413-82712016210302</w:t>
        </w:r>
      </w:hyperlink>
      <w:r w:rsidRPr="00233381">
        <w:rPr>
          <w:rFonts w:cstheme="minorHAnsi"/>
          <w:sz w:val="24"/>
          <w:szCs w:val="24"/>
          <w:lang w:val="en-US"/>
        </w:rPr>
        <w:t xml:space="preserve"> </w:t>
      </w:r>
    </w:p>
    <w:p w14:paraId="0D973630" w14:textId="77777777" w:rsidR="00532C7F" w:rsidRPr="00233381" w:rsidRDefault="00532C7F" w:rsidP="00AE7044">
      <w:pPr>
        <w:spacing w:after="0" w:line="360" w:lineRule="auto"/>
        <w:ind w:left="482" w:hanging="482"/>
        <w:rPr>
          <w:rFonts w:cstheme="minorHAnsi"/>
          <w:sz w:val="24"/>
          <w:szCs w:val="24"/>
          <w:lang w:val="en-US"/>
        </w:rPr>
      </w:pPr>
      <w:proofErr w:type="spellStart"/>
      <w:r w:rsidRPr="00233381">
        <w:rPr>
          <w:rFonts w:cstheme="minorHAnsi"/>
          <w:sz w:val="24"/>
          <w:szCs w:val="24"/>
          <w:lang w:val="en-US"/>
        </w:rPr>
        <w:lastRenderedPageBreak/>
        <w:t>Pearlin</w:t>
      </w:r>
      <w:proofErr w:type="spellEnd"/>
      <w:r w:rsidRPr="00233381">
        <w:rPr>
          <w:rFonts w:cstheme="minorHAnsi"/>
          <w:sz w:val="24"/>
          <w:szCs w:val="24"/>
          <w:lang w:val="en-US"/>
        </w:rPr>
        <w:t xml:space="preserve">, L. I., </w:t>
      </w:r>
      <w:proofErr w:type="spellStart"/>
      <w:r w:rsidRPr="00233381">
        <w:rPr>
          <w:rFonts w:cstheme="minorHAnsi"/>
          <w:sz w:val="24"/>
          <w:szCs w:val="24"/>
          <w:lang w:val="en-US"/>
        </w:rPr>
        <w:t>Menaghan</w:t>
      </w:r>
      <w:proofErr w:type="spellEnd"/>
      <w:r w:rsidRPr="00233381">
        <w:rPr>
          <w:rFonts w:cstheme="minorHAnsi"/>
          <w:sz w:val="24"/>
          <w:szCs w:val="24"/>
          <w:lang w:val="en-US"/>
        </w:rPr>
        <w:t xml:space="preserve">, E. G., Lieberman, M. a, &amp; Mullan, J. T. (1981). Process the stress. </w:t>
      </w:r>
      <w:r w:rsidRPr="00233381">
        <w:rPr>
          <w:rFonts w:cstheme="minorHAnsi"/>
          <w:i/>
          <w:iCs/>
          <w:sz w:val="24"/>
          <w:szCs w:val="24"/>
          <w:lang w:val="en-US"/>
        </w:rPr>
        <w:t>Journal of Health and Social Behavior, 22</w:t>
      </w:r>
      <w:r w:rsidRPr="00233381">
        <w:rPr>
          <w:rFonts w:cstheme="minorHAnsi"/>
          <w:sz w:val="24"/>
          <w:szCs w:val="24"/>
          <w:lang w:val="en-US"/>
        </w:rPr>
        <w:t xml:space="preserve">(4), 337–356. </w:t>
      </w:r>
      <w:hyperlink r:id="rId22" w:history="1">
        <w:r w:rsidRPr="00233381">
          <w:rPr>
            <w:rStyle w:val="Hyperlink"/>
            <w:rFonts w:cstheme="minorHAnsi"/>
            <w:sz w:val="24"/>
            <w:szCs w:val="24"/>
            <w:lang w:val="en-US"/>
          </w:rPr>
          <w:t>https://doi.org/10.2307/2136676</w:t>
        </w:r>
      </w:hyperlink>
      <w:r w:rsidRPr="00233381">
        <w:rPr>
          <w:rFonts w:cstheme="minorHAnsi"/>
          <w:sz w:val="24"/>
          <w:szCs w:val="24"/>
          <w:lang w:val="en-US"/>
        </w:rPr>
        <w:t xml:space="preserve"> </w:t>
      </w:r>
    </w:p>
    <w:p w14:paraId="7D0684DC" w14:textId="77777777" w:rsidR="00532C7F" w:rsidRPr="00233381" w:rsidRDefault="00532C7F" w:rsidP="00AE7044">
      <w:pPr>
        <w:spacing w:after="0" w:line="360" w:lineRule="auto"/>
        <w:ind w:left="482" w:hanging="482"/>
        <w:rPr>
          <w:rFonts w:cstheme="minorHAnsi"/>
          <w:sz w:val="24"/>
          <w:szCs w:val="24"/>
          <w:lang w:val="en-US"/>
        </w:rPr>
      </w:pPr>
      <w:r w:rsidRPr="00233381">
        <w:rPr>
          <w:rFonts w:cstheme="minorHAnsi"/>
          <w:sz w:val="24"/>
          <w:szCs w:val="24"/>
          <w:lang w:val="en-US"/>
        </w:rPr>
        <w:t xml:space="preserve">Peixoto, E. M., Oliveira, K. da S., Campos, C. R., Gagnon, J., Zanini, D. S., Nakano, T. de C., &amp; Bueno, J. M. H. (2021). DASS-21: Assessment of psychological distress through the Bifactor Model and item analysis. </w:t>
      </w:r>
      <w:proofErr w:type="spellStart"/>
      <w:r w:rsidRPr="00233381">
        <w:rPr>
          <w:rFonts w:cstheme="minorHAnsi"/>
          <w:i/>
          <w:iCs/>
          <w:sz w:val="24"/>
          <w:szCs w:val="24"/>
          <w:lang w:val="en-US"/>
        </w:rPr>
        <w:t>Psico</w:t>
      </w:r>
      <w:proofErr w:type="spellEnd"/>
      <w:r w:rsidRPr="00233381">
        <w:rPr>
          <w:rFonts w:cstheme="minorHAnsi"/>
          <w:i/>
          <w:iCs/>
          <w:sz w:val="24"/>
          <w:szCs w:val="24"/>
          <w:lang w:val="en-US"/>
        </w:rPr>
        <w:t>-USF, 26</w:t>
      </w:r>
      <w:r w:rsidRPr="00233381">
        <w:rPr>
          <w:rFonts w:cstheme="minorHAnsi"/>
          <w:sz w:val="24"/>
          <w:szCs w:val="24"/>
          <w:lang w:val="en-US"/>
        </w:rPr>
        <w:t xml:space="preserve">(4), 757–769. </w:t>
      </w:r>
      <w:hyperlink r:id="rId23" w:history="1">
        <w:r w:rsidRPr="00233381">
          <w:rPr>
            <w:rStyle w:val="Hyperlink"/>
            <w:rFonts w:cstheme="minorHAnsi"/>
            <w:sz w:val="24"/>
            <w:szCs w:val="24"/>
            <w:lang w:val="en-US"/>
          </w:rPr>
          <w:t>https://doi.org/10.1590/1413-82712021260413</w:t>
        </w:r>
      </w:hyperlink>
      <w:r w:rsidRPr="00233381">
        <w:rPr>
          <w:rFonts w:cstheme="minorHAnsi"/>
          <w:sz w:val="24"/>
          <w:szCs w:val="24"/>
          <w:lang w:val="en-US"/>
        </w:rPr>
        <w:t xml:space="preserve"> </w:t>
      </w:r>
    </w:p>
    <w:p w14:paraId="7E23D950" w14:textId="77777777" w:rsidR="00532C7F" w:rsidRPr="00233381" w:rsidRDefault="00532C7F" w:rsidP="00AE7044">
      <w:pPr>
        <w:spacing w:after="0" w:line="360" w:lineRule="auto"/>
        <w:ind w:left="482" w:hanging="482"/>
        <w:rPr>
          <w:rFonts w:cstheme="minorHAnsi"/>
          <w:sz w:val="24"/>
          <w:szCs w:val="24"/>
          <w:lang w:val="en-US"/>
        </w:rPr>
      </w:pPr>
      <w:r w:rsidRPr="00233381">
        <w:rPr>
          <w:rFonts w:cstheme="minorHAnsi"/>
          <w:sz w:val="24"/>
          <w:szCs w:val="24"/>
          <w:lang w:val="en-US"/>
        </w:rPr>
        <w:t xml:space="preserve">Rocha, L. F. D. da, Hernandez, J. A. E., &amp; Falcone, E. M. de O. (2021). Latent structure evidence of the Depression, Anxiety and Stress Scales - Short Form. </w:t>
      </w:r>
      <w:proofErr w:type="spellStart"/>
      <w:r w:rsidRPr="00233381">
        <w:rPr>
          <w:rFonts w:cstheme="minorHAnsi"/>
          <w:i/>
          <w:iCs/>
          <w:sz w:val="24"/>
          <w:szCs w:val="24"/>
          <w:lang w:val="en-US"/>
        </w:rPr>
        <w:t>Estudos</w:t>
      </w:r>
      <w:proofErr w:type="spellEnd"/>
      <w:r w:rsidRPr="00233381">
        <w:rPr>
          <w:rFonts w:cstheme="minorHAnsi"/>
          <w:i/>
          <w:iCs/>
          <w:sz w:val="24"/>
          <w:szCs w:val="24"/>
          <w:lang w:val="en-US"/>
        </w:rPr>
        <w:t xml:space="preserve"> de </w:t>
      </w:r>
      <w:proofErr w:type="spellStart"/>
      <w:r w:rsidRPr="00233381">
        <w:rPr>
          <w:rFonts w:cstheme="minorHAnsi"/>
          <w:i/>
          <w:iCs/>
          <w:sz w:val="24"/>
          <w:szCs w:val="24"/>
          <w:lang w:val="en-US"/>
        </w:rPr>
        <w:t>Psicologia</w:t>
      </w:r>
      <w:proofErr w:type="spellEnd"/>
      <w:r w:rsidRPr="00233381">
        <w:rPr>
          <w:rFonts w:cstheme="minorHAnsi"/>
          <w:i/>
          <w:iCs/>
          <w:sz w:val="24"/>
          <w:szCs w:val="24"/>
          <w:lang w:val="en-US"/>
        </w:rPr>
        <w:t>, 38</w:t>
      </w:r>
      <w:r w:rsidRPr="00233381">
        <w:rPr>
          <w:rFonts w:cstheme="minorHAnsi"/>
          <w:sz w:val="24"/>
          <w:szCs w:val="24"/>
          <w:lang w:val="en-US"/>
        </w:rPr>
        <w:t xml:space="preserve">. </w:t>
      </w:r>
      <w:hyperlink r:id="rId24" w:history="1">
        <w:r w:rsidRPr="00233381">
          <w:rPr>
            <w:rStyle w:val="Hyperlink"/>
            <w:rFonts w:cstheme="minorHAnsi"/>
            <w:sz w:val="24"/>
            <w:szCs w:val="24"/>
            <w:lang w:val="en-US"/>
          </w:rPr>
          <w:t>https://doi.org/10.1590/1982-0275202138e190103</w:t>
        </w:r>
      </w:hyperlink>
      <w:r w:rsidRPr="00233381">
        <w:rPr>
          <w:rFonts w:cstheme="minorHAnsi"/>
          <w:sz w:val="24"/>
          <w:szCs w:val="24"/>
          <w:lang w:val="en-US"/>
        </w:rPr>
        <w:t xml:space="preserve"> </w:t>
      </w:r>
    </w:p>
    <w:p w14:paraId="4054D9C2" w14:textId="77777777" w:rsidR="00532C7F" w:rsidRPr="00233381" w:rsidRDefault="00532C7F" w:rsidP="00AE7044">
      <w:pPr>
        <w:spacing w:after="0" w:line="360" w:lineRule="auto"/>
        <w:ind w:left="482" w:hanging="482"/>
        <w:rPr>
          <w:rFonts w:cstheme="minorHAnsi"/>
          <w:sz w:val="24"/>
          <w:szCs w:val="24"/>
          <w:lang w:val="en-US"/>
        </w:rPr>
      </w:pPr>
      <w:r w:rsidRPr="00233381">
        <w:rPr>
          <w:rFonts w:cstheme="minorHAnsi"/>
          <w:sz w:val="24"/>
          <w:szCs w:val="24"/>
          <w:lang w:val="en-US"/>
        </w:rPr>
        <w:t xml:space="preserve">Santos, A. C. dos, Tenorio, P. J., Barbosa, E. A. S., Souza, G. F. de A., Souza, G. A., </w:t>
      </w:r>
      <w:proofErr w:type="spellStart"/>
      <w:r w:rsidRPr="00233381">
        <w:rPr>
          <w:rFonts w:cstheme="minorHAnsi"/>
          <w:sz w:val="24"/>
          <w:szCs w:val="24"/>
          <w:lang w:val="en-US"/>
        </w:rPr>
        <w:t>Praciano</w:t>
      </w:r>
      <w:proofErr w:type="spellEnd"/>
      <w:r w:rsidRPr="00233381">
        <w:rPr>
          <w:rFonts w:cstheme="minorHAnsi"/>
          <w:sz w:val="24"/>
          <w:szCs w:val="24"/>
          <w:lang w:val="en-US"/>
        </w:rPr>
        <w:t xml:space="preserve">, G. de A. F., Maranhão, L. B. B., Costa, G. O. L. P. da, &amp; Souza, A. S. R. (2021). The testing for COVID-19 in symptomatic patients as a protective factor against stress, anxiety, and depression. </w:t>
      </w:r>
      <w:proofErr w:type="spellStart"/>
      <w:r w:rsidRPr="00233381">
        <w:rPr>
          <w:rFonts w:cstheme="minorHAnsi"/>
          <w:i/>
          <w:iCs/>
          <w:sz w:val="24"/>
          <w:szCs w:val="24"/>
          <w:lang w:val="en-US"/>
        </w:rPr>
        <w:t>Revista</w:t>
      </w:r>
      <w:proofErr w:type="spellEnd"/>
      <w:r w:rsidRPr="00233381">
        <w:rPr>
          <w:rFonts w:cstheme="minorHAnsi"/>
          <w:i/>
          <w:iCs/>
          <w:sz w:val="24"/>
          <w:szCs w:val="24"/>
          <w:lang w:val="en-US"/>
        </w:rPr>
        <w:t xml:space="preserve"> Brasileira de Saúde Materno </w:t>
      </w:r>
      <w:proofErr w:type="spellStart"/>
      <w:r w:rsidRPr="00233381">
        <w:rPr>
          <w:rFonts w:cstheme="minorHAnsi"/>
          <w:i/>
          <w:iCs/>
          <w:sz w:val="24"/>
          <w:szCs w:val="24"/>
          <w:lang w:val="en-US"/>
        </w:rPr>
        <w:t>Infantil</w:t>
      </w:r>
      <w:proofErr w:type="spellEnd"/>
      <w:r w:rsidRPr="00233381">
        <w:rPr>
          <w:rFonts w:cstheme="minorHAnsi"/>
          <w:i/>
          <w:iCs/>
          <w:sz w:val="24"/>
          <w:szCs w:val="24"/>
          <w:lang w:val="en-US"/>
        </w:rPr>
        <w:t>, 21</w:t>
      </w:r>
      <w:r w:rsidRPr="00233381">
        <w:rPr>
          <w:rFonts w:cstheme="minorHAnsi"/>
          <w:sz w:val="24"/>
          <w:szCs w:val="24"/>
          <w:lang w:val="en-US"/>
        </w:rPr>
        <w:t xml:space="preserve">(suppl 1), 133–143. </w:t>
      </w:r>
      <w:hyperlink r:id="rId25" w:history="1">
        <w:r w:rsidRPr="00233381">
          <w:rPr>
            <w:rStyle w:val="Hyperlink"/>
            <w:rFonts w:cstheme="minorHAnsi"/>
            <w:sz w:val="24"/>
            <w:szCs w:val="24"/>
            <w:lang w:val="en-US"/>
          </w:rPr>
          <w:t>https://doi.org/10.1590/1806-9304202100s100007</w:t>
        </w:r>
      </w:hyperlink>
      <w:r w:rsidRPr="00233381">
        <w:rPr>
          <w:rFonts w:cstheme="minorHAnsi"/>
          <w:sz w:val="24"/>
          <w:szCs w:val="24"/>
          <w:lang w:val="en-US"/>
        </w:rPr>
        <w:t xml:space="preserve"> </w:t>
      </w:r>
    </w:p>
    <w:p w14:paraId="1232BF85" w14:textId="77777777" w:rsidR="00532C7F" w:rsidRPr="00233381" w:rsidRDefault="00532C7F" w:rsidP="00AE7044">
      <w:pPr>
        <w:spacing w:after="0" w:line="360" w:lineRule="auto"/>
        <w:ind w:left="482" w:hanging="482"/>
        <w:rPr>
          <w:rFonts w:cstheme="minorHAnsi"/>
          <w:sz w:val="24"/>
          <w:szCs w:val="24"/>
          <w:lang w:val="en-US"/>
        </w:rPr>
      </w:pPr>
      <w:r w:rsidRPr="00233381">
        <w:rPr>
          <w:rFonts w:cstheme="minorHAnsi"/>
          <w:sz w:val="24"/>
          <w:szCs w:val="24"/>
          <w:lang w:val="en-US"/>
        </w:rPr>
        <w:t xml:space="preserve">Santos, H. A. dos, Pimentel, C. F., Santana, J. C. S., Castro, N. C. C. V. de, &amp; Oliveira, F. B. de. (2022). Escala de </w:t>
      </w:r>
      <w:proofErr w:type="spellStart"/>
      <w:r w:rsidRPr="00233381">
        <w:rPr>
          <w:rFonts w:cstheme="minorHAnsi"/>
          <w:sz w:val="24"/>
          <w:szCs w:val="24"/>
          <w:lang w:val="en-US"/>
        </w:rPr>
        <w:t>Depressão</w:t>
      </w:r>
      <w:proofErr w:type="spellEnd"/>
      <w:r w:rsidRPr="00233381">
        <w:rPr>
          <w:rFonts w:cstheme="minorHAnsi"/>
          <w:sz w:val="24"/>
          <w:szCs w:val="24"/>
          <w:lang w:val="en-US"/>
        </w:rPr>
        <w:t xml:space="preserve">, </w:t>
      </w:r>
      <w:proofErr w:type="spellStart"/>
      <w:r w:rsidRPr="00233381">
        <w:rPr>
          <w:rFonts w:cstheme="minorHAnsi"/>
          <w:sz w:val="24"/>
          <w:szCs w:val="24"/>
          <w:lang w:val="en-US"/>
        </w:rPr>
        <w:t>Ansiedade</w:t>
      </w:r>
      <w:proofErr w:type="spellEnd"/>
      <w:r w:rsidRPr="00233381">
        <w:rPr>
          <w:rFonts w:cstheme="minorHAnsi"/>
          <w:sz w:val="24"/>
          <w:szCs w:val="24"/>
          <w:lang w:val="en-US"/>
        </w:rPr>
        <w:t xml:space="preserve"> e </w:t>
      </w:r>
      <w:proofErr w:type="spellStart"/>
      <w:r w:rsidRPr="00233381">
        <w:rPr>
          <w:rFonts w:cstheme="minorHAnsi"/>
          <w:sz w:val="24"/>
          <w:szCs w:val="24"/>
          <w:lang w:val="en-US"/>
        </w:rPr>
        <w:t>Estresse</w:t>
      </w:r>
      <w:proofErr w:type="spellEnd"/>
      <w:r w:rsidRPr="00233381">
        <w:rPr>
          <w:rFonts w:cstheme="minorHAnsi"/>
          <w:sz w:val="24"/>
          <w:szCs w:val="24"/>
          <w:lang w:val="en-US"/>
        </w:rPr>
        <w:t xml:space="preserve"> (DASS-21) </w:t>
      </w:r>
      <w:proofErr w:type="spellStart"/>
      <w:r w:rsidRPr="00233381">
        <w:rPr>
          <w:rFonts w:cstheme="minorHAnsi"/>
          <w:sz w:val="24"/>
          <w:szCs w:val="24"/>
          <w:lang w:val="en-US"/>
        </w:rPr>
        <w:t>na</w:t>
      </w:r>
      <w:proofErr w:type="spellEnd"/>
      <w:r w:rsidRPr="00233381">
        <w:rPr>
          <w:rFonts w:cstheme="minorHAnsi"/>
          <w:sz w:val="24"/>
          <w:szCs w:val="24"/>
          <w:lang w:val="en-US"/>
        </w:rPr>
        <w:t xml:space="preserve"> </w:t>
      </w:r>
      <w:proofErr w:type="spellStart"/>
      <w:r w:rsidRPr="00233381">
        <w:rPr>
          <w:rFonts w:cstheme="minorHAnsi"/>
          <w:sz w:val="24"/>
          <w:szCs w:val="24"/>
          <w:lang w:val="en-US"/>
        </w:rPr>
        <w:t>avaliação</w:t>
      </w:r>
      <w:proofErr w:type="spellEnd"/>
      <w:r w:rsidRPr="00233381">
        <w:rPr>
          <w:rFonts w:cstheme="minorHAnsi"/>
          <w:sz w:val="24"/>
          <w:szCs w:val="24"/>
          <w:lang w:val="en-US"/>
        </w:rPr>
        <w:t xml:space="preserve"> do </w:t>
      </w:r>
      <w:proofErr w:type="spellStart"/>
      <w:r w:rsidRPr="00233381">
        <w:rPr>
          <w:rFonts w:cstheme="minorHAnsi"/>
          <w:sz w:val="24"/>
          <w:szCs w:val="24"/>
          <w:lang w:val="en-US"/>
        </w:rPr>
        <w:t>estado</w:t>
      </w:r>
      <w:proofErr w:type="spellEnd"/>
      <w:r w:rsidRPr="00233381">
        <w:rPr>
          <w:rFonts w:cstheme="minorHAnsi"/>
          <w:sz w:val="24"/>
          <w:szCs w:val="24"/>
          <w:lang w:val="en-US"/>
        </w:rPr>
        <w:t xml:space="preserve"> </w:t>
      </w:r>
      <w:proofErr w:type="spellStart"/>
      <w:r w:rsidRPr="00233381">
        <w:rPr>
          <w:rFonts w:cstheme="minorHAnsi"/>
          <w:sz w:val="24"/>
          <w:szCs w:val="24"/>
          <w:lang w:val="en-US"/>
        </w:rPr>
        <w:t>emocional</w:t>
      </w:r>
      <w:proofErr w:type="spellEnd"/>
      <w:r w:rsidRPr="00233381">
        <w:rPr>
          <w:rFonts w:cstheme="minorHAnsi"/>
          <w:sz w:val="24"/>
          <w:szCs w:val="24"/>
          <w:lang w:val="en-US"/>
        </w:rPr>
        <w:t xml:space="preserve"> de </w:t>
      </w:r>
      <w:proofErr w:type="spellStart"/>
      <w:r w:rsidRPr="00233381">
        <w:rPr>
          <w:rFonts w:cstheme="minorHAnsi"/>
          <w:sz w:val="24"/>
          <w:szCs w:val="24"/>
          <w:lang w:val="en-US"/>
        </w:rPr>
        <w:t>estudantes</w:t>
      </w:r>
      <w:proofErr w:type="spellEnd"/>
      <w:r w:rsidRPr="00233381">
        <w:rPr>
          <w:rFonts w:cstheme="minorHAnsi"/>
          <w:sz w:val="24"/>
          <w:szCs w:val="24"/>
          <w:lang w:val="en-US"/>
        </w:rPr>
        <w:t xml:space="preserve"> de </w:t>
      </w:r>
      <w:proofErr w:type="spellStart"/>
      <w:r w:rsidRPr="00233381">
        <w:rPr>
          <w:rFonts w:cstheme="minorHAnsi"/>
          <w:sz w:val="24"/>
          <w:szCs w:val="24"/>
          <w:lang w:val="en-US"/>
        </w:rPr>
        <w:t>Fisioterapia</w:t>
      </w:r>
      <w:proofErr w:type="spellEnd"/>
      <w:r w:rsidRPr="00233381">
        <w:rPr>
          <w:rFonts w:cstheme="minorHAnsi"/>
          <w:sz w:val="24"/>
          <w:szCs w:val="24"/>
          <w:lang w:val="en-US"/>
        </w:rPr>
        <w:t xml:space="preserve"> </w:t>
      </w:r>
      <w:proofErr w:type="spellStart"/>
      <w:r w:rsidRPr="00233381">
        <w:rPr>
          <w:rFonts w:cstheme="minorHAnsi"/>
          <w:sz w:val="24"/>
          <w:szCs w:val="24"/>
          <w:lang w:val="en-US"/>
        </w:rPr>
        <w:t>na</w:t>
      </w:r>
      <w:proofErr w:type="spellEnd"/>
      <w:r w:rsidRPr="00233381">
        <w:rPr>
          <w:rFonts w:cstheme="minorHAnsi"/>
          <w:sz w:val="24"/>
          <w:szCs w:val="24"/>
          <w:lang w:val="en-US"/>
        </w:rPr>
        <w:t xml:space="preserve"> pandemia da COVID-19. </w:t>
      </w:r>
      <w:r w:rsidRPr="00233381">
        <w:rPr>
          <w:rFonts w:cstheme="minorHAnsi"/>
          <w:i/>
          <w:iCs/>
          <w:sz w:val="24"/>
          <w:szCs w:val="24"/>
          <w:lang w:val="en-US"/>
        </w:rPr>
        <w:t>Research, Society and Development, 11</w:t>
      </w:r>
      <w:r w:rsidRPr="00233381">
        <w:rPr>
          <w:rFonts w:cstheme="minorHAnsi"/>
          <w:sz w:val="24"/>
          <w:szCs w:val="24"/>
          <w:lang w:val="en-US"/>
        </w:rPr>
        <w:t xml:space="preserve">(16), e402111637978. </w:t>
      </w:r>
      <w:hyperlink r:id="rId26" w:history="1">
        <w:r w:rsidRPr="00233381">
          <w:rPr>
            <w:rStyle w:val="Hyperlink"/>
            <w:rFonts w:cstheme="minorHAnsi"/>
            <w:sz w:val="24"/>
            <w:szCs w:val="24"/>
            <w:lang w:val="en-US"/>
          </w:rPr>
          <w:t>https://doi.org/10.33448/rsd-v11i16.37978</w:t>
        </w:r>
      </w:hyperlink>
      <w:r w:rsidRPr="00233381">
        <w:rPr>
          <w:rFonts w:cstheme="minorHAnsi"/>
          <w:sz w:val="24"/>
          <w:szCs w:val="24"/>
          <w:lang w:val="en-US"/>
        </w:rPr>
        <w:t xml:space="preserve"> </w:t>
      </w:r>
    </w:p>
    <w:p w14:paraId="3FEA1534" w14:textId="77777777" w:rsidR="00532C7F" w:rsidRPr="00233381" w:rsidRDefault="00532C7F" w:rsidP="00AE7044">
      <w:pPr>
        <w:spacing w:after="0" w:line="360" w:lineRule="auto"/>
        <w:ind w:left="482" w:hanging="482"/>
        <w:rPr>
          <w:rFonts w:cstheme="minorHAnsi"/>
          <w:sz w:val="24"/>
          <w:szCs w:val="24"/>
          <w:lang w:val="en-US"/>
        </w:rPr>
      </w:pPr>
      <w:r w:rsidRPr="00233381">
        <w:rPr>
          <w:rFonts w:cstheme="minorHAnsi"/>
          <w:sz w:val="24"/>
          <w:szCs w:val="24"/>
          <w:lang w:val="en-US"/>
        </w:rPr>
        <w:t xml:space="preserve">Silva, H. A. da, Passos, M. H. P. dos, Oliveira, V. M. A. de, Palmeira, A. C., </w:t>
      </w:r>
      <w:proofErr w:type="spellStart"/>
      <w:r w:rsidRPr="00233381">
        <w:rPr>
          <w:rFonts w:cstheme="minorHAnsi"/>
          <w:sz w:val="24"/>
          <w:szCs w:val="24"/>
          <w:lang w:val="en-US"/>
        </w:rPr>
        <w:t>Pitangui</w:t>
      </w:r>
      <w:proofErr w:type="spellEnd"/>
      <w:r w:rsidRPr="00233381">
        <w:rPr>
          <w:rFonts w:cstheme="minorHAnsi"/>
          <w:sz w:val="24"/>
          <w:szCs w:val="24"/>
          <w:lang w:val="en-US"/>
        </w:rPr>
        <w:t xml:space="preserve">, A. C. R., &amp; Araújo, R. C. de. (2016). Short version of the Depression Anxiety Stress Scale-21: Is it valid for Brazilian adolescents? </w:t>
      </w:r>
      <w:r w:rsidRPr="00233381">
        <w:rPr>
          <w:rFonts w:cstheme="minorHAnsi"/>
          <w:i/>
          <w:iCs/>
          <w:sz w:val="24"/>
          <w:szCs w:val="24"/>
          <w:lang w:val="en-US"/>
        </w:rPr>
        <w:t>Einstein, 14</w:t>
      </w:r>
      <w:r w:rsidRPr="00233381">
        <w:rPr>
          <w:rFonts w:cstheme="minorHAnsi"/>
          <w:sz w:val="24"/>
          <w:szCs w:val="24"/>
          <w:lang w:val="en-US"/>
        </w:rPr>
        <w:t xml:space="preserve">(4), 486–493. </w:t>
      </w:r>
      <w:hyperlink r:id="rId27" w:history="1">
        <w:r w:rsidRPr="00233381">
          <w:rPr>
            <w:rStyle w:val="Hyperlink"/>
            <w:rFonts w:cstheme="minorHAnsi"/>
            <w:sz w:val="24"/>
            <w:szCs w:val="24"/>
            <w:lang w:val="en-US"/>
          </w:rPr>
          <w:t>https://doi.org/10.1590/s1679-45082016ao3732</w:t>
        </w:r>
      </w:hyperlink>
      <w:r w:rsidRPr="00233381">
        <w:rPr>
          <w:rFonts w:cstheme="minorHAnsi"/>
          <w:sz w:val="24"/>
          <w:szCs w:val="24"/>
          <w:lang w:val="en-US"/>
        </w:rPr>
        <w:t xml:space="preserve"> </w:t>
      </w:r>
    </w:p>
    <w:p w14:paraId="123C3519" w14:textId="77777777" w:rsidR="00532C7F" w:rsidRPr="00233381" w:rsidRDefault="00532C7F" w:rsidP="00AE7044">
      <w:pPr>
        <w:spacing w:after="0" w:line="360" w:lineRule="auto"/>
        <w:ind w:left="482" w:hanging="482"/>
        <w:rPr>
          <w:rFonts w:cstheme="minorHAnsi"/>
          <w:sz w:val="24"/>
          <w:szCs w:val="24"/>
          <w:lang w:val="en-US"/>
        </w:rPr>
      </w:pPr>
      <w:r w:rsidRPr="00233381">
        <w:rPr>
          <w:rFonts w:cstheme="minorHAnsi"/>
          <w:sz w:val="24"/>
          <w:szCs w:val="24"/>
          <w:lang w:val="en-US"/>
        </w:rPr>
        <w:t xml:space="preserve">Tabachnick, B. G., &amp; Fidell, L. S. (2001). </w:t>
      </w:r>
      <w:r w:rsidRPr="00233381">
        <w:rPr>
          <w:rFonts w:cstheme="minorHAnsi"/>
          <w:i/>
          <w:iCs/>
          <w:sz w:val="24"/>
          <w:szCs w:val="24"/>
          <w:lang w:val="en-US"/>
        </w:rPr>
        <w:t>Using multivariate statistics</w:t>
      </w:r>
      <w:r w:rsidRPr="00233381">
        <w:rPr>
          <w:rFonts w:cstheme="minorHAnsi"/>
          <w:sz w:val="24"/>
          <w:szCs w:val="24"/>
          <w:lang w:val="en-US"/>
        </w:rPr>
        <w:t xml:space="preserve"> (4th ed.). Allyn &amp; Bacon.</w:t>
      </w:r>
    </w:p>
    <w:p w14:paraId="2ACDC551" w14:textId="77777777" w:rsidR="00532C7F" w:rsidRPr="00233381" w:rsidRDefault="00532C7F" w:rsidP="00AE7044">
      <w:pPr>
        <w:spacing w:after="0" w:line="360" w:lineRule="auto"/>
        <w:ind w:left="482" w:hanging="482"/>
        <w:rPr>
          <w:rFonts w:cstheme="minorHAnsi"/>
          <w:sz w:val="24"/>
          <w:szCs w:val="24"/>
          <w:lang w:val="en-US"/>
        </w:rPr>
      </w:pPr>
      <w:r w:rsidRPr="00233381">
        <w:rPr>
          <w:rFonts w:cstheme="minorHAnsi"/>
          <w:sz w:val="24"/>
          <w:szCs w:val="24"/>
          <w:lang w:val="en-US"/>
        </w:rPr>
        <w:t xml:space="preserve">Terra, T., Schafer, J. L., Pan, P. M., Costa, A. B., Caye, A., Gadelha, A., Miguel, E. C., Bressan, R. A., Rohde, L. A., &amp; Salum, G. A. (2022). Mental health conditions in lesbian, gay, bisexual, transgender, queer and asexual youth in Brazil: A call for action. </w:t>
      </w:r>
      <w:r w:rsidRPr="00233381">
        <w:rPr>
          <w:rFonts w:cstheme="minorHAnsi"/>
          <w:i/>
          <w:iCs/>
          <w:sz w:val="24"/>
          <w:szCs w:val="24"/>
          <w:lang w:val="en-US"/>
        </w:rPr>
        <w:t>Journal of Affective Disorders, 298</w:t>
      </w:r>
      <w:r w:rsidRPr="00233381">
        <w:rPr>
          <w:rFonts w:cstheme="minorHAnsi"/>
          <w:sz w:val="24"/>
          <w:szCs w:val="24"/>
          <w:lang w:val="en-US"/>
        </w:rPr>
        <w:t xml:space="preserve">, 190–193. </w:t>
      </w:r>
      <w:hyperlink r:id="rId28" w:history="1">
        <w:r w:rsidRPr="00233381">
          <w:rPr>
            <w:rStyle w:val="Hyperlink"/>
            <w:rFonts w:cstheme="minorHAnsi"/>
            <w:sz w:val="24"/>
            <w:szCs w:val="24"/>
            <w:lang w:val="en-US"/>
          </w:rPr>
          <w:t>https://doi.org/10.1016/j.jad.2021.10.108</w:t>
        </w:r>
      </w:hyperlink>
      <w:r w:rsidRPr="00233381">
        <w:rPr>
          <w:rFonts w:cstheme="minorHAnsi"/>
          <w:sz w:val="24"/>
          <w:szCs w:val="24"/>
          <w:lang w:val="en-US"/>
        </w:rPr>
        <w:t xml:space="preserve"> </w:t>
      </w:r>
    </w:p>
    <w:p w14:paraId="331787F9" w14:textId="77777777" w:rsidR="00532C7F" w:rsidRPr="00233381" w:rsidRDefault="00532C7F" w:rsidP="00AE7044">
      <w:pPr>
        <w:spacing w:after="0" w:line="360" w:lineRule="auto"/>
        <w:ind w:left="482" w:hanging="482"/>
        <w:rPr>
          <w:rFonts w:cstheme="minorHAnsi"/>
          <w:sz w:val="24"/>
          <w:szCs w:val="24"/>
          <w:lang w:val="en-US"/>
        </w:rPr>
      </w:pPr>
      <w:r w:rsidRPr="00233381">
        <w:rPr>
          <w:rFonts w:cstheme="minorHAnsi"/>
          <w:sz w:val="24"/>
          <w:szCs w:val="24"/>
          <w:lang w:val="en-US"/>
        </w:rPr>
        <w:t xml:space="preserve">Vignola, R. C. B. (2013). </w:t>
      </w:r>
      <w:r w:rsidRPr="00233381">
        <w:rPr>
          <w:rFonts w:cstheme="minorHAnsi"/>
          <w:i/>
          <w:iCs/>
          <w:sz w:val="24"/>
          <w:szCs w:val="24"/>
          <w:lang w:val="en-US"/>
        </w:rPr>
        <w:t xml:space="preserve">Escala de </w:t>
      </w:r>
      <w:proofErr w:type="spellStart"/>
      <w:r w:rsidRPr="00233381">
        <w:rPr>
          <w:rFonts w:cstheme="minorHAnsi"/>
          <w:i/>
          <w:iCs/>
          <w:sz w:val="24"/>
          <w:szCs w:val="24"/>
          <w:lang w:val="en-US"/>
        </w:rPr>
        <w:t>Depressão</w:t>
      </w:r>
      <w:proofErr w:type="spellEnd"/>
      <w:r w:rsidRPr="00233381">
        <w:rPr>
          <w:rFonts w:cstheme="minorHAnsi"/>
          <w:i/>
          <w:iCs/>
          <w:sz w:val="24"/>
          <w:szCs w:val="24"/>
          <w:lang w:val="en-US"/>
        </w:rPr>
        <w:t xml:space="preserve">, </w:t>
      </w:r>
      <w:proofErr w:type="spellStart"/>
      <w:r w:rsidRPr="00233381">
        <w:rPr>
          <w:rFonts w:cstheme="minorHAnsi"/>
          <w:i/>
          <w:iCs/>
          <w:sz w:val="24"/>
          <w:szCs w:val="24"/>
          <w:lang w:val="en-US"/>
        </w:rPr>
        <w:t>Ansiedade</w:t>
      </w:r>
      <w:proofErr w:type="spellEnd"/>
      <w:r w:rsidRPr="00233381">
        <w:rPr>
          <w:rFonts w:cstheme="minorHAnsi"/>
          <w:i/>
          <w:iCs/>
          <w:sz w:val="24"/>
          <w:szCs w:val="24"/>
          <w:lang w:val="en-US"/>
        </w:rPr>
        <w:t xml:space="preserve"> e </w:t>
      </w:r>
      <w:proofErr w:type="spellStart"/>
      <w:r w:rsidRPr="00233381">
        <w:rPr>
          <w:rFonts w:cstheme="minorHAnsi"/>
          <w:i/>
          <w:iCs/>
          <w:sz w:val="24"/>
          <w:szCs w:val="24"/>
          <w:lang w:val="en-US"/>
        </w:rPr>
        <w:t>Estresse</w:t>
      </w:r>
      <w:proofErr w:type="spellEnd"/>
      <w:r w:rsidRPr="00233381">
        <w:rPr>
          <w:rFonts w:cstheme="minorHAnsi"/>
          <w:i/>
          <w:iCs/>
          <w:sz w:val="24"/>
          <w:szCs w:val="24"/>
          <w:lang w:val="en-US"/>
        </w:rPr>
        <w:t xml:space="preserve"> (DASS): </w:t>
      </w:r>
      <w:proofErr w:type="spellStart"/>
      <w:r w:rsidRPr="00233381">
        <w:rPr>
          <w:rFonts w:cstheme="minorHAnsi"/>
          <w:i/>
          <w:iCs/>
          <w:sz w:val="24"/>
          <w:szCs w:val="24"/>
          <w:lang w:val="en-US"/>
        </w:rPr>
        <w:t>Adaptação</w:t>
      </w:r>
      <w:proofErr w:type="spellEnd"/>
      <w:r w:rsidRPr="00233381">
        <w:rPr>
          <w:rFonts w:cstheme="minorHAnsi"/>
          <w:i/>
          <w:iCs/>
          <w:sz w:val="24"/>
          <w:szCs w:val="24"/>
          <w:lang w:val="en-US"/>
        </w:rPr>
        <w:t xml:space="preserve"> e </w:t>
      </w:r>
      <w:proofErr w:type="spellStart"/>
      <w:r w:rsidRPr="00233381">
        <w:rPr>
          <w:rFonts w:cstheme="minorHAnsi"/>
          <w:i/>
          <w:iCs/>
          <w:sz w:val="24"/>
          <w:szCs w:val="24"/>
          <w:lang w:val="en-US"/>
        </w:rPr>
        <w:t>validação</w:t>
      </w:r>
      <w:proofErr w:type="spellEnd"/>
      <w:r w:rsidRPr="00233381">
        <w:rPr>
          <w:rFonts w:cstheme="minorHAnsi"/>
          <w:i/>
          <w:iCs/>
          <w:sz w:val="24"/>
          <w:szCs w:val="24"/>
          <w:lang w:val="en-US"/>
        </w:rPr>
        <w:t xml:space="preserve"> para o </w:t>
      </w:r>
      <w:proofErr w:type="spellStart"/>
      <w:r w:rsidRPr="00233381">
        <w:rPr>
          <w:rFonts w:cstheme="minorHAnsi"/>
          <w:i/>
          <w:iCs/>
          <w:sz w:val="24"/>
          <w:szCs w:val="24"/>
          <w:lang w:val="en-US"/>
        </w:rPr>
        <w:t>português</w:t>
      </w:r>
      <w:proofErr w:type="spellEnd"/>
      <w:r w:rsidRPr="00233381">
        <w:rPr>
          <w:rFonts w:cstheme="minorHAnsi"/>
          <w:i/>
          <w:iCs/>
          <w:sz w:val="24"/>
          <w:szCs w:val="24"/>
          <w:lang w:val="en-US"/>
        </w:rPr>
        <w:t xml:space="preserve"> do </w:t>
      </w:r>
      <w:proofErr w:type="spellStart"/>
      <w:r w:rsidRPr="00233381">
        <w:rPr>
          <w:rFonts w:cstheme="minorHAnsi"/>
          <w:i/>
          <w:iCs/>
          <w:sz w:val="24"/>
          <w:szCs w:val="24"/>
          <w:lang w:val="en-US"/>
        </w:rPr>
        <w:t>Brasil</w:t>
      </w:r>
      <w:proofErr w:type="spellEnd"/>
      <w:r w:rsidRPr="00233381">
        <w:rPr>
          <w:rFonts w:cstheme="minorHAnsi"/>
          <w:sz w:val="24"/>
          <w:szCs w:val="24"/>
          <w:lang w:val="en-US"/>
        </w:rPr>
        <w:t xml:space="preserve"> [Dissertation, </w:t>
      </w:r>
      <w:proofErr w:type="spellStart"/>
      <w:r w:rsidRPr="00233381">
        <w:rPr>
          <w:rFonts w:cstheme="minorHAnsi"/>
          <w:sz w:val="24"/>
          <w:szCs w:val="24"/>
          <w:lang w:val="en-US"/>
        </w:rPr>
        <w:t>Universidade</w:t>
      </w:r>
      <w:proofErr w:type="spellEnd"/>
      <w:r w:rsidRPr="00233381">
        <w:rPr>
          <w:rFonts w:cstheme="minorHAnsi"/>
          <w:sz w:val="24"/>
          <w:szCs w:val="24"/>
          <w:lang w:val="en-US"/>
        </w:rPr>
        <w:t xml:space="preserve"> Federal de São Paulo]. </w:t>
      </w:r>
      <w:hyperlink r:id="rId29" w:history="1">
        <w:r w:rsidRPr="00233381">
          <w:rPr>
            <w:rStyle w:val="Hyperlink"/>
            <w:rFonts w:cstheme="minorHAnsi"/>
            <w:sz w:val="24"/>
            <w:szCs w:val="24"/>
            <w:lang w:val="en-US"/>
          </w:rPr>
          <w:t>http://repositorio.unifesp.br/handle/11600/48328</w:t>
        </w:r>
      </w:hyperlink>
      <w:r w:rsidRPr="00233381">
        <w:rPr>
          <w:rFonts w:cstheme="minorHAnsi"/>
          <w:sz w:val="24"/>
          <w:szCs w:val="24"/>
          <w:lang w:val="en-US"/>
        </w:rPr>
        <w:t xml:space="preserve"> </w:t>
      </w:r>
    </w:p>
    <w:p w14:paraId="28C8233D" w14:textId="77777777" w:rsidR="00532C7F" w:rsidRPr="00233381" w:rsidRDefault="00532C7F" w:rsidP="00AE7044">
      <w:pPr>
        <w:spacing w:after="0" w:line="360" w:lineRule="auto"/>
        <w:ind w:left="482" w:hanging="482"/>
        <w:rPr>
          <w:rFonts w:cstheme="minorHAnsi"/>
          <w:sz w:val="24"/>
          <w:szCs w:val="24"/>
          <w:lang w:val="en-US"/>
        </w:rPr>
      </w:pPr>
      <w:r w:rsidRPr="00233381">
        <w:rPr>
          <w:rFonts w:cstheme="minorHAnsi"/>
          <w:sz w:val="24"/>
          <w:szCs w:val="24"/>
          <w:lang w:val="en-US"/>
        </w:rPr>
        <w:lastRenderedPageBreak/>
        <w:t xml:space="preserve">Vignola, R. C. B., &amp; Tucci, A. M. (2014). Adaptation and validation of the depression, </w:t>
      </w:r>
      <w:proofErr w:type="gramStart"/>
      <w:r w:rsidRPr="00233381">
        <w:rPr>
          <w:rFonts w:cstheme="minorHAnsi"/>
          <w:sz w:val="24"/>
          <w:szCs w:val="24"/>
          <w:lang w:val="en-US"/>
        </w:rPr>
        <w:t>anxiety</w:t>
      </w:r>
      <w:proofErr w:type="gramEnd"/>
      <w:r w:rsidRPr="00233381">
        <w:rPr>
          <w:rFonts w:cstheme="minorHAnsi"/>
          <w:sz w:val="24"/>
          <w:szCs w:val="24"/>
          <w:lang w:val="en-US"/>
        </w:rPr>
        <w:t xml:space="preserve"> and stress scale (DASS) to Brazilian Portuguese</w:t>
      </w:r>
      <w:r w:rsidRPr="00233381">
        <w:rPr>
          <w:rFonts w:cstheme="minorHAnsi"/>
          <w:i/>
          <w:iCs/>
          <w:sz w:val="24"/>
          <w:szCs w:val="24"/>
          <w:lang w:val="en-US"/>
        </w:rPr>
        <w:t>. Journal of Affective Disorders, 155</w:t>
      </w:r>
      <w:r w:rsidRPr="00233381">
        <w:rPr>
          <w:rFonts w:cstheme="minorHAnsi"/>
          <w:sz w:val="24"/>
          <w:szCs w:val="24"/>
          <w:lang w:val="en-US"/>
        </w:rPr>
        <w:t xml:space="preserve">, 104–109. </w:t>
      </w:r>
      <w:hyperlink r:id="rId30" w:history="1">
        <w:r w:rsidRPr="00233381">
          <w:rPr>
            <w:rStyle w:val="Hyperlink"/>
            <w:rFonts w:cstheme="minorHAnsi"/>
            <w:sz w:val="24"/>
            <w:szCs w:val="24"/>
            <w:lang w:val="en-US"/>
          </w:rPr>
          <w:t>https://doi.org/10.1016/j.jad.2013.10.031</w:t>
        </w:r>
      </w:hyperlink>
      <w:r w:rsidRPr="00233381">
        <w:rPr>
          <w:rFonts w:cstheme="minorHAnsi"/>
          <w:sz w:val="24"/>
          <w:szCs w:val="24"/>
          <w:lang w:val="en-US"/>
        </w:rPr>
        <w:t xml:space="preserve"> </w:t>
      </w:r>
    </w:p>
    <w:p w14:paraId="20FCB573" w14:textId="77777777" w:rsidR="00532C7F" w:rsidRPr="00233381" w:rsidRDefault="00532C7F" w:rsidP="00AE7044">
      <w:pPr>
        <w:spacing w:after="0" w:line="360" w:lineRule="auto"/>
        <w:ind w:left="482" w:hanging="482"/>
        <w:rPr>
          <w:rFonts w:cstheme="minorHAnsi"/>
          <w:sz w:val="24"/>
          <w:szCs w:val="24"/>
          <w:lang w:val="en-US"/>
        </w:rPr>
      </w:pPr>
      <w:r w:rsidRPr="00233381">
        <w:rPr>
          <w:rFonts w:cstheme="minorHAnsi"/>
          <w:sz w:val="24"/>
          <w:szCs w:val="24"/>
          <w:lang w:val="en-US"/>
        </w:rPr>
        <w:t>Watson, D., Weber, K., Assenheimer, J. S., Clark, L. A., Strauss, M. E., &amp; McCormick, R. A. (1995). Testing a tripartite model: I. Evaluating the convergent and discriminant validity of anxiety and depression symptom scales.</w:t>
      </w:r>
      <w:r w:rsidRPr="00233381">
        <w:rPr>
          <w:rFonts w:cstheme="minorHAnsi"/>
          <w:i/>
          <w:iCs/>
          <w:sz w:val="24"/>
          <w:szCs w:val="24"/>
          <w:lang w:val="en-US"/>
        </w:rPr>
        <w:t xml:space="preserve"> Journal of Abnormal Psychology, 104</w:t>
      </w:r>
      <w:r w:rsidRPr="00233381">
        <w:rPr>
          <w:rFonts w:cstheme="minorHAnsi"/>
          <w:sz w:val="24"/>
          <w:szCs w:val="24"/>
          <w:lang w:val="en-US"/>
        </w:rPr>
        <w:t xml:space="preserve">(1), 3–14. </w:t>
      </w:r>
      <w:hyperlink r:id="rId31" w:history="1">
        <w:r w:rsidRPr="00233381">
          <w:rPr>
            <w:rStyle w:val="Hyperlink"/>
            <w:rFonts w:cstheme="minorHAnsi"/>
            <w:sz w:val="24"/>
            <w:szCs w:val="24"/>
            <w:lang w:val="en-US"/>
          </w:rPr>
          <w:t>https://doi.org/10.1037/0021-843X.104.1.3</w:t>
        </w:r>
      </w:hyperlink>
      <w:r w:rsidRPr="00233381">
        <w:rPr>
          <w:rFonts w:cstheme="minorHAnsi"/>
          <w:sz w:val="24"/>
          <w:szCs w:val="24"/>
          <w:lang w:val="en-US"/>
        </w:rPr>
        <w:t xml:space="preserve"> </w:t>
      </w:r>
    </w:p>
    <w:p w14:paraId="531B1233" w14:textId="77777777" w:rsidR="002647BF" w:rsidRPr="00233381" w:rsidRDefault="002647BF" w:rsidP="00AE7044">
      <w:pPr>
        <w:spacing w:line="360" w:lineRule="auto"/>
        <w:rPr>
          <w:rFonts w:cstheme="minorHAnsi"/>
        </w:rPr>
      </w:pPr>
    </w:p>
    <w:sectPr w:rsidR="002647BF" w:rsidRPr="00233381" w:rsidSect="0045767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3A108" w14:textId="77777777" w:rsidR="00733AE9" w:rsidRDefault="00733AE9" w:rsidP="00831BEB">
      <w:pPr>
        <w:spacing w:after="0" w:line="240" w:lineRule="auto"/>
      </w:pPr>
      <w:r>
        <w:separator/>
      </w:r>
    </w:p>
  </w:endnote>
  <w:endnote w:type="continuationSeparator" w:id="0">
    <w:p w14:paraId="06BF85F4" w14:textId="77777777" w:rsidR="00733AE9" w:rsidRDefault="00733AE9" w:rsidP="00831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4C319" w14:textId="77777777" w:rsidR="00733AE9" w:rsidRDefault="00733AE9" w:rsidP="00831BEB">
      <w:pPr>
        <w:spacing w:after="0" w:line="240" w:lineRule="auto"/>
      </w:pPr>
      <w:r>
        <w:separator/>
      </w:r>
    </w:p>
  </w:footnote>
  <w:footnote w:type="continuationSeparator" w:id="0">
    <w:p w14:paraId="44A59D4E" w14:textId="77777777" w:rsidR="00733AE9" w:rsidRDefault="00733AE9" w:rsidP="00831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96BED"/>
    <w:multiLevelType w:val="hybridMultilevel"/>
    <w:tmpl w:val="FFFFFFFF"/>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546775C"/>
    <w:multiLevelType w:val="hybridMultilevel"/>
    <w:tmpl w:val="FFFFFFFF"/>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07416521">
    <w:abstractNumId w:val="1"/>
  </w:num>
  <w:num w:numId="2" w16cid:durableId="114520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763"/>
    <w:rsid w:val="00057D16"/>
    <w:rsid w:val="00064664"/>
    <w:rsid w:val="00134A30"/>
    <w:rsid w:val="001C15B1"/>
    <w:rsid w:val="00233381"/>
    <w:rsid w:val="002647BF"/>
    <w:rsid w:val="00404A01"/>
    <w:rsid w:val="004122F5"/>
    <w:rsid w:val="00442F01"/>
    <w:rsid w:val="00457674"/>
    <w:rsid w:val="004E4F35"/>
    <w:rsid w:val="00532C7F"/>
    <w:rsid w:val="006B5C93"/>
    <w:rsid w:val="00733AE9"/>
    <w:rsid w:val="007E63E0"/>
    <w:rsid w:val="00831BEB"/>
    <w:rsid w:val="008F133D"/>
    <w:rsid w:val="00952763"/>
    <w:rsid w:val="00965DFB"/>
    <w:rsid w:val="009977CC"/>
    <w:rsid w:val="00A20C22"/>
    <w:rsid w:val="00A553E4"/>
    <w:rsid w:val="00A76D38"/>
    <w:rsid w:val="00AC2B27"/>
    <w:rsid w:val="00AE7044"/>
    <w:rsid w:val="00B828E7"/>
    <w:rsid w:val="00D4353F"/>
    <w:rsid w:val="00D933A4"/>
    <w:rsid w:val="00E018E2"/>
    <w:rsid w:val="00E10269"/>
    <w:rsid w:val="00E14EB0"/>
    <w:rsid w:val="00E93FEB"/>
    <w:rsid w:val="00EC51BF"/>
    <w:rsid w:val="00EE793C"/>
    <w:rsid w:val="00F54D22"/>
    <w:rsid w:val="00FA4357"/>
    <w:rsid w:val="00FB68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B8B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kern w:val="2"/>
        <w:sz w:val="24"/>
        <w:szCs w:val="24"/>
        <w:lang w:val="pt-BR"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C7F"/>
    <w:pPr>
      <w:spacing w:after="160" w:line="259" w:lineRule="auto"/>
    </w:pPr>
    <w:rPr>
      <w:rFonts w:eastAsia="Times New Roman" w:cs="Times New Roman"/>
      <w:sz w:val="22"/>
      <w:szCs w:val="22"/>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1BEB"/>
    <w:pPr>
      <w:tabs>
        <w:tab w:val="center" w:pos="4252"/>
        <w:tab w:val="right" w:pos="8504"/>
      </w:tabs>
      <w:spacing w:line="240" w:lineRule="auto"/>
    </w:pPr>
  </w:style>
  <w:style w:type="character" w:customStyle="1" w:styleId="CabealhoChar">
    <w:name w:val="Cabeçalho Char"/>
    <w:basedOn w:val="Fontepargpadro"/>
    <w:link w:val="Cabealho"/>
    <w:uiPriority w:val="99"/>
    <w:rsid w:val="00831BEB"/>
  </w:style>
  <w:style w:type="paragraph" w:styleId="Rodap">
    <w:name w:val="footer"/>
    <w:basedOn w:val="Normal"/>
    <w:link w:val="RodapChar"/>
    <w:uiPriority w:val="99"/>
    <w:unhideWhenUsed/>
    <w:rsid w:val="00831BEB"/>
    <w:pPr>
      <w:tabs>
        <w:tab w:val="center" w:pos="4252"/>
        <w:tab w:val="right" w:pos="8504"/>
      </w:tabs>
      <w:spacing w:line="240" w:lineRule="auto"/>
    </w:pPr>
  </w:style>
  <w:style w:type="character" w:customStyle="1" w:styleId="RodapChar">
    <w:name w:val="Rodapé Char"/>
    <w:basedOn w:val="Fontepargpadro"/>
    <w:link w:val="Rodap"/>
    <w:uiPriority w:val="99"/>
    <w:rsid w:val="00831BEB"/>
  </w:style>
  <w:style w:type="character" w:styleId="TextodoEspaoReservado">
    <w:name w:val="Placeholder Text"/>
    <w:basedOn w:val="Fontepargpadro"/>
    <w:uiPriority w:val="99"/>
    <w:semiHidden/>
    <w:rsid w:val="00532C7F"/>
    <w:rPr>
      <w:rFonts w:cs="Times New Roman"/>
      <w:color w:val="808080"/>
    </w:rPr>
  </w:style>
  <w:style w:type="paragraph" w:styleId="PargrafodaLista">
    <w:name w:val="List Paragraph"/>
    <w:basedOn w:val="Normal"/>
    <w:uiPriority w:val="34"/>
    <w:qFormat/>
    <w:rsid w:val="00532C7F"/>
    <w:pPr>
      <w:ind w:left="720"/>
      <w:contextualSpacing/>
    </w:pPr>
  </w:style>
  <w:style w:type="character" w:styleId="nfase">
    <w:name w:val="Emphasis"/>
    <w:basedOn w:val="Fontepargpadro"/>
    <w:uiPriority w:val="20"/>
    <w:qFormat/>
    <w:rsid w:val="00532C7F"/>
    <w:rPr>
      <w:i/>
    </w:rPr>
  </w:style>
  <w:style w:type="table" w:styleId="Tabelacomgrade">
    <w:name w:val="Table Grid"/>
    <w:basedOn w:val="Tabelanormal"/>
    <w:uiPriority w:val="59"/>
    <w:rsid w:val="00532C7F"/>
    <w:pPr>
      <w:spacing w:line="240" w:lineRule="auto"/>
    </w:pPr>
    <w:rPr>
      <w:rFonts w:ascii="Calibri" w:eastAsia="Times New Roman" w:hAnsi="Calibri"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532C7F"/>
  </w:style>
  <w:style w:type="paragraph" w:styleId="Textodenotaderodap">
    <w:name w:val="footnote text"/>
    <w:basedOn w:val="Normal"/>
    <w:link w:val="TextodenotaderodapChar"/>
    <w:uiPriority w:val="99"/>
    <w:semiHidden/>
    <w:unhideWhenUsed/>
    <w:rsid w:val="00532C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32C7F"/>
    <w:rPr>
      <w:rFonts w:eastAsia="Times New Roman" w:cs="Times New Roman"/>
      <w:sz w:val="20"/>
      <w:szCs w:val="20"/>
      <w14:ligatures w14:val="none"/>
    </w:rPr>
  </w:style>
  <w:style w:type="character" w:styleId="Refdenotaderodap">
    <w:name w:val="footnote reference"/>
    <w:basedOn w:val="Fontepargpadro"/>
    <w:uiPriority w:val="99"/>
    <w:semiHidden/>
    <w:unhideWhenUsed/>
    <w:rsid w:val="00532C7F"/>
    <w:rPr>
      <w:rFonts w:cs="Times New Roman"/>
      <w:vertAlign w:val="superscript"/>
    </w:rPr>
  </w:style>
  <w:style w:type="character" w:styleId="Hyperlink">
    <w:name w:val="Hyperlink"/>
    <w:basedOn w:val="Fontepargpadro"/>
    <w:uiPriority w:val="99"/>
    <w:unhideWhenUsed/>
    <w:rsid w:val="00532C7F"/>
    <w:rPr>
      <w:rFonts w:cs="Times New Roman"/>
      <w:color w:val="0563C1" w:themeColor="hyperlink"/>
      <w:u w:val="single"/>
    </w:rPr>
  </w:style>
  <w:style w:type="character" w:styleId="MenoPendente">
    <w:name w:val="Unresolved Mention"/>
    <w:basedOn w:val="Fontepargpadro"/>
    <w:uiPriority w:val="99"/>
    <w:semiHidden/>
    <w:unhideWhenUsed/>
    <w:rsid w:val="00532C7F"/>
    <w:rPr>
      <w:rFonts w:cs="Times New Roman"/>
      <w:color w:val="605E5C"/>
      <w:shd w:val="clear" w:color="auto" w:fill="E1DFDD"/>
    </w:rPr>
  </w:style>
  <w:style w:type="character" w:styleId="Refdecomentrio">
    <w:name w:val="annotation reference"/>
    <w:basedOn w:val="Fontepargpadro"/>
    <w:uiPriority w:val="99"/>
    <w:semiHidden/>
    <w:unhideWhenUsed/>
    <w:rsid w:val="00532C7F"/>
    <w:rPr>
      <w:rFonts w:cs="Times New Roman"/>
      <w:sz w:val="16"/>
      <w:szCs w:val="16"/>
    </w:rPr>
  </w:style>
  <w:style w:type="paragraph" w:styleId="Textodecomentrio">
    <w:name w:val="annotation text"/>
    <w:basedOn w:val="Normal"/>
    <w:link w:val="TextodecomentrioChar"/>
    <w:uiPriority w:val="99"/>
    <w:unhideWhenUsed/>
    <w:rsid w:val="00532C7F"/>
    <w:pPr>
      <w:spacing w:line="240" w:lineRule="auto"/>
    </w:pPr>
    <w:rPr>
      <w:sz w:val="20"/>
      <w:szCs w:val="20"/>
    </w:rPr>
  </w:style>
  <w:style w:type="character" w:customStyle="1" w:styleId="TextodecomentrioChar">
    <w:name w:val="Texto de comentário Char"/>
    <w:basedOn w:val="Fontepargpadro"/>
    <w:link w:val="Textodecomentrio"/>
    <w:uiPriority w:val="99"/>
    <w:rsid w:val="00532C7F"/>
    <w:rPr>
      <w:rFonts w:eastAsia="Times New Roman" w:cs="Times New Roman"/>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532C7F"/>
    <w:rPr>
      <w:b/>
      <w:bCs/>
    </w:rPr>
  </w:style>
  <w:style w:type="character" w:customStyle="1" w:styleId="AssuntodocomentrioChar">
    <w:name w:val="Assunto do comentário Char"/>
    <w:basedOn w:val="TextodecomentrioChar"/>
    <w:link w:val="Assuntodocomentrio"/>
    <w:uiPriority w:val="99"/>
    <w:semiHidden/>
    <w:rsid w:val="00532C7F"/>
    <w:rPr>
      <w:rFonts w:eastAsia="Times New Roman" w:cs="Times New Roman"/>
      <w:b/>
      <w:bCs/>
      <w:sz w:val="20"/>
      <w:szCs w:val="20"/>
      <w14:ligatures w14:val="none"/>
    </w:rPr>
  </w:style>
  <w:style w:type="paragraph" w:styleId="Reviso">
    <w:name w:val="Revision"/>
    <w:hidden/>
    <w:uiPriority w:val="99"/>
    <w:semiHidden/>
    <w:rsid w:val="00532C7F"/>
    <w:pPr>
      <w:spacing w:line="240" w:lineRule="auto"/>
    </w:pPr>
    <w:rPr>
      <w:rFonts w:eastAsia="Times New Roman" w:cs="Times New Roman"/>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90/1981-5271v45.2-20200446.ing" TargetMode="External"/><Relationship Id="rId18" Type="http://schemas.openxmlformats.org/officeDocument/2006/relationships/hyperlink" Target="https://doi.org/10.2105/ajph.93.2.262" TargetMode="External"/><Relationship Id="rId26" Type="http://schemas.openxmlformats.org/officeDocument/2006/relationships/hyperlink" Target="https://doi.org/10.33448/rsd-v11i16.37978" TargetMode="External"/><Relationship Id="rId3" Type="http://schemas.openxmlformats.org/officeDocument/2006/relationships/settings" Target="settings.xml"/><Relationship Id="rId21" Type="http://schemas.openxmlformats.org/officeDocument/2006/relationships/hyperlink" Target="https://doi.org/10.1590/1413-82712016210302" TargetMode="External"/><Relationship Id="rId7" Type="http://schemas.openxmlformats.org/officeDocument/2006/relationships/hyperlink" Target="https://doi.org/10.1037/a0039906" TargetMode="External"/><Relationship Id="rId12" Type="http://schemas.openxmlformats.org/officeDocument/2006/relationships/hyperlink" Target="https://doi.org/10.1590/1981-5271v45.3-20200493.ing" TargetMode="External"/><Relationship Id="rId17" Type="http://schemas.openxmlformats.org/officeDocument/2006/relationships/hyperlink" Target="https://doi.org/10.2105/ajph.91.6.856" TargetMode="External"/><Relationship Id="rId25" Type="http://schemas.openxmlformats.org/officeDocument/2006/relationships/hyperlink" Target="https://doi.org/10.1590/1806-9304202100s10000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307/2137286" TargetMode="External"/><Relationship Id="rId20" Type="http://schemas.openxmlformats.org/officeDocument/2006/relationships/hyperlink" Target="https://editorarevistas.mackenzie.br/index.php/remef/article/view/658" TargetMode="External"/><Relationship Id="rId29" Type="http://schemas.openxmlformats.org/officeDocument/2006/relationships/hyperlink" Target="http://repositorio.unifesp.br/handle/11600/483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448/rsd-v10i7.15572" TargetMode="External"/><Relationship Id="rId24" Type="http://schemas.openxmlformats.org/officeDocument/2006/relationships/hyperlink" Target="https://doi.org/10.1590/1982-0275202138e19010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590/0047-2085000000284" TargetMode="External"/><Relationship Id="rId23" Type="http://schemas.openxmlformats.org/officeDocument/2006/relationships/hyperlink" Target="https://doi.org/10.1590/1413-82712021260413" TargetMode="External"/><Relationship Id="rId28" Type="http://schemas.openxmlformats.org/officeDocument/2006/relationships/hyperlink" Target="https://doi.org/10.1016/j.jad.2021.10.108" TargetMode="External"/><Relationship Id="rId10" Type="http://schemas.openxmlformats.org/officeDocument/2006/relationships/hyperlink" Target="https://doi.org/10.1192/bjp.126.3.237" TargetMode="External"/><Relationship Id="rId19" Type="http://schemas.openxmlformats.org/officeDocument/2006/relationships/hyperlink" Target="https://doi.org/10.1037/0033-2909.129.5.674" TargetMode="External"/><Relationship Id="rId31" Type="http://schemas.openxmlformats.org/officeDocument/2006/relationships/hyperlink" Target="https://doi.org/10.1037/0021-843X.104.1.3" TargetMode="External"/><Relationship Id="rId4" Type="http://schemas.openxmlformats.org/officeDocument/2006/relationships/webSettings" Target="webSettings.xml"/><Relationship Id="rId9" Type="http://schemas.openxmlformats.org/officeDocument/2006/relationships/hyperlink" Target="https://doi.org/10.5935/2318-0404.20210024" TargetMode="External"/><Relationship Id="rId14" Type="http://schemas.openxmlformats.org/officeDocument/2006/relationships/hyperlink" Target="https://doi.org/10.1016/0005-7967(94)00075-U" TargetMode="External"/><Relationship Id="rId22" Type="http://schemas.openxmlformats.org/officeDocument/2006/relationships/hyperlink" Target="https://doi.org/10.2307/2136676" TargetMode="External"/><Relationship Id="rId27" Type="http://schemas.openxmlformats.org/officeDocument/2006/relationships/hyperlink" Target="https://doi.org/10.1590/s1679-45082016ao3732" TargetMode="External"/><Relationship Id="rId30" Type="http://schemas.openxmlformats.org/officeDocument/2006/relationships/hyperlink" Target="https://doi.org/10.1016/j.jad.2013.10.031" TargetMode="External"/><Relationship Id="rId8" Type="http://schemas.openxmlformats.org/officeDocument/2006/relationships/hyperlink" Target="https://doi.org/10.1590/1806-9304202100s20000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7027</Words>
  <Characters>37948</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2023-12-10T10:15:00Z</dcterms:created>
  <dcterms:modified xsi:type="dcterms:W3CDTF">2023-12-10T11:15:00Z</dcterms:modified>
</cp:coreProperties>
</file>