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E5255" w14:textId="0B83137E" w:rsidR="00C413D4" w:rsidRPr="00082D68" w:rsidRDefault="00153DC5" w:rsidP="0038356E">
      <w:pPr>
        <w:pStyle w:val="Titulodeartculo"/>
        <w:rPr>
          <w:b w:val="0"/>
          <w:lang w:val="es-AR"/>
        </w:rPr>
      </w:pPr>
      <w:r w:rsidRPr="00082D68">
        <w:rPr>
          <w:lang w:val="es-AR"/>
        </w:rPr>
        <w:t xml:space="preserve"> </w:t>
      </w:r>
      <w:r w:rsidR="0038356E" w:rsidRPr="0038356E">
        <w:rPr>
          <w:lang w:val="es-AR"/>
        </w:rPr>
        <w:t>Women in middle age and old age: living conditions, mental health and race/color</w:t>
      </w:r>
    </w:p>
    <w:p w14:paraId="6C942DCA" w14:textId="77777777" w:rsidR="00B845A1" w:rsidRPr="00082D68" w:rsidRDefault="00B845A1" w:rsidP="00C413D4">
      <w:pPr>
        <w:rPr>
          <w:i/>
          <w:sz w:val="28"/>
          <w:szCs w:val="28"/>
          <w:lang w:val="es-AR"/>
        </w:rPr>
      </w:pPr>
    </w:p>
    <w:p w14:paraId="0BAD9FA3" w14:textId="098C1666" w:rsidR="00C413D4" w:rsidRPr="00082D68" w:rsidRDefault="00C413D4" w:rsidP="00C413D4">
      <w:pPr>
        <w:rPr>
          <w:rFonts w:ascii="Times" w:hAnsi="Times"/>
          <w:i/>
          <w:sz w:val="28"/>
          <w:szCs w:val="28"/>
          <w:lang w:val="es-AR"/>
        </w:rPr>
      </w:pPr>
      <w:r w:rsidRPr="00E25900">
        <w:rPr>
          <w:noProof/>
          <w:lang w:val="pt-BR" w:eastAsia="pt-BR"/>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82D68" w:rsidRDefault="00C413D4" w:rsidP="00C413D4">
      <w:pPr>
        <w:rPr>
          <w:b/>
          <w:sz w:val="20"/>
          <w:szCs w:val="20"/>
          <w:lang w:val="es-AR"/>
        </w:rPr>
      </w:pPr>
    </w:p>
    <w:p w14:paraId="61F0B918" w14:textId="7AB7DCB9" w:rsidR="00C43335" w:rsidRPr="00082D68" w:rsidRDefault="00C413D4" w:rsidP="00C43335">
      <w:pPr>
        <w:pStyle w:val="TtuloResumen"/>
        <w:rPr>
          <w:lang w:val="es-AR"/>
        </w:rPr>
      </w:pPr>
      <w:r w:rsidRPr="00082D68">
        <w:rPr>
          <w:lang w:val="es-AR"/>
        </w:rPr>
        <w:t>Abstract</w:t>
      </w:r>
    </w:p>
    <w:p w14:paraId="7503F1A9" w14:textId="3FDC0656" w:rsidR="00141505" w:rsidRPr="00141505" w:rsidRDefault="00141505" w:rsidP="0047695E">
      <w:pPr>
        <w:jc w:val="both"/>
        <w:rPr>
          <w:sz w:val="20"/>
          <w:szCs w:val="20"/>
          <w:lang w:val="pt-BR"/>
        </w:rPr>
      </w:pPr>
      <w:r w:rsidRPr="00141505">
        <w:rPr>
          <w:sz w:val="20"/>
          <w:szCs w:val="20"/>
          <w:lang w:val="pt-BR"/>
        </w:rPr>
        <w:t xml:space="preserve">The aim was to compare living conditions and mental health (Common Mental Disorders - CMD) among white, brown and black women in middle age and old age. A descriptive, cross-sectional study with a quantitative approach was carried out in a virtual environment. A convenience sample of 545 middle-aged and older women in Brazil completed an online form with a sociodemographic information sheet and the Self-Reporting Questionnaire (SRQ-20). Bivariate analyses (chi-square of independence and Student's t-test) and a factorial ANOVA (p≤0.05) were performed and effect sizes were calculated. The results indicated differences by race/color in terms of family configuration and socioeconomic conditions, with a higher proportion of black women in the worst indices. With regard to mental health, white women were more protected and brown and </w:t>
      </w:r>
      <w:r w:rsidR="0047695E" w:rsidRPr="00141505">
        <w:rPr>
          <w:sz w:val="20"/>
          <w:szCs w:val="20"/>
          <w:lang w:val="pt-BR"/>
        </w:rPr>
        <w:t xml:space="preserve">single </w:t>
      </w:r>
      <w:r w:rsidRPr="00141505">
        <w:rPr>
          <w:sz w:val="20"/>
          <w:szCs w:val="20"/>
          <w:lang w:val="pt-BR"/>
        </w:rPr>
        <w:t>black women had more CMD. The data indicated the complexity involved in mental health and its relationship with living conditions and may contribute to a better understanding of the aging of women by race/color.</w:t>
      </w:r>
    </w:p>
    <w:p w14:paraId="335AD9B4" w14:textId="77777777" w:rsidR="00141505" w:rsidRPr="00141505" w:rsidRDefault="00141505" w:rsidP="00141505">
      <w:pPr>
        <w:rPr>
          <w:sz w:val="20"/>
          <w:szCs w:val="20"/>
          <w:lang w:val="pt-BR"/>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770224DC" w14:textId="77777777" w:rsidR="00141505" w:rsidRPr="00141505" w:rsidRDefault="00141505" w:rsidP="00141505">
      <w:pPr>
        <w:spacing w:line="480" w:lineRule="auto"/>
        <w:ind w:right="139"/>
        <w:jc w:val="both"/>
        <w:rPr>
          <w:bCs/>
          <w:sz w:val="20"/>
          <w:szCs w:val="20"/>
        </w:rPr>
      </w:pPr>
      <w:r w:rsidRPr="00141505">
        <w:rPr>
          <w:bCs/>
          <w:sz w:val="20"/>
          <w:szCs w:val="20"/>
        </w:rPr>
        <w:t>Racism; Women; Social Conditions; Aging; Mental health</w:t>
      </w:r>
    </w:p>
    <w:p w14:paraId="3C2A8692" w14:textId="46796CA0" w:rsidR="00153DC5" w:rsidRPr="00E25900" w:rsidRDefault="00153DC5" w:rsidP="007A7C7C">
      <w:pPr>
        <w:jc w:val="both"/>
        <w:rPr>
          <w:bCs/>
          <w:sz w:val="20"/>
          <w:szCs w:val="20"/>
          <w:lang w:val="en-US"/>
        </w:rPr>
      </w:pPr>
    </w:p>
    <w:p w14:paraId="7C35B110" w14:textId="36CE0D1E" w:rsidR="00153DC5" w:rsidRPr="00082D68" w:rsidRDefault="00153DC5" w:rsidP="006B088F">
      <w:pPr>
        <w:pStyle w:val="TtuloResumen"/>
      </w:pPr>
      <w:r w:rsidRPr="00082D68">
        <w:t>Resum</w:t>
      </w:r>
      <w:r w:rsidR="00082D68" w:rsidRPr="00082D68">
        <w:t>o</w:t>
      </w:r>
    </w:p>
    <w:p w14:paraId="68EDB095" w14:textId="77777777" w:rsidR="00141505" w:rsidRPr="00141505" w:rsidRDefault="00141505" w:rsidP="00141505">
      <w:pPr>
        <w:ind w:right="142"/>
        <w:jc w:val="both"/>
        <w:rPr>
          <w:sz w:val="20"/>
          <w:szCs w:val="20"/>
        </w:rPr>
      </w:pPr>
      <w:r w:rsidRPr="00141505">
        <w:rPr>
          <w:sz w:val="20"/>
          <w:szCs w:val="20"/>
        </w:rPr>
        <w:t>Buscou-se</w:t>
      </w:r>
      <w:r w:rsidRPr="00141505">
        <w:rPr>
          <w:b/>
          <w:bCs/>
          <w:sz w:val="20"/>
          <w:szCs w:val="20"/>
        </w:rPr>
        <w:t xml:space="preserve"> </w:t>
      </w:r>
      <w:r w:rsidRPr="00141505">
        <w:rPr>
          <w:sz w:val="20"/>
          <w:szCs w:val="20"/>
        </w:rPr>
        <w:t xml:space="preserve">comparar as condições de vida e a saúde mental (Transtornos Mentais Comuns - TMC) entre mulheres brancas, pardas e pretas na meia idade e velhice. Realizou-se um estudo em ambiente virtual, descritivo, de caráter transversal, com abordagem quantitativa. </w:t>
      </w:r>
      <w:r w:rsidRPr="00141505">
        <w:rPr>
          <w:rFonts w:eastAsia="Gungsuh"/>
          <w:sz w:val="20"/>
          <w:szCs w:val="20"/>
        </w:rPr>
        <w:t>Uma amostra de conveniência de 545 mulheres na meia idade e velhice do território brasileiro responderam um formulário online com uma Ficha de informações sociodemográficas e o Self-Reporting Questionnaire (SRQ-20). Foram feitas análises bivariadas (</w:t>
      </w:r>
      <w:r w:rsidRPr="00141505">
        <w:rPr>
          <w:color w:val="121212"/>
          <w:sz w:val="20"/>
          <w:szCs w:val="20"/>
          <w:shd w:val="clear" w:color="auto" w:fill="F9FAFB"/>
        </w:rPr>
        <w:t xml:space="preserve">qui-quadrado de independência e </w:t>
      </w:r>
      <w:r w:rsidRPr="00141505">
        <w:rPr>
          <w:sz w:val="20"/>
          <w:szCs w:val="20"/>
        </w:rPr>
        <w:t xml:space="preserve">teste </w:t>
      </w:r>
      <w:r w:rsidRPr="00141505">
        <w:rPr>
          <w:i/>
          <w:iCs/>
          <w:sz w:val="20"/>
          <w:szCs w:val="20"/>
        </w:rPr>
        <w:t>t</w:t>
      </w:r>
      <w:r w:rsidRPr="00141505">
        <w:rPr>
          <w:sz w:val="20"/>
          <w:szCs w:val="20"/>
        </w:rPr>
        <w:t xml:space="preserve"> de Student)</w:t>
      </w:r>
      <w:r w:rsidRPr="00141505">
        <w:rPr>
          <w:rFonts w:eastAsia="Gungsuh"/>
          <w:sz w:val="20"/>
          <w:szCs w:val="20"/>
        </w:rPr>
        <w:t xml:space="preserve"> e uma </w:t>
      </w:r>
      <w:r w:rsidRPr="00141505">
        <w:rPr>
          <w:sz w:val="20"/>
          <w:szCs w:val="20"/>
        </w:rPr>
        <w:t>ANOVA fatorial</w:t>
      </w:r>
      <w:r w:rsidRPr="00141505">
        <w:rPr>
          <w:rFonts w:eastAsia="Gungsuh"/>
          <w:sz w:val="20"/>
          <w:szCs w:val="20"/>
        </w:rPr>
        <w:t xml:space="preserve"> (p≤0,05) e foram calculados os tamanhos de efeito. </w:t>
      </w:r>
      <w:r w:rsidRPr="00141505">
        <w:rPr>
          <w:sz w:val="20"/>
          <w:szCs w:val="20"/>
        </w:rPr>
        <w:t xml:space="preserve">Os resultados indicaram diferenças por raça/cor quanto à configuração familiar e às condições socioeconômicas, com maior proporção de pretas nos piores índices. Com relação à saúde mental, as mulheres brancas estavam mais protegidas e as pardas e as pretas solteiras apresentaram mais TMC. Os dados indicaram a complexidade envolvida na saúde mental e suas relações com as condições de vida e podem contribuir para uma melhor compreensão do envelhecimento de mulheres por raça/cor. </w:t>
      </w:r>
    </w:p>
    <w:p w14:paraId="32D6BA22" w14:textId="07990CF1" w:rsidR="00153DC5" w:rsidRPr="00082D68" w:rsidRDefault="00153DC5" w:rsidP="005B5614">
      <w:pPr>
        <w:jc w:val="both"/>
        <w:rPr>
          <w:sz w:val="20"/>
          <w:szCs w:val="20"/>
          <w:lang w:val="pt-BR"/>
        </w:rPr>
      </w:pPr>
    </w:p>
    <w:p w14:paraId="52B41A5E" w14:textId="5557E726" w:rsidR="00153DC5" w:rsidRPr="00082D68" w:rsidRDefault="00082D68" w:rsidP="00153DC5">
      <w:pPr>
        <w:jc w:val="both"/>
        <w:rPr>
          <w:b/>
          <w:sz w:val="20"/>
          <w:szCs w:val="20"/>
          <w:lang w:val="pt-BR"/>
        </w:rPr>
      </w:pPr>
      <w:r w:rsidRPr="00082D68">
        <w:rPr>
          <w:b/>
          <w:bCs/>
          <w:sz w:val="20"/>
          <w:szCs w:val="20"/>
          <w:lang w:val="pt-BR"/>
        </w:rPr>
        <w:t>Palavras-chave</w:t>
      </w:r>
    </w:p>
    <w:p w14:paraId="12669F5E" w14:textId="77777777" w:rsidR="00141505" w:rsidRPr="00141505" w:rsidRDefault="00141505" w:rsidP="00141505">
      <w:pPr>
        <w:spacing w:line="480" w:lineRule="auto"/>
        <w:ind w:right="139"/>
        <w:jc w:val="both"/>
        <w:rPr>
          <w:sz w:val="20"/>
          <w:szCs w:val="20"/>
        </w:rPr>
      </w:pPr>
      <w:r w:rsidRPr="00141505">
        <w:rPr>
          <w:sz w:val="20"/>
          <w:szCs w:val="20"/>
        </w:rPr>
        <w:t>Racismo; Mulheres; Condições Sociais; Envelhecimento; Saúde Mental</w:t>
      </w:r>
    </w:p>
    <w:p w14:paraId="7189B82D" w14:textId="752BA2A1" w:rsidR="00E55124" w:rsidRPr="00082D68" w:rsidRDefault="00E55124" w:rsidP="007A7C7C">
      <w:pPr>
        <w:jc w:val="both"/>
        <w:rPr>
          <w:bCs/>
          <w:sz w:val="20"/>
          <w:szCs w:val="20"/>
          <w:lang w:val="pt-BR"/>
        </w:rPr>
      </w:pPr>
      <w:r w:rsidRPr="00E25900">
        <w:rPr>
          <w:bCs/>
          <w:noProof/>
          <w:sz w:val="20"/>
          <w:szCs w:val="20"/>
          <w:lang w:val="pt-BR" w:eastAsia="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082D68" w:rsidRDefault="00483D6B" w:rsidP="00B6522A">
      <w:pPr>
        <w:rPr>
          <w:b/>
          <w:lang w:val="pt-BR"/>
        </w:rPr>
      </w:pPr>
    </w:p>
    <w:p w14:paraId="40B39100" w14:textId="0A5F411D" w:rsidR="00082D68" w:rsidRPr="0038356E" w:rsidRDefault="0059034C" w:rsidP="0038356E">
      <w:pPr>
        <w:pStyle w:val="Ttuloprincipiodeartculo"/>
      </w:pPr>
      <w:r w:rsidRPr="00082D68">
        <w:br w:type="page"/>
      </w:r>
      <w:r w:rsidR="0038356E" w:rsidRPr="0038356E">
        <w:lastRenderedPageBreak/>
        <w:t>Mulheres na meia idade e velhice: condições de vida, saúde mental e raça/cor</w:t>
      </w:r>
    </w:p>
    <w:p w14:paraId="4FA726CB" w14:textId="5CC111BD" w:rsidR="006A1BA2" w:rsidRPr="00082D68" w:rsidRDefault="00082D68" w:rsidP="00CE7D65">
      <w:pPr>
        <w:pStyle w:val="Ttulosinternos"/>
        <w:rPr>
          <w:bCs/>
          <w:lang w:val="es-AR"/>
        </w:rPr>
      </w:pPr>
      <w:r w:rsidRPr="00082D68">
        <w:rPr>
          <w:bCs/>
          <w:lang w:val="pt-BR"/>
        </w:rPr>
        <w:t>Introdução</w:t>
      </w:r>
    </w:p>
    <w:p w14:paraId="73AB6DED" w14:textId="77777777" w:rsidR="0038356E" w:rsidRPr="00B10BA9" w:rsidRDefault="0038356E" w:rsidP="0038356E">
      <w:pPr>
        <w:spacing w:line="360" w:lineRule="auto"/>
        <w:ind w:right="139" w:firstLine="720"/>
        <w:jc w:val="both"/>
        <w:rPr>
          <w:bCs/>
        </w:rPr>
      </w:pPr>
      <w:r w:rsidRPr="00B10BA9">
        <w:rPr>
          <w:bCs/>
        </w:rPr>
        <w:t>A maior prevalência de transtornos mentais entre mulheres (Araújo et al., 2005; Senicato et al., 2018; Santos et al., 2019) destaca a importância de se compreender essa questão a partir do contexto das condições de vida e das desigualdades raciais de gênero. Estudos sugerem que as diferenças raciais na saúde mental das mulheres são influenciadas por fatores como o status socioeconômico (Bromberger et al., 2004), o acesso aos cuidados (Rosen et al., 2007) e as experiências de discriminação e estigma (Lo &amp; Cheng, 2018). As disparidades raciais na saúde mental têm recebido atenção crescente nos últimos anos (Rosen et al., 2007) porém o chamado “paradoxo epidemiológico da saúde mental entre negros e brancos” (taxas de transtornos mentais mais baixas ou semelhantes de negros em relação aos brancos) amplamente relatado na literatura (Erving, Thomas &amp; Frazier, 2018; Tobin et al., 2020) ainda não está bem elucidado no contexto brasileiro, em especial, entre mulheres em envelhecimento.</w:t>
      </w:r>
    </w:p>
    <w:p w14:paraId="12A50BC5" w14:textId="77777777" w:rsidR="0038356E" w:rsidRPr="00B10BA9" w:rsidRDefault="0038356E" w:rsidP="0038356E">
      <w:pPr>
        <w:spacing w:line="360" w:lineRule="auto"/>
        <w:ind w:right="139" w:firstLine="720"/>
        <w:jc w:val="both"/>
        <w:rPr>
          <w:bCs/>
        </w:rPr>
      </w:pPr>
      <w:r w:rsidRPr="00B10BA9">
        <w:rPr>
          <w:bCs/>
        </w:rPr>
        <w:t xml:space="preserve">Evidências do “paradoxo da saúde mental entre negros e brancos” foi observado ao longo da vida para mulheres e homens, com uma exceção: as mulheres negras experimentaram maior risco de transtorno de estresse pós-traumático em comparação com as mulheres brancas (Erving, Thomas &amp; Frazier, 2018). Esse paradoxo parece se estender a transtornos de humor, ansiedade e uso de substâncias ao longo da vida e é consistente entre grupos de idade e gênero, contudo, foram observadas mais semelhanças nos transtornos mentais entre negros e brancos mais velhos em relação aos seus homólogos mais jovens, sugerindo que as diferenças sejam mais pronunciadas entre os grupos etários mais jovens (Tobin et al., 2020). </w:t>
      </w:r>
    </w:p>
    <w:p w14:paraId="60C142FB" w14:textId="1DEB633A" w:rsidR="0038356E" w:rsidRPr="00B10BA9" w:rsidRDefault="0038356E" w:rsidP="0038356E">
      <w:pPr>
        <w:spacing w:line="360" w:lineRule="auto"/>
        <w:ind w:right="139" w:firstLine="720"/>
        <w:jc w:val="both"/>
      </w:pPr>
      <w:r w:rsidRPr="682190EC">
        <w:t xml:space="preserve">A associação da saúde mental e a raça/cor foi investigada no contexto brasileiro mediante revisão sistemática que </w:t>
      </w:r>
      <w:r w:rsidRPr="00B10BA9">
        <w:rPr>
          <w:shd w:val="clear" w:color="auto" w:fill="FFFFFF"/>
        </w:rPr>
        <w:t>sugeriu que a prevalência de transtornos mentais é maior na população negra que na população branca, embora essa conclusão não tenha sido u</w:t>
      </w:r>
      <w:r w:rsidR="00A73E64">
        <w:rPr>
          <w:shd w:val="clear" w:color="auto" w:fill="FFFFFF"/>
        </w:rPr>
        <w:t>niversal na literatura (Smolen &amp;</w:t>
      </w:r>
      <w:r w:rsidRPr="00B10BA9">
        <w:rPr>
          <w:shd w:val="clear" w:color="auto" w:fill="FFFFFF"/>
        </w:rPr>
        <w:t xml:space="preserve"> Araújo, 2017). A maioria desses estudos apresentaram diversas limitações tais como baixa diversidade geográfica, amostras compostas majoritariamente por pessoas brancas ou a falta de normatização sobre como categorizar raça, ressaltando que a literatura corrente ainda é</w:t>
      </w:r>
      <w:r w:rsidR="00A73E64">
        <w:rPr>
          <w:shd w:val="clear" w:color="auto" w:fill="FFFFFF"/>
        </w:rPr>
        <w:t xml:space="preserve"> pequena e fragmentada (Smolen &amp;</w:t>
      </w:r>
      <w:r w:rsidRPr="00B10BA9">
        <w:rPr>
          <w:shd w:val="clear" w:color="auto" w:fill="FFFFFF"/>
        </w:rPr>
        <w:t xml:space="preserve"> Araújo, 2017). </w:t>
      </w:r>
    </w:p>
    <w:p w14:paraId="71337CC9" w14:textId="77777777" w:rsidR="0038356E" w:rsidRPr="00B10BA9" w:rsidRDefault="0038356E" w:rsidP="0038356E">
      <w:pPr>
        <w:spacing w:line="360" w:lineRule="auto"/>
        <w:ind w:right="139" w:firstLine="720"/>
        <w:jc w:val="both"/>
        <w:rPr>
          <w:color w:val="FF0000"/>
        </w:rPr>
      </w:pPr>
      <w:r w:rsidRPr="00B10BA9">
        <w:rPr>
          <w:bCs/>
        </w:rPr>
        <w:t>A saúde mental no envelhecimento é uma questão complexa e</w:t>
      </w:r>
      <w:r w:rsidRPr="00B10BA9">
        <w:t xml:space="preserve"> </w:t>
      </w:r>
      <w:r w:rsidRPr="00B10BA9">
        <w:rPr>
          <w:bCs/>
        </w:rPr>
        <w:t xml:space="preserve">normas de gênero racializadas podem levar a uma maior distinção nos perfis de saúde mental das mulheres negras </w:t>
      </w:r>
      <w:r w:rsidRPr="00B10BA9">
        <w:rPr>
          <w:bCs/>
        </w:rPr>
        <w:lastRenderedPageBreak/>
        <w:t xml:space="preserve">e brancas. Mulheres, apesar da opressão de gênero partilhada, não são um grupo monolítico, variando ao longo de outras dimensões de estratificação (Erving &amp; Smith, 2021). </w:t>
      </w:r>
      <w:r w:rsidRPr="00B10BA9">
        <w:t>As questões e discussões de gênero também se incidem junto às modalidades raciais, classistas, sexuais e regionais, na constituição discursiva de perfis identitários, sendo estes, marcadores precisos nas definições de inferioridades e exclusões no contexto social presente (Andrade, 2014). Por consequência, aspectos sociais e históricos não só se expressam como produtores de subjetividades e se confluem com questões específicas de cada sujeito, mas, sobretudo, demarca como cada um deste sofre, assim como, constrói compreensões sobre o adoecimento psíquico e saúde mental no âmbito sociocultural (Campos &amp; Zanello, 2017).</w:t>
      </w:r>
    </w:p>
    <w:p w14:paraId="5F47108C" w14:textId="77777777" w:rsidR="0038356E" w:rsidRPr="00B10BA9" w:rsidRDefault="0038356E" w:rsidP="0038356E">
      <w:pPr>
        <w:spacing w:line="360" w:lineRule="auto"/>
        <w:ind w:right="139" w:firstLine="720"/>
        <w:jc w:val="both"/>
        <w:rPr>
          <w:color w:val="000000" w:themeColor="text1"/>
        </w:rPr>
      </w:pPr>
      <w:r w:rsidRPr="00B10BA9">
        <w:rPr>
          <w:bCs/>
        </w:rPr>
        <w:t xml:space="preserve">O grupo geracional e a fase desenvolvimental ao qual pertence uma mulher também podem informar sobre as experiências específicas que afetam a saúde mental (Jones et al., 2021). </w:t>
      </w:r>
      <w:r w:rsidRPr="00B10BA9">
        <w:t>Compreende-se que os modos de opressão que operam desigualdades sociais</w:t>
      </w:r>
      <w:r w:rsidRPr="00B10BA9">
        <w:rPr>
          <w:bCs/>
        </w:rPr>
        <w:t>, incidem desde a infância, perpassa todas as fases do desenvolvimento, e se acentuam na meia idade e velhice implicando em formas específicas e singulares de vulnerabilidade</w:t>
      </w:r>
      <w:r w:rsidRPr="00B10BA9">
        <w:rPr>
          <w:color w:val="000000" w:themeColor="text1"/>
        </w:rPr>
        <w:t xml:space="preserve"> (Vieira et al., 2023). </w:t>
      </w:r>
      <w:r w:rsidRPr="00B10BA9">
        <w:rPr>
          <w:bCs/>
        </w:rPr>
        <w:t xml:space="preserve">Partindo desse pressuposto, </w:t>
      </w:r>
      <w:r w:rsidRPr="00B10BA9">
        <w:t>o</w:t>
      </w:r>
      <w:r w:rsidRPr="00B10BA9">
        <w:rPr>
          <w:bCs/>
        </w:rPr>
        <w:t xml:space="preserve"> racismo como categoria estruturante se expressa a partir de fatores que </w:t>
      </w:r>
      <w:r w:rsidRPr="00B10BA9">
        <w:t>incidem</w:t>
      </w:r>
      <w:r w:rsidRPr="00B10BA9">
        <w:rPr>
          <w:bCs/>
        </w:rPr>
        <w:t xml:space="preserve"> nas interações entre indivíduos e campo social a partir de práticas e vivências discriminatórias que afetam a saúde física e psicológica, assim como, a integridade individual e coletiva da população </w:t>
      </w:r>
      <w:r w:rsidRPr="00B10BA9">
        <w:rPr>
          <w:color w:val="000000" w:themeColor="text1"/>
        </w:rPr>
        <w:t>(Rabelo et al, 2018).</w:t>
      </w:r>
    </w:p>
    <w:p w14:paraId="4452A97E" w14:textId="6EADF42E" w:rsidR="0038356E" w:rsidRPr="00B10BA9" w:rsidRDefault="0038356E" w:rsidP="0038356E">
      <w:pPr>
        <w:spacing w:line="360" w:lineRule="auto"/>
        <w:ind w:right="139" w:firstLine="720"/>
        <w:jc w:val="both"/>
        <w:rPr>
          <w:color w:val="000000" w:themeColor="text1"/>
        </w:rPr>
      </w:pPr>
      <w:r w:rsidRPr="00B10BA9">
        <w:t>Nesse cenário, a teoria da interseccionalidade</w:t>
      </w:r>
      <w:r w:rsidRPr="00B10BA9">
        <w:rPr>
          <w:bCs/>
        </w:rPr>
        <w:t xml:space="preserve"> torna-se uma ferramenta analítica importante na compreensão da saúde mental, ao </w:t>
      </w:r>
      <w:r w:rsidRPr="00B10BA9">
        <w:t xml:space="preserve">considerar </w:t>
      </w:r>
      <w:r w:rsidRPr="00B10BA9">
        <w:rPr>
          <w:bCs/>
        </w:rPr>
        <w:t xml:space="preserve">categorias </w:t>
      </w:r>
      <w:r w:rsidRPr="00B10BA9">
        <w:t xml:space="preserve">sociais como </w:t>
      </w:r>
      <w:r w:rsidRPr="00B10BA9">
        <w:rPr>
          <w:bCs/>
        </w:rPr>
        <w:t>raça, gênero</w:t>
      </w:r>
      <w:r w:rsidRPr="00B10BA9">
        <w:t xml:space="preserve"> e</w:t>
      </w:r>
      <w:r w:rsidRPr="00B10BA9">
        <w:rPr>
          <w:bCs/>
        </w:rPr>
        <w:t xml:space="preserve"> faixa etária enquanto marcadores que se inter-relacionam e se moldam mutuamente</w:t>
      </w:r>
      <w:r w:rsidRPr="00B10BA9">
        <w:t>, que intensificam a vivência de opressão e produção de sofrimento e adoecimento psíquico</w:t>
      </w:r>
      <w:r w:rsidRPr="00B10BA9">
        <w:rPr>
          <w:bCs/>
        </w:rPr>
        <w:t xml:space="preserve"> </w:t>
      </w:r>
      <w:r w:rsidRPr="00B10BA9">
        <w:t>(Collins &amp; Bilge, 2020). Sabe-se que</w:t>
      </w:r>
      <w:r w:rsidR="00A73E64">
        <w:t>,</w:t>
      </w:r>
      <w:r w:rsidR="00A73E64" w:rsidRPr="00A73E64">
        <w:t xml:space="preserve"> </w:t>
      </w:r>
      <w:r w:rsidR="00A73E64" w:rsidRPr="00B10BA9">
        <w:t>no Brasil</w:t>
      </w:r>
      <w:r w:rsidR="00A73E64">
        <w:t>,</w:t>
      </w:r>
      <w:r w:rsidRPr="00B10BA9">
        <w:t xml:space="preserve"> as condições de vida são desiguais segundo</w:t>
      </w:r>
      <w:r w:rsidR="00A73E64">
        <w:t xml:space="preserve"> a</w:t>
      </w:r>
      <w:r w:rsidRPr="00B10BA9">
        <w:t xml:space="preserve"> raça/cor. Por exemplo, estudo realizado pelo </w:t>
      </w:r>
      <w:r w:rsidR="00A73E64">
        <w:t xml:space="preserve">Instituto Brasileiro de Geografia e Estatística - </w:t>
      </w:r>
      <w:r w:rsidRPr="00B10BA9">
        <w:t>IBGE e publicado na segunda edição do Informativo de Desigualdades sociais por cor ou raça no Brasil (2022) mostraram que embora a maioria da população seja negra, os indicadores (como saúde, educação, moradia, trabalho, renda etc.) de condições de vida refletem as disparidades raciais na acessibilidade desse grupo a bens e serviços básicos. Os piores índices são observados entre as mulheres negras e envelhecer não homogeneíza essas desigualdades raciais e de gênero com diferentes efeitos psicossociais na vida delas (Santos &amp; Rabelo, 2022).</w:t>
      </w:r>
    </w:p>
    <w:p w14:paraId="323D306C" w14:textId="77777777" w:rsidR="0038356E" w:rsidRPr="00B10BA9" w:rsidRDefault="0038356E" w:rsidP="0038356E">
      <w:pPr>
        <w:spacing w:line="360" w:lineRule="auto"/>
        <w:ind w:right="139" w:firstLine="720"/>
        <w:jc w:val="both"/>
        <w:rPr>
          <w:bCs/>
        </w:rPr>
      </w:pPr>
      <w:r w:rsidRPr="00B10BA9">
        <w:rPr>
          <w:color w:val="403D39"/>
          <w:shd w:val="clear" w:color="auto" w:fill="FFFFFF"/>
        </w:rPr>
        <w:lastRenderedPageBreak/>
        <w:t> </w:t>
      </w:r>
      <w:r w:rsidRPr="00B10BA9">
        <w:rPr>
          <w:bCs/>
        </w:rPr>
        <w:t xml:space="preserve">Mulheres na meia idade hispânicas e afro-americanas apresentaram maior prevalência de depressão, em parte devido a fatores psicossociais e de saúde ligados ao pior status socioeconômico (Bromberger et al., 2004). A disparidade racial no tratamento de saúde mental no setor médico geral indicou que as mulheres afro-americanas de baixos rendimentos não recebem o mesmo nível de cuidados que as mulheres brancas (Rosen et al., 2007). No Brasil, </w:t>
      </w:r>
      <w:r w:rsidRPr="00B10BA9">
        <w:rPr>
          <w:shd w:val="clear" w:color="auto" w:fill="FFFFFF"/>
        </w:rPr>
        <w:t>ser negra, divorciada/desquitada/viúva, com baixo nível de escolaridade, ou de renda, ter filhos, ser chefe de família, ser mais velha, dona de casa e apresentar comorbidades em saúde estiveram associados à maior ocorrência de Transtorno Mental Comum (Araújo et al., 2005; Senicato et al., 2018; Santos et al., 2019).</w:t>
      </w:r>
    </w:p>
    <w:p w14:paraId="70777D6B" w14:textId="32C630F3" w:rsidR="0038356E" w:rsidRPr="00B10BA9" w:rsidRDefault="0038356E" w:rsidP="0038356E">
      <w:pPr>
        <w:spacing w:line="360" w:lineRule="auto"/>
        <w:ind w:right="139" w:firstLine="720"/>
        <w:jc w:val="both"/>
      </w:pPr>
      <w:r w:rsidRPr="00B10BA9">
        <w:rPr>
          <w:shd w:val="clear" w:color="auto" w:fill="FFFFFF"/>
        </w:rPr>
        <w:t xml:space="preserve">Os Transtornos Mentais Comuns (TMC), </w:t>
      </w:r>
      <w:r w:rsidR="00CF7262">
        <w:t>expressão cunhada por Goldberg e</w:t>
      </w:r>
      <w:r w:rsidRPr="00B10BA9">
        <w:t xml:space="preserve"> Huxley (1992), se referem à condição de saúde as quais não apresentam critérios formais suficientes para fechar diagnósticos de depressão e/ou ansiedade segundo as classificações do DSM-V (Diagnostic and Statistical Manual of Mental Disorders – 5a edição) e CID-11 (Classificação Internacional de Doenças – 11a revisão). Os TMCs apresentam quadro sintomatológico como insônia, fadiga, queixas somáticas, esquecimento, irritabilidade, dificuldade de concentração, entre outros, estes que provocam uma incapacitação funcional significativa, trazendo prejuízos psicossociais para o indivíduo, bem como alto custo social e econômico. </w:t>
      </w:r>
    </w:p>
    <w:p w14:paraId="33135813" w14:textId="3BFEE1CA" w:rsidR="0038356E" w:rsidRDefault="0038356E" w:rsidP="0038356E">
      <w:pPr>
        <w:spacing w:line="360" w:lineRule="auto"/>
        <w:ind w:right="139" w:firstLine="720"/>
        <w:jc w:val="both"/>
      </w:pPr>
      <w:r w:rsidRPr="00B10BA9">
        <w:t xml:space="preserve">Considerando a associação da </w:t>
      </w:r>
      <w:r w:rsidRPr="00B10BA9">
        <w:rPr>
          <w:shd w:val="clear" w:color="auto" w:fill="FFFFFF"/>
        </w:rPr>
        <w:t xml:space="preserve">prevalência de TMC com os grupos sociais </w:t>
      </w:r>
      <w:r w:rsidR="00A73E64">
        <w:rPr>
          <w:shd w:val="clear" w:color="auto" w:fill="FFFFFF"/>
        </w:rPr>
        <w:t>em maior vulneração</w:t>
      </w:r>
      <w:r w:rsidRPr="00B10BA9">
        <w:rPr>
          <w:shd w:val="clear" w:color="auto" w:fill="FFFFFF"/>
        </w:rPr>
        <w:t xml:space="preserve">, é fundamental a implementação de políticas públicas de saúde mental baseadas nas interseccionalidades. </w:t>
      </w:r>
      <w:r w:rsidRPr="00B10BA9">
        <w:t>Envelhecer implica as condições de vida e o modo como, subjetivamente são feitas as adaptações e enfrentamentos cotidianos (Freitas et al., 201</w:t>
      </w:r>
      <w:r>
        <w:t>0</w:t>
      </w:r>
      <w:r w:rsidRPr="00B10BA9">
        <w:t xml:space="preserve">) bem como reflete como os marcadores sociais da diferença </w:t>
      </w:r>
      <w:r w:rsidRPr="00B10BA9">
        <w:rPr>
          <w:bCs/>
        </w:rPr>
        <w:t>operam de maneira unificada e afetam a saúde mental</w:t>
      </w:r>
      <w:r w:rsidRPr="00B10BA9">
        <w:t>. Desse modo, este trabalho tem como</w:t>
      </w:r>
      <w:r w:rsidRPr="00B10BA9">
        <w:rPr>
          <w:color w:val="FF0000"/>
        </w:rPr>
        <w:t xml:space="preserve"> </w:t>
      </w:r>
      <w:r w:rsidRPr="00B10BA9">
        <w:rPr>
          <w:bCs/>
        </w:rPr>
        <w:t>objetivo</w:t>
      </w:r>
      <w:r w:rsidRPr="00B10BA9">
        <w:rPr>
          <w:b/>
          <w:bCs/>
        </w:rPr>
        <w:t xml:space="preserve"> </w:t>
      </w:r>
      <w:r w:rsidR="00795BE0">
        <w:rPr>
          <w:bCs/>
        </w:rPr>
        <w:t xml:space="preserve">comparar </w:t>
      </w:r>
      <w:r w:rsidRPr="00B10BA9">
        <w:t>as condições de vida e a saúde mental (Transtornos Mentais Comuns) entre mulheres brancas, pardas e pretas na meia idade e velhice.</w:t>
      </w:r>
    </w:p>
    <w:p w14:paraId="7482F7DA" w14:textId="77777777" w:rsidR="00CF7262" w:rsidRPr="00B10BA9" w:rsidRDefault="00CF7262" w:rsidP="0038356E">
      <w:pPr>
        <w:spacing w:line="360" w:lineRule="auto"/>
        <w:ind w:right="139" w:firstLine="720"/>
        <w:jc w:val="both"/>
      </w:pPr>
    </w:p>
    <w:p w14:paraId="2254AC27" w14:textId="42674A65" w:rsidR="006F7E7E" w:rsidRPr="00082D68" w:rsidRDefault="001516ED" w:rsidP="0038356E">
      <w:pPr>
        <w:pStyle w:val="Ttulosinternos"/>
        <w:spacing w:before="0" w:beforeAutospacing="0" w:after="0" w:afterAutospacing="0" w:line="360" w:lineRule="auto"/>
        <w:rPr>
          <w:lang w:val="pt-BR"/>
        </w:rPr>
      </w:pPr>
      <w:r w:rsidRPr="00082D68">
        <w:rPr>
          <w:lang w:val="pt-BR"/>
        </w:rPr>
        <w:t>M</w:t>
      </w:r>
      <w:r w:rsidR="00107993" w:rsidRPr="00082D68">
        <w:rPr>
          <w:lang w:val="pt-BR"/>
        </w:rPr>
        <w:t>étodo</w:t>
      </w:r>
    </w:p>
    <w:p w14:paraId="173EB097" w14:textId="030E8BE4" w:rsidR="0038356E" w:rsidRDefault="0038356E" w:rsidP="0038356E">
      <w:pPr>
        <w:spacing w:line="360" w:lineRule="auto"/>
        <w:ind w:right="139" w:firstLine="700"/>
        <w:jc w:val="both"/>
      </w:pPr>
      <w:bookmarkStart w:id="0" w:name="_Hlk136606161"/>
      <w:r w:rsidRPr="00B10BA9">
        <w:t xml:space="preserve">Trata-se de um estudo descritivo, de caráter transversal, com abordagem quantitativa. </w:t>
      </w:r>
    </w:p>
    <w:bookmarkEnd w:id="0"/>
    <w:p w14:paraId="5B09600E" w14:textId="77777777" w:rsidR="0038356E" w:rsidRPr="00B10BA9" w:rsidRDefault="0038356E" w:rsidP="00CF7262">
      <w:pPr>
        <w:spacing w:line="360" w:lineRule="auto"/>
        <w:ind w:right="139"/>
        <w:rPr>
          <w:b/>
          <w:i/>
        </w:rPr>
      </w:pPr>
      <w:r w:rsidRPr="00B10BA9">
        <w:rPr>
          <w:b/>
          <w:i/>
        </w:rPr>
        <w:t xml:space="preserve"> Participantes </w:t>
      </w:r>
    </w:p>
    <w:p w14:paraId="11B6D2B4" w14:textId="1E6EC783" w:rsidR="0038356E" w:rsidRPr="00B10BA9" w:rsidRDefault="0038356E" w:rsidP="0038356E">
      <w:pPr>
        <w:spacing w:line="360" w:lineRule="auto"/>
        <w:ind w:right="139"/>
        <w:jc w:val="both"/>
      </w:pPr>
      <w:r w:rsidRPr="00B10BA9">
        <w:rPr>
          <w:b/>
          <w:i/>
        </w:rPr>
        <w:t xml:space="preserve"> </w:t>
      </w:r>
      <w:r w:rsidRPr="00B10BA9">
        <w:rPr>
          <w:b/>
          <w:i/>
        </w:rPr>
        <w:tab/>
      </w:r>
      <w:r w:rsidRPr="00B10BA9">
        <w:t>Participaram 545 mulheres</w:t>
      </w:r>
      <w:r w:rsidR="005342FF">
        <w:t xml:space="preserve"> brasileiras</w:t>
      </w:r>
      <w:r w:rsidRPr="00B10BA9">
        <w:t>, sendo 73,7% na meia idade e 26,3% na velhice</w:t>
      </w:r>
      <w:r w:rsidR="00B246AC">
        <w:t>. Segundo os critérios de raça/cor adotados pelo Instituto Brasileiro de Geografia e Estatística – IBGE, com base na autodeclaração</w:t>
      </w:r>
      <w:r w:rsidRPr="00B10BA9">
        <w:t xml:space="preserve">, 44,8% </w:t>
      </w:r>
      <w:r w:rsidR="00B246AC">
        <w:t xml:space="preserve">eram </w:t>
      </w:r>
      <w:r w:rsidRPr="00B10BA9">
        <w:t xml:space="preserve">brancas, 34,7% </w:t>
      </w:r>
      <w:r w:rsidR="00B246AC">
        <w:t xml:space="preserve">eram </w:t>
      </w:r>
      <w:r w:rsidRPr="00B10BA9">
        <w:t xml:space="preserve">pardas e 19,1% </w:t>
      </w:r>
      <w:r w:rsidR="00B246AC">
        <w:t xml:space="preserve">eram </w:t>
      </w:r>
      <w:r w:rsidRPr="00B10BA9">
        <w:t xml:space="preserve">pretas </w:t>
      </w:r>
      <w:r w:rsidRPr="00B10BA9">
        <w:lastRenderedPageBreak/>
        <w:t xml:space="preserve">(1,6% eram indígenas ou amarelas). A maioria tinha alta escolaridade (6,8% estavam cursando uma graduação, 20,7% tinham curso superior completo e 56,7% tinham pós-graduação) e melhor renda familiar (em salários mínimos: 21,3% com 1 a 2, 22,9% com 3 a 4, 27,9% com 5 a 8 e 27,9% com mais de 8).  Das participantes, 55,9% eram da região nordeste, 31,9% do sudeste, 5,7% do sul, 3,9% do centro-oeste e 2,6% do norte. Como critérios de inclusão foram considerados os seguintes aspectos: a) idade igual ou superior a 40 anos; b) se identificar como mulher. </w:t>
      </w:r>
      <w:r w:rsidR="005342FF">
        <w:t>Foram excluídas aquelas que não informaram a idade, que n</w:t>
      </w:r>
      <w:r w:rsidR="00B246AC">
        <w:t>ão preencheram</w:t>
      </w:r>
      <w:r w:rsidR="005342FF">
        <w:t xml:space="preserve"> os criterios etários e que não se identificaram como mulheres (cis ou trans).</w:t>
      </w:r>
    </w:p>
    <w:p w14:paraId="2DBE0029" w14:textId="77777777" w:rsidR="0038356E" w:rsidRPr="00B10BA9" w:rsidRDefault="0038356E" w:rsidP="0038356E">
      <w:pPr>
        <w:spacing w:line="360" w:lineRule="auto"/>
        <w:ind w:right="139"/>
        <w:jc w:val="both"/>
        <w:rPr>
          <w:b/>
          <w:bCs/>
        </w:rPr>
      </w:pPr>
    </w:p>
    <w:p w14:paraId="6D18E448" w14:textId="77777777" w:rsidR="0038356E" w:rsidRPr="00B10BA9" w:rsidRDefault="0038356E" w:rsidP="00CF7262">
      <w:pPr>
        <w:spacing w:line="360" w:lineRule="auto"/>
        <w:ind w:right="139"/>
        <w:rPr>
          <w:b/>
        </w:rPr>
      </w:pPr>
      <w:r w:rsidRPr="00B10BA9">
        <w:rPr>
          <w:b/>
          <w:bCs/>
        </w:rPr>
        <w:t>Instrumentos</w:t>
      </w:r>
    </w:p>
    <w:p w14:paraId="6EFA919E" w14:textId="19BE7A04" w:rsidR="0038356E" w:rsidRPr="00B10BA9" w:rsidRDefault="00B8197F" w:rsidP="00B8197F">
      <w:pPr>
        <w:pBdr>
          <w:top w:val="nil"/>
          <w:left w:val="nil"/>
          <w:bottom w:val="nil"/>
          <w:right w:val="nil"/>
          <w:between w:val="nil"/>
        </w:pBdr>
        <w:spacing w:line="360" w:lineRule="auto"/>
        <w:ind w:right="139"/>
        <w:jc w:val="both"/>
        <w:rPr>
          <w:color w:val="000000" w:themeColor="text1"/>
        </w:rPr>
      </w:pPr>
      <w:r>
        <w:rPr>
          <w:color w:val="000000" w:themeColor="text1"/>
        </w:rPr>
        <w:t xml:space="preserve">1) </w:t>
      </w:r>
      <w:r w:rsidR="0038356E" w:rsidRPr="00B10BA9">
        <w:rPr>
          <w:color w:val="000000" w:themeColor="text1"/>
        </w:rPr>
        <w:t>Condições de vida</w:t>
      </w:r>
    </w:p>
    <w:p w14:paraId="4CD95DBC" w14:textId="77777777" w:rsidR="00B8197F" w:rsidRDefault="0038356E" w:rsidP="00B8197F">
      <w:pPr>
        <w:pBdr>
          <w:top w:val="nil"/>
          <w:left w:val="nil"/>
          <w:bottom w:val="nil"/>
          <w:right w:val="nil"/>
          <w:between w:val="nil"/>
        </w:pBdr>
        <w:spacing w:line="360" w:lineRule="auto"/>
        <w:ind w:right="139" w:firstLine="720"/>
        <w:jc w:val="both"/>
        <w:rPr>
          <w:color w:val="000000" w:themeColor="text1"/>
        </w:rPr>
      </w:pPr>
      <w:r w:rsidRPr="00B10BA9">
        <w:rPr>
          <w:color w:val="000000" w:themeColor="text1"/>
        </w:rPr>
        <w:t>Ficha para coletar informações sobre: a) Informações sociodemográficas: idade, ide</w:t>
      </w:r>
      <w:r w:rsidR="00B8197F">
        <w:rPr>
          <w:color w:val="000000" w:themeColor="text1"/>
        </w:rPr>
        <w:t>ntidade de gênero, raça/cor</w:t>
      </w:r>
      <w:r w:rsidRPr="00B10BA9">
        <w:rPr>
          <w:color w:val="000000" w:themeColor="text1"/>
        </w:rPr>
        <w:t xml:space="preserve">, escolaridade, zona de moradia, </w:t>
      </w:r>
      <w:r w:rsidR="00B8197F">
        <w:rPr>
          <w:color w:val="000000" w:themeColor="text1"/>
        </w:rPr>
        <w:t xml:space="preserve">se </w:t>
      </w:r>
      <w:r w:rsidRPr="00B10BA9">
        <w:rPr>
          <w:color w:val="000000" w:themeColor="text1"/>
        </w:rPr>
        <w:t>considera</w:t>
      </w:r>
      <w:r w:rsidR="00B8197F">
        <w:rPr>
          <w:color w:val="000000" w:themeColor="text1"/>
        </w:rPr>
        <w:t xml:space="preserve"> ter</w:t>
      </w:r>
      <w:r w:rsidRPr="00B10BA9">
        <w:rPr>
          <w:color w:val="000000" w:themeColor="text1"/>
        </w:rPr>
        <w:t xml:space="preserve"> dinheiro suficiente para cobrir as necessidades da vida diária, renda familiar, estado civil, arranjo de moradia, aposentada/pensionista, chefia familiar, contribuição para o sustento familiar; b) Informações de saúde: condição crônica de saúde (sim e não) e saúde geral percebida (1-excelente a 5-péssima);</w:t>
      </w:r>
    </w:p>
    <w:p w14:paraId="14BDAE4B" w14:textId="77777777" w:rsidR="00B8197F" w:rsidRDefault="00B8197F" w:rsidP="00B8197F">
      <w:pPr>
        <w:pBdr>
          <w:top w:val="nil"/>
          <w:left w:val="nil"/>
          <w:bottom w:val="nil"/>
          <w:right w:val="nil"/>
          <w:between w:val="nil"/>
        </w:pBdr>
        <w:spacing w:line="360" w:lineRule="auto"/>
        <w:ind w:right="139"/>
        <w:jc w:val="both"/>
      </w:pPr>
    </w:p>
    <w:p w14:paraId="37695DA4" w14:textId="49EDCD30" w:rsidR="0038356E" w:rsidRPr="00B8197F" w:rsidRDefault="0038356E" w:rsidP="00B8197F">
      <w:pPr>
        <w:pBdr>
          <w:top w:val="nil"/>
          <w:left w:val="nil"/>
          <w:bottom w:val="nil"/>
          <w:right w:val="nil"/>
          <w:between w:val="nil"/>
        </w:pBdr>
        <w:spacing w:line="360" w:lineRule="auto"/>
        <w:ind w:right="139"/>
        <w:jc w:val="both"/>
        <w:rPr>
          <w:color w:val="000000" w:themeColor="text1"/>
        </w:rPr>
      </w:pPr>
      <w:r w:rsidRPr="00B10BA9">
        <w:t>2) Saúde mental (indicada pelos Transtornos Mentais Comuns)</w:t>
      </w:r>
    </w:p>
    <w:p w14:paraId="603A3AB0" w14:textId="00E1137B" w:rsidR="0038356E" w:rsidRPr="00B10BA9" w:rsidRDefault="0038356E" w:rsidP="0038356E">
      <w:pPr>
        <w:spacing w:line="360" w:lineRule="auto"/>
        <w:ind w:right="139" w:firstLine="720"/>
        <w:jc w:val="both"/>
      </w:pPr>
      <w:r w:rsidRPr="00B10BA9">
        <w:rPr>
          <w:i/>
          <w:iCs/>
        </w:rPr>
        <w:t>Self-Reporting Questionnaire -SRQ-20 (</w:t>
      </w:r>
      <w:r w:rsidRPr="00B10BA9">
        <w:t>Gonçalves, Stein &amp; Kapczinski, 2008)</w:t>
      </w:r>
      <w:r w:rsidRPr="00B10BA9">
        <w:rPr>
          <w:i/>
          <w:iCs/>
        </w:rPr>
        <w:t xml:space="preserve">. </w:t>
      </w:r>
      <w:r w:rsidRPr="00B10BA9">
        <w:t>Instrumento validado no Brasil para a detecção de morbidade psiquiátrica na população geral (rastreamento de transtornos mentais não-psicóticos)</w:t>
      </w:r>
      <w:r w:rsidR="00B8197F">
        <w:t xml:space="preserve">, </w:t>
      </w:r>
      <w:r w:rsidR="00B8197F" w:rsidRPr="00E13CC2">
        <w:rPr>
          <w:color w:val="000000"/>
          <w:shd w:val="clear" w:color="auto" w:fill="FFFFFF"/>
        </w:rPr>
        <w:t>com bons índices psicométricos na realidade nacional</w:t>
      </w:r>
      <w:r w:rsidR="00B8197F">
        <w:rPr>
          <w:color w:val="000000"/>
          <w:shd w:val="clear" w:color="auto" w:fill="FFFFFF"/>
        </w:rPr>
        <w:t xml:space="preserve">, segundo </w:t>
      </w:r>
      <w:r w:rsidR="00B8197F" w:rsidRPr="00E13CC2">
        <w:t xml:space="preserve">coeficiente de consistência </w:t>
      </w:r>
      <w:r w:rsidR="00B8197F">
        <w:t xml:space="preserve">interna geral e padronizado </w:t>
      </w:r>
      <w:r w:rsidR="00B8197F" w:rsidRPr="00E13CC2">
        <w:t>de 0,80</w:t>
      </w:r>
      <w:r w:rsidR="00B8197F">
        <w:t xml:space="preserve"> (</w:t>
      </w:r>
      <w:r w:rsidR="00B8197F" w:rsidRPr="00E13CC2">
        <w:rPr>
          <w:color w:val="000000"/>
          <w:shd w:val="clear" w:color="auto" w:fill="FFFFFF"/>
        </w:rPr>
        <w:t>Santos</w:t>
      </w:r>
      <w:r w:rsidR="00B8197F">
        <w:rPr>
          <w:color w:val="000000"/>
          <w:shd w:val="clear" w:color="auto" w:fill="FFFFFF"/>
        </w:rPr>
        <w:t xml:space="preserve"> et al., </w:t>
      </w:r>
      <w:r w:rsidR="00B8197F" w:rsidRPr="00E13CC2">
        <w:rPr>
          <w:color w:val="000000"/>
          <w:shd w:val="clear" w:color="auto" w:fill="FFFFFF"/>
        </w:rPr>
        <w:t>2009)</w:t>
      </w:r>
      <w:r w:rsidRPr="00B10BA9">
        <w:t xml:space="preserve">. As 20 questões que compõem a escala têm duas possibilidades de resposta (sim/não) e foram desenhadas para abordar sintomas emocionais e físicos associados a quadros psiquiátricos. Cada resposta afirmativa pontua com o valor 1 para compor o escore final por meio do somatório destes valores. Morbidade psiquiátrica significativa está associada a presença de 7 ou mais desses </w:t>
      </w:r>
      <w:r w:rsidR="00B8197F">
        <w:t>síntomas e de acordó com esse criterio, a</w:t>
      </w:r>
      <w:r w:rsidRPr="00B10BA9">
        <w:t xml:space="preserve">s participantes foram classificadas para </w:t>
      </w:r>
      <w:r w:rsidR="007A37AF">
        <w:t xml:space="preserve">suspeita de </w:t>
      </w:r>
      <w:r w:rsidRPr="00B10BA9">
        <w:t>TMC (sim x não).</w:t>
      </w:r>
      <w:r w:rsidR="00B8197F">
        <w:t xml:space="preserve"> </w:t>
      </w:r>
    </w:p>
    <w:p w14:paraId="34EA512C" w14:textId="77777777" w:rsidR="0038356E" w:rsidRPr="00B10BA9" w:rsidRDefault="0038356E" w:rsidP="0038356E">
      <w:pPr>
        <w:spacing w:line="360" w:lineRule="auto"/>
        <w:ind w:right="139"/>
        <w:jc w:val="both"/>
        <w:rPr>
          <w:b/>
          <w:i/>
        </w:rPr>
      </w:pPr>
    </w:p>
    <w:p w14:paraId="1C38D9A8" w14:textId="77777777" w:rsidR="0038356E" w:rsidRPr="00B10BA9" w:rsidRDefault="0038356E" w:rsidP="00CF7262">
      <w:pPr>
        <w:spacing w:line="360" w:lineRule="auto"/>
        <w:ind w:right="139"/>
        <w:rPr>
          <w:b/>
          <w:i/>
        </w:rPr>
      </w:pPr>
      <w:r w:rsidRPr="00B10BA9">
        <w:rPr>
          <w:b/>
          <w:i/>
        </w:rPr>
        <w:t>Procedimento de coleta de dados</w:t>
      </w:r>
    </w:p>
    <w:p w14:paraId="4C02BF3F" w14:textId="0F718060" w:rsidR="0038356E" w:rsidRPr="00B10BA9" w:rsidRDefault="0038356E" w:rsidP="0038356E">
      <w:pPr>
        <w:spacing w:line="360" w:lineRule="auto"/>
        <w:ind w:right="139"/>
        <w:jc w:val="both"/>
      </w:pPr>
      <w:r w:rsidRPr="00B10BA9">
        <w:lastRenderedPageBreak/>
        <w:t xml:space="preserve"> </w:t>
      </w:r>
      <w:r w:rsidRPr="00B10BA9">
        <w:tab/>
      </w:r>
      <w:r w:rsidR="007E2763">
        <w:t xml:space="preserve">Tratou-se de uma pesquisa em ambiente virtual, realizada no período de agosto de 2021 a fevereiro de 2022, período de controle epidemiológico da </w:t>
      </w:r>
      <w:r w:rsidRPr="00B10BA9">
        <w:t>pandemia da Covid-19</w:t>
      </w:r>
      <w:r w:rsidR="007E2763">
        <w:t xml:space="preserve">. A coleta </w:t>
      </w:r>
      <w:r w:rsidRPr="00B10BA9">
        <w:t>se deu por meio do envio do link de um formulário online, divulgado em redes sociais como o Facebook, Instagram e WhatsApp e e-mail. O convite para participação na pesquisa continha, além do link do formulário, as devidas informações sobre a pesquisa para o adequado esclarecimento da participante. Todas as participantes foram informadas que antes de responder às perguntas do formulário seria apresentado o Termo de Consentimento Livre e Esclarecido para a sua anuência. A aplicação do formulário online se deu de forma individual, com autopreenchimento, a partir de participação voluntária.</w:t>
      </w:r>
    </w:p>
    <w:p w14:paraId="206FBD17" w14:textId="77777777" w:rsidR="0038356E" w:rsidRPr="00B10BA9" w:rsidRDefault="0038356E" w:rsidP="0038356E">
      <w:pPr>
        <w:spacing w:line="360" w:lineRule="auto"/>
        <w:ind w:right="139" w:firstLine="700"/>
        <w:jc w:val="both"/>
      </w:pPr>
      <w:r w:rsidRPr="00B10BA9">
        <w:t>Ao abrir o endereço eletrônico do formulário, a participante tinha acesso ao Termo de Consentimento Livre e Esclarecido, no qual os objetivos, os riscos e benefícios estavam expostos. Após o aceite (resposta obrigatória de Aceitar ou Não aceitar participar da pesquisa), a participante era guiada para o questionário. As duas primeiras sessões do questionário obedeciam aos critérios de inclusão e exclusão (respostas obrigatórias).</w:t>
      </w:r>
    </w:p>
    <w:p w14:paraId="79B5CFBA" w14:textId="77777777" w:rsidR="0038356E" w:rsidRPr="00B10BA9" w:rsidRDefault="0038356E" w:rsidP="0038356E">
      <w:pPr>
        <w:spacing w:line="360" w:lineRule="auto"/>
        <w:ind w:right="139"/>
        <w:jc w:val="both"/>
      </w:pPr>
      <w:r w:rsidRPr="00B10BA9">
        <w:t xml:space="preserve"> </w:t>
      </w:r>
    </w:p>
    <w:p w14:paraId="4EEF1180" w14:textId="77777777" w:rsidR="0038356E" w:rsidRPr="00B10BA9" w:rsidRDefault="0038356E" w:rsidP="00CF7262">
      <w:pPr>
        <w:spacing w:line="360" w:lineRule="auto"/>
        <w:ind w:right="139"/>
        <w:rPr>
          <w:b/>
          <w:i/>
        </w:rPr>
      </w:pPr>
      <w:r w:rsidRPr="00B10BA9">
        <w:rPr>
          <w:b/>
          <w:i/>
        </w:rPr>
        <w:t>Procedimento de análise de dados</w:t>
      </w:r>
    </w:p>
    <w:p w14:paraId="5D792FEF" w14:textId="7B7971AA" w:rsidR="0038356E" w:rsidRPr="00B10BA9" w:rsidRDefault="0038356E" w:rsidP="0038356E">
      <w:pPr>
        <w:spacing w:line="360" w:lineRule="auto"/>
        <w:ind w:right="139" w:firstLine="708"/>
        <w:jc w:val="both"/>
        <w:rPr>
          <w:color w:val="121212"/>
          <w:shd w:val="clear" w:color="auto" w:fill="F9FAFB"/>
        </w:rPr>
      </w:pPr>
      <w:r w:rsidRPr="00B10BA9">
        <w:t xml:space="preserve"> </w:t>
      </w:r>
      <w:r w:rsidRPr="00B10BA9">
        <w:rPr>
          <w:color w:val="121212"/>
          <w:shd w:val="clear" w:color="auto" w:fill="F9FAFB"/>
        </w:rPr>
        <w:t xml:space="preserve">Foram feitas estatísticas descritivas (frequência, média e desvio-padrão). Foi realizado o teste de qui-quadrado de independência (2x2) com o objetivo de investigar se havia associação significativa entre as variáveis categóricas dicotômicas (as politômicas foram transformadas em dummy) e a raça/cor (brancas x negras/amarelas/indígenas; pardas x brancas/pretas/amarelas/indígenas; pretas x brancas/pardas/amarelas/indígenas). O tamanho de efeito foi calculado pelo </w:t>
      </w:r>
      <w:r w:rsidRPr="00B10BA9">
        <w:rPr>
          <w:i/>
          <w:color w:val="121212"/>
          <w:shd w:val="clear" w:color="auto" w:fill="F9FAFB"/>
        </w:rPr>
        <w:t>V de Cramer</w:t>
      </w:r>
      <w:r w:rsidRPr="00B10BA9">
        <w:rPr>
          <w:color w:val="121212"/>
          <w:shd w:val="clear" w:color="auto" w:fill="F9FAFB"/>
        </w:rPr>
        <w:t xml:space="preserve">. </w:t>
      </w:r>
    </w:p>
    <w:p w14:paraId="0D30C9CE" w14:textId="77777777" w:rsidR="0038356E" w:rsidRPr="00B10BA9" w:rsidRDefault="0038356E" w:rsidP="0038356E">
      <w:pPr>
        <w:spacing w:line="360" w:lineRule="auto"/>
        <w:ind w:right="139" w:firstLine="708"/>
        <w:jc w:val="both"/>
      </w:pPr>
      <w:r w:rsidRPr="00B10BA9">
        <w:t xml:space="preserve">Foi realizado um teste </w:t>
      </w:r>
      <w:r w:rsidRPr="00B10BA9">
        <w:rPr>
          <w:i/>
          <w:iCs/>
        </w:rPr>
        <w:t>t</w:t>
      </w:r>
      <w:r w:rsidRPr="00B10BA9">
        <w:t xml:space="preserve"> de Student para amostras independentes com o objetivo de investigar em que medida as variáveis contínuas eram diferentes entre os grupos de raça/cor da pele. O pressuposto de homogeneidade de variância foi avaliado por meio do teste de Levene. </w:t>
      </w:r>
      <w:r w:rsidRPr="00B10BA9">
        <w:rPr>
          <w:shd w:val="clear" w:color="auto" w:fill="FFFFFF"/>
        </w:rPr>
        <w:t xml:space="preserve">Foram realizados procedimentos de </w:t>
      </w:r>
      <w:r w:rsidRPr="00B10BA9">
        <w:rPr>
          <w:i/>
          <w:iCs/>
          <w:shd w:val="clear" w:color="auto" w:fill="FFFFFF"/>
        </w:rPr>
        <w:t>bootstrapping</w:t>
      </w:r>
      <w:r w:rsidRPr="00B10BA9">
        <w:rPr>
          <w:shd w:val="clear" w:color="auto" w:fill="FFFFFF"/>
        </w:rPr>
        <w:t> (1000 reamostragens; 95% IC BCa) para se obter uma maior confiabilidade dos resultados, para corrigir desvios de normalidade da distribuição da amostra e diferenças entre os tamanhos dos grupos e, também, para apresentar um intervalo de confiança de 95% para as diferenças entre as médias (Haukoos &amp; Lewis, 2005)</w:t>
      </w:r>
      <w:r w:rsidRPr="00B10BA9">
        <w:t xml:space="preserve">. O tamanho do efeito foi calculado pelo </w:t>
      </w:r>
      <w:r w:rsidRPr="00B10BA9">
        <w:rPr>
          <w:i/>
          <w:iCs/>
        </w:rPr>
        <w:t>d</w:t>
      </w:r>
      <w:r w:rsidRPr="00B10BA9">
        <w:t xml:space="preserve"> de Cohen (Cohen, 2013).</w:t>
      </w:r>
    </w:p>
    <w:p w14:paraId="23BA9F7B" w14:textId="0575D631" w:rsidR="0038356E" w:rsidRPr="00B10BA9" w:rsidRDefault="00141505" w:rsidP="0038356E">
      <w:pPr>
        <w:spacing w:line="360" w:lineRule="auto"/>
        <w:ind w:right="139" w:firstLine="709"/>
        <w:jc w:val="both"/>
        <w:rPr>
          <w:color w:val="121212"/>
          <w:shd w:val="clear" w:color="auto" w:fill="F9FAFB"/>
        </w:rPr>
      </w:pPr>
      <w:r>
        <w:lastRenderedPageBreak/>
        <w:t>Foi realizada uma ANOVA</w:t>
      </w:r>
      <w:r w:rsidR="0038356E" w:rsidRPr="00B10BA9">
        <w:t xml:space="preserve"> fatorial (2x2) com o objetivo de verificar em que medida os níveis de TMC eram diferentes entre mulheres brancas, pardas e pretas com relação a todas as variáveis de condições de vida que apresentaram diferenças raciais estatisticamente significativas nos testes anteriores. </w:t>
      </w:r>
      <w:r w:rsidR="0038356E" w:rsidRPr="00B10BA9">
        <w:rPr>
          <w:color w:val="000000"/>
          <w:shd w:val="clear" w:color="auto" w:fill="FFFFFF"/>
        </w:rPr>
        <w:t xml:space="preserve">Procedimentos de </w:t>
      </w:r>
      <w:r w:rsidR="0038356E" w:rsidRPr="00B10BA9">
        <w:rPr>
          <w:i/>
          <w:iCs/>
          <w:color w:val="000000"/>
          <w:shd w:val="clear" w:color="auto" w:fill="FFFFFF"/>
        </w:rPr>
        <w:t>bootstrapping</w:t>
      </w:r>
      <w:r w:rsidR="0038356E" w:rsidRPr="00B10BA9">
        <w:rPr>
          <w:color w:val="000000"/>
          <w:shd w:val="clear" w:color="auto" w:fill="FFFFFF"/>
        </w:rPr>
        <w:t xml:space="preserve"> (1000 re-amostragens; 95% IC BCa) foram implementados. </w:t>
      </w:r>
      <w:r w:rsidR="006136CB" w:rsidRPr="00B10BA9">
        <w:t xml:space="preserve">O tamanho do efeito foi calculado pelo </w:t>
      </w:r>
      <w:r w:rsidR="006136CB" w:rsidRPr="00B10BA9">
        <w:rPr>
          <w:i/>
          <w:iCs/>
        </w:rPr>
        <w:t>d</w:t>
      </w:r>
      <w:r w:rsidR="006136CB" w:rsidRPr="00B10BA9">
        <w:t xml:space="preserve"> de Cohen</w:t>
      </w:r>
      <w:r w:rsidR="0038356E" w:rsidRPr="00B10BA9">
        <w:rPr>
          <w:color w:val="000000"/>
        </w:rPr>
        <w:t>.</w:t>
      </w:r>
    </w:p>
    <w:p w14:paraId="04601143" w14:textId="77777777" w:rsidR="00CF7262" w:rsidRDefault="00CF7262" w:rsidP="0038356E">
      <w:pPr>
        <w:spacing w:line="360" w:lineRule="auto"/>
        <w:ind w:right="139"/>
        <w:jc w:val="both"/>
        <w:rPr>
          <w:b/>
          <w:i/>
        </w:rPr>
      </w:pPr>
    </w:p>
    <w:p w14:paraId="4984FBA3" w14:textId="77777777" w:rsidR="0038356E" w:rsidRPr="00B10BA9" w:rsidRDefault="0038356E" w:rsidP="00CF7262">
      <w:pPr>
        <w:spacing w:line="360" w:lineRule="auto"/>
        <w:ind w:right="139"/>
        <w:rPr>
          <w:b/>
          <w:i/>
        </w:rPr>
      </w:pPr>
      <w:r w:rsidRPr="00B10BA9">
        <w:rPr>
          <w:b/>
          <w:i/>
        </w:rPr>
        <w:t>Aspectos éticos</w:t>
      </w:r>
    </w:p>
    <w:p w14:paraId="0DB680C6" w14:textId="37F55D1C" w:rsidR="0038356E" w:rsidRPr="00B10BA9" w:rsidRDefault="0038356E" w:rsidP="0038356E">
      <w:pPr>
        <w:spacing w:line="360" w:lineRule="auto"/>
        <w:ind w:right="139" w:firstLine="720"/>
        <w:jc w:val="both"/>
      </w:pPr>
      <w:r w:rsidRPr="00B10BA9">
        <w:t xml:space="preserve"> Os procedimentos éticos seguiram as recomendações da Resolução 510/2016 do Conselho Nacional de Saúde</w:t>
      </w:r>
      <w:r w:rsidR="001109E7">
        <w:t xml:space="preserve"> do Brasil </w:t>
      </w:r>
      <w:r w:rsidR="000B6EBC">
        <w:t xml:space="preserve">bem como as recomendações referentes à pesquisa em ambiente virtual </w:t>
      </w:r>
      <w:r w:rsidR="000B6EBC" w:rsidRPr="00E13CC2">
        <w:t xml:space="preserve">conforme </w:t>
      </w:r>
      <w:r w:rsidR="000B6EBC">
        <w:t>Ofício Circular no. 2/2021/CONEP/SECNS/MS</w:t>
      </w:r>
      <w:r w:rsidR="000B6EBC" w:rsidRPr="00E13CC2">
        <w:t xml:space="preserve">. </w:t>
      </w:r>
      <w:r w:rsidR="000B6EBC">
        <w:t>Este</w:t>
      </w:r>
      <w:r w:rsidR="001109E7">
        <w:t xml:space="preserve"> </w:t>
      </w:r>
      <w:r w:rsidRPr="00B10BA9">
        <w:t xml:space="preserve">estudo foi </w:t>
      </w:r>
      <w:r w:rsidR="000B6EBC">
        <w:t>dev</w:t>
      </w:r>
      <w:r w:rsidR="002C40AF">
        <w:t>idamente avaliado e aprovado por um</w:t>
      </w:r>
      <w:r w:rsidRPr="00B10BA9">
        <w:t xml:space="preserve"> Comitê de Ética em Pesquisa. </w:t>
      </w:r>
    </w:p>
    <w:p w14:paraId="2D76D644" w14:textId="77777777" w:rsidR="0038356E" w:rsidRPr="00B10BA9" w:rsidRDefault="0038356E" w:rsidP="0038356E">
      <w:pPr>
        <w:spacing w:line="360" w:lineRule="auto"/>
        <w:ind w:right="139"/>
        <w:jc w:val="both"/>
        <w:rPr>
          <w:b/>
        </w:rPr>
      </w:pPr>
    </w:p>
    <w:p w14:paraId="61754C2A" w14:textId="04F11712" w:rsidR="006F7E7E" w:rsidRDefault="005B5614" w:rsidP="0038356E">
      <w:pPr>
        <w:pStyle w:val="Ttulosinternos"/>
        <w:spacing w:before="0" w:beforeAutospacing="0" w:after="0" w:afterAutospacing="0" w:line="360" w:lineRule="auto"/>
        <w:rPr>
          <w:lang w:val="es-ES_tradnl"/>
        </w:rPr>
      </w:pPr>
      <w:r w:rsidRPr="005B24FF">
        <w:rPr>
          <w:lang w:val="es-ES_tradnl"/>
        </w:rPr>
        <w:t>Result</w:t>
      </w:r>
      <w:r w:rsidR="005B24FF" w:rsidRPr="005B24FF">
        <w:rPr>
          <w:lang w:val="es-ES_tradnl"/>
        </w:rPr>
        <w:t>ados</w:t>
      </w:r>
    </w:p>
    <w:p w14:paraId="67C078D4" w14:textId="16E69B84" w:rsidR="0038356E" w:rsidRDefault="0038356E" w:rsidP="00B313D0">
      <w:pPr>
        <w:spacing w:line="360" w:lineRule="auto"/>
        <w:ind w:right="142" w:firstLine="720"/>
        <w:jc w:val="both"/>
      </w:pPr>
      <w:r w:rsidRPr="682190EC">
        <w:t xml:space="preserve">Foram observadas diferenças por raça/cor quanto ao estado civil, ao arranjo de moradia, às condições econômicas e à saúde mental. Verificou-se que a proporção de mulheres </w:t>
      </w:r>
      <w:r w:rsidR="00BF0291">
        <w:t xml:space="preserve">autodeclaradas </w:t>
      </w:r>
      <w:r w:rsidRPr="682190EC">
        <w:t>pretas foi maior entre as solteiras, as que moravam só com os descendentes, as que contribuíam totalmente para o sustento familiar, as que eram chefes de família e as que consideravam não ter dinheiro suficiente para as despesas básicas. As mulheres pardas foram mais frequentes entre as que eram casadas e as que moravam com cônjuge e descendentes. Observou-se maior proporção de mulheres brancas entre as que consideravam ter dinheiro suficiente para as despesas diárias. As mulheres pardas foram mais frequentes entre as que tinham TMC e as mulheres brancas entre as que não tinham TMC. Todas as associações mostraram tamanho de efeito pequeno. A Tabela 1 mostra as associações significativas entre as condições de vida, TMC e a raça/cor.</w:t>
      </w:r>
    </w:p>
    <w:p w14:paraId="5DE83F18" w14:textId="77777777" w:rsidR="0038356E" w:rsidRDefault="0038356E" w:rsidP="0038356E">
      <w:pPr>
        <w:spacing w:line="360" w:lineRule="auto"/>
        <w:ind w:right="139" w:firstLine="720"/>
        <w:jc w:val="both"/>
      </w:pPr>
    </w:p>
    <w:p w14:paraId="77C3684F" w14:textId="77777777" w:rsidR="00BF0291" w:rsidRDefault="00BF0291" w:rsidP="0038356E">
      <w:pPr>
        <w:spacing w:line="360" w:lineRule="auto"/>
        <w:ind w:right="139" w:firstLine="720"/>
        <w:jc w:val="both"/>
      </w:pPr>
    </w:p>
    <w:p w14:paraId="1E859098" w14:textId="77777777" w:rsidR="00BF0291" w:rsidRDefault="00BF0291" w:rsidP="0038356E">
      <w:pPr>
        <w:spacing w:line="360" w:lineRule="auto"/>
        <w:ind w:right="139" w:firstLine="720"/>
        <w:jc w:val="both"/>
      </w:pPr>
    </w:p>
    <w:p w14:paraId="0508CE4C" w14:textId="77777777" w:rsidR="00BF0291" w:rsidRDefault="00BF0291" w:rsidP="0038356E">
      <w:pPr>
        <w:spacing w:line="360" w:lineRule="auto"/>
        <w:ind w:right="139" w:firstLine="720"/>
        <w:jc w:val="both"/>
      </w:pPr>
    </w:p>
    <w:p w14:paraId="3DDEDA21" w14:textId="77777777" w:rsidR="00BF0291" w:rsidRDefault="00BF0291" w:rsidP="0038356E">
      <w:pPr>
        <w:spacing w:line="360" w:lineRule="auto"/>
        <w:ind w:right="139" w:firstLine="720"/>
        <w:jc w:val="both"/>
      </w:pPr>
    </w:p>
    <w:p w14:paraId="2962F763" w14:textId="77777777" w:rsidR="00BF0291" w:rsidRDefault="00BF0291" w:rsidP="0038356E">
      <w:pPr>
        <w:spacing w:line="360" w:lineRule="auto"/>
        <w:ind w:right="139" w:firstLine="720"/>
        <w:jc w:val="both"/>
      </w:pPr>
    </w:p>
    <w:p w14:paraId="54B94ACF" w14:textId="77777777" w:rsidR="00BF0291" w:rsidRPr="00B10BA9" w:rsidRDefault="00BF0291" w:rsidP="0038356E">
      <w:pPr>
        <w:spacing w:line="360" w:lineRule="auto"/>
        <w:ind w:right="139" w:firstLine="720"/>
        <w:jc w:val="both"/>
      </w:pPr>
    </w:p>
    <w:p w14:paraId="31C97301" w14:textId="77777777" w:rsidR="0038356E" w:rsidRPr="00B313D0" w:rsidRDefault="0038356E" w:rsidP="00B313D0">
      <w:pPr>
        <w:spacing w:line="0" w:lineRule="atLeast"/>
        <w:rPr>
          <w:sz w:val="20"/>
          <w:szCs w:val="20"/>
        </w:rPr>
      </w:pPr>
      <w:r w:rsidRPr="00B313D0">
        <w:rPr>
          <w:sz w:val="20"/>
          <w:szCs w:val="20"/>
        </w:rPr>
        <w:lastRenderedPageBreak/>
        <w:t xml:space="preserve">Tabela 1. </w:t>
      </w:r>
    </w:p>
    <w:p w14:paraId="184DCDCC" w14:textId="77777777" w:rsidR="0038356E" w:rsidRDefault="0038356E" w:rsidP="00B313D0">
      <w:pPr>
        <w:spacing w:line="0" w:lineRule="atLeast"/>
        <w:jc w:val="both"/>
        <w:rPr>
          <w:i/>
          <w:sz w:val="20"/>
          <w:szCs w:val="20"/>
        </w:rPr>
      </w:pPr>
      <w:r w:rsidRPr="00B313D0">
        <w:rPr>
          <w:i/>
          <w:sz w:val="20"/>
          <w:szCs w:val="20"/>
        </w:rPr>
        <w:t>Distribuição das condições de vida e TMC segundo raça/cor de mulheres da meia-idade e velhice</w:t>
      </w:r>
    </w:p>
    <w:p w14:paraId="25E06DC3" w14:textId="77777777" w:rsidR="00B313D0" w:rsidRPr="00B313D0" w:rsidRDefault="00B313D0" w:rsidP="00B313D0">
      <w:pPr>
        <w:spacing w:line="0" w:lineRule="atLeast"/>
        <w:jc w:val="both"/>
        <w:rPr>
          <w:i/>
          <w:sz w:val="20"/>
          <w:szCs w:val="20"/>
        </w:rPr>
      </w:pPr>
    </w:p>
    <w:tbl>
      <w:tblPr>
        <w:tblStyle w:val="Tabelacomgrade"/>
        <w:tblW w:w="864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973"/>
        <w:gridCol w:w="708"/>
        <w:gridCol w:w="992"/>
        <w:gridCol w:w="708"/>
        <w:gridCol w:w="850"/>
        <w:gridCol w:w="142"/>
        <w:gridCol w:w="708"/>
        <w:gridCol w:w="1559"/>
      </w:tblGrid>
      <w:tr w:rsidR="0038356E" w:rsidRPr="00B313D0" w14:paraId="79C1B6A2" w14:textId="77777777" w:rsidTr="00BF0291">
        <w:trPr>
          <w:trHeight w:val="232"/>
          <w:jc w:val="center"/>
        </w:trPr>
        <w:tc>
          <w:tcPr>
            <w:tcW w:w="3681" w:type="dxa"/>
            <w:gridSpan w:val="2"/>
            <w:vMerge w:val="restart"/>
            <w:tcBorders>
              <w:top w:val="single" w:sz="4" w:space="0" w:color="auto"/>
              <w:left w:val="nil"/>
              <w:bottom w:val="nil"/>
              <w:right w:val="nil"/>
            </w:tcBorders>
          </w:tcPr>
          <w:p w14:paraId="7BDCDC2E" w14:textId="77777777" w:rsidR="0038356E" w:rsidRPr="00B313D0" w:rsidRDefault="0038356E" w:rsidP="00B313D0">
            <w:pPr>
              <w:spacing w:line="100" w:lineRule="atLeast"/>
              <w:jc w:val="center"/>
              <w:rPr>
                <w:sz w:val="20"/>
                <w:szCs w:val="20"/>
              </w:rPr>
            </w:pPr>
          </w:p>
          <w:p w14:paraId="62F7BF14" w14:textId="77777777" w:rsidR="0038356E" w:rsidRPr="00B313D0" w:rsidRDefault="0038356E" w:rsidP="00B313D0">
            <w:pPr>
              <w:spacing w:line="100" w:lineRule="atLeast"/>
              <w:jc w:val="center"/>
              <w:rPr>
                <w:i/>
                <w:iCs/>
                <w:sz w:val="20"/>
                <w:szCs w:val="20"/>
              </w:rPr>
            </w:pPr>
            <w:r w:rsidRPr="00BF0291">
              <w:rPr>
                <w:sz w:val="20"/>
                <w:szCs w:val="20"/>
              </w:rPr>
              <w:t>Condições de vida</w:t>
            </w:r>
          </w:p>
        </w:tc>
        <w:tc>
          <w:tcPr>
            <w:tcW w:w="1700" w:type="dxa"/>
            <w:gridSpan w:val="2"/>
            <w:tcBorders>
              <w:top w:val="single" w:sz="4" w:space="0" w:color="auto"/>
              <w:left w:val="nil"/>
              <w:bottom w:val="nil"/>
              <w:right w:val="nil"/>
            </w:tcBorders>
          </w:tcPr>
          <w:p w14:paraId="556A5188" w14:textId="77777777" w:rsidR="0038356E" w:rsidRPr="00B313D0" w:rsidRDefault="0038356E" w:rsidP="00B313D0">
            <w:pPr>
              <w:spacing w:line="100" w:lineRule="atLeast"/>
              <w:jc w:val="center"/>
              <w:rPr>
                <w:i/>
                <w:iCs/>
                <w:sz w:val="20"/>
                <w:szCs w:val="20"/>
              </w:rPr>
            </w:pPr>
            <w:r w:rsidRPr="00B313D0">
              <w:rPr>
                <w:i/>
                <w:iCs/>
                <w:sz w:val="20"/>
                <w:szCs w:val="20"/>
              </w:rPr>
              <w:t>Raça/cor</w:t>
            </w:r>
          </w:p>
          <w:p w14:paraId="6AC6C47E" w14:textId="77777777" w:rsidR="0038356E" w:rsidRPr="00B313D0" w:rsidRDefault="0038356E" w:rsidP="00B313D0">
            <w:pPr>
              <w:spacing w:line="100" w:lineRule="atLeast"/>
              <w:jc w:val="center"/>
              <w:rPr>
                <w:i/>
                <w:iCs/>
                <w:sz w:val="20"/>
                <w:szCs w:val="20"/>
              </w:rPr>
            </w:pPr>
          </w:p>
        </w:tc>
        <w:tc>
          <w:tcPr>
            <w:tcW w:w="992" w:type="dxa"/>
            <w:gridSpan w:val="2"/>
            <w:tcBorders>
              <w:top w:val="single" w:sz="4" w:space="0" w:color="auto"/>
              <w:left w:val="nil"/>
              <w:bottom w:val="nil"/>
              <w:right w:val="nil"/>
            </w:tcBorders>
            <w:vAlign w:val="center"/>
          </w:tcPr>
          <w:p w14:paraId="666CF9CD" w14:textId="77777777" w:rsidR="0038356E" w:rsidRPr="00B313D0" w:rsidRDefault="0038356E" w:rsidP="00B313D0">
            <w:pPr>
              <w:spacing w:line="100" w:lineRule="atLeast"/>
              <w:jc w:val="center"/>
              <w:rPr>
                <w:i/>
                <w:iCs/>
                <w:sz w:val="20"/>
                <w:szCs w:val="20"/>
              </w:rPr>
            </w:pPr>
          </w:p>
          <w:p w14:paraId="7DB81A31" w14:textId="77777777" w:rsidR="0038356E" w:rsidRPr="00B313D0" w:rsidRDefault="0038356E" w:rsidP="00B313D0">
            <w:pPr>
              <w:spacing w:line="100" w:lineRule="atLeast"/>
              <w:jc w:val="center"/>
              <w:rPr>
                <w:i/>
                <w:iCs/>
                <w:sz w:val="20"/>
                <w:szCs w:val="20"/>
              </w:rPr>
            </w:pPr>
            <w:r w:rsidRPr="00B313D0">
              <w:rPr>
                <w:i/>
                <w:iCs/>
                <w:sz w:val="20"/>
                <w:szCs w:val="20"/>
              </w:rPr>
              <w:t>x</w:t>
            </w:r>
            <w:r w:rsidRPr="00B313D0">
              <w:rPr>
                <w:i/>
                <w:iCs/>
                <w:sz w:val="20"/>
                <w:szCs w:val="20"/>
                <w:vertAlign w:val="superscript"/>
              </w:rPr>
              <w:t xml:space="preserve">2 </w:t>
            </w:r>
            <w:r w:rsidRPr="00B313D0">
              <w:rPr>
                <w:i/>
                <w:iCs/>
                <w:sz w:val="20"/>
                <w:szCs w:val="20"/>
              </w:rPr>
              <w:t>(gl)</w:t>
            </w:r>
          </w:p>
        </w:tc>
        <w:tc>
          <w:tcPr>
            <w:tcW w:w="708" w:type="dxa"/>
            <w:tcBorders>
              <w:top w:val="single" w:sz="4" w:space="0" w:color="auto"/>
              <w:left w:val="nil"/>
              <w:bottom w:val="nil"/>
              <w:right w:val="nil"/>
            </w:tcBorders>
          </w:tcPr>
          <w:p w14:paraId="1AD1B926" w14:textId="77777777" w:rsidR="0038356E" w:rsidRPr="00B313D0" w:rsidRDefault="0038356E" w:rsidP="00B313D0">
            <w:pPr>
              <w:spacing w:line="100" w:lineRule="atLeast"/>
              <w:jc w:val="center"/>
              <w:rPr>
                <w:i/>
                <w:iCs/>
                <w:sz w:val="20"/>
                <w:szCs w:val="20"/>
              </w:rPr>
            </w:pPr>
          </w:p>
          <w:p w14:paraId="7AB89748" w14:textId="77777777" w:rsidR="0038356E" w:rsidRPr="00B313D0" w:rsidRDefault="0038356E" w:rsidP="00B313D0">
            <w:pPr>
              <w:spacing w:line="100" w:lineRule="atLeast"/>
              <w:jc w:val="center"/>
              <w:rPr>
                <w:i/>
                <w:iCs/>
                <w:sz w:val="20"/>
                <w:szCs w:val="20"/>
              </w:rPr>
            </w:pPr>
            <w:r w:rsidRPr="00B313D0">
              <w:rPr>
                <w:i/>
                <w:iCs/>
                <w:sz w:val="20"/>
                <w:szCs w:val="20"/>
              </w:rPr>
              <w:t>P*</w:t>
            </w:r>
          </w:p>
        </w:tc>
        <w:tc>
          <w:tcPr>
            <w:tcW w:w="1559" w:type="dxa"/>
            <w:tcBorders>
              <w:top w:val="single" w:sz="4" w:space="0" w:color="auto"/>
              <w:left w:val="nil"/>
              <w:bottom w:val="nil"/>
              <w:right w:val="nil"/>
            </w:tcBorders>
          </w:tcPr>
          <w:p w14:paraId="16909301" w14:textId="77777777" w:rsidR="0038356E" w:rsidRPr="00B313D0" w:rsidRDefault="0038356E" w:rsidP="00B313D0">
            <w:pPr>
              <w:spacing w:line="100" w:lineRule="atLeast"/>
              <w:jc w:val="center"/>
              <w:rPr>
                <w:i/>
                <w:color w:val="121212"/>
                <w:sz w:val="20"/>
                <w:szCs w:val="20"/>
                <w:shd w:val="clear" w:color="auto" w:fill="F9FAFB"/>
              </w:rPr>
            </w:pPr>
          </w:p>
          <w:p w14:paraId="43644BEE" w14:textId="77777777" w:rsidR="0038356E" w:rsidRPr="00B313D0" w:rsidRDefault="0038356E" w:rsidP="00B313D0">
            <w:pPr>
              <w:spacing w:line="100" w:lineRule="atLeast"/>
              <w:jc w:val="center"/>
              <w:rPr>
                <w:i/>
                <w:color w:val="121212"/>
                <w:sz w:val="20"/>
                <w:szCs w:val="20"/>
                <w:shd w:val="clear" w:color="auto" w:fill="F9FAFB"/>
              </w:rPr>
            </w:pPr>
            <w:r w:rsidRPr="00B313D0">
              <w:rPr>
                <w:i/>
                <w:color w:val="121212"/>
                <w:sz w:val="20"/>
                <w:szCs w:val="20"/>
                <w:shd w:val="clear" w:color="auto" w:fill="F9FAFB"/>
              </w:rPr>
              <w:t>V de Cramer</w:t>
            </w:r>
          </w:p>
        </w:tc>
      </w:tr>
      <w:tr w:rsidR="0038356E" w:rsidRPr="00B313D0" w14:paraId="175F87E8" w14:textId="77777777" w:rsidTr="00BF0291">
        <w:trPr>
          <w:jc w:val="center"/>
        </w:trPr>
        <w:tc>
          <w:tcPr>
            <w:tcW w:w="3681" w:type="dxa"/>
            <w:gridSpan w:val="2"/>
            <w:vMerge/>
            <w:tcBorders>
              <w:bottom w:val="nil"/>
            </w:tcBorders>
            <w:vAlign w:val="center"/>
            <w:hideMark/>
          </w:tcPr>
          <w:p w14:paraId="17886881" w14:textId="77777777" w:rsidR="0038356E" w:rsidRPr="00B313D0" w:rsidRDefault="0038356E" w:rsidP="00B313D0">
            <w:pPr>
              <w:spacing w:line="100" w:lineRule="atLeast"/>
              <w:rPr>
                <w:i/>
                <w:iCs/>
                <w:sz w:val="20"/>
                <w:szCs w:val="20"/>
              </w:rPr>
            </w:pPr>
          </w:p>
        </w:tc>
        <w:tc>
          <w:tcPr>
            <w:tcW w:w="1700" w:type="dxa"/>
            <w:gridSpan w:val="2"/>
            <w:tcBorders>
              <w:top w:val="nil"/>
              <w:left w:val="nil"/>
              <w:bottom w:val="single" w:sz="4" w:space="0" w:color="auto"/>
              <w:right w:val="nil"/>
            </w:tcBorders>
            <w:hideMark/>
          </w:tcPr>
          <w:p w14:paraId="671DD5E2" w14:textId="77777777" w:rsidR="0038356E" w:rsidRPr="00B313D0" w:rsidRDefault="0038356E" w:rsidP="00B313D0">
            <w:pPr>
              <w:spacing w:line="100" w:lineRule="atLeast"/>
              <w:jc w:val="center"/>
              <w:rPr>
                <w:i/>
                <w:iCs/>
                <w:sz w:val="20"/>
                <w:szCs w:val="20"/>
              </w:rPr>
            </w:pPr>
            <w:r w:rsidRPr="00B313D0">
              <w:rPr>
                <w:i/>
                <w:iCs/>
                <w:sz w:val="20"/>
                <w:szCs w:val="20"/>
              </w:rPr>
              <w:t>Preta %</w:t>
            </w:r>
          </w:p>
        </w:tc>
        <w:tc>
          <w:tcPr>
            <w:tcW w:w="850" w:type="dxa"/>
            <w:tcBorders>
              <w:top w:val="nil"/>
              <w:left w:val="nil"/>
              <w:bottom w:val="nil"/>
              <w:right w:val="nil"/>
            </w:tcBorders>
          </w:tcPr>
          <w:p w14:paraId="7EA321B4" w14:textId="77777777" w:rsidR="0038356E" w:rsidRPr="00B313D0" w:rsidRDefault="0038356E" w:rsidP="00B313D0">
            <w:pPr>
              <w:spacing w:line="100" w:lineRule="atLeast"/>
              <w:jc w:val="center"/>
              <w:rPr>
                <w:i/>
                <w:iCs/>
                <w:sz w:val="20"/>
                <w:szCs w:val="20"/>
              </w:rPr>
            </w:pPr>
          </w:p>
        </w:tc>
        <w:tc>
          <w:tcPr>
            <w:tcW w:w="850" w:type="dxa"/>
            <w:gridSpan w:val="2"/>
            <w:tcBorders>
              <w:top w:val="nil"/>
              <w:left w:val="nil"/>
              <w:bottom w:val="nil"/>
              <w:right w:val="nil"/>
            </w:tcBorders>
          </w:tcPr>
          <w:p w14:paraId="5350F817" w14:textId="77777777" w:rsidR="0038356E" w:rsidRPr="00B313D0" w:rsidRDefault="0038356E" w:rsidP="00B313D0">
            <w:pPr>
              <w:spacing w:line="100" w:lineRule="atLeast"/>
              <w:jc w:val="center"/>
              <w:rPr>
                <w:i/>
                <w:iCs/>
                <w:sz w:val="20"/>
                <w:szCs w:val="20"/>
              </w:rPr>
            </w:pPr>
          </w:p>
        </w:tc>
        <w:tc>
          <w:tcPr>
            <w:tcW w:w="1559" w:type="dxa"/>
            <w:tcBorders>
              <w:top w:val="nil"/>
              <w:left w:val="nil"/>
              <w:bottom w:val="nil"/>
              <w:right w:val="nil"/>
            </w:tcBorders>
          </w:tcPr>
          <w:p w14:paraId="644A7461" w14:textId="77777777" w:rsidR="0038356E" w:rsidRPr="00B313D0" w:rsidRDefault="0038356E" w:rsidP="00B313D0">
            <w:pPr>
              <w:spacing w:line="100" w:lineRule="atLeast"/>
              <w:jc w:val="center"/>
              <w:rPr>
                <w:i/>
                <w:iCs/>
                <w:sz w:val="20"/>
                <w:szCs w:val="20"/>
              </w:rPr>
            </w:pPr>
          </w:p>
        </w:tc>
      </w:tr>
      <w:tr w:rsidR="0038356E" w:rsidRPr="00B313D0" w14:paraId="3721DC34" w14:textId="77777777" w:rsidTr="00BF0291">
        <w:trPr>
          <w:jc w:val="center"/>
        </w:trPr>
        <w:tc>
          <w:tcPr>
            <w:tcW w:w="3681" w:type="dxa"/>
            <w:gridSpan w:val="2"/>
            <w:tcBorders>
              <w:top w:val="nil"/>
              <w:left w:val="nil"/>
              <w:bottom w:val="single" w:sz="4" w:space="0" w:color="auto"/>
              <w:right w:val="nil"/>
            </w:tcBorders>
          </w:tcPr>
          <w:p w14:paraId="46ED7A84" w14:textId="77777777" w:rsidR="0038356E" w:rsidRPr="00B313D0" w:rsidRDefault="0038356E" w:rsidP="00B313D0">
            <w:pPr>
              <w:spacing w:line="100" w:lineRule="atLeast"/>
              <w:rPr>
                <w:i/>
                <w:iCs/>
                <w:sz w:val="20"/>
                <w:szCs w:val="20"/>
              </w:rPr>
            </w:pPr>
          </w:p>
        </w:tc>
        <w:tc>
          <w:tcPr>
            <w:tcW w:w="992" w:type="dxa"/>
            <w:tcBorders>
              <w:top w:val="single" w:sz="4" w:space="0" w:color="auto"/>
              <w:left w:val="nil"/>
              <w:bottom w:val="single" w:sz="4" w:space="0" w:color="auto"/>
              <w:right w:val="nil"/>
            </w:tcBorders>
            <w:hideMark/>
          </w:tcPr>
          <w:p w14:paraId="1F81EC60" w14:textId="77777777" w:rsidR="0038356E" w:rsidRPr="00B313D0" w:rsidRDefault="0038356E" w:rsidP="00B313D0">
            <w:pPr>
              <w:spacing w:line="100" w:lineRule="atLeast"/>
              <w:jc w:val="center"/>
              <w:rPr>
                <w:i/>
                <w:iCs/>
                <w:sz w:val="20"/>
                <w:szCs w:val="20"/>
              </w:rPr>
            </w:pPr>
            <w:r w:rsidRPr="00B313D0">
              <w:rPr>
                <w:i/>
                <w:iCs/>
                <w:sz w:val="20"/>
                <w:szCs w:val="20"/>
              </w:rPr>
              <w:t>Sim</w:t>
            </w:r>
          </w:p>
        </w:tc>
        <w:tc>
          <w:tcPr>
            <w:tcW w:w="708" w:type="dxa"/>
            <w:tcBorders>
              <w:top w:val="single" w:sz="4" w:space="0" w:color="auto"/>
              <w:left w:val="nil"/>
              <w:bottom w:val="single" w:sz="4" w:space="0" w:color="auto"/>
              <w:right w:val="nil"/>
            </w:tcBorders>
            <w:hideMark/>
          </w:tcPr>
          <w:p w14:paraId="5655F138" w14:textId="77777777" w:rsidR="0038356E" w:rsidRPr="00B313D0" w:rsidRDefault="0038356E" w:rsidP="00B313D0">
            <w:pPr>
              <w:spacing w:line="100" w:lineRule="atLeast"/>
              <w:jc w:val="center"/>
              <w:rPr>
                <w:i/>
                <w:iCs/>
                <w:sz w:val="20"/>
                <w:szCs w:val="20"/>
              </w:rPr>
            </w:pPr>
            <w:r w:rsidRPr="00B313D0">
              <w:rPr>
                <w:i/>
                <w:iCs/>
                <w:sz w:val="20"/>
                <w:szCs w:val="20"/>
              </w:rPr>
              <w:t>Não</w:t>
            </w:r>
          </w:p>
        </w:tc>
        <w:tc>
          <w:tcPr>
            <w:tcW w:w="850" w:type="dxa"/>
            <w:tcBorders>
              <w:top w:val="nil"/>
              <w:left w:val="nil"/>
              <w:bottom w:val="single" w:sz="4" w:space="0" w:color="auto"/>
              <w:right w:val="nil"/>
            </w:tcBorders>
          </w:tcPr>
          <w:p w14:paraId="3A13E316" w14:textId="77777777" w:rsidR="0038356E" w:rsidRPr="00B313D0" w:rsidRDefault="0038356E" w:rsidP="00B313D0">
            <w:pPr>
              <w:spacing w:line="100" w:lineRule="atLeast"/>
              <w:jc w:val="center"/>
              <w:rPr>
                <w:i/>
                <w:iCs/>
                <w:sz w:val="20"/>
                <w:szCs w:val="20"/>
              </w:rPr>
            </w:pPr>
          </w:p>
        </w:tc>
        <w:tc>
          <w:tcPr>
            <w:tcW w:w="850" w:type="dxa"/>
            <w:gridSpan w:val="2"/>
            <w:tcBorders>
              <w:top w:val="nil"/>
              <w:left w:val="nil"/>
              <w:bottom w:val="single" w:sz="4" w:space="0" w:color="auto"/>
              <w:right w:val="nil"/>
            </w:tcBorders>
          </w:tcPr>
          <w:p w14:paraId="27FB927E" w14:textId="77777777" w:rsidR="0038356E" w:rsidRPr="00B313D0" w:rsidRDefault="0038356E" w:rsidP="00B313D0">
            <w:pPr>
              <w:spacing w:line="100" w:lineRule="atLeast"/>
              <w:jc w:val="center"/>
              <w:rPr>
                <w:i/>
                <w:iCs/>
                <w:sz w:val="20"/>
                <w:szCs w:val="20"/>
              </w:rPr>
            </w:pPr>
          </w:p>
        </w:tc>
        <w:tc>
          <w:tcPr>
            <w:tcW w:w="1559" w:type="dxa"/>
            <w:tcBorders>
              <w:top w:val="nil"/>
              <w:left w:val="nil"/>
              <w:bottom w:val="single" w:sz="4" w:space="0" w:color="auto"/>
              <w:right w:val="nil"/>
            </w:tcBorders>
          </w:tcPr>
          <w:p w14:paraId="792FBAE5" w14:textId="77777777" w:rsidR="0038356E" w:rsidRPr="00B313D0" w:rsidRDefault="0038356E" w:rsidP="00B313D0">
            <w:pPr>
              <w:spacing w:line="100" w:lineRule="atLeast"/>
              <w:jc w:val="center"/>
              <w:rPr>
                <w:i/>
                <w:iCs/>
                <w:sz w:val="20"/>
                <w:szCs w:val="20"/>
              </w:rPr>
            </w:pPr>
          </w:p>
        </w:tc>
      </w:tr>
      <w:tr w:rsidR="0038356E" w:rsidRPr="00B313D0" w14:paraId="37EEAEB0" w14:textId="77777777" w:rsidTr="00BF0291">
        <w:trPr>
          <w:jc w:val="center"/>
        </w:trPr>
        <w:tc>
          <w:tcPr>
            <w:tcW w:w="2973" w:type="dxa"/>
            <w:tcBorders>
              <w:top w:val="nil"/>
              <w:left w:val="nil"/>
              <w:bottom w:val="nil"/>
              <w:right w:val="nil"/>
            </w:tcBorders>
            <w:hideMark/>
          </w:tcPr>
          <w:p w14:paraId="7ECE8E02" w14:textId="77777777" w:rsidR="0038356E" w:rsidRPr="00B313D0" w:rsidRDefault="0038356E" w:rsidP="00B313D0">
            <w:pPr>
              <w:spacing w:line="100" w:lineRule="atLeast"/>
              <w:rPr>
                <w:sz w:val="20"/>
                <w:szCs w:val="20"/>
              </w:rPr>
            </w:pPr>
            <w:r w:rsidRPr="00B313D0">
              <w:rPr>
                <w:sz w:val="20"/>
                <w:szCs w:val="20"/>
              </w:rPr>
              <w:t xml:space="preserve">Solteira </w:t>
            </w:r>
          </w:p>
        </w:tc>
        <w:tc>
          <w:tcPr>
            <w:tcW w:w="708" w:type="dxa"/>
            <w:tcBorders>
              <w:top w:val="nil"/>
              <w:left w:val="nil"/>
              <w:bottom w:val="nil"/>
              <w:right w:val="nil"/>
            </w:tcBorders>
            <w:hideMark/>
          </w:tcPr>
          <w:p w14:paraId="552AD152" w14:textId="77777777" w:rsidR="0038356E" w:rsidRPr="00B313D0" w:rsidRDefault="0038356E" w:rsidP="00B313D0">
            <w:pPr>
              <w:spacing w:line="100" w:lineRule="atLeast"/>
              <w:rPr>
                <w:sz w:val="20"/>
                <w:szCs w:val="20"/>
              </w:rPr>
            </w:pPr>
            <w:r w:rsidRPr="00B313D0">
              <w:rPr>
                <w:sz w:val="20"/>
                <w:szCs w:val="20"/>
              </w:rPr>
              <w:t>Sim</w:t>
            </w:r>
          </w:p>
          <w:p w14:paraId="66AD2010" w14:textId="77777777" w:rsidR="0038356E" w:rsidRPr="00B313D0" w:rsidRDefault="0038356E" w:rsidP="00B313D0">
            <w:pPr>
              <w:spacing w:line="100" w:lineRule="atLeast"/>
              <w:rPr>
                <w:sz w:val="20"/>
                <w:szCs w:val="20"/>
              </w:rPr>
            </w:pPr>
            <w:r w:rsidRPr="00B313D0">
              <w:rPr>
                <w:sz w:val="20"/>
                <w:szCs w:val="20"/>
              </w:rPr>
              <w:t>Não</w:t>
            </w:r>
          </w:p>
        </w:tc>
        <w:tc>
          <w:tcPr>
            <w:tcW w:w="992" w:type="dxa"/>
            <w:tcBorders>
              <w:top w:val="nil"/>
              <w:left w:val="nil"/>
              <w:bottom w:val="nil"/>
              <w:right w:val="nil"/>
            </w:tcBorders>
            <w:hideMark/>
          </w:tcPr>
          <w:p w14:paraId="1AB3E786" w14:textId="77777777" w:rsidR="0038356E" w:rsidRPr="00B313D0" w:rsidRDefault="0038356E" w:rsidP="00B313D0">
            <w:pPr>
              <w:spacing w:line="100" w:lineRule="atLeast"/>
              <w:jc w:val="center"/>
              <w:rPr>
                <w:sz w:val="20"/>
                <w:szCs w:val="20"/>
              </w:rPr>
            </w:pPr>
            <w:r w:rsidRPr="00B313D0">
              <w:rPr>
                <w:sz w:val="20"/>
                <w:szCs w:val="20"/>
              </w:rPr>
              <w:t>34,3</w:t>
            </w:r>
          </w:p>
          <w:p w14:paraId="02C5ADC4" w14:textId="77777777" w:rsidR="0038356E" w:rsidRPr="00B313D0" w:rsidRDefault="0038356E" w:rsidP="00B313D0">
            <w:pPr>
              <w:spacing w:line="100" w:lineRule="atLeast"/>
              <w:jc w:val="center"/>
              <w:rPr>
                <w:sz w:val="20"/>
                <w:szCs w:val="20"/>
              </w:rPr>
            </w:pPr>
            <w:r w:rsidRPr="00B313D0">
              <w:rPr>
                <w:sz w:val="20"/>
                <w:szCs w:val="20"/>
              </w:rPr>
              <w:t>14,1</w:t>
            </w:r>
          </w:p>
        </w:tc>
        <w:tc>
          <w:tcPr>
            <w:tcW w:w="708" w:type="dxa"/>
            <w:tcBorders>
              <w:top w:val="nil"/>
              <w:left w:val="nil"/>
              <w:bottom w:val="nil"/>
              <w:right w:val="nil"/>
            </w:tcBorders>
            <w:hideMark/>
          </w:tcPr>
          <w:p w14:paraId="74A7E083" w14:textId="77777777" w:rsidR="0038356E" w:rsidRPr="00B313D0" w:rsidRDefault="0038356E" w:rsidP="00B313D0">
            <w:pPr>
              <w:spacing w:line="100" w:lineRule="atLeast"/>
              <w:jc w:val="center"/>
              <w:rPr>
                <w:sz w:val="20"/>
                <w:szCs w:val="20"/>
              </w:rPr>
            </w:pPr>
            <w:r w:rsidRPr="00B313D0">
              <w:rPr>
                <w:sz w:val="20"/>
                <w:szCs w:val="20"/>
              </w:rPr>
              <w:t>65,7</w:t>
            </w:r>
          </w:p>
          <w:p w14:paraId="675CF727" w14:textId="77777777" w:rsidR="0038356E" w:rsidRPr="00B313D0" w:rsidRDefault="0038356E" w:rsidP="00B313D0">
            <w:pPr>
              <w:spacing w:line="100" w:lineRule="atLeast"/>
              <w:jc w:val="center"/>
              <w:rPr>
                <w:sz w:val="20"/>
                <w:szCs w:val="20"/>
              </w:rPr>
            </w:pPr>
            <w:r w:rsidRPr="00B313D0">
              <w:rPr>
                <w:sz w:val="20"/>
                <w:szCs w:val="20"/>
              </w:rPr>
              <w:t>85,9</w:t>
            </w:r>
          </w:p>
        </w:tc>
        <w:tc>
          <w:tcPr>
            <w:tcW w:w="850" w:type="dxa"/>
            <w:vMerge w:val="restart"/>
            <w:tcBorders>
              <w:top w:val="nil"/>
              <w:left w:val="nil"/>
              <w:bottom w:val="single" w:sz="4" w:space="0" w:color="auto"/>
              <w:right w:val="nil"/>
            </w:tcBorders>
          </w:tcPr>
          <w:p w14:paraId="748283C8" w14:textId="77777777" w:rsidR="0038356E" w:rsidRPr="00B313D0" w:rsidRDefault="0038356E" w:rsidP="00B313D0">
            <w:pPr>
              <w:spacing w:line="100" w:lineRule="atLeast"/>
              <w:jc w:val="center"/>
              <w:rPr>
                <w:sz w:val="20"/>
                <w:szCs w:val="20"/>
              </w:rPr>
            </w:pPr>
            <w:r w:rsidRPr="00B313D0">
              <w:rPr>
                <w:sz w:val="20"/>
                <w:szCs w:val="20"/>
              </w:rPr>
              <w:t>26,7(1)</w:t>
            </w:r>
          </w:p>
          <w:p w14:paraId="4E069015" w14:textId="77777777" w:rsidR="0038356E" w:rsidRPr="00B313D0" w:rsidRDefault="0038356E" w:rsidP="00B313D0">
            <w:pPr>
              <w:spacing w:line="100" w:lineRule="atLeast"/>
              <w:jc w:val="center"/>
              <w:rPr>
                <w:sz w:val="20"/>
                <w:szCs w:val="20"/>
              </w:rPr>
            </w:pPr>
          </w:p>
          <w:p w14:paraId="6CD25C5A" w14:textId="77777777" w:rsidR="0038356E" w:rsidRPr="00B313D0" w:rsidRDefault="0038356E" w:rsidP="00B313D0">
            <w:pPr>
              <w:spacing w:line="100" w:lineRule="atLeast"/>
              <w:jc w:val="center"/>
              <w:rPr>
                <w:sz w:val="20"/>
                <w:szCs w:val="20"/>
              </w:rPr>
            </w:pPr>
          </w:p>
          <w:p w14:paraId="5D2DEA05" w14:textId="77777777" w:rsidR="0038356E" w:rsidRPr="00B313D0" w:rsidRDefault="0038356E" w:rsidP="00B313D0">
            <w:pPr>
              <w:spacing w:line="100" w:lineRule="atLeast"/>
              <w:jc w:val="center"/>
              <w:rPr>
                <w:sz w:val="20"/>
                <w:szCs w:val="20"/>
              </w:rPr>
            </w:pPr>
            <w:r w:rsidRPr="00B313D0">
              <w:rPr>
                <w:sz w:val="20"/>
                <w:szCs w:val="20"/>
              </w:rPr>
              <w:t>4,6(1)</w:t>
            </w:r>
          </w:p>
          <w:p w14:paraId="4577AF70" w14:textId="77777777" w:rsidR="0038356E" w:rsidRPr="00B313D0" w:rsidRDefault="0038356E" w:rsidP="00B313D0">
            <w:pPr>
              <w:spacing w:line="100" w:lineRule="atLeast"/>
              <w:jc w:val="center"/>
              <w:rPr>
                <w:sz w:val="20"/>
                <w:szCs w:val="20"/>
              </w:rPr>
            </w:pPr>
          </w:p>
          <w:p w14:paraId="1B922B90" w14:textId="77777777" w:rsidR="0038356E" w:rsidRPr="00B313D0" w:rsidRDefault="0038356E" w:rsidP="00B313D0">
            <w:pPr>
              <w:spacing w:line="100" w:lineRule="atLeast"/>
              <w:jc w:val="center"/>
              <w:rPr>
                <w:sz w:val="20"/>
                <w:szCs w:val="20"/>
              </w:rPr>
            </w:pPr>
          </w:p>
          <w:p w14:paraId="519DFEEA" w14:textId="77777777" w:rsidR="0038356E" w:rsidRPr="00B313D0" w:rsidRDefault="0038356E" w:rsidP="00B313D0">
            <w:pPr>
              <w:spacing w:line="100" w:lineRule="atLeast"/>
              <w:jc w:val="center"/>
              <w:rPr>
                <w:sz w:val="20"/>
                <w:szCs w:val="20"/>
              </w:rPr>
            </w:pPr>
            <w:r w:rsidRPr="00B313D0">
              <w:rPr>
                <w:sz w:val="20"/>
                <w:szCs w:val="20"/>
              </w:rPr>
              <w:t>4,3(1)</w:t>
            </w:r>
          </w:p>
          <w:p w14:paraId="35493B6A" w14:textId="77777777" w:rsidR="0038356E" w:rsidRPr="00B313D0" w:rsidRDefault="0038356E" w:rsidP="00B313D0">
            <w:pPr>
              <w:spacing w:line="100" w:lineRule="atLeast"/>
              <w:jc w:val="center"/>
              <w:rPr>
                <w:sz w:val="20"/>
                <w:szCs w:val="20"/>
              </w:rPr>
            </w:pPr>
          </w:p>
          <w:p w14:paraId="55791445" w14:textId="77777777" w:rsidR="0038356E" w:rsidRPr="00B313D0" w:rsidRDefault="0038356E" w:rsidP="00B313D0">
            <w:pPr>
              <w:spacing w:line="100" w:lineRule="atLeast"/>
              <w:jc w:val="center"/>
              <w:rPr>
                <w:sz w:val="20"/>
                <w:szCs w:val="20"/>
              </w:rPr>
            </w:pPr>
          </w:p>
          <w:p w14:paraId="210B6ED7" w14:textId="77777777" w:rsidR="0038356E" w:rsidRPr="00B313D0" w:rsidRDefault="0038356E" w:rsidP="00B313D0">
            <w:pPr>
              <w:spacing w:line="100" w:lineRule="atLeast"/>
              <w:jc w:val="center"/>
              <w:rPr>
                <w:sz w:val="20"/>
                <w:szCs w:val="20"/>
              </w:rPr>
            </w:pPr>
            <w:r w:rsidRPr="00B313D0">
              <w:rPr>
                <w:sz w:val="20"/>
                <w:szCs w:val="20"/>
              </w:rPr>
              <w:t>7,4(1)</w:t>
            </w:r>
          </w:p>
          <w:p w14:paraId="4EA7E46E" w14:textId="77777777" w:rsidR="0038356E" w:rsidRPr="00B313D0" w:rsidRDefault="0038356E" w:rsidP="00B313D0">
            <w:pPr>
              <w:spacing w:line="100" w:lineRule="atLeast"/>
              <w:jc w:val="center"/>
              <w:rPr>
                <w:sz w:val="20"/>
                <w:szCs w:val="20"/>
              </w:rPr>
            </w:pPr>
          </w:p>
          <w:p w14:paraId="19F31DE4" w14:textId="77777777" w:rsidR="0038356E" w:rsidRPr="00B313D0" w:rsidRDefault="0038356E" w:rsidP="00B313D0">
            <w:pPr>
              <w:spacing w:line="100" w:lineRule="atLeast"/>
              <w:jc w:val="center"/>
              <w:rPr>
                <w:sz w:val="20"/>
                <w:szCs w:val="20"/>
              </w:rPr>
            </w:pPr>
          </w:p>
          <w:p w14:paraId="1ECE63B6" w14:textId="77777777" w:rsidR="0038356E" w:rsidRPr="00B313D0" w:rsidRDefault="0038356E" w:rsidP="00B313D0">
            <w:pPr>
              <w:spacing w:line="100" w:lineRule="atLeast"/>
              <w:jc w:val="center"/>
              <w:rPr>
                <w:sz w:val="20"/>
                <w:szCs w:val="20"/>
              </w:rPr>
            </w:pPr>
            <w:r w:rsidRPr="00B313D0">
              <w:rPr>
                <w:sz w:val="20"/>
                <w:szCs w:val="20"/>
              </w:rPr>
              <w:t>11,8(1)</w:t>
            </w:r>
          </w:p>
        </w:tc>
        <w:tc>
          <w:tcPr>
            <w:tcW w:w="850" w:type="dxa"/>
            <w:gridSpan w:val="2"/>
            <w:tcBorders>
              <w:top w:val="nil"/>
              <w:left w:val="nil"/>
              <w:bottom w:val="nil"/>
              <w:right w:val="nil"/>
            </w:tcBorders>
            <w:hideMark/>
          </w:tcPr>
          <w:p w14:paraId="6ED3F336" w14:textId="77777777" w:rsidR="0038356E" w:rsidRPr="00B313D0" w:rsidRDefault="0038356E" w:rsidP="00B313D0">
            <w:pPr>
              <w:spacing w:line="100" w:lineRule="atLeast"/>
              <w:jc w:val="center"/>
              <w:rPr>
                <w:sz w:val="20"/>
                <w:szCs w:val="20"/>
              </w:rPr>
            </w:pPr>
            <w:r w:rsidRPr="00B313D0">
              <w:rPr>
                <w:sz w:val="20"/>
                <w:szCs w:val="20"/>
              </w:rPr>
              <w:t>0,000</w:t>
            </w:r>
          </w:p>
        </w:tc>
        <w:tc>
          <w:tcPr>
            <w:tcW w:w="1559" w:type="dxa"/>
            <w:vMerge w:val="restart"/>
            <w:tcBorders>
              <w:top w:val="nil"/>
              <w:left w:val="nil"/>
              <w:bottom w:val="single" w:sz="4" w:space="0" w:color="auto"/>
              <w:right w:val="nil"/>
            </w:tcBorders>
          </w:tcPr>
          <w:p w14:paraId="5426645D" w14:textId="77777777" w:rsidR="0038356E" w:rsidRPr="00B313D0" w:rsidRDefault="0038356E" w:rsidP="00B313D0">
            <w:pPr>
              <w:spacing w:line="100" w:lineRule="atLeast"/>
              <w:jc w:val="center"/>
              <w:rPr>
                <w:sz w:val="20"/>
                <w:szCs w:val="20"/>
              </w:rPr>
            </w:pPr>
            <w:r w:rsidRPr="00B313D0">
              <w:rPr>
                <w:sz w:val="20"/>
                <w:szCs w:val="20"/>
              </w:rPr>
              <w:t>0,222</w:t>
            </w:r>
            <w:r w:rsidRPr="00B313D0">
              <w:rPr>
                <w:sz w:val="20"/>
                <w:szCs w:val="20"/>
                <w:vertAlign w:val="superscript"/>
              </w:rPr>
              <w:t xml:space="preserve"> F</w:t>
            </w:r>
          </w:p>
          <w:p w14:paraId="5FE52677" w14:textId="77777777" w:rsidR="0038356E" w:rsidRPr="00B313D0" w:rsidRDefault="0038356E" w:rsidP="00B313D0">
            <w:pPr>
              <w:spacing w:line="100" w:lineRule="atLeast"/>
              <w:jc w:val="center"/>
              <w:rPr>
                <w:sz w:val="20"/>
                <w:szCs w:val="20"/>
              </w:rPr>
            </w:pPr>
          </w:p>
          <w:p w14:paraId="75018589" w14:textId="77777777" w:rsidR="0038356E" w:rsidRPr="00B313D0" w:rsidRDefault="0038356E" w:rsidP="00B313D0">
            <w:pPr>
              <w:spacing w:line="100" w:lineRule="atLeast"/>
              <w:jc w:val="center"/>
              <w:rPr>
                <w:sz w:val="20"/>
                <w:szCs w:val="20"/>
              </w:rPr>
            </w:pPr>
          </w:p>
          <w:p w14:paraId="566CBE99" w14:textId="77777777" w:rsidR="0038356E" w:rsidRPr="00B313D0" w:rsidRDefault="0038356E" w:rsidP="00B313D0">
            <w:pPr>
              <w:spacing w:line="100" w:lineRule="atLeast"/>
              <w:jc w:val="center"/>
              <w:rPr>
                <w:sz w:val="20"/>
                <w:szCs w:val="20"/>
              </w:rPr>
            </w:pPr>
            <w:r w:rsidRPr="00B313D0">
              <w:rPr>
                <w:sz w:val="20"/>
                <w:szCs w:val="20"/>
              </w:rPr>
              <w:t>0,080</w:t>
            </w:r>
            <w:r w:rsidRPr="00B313D0">
              <w:rPr>
                <w:sz w:val="20"/>
                <w:szCs w:val="20"/>
                <w:vertAlign w:val="superscript"/>
              </w:rPr>
              <w:t xml:space="preserve"> F</w:t>
            </w:r>
          </w:p>
          <w:p w14:paraId="24D8C7BA" w14:textId="77777777" w:rsidR="0038356E" w:rsidRPr="00B313D0" w:rsidRDefault="0038356E" w:rsidP="00B313D0">
            <w:pPr>
              <w:spacing w:line="100" w:lineRule="atLeast"/>
              <w:jc w:val="center"/>
              <w:rPr>
                <w:sz w:val="20"/>
                <w:szCs w:val="20"/>
              </w:rPr>
            </w:pPr>
          </w:p>
          <w:p w14:paraId="2B7303BD" w14:textId="77777777" w:rsidR="0038356E" w:rsidRPr="00B313D0" w:rsidRDefault="0038356E" w:rsidP="00B313D0">
            <w:pPr>
              <w:spacing w:line="100" w:lineRule="atLeast"/>
              <w:jc w:val="center"/>
              <w:rPr>
                <w:sz w:val="20"/>
                <w:szCs w:val="20"/>
              </w:rPr>
            </w:pPr>
          </w:p>
          <w:p w14:paraId="766322FA" w14:textId="77777777" w:rsidR="0038356E" w:rsidRPr="00B313D0" w:rsidRDefault="0038356E" w:rsidP="00B313D0">
            <w:pPr>
              <w:spacing w:line="100" w:lineRule="atLeast"/>
              <w:jc w:val="center"/>
              <w:rPr>
                <w:sz w:val="20"/>
                <w:szCs w:val="20"/>
              </w:rPr>
            </w:pPr>
            <w:r w:rsidRPr="00B313D0">
              <w:rPr>
                <w:sz w:val="20"/>
                <w:szCs w:val="20"/>
              </w:rPr>
              <w:t>0,094</w:t>
            </w:r>
            <w:r w:rsidRPr="00B313D0">
              <w:rPr>
                <w:sz w:val="20"/>
                <w:szCs w:val="20"/>
                <w:vertAlign w:val="superscript"/>
              </w:rPr>
              <w:t xml:space="preserve"> F</w:t>
            </w:r>
          </w:p>
          <w:p w14:paraId="5441CF4C" w14:textId="77777777" w:rsidR="0038356E" w:rsidRPr="00B313D0" w:rsidRDefault="0038356E" w:rsidP="00B313D0">
            <w:pPr>
              <w:spacing w:line="100" w:lineRule="atLeast"/>
              <w:jc w:val="center"/>
              <w:rPr>
                <w:sz w:val="20"/>
                <w:szCs w:val="20"/>
              </w:rPr>
            </w:pPr>
          </w:p>
          <w:p w14:paraId="7BBA87D3" w14:textId="77777777" w:rsidR="0038356E" w:rsidRPr="00B313D0" w:rsidRDefault="0038356E" w:rsidP="00B313D0">
            <w:pPr>
              <w:spacing w:line="100" w:lineRule="atLeast"/>
              <w:jc w:val="center"/>
              <w:rPr>
                <w:sz w:val="20"/>
                <w:szCs w:val="20"/>
              </w:rPr>
            </w:pPr>
          </w:p>
          <w:p w14:paraId="3DF9951A" w14:textId="77777777" w:rsidR="0038356E" w:rsidRPr="00B313D0" w:rsidRDefault="0038356E" w:rsidP="00B313D0">
            <w:pPr>
              <w:spacing w:line="100" w:lineRule="atLeast"/>
              <w:jc w:val="center"/>
              <w:rPr>
                <w:sz w:val="20"/>
                <w:szCs w:val="20"/>
              </w:rPr>
            </w:pPr>
            <w:r w:rsidRPr="00B313D0">
              <w:rPr>
                <w:sz w:val="20"/>
                <w:szCs w:val="20"/>
              </w:rPr>
              <w:t xml:space="preserve">0,119 </w:t>
            </w:r>
            <w:r w:rsidRPr="00B313D0">
              <w:rPr>
                <w:sz w:val="20"/>
                <w:szCs w:val="20"/>
                <w:vertAlign w:val="superscript"/>
              </w:rPr>
              <w:t>F</w:t>
            </w:r>
          </w:p>
          <w:p w14:paraId="2AD9CC35" w14:textId="77777777" w:rsidR="0038356E" w:rsidRPr="00B313D0" w:rsidRDefault="0038356E" w:rsidP="00B313D0">
            <w:pPr>
              <w:spacing w:line="100" w:lineRule="atLeast"/>
              <w:jc w:val="center"/>
              <w:rPr>
                <w:sz w:val="20"/>
                <w:szCs w:val="20"/>
              </w:rPr>
            </w:pPr>
          </w:p>
          <w:p w14:paraId="007BC4DB" w14:textId="77777777" w:rsidR="0038356E" w:rsidRPr="00B313D0" w:rsidRDefault="0038356E" w:rsidP="00B313D0">
            <w:pPr>
              <w:spacing w:line="100" w:lineRule="atLeast"/>
              <w:jc w:val="center"/>
              <w:rPr>
                <w:sz w:val="20"/>
                <w:szCs w:val="20"/>
              </w:rPr>
            </w:pPr>
          </w:p>
          <w:p w14:paraId="273BB07F" w14:textId="77777777" w:rsidR="0038356E" w:rsidRPr="00B313D0" w:rsidRDefault="0038356E" w:rsidP="00B313D0">
            <w:pPr>
              <w:spacing w:line="100" w:lineRule="atLeast"/>
              <w:jc w:val="center"/>
              <w:rPr>
                <w:sz w:val="20"/>
                <w:szCs w:val="20"/>
              </w:rPr>
            </w:pPr>
            <w:r w:rsidRPr="00B313D0">
              <w:rPr>
                <w:sz w:val="20"/>
                <w:szCs w:val="20"/>
              </w:rPr>
              <w:t>0,147</w:t>
            </w:r>
            <w:r w:rsidRPr="00B313D0">
              <w:rPr>
                <w:sz w:val="20"/>
                <w:szCs w:val="20"/>
                <w:vertAlign w:val="superscript"/>
              </w:rPr>
              <w:t xml:space="preserve"> F</w:t>
            </w:r>
          </w:p>
        </w:tc>
      </w:tr>
      <w:tr w:rsidR="0038356E" w:rsidRPr="00B313D0" w14:paraId="7B035808" w14:textId="77777777" w:rsidTr="00BF0291">
        <w:trPr>
          <w:jc w:val="center"/>
        </w:trPr>
        <w:tc>
          <w:tcPr>
            <w:tcW w:w="2973" w:type="dxa"/>
            <w:tcBorders>
              <w:top w:val="nil"/>
              <w:left w:val="nil"/>
              <w:bottom w:val="single" w:sz="4" w:space="0" w:color="auto"/>
              <w:right w:val="nil"/>
            </w:tcBorders>
          </w:tcPr>
          <w:p w14:paraId="5AB05DE8" w14:textId="77777777" w:rsidR="0038356E" w:rsidRPr="00B313D0" w:rsidRDefault="0038356E" w:rsidP="00B313D0">
            <w:pPr>
              <w:spacing w:line="100" w:lineRule="atLeast"/>
              <w:rPr>
                <w:sz w:val="20"/>
                <w:szCs w:val="20"/>
              </w:rPr>
            </w:pPr>
          </w:p>
          <w:p w14:paraId="3B0F65D9" w14:textId="77777777" w:rsidR="0038356E" w:rsidRPr="00B313D0" w:rsidRDefault="0038356E" w:rsidP="00B313D0">
            <w:pPr>
              <w:spacing w:line="100" w:lineRule="atLeast"/>
              <w:rPr>
                <w:sz w:val="20"/>
                <w:szCs w:val="20"/>
              </w:rPr>
            </w:pPr>
            <w:r w:rsidRPr="00B313D0">
              <w:rPr>
                <w:sz w:val="20"/>
                <w:szCs w:val="20"/>
              </w:rPr>
              <w:t xml:space="preserve">Mora com descendentes </w:t>
            </w:r>
          </w:p>
          <w:p w14:paraId="58C30422" w14:textId="77777777" w:rsidR="0038356E" w:rsidRPr="00B313D0" w:rsidRDefault="0038356E" w:rsidP="00B313D0">
            <w:pPr>
              <w:spacing w:line="100" w:lineRule="atLeast"/>
              <w:rPr>
                <w:sz w:val="20"/>
                <w:szCs w:val="20"/>
              </w:rPr>
            </w:pPr>
          </w:p>
          <w:p w14:paraId="4C825F12" w14:textId="77777777" w:rsidR="0038356E" w:rsidRPr="00B313D0" w:rsidRDefault="0038356E" w:rsidP="00B313D0">
            <w:pPr>
              <w:spacing w:line="100" w:lineRule="atLeast"/>
              <w:rPr>
                <w:sz w:val="20"/>
                <w:szCs w:val="20"/>
              </w:rPr>
            </w:pPr>
          </w:p>
          <w:p w14:paraId="408623C2" w14:textId="77777777" w:rsidR="0038356E" w:rsidRPr="00B313D0" w:rsidRDefault="0038356E" w:rsidP="00B313D0">
            <w:pPr>
              <w:spacing w:line="100" w:lineRule="atLeast"/>
              <w:rPr>
                <w:sz w:val="20"/>
                <w:szCs w:val="20"/>
              </w:rPr>
            </w:pPr>
            <w:r w:rsidRPr="00B313D0">
              <w:rPr>
                <w:sz w:val="20"/>
                <w:szCs w:val="20"/>
              </w:rPr>
              <w:t xml:space="preserve">Contribuição total sustento </w:t>
            </w:r>
          </w:p>
          <w:p w14:paraId="7516AABB" w14:textId="77777777" w:rsidR="0038356E" w:rsidRPr="00B313D0" w:rsidRDefault="0038356E" w:rsidP="00B313D0">
            <w:pPr>
              <w:spacing w:line="100" w:lineRule="atLeast"/>
              <w:rPr>
                <w:sz w:val="20"/>
                <w:szCs w:val="20"/>
              </w:rPr>
            </w:pPr>
          </w:p>
          <w:p w14:paraId="01A0BF4C" w14:textId="77777777" w:rsidR="0038356E" w:rsidRPr="00B313D0" w:rsidRDefault="0038356E" w:rsidP="00B313D0">
            <w:pPr>
              <w:spacing w:line="100" w:lineRule="atLeast"/>
              <w:rPr>
                <w:sz w:val="20"/>
                <w:szCs w:val="20"/>
              </w:rPr>
            </w:pPr>
          </w:p>
          <w:p w14:paraId="0ED787BA" w14:textId="77777777" w:rsidR="0038356E" w:rsidRPr="00B313D0" w:rsidRDefault="0038356E" w:rsidP="00B313D0">
            <w:pPr>
              <w:spacing w:line="100" w:lineRule="atLeast"/>
              <w:rPr>
                <w:sz w:val="20"/>
                <w:szCs w:val="20"/>
              </w:rPr>
            </w:pPr>
            <w:r w:rsidRPr="00B313D0">
              <w:rPr>
                <w:sz w:val="20"/>
                <w:szCs w:val="20"/>
              </w:rPr>
              <w:t xml:space="preserve">É chefe de família </w:t>
            </w:r>
          </w:p>
          <w:p w14:paraId="7D7E9820" w14:textId="77777777" w:rsidR="0038356E" w:rsidRPr="00B313D0" w:rsidRDefault="0038356E" w:rsidP="00B313D0">
            <w:pPr>
              <w:spacing w:line="100" w:lineRule="atLeast"/>
              <w:rPr>
                <w:sz w:val="20"/>
                <w:szCs w:val="20"/>
              </w:rPr>
            </w:pPr>
          </w:p>
          <w:p w14:paraId="7C9EF9BF" w14:textId="77777777" w:rsidR="0038356E" w:rsidRPr="00B313D0" w:rsidRDefault="0038356E" w:rsidP="00B313D0">
            <w:pPr>
              <w:spacing w:line="100" w:lineRule="atLeast"/>
              <w:rPr>
                <w:sz w:val="20"/>
                <w:szCs w:val="20"/>
              </w:rPr>
            </w:pPr>
          </w:p>
          <w:p w14:paraId="79E00F31" w14:textId="77777777" w:rsidR="0038356E" w:rsidRPr="00B313D0" w:rsidRDefault="0038356E" w:rsidP="00B313D0">
            <w:pPr>
              <w:spacing w:line="100" w:lineRule="atLeast"/>
              <w:rPr>
                <w:sz w:val="20"/>
                <w:szCs w:val="20"/>
              </w:rPr>
            </w:pPr>
            <w:r w:rsidRPr="00B313D0">
              <w:rPr>
                <w:sz w:val="20"/>
                <w:szCs w:val="20"/>
              </w:rPr>
              <w:t xml:space="preserve">Considera que não tem dinheiro suficiente </w:t>
            </w:r>
          </w:p>
          <w:p w14:paraId="23B3BFEA" w14:textId="77777777" w:rsidR="0038356E" w:rsidRPr="00B313D0" w:rsidRDefault="0038356E" w:rsidP="00B313D0">
            <w:pPr>
              <w:spacing w:line="100" w:lineRule="atLeast"/>
              <w:rPr>
                <w:sz w:val="20"/>
                <w:szCs w:val="20"/>
              </w:rPr>
            </w:pPr>
          </w:p>
        </w:tc>
        <w:tc>
          <w:tcPr>
            <w:tcW w:w="708" w:type="dxa"/>
            <w:tcBorders>
              <w:top w:val="nil"/>
              <w:left w:val="nil"/>
              <w:bottom w:val="single" w:sz="4" w:space="0" w:color="auto"/>
              <w:right w:val="nil"/>
            </w:tcBorders>
          </w:tcPr>
          <w:p w14:paraId="41D64A40" w14:textId="77777777" w:rsidR="0038356E" w:rsidRPr="00B313D0" w:rsidRDefault="0038356E" w:rsidP="00B313D0">
            <w:pPr>
              <w:spacing w:line="100" w:lineRule="atLeast"/>
              <w:rPr>
                <w:sz w:val="20"/>
                <w:szCs w:val="20"/>
              </w:rPr>
            </w:pPr>
          </w:p>
          <w:p w14:paraId="54EB55B6" w14:textId="77777777" w:rsidR="0038356E" w:rsidRPr="00B313D0" w:rsidRDefault="0038356E" w:rsidP="00B313D0">
            <w:pPr>
              <w:spacing w:line="100" w:lineRule="atLeast"/>
              <w:rPr>
                <w:sz w:val="20"/>
                <w:szCs w:val="20"/>
              </w:rPr>
            </w:pPr>
            <w:r w:rsidRPr="00B313D0">
              <w:rPr>
                <w:sz w:val="20"/>
                <w:szCs w:val="20"/>
              </w:rPr>
              <w:t>Sim</w:t>
            </w:r>
          </w:p>
          <w:p w14:paraId="63440680" w14:textId="77777777" w:rsidR="0038356E" w:rsidRPr="00B313D0" w:rsidRDefault="0038356E" w:rsidP="00B313D0">
            <w:pPr>
              <w:spacing w:line="100" w:lineRule="atLeast"/>
              <w:rPr>
                <w:sz w:val="20"/>
                <w:szCs w:val="20"/>
              </w:rPr>
            </w:pPr>
            <w:r w:rsidRPr="00B313D0">
              <w:rPr>
                <w:sz w:val="20"/>
                <w:szCs w:val="20"/>
              </w:rPr>
              <w:t>Não</w:t>
            </w:r>
          </w:p>
          <w:p w14:paraId="43BA3F1B" w14:textId="77777777" w:rsidR="0038356E" w:rsidRPr="00B313D0" w:rsidRDefault="0038356E" w:rsidP="00B313D0">
            <w:pPr>
              <w:spacing w:line="100" w:lineRule="atLeast"/>
              <w:rPr>
                <w:sz w:val="20"/>
                <w:szCs w:val="20"/>
              </w:rPr>
            </w:pPr>
          </w:p>
          <w:p w14:paraId="5B13CA25" w14:textId="77777777" w:rsidR="0038356E" w:rsidRPr="00B313D0" w:rsidRDefault="0038356E" w:rsidP="00B313D0">
            <w:pPr>
              <w:spacing w:line="100" w:lineRule="atLeast"/>
              <w:rPr>
                <w:sz w:val="20"/>
                <w:szCs w:val="20"/>
              </w:rPr>
            </w:pPr>
            <w:r w:rsidRPr="00B313D0">
              <w:rPr>
                <w:sz w:val="20"/>
                <w:szCs w:val="20"/>
              </w:rPr>
              <w:t>Sim</w:t>
            </w:r>
          </w:p>
          <w:p w14:paraId="213ED764" w14:textId="77777777" w:rsidR="0038356E" w:rsidRPr="00B313D0" w:rsidRDefault="0038356E" w:rsidP="00B313D0">
            <w:pPr>
              <w:spacing w:line="100" w:lineRule="atLeast"/>
              <w:rPr>
                <w:sz w:val="20"/>
                <w:szCs w:val="20"/>
              </w:rPr>
            </w:pPr>
            <w:r w:rsidRPr="00B313D0">
              <w:rPr>
                <w:sz w:val="20"/>
                <w:szCs w:val="20"/>
              </w:rPr>
              <w:t>Não</w:t>
            </w:r>
          </w:p>
          <w:p w14:paraId="02D9EB07" w14:textId="77777777" w:rsidR="0038356E" w:rsidRPr="00B313D0" w:rsidRDefault="0038356E" w:rsidP="00B313D0">
            <w:pPr>
              <w:spacing w:line="100" w:lineRule="atLeast"/>
              <w:rPr>
                <w:sz w:val="20"/>
                <w:szCs w:val="20"/>
              </w:rPr>
            </w:pPr>
          </w:p>
          <w:p w14:paraId="7D1A1AE5" w14:textId="77777777" w:rsidR="0038356E" w:rsidRPr="00B313D0" w:rsidRDefault="0038356E" w:rsidP="00B313D0">
            <w:pPr>
              <w:spacing w:line="100" w:lineRule="atLeast"/>
              <w:rPr>
                <w:sz w:val="20"/>
                <w:szCs w:val="20"/>
              </w:rPr>
            </w:pPr>
            <w:r w:rsidRPr="00B313D0">
              <w:rPr>
                <w:sz w:val="20"/>
                <w:szCs w:val="20"/>
              </w:rPr>
              <w:t>Sim</w:t>
            </w:r>
          </w:p>
          <w:p w14:paraId="6D86BB9A" w14:textId="77777777" w:rsidR="0038356E" w:rsidRPr="00B313D0" w:rsidRDefault="0038356E" w:rsidP="00B313D0">
            <w:pPr>
              <w:spacing w:line="100" w:lineRule="atLeast"/>
              <w:rPr>
                <w:sz w:val="20"/>
                <w:szCs w:val="20"/>
              </w:rPr>
            </w:pPr>
            <w:r w:rsidRPr="00B313D0">
              <w:rPr>
                <w:sz w:val="20"/>
                <w:szCs w:val="20"/>
              </w:rPr>
              <w:t>Não</w:t>
            </w:r>
          </w:p>
          <w:p w14:paraId="64D7EFD0" w14:textId="77777777" w:rsidR="0038356E" w:rsidRPr="00B313D0" w:rsidRDefault="0038356E" w:rsidP="00B313D0">
            <w:pPr>
              <w:spacing w:line="100" w:lineRule="atLeast"/>
              <w:rPr>
                <w:sz w:val="20"/>
                <w:szCs w:val="20"/>
              </w:rPr>
            </w:pPr>
          </w:p>
          <w:p w14:paraId="4B17FBEB" w14:textId="77777777" w:rsidR="0038356E" w:rsidRPr="00B313D0" w:rsidRDefault="0038356E" w:rsidP="00B313D0">
            <w:pPr>
              <w:spacing w:line="100" w:lineRule="atLeast"/>
              <w:rPr>
                <w:sz w:val="20"/>
                <w:szCs w:val="20"/>
              </w:rPr>
            </w:pPr>
            <w:r w:rsidRPr="00B313D0">
              <w:rPr>
                <w:sz w:val="20"/>
                <w:szCs w:val="20"/>
              </w:rPr>
              <w:t>Sim</w:t>
            </w:r>
          </w:p>
          <w:p w14:paraId="72283BC9" w14:textId="77777777" w:rsidR="0038356E" w:rsidRPr="00B313D0" w:rsidRDefault="0038356E" w:rsidP="00B313D0">
            <w:pPr>
              <w:spacing w:line="100" w:lineRule="atLeast"/>
              <w:rPr>
                <w:sz w:val="20"/>
                <w:szCs w:val="20"/>
              </w:rPr>
            </w:pPr>
            <w:r w:rsidRPr="00B313D0">
              <w:rPr>
                <w:sz w:val="20"/>
                <w:szCs w:val="20"/>
              </w:rPr>
              <w:t>Não</w:t>
            </w:r>
          </w:p>
        </w:tc>
        <w:tc>
          <w:tcPr>
            <w:tcW w:w="992" w:type="dxa"/>
            <w:tcBorders>
              <w:top w:val="nil"/>
              <w:left w:val="nil"/>
              <w:bottom w:val="single" w:sz="4" w:space="0" w:color="auto"/>
              <w:right w:val="nil"/>
            </w:tcBorders>
          </w:tcPr>
          <w:p w14:paraId="0C8A90EC" w14:textId="77777777" w:rsidR="0038356E" w:rsidRPr="00B313D0" w:rsidRDefault="0038356E" w:rsidP="00B313D0">
            <w:pPr>
              <w:spacing w:line="100" w:lineRule="atLeast"/>
              <w:jc w:val="center"/>
              <w:rPr>
                <w:sz w:val="20"/>
                <w:szCs w:val="20"/>
              </w:rPr>
            </w:pPr>
          </w:p>
          <w:p w14:paraId="3AE66DCC" w14:textId="77777777" w:rsidR="0038356E" w:rsidRPr="00B313D0" w:rsidRDefault="0038356E" w:rsidP="00B313D0">
            <w:pPr>
              <w:spacing w:line="100" w:lineRule="atLeast"/>
              <w:jc w:val="center"/>
              <w:rPr>
                <w:sz w:val="20"/>
                <w:szCs w:val="20"/>
              </w:rPr>
            </w:pPr>
            <w:r w:rsidRPr="00B313D0">
              <w:rPr>
                <w:sz w:val="20"/>
                <w:szCs w:val="20"/>
              </w:rPr>
              <w:t>26,8</w:t>
            </w:r>
          </w:p>
          <w:p w14:paraId="350F1090" w14:textId="77777777" w:rsidR="0038356E" w:rsidRPr="00B313D0" w:rsidRDefault="0038356E" w:rsidP="00B313D0">
            <w:pPr>
              <w:spacing w:line="100" w:lineRule="atLeast"/>
              <w:jc w:val="center"/>
              <w:rPr>
                <w:sz w:val="20"/>
                <w:szCs w:val="20"/>
              </w:rPr>
            </w:pPr>
            <w:r w:rsidRPr="00B313D0">
              <w:rPr>
                <w:sz w:val="20"/>
                <w:szCs w:val="20"/>
              </w:rPr>
              <w:t>17,4</w:t>
            </w:r>
          </w:p>
          <w:p w14:paraId="1DFB3BE8" w14:textId="77777777" w:rsidR="0038356E" w:rsidRPr="00B313D0" w:rsidRDefault="0038356E" w:rsidP="00B313D0">
            <w:pPr>
              <w:spacing w:line="100" w:lineRule="atLeast"/>
              <w:jc w:val="center"/>
              <w:rPr>
                <w:sz w:val="20"/>
                <w:szCs w:val="20"/>
              </w:rPr>
            </w:pPr>
          </w:p>
          <w:p w14:paraId="4A35F3B8" w14:textId="77777777" w:rsidR="0038356E" w:rsidRPr="00B313D0" w:rsidRDefault="0038356E" w:rsidP="00B313D0">
            <w:pPr>
              <w:spacing w:line="100" w:lineRule="atLeast"/>
              <w:jc w:val="center"/>
              <w:rPr>
                <w:sz w:val="20"/>
                <w:szCs w:val="20"/>
              </w:rPr>
            </w:pPr>
            <w:r w:rsidRPr="00B313D0">
              <w:rPr>
                <w:sz w:val="20"/>
                <w:szCs w:val="20"/>
              </w:rPr>
              <w:t>22,9</w:t>
            </w:r>
          </w:p>
          <w:p w14:paraId="12D3BBC7" w14:textId="77777777" w:rsidR="0038356E" w:rsidRPr="00B313D0" w:rsidRDefault="0038356E" w:rsidP="00B313D0">
            <w:pPr>
              <w:spacing w:line="100" w:lineRule="atLeast"/>
              <w:jc w:val="center"/>
              <w:rPr>
                <w:sz w:val="20"/>
                <w:szCs w:val="20"/>
              </w:rPr>
            </w:pPr>
            <w:r w:rsidRPr="00B313D0">
              <w:rPr>
                <w:sz w:val="20"/>
                <w:szCs w:val="20"/>
              </w:rPr>
              <w:t>15,9</w:t>
            </w:r>
          </w:p>
          <w:p w14:paraId="5FD78447" w14:textId="77777777" w:rsidR="0038356E" w:rsidRPr="00B313D0" w:rsidRDefault="0038356E" w:rsidP="00B313D0">
            <w:pPr>
              <w:spacing w:line="100" w:lineRule="atLeast"/>
              <w:jc w:val="center"/>
              <w:rPr>
                <w:sz w:val="20"/>
                <w:szCs w:val="20"/>
              </w:rPr>
            </w:pPr>
          </w:p>
          <w:p w14:paraId="69FA8077" w14:textId="77777777" w:rsidR="0038356E" w:rsidRPr="00B313D0" w:rsidRDefault="0038356E" w:rsidP="00B313D0">
            <w:pPr>
              <w:spacing w:line="100" w:lineRule="atLeast"/>
              <w:jc w:val="center"/>
              <w:rPr>
                <w:sz w:val="20"/>
                <w:szCs w:val="20"/>
              </w:rPr>
            </w:pPr>
            <w:r w:rsidRPr="00B313D0">
              <w:rPr>
                <w:sz w:val="20"/>
                <w:szCs w:val="20"/>
              </w:rPr>
              <w:t>23,6</w:t>
            </w:r>
          </w:p>
          <w:p w14:paraId="4A1F4BEB" w14:textId="77777777" w:rsidR="0038356E" w:rsidRPr="00B313D0" w:rsidRDefault="0038356E" w:rsidP="00B313D0">
            <w:pPr>
              <w:spacing w:line="100" w:lineRule="atLeast"/>
              <w:jc w:val="center"/>
              <w:rPr>
                <w:sz w:val="20"/>
                <w:szCs w:val="20"/>
              </w:rPr>
            </w:pPr>
            <w:r w:rsidRPr="00B313D0">
              <w:rPr>
                <w:sz w:val="20"/>
                <w:szCs w:val="20"/>
              </w:rPr>
              <w:t>14,2</w:t>
            </w:r>
          </w:p>
          <w:p w14:paraId="2DB0456C" w14:textId="77777777" w:rsidR="0038356E" w:rsidRPr="00B313D0" w:rsidRDefault="0038356E" w:rsidP="00B313D0">
            <w:pPr>
              <w:spacing w:line="100" w:lineRule="atLeast"/>
              <w:jc w:val="center"/>
              <w:rPr>
                <w:sz w:val="20"/>
                <w:szCs w:val="20"/>
              </w:rPr>
            </w:pPr>
          </w:p>
          <w:p w14:paraId="5E640BE9" w14:textId="77777777" w:rsidR="0038356E" w:rsidRPr="00B313D0" w:rsidRDefault="0038356E" w:rsidP="00B313D0">
            <w:pPr>
              <w:spacing w:line="100" w:lineRule="atLeast"/>
              <w:jc w:val="center"/>
              <w:rPr>
                <w:sz w:val="20"/>
                <w:szCs w:val="20"/>
              </w:rPr>
            </w:pPr>
            <w:r w:rsidRPr="00B313D0">
              <w:rPr>
                <w:sz w:val="20"/>
                <w:szCs w:val="20"/>
              </w:rPr>
              <w:t>51,9</w:t>
            </w:r>
          </w:p>
          <w:p w14:paraId="3F29D504" w14:textId="77777777" w:rsidR="0038356E" w:rsidRPr="00B313D0" w:rsidRDefault="0038356E" w:rsidP="00B313D0">
            <w:pPr>
              <w:spacing w:line="100" w:lineRule="atLeast"/>
              <w:jc w:val="center"/>
              <w:rPr>
                <w:sz w:val="20"/>
                <w:szCs w:val="20"/>
              </w:rPr>
            </w:pPr>
            <w:r w:rsidRPr="00B313D0">
              <w:rPr>
                <w:sz w:val="20"/>
                <w:szCs w:val="20"/>
              </w:rPr>
              <w:t>48,1</w:t>
            </w:r>
          </w:p>
        </w:tc>
        <w:tc>
          <w:tcPr>
            <w:tcW w:w="708" w:type="dxa"/>
            <w:tcBorders>
              <w:top w:val="nil"/>
              <w:left w:val="nil"/>
              <w:bottom w:val="single" w:sz="4" w:space="0" w:color="auto"/>
              <w:right w:val="nil"/>
            </w:tcBorders>
          </w:tcPr>
          <w:p w14:paraId="42DDDF75" w14:textId="77777777" w:rsidR="0038356E" w:rsidRPr="00B313D0" w:rsidRDefault="0038356E" w:rsidP="00B313D0">
            <w:pPr>
              <w:spacing w:line="100" w:lineRule="atLeast"/>
              <w:jc w:val="center"/>
              <w:rPr>
                <w:sz w:val="20"/>
                <w:szCs w:val="20"/>
              </w:rPr>
            </w:pPr>
          </w:p>
          <w:p w14:paraId="54D25FA6" w14:textId="77777777" w:rsidR="0038356E" w:rsidRPr="00B313D0" w:rsidRDefault="0038356E" w:rsidP="00B313D0">
            <w:pPr>
              <w:spacing w:line="100" w:lineRule="atLeast"/>
              <w:jc w:val="center"/>
              <w:rPr>
                <w:sz w:val="20"/>
                <w:szCs w:val="20"/>
              </w:rPr>
            </w:pPr>
            <w:r w:rsidRPr="00B313D0">
              <w:rPr>
                <w:sz w:val="20"/>
                <w:szCs w:val="20"/>
              </w:rPr>
              <w:t>73,2</w:t>
            </w:r>
          </w:p>
          <w:p w14:paraId="25AC3C79" w14:textId="77777777" w:rsidR="0038356E" w:rsidRPr="00B313D0" w:rsidRDefault="0038356E" w:rsidP="00B313D0">
            <w:pPr>
              <w:spacing w:line="100" w:lineRule="atLeast"/>
              <w:jc w:val="center"/>
              <w:rPr>
                <w:sz w:val="20"/>
                <w:szCs w:val="20"/>
              </w:rPr>
            </w:pPr>
            <w:r w:rsidRPr="00B313D0">
              <w:rPr>
                <w:sz w:val="20"/>
                <w:szCs w:val="20"/>
              </w:rPr>
              <w:t>82,6</w:t>
            </w:r>
          </w:p>
          <w:p w14:paraId="5B98A747" w14:textId="77777777" w:rsidR="0038356E" w:rsidRPr="00B313D0" w:rsidRDefault="0038356E" w:rsidP="00B313D0">
            <w:pPr>
              <w:spacing w:line="100" w:lineRule="atLeast"/>
              <w:jc w:val="center"/>
              <w:rPr>
                <w:sz w:val="20"/>
                <w:szCs w:val="20"/>
              </w:rPr>
            </w:pPr>
          </w:p>
          <w:p w14:paraId="0A5626EA" w14:textId="77777777" w:rsidR="0038356E" w:rsidRPr="00B313D0" w:rsidRDefault="0038356E" w:rsidP="00B313D0">
            <w:pPr>
              <w:spacing w:line="100" w:lineRule="atLeast"/>
              <w:jc w:val="center"/>
              <w:rPr>
                <w:sz w:val="20"/>
                <w:szCs w:val="20"/>
              </w:rPr>
            </w:pPr>
            <w:r w:rsidRPr="00B313D0">
              <w:rPr>
                <w:sz w:val="20"/>
                <w:szCs w:val="20"/>
              </w:rPr>
              <w:t>77,1</w:t>
            </w:r>
          </w:p>
          <w:p w14:paraId="261F8380" w14:textId="77777777" w:rsidR="0038356E" w:rsidRPr="00B313D0" w:rsidRDefault="0038356E" w:rsidP="00B313D0">
            <w:pPr>
              <w:spacing w:line="100" w:lineRule="atLeast"/>
              <w:jc w:val="center"/>
              <w:rPr>
                <w:sz w:val="20"/>
                <w:szCs w:val="20"/>
              </w:rPr>
            </w:pPr>
            <w:r w:rsidRPr="00B313D0">
              <w:rPr>
                <w:sz w:val="20"/>
                <w:szCs w:val="20"/>
              </w:rPr>
              <w:t>84,1</w:t>
            </w:r>
          </w:p>
          <w:p w14:paraId="22048A96" w14:textId="77777777" w:rsidR="0038356E" w:rsidRPr="00B313D0" w:rsidRDefault="0038356E" w:rsidP="00B313D0">
            <w:pPr>
              <w:spacing w:line="100" w:lineRule="atLeast"/>
              <w:jc w:val="center"/>
              <w:rPr>
                <w:sz w:val="20"/>
                <w:szCs w:val="20"/>
              </w:rPr>
            </w:pPr>
          </w:p>
          <w:p w14:paraId="2345621A" w14:textId="77777777" w:rsidR="0038356E" w:rsidRPr="00B313D0" w:rsidRDefault="0038356E" w:rsidP="00B313D0">
            <w:pPr>
              <w:spacing w:line="100" w:lineRule="atLeast"/>
              <w:jc w:val="center"/>
              <w:rPr>
                <w:sz w:val="20"/>
                <w:szCs w:val="20"/>
              </w:rPr>
            </w:pPr>
            <w:r w:rsidRPr="00B313D0">
              <w:rPr>
                <w:sz w:val="20"/>
                <w:szCs w:val="20"/>
              </w:rPr>
              <w:t>76,4</w:t>
            </w:r>
          </w:p>
          <w:p w14:paraId="37D14F78" w14:textId="77777777" w:rsidR="0038356E" w:rsidRPr="00B313D0" w:rsidRDefault="0038356E" w:rsidP="00B313D0">
            <w:pPr>
              <w:spacing w:line="100" w:lineRule="atLeast"/>
              <w:jc w:val="center"/>
              <w:rPr>
                <w:sz w:val="20"/>
                <w:szCs w:val="20"/>
              </w:rPr>
            </w:pPr>
            <w:r w:rsidRPr="00B313D0">
              <w:rPr>
                <w:sz w:val="20"/>
                <w:szCs w:val="20"/>
              </w:rPr>
              <w:t>85,8</w:t>
            </w:r>
          </w:p>
          <w:p w14:paraId="73E28821" w14:textId="77777777" w:rsidR="0038356E" w:rsidRPr="00B313D0" w:rsidRDefault="0038356E" w:rsidP="00B313D0">
            <w:pPr>
              <w:spacing w:line="100" w:lineRule="atLeast"/>
              <w:jc w:val="center"/>
              <w:rPr>
                <w:sz w:val="20"/>
                <w:szCs w:val="20"/>
              </w:rPr>
            </w:pPr>
          </w:p>
          <w:p w14:paraId="548D5C83" w14:textId="77777777" w:rsidR="0038356E" w:rsidRPr="00B313D0" w:rsidRDefault="0038356E" w:rsidP="00B313D0">
            <w:pPr>
              <w:spacing w:line="100" w:lineRule="atLeast"/>
              <w:jc w:val="center"/>
              <w:rPr>
                <w:sz w:val="20"/>
                <w:szCs w:val="20"/>
              </w:rPr>
            </w:pPr>
            <w:r w:rsidRPr="00B313D0">
              <w:rPr>
                <w:sz w:val="20"/>
                <w:szCs w:val="20"/>
              </w:rPr>
              <w:t>69,6</w:t>
            </w:r>
          </w:p>
          <w:p w14:paraId="4E22F79D" w14:textId="77777777" w:rsidR="0038356E" w:rsidRPr="00B313D0" w:rsidRDefault="0038356E" w:rsidP="00B313D0">
            <w:pPr>
              <w:spacing w:line="100" w:lineRule="atLeast"/>
              <w:jc w:val="center"/>
              <w:rPr>
                <w:sz w:val="20"/>
                <w:szCs w:val="20"/>
              </w:rPr>
            </w:pPr>
            <w:r w:rsidRPr="00B313D0">
              <w:rPr>
                <w:sz w:val="20"/>
                <w:szCs w:val="20"/>
              </w:rPr>
              <w:t>30,4</w:t>
            </w:r>
          </w:p>
        </w:tc>
        <w:tc>
          <w:tcPr>
            <w:tcW w:w="850" w:type="dxa"/>
            <w:vMerge/>
            <w:vAlign w:val="center"/>
            <w:hideMark/>
          </w:tcPr>
          <w:p w14:paraId="2E821CB3" w14:textId="77777777" w:rsidR="0038356E" w:rsidRPr="00B313D0" w:rsidRDefault="0038356E" w:rsidP="00B313D0">
            <w:pPr>
              <w:spacing w:line="100" w:lineRule="atLeast"/>
              <w:rPr>
                <w:sz w:val="20"/>
                <w:szCs w:val="20"/>
              </w:rPr>
            </w:pPr>
          </w:p>
        </w:tc>
        <w:tc>
          <w:tcPr>
            <w:tcW w:w="850" w:type="dxa"/>
            <w:gridSpan w:val="2"/>
            <w:tcBorders>
              <w:top w:val="nil"/>
              <w:left w:val="nil"/>
              <w:bottom w:val="single" w:sz="4" w:space="0" w:color="auto"/>
              <w:right w:val="nil"/>
            </w:tcBorders>
          </w:tcPr>
          <w:p w14:paraId="5093D0A0" w14:textId="77777777" w:rsidR="0038356E" w:rsidRPr="00B313D0" w:rsidRDefault="0038356E" w:rsidP="00B313D0">
            <w:pPr>
              <w:spacing w:line="100" w:lineRule="atLeast"/>
              <w:jc w:val="center"/>
              <w:rPr>
                <w:sz w:val="20"/>
                <w:szCs w:val="20"/>
              </w:rPr>
            </w:pPr>
          </w:p>
          <w:p w14:paraId="51B75C8C" w14:textId="77777777" w:rsidR="0038356E" w:rsidRPr="00B313D0" w:rsidRDefault="0038356E" w:rsidP="00B313D0">
            <w:pPr>
              <w:spacing w:line="100" w:lineRule="atLeast"/>
              <w:jc w:val="center"/>
              <w:rPr>
                <w:sz w:val="20"/>
                <w:szCs w:val="20"/>
              </w:rPr>
            </w:pPr>
            <w:r w:rsidRPr="00B313D0">
              <w:rPr>
                <w:sz w:val="20"/>
                <w:szCs w:val="20"/>
              </w:rPr>
              <w:t>0,033</w:t>
            </w:r>
          </w:p>
          <w:p w14:paraId="02663936" w14:textId="77777777" w:rsidR="0038356E" w:rsidRPr="00B313D0" w:rsidRDefault="0038356E" w:rsidP="00B313D0">
            <w:pPr>
              <w:spacing w:line="100" w:lineRule="atLeast"/>
              <w:jc w:val="center"/>
              <w:rPr>
                <w:sz w:val="20"/>
                <w:szCs w:val="20"/>
              </w:rPr>
            </w:pPr>
          </w:p>
          <w:p w14:paraId="26AD71A2" w14:textId="77777777" w:rsidR="0038356E" w:rsidRPr="00B313D0" w:rsidRDefault="0038356E" w:rsidP="00B313D0">
            <w:pPr>
              <w:spacing w:line="100" w:lineRule="atLeast"/>
              <w:jc w:val="center"/>
              <w:rPr>
                <w:sz w:val="20"/>
                <w:szCs w:val="20"/>
              </w:rPr>
            </w:pPr>
          </w:p>
          <w:p w14:paraId="66ED235A" w14:textId="77777777" w:rsidR="0038356E" w:rsidRPr="00B313D0" w:rsidRDefault="0038356E" w:rsidP="00B313D0">
            <w:pPr>
              <w:spacing w:line="100" w:lineRule="atLeast"/>
              <w:jc w:val="center"/>
              <w:rPr>
                <w:sz w:val="20"/>
                <w:szCs w:val="20"/>
              </w:rPr>
            </w:pPr>
            <w:r w:rsidRPr="00B313D0">
              <w:rPr>
                <w:sz w:val="20"/>
                <w:szCs w:val="20"/>
              </w:rPr>
              <w:t>0,038</w:t>
            </w:r>
          </w:p>
          <w:p w14:paraId="327219D3" w14:textId="77777777" w:rsidR="0038356E" w:rsidRPr="00B313D0" w:rsidRDefault="0038356E" w:rsidP="00B313D0">
            <w:pPr>
              <w:spacing w:line="100" w:lineRule="atLeast"/>
              <w:jc w:val="center"/>
              <w:rPr>
                <w:sz w:val="20"/>
                <w:szCs w:val="20"/>
              </w:rPr>
            </w:pPr>
          </w:p>
          <w:p w14:paraId="5E557D3B" w14:textId="77777777" w:rsidR="0038356E" w:rsidRPr="00B313D0" w:rsidRDefault="0038356E" w:rsidP="00B313D0">
            <w:pPr>
              <w:spacing w:line="100" w:lineRule="atLeast"/>
              <w:jc w:val="center"/>
              <w:rPr>
                <w:sz w:val="20"/>
                <w:szCs w:val="20"/>
              </w:rPr>
            </w:pPr>
          </w:p>
          <w:p w14:paraId="10B22883" w14:textId="77777777" w:rsidR="0038356E" w:rsidRPr="00B313D0" w:rsidRDefault="0038356E" w:rsidP="00B313D0">
            <w:pPr>
              <w:spacing w:line="100" w:lineRule="atLeast"/>
              <w:jc w:val="center"/>
              <w:rPr>
                <w:sz w:val="20"/>
                <w:szCs w:val="20"/>
              </w:rPr>
            </w:pPr>
            <w:r w:rsidRPr="00B313D0">
              <w:rPr>
                <w:sz w:val="20"/>
                <w:szCs w:val="20"/>
              </w:rPr>
              <w:t>0,007</w:t>
            </w:r>
          </w:p>
          <w:p w14:paraId="1DC8E888" w14:textId="77777777" w:rsidR="0038356E" w:rsidRPr="00B313D0" w:rsidRDefault="0038356E" w:rsidP="00B313D0">
            <w:pPr>
              <w:spacing w:line="100" w:lineRule="atLeast"/>
              <w:jc w:val="center"/>
              <w:rPr>
                <w:sz w:val="20"/>
                <w:szCs w:val="20"/>
              </w:rPr>
            </w:pPr>
          </w:p>
          <w:p w14:paraId="3F8D7310" w14:textId="77777777" w:rsidR="0038356E" w:rsidRPr="00B313D0" w:rsidRDefault="0038356E" w:rsidP="00B313D0">
            <w:pPr>
              <w:spacing w:line="100" w:lineRule="atLeast"/>
              <w:jc w:val="center"/>
              <w:rPr>
                <w:sz w:val="20"/>
                <w:szCs w:val="20"/>
              </w:rPr>
            </w:pPr>
          </w:p>
          <w:p w14:paraId="3083F57F" w14:textId="77777777" w:rsidR="0038356E" w:rsidRPr="00B313D0" w:rsidRDefault="0038356E" w:rsidP="00B313D0">
            <w:pPr>
              <w:spacing w:line="100" w:lineRule="atLeast"/>
              <w:jc w:val="center"/>
              <w:rPr>
                <w:sz w:val="20"/>
                <w:szCs w:val="20"/>
              </w:rPr>
            </w:pPr>
            <w:r w:rsidRPr="00B313D0">
              <w:rPr>
                <w:sz w:val="20"/>
                <w:szCs w:val="20"/>
              </w:rPr>
              <w:t>0,001</w:t>
            </w:r>
          </w:p>
        </w:tc>
        <w:tc>
          <w:tcPr>
            <w:tcW w:w="1559" w:type="dxa"/>
            <w:vMerge/>
            <w:vAlign w:val="center"/>
            <w:hideMark/>
          </w:tcPr>
          <w:p w14:paraId="516DC3F4" w14:textId="77777777" w:rsidR="0038356E" w:rsidRPr="00B313D0" w:rsidRDefault="0038356E" w:rsidP="00B313D0">
            <w:pPr>
              <w:spacing w:line="100" w:lineRule="atLeast"/>
              <w:rPr>
                <w:sz w:val="20"/>
                <w:szCs w:val="20"/>
              </w:rPr>
            </w:pPr>
          </w:p>
        </w:tc>
      </w:tr>
      <w:tr w:rsidR="0038356E" w:rsidRPr="00B313D0" w14:paraId="6CBE1641" w14:textId="77777777" w:rsidTr="00BF0291">
        <w:trPr>
          <w:jc w:val="center"/>
        </w:trPr>
        <w:tc>
          <w:tcPr>
            <w:tcW w:w="2973" w:type="dxa"/>
            <w:tcBorders>
              <w:top w:val="single" w:sz="4" w:space="0" w:color="auto"/>
              <w:left w:val="nil"/>
              <w:bottom w:val="nil"/>
              <w:right w:val="nil"/>
            </w:tcBorders>
          </w:tcPr>
          <w:p w14:paraId="4A55166E" w14:textId="77777777" w:rsidR="0038356E" w:rsidRPr="00B313D0" w:rsidRDefault="0038356E" w:rsidP="00B313D0">
            <w:pPr>
              <w:spacing w:line="100" w:lineRule="atLeast"/>
              <w:rPr>
                <w:sz w:val="20"/>
                <w:szCs w:val="20"/>
              </w:rPr>
            </w:pPr>
          </w:p>
        </w:tc>
        <w:tc>
          <w:tcPr>
            <w:tcW w:w="708" w:type="dxa"/>
            <w:tcBorders>
              <w:top w:val="single" w:sz="4" w:space="0" w:color="auto"/>
              <w:left w:val="nil"/>
              <w:bottom w:val="nil"/>
              <w:right w:val="nil"/>
            </w:tcBorders>
          </w:tcPr>
          <w:p w14:paraId="3D4A469D" w14:textId="77777777" w:rsidR="0038356E" w:rsidRPr="00B313D0" w:rsidRDefault="0038356E" w:rsidP="00B313D0">
            <w:pPr>
              <w:spacing w:line="100" w:lineRule="atLeast"/>
              <w:rPr>
                <w:sz w:val="20"/>
                <w:szCs w:val="20"/>
              </w:rPr>
            </w:pPr>
          </w:p>
        </w:tc>
        <w:tc>
          <w:tcPr>
            <w:tcW w:w="1700" w:type="dxa"/>
            <w:gridSpan w:val="2"/>
            <w:tcBorders>
              <w:top w:val="single" w:sz="4" w:space="0" w:color="auto"/>
              <w:left w:val="nil"/>
              <w:bottom w:val="single" w:sz="4" w:space="0" w:color="auto"/>
              <w:right w:val="nil"/>
            </w:tcBorders>
            <w:hideMark/>
          </w:tcPr>
          <w:p w14:paraId="6583C7E7" w14:textId="77777777" w:rsidR="0038356E" w:rsidRPr="00B313D0" w:rsidRDefault="0038356E" w:rsidP="00B313D0">
            <w:pPr>
              <w:spacing w:line="100" w:lineRule="atLeast"/>
              <w:jc w:val="center"/>
              <w:rPr>
                <w:sz w:val="20"/>
                <w:szCs w:val="20"/>
              </w:rPr>
            </w:pPr>
            <w:r w:rsidRPr="00B313D0">
              <w:rPr>
                <w:i/>
                <w:iCs/>
                <w:sz w:val="20"/>
                <w:szCs w:val="20"/>
              </w:rPr>
              <w:t>Parda %</w:t>
            </w:r>
          </w:p>
        </w:tc>
        <w:tc>
          <w:tcPr>
            <w:tcW w:w="850" w:type="dxa"/>
            <w:tcBorders>
              <w:top w:val="single" w:sz="4" w:space="0" w:color="auto"/>
              <w:left w:val="nil"/>
              <w:bottom w:val="nil"/>
              <w:right w:val="nil"/>
            </w:tcBorders>
          </w:tcPr>
          <w:p w14:paraId="0B98E514" w14:textId="77777777" w:rsidR="0038356E" w:rsidRPr="00B313D0" w:rsidRDefault="0038356E" w:rsidP="00B313D0">
            <w:pPr>
              <w:spacing w:line="100" w:lineRule="atLeast"/>
              <w:rPr>
                <w:sz w:val="20"/>
                <w:szCs w:val="20"/>
              </w:rPr>
            </w:pPr>
          </w:p>
        </w:tc>
        <w:tc>
          <w:tcPr>
            <w:tcW w:w="850" w:type="dxa"/>
            <w:gridSpan w:val="2"/>
            <w:tcBorders>
              <w:top w:val="single" w:sz="4" w:space="0" w:color="auto"/>
              <w:left w:val="nil"/>
              <w:bottom w:val="nil"/>
              <w:right w:val="nil"/>
            </w:tcBorders>
          </w:tcPr>
          <w:p w14:paraId="0398E2EC" w14:textId="77777777" w:rsidR="0038356E" w:rsidRPr="00B313D0" w:rsidRDefault="0038356E" w:rsidP="00B313D0">
            <w:pPr>
              <w:spacing w:line="100" w:lineRule="atLeast"/>
              <w:jc w:val="center"/>
              <w:rPr>
                <w:sz w:val="20"/>
                <w:szCs w:val="20"/>
              </w:rPr>
            </w:pPr>
          </w:p>
        </w:tc>
        <w:tc>
          <w:tcPr>
            <w:tcW w:w="1559" w:type="dxa"/>
            <w:tcBorders>
              <w:top w:val="single" w:sz="4" w:space="0" w:color="auto"/>
              <w:left w:val="nil"/>
              <w:bottom w:val="nil"/>
              <w:right w:val="nil"/>
            </w:tcBorders>
          </w:tcPr>
          <w:p w14:paraId="1B46231F" w14:textId="77777777" w:rsidR="0038356E" w:rsidRPr="00B313D0" w:rsidRDefault="0038356E" w:rsidP="00B313D0">
            <w:pPr>
              <w:spacing w:line="100" w:lineRule="atLeast"/>
              <w:jc w:val="center"/>
              <w:rPr>
                <w:sz w:val="20"/>
                <w:szCs w:val="20"/>
              </w:rPr>
            </w:pPr>
          </w:p>
        </w:tc>
      </w:tr>
      <w:tr w:rsidR="0038356E" w:rsidRPr="00B313D0" w14:paraId="4D35FADA" w14:textId="77777777" w:rsidTr="00BF0291">
        <w:trPr>
          <w:jc w:val="center"/>
        </w:trPr>
        <w:tc>
          <w:tcPr>
            <w:tcW w:w="2973" w:type="dxa"/>
            <w:tcBorders>
              <w:top w:val="nil"/>
              <w:left w:val="nil"/>
              <w:bottom w:val="single" w:sz="4" w:space="0" w:color="auto"/>
              <w:right w:val="nil"/>
            </w:tcBorders>
          </w:tcPr>
          <w:p w14:paraId="5368AC14" w14:textId="77777777" w:rsidR="0038356E" w:rsidRPr="00B313D0" w:rsidRDefault="0038356E" w:rsidP="00B313D0">
            <w:pPr>
              <w:spacing w:line="100" w:lineRule="atLeast"/>
              <w:rPr>
                <w:sz w:val="20"/>
                <w:szCs w:val="20"/>
              </w:rPr>
            </w:pPr>
          </w:p>
        </w:tc>
        <w:tc>
          <w:tcPr>
            <w:tcW w:w="708" w:type="dxa"/>
            <w:tcBorders>
              <w:top w:val="nil"/>
              <w:left w:val="nil"/>
              <w:bottom w:val="single" w:sz="4" w:space="0" w:color="auto"/>
              <w:right w:val="nil"/>
            </w:tcBorders>
          </w:tcPr>
          <w:p w14:paraId="719E6DD4" w14:textId="77777777" w:rsidR="0038356E" w:rsidRPr="00B313D0" w:rsidRDefault="0038356E" w:rsidP="00B313D0">
            <w:pPr>
              <w:spacing w:line="100" w:lineRule="atLeast"/>
              <w:rPr>
                <w:sz w:val="20"/>
                <w:szCs w:val="20"/>
              </w:rPr>
            </w:pPr>
          </w:p>
        </w:tc>
        <w:tc>
          <w:tcPr>
            <w:tcW w:w="992" w:type="dxa"/>
            <w:tcBorders>
              <w:top w:val="single" w:sz="4" w:space="0" w:color="auto"/>
              <w:left w:val="nil"/>
              <w:bottom w:val="single" w:sz="4" w:space="0" w:color="auto"/>
              <w:right w:val="nil"/>
            </w:tcBorders>
            <w:hideMark/>
          </w:tcPr>
          <w:p w14:paraId="65E853CD" w14:textId="77777777" w:rsidR="0038356E" w:rsidRPr="00B313D0" w:rsidRDefault="0038356E" w:rsidP="00B313D0">
            <w:pPr>
              <w:spacing w:line="100" w:lineRule="atLeast"/>
              <w:jc w:val="center"/>
              <w:rPr>
                <w:i/>
                <w:iCs/>
                <w:sz w:val="20"/>
                <w:szCs w:val="20"/>
              </w:rPr>
            </w:pPr>
            <w:r w:rsidRPr="00B313D0">
              <w:rPr>
                <w:i/>
                <w:iCs/>
                <w:sz w:val="20"/>
                <w:szCs w:val="20"/>
              </w:rPr>
              <w:t>Sim</w:t>
            </w:r>
          </w:p>
        </w:tc>
        <w:tc>
          <w:tcPr>
            <w:tcW w:w="708" w:type="dxa"/>
            <w:tcBorders>
              <w:top w:val="single" w:sz="4" w:space="0" w:color="auto"/>
              <w:left w:val="nil"/>
              <w:bottom w:val="single" w:sz="4" w:space="0" w:color="auto"/>
              <w:right w:val="nil"/>
            </w:tcBorders>
            <w:hideMark/>
          </w:tcPr>
          <w:p w14:paraId="1CE3CDFF" w14:textId="77777777" w:rsidR="0038356E" w:rsidRPr="00B313D0" w:rsidRDefault="0038356E" w:rsidP="00B313D0">
            <w:pPr>
              <w:spacing w:line="100" w:lineRule="atLeast"/>
              <w:jc w:val="center"/>
              <w:rPr>
                <w:sz w:val="20"/>
                <w:szCs w:val="20"/>
              </w:rPr>
            </w:pPr>
            <w:r w:rsidRPr="00B313D0">
              <w:rPr>
                <w:i/>
                <w:iCs/>
                <w:sz w:val="20"/>
                <w:szCs w:val="20"/>
              </w:rPr>
              <w:t>Não</w:t>
            </w:r>
          </w:p>
        </w:tc>
        <w:tc>
          <w:tcPr>
            <w:tcW w:w="850" w:type="dxa"/>
            <w:tcBorders>
              <w:top w:val="nil"/>
              <w:left w:val="nil"/>
              <w:bottom w:val="single" w:sz="4" w:space="0" w:color="auto"/>
              <w:right w:val="nil"/>
            </w:tcBorders>
          </w:tcPr>
          <w:p w14:paraId="6A62600A" w14:textId="77777777" w:rsidR="0038356E" w:rsidRPr="00B313D0" w:rsidRDefault="0038356E" w:rsidP="00B313D0">
            <w:pPr>
              <w:spacing w:line="100" w:lineRule="atLeast"/>
              <w:rPr>
                <w:sz w:val="20"/>
                <w:szCs w:val="20"/>
              </w:rPr>
            </w:pPr>
          </w:p>
        </w:tc>
        <w:tc>
          <w:tcPr>
            <w:tcW w:w="850" w:type="dxa"/>
            <w:gridSpan w:val="2"/>
            <w:tcBorders>
              <w:top w:val="nil"/>
              <w:left w:val="nil"/>
              <w:bottom w:val="single" w:sz="4" w:space="0" w:color="auto"/>
              <w:right w:val="nil"/>
            </w:tcBorders>
          </w:tcPr>
          <w:p w14:paraId="5B0B4682" w14:textId="77777777" w:rsidR="0038356E" w:rsidRPr="00B313D0" w:rsidRDefault="0038356E" w:rsidP="00B313D0">
            <w:pPr>
              <w:spacing w:line="100" w:lineRule="atLeast"/>
              <w:jc w:val="center"/>
              <w:rPr>
                <w:sz w:val="20"/>
                <w:szCs w:val="20"/>
              </w:rPr>
            </w:pPr>
          </w:p>
        </w:tc>
        <w:tc>
          <w:tcPr>
            <w:tcW w:w="1559" w:type="dxa"/>
            <w:tcBorders>
              <w:top w:val="nil"/>
              <w:left w:val="nil"/>
              <w:bottom w:val="single" w:sz="4" w:space="0" w:color="auto"/>
              <w:right w:val="nil"/>
            </w:tcBorders>
          </w:tcPr>
          <w:p w14:paraId="5A9CD220" w14:textId="77777777" w:rsidR="0038356E" w:rsidRPr="00B313D0" w:rsidRDefault="0038356E" w:rsidP="00B313D0">
            <w:pPr>
              <w:spacing w:line="100" w:lineRule="atLeast"/>
              <w:jc w:val="center"/>
              <w:rPr>
                <w:sz w:val="20"/>
                <w:szCs w:val="20"/>
              </w:rPr>
            </w:pPr>
          </w:p>
        </w:tc>
      </w:tr>
      <w:tr w:rsidR="0038356E" w:rsidRPr="00B313D0" w14:paraId="2FA44C78" w14:textId="77777777" w:rsidTr="00BF0291">
        <w:trPr>
          <w:jc w:val="center"/>
        </w:trPr>
        <w:tc>
          <w:tcPr>
            <w:tcW w:w="2973" w:type="dxa"/>
            <w:tcBorders>
              <w:top w:val="single" w:sz="4" w:space="0" w:color="auto"/>
              <w:left w:val="nil"/>
              <w:bottom w:val="single" w:sz="4" w:space="0" w:color="auto"/>
              <w:right w:val="nil"/>
            </w:tcBorders>
          </w:tcPr>
          <w:p w14:paraId="2AE5663F" w14:textId="77777777" w:rsidR="0038356E" w:rsidRPr="00B313D0" w:rsidRDefault="0038356E" w:rsidP="00B313D0">
            <w:pPr>
              <w:spacing w:line="100" w:lineRule="atLeast"/>
              <w:rPr>
                <w:sz w:val="20"/>
                <w:szCs w:val="20"/>
              </w:rPr>
            </w:pPr>
          </w:p>
          <w:p w14:paraId="3D904BB0" w14:textId="77777777" w:rsidR="0038356E" w:rsidRPr="00B313D0" w:rsidRDefault="0038356E" w:rsidP="00B313D0">
            <w:pPr>
              <w:spacing w:line="100" w:lineRule="atLeast"/>
              <w:rPr>
                <w:sz w:val="20"/>
                <w:szCs w:val="20"/>
              </w:rPr>
            </w:pPr>
            <w:r w:rsidRPr="00B313D0">
              <w:rPr>
                <w:sz w:val="20"/>
                <w:szCs w:val="20"/>
              </w:rPr>
              <w:t xml:space="preserve">Casada </w:t>
            </w:r>
          </w:p>
          <w:p w14:paraId="63B47FBE" w14:textId="77777777" w:rsidR="0038356E" w:rsidRPr="00B313D0" w:rsidRDefault="0038356E" w:rsidP="00B313D0">
            <w:pPr>
              <w:spacing w:line="100" w:lineRule="atLeast"/>
              <w:rPr>
                <w:sz w:val="20"/>
                <w:szCs w:val="20"/>
              </w:rPr>
            </w:pPr>
          </w:p>
          <w:p w14:paraId="1E958FF1" w14:textId="77777777" w:rsidR="0038356E" w:rsidRPr="00B313D0" w:rsidRDefault="0038356E" w:rsidP="00B313D0">
            <w:pPr>
              <w:spacing w:line="100" w:lineRule="atLeast"/>
              <w:rPr>
                <w:sz w:val="20"/>
                <w:szCs w:val="20"/>
              </w:rPr>
            </w:pPr>
          </w:p>
          <w:p w14:paraId="6ABFC3F3" w14:textId="77777777" w:rsidR="0038356E" w:rsidRPr="00B313D0" w:rsidRDefault="0038356E" w:rsidP="00B313D0">
            <w:pPr>
              <w:spacing w:line="100" w:lineRule="atLeast"/>
              <w:rPr>
                <w:sz w:val="20"/>
                <w:szCs w:val="20"/>
              </w:rPr>
            </w:pPr>
            <w:r w:rsidRPr="00B313D0">
              <w:rPr>
                <w:sz w:val="20"/>
                <w:szCs w:val="20"/>
              </w:rPr>
              <w:t xml:space="preserve">Mora com cônjuge e descendentes </w:t>
            </w:r>
          </w:p>
          <w:p w14:paraId="59CD3258" w14:textId="77777777" w:rsidR="0038356E" w:rsidRPr="00B313D0" w:rsidRDefault="0038356E" w:rsidP="00B313D0">
            <w:pPr>
              <w:spacing w:line="100" w:lineRule="atLeast"/>
              <w:rPr>
                <w:sz w:val="20"/>
                <w:szCs w:val="20"/>
              </w:rPr>
            </w:pPr>
          </w:p>
          <w:p w14:paraId="3011377B" w14:textId="77777777" w:rsidR="0038356E" w:rsidRPr="00B313D0" w:rsidRDefault="0038356E" w:rsidP="00B313D0">
            <w:pPr>
              <w:spacing w:line="100" w:lineRule="atLeast"/>
              <w:rPr>
                <w:sz w:val="20"/>
                <w:szCs w:val="20"/>
              </w:rPr>
            </w:pPr>
          </w:p>
          <w:p w14:paraId="1F8A3789" w14:textId="77777777" w:rsidR="0038356E" w:rsidRPr="00B313D0" w:rsidRDefault="0038356E" w:rsidP="00B313D0">
            <w:pPr>
              <w:spacing w:line="100" w:lineRule="atLeast"/>
              <w:rPr>
                <w:sz w:val="20"/>
                <w:szCs w:val="20"/>
              </w:rPr>
            </w:pPr>
            <w:r w:rsidRPr="00B313D0">
              <w:rPr>
                <w:sz w:val="20"/>
                <w:szCs w:val="20"/>
              </w:rPr>
              <w:t xml:space="preserve">TMC </w:t>
            </w:r>
          </w:p>
        </w:tc>
        <w:tc>
          <w:tcPr>
            <w:tcW w:w="708" w:type="dxa"/>
            <w:tcBorders>
              <w:top w:val="single" w:sz="4" w:space="0" w:color="auto"/>
              <w:left w:val="nil"/>
              <w:bottom w:val="single" w:sz="4" w:space="0" w:color="auto"/>
              <w:right w:val="nil"/>
            </w:tcBorders>
          </w:tcPr>
          <w:p w14:paraId="1481520C" w14:textId="77777777" w:rsidR="0038356E" w:rsidRPr="00B313D0" w:rsidRDefault="0038356E" w:rsidP="00B313D0">
            <w:pPr>
              <w:spacing w:line="100" w:lineRule="atLeast"/>
              <w:rPr>
                <w:sz w:val="20"/>
                <w:szCs w:val="20"/>
              </w:rPr>
            </w:pPr>
          </w:p>
          <w:p w14:paraId="40355094" w14:textId="77777777" w:rsidR="0038356E" w:rsidRPr="00B313D0" w:rsidRDefault="0038356E" w:rsidP="00B313D0">
            <w:pPr>
              <w:spacing w:line="100" w:lineRule="atLeast"/>
              <w:rPr>
                <w:sz w:val="20"/>
                <w:szCs w:val="20"/>
              </w:rPr>
            </w:pPr>
            <w:r w:rsidRPr="00B313D0">
              <w:rPr>
                <w:sz w:val="20"/>
                <w:szCs w:val="20"/>
              </w:rPr>
              <w:t>Sim</w:t>
            </w:r>
          </w:p>
          <w:p w14:paraId="58611CC6" w14:textId="77777777" w:rsidR="0038356E" w:rsidRPr="00B313D0" w:rsidRDefault="0038356E" w:rsidP="00B313D0">
            <w:pPr>
              <w:spacing w:line="100" w:lineRule="atLeast"/>
              <w:rPr>
                <w:sz w:val="20"/>
                <w:szCs w:val="20"/>
              </w:rPr>
            </w:pPr>
            <w:r w:rsidRPr="00B313D0">
              <w:rPr>
                <w:sz w:val="20"/>
                <w:szCs w:val="20"/>
              </w:rPr>
              <w:t>Não</w:t>
            </w:r>
          </w:p>
          <w:p w14:paraId="2099BE0F" w14:textId="77777777" w:rsidR="0038356E" w:rsidRPr="00B313D0" w:rsidRDefault="0038356E" w:rsidP="00B313D0">
            <w:pPr>
              <w:spacing w:line="100" w:lineRule="atLeast"/>
              <w:rPr>
                <w:sz w:val="20"/>
                <w:szCs w:val="20"/>
              </w:rPr>
            </w:pPr>
          </w:p>
          <w:p w14:paraId="451D0F07" w14:textId="77777777" w:rsidR="0038356E" w:rsidRPr="00B313D0" w:rsidRDefault="0038356E" w:rsidP="00B313D0">
            <w:pPr>
              <w:spacing w:line="100" w:lineRule="atLeast"/>
              <w:rPr>
                <w:sz w:val="20"/>
                <w:szCs w:val="20"/>
              </w:rPr>
            </w:pPr>
            <w:r w:rsidRPr="00B313D0">
              <w:rPr>
                <w:sz w:val="20"/>
                <w:szCs w:val="20"/>
              </w:rPr>
              <w:t>Sim</w:t>
            </w:r>
          </w:p>
          <w:p w14:paraId="06D6679F" w14:textId="77777777" w:rsidR="0038356E" w:rsidRPr="00B313D0" w:rsidRDefault="0038356E" w:rsidP="00B313D0">
            <w:pPr>
              <w:spacing w:line="100" w:lineRule="atLeast"/>
              <w:rPr>
                <w:sz w:val="20"/>
                <w:szCs w:val="20"/>
              </w:rPr>
            </w:pPr>
            <w:r w:rsidRPr="00B313D0">
              <w:rPr>
                <w:sz w:val="20"/>
                <w:szCs w:val="20"/>
              </w:rPr>
              <w:t>Não</w:t>
            </w:r>
          </w:p>
          <w:p w14:paraId="6A51FDB3" w14:textId="77777777" w:rsidR="0038356E" w:rsidRPr="00B313D0" w:rsidRDefault="0038356E" w:rsidP="00B313D0">
            <w:pPr>
              <w:spacing w:line="100" w:lineRule="atLeast"/>
              <w:rPr>
                <w:sz w:val="20"/>
                <w:szCs w:val="20"/>
              </w:rPr>
            </w:pPr>
          </w:p>
          <w:p w14:paraId="667EAC0B" w14:textId="77777777" w:rsidR="0038356E" w:rsidRPr="00B313D0" w:rsidRDefault="0038356E" w:rsidP="00B313D0">
            <w:pPr>
              <w:spacing w:line="100" w:lineRule="atLeast"/>
              <w:rPr>
                <w:sz w:val="20"/>
                <w:szCs w:val="20"/>
              </w:rPr>
            </w:pPr>
            <w:r w:rsidRPr="00B313D0">
              <w:rPr>
                <w:sz w:val="20"/>
                <w:szCs w:val="20"/>
              </w:rPr>
              <w:t>Sim</w:t>
            </w:r>
          </w:p>
          <w:p w14:paraId="249B110B" w14:textId="77777777" w:rsidR="0038356E" w:rsidRPr="00B313D0" w:rsidRDefault="0038356E" w:rsidP="00B313D0">
            <w:pPr>
              <w:spacing w:line="100" w:lineRule="atLeast"/>
              <w:rPr>
                <w:sz w:val="20"/>
                <w:szCs w:val="20"/>
              </w:rPr>
            </w:pPr>
            <w:r w:rsidRPr="00B313D0">
              <w:rPr>
                <w:sz w:val="20"/>
                <w:szCs w:val="20"/>
              </w:rPr>
              <w:t>Não</w:t>
            </w:r>
          </w:p>
        </w:tc>
        <w:tc>
          <w:tcPr>
            <w:tcW w:w="992" w:type="dxa"/>
            <w:tcBorders>
              <w:top w:val="single" w:sz="4" w:space="0" w:color="auto"/>
              <w:left w:val="nil"/>
              <w:bottom w:val="single" w:sz="4" w:space="0" w:color="auto"/>
              <w:right w:val="nil"/>
            </w:tcBorders>
          </w:tcPr>
          <w:p w14:paraId="6BE98DD0" w14:textId="77777777" w:rsidR="0038356E" w:rsidRPr="00B313D0" w:rsidRDefault="0038356E" w:rsidP="00B313D0">
            <w:pPr>
              <w:spacing w:line="100" w:lineRule="atLeast"/>
              <w:rPr>
                <w:sz w:val="20"/>
                <w:szCs w:val="20"/>
              </w:rPr>
            </w:pPr>
          </w:p>
          <w:p w14:paraId="79F254F4" w14:textId="77777777" w:rsidR="0038356E" w:rsidRPr="00B313D0" w:rsidRDefault="0038356E" w:rsidP="00B313D0">
            <w:pPr>
              <w:spacing w:line="100" w:lineRule="atLeast"/>
              <w:rPr>
                <w:sz w:val="20"/>
                <w:szCs w:val="20"/>
              </w:rPr>
            </w:pPr>
            <w:r w:rsidRPr="00B313D0">
              <w:rPr>
                <w:sz w:val="20"/>
                <w:szCs w:val="20"/>
              </w:rPr>
              <w:t>38,7</w:t>
            </w:r>
          </w:p>
          <w:p w14:paraId="60B20029" w14:textId="77777777" w:rsidR="0038356E" w:rsidRPr="00B313D0" w:rsidRDefault="0038356E" w:rsidP="00B313D0">
            <w:pPr>
              <w:spacing w:line="100" w:lineRule="atLeast"/>
              <w:rPr>
                <w:sz w:val="20"/>
                <w:szCs w:val="20"/>
              </w:rPr>
            </w:pPr>
            <w:r w:rsidRPr="00B313D0">
              <w:rPr>
                <w:sz w:val="20"/>
                <w:szCs w:val="20"/>
              </w:rPr>
              <w:t>30,0</w:t>
            </w:r>
          </w:p>
          <w:p w14:paraId="27BD17E9" w14:textId="77777777" w:rsidR="0038356E" w:rsidRPr="00B313D0" w:rsidRDefault="0038356E" w:rsidP="00B313D0">
            <w:pPr>
              <w:spacing w:line="100" w:lineRule="atLeast"/>
              <w:rPr>
                <w:sz w:val="20"/>
                <w:szCs w:val="20"/>
              </w:rPr>
            </w:pPr>
          </w:p>
          <w:p w14:paraId="1C4B1885" w14:textId="77777777" w:rsidR="0038356E" w:rsidRPr="00B313D0" w:rsidRDefault="0038356E" w:rsidP="00B313D0">
            <w:pPr>
              <w:spacing w:line="100" w:lineRule="atLeast"/>
              <w:rPr>
                <w:sz w:val="20"/>
                <w:szCs w:val="20"/>
              </w:rPr>
            </w:pPr>
            <w:r w:rsidRPr="00B313D0">
              <w:rPr>
                <w:sz w:val="20"/>
                <w:szCs w:val="20"/>
              </w:rPr>
              <w:t>41,1</w:t>
            </w:r>
          </w:p>
          <w:p w14:paraId="07F855C0" w14:textId="77777777" w:rsidR="0038356E" w:rsidRPr="00B313D0" w:rsidRDefault="0038356E" w:rsidP="00B313D0">
            <w:pPr>
              <w:spacing w:line="100" w:lineRule="atLeast"/>
              <w:rPr>
                <w:sz w:val="20"/>
                <w:szCs w:val="20"/>
              </w:rPr>
            </w:pPr>
            <w:r w:rsidRPr="00B313D0">
              <w:rPr>
                <w:sz w:val="20"/>
                <w:szCs w:val="20"/>
              </w:rPr>
              <w:t>31,4</w:t>
            </w:r>
          </w:p>
          <w:p w14:paraId="5CFE5966" w14:textId="77777777" w:rsidR="0038356E" w:rsidRPr="00B313D0" w:rsidRDefault="0038356E" w:rsidP="00B313D0">
            <w:pPr>
              <w:spacing w:line="100" w:lineRule="atLeast"/>
              <w:rPr>
                <w:sz w:val="20"/>
                <w:szCs w:val="20"/>
              </w:rPr>
            </w:pPr>
          </w:p>
          <w:p w14:paraId="24B8962B" w14:textId="77777777" w:rsidR="0038356E" w:rsidRPr="00B313D0" w:rsidRDefault="0038356E" w:rsidP="00B313D0">
            <w:pPr>
              <w:spacing w:line="100" w:lineRule="atLeast"/>
              <w:jc w:val="both"/>
              <w:rPr>
                <w:sz w:val="20"/>
                <w:szCs w:val="20"/>
              </w:rPr>
            </w:pPr>
            <w:r w:rsidRPr="00B313D0">
              <w:rPr>
                <w:sz w:val="20"/>
                <w:szCs w:val="20"/>
              </w:rPr>
              <w:t>39,6</w:t>
            </w:r>
          </w:p>
          <w:p w14:paraId="5865A99D" w14:textId="77777777" w:rsidR="0038356E" w:rsidRPr="00B313D0" w:rsidRDefault="0038356E" w:rsidP="00B313D0">
            <w:pPr>
              <w:spacing w:line="100" w:lineRule="atLeast"/>
              <w:jc w:val="both"/>
              <w:rPr>
                <w:sz w:val="20"/>
                <w:szCs w:val="20"/>
              </w:rPr>
            </w:pPr>
            <w:r w:rsidRPr="00B313D0">
              <w:rPr>
                <w:sz w:val="20"/>
                <w:szCs w:val="20"/>
              </w:rPr>
              <w:t>31,0</w:t>
            </w:r>
          </w:p>
          <w:p w14:paraId="4F28DC80" w14:textId="77777777" w:rsidR="0038356E" w:rsidRPr="00B313D0" w:rsidRDefault="0038356E" w:rsidP="00B313D0">
            <w:pPr>
              <w:spacing w:line="100" w:lineRule="atLeast"/>
              <w:rPr>
                <w:sz w:val="20"/>
                <w:szCs w:val="20"/>
              </w:rPr>
            </w:pPr>
          </w:p>
        </w:tc>
        <w:tc>
          <w:tcPr>
            <w:tcW w:w="708" w:type="dxa"/>
            <w:tcBorders>
              <w:top w:val="single" w:sz="4" w:space="0" w:color="auto"/>
              <w:left w:val="nil"/>
              <w:bottom w:val="single" w:sz="4" w:space="0" w:color="auto"/>
              <w:right w:val="nil"/>
            </w:tcBorders>
          </w:tcPr>
          <w:p w14:paraId="6DA00CFD" w14:textId="77777777" w:rsidR="0038356E" w:rsidRPr="00B313D0" w:rsidRDefault="0038356E" w:rsidP="00B313D0">
            <w:pPr>
              <w:spacing w:line="100" w:lineRule="atLeast"/>
              <w:rPr>
                <w:sz w:val="20"/>
                <w:szCs w:val="20"/>
              </w:rPr>
            </w:pPr>
          </w:p>
          <w:p w14:paraId="301F34BB" w14:textId="77777777" w:rsidR="0038356E" w:rsidRPr="00B313D0" w:rsidRDefault="0038356E" w:rsidP="00B313D0">
            <w:pPr>
              <w:spacing w:line="100" w:lineRule="atLeast"/>
              <w:rPr>
                <w:sz w:val="20"/>
                <w:szCs w:val="20"/>
              </w:rPr>
            </w:pPr>
            <w:r w:rsidRPr="00B313D0">
              <w:rPr>
                <w:sz w:val="20"/>
                <w:szCs w:val="20"/>
              </w:rPr>
              <w:t>61,3</w:t>
            </w:r>
          </w:p>
          <w:p w14:paraId="3836B649" w14:textId="77777777" w:rsidR="0038356E" w:rsidRPr="00B313D0" w:rsidRDefault="0038356E" w:rsidP="00B313D0">
            <w:pPr>
              <w:spacing w:line="100" w:lineRule="atLeast"/>
              <w:rPr>
                <w:sz w:val="20"/>
                <w:szCs w:val="20"/>
              </w:rPr>
            </w:pPr>
            <w:r w:rsidRPr="00B313D0">
              <w:rPr>
                <w:sz w:val="20"/>
                <w:szCs w:val="20"/>
              </w:rPr>
              <w:t>70,0</w:t>
            </w:r>
          </w:p>
          <w:p w14:paraId="25FBEBE2" w14:textId="77777777" w:rsidR="0038356E" w:rsidRPr="00B313D0" w:rsidRDefault="0038356E" w:rsidP="00B313D0">
            <w:pPr>
              <w:spacing w:line="100" w:lineRule="atLeast"/>
              <w:rPr>
                <w:sz w:val="20"/>
                <w:szCs w:val="20"/>
              </w:rPr>
            </w:pPr>
          </w:p>
          <w:p w14:paraId="4C94FD04" w14:textId="77777777" w:rsidR="0038356E" w:rsidRPr="00B313D0" w:rsidRDefault="0038356E" w:rsidP="00B313D0">
            <w:pPr>
              <w:spacing w:line="100" w:lineRule="atLeast"/>
              <w:rPr>
                <w:sz w:val="20"/>
                <w:szCs w:val="20"/>
              </w:rPr>
            </w:pPr>
            <w:r w:rsidRPr="00B313D0">
              <w:rPr>
                <w:sz w:val="20"/>
                <w:szCs w:val="20"/>
              </w:rPr>
              <w:t>58,9</w:t>
            </w:r>
          </w:p>
          <w:p w14:paraId="0ABB59F9" w14:textId="77777777" w:rsidR="0038356E" w:rsidRPr="00B313D0" w:rsidRDefault="0038356E" w:rsidP="00B313D0">
            <w:pPr>
              <w:spacing w:line="100" w:lineRule="atLeast"/>
              <w:rPr>
                <w:sz w:val="20"/>
                <w:szCs w:val="20"/>
              </w:rPr>
            </w:pPr>
            <w:r w:rsidRPr="00B313D0">
              <w:rPr>
                <w:sz w:val="20"/>
                <w:szCs w:val="20"/>
              </w:rPr>
              <w:t>68,6</w:t>
            </w:r>
          </w:p>
          <w:p w14:paraId="50775EED" w14:textId="77777777" w:rsidR="0038356E" w:rsidRPr="00B313D0" w:rsidRDefault="0038356E" w:rsidP="00B313D0">
            <w:pPr>
              <w:spacing w:line="100" w:lineRule="atLeast"/>
              <w:rPr>
                <w:sz w:val="20"/>
                <w:szCs w:val="20"/>
              </w:rPr>
            </w:pPr>
          </w:p>
          <w:p w14:paraId="0E819027" w14:textId="77777777" w:rsidR="0038356E" w:rsidRPr="00B313D0" w:rsidRDefault="0038356E" w:rsidP="00B313D0">
            <w:pPr>
              <w:spacing w:line="100" w:lineRule="atLeast"/>
              <w:jc w:val="center"/>
              <w:rPr>
                <w:sz w:val="20"/>
                <w:szCs w:val="20"/>
              </w:rPr>
            </w:pPr>
            <w:r w:rsidRPr="00B313D0">
              <w:rPr>
                <w:sz w:val="20"/>
                <w:szCs w:val="20"/>
              </w:rPr>
              <w:t>60,4</w:t>
            </w:r>
          </w:p>
          <w:p w14:paraId="1B83EAC8" w14:textId="77777777" w:rsidR="0038356E" w:rsidRPr="00B313D0" w:rsidRDefault="0038356E" w:rsidP="00B313D0">
            <w:pPr>
              <w:spacing w:line="100" w:lineRule="atLeast"/>
              <w:jc w:val="center"/>
              <w:rPr>
                <w:sz w:val="20"/>
                <w:szCs w:val="20"/>
              </w:rPr>
            </w:pPr>
            <w:r w:rsidRPr="00B313D0">
              <w:rPr>
                <w:sz w:val="20"/>
                <w:szCs w:val="20"/>
              </w:rPr>
              <w:t>69,0</w:t>
            </w:r>
          </w:p>
          <w:p w14:paraId="2ED2C07E" w14:textId="77777777" w:rsidR="0038356E" w:rsidRPr="00B313D0" w:rsidRDefault="0038356E" w:rsidP="00B313D0">
            <w:pPr>
              <w:spacing w:line="100" w:lineRule="atLeast"/>
              <w:rPr>
                <w:sz w:val="20"/>
                <w:szCs w:val="20"/>
              </w:rPr>
            </w:pPr>
          </w:p>
        </w:tc>
        <w:tc>
          <w:tcPr>
            <w:tcW w:w="850" w:type="dxa"/>
            <w:tcBorders>
              <w:top w:val="single" w:sz="4" w:space="0" w:color="auto"/>
              <w:left w:val="nil"/>
              <w:bottom w:val="single" w:sz="4" w:space="0" w:color="auto"/>
              <w:right w:val="nil"/>
            </w:tcBorders>
          </w:tcPr>
          <w:p w14:paraId="662F6056" w14:textId="77777777" w:rsidR="0038356E" w:rsidRPr="00B313D0" w:rsidRDefault="0038356E" w:rsidP="00B313D0">
            <w:pPr>
              <w:spacing w:line="100" w:lineRule="atLeast"/>
              <w:jc w:val="center"/>
              <w:rPr>
                <w:sz w:val="20"/>
                <w:szCs w:val="20"/>
              </w:rPr>
            </w:pPr>
          </w:p>
          <w:p w14:paraId="428FB6C8" w14:textId="77777777" w:rsidR="0038356E" w:rsidRPr="00B313D0" w:rsidRDefault="0038356E" w:rsidP="00B313D0">
            <w:pPr>
              <w:spacing w:line="100" w:lineRule="atLeast"/>
              <w:jc w:val="center"/>
              <w:rPr>
                <w:sz w:val="20"/>
                <w:szCs w:val="20"/>
              </w:rPr>
            </w:pPr>
            <w:r w:rsidRPr="00B313D0">
              <w:rPr>
                <w:sz w:val="20"/>
                <w:szCs w:val="20"/>
              </w:rPr>
              <w:t>4,5(1)</w:t>
            </w:r>
          </w:p>
          <w:p w14:paraId="1E63F3F2" w14:textId="77777777" w:rsidR="0038356E" w:rsidRPr="00B313D0" w:rsidRDefault="0038356E" w:rsidP="00B313D0">
            <w:pPr>
              <w:spacing w:line="100" w:lineRule="atLeast"/>
              <w:jc w:val="center"/>
              <w:rPr>
                <w:sz w:val="20"/>
                <w:szCs w:val="20"/>
              </w:rPr>
            </w:pPr>
          </w:p>
          <w:p w14:paraId="7B9243DB" w14:textId="77777777" w:rsidR="0038356E" w:rsidRPr="00B313D0" w:rsidRDefault="0038356E" w:rsidP="00B313D0">
            <w:pPr>
              <w:spacing w:line="100" w:lineRule="atLeast"/>
              <w:jc w:val="center"/>
              <w:rPr>
                <w:sz w:val="20"/>
                <w:szCs w:val="20"/>
              </w:rPr>
            </w:pPr>
          </w:p>
          <w:p w14:paraId="35422A8F" w14:textId="77777777" w:rsidR="0038356E" w:rsidRPr="00B313D0" w:rsidRDefault="0038356E" w:rsidP="00B313D0">
            <w:pPr>
              <w:spacing w:line="100" w:lineRule="atLeast"/>
              <w:jc w:val="center"/>
              <w:rPr>
                <w:sz w:val="20"/>
                <w:szCs w:val="20"/>
              </w:rPr>
            </w:pPr>
            <w:r w:rsidRPr="00B313D0">
              <w:rPr>
                <w:sz w:val="20"/>
                <w:szCs w:val="20"/>
              </w:rPr>
              <w:t>5,1(1)</w:t>
            </w:r>
          </w:p>
          <w:p w14:paraId="46678F7C" w14:textId="77777777" w:rsidR="0038356E" w:rsidRPr="00B313D0" w:rsidRDefault="0038356E" w:rsidP="00B313D0">
            <w:pPr>
              <w:spacing w:line="100" w:lineRule="atLeast"/>
              <w:jc w:val="center"/>
              <w:rPr>
                <w:sz w:val="20"/>
                <w:szCs w:val="20"/>
              </w:rPr>
            </w:pPr>
          </w:p>
          <w:p w14:paraId="0DF8523B" w14:textId="77777777" w:rsidR="0038356E" w:rsidRPr="00B313D0" w:rsidRDefault="0038356E" w:rsidP="00B313D0">
            <w:pPr>
              <w:spacing w:line="100" w:lineRule="atLeast"/>
              <w:jc w:val="center"/>
              <w:rPr>
                <w:sz w:val="20"/>
                <w:szCs w:val="20"/>
              </w:rPr>
            </w:pPr>
          </w:p>
          <w:p w14:paraId="0A774E2B" w14:textId="77777777" w:rsidR="0038356E" w:rsidRPr="00B313D0" w:rsidRDefault="0038356E" w:rsidP="00B313D0">
            <w:pPr>
              <w:spacing w:line="100" w:lineRule="atLeast"/>
              <w:jc w:val="center"/>
              <w:rPr>
                <w:sz w:val="20"/>
                <w:szCs w:val="20"/>
              </w:rPr>
            </w:pPr>
            <w:r w:rsidRPr="00B313D0">
              <w:rPr>
                <w:sz w:val="20"/>
                <w:szCs w:val="20"/>
              </w:rPr>
              <w:t>4,4(1)</w:t>
            </w:r>
          </w:p>
        </w:tc>
        <w:tc>
          <w:tcPr>
            <w:tcW w:w="850" w:type="dxa"/>
            <w:gridSpan w:val="2"/>
            <w:tcBorders>
              <w:top w:val="single" w:sz="4" w:space="0" w:color="auto"/>
              <w:left w:val="nil"/>
              <w:bottom w:val="single" w:sz="4" w:space="0" w:color="auto"/>
              <w:right w:val="nil"/>
            </w:tcBorders>
          </w:tcPr>
          <w:p w14:paraId="1DFE8BF5" w14:textId="77777777" w:rsidR="0038356E" w:rsidRPr="00B313D0" w:rsidRDefault="0038356E" w:rsidP="00B313D0">
            <w:pPr>
              <w:spacing w:line="100" w:lineRule="atLeast"/>
              <w:jc w:val="center"/>
              <w:rPr>
                <w:sz w:val="20"/>
                <w:szCs w:val="20"/>
              </w:rPr>
            </w:pPr>
          </w:p>
          <w:p w14:paraId="494C02A8" w14:textId="77777777" w:rsidR="0038356E" w:rsidRPr="00B313D0" w:rsidRDefault="0038356E" w:rsidP="00B313D0">
            <w:pPr>
              <w:spacing w:line="100" w:lineRule="atLeast"/>
              <w:jc w:val="center"/>
              <w:rPr>
                <w:sz w:val="20"/>
                <w:szCs w:val="20"/>
              </w:rPr>
            </w:pPr>
            <w:r w:rsidRPr="00B313D0">
              <w:rPr>
                <w:sz w:val="20"/>
                <w:szCs w:val="20"/>
              </w:rPr>
              <w:t>0,034</w:t>
            </w:r>
          </w:p>
          <w:p w14:paraId="040EB9E8" w14:textId="77777777" w:rsidR="0038356E" w:rsidRPr="00B313D0" w:rsidRDefault="0038356E" w:rsidP="00B313D0">
            <w:pPr>
              <w:spacing w:line="100" w:lineRule="atLeast"/>
              <w:jc w:val="center"/>
              <w:rPr>
                <w:sz w:val="20"/>
                <w:szCs w:val="20"/>
              </w:rPr>
            </w:pPr>
          </w:p>
          <w:p w14:paraId="43FEA8B6" w14:textId="77777777" w:rsidR="0038356E" w:rsidRPr="00B313D0" w:rsidRDefault="0038356E" w:rsidP="00B313D0">
            <w:pPr>
              <w:spacing w:line="100" w:lineRule="atLeast"/>
              <w:jc w:val="center"/>
              <w:rPr>
                <w:sz w:val="20"/>
                <w:szCs w:val="20"/>
              </w:rPr>
            </w:pPr>
          </w:p>
          <w:p w14:paraId="1B9B2722" w14:textId="77777777" w:rsidR="0038356E" w:rsidRPr="00B313D0" w:rsidRDefault="0038356E" w:rsidP="00B313D0">
            <w:pPr>
              <w:spacing w:line="100" w:lineRule="atLeast"/>
              <w:jc w:val="center"/>
              <w:rPr>
                <w:sz w:val="20"/>
                <w:szCs w:val="20"/>
              </w:rPr>
            </w:pPr>
            <w:r w:rsidRPr="00B313D0">
              <w:rPr>
                <w:sz w:val="20"/>
                <w:szCs w:val="20"/>
              </w:rPr>
              <w:t>0,024</w:t>
            </w:r>
          </w:p>
          <w:p w14:paraId="2A39151A" w14:textId="77777777" w:rsidR="0038356E" w:rsidRPr="00B313D0" w:rsidRDefault="0038356E" w:rsidP="00B313D0">
            <w:pPr>
              <w:spacing w:line="100" w:lineRule="atLeast"/>
              <w:jc w:val="center"/>
              <w:rPr>
                <w:sz w:val="20"/>
                <w:szCs w:val="20"/>
              </w:rPr>
            </w:pPr>
          </w:p>
          <w:p w14:paraId="6AEB4070" w14:textId="77777777" w:rsidR="0038356E" w:rsidRPr="00B313D0" w:rsidRDefault="0038356E" w:rsidP="00B313D0">
            <w:pPr>
              <w:spacing w:line="100" w:lineRule="atLeast"/>
              <w:jc w:val="center"/>
              <w:rPr>
                <w:sz w:val="20"/>
                <w:szCs w:val="20"/>
              </w:rPr>
            </w:pPr>
          </w:p>
          <w:p w14:paraId="5E13F927" w14:textId="77777777" w:rsidR="0038356E" w:rsidRPr="00B313D0" w:rsidRDefault="0038356E" w:rsidP="00B313D0">
            <w:pPr>
              <w:spacing w:line="100" w:lineRule="atLeast"/>
              <w:jc w:val="center"/>
              <w:rPr>
                <w:sz w:val="20"/>
                <w:szCs w:val="20"/>
              </w:rPr>
            </w:pPr>
            <w:r w:rsidRPr="00B313D0">
              <w:rPr>
                <w:sz w:val="20"/>
                <w:szCs w:val="20"/>
              </w:rPr>
              <w:t>0,037</w:t>
            </w:r>
          </w:p>
          <w:p w14:paraId="3F4A3FBC" w14:textId="77777777" w:rsidR="0038356E" w:rsidRPr="00B313D0" w:rsidRDefault="0038356E" w:rsidP="00B313D0">
            <w:pPr>
              <w:spacing w:line="100" w:lineRule="atLeast"/>
              <w:jc w:val="center"/>
              <w:rPr>
                <w:sz w:val="20"/>
                <w:szCs w:val="20"/>
              </w:rPr>
            </w:pPr>
          </w:p>
        </w:tc>
        <w:tc>
          <w:tcPr>
            <w:tcW w:w="1559" w:type="dxa"/>
            <w:tcBorders>
              <w:top w:val="single" w:sz="4" w:space="0" w:color="auto"/>
              <w:left w:val="nil"/>
              <w:bottom w:val="single" w:sz="4" w:space="0" w:color="auto"/>
              <w:right w:val="nil"/>
            </w:tcBorders>
          </w:tcPr>
          <w:p w14:paraId="1E7BDEB9" w14:textId="77777777" w:rsidR="0038356E" w:rsidRPr="00B313D0" w:rsidRDefault="0038356E" w:rsidP="00B313D0">
            <w:pPr>
              <w:spacing w:line="100" w:lineRule="atLeast"/>
              <w:jc w:val="center"/>
              <w:rPr>
                <w:sz w:val="20"/>
                <w:szCs w:val="20"/>
              </w:rPr>
            </w:pPr>
          </w:p>
          <w:p w14:paraId="111C275E" w14:textId="77777777" w:rsidR="0038356E" w:rsidRPr="00B313D0" w:rsidRDefault="0038356E" w:rsidP="00B313D0">
            <w:pPr>
              <w:spacing w:line="100" w:lineRule="atLeast"/>
              <w:jc w:val="center"/>
              <w:rPr>
                <w:sz w:val="20"/>
                <w:szCs w:val="20"/>
              </w:rPr>
            </w:pPr>
            <w:r w:rsidRPr="00B313D0">
              <w:rPr>
                <w:sz w:val="20"/>
                <w:szCs w:val="20"/>
              </w:rPr>
              <w:t>0,085</w:t>
            </w:r>
            <w:r w:rsidRPr="00B313D0">
              <w:rPr>
                <w:sz w:val="20"/>
                <w:szCs w:val="20"/>
                <w:vertAlign w:val="superscript"/>
              </w:rPr>
              <w:t xml:space="preserve"> F</w:t>
            </w:r>
          </w:p>
          <w:p w14:paraId="001EF18E" w14:textId="77777777" w:rsidR="0038356E" w:rsidRPr="00B313D0" w:rsidRDefault="0038356E" w:rsidP="00B313D0">
            <w:pPr>
              <w:spacing w:line="100" w:lineRule="atLeast"/>
              <w:jc w:val="center"/>
              <w:rPr>
                <w:sz w:val="20"/>
                <w:szCs w:val="20"/>
              </w:rPr>
            </w:pPr>
          </w:p>
          <w:p w14:paraId="3E25951A" w14:textId="77777777" w:rsidR="0038356E" w:rsidRPr="00B313D0" w:rsidRDefault="0038356E" w:rsidP="00B313D0">
            <w:pPr>
              <w:spacing w:line="100" w:lineRule="atLeast"/>
              <w:jc w:val="center"/>
              <w:rPr>
                <w:sz w:val="20"/>
                <w:szCs w:val="20"/>
              </w:rPr>
            </w:pPr>
          </w:p>
          <w:p w14:paraId="42D5C8FC" w14:textId="77777777" w:rsidR="0038356E" w:rsidRPr="00B313D0" w:rsidRDefault="0038356E" w:rsidP="00B313D0">
            <w:pPr>
              <w:spacing w:line="100" w:lineRule="atLeast"/>
              <w:jc w:val="center"/>
              <w:rPr>
                <w:sz w:val="20"/>
                <w:szCs w:val="20"/>
              </w:rPr>
            </w:pPr>
            <w:r w:rsidRPr="00B313D0">
              <w:rPr>
                <w:sz w:val="20"/>
                <w:szCs w:val="20"/>
              </w:rPr>
              <w:t>0,109</w:t>
            </w:r>
            <w:r w:rsidRPr="00B313D0">
              <w:rPr>
                <w:sz w:val="20"/>
                <w:szCs w:val="20"/>
                <w:vertAlign w:val="superscript"/>
              </w:rPr>
              <w:t xml:space="preserve"> F</w:t>
            </w:r>
          </w:p>
          <w:p w14:paraId="1E8C38CD" w14:textId="77777777" w:rsidR="0038356E" w:rsidRPr="00B313D0" w:rsidRDefault="0038356E" w:rsidP="00B313D0">
            <w:pPr>
              <w:spacing w:line="100" w:lineRule="atLeast"/>
              <w:jc w:val="center"/>
              <w:rPr>
                <w:sz w:val="20"/>
                <w:szCs w:val="20"/>
              </w:rPr>
            </w:pPr>
          </w:p>
          <w:p w14:paraId="046BCE5E" w14:textId="77777777" w:rsidR="0038356E" w:rsidRPr="00B313D0" w:rsidRDefault="0038356E" w:rsidP="00B313D0">
            <w:pPr>
              <w:spacing w:line="100" w:lineRule="atLeast"/>
              <w:jc w:val="center"/>
              <w:rPr>
                <w:sz w:val="20"/>
                <w:szCs w:val="20"/>
              </w:rPr>
            </w:pPr>
          </w:p>
          <w:p w14:paraId="36D8A0F9" w14:textId="77777777" w:rsidR="0038356E" w:rsidRPr="00B313D0" w:rsidRDefault="0038356E" w:rsidP="00B313D0">
            <w:pPr>
              <w:spacing w:line="100" w:lineRule="atLeast"/>
              <w:jc w:val="center"/>
              <w:rPr>
                <w:sz w:val="20"/>
                <w:szCs w:val="20"/>
              </w:rPr>
            </w:pPr>
            <w:r w:rsidRPr="00B313D0">
              <w:rPr>
                <w:sz w:val="20"/>
                <w:szCs w:val="20"/>
              </w:rPr>
              <w:t xml:space="preserve">0,084 </w:t>
            </w:r>
            <w:r w:rsidRPr="00B313D0">
              <w:rPr>
                <w:sz w:val="20"/>
                <w:szCs w:val="20"/>
                <w:vertAlign w:val="superscript"/>
              </w:rPr>
              <w:t>F</w:t>
            </w:r>
          </w:p>
        </w:tc>
      </w:tr>
      <w:tr w:rsidR="0038356E" w:rsidRPr="00B313D0" w14:paraId="4B6AA09D" w14:textId="77777777" w:rsidTr="00BF0291">
        <w:trPr>
          <w:jc w:val="center"/>
        </w:trPr>
        <w:tc>
          <w:tcPr>
            <w:tcW w:w="2973" w:type="dxa"/>
            <w:tcBorders>
              <w:top w:val="single" w:sz="4" w:space="0" w:color="auto"/>
              <w:left w:val="nil"/>
              <w:bottom w:val="nil"/>
              <w:right w:val="nil"/>
            </w:tcBorders>
          </w:tcPr>
          <w:p w14:paraId="4D167388" w14:textId="77777777" w:rsidR="0038356E" w:rsidRPr="00B313D0" w:rsidRDefault="0038356E" w:rsidP="00B313D0">
            <w:pPr>
              <w:spacing w:line="100" w:lineRule="atLeast"/>
              <w:rPr>
                <w:sz w:val="20"/>
                <w:szCs w:val="20"/>
              </w:rPr>
            </w:pPr>
          </w:p>
        </w:tc>
        <w:tc>
          <w:tcPr>
            <w:tcW w:w="708" w:type="dxa"/>
            <w:tcBorders>
              <w:top w:val="single" w:sz="4" w:space="0" w:color="auto"/>
              <w:left w:val="nil"/>
              <w:bottom w:val="nil"/>
              <w:right w:val="nil"/>
            </w:tcBorders>
          </w:tcPr>
          <w:p w14:paraId="715AFD5F" w14:textId="77777777" w:rsidR="0038356E" w:rsidRPr="00B313D0" w:rsidRDefault="0038356E" w:rsidP="00B313D0">
            <w:pPr>
              <w:spacing w:line="100" w:lineRule="atLeast"/>
              <w:rPr>
                <w:sz w:val="20"/>
                <w:szCs w:val="20"/>
              </w:rPr>
            </w:pPr>
          </w:p>
        </w:tc>
        <w:tc>
          <w:tcPr>
            <w:tcW w:w="1700" w:type="dxa"/>
            <w:gridSpan w:val="2"/>
            <w:tcBorders>
              <w:top w:val="single" w:sz="4" w:space="0" w:color="auto"/>
              <w:left w:val="nil"/>
              <w:bottom w:val="single" w:sz="4" w:space="0" w:color="auto"/>
              <w:right w:val="nil"/>
            </w:tcBorders>
            <w:hideMark/>
          </w:tcPr>
          <w:p w14:paraId="4AB724F7" w14:textId="77777777" w:rsidR="0038356E" w:rsidRPr="00B313D0" w:rsidRDefault="0038356E" w:rsidP="00B313D0">
            <w:pPr>
              <w:spacing w:line="100" w:lineRule="atLeast"/>
              <w:jc w:val="center"/>
              <w:rPr>
                <w:sz w:val="20"/>
                <w:szCs w:val="20"/>
              </w:rPr>
            </w:pPr>
            <w:r w:rsidRPr="00B313D0">
              <w:rPr>
                <w:i/>
                <w:iCs/>
                <w:sz w:val="20"/>
                <w:szCs w:val="20"/>
              </w:rPr>
              <w:t>Branca %</w:t>
            </w:r>
          </w:p>
        </w:tc>
        <w:tc>
          <w:tcPr>
            <w:tcW w:w="850" w:type="dxa"/>
            <w:tcBorders>
              <w:top w:val="single" w:sz="4" w:space="0" w:color="auto"/>
              <w:left w:val="nil"/>
              <w:bottom w:val="nil"/>
              <w:right w:val="nil"/>
            </w:tcBorders>
          </w:tcPr>
          <w:p w14:paraId="6F11F085" w14:textId="77777777" w:rsidR="0038356E" w:rsidRPr="00B313D0" w:rsidRDefault="0038356E" w:rsidP="00B313D0">
            <w:pPr>
              <w:spacing w:line="100" w:lineRule="atLeast"/>
              <w:jc w:val="center"/>
              <w:rPr>
                <w:sz w:val="20"/>
                <w:szCs w:val="20"/>
              </w:rPr>
            </w:pPr>
          </w:p>
        </w:tc>
        <w:tc>
          <w:tcPr>
            <w:tcW w:w="850" w:type="dxa"/>
            <w:gridSpan w:val="2"/>
            <w:tcBorders>
              <w:top w:val="single" w:sz="4" w:space="0" w:color="auto"/>
              <w:left w:val="nil"/>
              <w:bottom w:val="nil"/>
              <w:right w:val="nil"/>
            </w:tcBorders>
          </w:tcPr>
          <w:p w14:paraId="1E450186" w14:textId="77777777" w:rsidR="0038356E" w:rsidRPr="00B313D0" w:rsidRDefault="0038356E" w:rsidP="00B313D0">
            <w:pPr>
              <w:spacing w:line="100" w:lineRule="atLeast"/>
              <w:jc w:val="center"/>
              <w:rPr>
                <w:sz w:val="20"/>
                <w:szCs w:val="20"/>
              </w:rPr>
            </w:pPr>
          </w:p>
        </w:tc>
        <w:tc>
          <w:tcPr>
            <w:tcW w:w="1559" w:type="dxa"/>
            <w:tcBorders>
              <w:top w:val="single" w:sz="4" w:space="0" w:color="auto"/>
              <w:left w:val="nil"/>
              <w:bottom w:val="nil"/>
              <w:right w:val="nil"/>
            </w:tcBorders>
          </w:tcPr>
          <w:p w14:paraId="58583809" w14:textId="77777777" w:rsidR="0038356E" w:rsidRPr="00B313D0" w:rsidRDefault="0038356E" w:rsidP="00B313D0">
            <w:pPr>
              <w:spacing w:line="100" w:lineRule="atLeast"/>
              <w:jc w:val="center"/>
              <w:rPr>
                <w:sz w:val="20"/>
                <w:szCs w:val="20"/>
              </w:rPr>
            </w:pPr>
          </w:p>
        </w:tc>
      </w:tr>
      <w:tr w:rsidR="0038356E" w:rsidRPr="00B313D0" w14:paraId="524D8102" w14:textId="77777777" w:rsidTr="00BF0291">
        <w:trPr>
          <w:jc w:val="center"/>
        </w:trPr>
        <w:tc>
          <w:tcPr>
            <w:tcW w:w="2973" w:type="dxa"/>
            <w:tcBorders>
              <w:top w:val="nil"/>
              <w:left w:val="nil"/>
              <w:bottom w:val="single" w:sz="4" w:space="0" w:color="auto"/>
              <w:right w:val="nil"/>
            </w:tcBorders>
          </w:tcPr>
          <w:p w14:paraId="54A07DBA" w14:textId="77777777" w:rsidR="0038356E" w:rsidRPr="00B313D0" w:rsidRDefault="0038356E" w:rsidP="00B313D0">
            <w:pPr>
              <w:spacing w:line="100" w:lineRule="atLeast"/>
              <w:rPr>
                <w:sz w:val="20"/>
                <w:szCs w:val="20"/>
              </w:rPr>
            </w:pPr>
          </w:p>
        </w:tc>
        <w:tc>
          <w:tcPr>
            <w:tcW w:w="708" w:type="dxa"/>
            <w:tcBorders>
              <w:top w:val="nil"/>
              <w:left w:val="nil"/>
              <w:bottom w:val="single" w:sz="4" w:space="0" w:color="auto"/>
              <w:right w:val="nil"/>
            </w:tcBorders>
          </w:tcPr>
          <w:p w14:paraId="2C04287B" w14:textId="77777777" w:rsidR="0038356E" w:rsidRPr="00B313D0" w:rsidRDefault="0038356E" w:rsidP="00B313D0">
            <w:pPr>
              <w:spacing w:line="100" w:lineRule="atLeast"/>
              <w:rPr>
                <w:sz w:val="20"/>
                <w:szCs w:val="20"/>
              </w:rPr>
            </w:pPr>
          </w:p>
        </w:tc>
        <w:tc>
          <w:tcPr>
            <w:tcW w:w="992" w:type="dxa"/>
            <w:tcBorders>
              <w:top w:val="single" w:sz="4" w:space="0" w:color="auto"/>
              <w:left w:val="nil"/>
              <w:bottom w:val="single" w:sz="4" w:space="0" w:color="auto"/>
              <w:right w:val="nil"/>
            </w:tcBorders>
            <w:hideMark/>
          </w:tcPr>
          <w:p w14:paraId="3691BD58" w14:textId="77777777" w:rsidR="0038356E" w:rsidRPr="00B313D0" w:rsidRDefault="0038356E" w:rsidP="00B313D0">
            <w:pPr>
              <w:spacing w:line="100" w:lineRule="atLeast"/>
              <w:jc w:val="center"/>
              <w:rPr>
                <w:i/>
                <w:iCs/>
                <w:sz w:val="20"/>
                <w:szCs w:val="20"/>
              </w:rPr>
            </w:pPr>
            <w:r w:rsidRPr="00B313D0">
              <w:rPr>
                <w:i/>
                <w:iCs/>
                <w:sz w:val="20"/>
                <w:szCs w:val="20"/>
              </w:rPr>
              <w:t>Sim</w:t>
            </w:r>
          </w:p>
        </w:tc>
        <w:tc>
          <w:tcPr>
            <w:tcW w:w="708" w:type="dxa"/>
            <w:tcBorders>
              <w:top w:val="single" w:sz="4" w:space="0" w:color="auto"/>
              <w:left w:val="nil"/>
              <w:bottom w:val="single" w:sz="4" w:space="0" w:color="auto"/>
              <w:right w:val="nil"/>
            </w:tcBorders>
            <w:hideMark/>
          </w:tcPr>
          <w:p w14:paraId="10199776" w14:textId="77777777" w:rsidR="0038356E" w:rsidRPr="00B313D0" w:rsidRDefault="0038356E" w:rsidP="00B313D0">
            <w:pPr>
              <w:spacing w:line="100" w:lineRule="atLeast"/>
              <w:jc w:val="center"/>
              <w:rPr>
                <w:sz w:val="20"/>
                <w:szCs w:val="20"/>
              </w:rPr>
            </w:pPr>
            <w:r w:rsidRPr="00B313D0">
              <w:rPr>
                <w:i/>
                <w:iCs/>
                <w:sz w:val="20"/>
                <w:szCs w:val="20"/>
              </w:rPr>
              <w:t>Não</w:t>
            </w:r>
          </w:p>
        </w:tc>
        <w:tc>
          <w:tcPr>
            <w:tcW w:w="850" w:type="dxa"/>
            <w:tcBorders>
              <w:top w:val="nil"/>
              <w:left w:val="nil"/>
              <w:bottom w:val="single" w:sz="4" w:space="0" w:color="auto"/>
              <w:right w:val="nil"/>
            </w:tcBorders>
          </w:tcPr>
          <w:p w14:paraId="40D45013" w14:textId="77777777" w:rsidR="0038356E" w:rsidRPr="00B313D0" w:rsidRDefault="0038356E" w:rsidP="00B313D0">
            <w:pPr>
              <w:spacing w:line="100" w:lineRule="atLeast"/>
              <w:jc w:val="center"/>
              <w:rPr>
                <w:sz w:val="20"/>
                <w:szCs w:val="20"/>
              </w:rPr>
            </w:pPr>
          </w:p>
        </w:tc>
        <w:tc>
          <w:tcPr>
            <w:tcW w:w="850" w:type="dxa"/>
            <w:gridSpan w:val="2"/>
            <w:tcBorders>
              <w:top w:val="nil"/>
              <w:left w:val="nil"/>
              <w:bottom w:val="single" w:sz="4" w:space="0" w:color="auto"/>
              <w:right w:val="nil"/>
            </w:tcBorders>
          </w:tcPr>
          <w:p w14:paraId="2C10CA50" w14:textId="77777777" w:rsidR="0038356E" w:rsidRPr="00B313D0" w:rsidRDefault="0038356E" w:rsidP="00B313D0">
            <w:pPr>
              <w:spacing w:line="100" w:lineRule="atLeast"/>
              <w:jc w:val="center"/>
              <w:rPr>
                <w:sz w:val="20"/>
                <w:szCs w:val="20"/>
              </w:rPr>
            </w:pPr>
          </w:p>
        </w:tc>
        <w:tc>
          <w:tcPr>
            <w:tcW w:w="1559" w:type="dxa"/>
            <w:tcBorders>
              <w:top w:val="nil"/>
              <w:left w:val="nil"/>
              <w:bottom w:val="single" w:sz="4" w:space="0" w:color="auto"/>
              <w:right w:val="nil"/>
            </w:tcBorders>
          </w:tcPr>
          <w:p w14:paraId="1B2E17A3" w14:textId="77777777" w:rsidR="0038356E" w:rsidRPr="00B313D0" w:rsidRDefault="0038356E" w:rsidP="00B313D0">
            <w:pPr>
              <w:spacing w:line="100" w:lineRule="atLeast"/>
              <w:jc w:val="center"/>
              <w:rPr>
                <w:sz w:val="20"/>
                <w:szCs w:val="20"/>
              </w:rPr>
            </w:pPr>
          </w:p>
        </w:tc>
      </w:tr>
      <w:tr w:rsidR="0038356E" w:rsidRPr="00B313D0" w14:paraId="6421EB76" w14:textId="77777777" w:rsidTr="00BF0291">
        <w:trPr>
          <w:jc w:val="center"/>
        </w:trPr>
        <w:tc>
          <w:tcPr>
            <w:tcW w:w="2973" w:type="dxa"/>
            <w:tcBorders>
              <w:top w:val="single" w:sz="4" w:space="0" w:color="auto"/>
              <w:left w:val="nil"/>
              <w:bottom w:val="single" w:sz="4" w:space="0" w:color="auto"/>
              <w:right w:val="nil"/>
            </w:tcBorders>
          </w:tcPr>
          <w:p w14:paraId="025B1DCB" w14:textId="77777777" w:rsidR="0038356E" w:rsidRPr="00B313D0" w:rsidRDefault="0038356E" w:rsidP="00B313D0">
            <w:pPr>
              <w:spacing w:line="100" w:lineRule="atLeast"/>
              <w:rPr>
                <w:sz w:val="20"/>
                <w:szCs w:val="20"/>
              </w:rPr>
            </w:pPr>
          </w:p>
          <w:p w14:paraId="7C92B615" w14:textId="77777777" w:rsidR="0038356E" w:rsidRPr="00B313D0" w:rsidRDefault="0038356E" w:rsidP="00B313D0">
            <w:pPr>
              <w:spacing w:line="100" w:lineRule="atLeast"/>
              <w:rPr>
                <w:sz w:val="20"/>
                <w:szCs w:val="20"/>
                <w:vertAlign w:val="superscript"/>
              </w:rPr>
            </w:pPr>
            <w:r w:rsidRPr="00B313D0">
              <w:rPr>
                <w:sz w:val="20"/>
                <w:szCs w:val="20"/>
              </w:rPr>
              <w:t xml:space="preserve">Considera que não tem dinheiro suficiente </w:t>
            </w:r>
          </w:p>
          <w:p w14:paraId="23602C75" w14:textId="77777777" w:rsidR="0038356E" w:rsidRPr="00B313D0" w:rsidRDefault="0038356E" w:rsidP="00B313D0">
            <w:pPr>
              <w:spacing w:line="100" w:lineRule="atLeast"/>
              <w:rPr>
                <w:sz w:val="20"/>
                <w:szCs w:val="20"/>
                <w:vertAlign w:val="superscript"/>
              </w:rPr>
            </w:pPr>
          </w:p>
          <w:p w14:paraId="3B965367" w14:textId="77777777" w:rsidR="0038356E" w:rsidRPr="00B313D0" w:rsidRDefault="0038356E" w:rsidP="00B313D0">
            <w:pPr>
              <w:spacing w:line="100" w:lineRule="atLeast"/>
              <w:rPr>
                <w:sz w:val="20"/>
                <w:szCs w:val="20"/>
              </w:rPr>
            </w:pPr>
            <w:r w:rsidRPr="00B313D0">
              <w:rPr>
                <w:sz w:val="20"/>
                <w:szCs w:val="20"/>
              </w:rPr>
              <w:t>TMC</w:t>
            </w:r>
          </w:p>
        </w:tc>
        <w:tc>
          <w:tcPr>
            <w:tcW w:w="708" w:type="dxa"/>
            <w:tcBorders>
              <w:top w:val="single" w:sz="4" w:space="0" w:color="auto"/>
              <w:left w:val="nil"/>
              <w:bottom w:val="single" w:sz="4" w:space="0" w:color="auto"/>
              <w:right w:val="nil"/>
            </w:tcBorders>
          </w:tcPr>
          <w:p w14:paraId="110A7A86" w14:textId="77777777" w:rsidR="0038356E" w:rsidRPr="00B313D0" w:rsidRDefault="0038356E" w:rsidP="00B313D0">
            <w:pPr>
              <w:spacing w:line="100" w:lineRule="atLeast"/>
              <w:rPr>
                <w:sz w:val="20"/>
                <w:szCs w:val="20"/>
              </w:rPr>
            </w:pPr>
          </w:p>
          <w:p w14:paraId="5A0B33EE" w14:textId="77777777" w:rsidR="0038356E" w:rsidRPr="00B313D0" w:rsidRDefault="0038356E" w:rsidP="00B313D0">
            <w:pPr>
              <w:spacing w:line="100" w:lineRule="atLeast"/>
              <w:rPr>
                <w:sz w:val="20"/>
                <w:szCs w:val="20"/>
              </w:rPr>
            </w:pPr>
            <w:r w:rsidRPr="00B313D0">
              <w:rPr>
                <w:sz w:val="20"/>
                <w:szCs w:val="20"/>
              </w:rPr>
              <w:t>Sim</w:t>
            </w:r>
          </w:p>
          <w:p w14:paraId="7AD415B6" w14:textId="77777777" w:rsidR="0038356E" w:rsidRPr="00B313D0" w:rsidRDefault="0038356E" w:rsidP="00B313D0">
            <w:pPr>
              <w:spacing w:line="100" w:lineRule="atLeast"/>
              <w:rPr>
                <w:sz w:val="20"/>
                <w:szCs w:val="20"/>
              </w:rPr>
            </w:pPr>
            <w:r w:rsidRPr="00B313D0">
              <w:rPr>
                <w:sz w:val="20"/>
                <w:szCs w:val="20"/>
              </w:rPr>
              <w:t>Não</w:t>
            </w:r>
          </w:p>
          <w:p w14:paraId="3551E8AB" w14:textId="77777777" w:rsidR="0038356E" w:rsidRPr="00B313D0" w:rsidRDefault="0038356E" w:rsidP="00B313D0">
            <w:pPr>
              <w:spacing w:line="100" w:lineRule="atLeast"/>
              <w:rPr>
                <w:sz w:val="20"/>
                <w:szCs w:val="20"/>
              </w:rPr>
            </w:pPr>
          </w:p>
          <w:p w14:paraId="2257C436" w14:textId="77777777" w:rsidR="0038356E" w:rsidRPr="00B313D0" w:rsidRDefault="0038356E" w:rsidP="00B313D0">
            <w:pPr>
              <w:spacing w:line="100" w:lineRule="atLeast"/>
              <w:rPr>
                <w:sz w:val="20"/>
                <w:szCs w:val="20"/>
              </w:rPr>
            </w:pPr>
            <w:r w:rsidRPr="00B313D0">
              <w:rPr>
                <w:sz w:val="20"/>
                <w:szCs w:val="20"/>
              </w:rPr>
              <w:t>Sim</w:t>
            </w:r>
          </w:p>
          <w:p w14:paraId="1C0F0829" w14:textId="77777777" w:rsidR="0038356E" w:rsidRPr="00B313D0" w:rsidRDefault="0038356E" w:rsidP="00B313D0">
            <w:pPr>
              <w:spacing w:line="100" w:lineRule="atLeast"/>
              <w:rPr>
                <w:sz w:val="20"/>
                <w:szCs w:val="20"/>
              </w:rPr>
            </w:pPr>
            <w:r w:rsidRPr="00B313D0">
              <w:rPr>
                <w:sz w:val="20"/>
                <w:szCs w:val="20"/>
              </w:rPr>
              <w:t>Não</w:t>
            </w:r>
          </w:p>
          <w:p w14:paraId="07B8DDBF" w14:textId="77777777" w:rsidR="0038356E" w:rsidRPr="00B313D0" w:rsidRDefault="0038356E" w:rsidP="00B313D0">
            <w:pPr>
              <w:spacing w:line="100" w:lineRule="atLeast"/>
              <w:rPr>
                <w:sz w:val="20"/>
                <w:szCs w:val="20"/>
              </w:rPr>
            </w:pPr>
          </w:p>
        </w:tc>
        <w:tc>
          <w:tcPr>
            <w:tcW w:w="992" w:type="dxa"/>
            <w:tcBorders>
              <w:top w:val="single" w:sz="4" w:space="0" w:color="auto"/>
              <w:left w:val="nil"/>
              <w:bottom w:val="single" w:sz="4" w:space="0" w:color="auto"/>
              <w:right w:val="nil"/>
            </w:tcBorders>
          </w:tcPr>
          <w:p w14:paraId="5A1F9B7D" w14:textId="77777777" w:rsidR="0038356E" w:rsidRPr="00B313D0" w:rsidRDefault="0038356E" w:rsidP="00B313D0">
            <w:pPr>
              <w:spacing w:line="100" w:lineRule="atLeast"/>
              <w:jc w:val="center"/>
              <w:rPr>
                <w:iCs/>
                <w:sz w:val="20"/>
                <w:szCs w:val="20"/>
              </w:rPr>
            </w:pPr>
          </w:p>
          <w:p w14:paraId="099CDF9B" w14:textId="77777777" w:rsidR="0038356E" w:rsidRPr="00B313D0" w:rsidRDefault="0038356E" w:rsidP="00B313D0">
            <w:pPr>
              <w:spacing w:line="100" w:lineRule="atLeast"/>
              <w:jc w:val="center"/>
              <w:rPr>
                <w:iCs/>
                <w:sz w:val="20"/>
                <w:szCs w:val="20"/>
              </w:rPr>
            </w:pPr>
            <w:r w:rsidRPr="00B313D0">
              <w:rPr>
                <w:iCs/>
                <w:sz w:val="20"/>
                <w:szCs w:val="20"/>
              </w:rPr>
              <w:t>51,2</w:t>
            </w:r>
          </w:p>
          <w:p w14:paraId="623B04F0" w14:textId="77777777" w:rsidR="0038356E" w:rsidRPr="00B313D0" w:rsidRDefault="0038356E" w:rsidP="00B313D0">
            <w:pPr>
              <w:spacing w:line="100" w:lineRule="atLeast"/>
              <w:jc w:val="center"/>
              <w:rPr>
                <w:iCs/>
                <w:sz w:val="20"/>
                <w:szCs w:val="20"/>
              </w:rPr>
            </w:pPr>
            <w:r w:rsidRPr="00B313D0">
              <w:rPr>
                <w:iCs/>
                <w:sz w:val="20"/>
                <w:szCs w:val="20"/>
              </w:rPr>
              <w:t>32,1</w:t>
            </w:r>
          </w:p>
          <w:p w14:paraId="0D395DE8" w14:textId="77777777" w:rsidR="0038356E" w:rsidRPr="00B313D0" w:rsidRDefault="0038356E" w:rsidP="00B313D0">
            <w:pPr>
              <w:spacing w:line="100" w:lineRule="atLeast"/>
              <w:jc w:val="center"/>
              <w:rPr>
                <w:iCs/>
                <w:sz w:val="20"/>
                <w:szCs w:val="20"/>
              </w:rPr>
            </w:pPr>
          </w:p>
          <w:p w14:paraId="6CD44447" w14:textId="77777777" w:rsidR="0038356E" w:rsidRPr="00B313D0" w:rsidRDefault="0038356E" w:rsidP="00B313D0">
            <w:pPr>
              <w:spacing w:line="100" w:lineRule="atLeast"/>
              <w:jc w:val="center"/>
              <w:rPr>
                <w:sz w:val="20"/>
                <w:szCs w:val="20"/>
              </w:rPr>
            </w:pPr>
            <w:r w:rsidRPr="00B313D0">
              <w:rPr>
                <w:sz w:val="20"/>
                <w:szCs w:val="20"/>
              </w:rPr>
              <w:t>39,6</w:t>
            </w:r>
          </w:p>
          <w:p w14:paraId="264C3E12" w14:textId="77777777" w:rsidR="0038356E" w:rsidRPr="00B313D0" w:rsidRDefault="0038356E" w:rsidP="00B313D0">
            <w:pPr>
              <w:spacing w:line="100" w:lineRule="atLeast"/>
              <w:jc w:val="center"/>
              <w:rPr>
                <w:iCs/>
                <w:sz w:val="20"/>
                <w:szCs w:val="20"/>
              </w:rPr>
            </w:pPr>
            <w:r w:rsidRPr="00B313D0">
              <w:rPr>
                <w:sz w:val="20"/>
                <w:szCs w:val="20"/>
              </w:rPr>
              <w:t>48,7</w:t>
            </w:r>
          </w:p>
        </w:tc>
        <w:tc>
          <w:tcPr>
            <w:tcW w:w="708" w:type="dxa"/>
            <w:tcBorders>
              <w:top w:val="single" w:sz="4" w:space="0" w:color="auto"/>
              <w:left w:val="nil"/>
              <w:bottom w:val="single" w:sz="4" w:space="0" w:color="auto"/>
              <w:right w:val="nil"/>
            </w:tcBorders>
          </w:tcPr>
          <w:p w14:paraId="55F61021" w14:textId="77777777" w:rsidR="0038356E" w:rsidRPr="00B313D0" w:rsidRDefault="0038356E" w:rsidP="00B313D0">
            <w:pPr>
              <w:spacing w:line="100" w:lineRule="atLeast"/>
              <w:jc w:val="center"/>
              <w:rPr>
                <w:iCs/>
                <w:sz w:val="20"/>
                <w:szCs w:val="20"/>
              </w:rPr>
            </w:pPr>
          </w:p>
          <w:p w14:paraId="5BD5A8CA" w14:textId="77777777" w:rsidR="0038356E" w:rsidRPr="00B313D0" w:rsidRDefault="0038356E" w:rsidP="00B313D0">
            <w:pPr>
              <w:spacing w:line="100" w:lineRule="atLeast"/>
              <w:jc w:val="center"/>
              <w:rPr>
                <w:iCs/>
                <w:sz w:val="20"/>
                <w:szCs w:val="20"/>
              </w:rPr>
            </w:pPr>
            <w:r w:rsidRPr="00B313D0">
              <w:rPr>
                <w:iCs/>
                <w:sz w:val="20"/>
                <w:szCs w:val="20"/>
              </w:rPr>
              <w:t>48,8</w:t>
            </w:r>
          </w:p>
          <w:p w14:paraId="2EB92F51" w14:textId="77777777" w:rsidR="0038356E" w:rsidRPr="00B313D0" w:rsidRDefault="0038356E" w:rsidP="00B313D0">
            <w:pPr>
              <w:spacing w:line="100" w:lineRule="atLeast"/>
              <w:jc w:val="center"/>
              <w:rPr>
                <w:iCs/>
                <w:sz w:val="20"/>
                <w:szCs w:val="20"/>
              </w:rPr>
            </w:pPr>
            <w:r w:rsidRPr="00B313D0">
              <w:rPr>
                <w:iCs/>
                <w:sz w:val="20"/>
                <w:szCs w:val="20"/>
              </w:rPr>
              <w:t>67,9</w:t>
            </w:r>
          </w:p>
          <w:p w14:paraId="1158F96A" w14:textId="77777777" w:rsidR="0038356E" w:rsidRPr="00B313D0" w:rsidRDefault="0038356E" w:rsidP="00B313D0">
            <w:pPr>
              <w:spacing w:line="100" w:lineRule="atLeast"/>
              <w:jc w:val="center"/>
              <w:rPr>
                <w:iCs/>
                <w:sz w:val="20"/>
                <w:szCs w:val="20"/>
              </w:rPr>
            </w:pPr>
          </w:p>
          <w:p w14:paraId="1D6519D2" w14:textId="77777777" w:rsidR="0038356E" w:rsidRPr="00B313D0" w:rsidRDefault="0038356E" w:rsidP="00B313D0">
            <w:pPr>
              <w:spacing w:line="100" w:lineRule="atLeast"/>
              <w:jc w:val="center"/>
              <w:rPr>
                <w:sz w:val="20"/>
                <w:szCs w:val="20"/>
              </w:rPr>
            </w:pPr>
            <w:r w:rsidRPr="00B313D0">
              <w:rPr>
                <w:sz w:val="20"/>
                <w:szCs w:val="20"/>
              </w:rPr>
              <w:t>60,4</w:t>
            </w:r>
          </w:p>
          <w:p w14:paraId="4A9C5D9D" w14:textId="77777777" w:rsidR="0038356E" w:rsidRPr="00B313D0" w:rsidRDefault="0038356E" w:rsidP="00B313D0">
            <w:pPr>
              <w:spacing w:line="100" w:lineRule="atLeast"/>
              <w:jc w:val="center"/>
              <w:rPr>
                <w:iCs/>
                <w:sz w:val="20"/>
                <w:szCs w:val="20"/>
              </w:rPr>
            </w:pPr>
            <w:r w:rsidRPr="00B313D0">
              <w:rPr>
                <w:sz w:val="20"/>
                <w:szCs w:val="20"/>
              </w:rPr>
              <w:t>51,3</w:t>
            </w:r>
          </w:p>
        </w:tc>
        <w:tc>
          <w:tcPr>
            <w:tcW w:w="850" w:type="dxa"/>
            <w:tcBorders>
              <w:top w:val="single" w:sz="4" w:space="0" w:color="auto"/>
              <w:left w:val="nil"/>
              <w:bottom w:val="single" w:sz="4" w:space="0" w:color="auto"/>
              <w:right w:val="nil"/>
            </w:tcBorders>
          </w:tcPr>
          <w:p w14:paraId="6BC01F15" w14:textId="77777777" w:rsidR="0038356E" w:rsidRPr="00B313D0" w:rsidRDefault="0038356E" w:rsidP="00B313D0">
            <w:pPr>
              <w:spacing w:line="100" w:lineRule="atLeast"/>
              <w:jc w:val="center"/>
              <w:rPr>
                <w:sz w:val="20"/>
                <w:szCs w:val="20"/>
              </w:rPr>
            </w:pPr>
          </w:p>
          <w:p w14:paraId="44755AAB" w14:textId="77777777" w:rsidR="0038356E" w:rsidRPr="00B313D0" w:rsidRDefault="0038356E" w:rsidP="00B313D0">
            <w:pPr>
              <w:spacing w:line="100" w:lineRule="atLeast"/>
              <w:jc w:val="center"/>
              <w:rPr>
                <w:sz w:val="20"/>
                <w:szCs w:val="20"/>
              </w:rPr>
            </w:pPr>
            <w:r w:rsidRPr="00B313D0">
              <w:rPr>
                <w:sz w:val="20"/>
                <w:szCs w:val="20"/>
              </w:rPr>
              <w:t>18,1(1)</w:t>
            </w:r>
          </w:p>
          <w:p w14:paraId="65243DA4" w14:textId="77777777" w:rsidR="0038356E" w:rsidRPr="00B313D0" w:rsidRDefault="0038356E" w:rsidP="00B313D0">
            <w:pPr>
              <w:spacing w:line="100" w:lineRule="atLeast"/>
              <w:jc w:val="center"/>
              <w:rPr>
                <w:sz w:val="20"/>
                <w:szCs w:val="20"/>
              </w:rPr>
            </w:pPr>
          </w:p>
          <w:p w14:paraId="3A5DAF85" w14:textId="77777777" w:rsidR="0038356E" w:rsidRPr="00B313D0" w:rsidRDefault="0038356E" w:rsidP="00B313D0">
            <w:pPr>
              <w:spacing w:line="100" w:lineRule="atLeast"/>
              <w:jc w:val="center"/>
              <w:rPr>
                <w:sz w:val="20"/>
                <w:szCs w:val="20"/>
              </w:rPr>
            </w:pPr>
          </w:p>
          <w:p w14:paraId="37234D38" w14:textId="77777777" w:rsidR="0038356E" w:rsidRPr="00B313D0" w:rsidRDefault="0038356E" w:rsidP="00B313D0">
            <w:pPr>
              <w:spacing w:line="100" w:lineRule="atLeast"/>
              <w:jc w:val="center"/>
              <w:rPr>
                <w:sz w:val="20"/>
                <w:szCs w:val="20"/>
              </w:rPr>
            </w:pPr>
            <w:r w:rsidRPr="00B313D0">
              <w:rPr>
                <w:sz w:val="20"/>
                <w:szCs w:val="20"/>
              </w:rPr>
              <w:t>4,5(1)</w:t>
            </w:r>
          </w:p>
          <w:p w14:paraId="60563742" w14:textId="77777777" w:rsidR="0038356E" w:rsidRPr="00B313D0" w:rsidRDefault="0038356E" w:rsidP="00B313D0">
            <w:pPr>
              <w:spacing w:line="100" w:lineRule="atLeast"/>
              <w:jc w:val="center"/>
              <w:rPr>
                <w:sz w:val="20"/>
                <w:szCs w:val="20"/>
              </w:rPr>
            </w:pPr>
          </w:p>
        </w:tc>
        <w:tc>
          <w:tcPr>
            <w:tcW w:w="850" w:type="dxa"/>
            <w:gridSpan w:val="2"/>
            <w:tcBorders>
              <w:top w:val="single" w:sz="4" w:space="0" w:color="auto"/>
              <w:left w:val="nil"/>
              <w:bottom w:val="single" w:sz="4" w:space="0" w:color="auto"/>
              <w:right w:val="nil"/>
            </w:tcBorders>
          </w:tcPr>
          <w:p w14:paraId="6692B79D" w14:textId="77777777" w:rsidR="0038356E" w:rsidRPr="00B313D0" w:rsidRDefault="0038356E" w:rsidP="00B313D0">
            <w:pPr>
              <w:spacing w:line="100" w:lineRule="atLeast"/>
              <w:jc w:val="center"/>
              <w:rPr>
                <w:sz w:val="20"/>
                <w:szCs w:val="20"/>
              </w:rPr>
            </w:pPr>
          </w:p>
          <w:p w14:paraId="259AFDAB" w14:textId="77777777" w:rsidR="0038356E" w:rsidRPr="00B313D0" w:rsidRDefault="0038356E" w:rsidP="00B313D0">
            <w:pPr>
              <w:spacing w:line="100" w:lineRule="atLeast"/>
              <w:jc w:val="center"/>
              <w:rPr>
                <w:sz w:val="20"/>
                <w:szCs w:val="20"/>
              </w:rPr>
            </w:pPr>
            <w:r w:rsidRPr="00B313D0">
              <w:rPr>
                <w:sz w:val="20"/>
                <w:szCs w:val="20"/>
              </w:rPr>
              <w:t>0,000</w:t>
            </w:r>
          </w:p>
          <w:p w14:paraId="460257B9" w14:textId="77777777" w:rsidR="0038356E" w:rsidRPr="00B313D0" w:rsidRDefault="0038356E" w:rsidP="00B313D0">
            <w:pPr>
              <w:spacing w:line="100" w:lineRule="atLeast"/>
              <w:jc w:val="center"/>
              <w:rPr>
                <w:sz w:val="20"/>
                <w:szCs w:val="20"/>
              </w:rPr>
            </w:pPr>
          </w:p>
          <w:p w14:paraId="62EC1C70" w14:textId="77777777" w:rsidR="0038356E" w:rsidRPr="00B313D0" w:rsidRDefault="0038356E" w:rsidP="00B313D0">
            <w:pPr>
              <w:spacing w:line="100" w:lineRule="atLeast"/>
              <w:jc w:val="center"/>
              <w:rPr>
                <w:sz w:val="20"/>
                <w:szCs w:val="20"/>
              </w:rPr>
            </w:pPr>
          </w:p>
          <w:p w14:paraId="170BD26D" w14:textId="77777777" w:rsidR="0038356E" w:rsidRPr="00B313D0" w:rsidRDefault="0038356E" w:rsidP="00B313D0">
            <w:pPr>
              <w:spacing w:line="100" w:lineRule="atLeast"/>
              <w:jc w:val="center"/>
              <w:rPr>
                <w:sz w:val="20"/>
                <w:szCs w:val="20"/>
              </w:rPr>
            </w:pPr>
            <w:r w:rsidRPr="00B313D0">
              <w:rPr>
                <w:sz w:val="20"/>
                <w:szCs w:val="20"/>
              </w:rPr>
              <w:t>0,034</w:t>
            </w:r>
          </w:p>
        </w:tc>
        <w:tc>
          <w:tcPr>
            <w:tcW w:w="1559" w:type="dxa"/>
            <w:tcBorders>
              <w:top w:val="single" w:sz="4" w:space="0" w:color="auto"/>
              <w:left w:val="nil"/>
              <w:bottom w:val="single" w:sz="4" w:space="0" w:color="auto"/>
              <w:right w:val="nil"/>
            </w:tcBorders>
          </w:tcPr>
          <w:p w14:paraId="3B945BFE" w14:textId="77777777" w:rsidR="0038356E" w:rsidRPr="00B313D0" w:rsidRDefault="0038356E" w:rsidP="00B313D0">
            <w:pPr>
              <w:spacing w:line="100" w:lineRule="atLeast"/>
              <w:jc w:val="center"/>
              <w:rPr>
                <w:sz w:val="20"/>
                <w:szCs w:val="20"/>
              </w:rPr>
            </w:pPr>
          </w:p>
          <w:p w14:paraId="4599E22F" w14:textId="77777777" w:rsidR="0038356E" w:rsidRPr="00B313D0" w:rsidRDefault="0038356E" w:rsidP="00B313D0">
            <w:pPr>
              <w:spacing w:line="100" w:lineRule="atLeast"/>
              <w:jc w:val="center"/>
              <w:rPr>
                <w:sz w:val="20"/>
                <w:szCs w:val="20"/>
                <w:vertAlign w:val="superscript"/>
              </w:rPr>
            </w:pPr>
            <w:r w:rsidRPr="00B313D0">
              <w:rPr>
                <w:sz w:val="20"/>
                <w:szCs w:val="20"/>
              </w:rPr>
              <w:t>0,179</w:t>
            </w:r>
            <w:r w:rsidRPr="00B313D0">
              <w:rPr>
                <w:sz w:val="20"/>
                <w:szCs w:val="20"/>
                <w:vertAlign w:val="superscript"/>
              </w:rPr>
              <w:t xml:space="preserve"> F</w:t>
            </w:r>
          </w:p>
          <w:p w14:paraId="3B8706C8" w14:textId="77777777" w:rsidR="0038356E" w:rsidRPr="00B313D0" w:rsidRDefault="0038356E" w:rsidP="00B313D0">
            <w:pPr>
              <w:spacing w:line="100" w:lineRule="atLeast"/>
              <w:jc w:val="center"/>
              <w:rPr>
                <w:sz w:val="20"/>
                <w:szCs w:val="20"/>
                <w:vertAlign w:val="superscript"/>
              </w:rPr>
            </w:pPr>
          </w:p>
          <w:p w14:paraId="461BFB1A" w14:textId="77777777" w:rsidR="0038356E" w:rsidRPr="00B313D0" w:rsidRDefault="0038356E" w:rsidP="00B313D0">
            <w:pPr>
              <w:spacing w:line="100" w:lineRule="atLeast"/>
              <w:jc w:val="center"/>
              <w:rPr>
                <w:sz w:val="20"/>
                <w:szCs w:val="20"/>
                <w:vertAlign w:val="superscript"/>
              </w:rPr>
            </w:pPr>
          </w:p>
          <w:p w14:paraId="3A7CE31F" w14:textId="77777777" w:rsidR="0038356E" w:rsidRPr="00B313D0" w:rsidRDefault="0038356E" w:rsidP="00B313D0">
            <w:pPr>
              <w:spacing w:line="100" w:lineRule="atLeast"/>
              <w:jc w:val="center"/>
              <w:rPr>
                <w:sz w:val="20"/>
                <w:szCs w:val="20"/>
              </w:rPr>
            </w:pPr>
            <w:r w:rsidRPr="00B313D0">
              <w:rPr>
                <w:sz w:val="20"/>
                <w:szCs w:val="20"/>
              </w:rPr>
              <w:t>0,073</w:t>
            </w:r>
            <w:r w:rsidRPr="00B313D0">
              <w:rPr>
                <w:sz w:val="20"/>
                <w:szCs w:val="20"/>
                <w:vertAlign w:val="superscript"/>
              </w:rPr>
              <w:t xml:space="preserve"> F</w:t>
            </w:r>
          </w:p>
        </w:tc>
      </w:tr>
    </w:tbl>
    <w:p w14:paraId="0452E77C" w14:textId="77777777" w:rsidR="0038356E" w:rsidRPr="00B313D0" w:rsidRDefault="0038356E" w:rsidP="00B313D0">
      <w:pPr>
        <w:spacing w:line="100" w:lineRule="atLeast"/>
        <w:jc w:val="both"/>
        <w:rPr>
          <w:i/>
          <w:iCs/>
          <w:sz w:val="20"/>
          <w:szCs w:val="20"/>
        </w:rPr>
      </w:pPr>
      <w:r w:rsidRPr="00B313D0">
        <w:rPr>
          <w:sz w:val="20"/>
          <w:szCs w:val="20"/>
        </w:rPr>
        <w:t xml:space="preserve">* P valor: nível de significância ≤ 0.05; </w:t>
      </w:r>
      <w:r w:rsidRPr="00B313D0">
        <w:rPr>
          <w:sz w:val="20"/>
          <w:szCs w:val="20"/>
          <w:vertAlign w:val="superscript"/>
        </w:rPr>
        <w:t>F</w:t>
      </w:r>
      <w:r w:rsidRPr="00B313D0">
        <w:rPr>
          <w:sz w:val="20"/>
          <w:szCs w:val="20"/>
        </w:rPr>
        <w:t xml:space="preserve"> V de Cramer (tamanho de efeito) = Fraco (&lt;0,3).</w:t>
      </w:r>
    </w:p>
    <w:p w14:paraId="7B873CCF" w14:textId="747A8BE5" w:rsidR="0038356E" w:rsidRDefault="0038356E" w:rsidP="00B313D0">
      <w:pPr>
        <w:spacing w:line="100" w:lineRule="atLeast"/>
        <w:rPr>
          <w:i/>
          <w:iCs/>
          <w:sz w:val="20"/>
          <w:szCs w:val="20"/>
        </w:rPr>
      </w:pPr>
      <w:r w:rsidRPr="00B313D0">
        <w:rPr>
          <w:i/>
          <w:iCs/>
          <w:sz w:val="20"/>
          <w:szCs w:val="20"/>
        </w:rPr>
        <w:t>Nota</w:t>
      </w:r>
      <w:r w:rsidRPr="00B313D0">
        <w:rPr>
          <w:sz w:val="20"/>
          <w:szCs w:val="20"/>
        </w:rPr>
        <w:t xml:space="preserve">: </w:t>
      </w:r>
      <w:r w:rsidRPr="00B313D0">
        <w:rPr>
          <w:rFonts w:ascii="Symbol" w:hAnsi="Symbol"/>
          <w:i/>
          <w:iCs/>
          <w:sz w:val="20"/>
          <w:szCs w:val="20"/>
        </w:rPr>
        <w:t></w:t>
      </w:r>
      <w:r w:rsidRPr="00B313D0">
        <w:rPr>
          <w:i/>
          <w:iCs/>
          <w:sz w:val="20"/>
          <w:szCs w:val="20"/>
          <w:vertAlign w:val="superscript"/>
        </w:rPr>
        <w:t xml:space="preserve">2 </w:t>
      </w:r>
      <w:r w:rsidRPr="00B313D0">
        <w:rPr>
          <w:rFonts w:ascii="Arial" w:hAnsi="Arial" w:cs="Arial"/>
          <w:i/>
          <w:iCs/>
          <w:sz w:val="20"/>
          <w:szCs w:val="20"/>
          <w:vertAlign w:val="superscript"/>
        </w:rPr>
        <w:t xml:space="preserve">= </w:t>
      </w:r>
      <w:r w:rsidRPr="00B313D0">
        <w:rPr>
          <w:i/>
          <w:iCs/>
          <w:sz w:val="20"/>
          <w:szCs w:val="20"/>
        </w:rPr>
        <w:t>qui-quadrado; gl = graus de liberdade</w:t>
      </w:r>
      <w:r w:rsidR="00B313D0" w:rsidRPr="00B313D0">
        <w:rPr>
          <w:i/>
          <w:iCs/>
          <w:sz w:val="20"/>
          <w:szCs w:val="20"/>
        </w:rPr>
        <w:t>;</w:t>
      </w:r>
      <w:r w:rsidR="00B313D0">
        <w:rPr>
          <w:i/>
          <w:iCs/>
          <w:sz w:val="20"/>
          <w:szCs w:val="20"/>
        </w:rPr>
        <w:t xml:space="preserve"> </w:t>
      </w:r>
    </w:p>
    <w:p w14:paraId="0E34DD52" w14:textId="77777777" w:rsidR="0038356E" w:rsidRDefault="0038356E" w:rsidP="00B313D0">
      <w:pPr>
        <w:spacing w:line="100" w:lineRule="atLeast"/>
        <w:jc w:val="both"/>
      </w:pPr>
      <w:r>
        <w:tab/>
      </w:r>
    </w:p>
    <w:p w14:paraId="1D1B39AE" w14:textId="77777777" w:rsidR="0038356E" w:rsidRPr="00B10BA9" w:rsidRDefault="0038356E" w:rsidP="00B313D0">
      <w:pPr>
        <w:spacing w:line="360" w:lineRule="auto"/>
        <w:ind w:right="139"/>
        <w:jc w:val="both"/>
      </w:pPr>
      <w:r w:rsidRPr="00B10BA9">
        <w:tab/>
      </w:r>
    </w:p>
    <w:p w14:paraId="3880861A" w14:textId="77777777" w:rsidR="0038356E" w:rsidRPr="00B10BA9" w:rsidRDefault="0038356E" w:rsidP="00B313D0">
      <w:pPr>
        <w:spacing w:line="360" w:lineRule="auto"/>
        <w:ind w:right="142" w:firstLine="720"/>
        <w:jc w:val="both"/>
      </w:pPr>
      <w:r w:rsidRPr="682190EC">
        <w:t xml:space="preserve">Os resultados mostraram diferenças por raça/cor quanto à renda, escolaridade e saúde geral percebida. As mulheres brancas apresentaram os melhores índices de renda, escolaridade e saúde percebida, as pretas os piores índices de renda e escolaridade e as pardas os piores índices de saúde geral percebida. A tabela 2 mostra o resultado do teste </w:t>
      </w:r>
      <w:r w:rsidRPr="682190EC">
        <w:rPr>
          <w:i/>
          <w:iCs/>
        </w:rPr>
        <w:t>t</w:t>
      </w:r>
      <w:r w:rsidRPr="682190EC">
        <w:t xml:space="preserve"> de Student para essas diferenças. </w:t>
      </w:r>
      <w:r w:rsidRPr="682190EC">
        <w:lastRenderedPageBreak/>
        <w:t>Cabe destacar que, com exceção da renda para as mulheres brancas, as outras diferenças apresentaram tamanho de efeito pequeno.</w:t>
      </w:r>
    </w:p>
    <w:p w14:paraId="6377C9BA" w14:textId="77777777" w:rsidR="00BF0291" w:rsidRDefault="00BF0291" w:rsidP="00B313D0">
      <w:pPr>
        <w:spacing w:line="0" w:lineRule="atLeast"/>
        <w:ind w:right="139"/>
        <w:jc w:val="both"/>
        <w:rPr>
          <w:sz w:val="20"/>
          <w:szCs w:val="20"/>
          <w:shd w:val="clear" w:color="auto" w:fill="FFFFFF"/>
        </w:rPr>
      </w:pPr>
    </w:p>
    <w:p w14:paraId="269218DE" w14:textId="77777777" w:rsidR="0038356E" w:rsidRPr="00B313D0" w:rsidRDefault="0038356E" w:rsidP="00B313D0">
      <w:pPr>
        <w:spacing w:line="0" w:lineRule="atLeast"/>
        <w:ind w:right="139"/>
        <w:jc w:val="both"/>
        <w:rPr>
          <w:sz w:val="20"/>
          <w:szCs w:val="20"/>
          <w:shd w:val="clear" w:color="auto" w:fill="FFFFFF"/>
        </w:rPr>
      </w:pPr>
      <w:r w:rsidRPr="00B313D0">
        <w:rPr>
          <w:sz w:val="20"/>
          <w:szCs w:val="20"/>
          <w:shd w:val="clear" w:color="auto" w:fill="FFFFFF"/>
        </w:rPr>
        <w:t>Tabela 2</w:t>
      </w:r>
    </w:p>
    <w:p w14:paraId="4DD0B239" w14:textId="77777777" w:rsidR="0038356E" w:rsidRDefault="0038356E" w:rsidP="00B313D0">
      <w:pPr>
        <w:spacing w:line="0" w:lineRule="atLeast"/>
        <w:rPr>
          <w:i/>
          <w:sz w:val="20"/>
          <w:szCs w:val="20"/>
        </w:rPr>
      </w:pPr>
      <w:r w:rsidRPr="00B313D0">
        <w:rPr>
          <w:i/>
          <w:sz w:val="20"/>
          <w:szCs w:val="20"/>
        </w:rPr>
        <w:t xml:space="preserve">Resultados do teste de diferença entre os grupos de raça/cor </w:t>
      </w:r>
    </w:p>
    <w:p w14:paraId="5C45F0E0" w14:textId="77777777" w:rsidR="00B313D0" w:rsidRPr="00B313D0" w:rsidRDefault="00B313D0" w:rsidP="00B313D0">
      <w:pPr>
        <w:spacing w:line="0" w:lineRule="atLeast"/>
        <w:rPr>
          <w:i/>
          <w:sz w:val="20"/>
          <w:szCs w:val="20"/>
        </w:rPr>
      </w:pPr>
    </w:p>
    <w:tbl>
      <w:tblPr>
        <w:tblW w:w="8640" w:type="dxa"/>
        <w:tblInd w:w="284" w:type="dxa"/>
        <w:tblLayout w:type="fixed"/>
        <w:tblCellMar>
          <w:left w:w="0" w:type="dxa"/>
          <w:right w:w="0" w:type="dxa"/>
        </w:tblCellMar>
        <w:tblLook w:val="04A0" w:firstRow="1" w:lastRow="0" w:firstColumn="1" w:lastColumn="0" w:noHBand="0" w:noVBand="1"/>
      </w:tblPr>
      <w:tblGrid>
        <w:gridCol w:w="986"/>
        <w:gridCol w:w="567"/>
        <w:gridCol w:w="1422"/>
        <w:gridCol w:w="991"/>
        <w:gridCol w:w="567"/>
        <w:gridCol w:w="991"/>
        <w:gridCol w:w="1133"/>
        <w:gridCol w:w="991"/>
        <w:gridCol w:w="992"/>
      </w:tblGrid>
      <w:tr w:rsidR="0038356E" w:rsidRPr="00B313D0" w14:paraId="4B361FA4" w14:textId="77777777" w:rsidTr="00A73E64">
        <w:trPr>
          <w:cantSplit/>
        </w:trPr>
        <w:tc>
          <w:tcPr>
            <w:tcW w:w="1554" w:type="dxa"/>
            <w:gridSpan w:val="2"/>
            <w:vMerge w:val="restart"/>
            <w:tcBorders>
              <w:top w:val="single" w:sz="4" w:space="0" w:color="auto"/>
              <w:left w:val="nil"/>
              <w:bottom w:val="nil"/>
              <w:right w:val="nil"/>
            </w:tcBorders>
            <w:shd w:val="clear" w:color="auto" w:fill="FFFFFF" w:themeFill="background1"/>
            <w:vAlign w:val="bottom"/>
            <w:hideMark/>
          </w:tcPr>
          <w:p w14:paraId="5A5209AD" w14:textId="77777777" w:rsidR="0038356E" w:rsidRPr="00B313D0" w:rsidRDefault="0038356E" w:rsidP="00B313D0">
            <w:pPr>
              <w:spacing w:line="100" w:lineRule="atLeast"/>
              <w:jc w:val="center"/>
              <w:rPr>
                <w:sz w:val="20"/>
                <w:szCs w:val="20"/>
              </w:rPr>
            </w:pPr>
            <w:r w:rsidRPr="00B313D0">
              <w:rPr>
                <w:sz w:val="20"/>
                <w:szCs w:val="20"/>
              </w:rPr>
              <w:t>Raça/</w:t>
            </w:r>
          </w:p>
          <w:p w14:paraId="184A0AF1" w14:textId="77777777" w:rsidR="0038356E" w:rsidRPr="00B313D0" w:rsidRDefault="0038356E" w:rsidP="00B313D0">
            <w:pPr>
              <w:spacing w:line="100" w:lineRule="atLeast"/>
              <w:jc w:val="center"/>
              <w:rPr>
                <w:sz w:val="20"/>
                <w:szCs w:val="20"/>
              </w:rPr>
            </w:pPr>
            <w:r w:rsidRPr="00B313D0">
              <w:rPr>
                <w:sz w:val="20"/>
                <w:szCs w:val="20"/>
              </w:rPr>
              <w:t>cor</w:t>
            </w:r>
          </w:p>
        </w:tc>
        <w:tc>
          <w:tcPr>
            <w:tcW w:w="1423" w:type="dxa"/>
            <w:tcBorders>
              <w:top w:val="single" w:sz="4" w:space="0" w:color="auto"/>
              <w:left w:val="nil"/>
              <w:bottom w:val="single" w:sz="4" w:space="0" w:color="auto"/>
              <w:right w:val="nil"/>
            </w:tcBorders>
            <w:shd w:val="clear" w:color="auto" w:fill="FFFFFF" w:themeFill="background1"/>
            <w:vAlign w:val="bottom"/>
            <w:hideMark/>
          </w:tcPr>
          <w:p w14:paraId="6B9271E6"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Escores</w:t>
            </w:r>
          </w:p>
        </w:tc>
        <w:tc>
          <w:tcPr>
            <w:tcW w:w="4677" w:type="dxa"/>
            <w:gridSpan w:val="5"/>
            <w:tcBorders>
              <w:top w:val="single" w:sz="4" w:space="0" w:color="auto"/>
              <w:left w:val="nil"/>
              <w:bottom w:val="single" w:sz="4" w:space="0" w:color="auto"/>
              <w:right w:val="nil"/>
            </w:tcBorders>
            <w:shd w:val="clear" w:color="auto" w:fill="FFFFFF" w:themeFill="background1"/>
            <w:vAlign w:val="bottom"/>
            <w:hideMark/>
          </w:tcPr>
          <w:p w14:paraId="6C288727"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 xml:space="preserve">Estatística do teste </w:t>
            </w:r>
            <w:r w:rsidRPr="00B313D0">
              <w:rPr>
                <w:i/>
                <w:iCs/>
                <w:sz w:val="20"/>
                <w:szCs w:val="20"/>
              </w:rPr>
              <w:t>t (Bootstrapping sample)</w:t>
            </w:r>
          </w:p>
        </w:tc>
        <w:tc>
          <w:tcPr>
            <w:tcW w:w="993" w:type="dxa"/>
            <w:tcBorders>
              <w:top w:val="single" w:sz="4" w:space="0" w:color="auto"/>
              <w:left w:val="nil"/>
              <w:bottom w:val="single" w:sz="4" w:space="0" w:color="auto"/>
              <w:right w:val="nil"/>
            </w:tcBorders>
            <w:shd w:val="clear" w:color="auto" w:fill="FFFFFF" w:themeFill="background1"/>
          </w:tcPr>
          <w:p w14:paraId="69D5D415" w14:textId="77777777" w:rsidR="0038356E" w:rsidRPr="00B313D0" w:rsidRDefault="0038356E" w:rsidP="00B313D0">
            <w:pPr>
              <w:autoSpaceDE w:val="0"/>
              <w:autoSpaceDN w:val="0"/>
              <w:adjustRightInd w:val="0"/>
              <w:spacing w:line="100" w:lineRule="atLeast"/>
              <w:ind w:left="60" w:right="60"/>
              <w:jc w:val="center"/>
              <w:rPr>
                <w:sz w:val="20"/>
                <w:szCs w:val="20"/>
              </w:rPr>
            </w:pPr>
          </w:p>
        </w:tc>
      </w:tr>
      <w:tr w:rsidR="0038356E" w:rsidRPr="00B313D0" w14:paraId="179E592E" w14:textId="77777777" w:rsidTr="00A73E64">
        <w:trPr>
          <w:cantSplit/>
        </w:trPr>
        <w:tc>
          <w:tcPr>
            <w:tcW w:w="2121" w:type="dxa"/>
            <w:gridSpan w:val="2"/>
            <w:vMerge/>
            <w:vAlign w:val="center"/>
            <w:hideMark/>
          </w:tcPr>
          <w:p w14:paraId="7668B3A3" w14:textId="77777777" w:rsidR="0038356E" w:rsidRPr="00B313D0" w:rsidRDefault="0038356E" w:rsidP="00B313D0">
            <w:pPr>
              <w:spacing w:line="100" w:lineRule="atLeast"/>
              <w:rPr>
                <w:sz w:val="20"/>
                <w:szCs w:val="20"/>
              </w:rPr>
            </w:pPr>
          </w:p>
        </w:tc>
        <w:tc>
          <w:tcPr>
            <w:tcW w:w="1423" w:type="dxa"/>
            <w:vMerge w:val="restart"/>
            <w:tcBorders>
              <w:top w:val="single" w:sz="4" w:space="0" w:color="auto"/>
              <w:left w:val="nil"/>
              <w:bottom w:val="single" w:sz="4" w:space="0" w:color="auto"/>
              <w:right w:val="nil"/>
            </w:tcBorders>
            <w:shd w:val="clear" w:color="auto" w:fill="FFFFFF" w:themeFill="background1"/>
            <w:vAlign w:val="center"/>
            <w:hideMark/>
          </w:tcPr>
          <w:p w14:paraId="29C064FC" w14:textId="77777777" w:rsidR="0038356E" w:rsidRPr="00B313D0" w:rsidRDefault="0038356E" w:rsidP="00B313D0">
            <w:pPr>
              <w:autoSpaceDE w:val="0"/>
              <w:autoSpaceDN w:val="0"/>
              <w:adjustRightInd w:val="0"/>
              <w:spacing w:line="100" w:lineRule="atLeast"/>
              <w:ind w:left="60" w:right="60"/>
              <w:jc w:val="center"/>
              <w:rPr>
                <w:i/>
                <w:iCs/>
                <w:sz w:val="20"/>
                <w:szCs w:val="20"/>
              </w:rPr>
            </w:pPr>
            <w:r w:rsidRPr="00B313D0">
              <w:rPr>
                <w:i/>
                <w:iCs/>
                <w:sz w:val="20"/>
                <w:szCs w:val="20"/>
              </w:rPr>
              <w:t>M (DP)</w:t>
            </w:r>
          </w:p>
        </w:tc>
        <w:tc>
          <w:tcPr>
            <w:tcW w:w="992" w:type="dxa"/>
            <w:vMerge w:val="restart"/>
            <w:tcBorders>
              <w:top w:val="single" w:sz="4" w:space="0" w:color="auto"/>
              <w:left w:val="nil"/>
              <w:bottom w:val="single" w:sz="4" w:space="0" w:color="auto"/>
              <w:right w:val="nil"/>
            </w:tcBorders>
            <w:shd w:val="clear" w:color="auto" w:fill="FFFFFF" w:themeFill="background1"/>
            <w:vAlign w:val="center"/>
            <w:hideMark/>
          </w:tcPr>
          <w:p w14:paraId="54EED942" w14:textId="77777777" w:rsidR="0038356E" w:rsidRPr="00B313D0" w:rsidRDefault="0038356E" w:rsidP="00B313D0">
            <w:pPr>
              <w:autoSpaceDE w:val="0"/>
              <w:autoSpaceDN w:val="0"/>
              <w:adjustRightInd w:val="0"/>
              <w:spacing w:line="100" w:lineRule="atLeast"/>
              <w:ind w:left="60" w:right="60"/>
              <w:jc w:val="center"/>
              <w:rPr>
                <w:i/>
                <w:iCs/>
                <w:sz w:val="20"/>
                <w:szCs w:val="20"/>
              </w:rPr>
            </w:pPr>
            <w:r w:rsidRPr="00B313D0">
              <w:rPr>
                <w:i/>
                <w:iCs/>
                <w:sz w:val="20"/>
                <w:szCs w:val="20"/>
              </w:rPr>
              <w:t>t</w:t>
            </w:r>
          </w:p>
        </w:tc>
        <w:tc>
          <w:tcPr>
            <w:tcW w:w="567" w:type="dxa"/>
            <w:vMerge w:val="restart"/>
            <w:tcBorders>
              <w:top w:val="single" w:sz="4" w:space="0" w:color="auto"/>
              <w:left w:val="nil"/>
              <w:bottom w:val="single" w:sz="4" w:space="0" w:color="auto"/>
              <w:right w:val="nil"/>
            </w:tcBorders>
            <w:shd w:val="clear" w:color="auto" w:fill="FFFFFF" w:themeFill="background1"/>
            <w:vAlign w:val="center"/>
            <w:hideMark/>
          </w:tcPr>
          <w:p w14:paraId="6A119E47" w14:textId="77777777" w:rsidR="0038356E" w:rsidRPr="00B313D0" w:rsidRDefault="0038356E" w:rsidP="00B313D0">
            <w:pPr>
              <w:autoSpaceDE w:val="0"/>
              <w:autoSpaceDN w:val="0"/>
              <w:adjustRightInd w:val="0"/>
              <w:spacing w:line="100" w:lineRule="atLeast"/>
              <w:ind w:left="60" w:right="60"/>
              <w:jc w:val="center"/>
              <w:rPr>
                <w:i/>
                <w:iCs/>
                <w:sz w:val="20"/>
                <w:szCs w:val="20"/>
              </w:rPr>
            </w:pPr>
            <w:r w:rsidRPr="00B313D0">
              <w:rPr>
                <w:i/>
                <w:iCs/>
                <w:sz w:val="20"/>
                <w:szCs w:val="20"/>
              </w:rPr>
              <w:t>Gl</w:t>
            </w:r>
          </w:p>
        </w:tc>
        <w:tc>
          <w:tcPr>
            <w:tcW w:w="992" w:type="dxa"/>
            <w:vMerge w:val="restart"/>
            <w:tcBorders>
              <w:top w:val="single" w:sz="4" w:space="0" w:color="auto"/>
              <w:left w:val="nil"/>
              <w:bottom w:val="single" w:sz="4" w:space="0" w:color="auto"/>
              <w:right w:val="nil"/>
            </w:tcBorders>
            <w:shd w:val="clear" w:color="auto" w:fill="FFFFFF" w:themeFill="background1"/>
            <w:vAlign w:val="center"/>
            <w:hideMark/>
          </w:tcPr>
          <w:p w14:paraId="40F1F9D0"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Valor-</w:t>
            </w:r>
            <w:r w:rsidRPr="00B313D0">
              <w:rPr>
                <w:i/>
                <w:iCs/>
                <w:sz w:val="20"/>
                <w:szCs w:val="20"/>
              </w:rPr>
              <w:t>p</w:t>
            </w:r>
          </w:p>
        </w:tc>
        <w:tc>
          <w:tcPr>
            <w:tcW w:w="2126" w:type="dxa"/>
            <w:gridSpan w:val="2"/>
            <w:tcBorders>
              <w:top w:val="single" w:sz="4" w:space="0" w:color="auto"/>
              <w:left w:val="nil"/>
              <w:bottom w:val="single" w:sz="4" w:space="0" w:color="auto"/>
              <w:right w:val="nil"/>
            </w:tcBorders>
            <w:shd w:val="clear" w:color="auto" w:fill="FFFFFF" w:themeFill="background1"/>
            <w:vAlign w:val="center"/>
            <w:hideMark/>
          </w:tcPr>
          <w:p w14:paraId="1E09693F"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IC da Diferença de Média (95%)</w:t>
            </w:r>
          </w:p>
        </w:tc>
        <w:tc>
          <w:tcPr>
            <w:tcW w:w="993" w:type="dxa"/>
            <w:vMerge w:val="restart"/>
            <w:tcBorders>
              <w:top w:val="single" w:sz="4" w:space="0" w:color="auto"/>
              <w:left w:val="nil"/>
              <w:bottom w:val="nil"/>
              <w:right w:val="nil"/>
            </w:tcBorders>
            <w:shd w:val="clear" w:color="auto" w:fill="FFFFFF" w:themeFill="background1"/>
          </w:tcPr>
          <w:p w14:paraId="6A1750B4" w14:textId="77777777" w:rsidR="0038356E" w:rsidRPr="00B313D0" w:rsidRDefault="0038356E" w:rsidP="00B313D0">
            <w:pPr>
              <w:autoSpaceDE w:val="0"/>
              <w:autoSpaceDN w:val="0"/>
              <w:adjustRightInd w:val="0"/>
              <w:spacing w:line="100" w:lineRule="atLeast"/>
              <w:ind w:left="60" w:right="60"/>
              <w:jc w:val="center"/>
              <w:rPr>
                <w:i/>
                <w:iCs/>
                <w:sz w:val="20"/>
                <w:szCs w:val="20"/>
              </w:rPr>
            </w:pPr>
          </w:p>
          <w:p w14:paraId="1B7FF9C9"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i/>
                <w:iCs/>
                <w:sz w:val="20"/>
                <w:szCs w:val="20"/>
              </w:rPr>
              <w:t>d</w:t>
            </w:r>
            <w:r w:rsidRPr="00B313D0">
              <w:rPr>
                <w:sz w:val="20"/>
                <w:szCs w:val="20"/>
              </w:rPr>
              <w:t xml:space="preserve"> de Cohen</w:t>
            </w:r>
          </w:p>
        </w:tc>
      </w:tr>
      <w:tr w:rsidR="0038356E" w:rsidRPr="00B313D0" w14:paraId="2A2D1840" w14:textId="77777777" w:rsidTr="00A73E64">
        <w:trPr>
          <w:cantSplit/>
          <w:trHeight w:val="450"/>
        </w:trPr>
        <w:tc>
          <w:tcPr>
            <w:tcW w:w="2121" w:type="dxa"/>
            <w:gridSpan w:val="2"/>
            <w:vMerge/>
            <w:vAlign w:val="center"/>
            <w:hideMark/>
          </w:tcPr>
          <w:p w14:paraId="30D0064A" w14:textId="77777777" w:rsidR="0038356E" w:rsidRPr="00B313D0" w:rsidRDefault="0038356E" w:rsidP="00B313D0">
            <w:pPr>
              <w:spacing w:line="100" w:lineRule="atLeast"/>
              <w:rPr>
                <w:sz w:val="20"/>
                <w:szCs w:val="20"/>
              </w:rPr>
            </w:pPr>
          </w:p>
        </w:tc>
        <w:tc>
          <w:tcPr>
            <w:tcW w:w="1423" w:type="dxa"/>
            <w:vMerge/>
            <w:vAlign w:val="center"/>
            <w:hideMark/>
          </w:tcPr>
          <w:p w14:paraId="378E10C9" w14:textId="77777777" w:rsidR="0038356E" w:rsidRPr="00B313D0" w:rsidRDefault="0038356E" w:rsidP="00B313D0">
            <w:pPr>
              <w:spacing w:line="100" w:lineRule="atLeast"/>
              <w:rPr>
                <w:i/>
                <w:iCs/>
                <w:sz w:val="20"/>
                <w:szCs w:val="20"/>
              </w:rPr>
            </w:pPr>
          </w:p>
        </w:tc>
        <w:tc>
          <w:tcPr>
            <w:tcW w:w="4677" w:type="dxa"/>
            <w:vMerge/>
            <w:vAlign w:val="center"/>
            <w:hideMark/>
          </w:tcPr>
          <w:p w14:paraId="6026C8EF" w14:textId="77777777" w:rsidR="0038356E" w:rsidRPr="00B313D0" w:rsidRDefault="0038356E" w:rsidP="00B313D0">
            <w:pPr>
              <w:spacing w:line="100" w:lineRule="atLeast"/>
              <w:rPr>
                <w:i/>
                <w:iCs/>
                <w:sz w:val="20"/>
                <w:szCs w:val="20"/>
              </w:rPr>
            </w:pPr>
          </w:p>
        </w:tc>
        <w:tc>
          <w:tcPr>
            <w:tcW w:w="567" w:type="dxa"/>
            <w:vMerge/>
            <w:vAlign w:val="center"/>
            <w:hideMark/>
          </w:tcPr>
          <w:p w14:paraId="4AF75177" w14:textId="77777777" w:rsidR="0038356E" w:rsidRPr="00B313D0" w:rsidRDefault="0038356E" w:rsidP="00B313D0">
            <w:pPr>
              <w:spacing w:line="100" w:lineRule="atLeast"/>
              <w:rPr>
                <w:i/>
                <w:iCs/>
                <w:sz w:val="20"/>
                <w:szCs w:val="20"/>
              </w:rPr>
            </w:pPr>
          </w:p>
        </w:tc>
        <w:tc>
          <w:tcPr>
            <w:tcW w:w="992" w:type="dxa"/>
            <w:vMerge/>
            <w:vAlign w:val="center"/>
            <w:hideMark/>
          </w:tcPr>
          <w:p w14:paraId="0CFD1781" w14:textId="77777777" w:rsidR="0038356E" w:rsidRPr="00B313D0" w:rsidRDefault="0038356E" w:rsidP="00B313D0">
            <w:pPr>
              <w:spacing w:line="100" w:lineRule="atLeast"/>
              <w:rPr>
                <w:sz w:val="20"/>
                <w:szCs w:val="20"/>
              </w:rPr>
            </w:pPr>
          </w:p>
        </w:tc>
        <w:tc>
          <w:tcPr>
            <w:tcW w:w="1134" w:type="dxa"/>
            <w:vMerge w:val="restart"/>
            <w:tcBorders>
              <w:top w:val="single" w:sz="4" w:space="0" w:color="auto"/>
              <w:left w:val="nil"/>
              <w:bottom w:val="single" w:sz="4" w:space="0" w:color="auto"/>
              <w:right w:val="nil"/>
            </w:tcBorders>
            <w:shd w:val="clear" w:color="auto" w:fill="FFFFFF" w:themeFill="background1"/>
            <w:vAlign w:val="bottom"/>
            <w:hideMark/>
          </w:tcPr>
          <w:p w14:paraId="647B5819"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Limite</w:t>
            </w:r>
          </w:p>
          <w:p w14:paraId="6AEFA5AD"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inferior</w:t>
            </w:r>
          </w:p>
        </w:tc>
        <w:tc>
          <w:tcPr>
            <w:tcW w:w="992" w:type="dxa"/>
            <w:vMerge w:val="restart"/>
            <w:tcBorders>
              <w:top w:val="single" w:sz="4" w:space="0" w:color="auto"/>
              <w:left w:val="nil"/>
              <w:bottom w:val="single" w:sz="4" w:space="0" w:color="auto"/>
              <w:right w:val="nil"/>
            </w:tcBorders>
            <w:shd w:val="clear" w:color="auto" w:fill="FFFFFF" w:themeFill="background1"/>
            <w:vAlign w:val="bottom"/>
            <w:hideMark/>
          </w:tcPr>
          <w:p w14:paraId="06B3BB96"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Limite superior</w:t>
            </w:r>
          </w:p>
        </w:tc>
        <w:tc>
          <w:tcPr>
            <w:tcW w:w="993" w:type="dxa"/>
            <w:vMerge/>
            <w:vAlign w:val="center"/>
            <w:hideMark/>
          </w:tcPr>
          <w:p w14:paraId="383025F6" w14:textId="77777777" w:rsidR="0038356E" w:rsidRPr="00B313D0" w:rsidRDefault="0038356E" w:rsidP="00B313D0">
            <w:pPr>
              <w:spacing w:line="100" w:lineRule="atLeast"/>
              <w:rPr>
                <w:sz w:val="20"/>
                <w:szCs w:val="20"/>
              </w:rPr>
            </w:pPr>
          </w:p>
        </w:tc>
      </w:tr>
      <w:tr w:rsidR="0038356E" w14:paraId="6F304D4A" w14:textId="77777777" w:rsidTr="00A73E64">
        <w:trPr>
          <w:cantSplit/>
        </w:trPr>
        <w:tc>
          <w:tcPr>
            <w:tcW w:w="1554" w:type="dxa"/>
            <w:gridSpan w:val="2"/>
            <w:tcBorders>
              <w:top w:val="nil"/>
              <w:left w:val="nil"/>
              <w:bottom w:val="single" w:sz="4" w:space="0" w:color="auto"/>
              <w:right w:val="nil"/>
            </w:tcBorders>
            <w:shd w:val="clear" w:color="auto" w:fill="FFFFFF" w:themeFill="background1"/>
            <w:vAlign w:val="bottom"/>
          </w:tcPr>
          <w:p w14:paraId="1F080679" w14:textId="77777777" w:rsidR="0038356E" w:rsidRDefault="0038356E" w:rsidP="00B313D0">
            <w:pPr>
              <w:autoSpaceDE w:val="0"/>
              <w:autoSpaceDN w:val="0"/>
              <w:adjustRightInd w:val="0"/>
              <w:spacing w:line="100" w:lineRule="atLeast"/>
              <w:jc w:val="center"/>
            </w:pPr>
          </w:p>
        </w:tc>
        <w:tc>
          <w:tcPr>
            <w:tcW w:w="1423" w:type="dxa"/>
            <w:vMerge/>
            <w:vAlign w:val="center"/>
            <w:hideMark/>
          </w:tcPr>
          <w:p w14:paraId="11ED24C7" w14:textId="77777777" w:rsidR="0038356E" w:rsidRDefault="0038356E" w:rsidP="00B313D0">
            <w:pPr>
              <w:spacing w:line="100" w:lineRule="atLeast"/>
              <w:rPr>
                <w:i/>
                <w:iCs/>
              </w:rPr>
            </w:pPr>
          </w:p>
        </w:tc>
        <w:tc>
          <w:tcPr>
            <w:tcW w:w="4677" w:type="dxa"/>
            <w:vMerge/>
            <w:vAlign w:val="center"/>
            <w:hideMark/>
          </w:tcPr>
          <w:p w14:paraId="51A8B172" w14:textId="77777777" w:rsidR="0038356E" w:rsidRDefault="0038356E" w:rsidP="00B313D0">
            <w:pPr>
              <w:spacing w:line="100" w:lineRule="atLeast"/>
              <w:rPr>
                <w:i/>
                <w:iCs/>
              </w:rPr>
            </w:pPr>
          </w:p>
        </w:tc>
        <w:tc>
          <w:tcPr>
            <w:tcW w:w="567" w:type="dxa"/>
            <w:vMerge/>
            <w:vAlign w:val="center"/>
            <w:hideMark/>
          </w:tcPr>
          <w:p w14:paraId="4FAC435F" w14:textId="77777777" w:rsidR="0038356E" w:rsidRDefault="0038356E" w:rsidP="00B313D0">
            <w:pPr>
              <w:spacing w:line="100" w:lineRule="atLeast"/>
              <w:rPr>
                <w:i/>
                <w:iCs/>
              </w:rPr>
            </w:pPr>
          </w:p>
        </w:tc>
        <w:tc>
          <w:tcPr>
            <w:tcW w:w="992" w:type="dxa"/>
            <w:vMerge/>
            <w:vAlign w:val="center"/>
            <w:hideMark/>
          </w:tcPr>
          <w:p w14:paraId="1EA16F00" w14:textId="77777777" w:rsidR="0038356E" w:rsidRDefault="0038356E" w:rsidP="00B313D0">
            <w:pPr>
              <w:spacing w:line="100" w:lineRule="atLeast"/>
            </w:pPr>
          </w:p>
        </w:tc>
        <w:tc>
          <w:tcPr>
            <w:tcW w:w="2126" w:type="dxa"/>
            <w:vMerge/>
            <w:vAlign w:val="center"/>
            <w:hideMark/>
          </w:tcPr>
          <w:p w14:paraId="322C2486" w14:textId="77777777" w:rsidR="0038356E" w:rsidRDefault="0038356E" w:rsidP="00B313D0">
            <w:pPr>
              <w:spacing w:line="100" w:lineRule="atLeast"/>
            </w:pPr>
          </w:p>
        </w:tc>
        <w:tc>
          <w:tcPr>
            <w:tcW w:w="992" w:type="dxa"/>
            <w:vMerge/>
            <w:vAlign w:val="center"/>
            <w:hideMark/>
          </w:tcPr>
          <w:p w14:paraId="6281F421" w14:textId="77777777" w:rsidR="0038356E" w:rsidRDefault="0038356E" w:rsidP="00B313D0">
            <w:pPr>
              <w:spacing w:line="100" w:lineRule="atLeast"/>
            </w:pPr>
          </w:p>
        </w:tc>
        <w:tc>
          <w:tcPr>
            <w:tcW w:w="993" w:type="dxa"/>
            <w:tcBorders>
              <w:top w:val="nil"/>
              <w:left w:val="nil"/>
              <w:bottom w:val="single" w:sz="4" w:space="0" w:color="auto"/>
              <w:right w:val="nil"/>
            </w:tcBorders>
            <w:shd w:val="clear" w:color="auto" w:fill="FFFFFF" w:themeFill="background1"/>
          </w:tcPr>
          <w:p w14:paraId="2E7F92D2" w14:textId="77777777" w:rsidR="0038356E" w:rsidRDefault="0038356E" w:rsidP="00B313D0">
            <w:pPr>
              <w:autoSpaceDE w:val="0"/>
              <w:autoSpaceDN w:val="0"/>
              <w:adjustRightInd w:val="0"/>
              <w:spacing w:line="100" w:lineRule="atLeast"/>
            </w:pPr>
          </w:p>
        </w:tc>
      </w:tr>
      <w:tr w:rsidR="0038356E" w:rsidRPr="00B313D0" w14:paraId="4DF71077" w14:textId="77777777" w:rsidTr="00A73E64">
        <w:trPr>
          <w:cantSplit/>
        </w:trPr>
        <w:tc>
          <w:tcPr>
            <w:tcW w:w="1554" w:type="dxa"/>
            <w:gridSpan w:val="2"/>
            <w:tcBorders>
              <w:top w:val="single" w:sz="4" w:space="0" w:color="auto"/>
              <w:left w:val="nil"/>
              <w:bottom w:val="nil"/>
              <w:right w:val="nil"/>
            </w:tcBorders>
            <w:shd w:val="clear" w:color="auto" w:fill="FFFFFF" w:themeFill="background1"/>
            <w:vAlign w:val="bottom"/>
          </w:tcPr>
          <w:p w14:paraId="2B120945" w14:textId="77777777" w:rsidR="0038356E" w:rsidRPr="00B313D0" w:rsidRDefault="0038356E" w:rsidP="00B313D0">
            <w:pPr>
              <w:autoSpaceDE w:val="0"/>
              <w:autoSpaceDN w:val="0"/>
              <w:adjustRightInd w:val="0"/>
              <w:spacing w:line="100" w:lineRule="atLeast"/>
              <w:jc w:val="center"/>
              <w:rPr>
                <w:sz w:val="20"/>
                <w:szCs w:val="20"/>
              </w:rPr>
            </w:pPr>
          </w:p>
        </w:tc>
        <w:tc>
          <w:tcPr>
            <w:tcW w:w="1423" w:type="dxa"/>
            <w:tcBorders>
              <w:top w:val="single" w:sz="4" w:space="0" w:color="auto"/>
              <w:left w:val="nil"/>
              <w:bottom w:val="single" w:sz="4" w:space="0" w:color="auto"/>
              <w:right w:val="nil"/>
            </w:tcBorders>
            <w:shd w:val="clear" w:color="auto" w:fill="FFFFFF" w:themeFill="background1"/>
            <w:vAlign w:val="bottom"/>
          </w:tcPr>
          <w:p w14:paraId="6DFA596E"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Renda</w:t>
            </w:r>
          </w:p>
          <w:p w14:paraId="3845C819" w14:textId="77777777" w:rsidR="0038356E" w:rsidRPr="00B313D0" w:rsidRDefault="0038356E" w:rsidP="00B313D0">
            <w:pPr>
              <w:autoSpaceDE w:val="0"/>
              <w:autoSpaceDN w:val="0"/>
              <w:adjustRightInd w:val="0"/>
              <w:spacing w:line="100" w:lineRule="atLeast"/>
              <w:jc w:val="center"/>
              <w:rPr>
                <w:sz w:val="20"/>
                <w:szCs w:val="20"/>
              </w:rPr>
            </w:pPr>
          </w:p>
        </w:tc>
        <w:tc>
          <w:tcPr>
            <w:tcW w:w="992" w:type="dxa"/>
            <w:tcBorders>
              <w:top w:val="single" w:sz="4" w:space="0" w:color="auto"/>
              <w:left w:val="nil"/>
              <w:bottom w:val="nil"/>
              <w:right w:val="nil"/>
            </w:tcBorders>
            <w:shd w:val="clear" w:color="auto" w:fill="FFFFFF" w:themeFill="background1"/>
            <w:vAlign w:val="bottom"/>
          </w:tcPr>
          <w:p w14:paraId="681A39BA" w14:textId="77777777" w:rsidR="0038356E" w:rsidRPr="00B313D0" w:rsidRDefault="0038356E" w:rsidP="00B313D0">
            <w:pPr>
              <w:autoSpaceDE w:val="0"/>
              <w:autoSpaceDN w:val="0"/>
              <w:adjustRightInd w:val="0"/>
              <w:spacing w:line="100" w:lineRule="atLeast"/>
              <w:rPr>
                <w:sz w:val="20"/>
                <w:szCs w:val="20"/>
              </w:rPr>
            </w:pPr>
          </w:p>
        </w:tc>
        <w:tc>
          <w:tcPr>
            <w:tcW w:w="567" w:type="dxa"/>
            <w:tcBorders>
              <w:top w:val="single" w:sz="4" w:space="0" w:color="auto"/>
              <w:left w:val="nil"/>
              <w:bottom w:val="nil"/>
              <w:right w:val="nil"/>
            </w:tcBorders>
            <w:shd w:val="clear" w:color="auto" w:fill="FFFFFF" w:themeFill="background1"/>
            <w:vAlign w:val="bottom"/>
          </w:tcPr>
          <w:p w14:paraId="51257BD2" w14:textId="77777777" w:rsidR="0038356E" w:rsidRPr="00B313D0" w:rsidRDefault="0038356E" w:rsidP="00B313D0">
            <w:pPr>
              <w:autoSpaceDE w:val="0"/>
              <w:autoSpaceDN w:val="0"/>
              <w:adjustRightInd w:val="0"/>
              <w:spacing w:line="100" w:lineRule="atLeast"/>
              <w:rPr>
                <w:sz w:val="20"/>
                <w:szCs w:val="20"/>
              </w:rPr>
            </w:pPr>
          </w:p>
        </w:tc>
        <w:tc>
          <w:tcPr>
            <w:tcW w:w="992" w:type="dxa"/>
            <w:tcBorders>
              <w:top w:val="single" w:sz="4" w:space="0" w:color="auto"/>
              <w:left w:val="nil"/>
              <w:bottom w:val="nil"/>
              <w:right w:val="nil"/>
            </w:tcBorders>
            <w:shd w:val="clear" w:color="auto" w:fill="FFFFFF" w:themeFill="background1"/>
            <w:vAlign w:val="bottom"/>
          </w:tcPr>
          <w:p w14:paraId="260C0CAB" w14:textId="77777777" w:rsidR="0038356E" w:rsidRPr="00B313D0" w:rsidRDefault="0038356E" w:rsidP="00B313D0">
            <w:pPr>
              <w:autoSpaceDE w:val="0"/>
              <w:autoSpaceDN w:val="0"/>
              <w:adjustRightInd w:val="0"/>
              <w:spacing w:line="100" w:lineRule="atLeast"/>
              <w:rPr>
                <w:sz w:val="20"/>
                <w:szCs w:val="20"/>
              </w:rPr>
            </w:pPr>
          </w:p>
        </w:tc>
        <w:tc>
          <w:tcPr>
            <w:tcW w:w="1134" w:type="dxa"/>
            <w:tcBorders>
              <w:top w:val="single" w:sz="4" w:space="0" w:color="auto"/>
              <w:left w:val="nil"/>
              <w:bottom w:val="nil"/>
              <w:right w:val="nil"/>
            </w:tcBorders>
            <w:shd w:val="clear" w:color="auto" w:fill="FFFFFF" w:themeFill="background1"/>
            <w:vAlign w:val="bottom"/>
          </w:tcPr>
          <w:p w14:paraId="374ECCBF"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tcBorders>
              <w:top w:val="single" w:sz="4" w:space="0" w:color="auto"/>
              <w:left w:val="nil"/>
              <w:bottom w:val="nil"/>
              <w:right w:val="nil"/>
            </w:tcBorders>
            <w:shd w:val="clear" w:color="auto" w:fill="FFFFFF" w:themeFill="background1"/>
            <w:vAlign w:val="bottom"/>
          </w:tcPr>
          <w:p w14:paraId="65117FF2" w14:textId="77777777" w:rsidR="0038356E" w:rsidRPr="00B313D0" w:rsidRDefault="0038356E" w:rsidP="00B313D0">
            <w:pPr>
              <w:autoSpaceDE w:val="0"/>
              <w:autoSpaceDN w:val="0"/>
              <w:adjustRightInd w:val="0"/>
              <w:spacing w:line="100" w:lineRule="atLeast"/>
              <w:jc w:val="center"/>
              <w:rPr>
                <w:sz w:val="20"/>
                <w:szCs w:val="20"/>
              </w:rPr>
            </w:pPr>
          </w:p>
        </w:tc>
        <w:tc>
          <w:tcPr>
            <w:tcW w:w="993" w:type="dxa"/>
            <w:tcBorders>
              <w:top w:val="single" w:sz="4" w:space="0" w:color="auto"/>
              <w:left w:val="nil"/>
              <w:bottom w:val="nil"/>
              <w:right w:val="nil"/>
            </w:tcBorders>
            <w:shd w:val="clear" w:color="auto" w:fill="FFFFFF" w:themeFill="background1"/>
          </w:tcPr>
          <w:p w14:paraId="6B664878" w14:textId="77777777" w:rsidR="0038356E" w:rsidRPr="00B313D0" w:rsidRDefault="0038356E" w:rsidP="00B313D0">
            <w:pPr>
              <w:autoSpaceDE w:val="0"/>
              <w:autoSpaceDN w:val="0"/>
              <w:adjustRightInd w:val="0"/>
              <w:spacing w:line="100" w:lineRule="atLeast"/>
              <w:jc w:val="center"/>
              <w:rPr>
                <w:sz w:val="20"/>
                <w:szCs w:val="20"/>
              </w:rPr>
            </w:pPr>
          </w:p>
        </w:tc>
      </w:tr>
      <w:tr w:rsidR="0038356E" w:rsidRPr="00B313D0" w14:paraId="137E204B" w14:textId="77777777" w:rsidTr="00A73E64">
        <w:trPr>
          <w:cantSplit/>
        </w:trPr>
        <w:tc>
          <w:tcPr>
            <w:tcW w:w="987" w:type="dxa"/>
            <w:vMerge w:val="restart"/>
            <w:shd w:val="clear" w:color="auto" w:fill="FFFFFF" w:themeFill="background1"/>
            <w:hideMark/>
          </w:tcPr>
          <w:p w14:paraId="1A3F7C3A" w14:textId="77777777" w:rsidR="0038356E" w:rsidRPr="00B313D0" w:rsidRDefault="0038356E" w:rsidP="00B313D0">
            <w:pPr>
              <w:autoSpaceDE w:val="0"/>
              <w:autoSpaceDN w:val="0"/>
              <w:adjustRightInd w:val="0"/>
              <w:spacing w:line="100" w:lineRule="atLeast"/>
              <w:ind w:right="60"/>
              <w:jc w:val="both"/>
              <w:rPr>
                <w:sz w:val="20"/>
                <w:szCs w:val="20"/>
              </w:rPr>
            </w:pPr>
            <w:r w:rsidRPr="00B313D0">
              <w:rPr>
                <w:sz w:val="20"/>
                <w:szCs w:val="20"/>
              </w:rPr>
              <w:t>Branca</w:t>
            </w:r>
          </w:p>
        </w:tc>
        <w:tc>
          <w:tcPr>
            <w:tcW w:w="567" w:type="dxa"/>
            <w:shd w:val="clear" w:color="auto" w:fill="FFFFFF" w:themeFill="background1"/>
            <w:hideMark/>
          </w:tcPr>
          <w:p w14:paraId="108D6C21"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Sim</w:t>
            </w:r>
          </w:p>
        </w:tc>
        <w:tc>
          <w:tcPr>
            <w:tcW w:w="1423" w:type="dxa"/>
            <w:tcBorders>
              <w:top w:val="single" w:sz="4" w:space="0" w:color="auto"/>
              <w:left w:val="nil"/>
              <w:bottom w:val="nil"/>
              <w:right w:val="nil"/>
            </w:tcBorders>
            <w:shd w:val="clear" w:color="auto" w:fill="FFFFFF" w:themeFill="background1"/>
            <w:vAlign w:val="center"/>
            <w:hideMark/>
          </w:tcPr>
          <w:p w14:paraId="1C79E42A"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2,97 (1,03)</w:t>
            </w:r>
          </w:p>
        </w:tc>
        <w:tc>
          <w:tcPr>
            <w:tcW w:w="992" w:type="dxa"/>
            <w:vMerge w:val="restart"/>
            <w:shd w:val="clear" w:color="auto" w:fill="FFFFFF" w:themeFill="background1"/>
            <w:vAlign w:val="center"/>
            <w:hideMark/>
          </w:tcPr>
          <w:p w14:paraId="0B32DF40"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-5,280</w:t>
            </w:r>
          </w:p>
        </w:tc>
        <w:tc>
          <w:tcPr>
            <w:tcW w:w="567" w:type="dxa"/>
            <w:vMerge w:val="restart"/>
            <w:shd w:val="clear" w:color="auto" w:fill="FFFFFF" w:themeFill="background1"/>
            <w:vAlign w:val="center"/>
            <w:hideMark/>
          </w:tcPr>
          <w:p w14:paraId="39AB525F"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427</w:t>
            </w:r>
          </w:p>
        </w:tc>
        <w:tc>
          <w:tcPr>
            <w:tcW w:w="992" w:type="dxa"/>
            <w:vMerge w:val="restart"/>
            <w:shd w:val="clear" w:color="auto" w:fill="FFFFFF" w:themeFill="background1"/>
            <w:vAlign w:val="center"/>
            <w:hideMark/>
          </w:tcPr>
          <w:p w14:paraId="7C83E238"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0,001</w:t>
            </w:r>
          </w:p>
        </w:tc>
        <w:tc>
          <w:tcPr>
            <w:tcW w:w="1134" w:type="dxa"/>
            <w:vMerge w:val="restart"/>
            <w:shd w:val="clear" w:color="auto" w:fill="FFFFFF" w:themeFill="background1"/>
            <w:vAlign w:val="center"/>
            <w:hideMark/>
          </w:tcPr>
          <w:p w14:paraId="6A8A8B22"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-0,72</w:t>
            </w:r>
          </w:p>
        </w:tc>
        <w:tc>
          <w:tcPr>
            <w:tcW w:w="992" w:type="dxa"/>
            <w:vMerge w:val="restart"/>
            <w:shd w:val="clear" w:color="auto" w:fill="FFFFFF" w:themeFill="background1"/>
            <w:vAlign w:val="center"/>
            <w:hideMark/>
          </w:tcPr>
          <w:p w14:paraId="60087CE1"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-0,37</w:t>
            </w:r>
          </w:p>
        </w:tc>
        <w:tc>
          <w:tcPr>
            <w:tcW w:w="993" w:type="dxa"/>
            <w:vMerge w:val="restart"/>
            <w:shd w:val="clear" w:color="auto" w:fill="FFFFFF" w:themeFill="background1"/>
            <w:hideMark/>
          </w:tcPr>
          <w:p w14:paraId="40ABA24C" w14:textId="77777777" w:rsidR="0038356E" w:rsidRPr="00B313D0" w:rsidRDefault="0038356E" w:rsidP="00B313D0">
            <w:pPr>
              <w:autoSpaceDE w:val="0"/>
              <w:autoSpaceDN w:val="0"/>
              <w:adjustRightInd w:val="0"/>
              <w:spacing w:line="100" w:lineRule="atLeast"/>
              <w:ind w:right="60"/>
              <w:jc w:val="center"/>
              <w:rPr>
                <w:sz w:val="20"/>
                <w:szCs w:val="20"/>
              </w:rPr>
            </w:pPr>
            <w:r w:rsidRPr="00B313D0">
              <w:rPr>
                <w:sz w:val="20"/>
                <w:szCs w:val="20"/>
              </w:rPr>
              <w:t>0,51**</w:t>
            </w:r>
          </w:p>
        </w:tc>
      </w:tr>
      <w:tr w:rsidR="0038356E" w:rsidRPr="00B313D0" w14:paraId="06F65BA4" w14:textId="77777777" w:rsidTr="00A73E64">
        <w:trPr>
          <w:cantSplit/>
        </w:trPr>
        <w:tc>
          <w:tcPr>
            <w:tcW w:w="1554" w:type="dxa"/>
            <w:vMerge/>
            <w:vAlign w:val="center"/>
            <w:hideMark/>
          </w:tcPr>
          <w:p w14:paraId="68A99930" w14:textId="77777777" w:rsidR="0038356E" w:rsidRPr="00B313D0" w:rsidRDefault="0038356E" w:rsidP="00B313D0">
            <w:pPr>
              <w:spacing w:line="100" w:lineRule="atLeast"/>
              <w:rPr>
                <w:sz w:val="20"/>
                <w:szCs w:val="20"/>
              </w:rPr>
            </w:pPr>
          </w:p>
        </w:tc>
        <w:tc>
          <w:tcPr>
            <w:tcW w:w="567" w:type="dxa"/>
            <w:shd w:val="clear" w:color="auto" w:fill="FFFFFF" w:themeFill="background1"/>
            <w:hideMark/>
          </w:tcPr>
          <w:p w14:paraId="4D66AC44"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Não</w:t>
            </w:r>
          </w:p>
        </w:tc>
        <w:tc>
          <w:tcPr>
            <w:tcW w:w="1423" w:type="dxa"/>
            <w:shd w:val="clear" w:color="auto" w:fill="FFFFFF" w:themeFill="background1"/>
            <w:vAlign w:val="center"/>
            <w:hideMark/>
          </w:tcPr>
          <w:p w14:paraId="76EB80C5"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2,43 (1,07)</w:t>
            </w:r>
          </w:p>
        </w:tc>
        <w:tc>
          <w:tcPr>
            <w:tcW w:w="4677" w:type="dxa"/>
            <w:vMerge/>
            <w:vAlign w:val="center"/>
            <w:hideMark/>
          </w:tcPr>
          <w:p w14:paraId="43B7FE20" w14:textId="77777777" w:rsidR="0038356E" w:rsidRPr="00B313D0" w:rsidRDefault="0038356E" w:rsidP="00B313D0">
            <w:pPr>
              <w:spacing w:line="100" w:lineRule="atLeast"/>
              <w:rPr>
                <w:sz w:val="20"/>
                <w:szCs w:val="20"/>
              </w:rPr>
            </w:pPr>
          </w:p>
        </w:tc>
        <w:tc>
          <w:tcPr>
            <w:tcW w:w="567" w:type="dxa"/>
            <w:vMerge/>
            <w:vAlign w:val="center"/>
            <w:hideMark/>
          </w:tcPr>
          <w:p w14:paraId="049CF582" w14:textId="77777777" w:rsidR="0038356E" w:rsidRPr="00B313D0" w:rsidRDefault="0038356E" w:rsidP="00B313D0">
            <w:pPr>
              <w:spacing w:line="100" w:lineRule="atLeast"/>
              <w:rPr>
                <w:sz w:val="20"/>
                <w:szCs w:val="20"/>
              </w:rPr>
            </w:pPr>
          </w:p>
        </w:tc>
        <w:tc>
          <w:tcPr>
            <w:tcW w:w="992" w:type="dxa"/>
            <w:vMerge/>
            <w:vAlign w:val="center"/>
            <w:hideMark/>
          </w:tcPr>
          <w:p w14:paraId="14833493" w14:textId="77777777" w:rsidR="0038356E" w:rsidRPr="00B313D0" w:rsidRDefault="0038356E" w:rsidP="00B313D0">
            <w:pPr>
              <w:spacing w:line="100" w:lineRule="atLeast"/>
              <w:rPr>
                <w:sz w:val="20"/>
                <w:szCs w:val="20"/>
              </w:rPr>
            </w:pPr>
          </w:p>
        </w:tc>
        <w:tc>
          <w:tcPr>
            <w:tcW w:w="2126" w:type="dxa"/>
            <w:vMerge/>
            <w:vAlign w:val="center"/>
            <w:hideMark/>
          </w:tcPr>
          <w:p w14:paraId="0884B5A9" w14:textId="77777777" w:rsidR="0038356E" w:rsidRPr="00B313D0" w:rsidRDefault="0038356E" w:rsidP="00B313D0">
            <w:pPr>
              <w:spacing w:line="100" w:lineRule="atLeast"/>
              <w:rPr>
                <w:sz w:val="20"/>
                <w:szCs w:val="20"/>
              </w:rPr>
            </w:pPr>
          </w:p>
        </w:tc>
        <w:tc>
          <w:tcPr>
            <w:tcW w:w="992" w:type="dxa"/>
            <w:vMerge/>
            <w:vAlign w:val="center"/>
            <w:hideMark/>
          </w:tcPr>
          <w:p w14:paraId="6639C818" w14:textId="77777777" w:rsidR="0038356E" w:rsidRPr="00B313D0" w:rsidRDefault="0038356E" w:rsidP="00B313D0">
            <w:pPr>
              <w:spacing w:line="100" w:lineRule="atLeast"/>
              <w:rPr>
                <w:sz w:val="20"/>
                <w:szCs w:val="20"/>
              </w:rPr>
            </w:pPr>
          </w:p>
        </w:tc>
        <w:tc>
          <w:tcPr>
            <w:tcW w:w="993" w:type="dxa"/>
            <w:vMerge/>
            <w:vAlign w:val="center"/>
            <w:hideMark/>
          </w:tcPr>
          <w:p w14:paraId="51BE274B" w14:textId="77777777" w:rsidR="0038356E" w:rsidRPr="00B313D0" w:rsidRDefault="0038356E" w:rsidP="00B313D0">
            <w:pPr>
              <w:spacing w:line="100" w:lineRule="atLeast"/>
              <w:rPr>
                <w:sz w:val="20"/>
                <w:szCs w:val="20"/>
              </w:rPr>
            </w:pPr>
          </w:p>
        </w:tc>
      </w:tr>
      <w:tr w:rsidR="0038356E" w:rsidRPr="00B313D0" w14:paraId="26D4D6F5" w14:textId="77777777" w:rsidTr="00A73E64">
        <w:trPr>
          <w:cantSplit/>
        </w:trPr>
        <w:tc>
          <w:tcPr>
            <w:tcW w:w="987" w:type="dxa"/>
            <w:vMerge w:val="restart"/>
            <w:shd w:val="clear" w:color="auto" w:fill="FFFFFF" w:themeFill="background1"/>
            <w:hideMark/>
          </w:tcPr>
          <w:p w14:paraId="34264B91" w14:textId="77777777" w:rsidR="0038356E" w:rsidRPr="00B313D0" w:rsidRDefault="0038356E" w:rsidP="00B313D0">
            <w:pPr>
              <w:autoSpaceDE w:val="0"/>
              <w:autoSpaceDN w:val="0"/>
              <w:adjustRightInd w:val="0"/>
              <w:spacing w:line="100" w:lineRule="atLeast"/>
              <w:ind w:right="60"/>
              <w:jc w:val="both"/>
              <w:rPr>
                <w:sz w:val="20"/>
                <w:szCs w:val="20"/>
              </w:rPr>
            </w:pPr>
            <w:r w:rsidRPr="00B313D0">
              <w:rPr>
                <w:sz w:val="20"/>
                <w:szCs w:val="20"/>
              </w:rPr>
              <w:t>Parda</w:t>
            </w:r>
          </w:p>
        </w:tc>
        <w:tc>
          <w:tcPr>
            <w:tcW w:w="567" w:type="dxa"/>
            <w:shd w:val="clear" w:color="auto" w:fill="FFFFFF" w:themeFill="background1"/>
            <w:hideMark/>
          </w:tcPr>
          <w:p w14:paraId="3C2DBADD"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Sim</w:t>
            </w:r>
          </w:p>
        </w:tc>
        <w:tc>
          <w:tcPr>
            <w:tcW w:w="1423" w:type="dxa"/>
            <w:shd w:val="clear" w:color="auto" w:fill="FFFFFF" w:themeFill="background1"/>
            <w:vAlign w:val="center"/>
            <w:hideMark/>
          </w:tcPr>
          <w:p w14:paraId="41668B2C"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2,46(1,05)</w:t>
            </w:r>
          </w:p>
        </w:tc>
        <w:tc>
          <w:tcPr>
            <w:tcW w:w="992" w:type="dxa"/>
            <w:vMerge w:val="restart"/>
            <w:shd w:val="clear" w:color="auto" w:fill="FFFFFF" w:themeFill="background1"/>
            <w:vAlign w:val="center"/>
            <w:hideMark/>
          </w:tcPr>
          <w:p w14:paraId="15F5FD7D"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3,030</w:t>
            </w:r>
          </w:p>
        </w:tc>
        <w:tc>
          <w:tcPr>
            <w:tcW w:w="567" w:type="dxa"/>
            <w:vMerge w:val="restart"/>
            <w:shd w:val="clear" w:color="auto" w:fill="FFFFFF" w:themeFill="background1"/>
            <w:vAlign w:val="center"/>
            <w:hideMark/>
          </w:tcPr>
          <w:p w14:paraId="190A6A79"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427</w:t>
            </w:r>
          </w:p>
        </w:tc>
        <w:tc>
          <w:tcPr>
            <w:tcW w:w="992" w:type="dxa"/>
            <w:vMerge w:val="restart"/>
            <w:shd w:val="clear" w:color="auto" w:fill="FFFFFF" w:themeFill="background1"/>
            <w:vAlign w:val="center"/>
            <w:hideMark/>
          </w:tcPr>
          <w:p w14:paraId="3FA35110"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0,002</w:t>
            </w:r>
          </w:p>
        </w:tc>
        <w:tc>
          <w:tcPr>
            <w:tcW w:w="1134" w:type="dxa"/>
            <w:vMerge w:val="restart"/>
            <w:shd w:val="clear" w:color="auto" w:fill="FFFFFF" w:themeFill="background1"/>
            <w:vAlign w:val="center"/>
            <w:hideMark/>
          </w:tcPr>
          <w:p w14:paraId="7769B9FC"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0,12</w:t>
            </w:r>
          </w:p>
        </w:tc>
        <w:tc>
          <w:tcPr>
            <w:tcW w:w="992" w:type="dxa"/>
            <w:vMerge w:val="restart"/>
            <w:shd w:val="clear" w:color="auto" w:fill="FFFFFF" w:themeFill="background1"/>
            <w:vAlign w:val="center"/>
            <w:hideMark/>
          </w:tcPr>
          <w:p w14:paraId="2E10FD52"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0,55</w:t>
            </w:r>
          </w:p>
        </w:tc>
        <w:tc>
          <w:tcPr>
            <w:tcW w:w="993" w:type="dxa"/>
            <w:vMerge w:val="restart"/>
            <w:shd w:val="clear" w:color="auto" w:fill="FFFFFF" w:themeFill="background1"/>
            <w:hideMark/>
          </w:tcPr>
          <w:p w14:paraId="5CD30788"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0,30*</w:t>
            </w:r>
          </w:p>
        </w:tc>
      </w:tr>
      <w:tr w:rsidR="0038356E" w:rsidRPr="00B313D0" w14:paraId="2638F00C" w14:textId="77777777" w:rsidTr="00A73E64">
        <w:trPr>
          <w:cantSplit/>
        </w:trPr>
        <w:tc>
          <w:tcPr>
            <w:tcW w:w="1554" w:type="dxa"/>
            <w:vMerge/>
            <w:vAlign w:val="center"/>
            <w:hideMark/>
          </w:tcPr>
          <w:p w14:paraId="4E4733B8" w14:textId="77777777" w:rsidR="0038356E" w:rsidRPr="00B313D0" w:rsidRDefault="0038356E" w:rsidP="00B313D0">
            <w:pPr>
              <w:spacing w:line="100" w:lineRule="atLeast"/>
              <w:rPr>
                <w:sz w:val="20"/>
                <w:szCs w:val="20"/>
              </w:rPr>
            </w:pPr>
          </w:p>
        </w:tc>
        <w:tc>
          <w:tcPr>
            <w:tcW w:w="567" w:type="dxa"/>
            <w:shd w:val="clear" w:color="auto" w:fill="FFFFFF" w:themeFill="background1"/>
            <w:hideMark/>
          </w:tcPr>
          <w:p w14:paraId="1C97F4F6"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Não</w:t>
            </w:r>
          </w:p>
        </w:tc>
        <w:tc>
          <w:tcPr>
            <w:tcW w:w="1423" w:type="dxa"/>
            <w:shd w:val="clear" w:color="auto" w:fill="FFFFFF" w:themeFill="background1"/>
            <w:vAlign w:val="center"/>
            <w:hideMark/>
          </w:tcPr>
          <w:p w14:paraId="0C9D300D"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2,78(1,09)</w:t>
            </w:r>
          </w:p>
        </w:tc>
        <w:tc>
          <w:tcPr>
            <w:tcW w:w="4677" w:type="dxa"/>
            <w:vMerge/>
            <w:vAlign w:val="center"/>
            <w:hideMark/>
          </w:tcPr>
          <w:p w14:paraId="05491C6C" w14:textId="77777777" w:rsidR="0038356E" w:rsidRPr="00B313D0" w:rsidRDefault="0038356E" w:rsidP="00B313D0">
            <w:pPr>
              <w:spacing w:line="100" w:lineRule="atLeast"/>
              <w:rPr>
                <w:sz w:val="20"/>
                <w:szCs w:val="20"/>
              </w:rPr>
            </w:pPr>
          </w:p>
        </w:tc>
        <w:tc>
          <w:tcPr>
            <w:tcW w:w="567" w:type="dxa"/>
            <w:vMerge/>
            <w:vAlign w:val="center"/>
            <w:hideMark/>
          </w:tcPr>
          <w:p w14:paraId="60D40977" w14:textId="77777777" w:rsidR="0038356E" w:rsidRPr="00B313D0" w:rsidRDefault="0038356E" w:rsidP="00B313D0">
            <w:pPr>
              <w:spacing w:line="100" w:lineRule="atLeast"/>
              <w:rPr>
                <w:sz w:val="20"/>
                <w:szCs w:val="20"/>
              </w:rPr>
            </w:pPr>
          </w:p>
        </w:tc>
        <w:tc>
          <w:tcPr>
            <w:tcW w:w="992" w:type="dxa"/>
            <w:vMerge/>
            <w:vAlign w:val="center"/>
            <w:hideMark/>
          </w:tcPr>
          <w:p w14:paraId="417BF6D8" w14:textId="77777777" w:rsidR="0038356E" w:rsidRPr="00B313D0" w:rsidRDefault="0038356E" w:rsidP="00B313D0">
            <w:pPr>
              <w:spacing w:line="100" w:lineRule="atLeast"/>
              <w:rPr>
                <w:sz w:val="20"/>
                <w:szCs w:val="20"/>
              </w:rPr>
            </w:pPr>
          </w:p>
        </w:tc>
        <w:tc>
          <w:tcPr>
            <w:tcW w:w="2126" w:type="dxa"/>
            <w:vMerge/>
            <w:vAlign w:val="center"/>
            <w:hideMark/>
          </w:tcPr>
          <w:p w14:paraId="4BB9836D" w14:textId="77777777" w:rsidR="0038356E" w:rsidRPr="00B313D0" w:rsidRDefault="0038356E" w:rsidP="00B313D0">
            <w:pPr>
              <w:spacing w:line="100" w:lineRule="atLeast"/>
              <w:rPr>
                <w:sz w:val="20"/>
                <w:szCs w:val="20"/>
              </w:rPr>
            </w:pPr>
          </w:p>
        </w:tc>
        <w:tc>
          <w:tcPr>
            <w:tcW w:w="992" w:type="dxa"/>
            <w:vMerge/>
            <w:vAlign w:val="center"/>
            <w:hideMark/>
          </w:tcPr>
          <w:p w14:paraId="26F3C6F7" w14:textId="77777777" w:rsidR="0038356E" w:rsidRPr="00B313D0" w:rsidRDefault="0038356E" w:rsidP="00B313D0">
            <w:pPr>
              <w:spacing w:line="100" w:lineRule="atLeast"/>
              <w:rPr>
                <w:sz w:val="20"/>
                <w:szCs w:val="20"/>
              </w:rPr>
            </w:pPr>
          </w:p>
        </w:tc>
        <w:tc>
          <w:tcPr>
            <w:tcW w:w="993" w:type="dxa"/>
            <w:vMerge/>
            <w:vAlign w:val="center"/>
            <w:hideMark/>
          </w:tcPr>
          <w:p w14:paraId="7124A774" w14:textId="77777777" w:rsidR="0038356E" w:rsidRPr="00B313D0" w:rsidRDefault="0038356E" w:rsidP="00B313D0">
            <w:pPr>
              <w:spacing w:line="100" w:lineRule="atLeast"/>
              <w:rPr>
                <w:sz w:val="20"/>
                <w:szCs w:val="20"/>
              </w:rPr>
            </w:pPr>
          </w:p>
        </w:tc>
      </w:tr>
      <w:tr w:rsidR="0038356E" w:rsidRPr="00B313D0" w14:paraId="3CA6B460" w14:textId="77777777" w:rsidTr="00A73E64">
        <w:trPr>
          <w:cantSplit/>
        </w:trPr>
        <w:tc>
          <w:tcPr>
            <w:tcW w:w="987" w:type="dxa"/>
            <w:vMerge w:val="restart"/>
            <w:shd w:val="clear" w:color="auto" w:fill="FFFFFF" w:themeFill="background1"/>
            <w:hideMark/>
          </w:tcPr>
          <w:p w14:paraId="715DCD34" w14:textId="77777777" w:rsidR="0038356E" w:rsidRPr="00B313D0" w:rsidRDefault="0038356E" w:rsidP="00B313D0">
            <w:pPr>
              <w:autoSpaceDE w:val="0"/>
              <w:autoSpaceDN w:val="0"/>
              <w:adjustRightInd w:val="0"/>
              <w:spacing w:line="100" w:lineRule="atLeast"/>
              <w:jc w:val="both"/>
              <w:rPr>
                <w:sz w:val="20"/>
                <w:szCs w:val="20"/>
              </w:rPr>
            </w:pPr>
            <w:r w:rsidRPr="00B313D0">
              <w:rPr>
                <w:sz w:val="20"/>
                <w:szCs w:val="20"/>
              </w:rPr>
              <w:t>Preta</w:t>
            </w:r>
          </w:p>
        </w:tc>
        <w:tc>
          <w:tcPr>
            <w:tcW w:w="567" w:type="dxa"/>
            <w:shd w:val="clear" w:color="auto" w:fill="FFFFFF" w:themeFill="background1"/>
            <w:hideMark/>
          </w:tcPr>
          <w:p w14:paraId="369643B8"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Sim</w:t>
            </w:r>
          </w:p>
        </w:tc>
        <w:tc>
          <w:tcPr>
            <w:tcW w:w="1423" w:type="dxa"/>
            <w:shd w:val="clear" w:color="auto" w:fill="FFFFFF" w:themeFill="background1"/>
            <w:vAlign w:val="center"/>
            <w:hideMark/>
          </w:tcPr>
          <w:p w14:paraId="3DB0BF30"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2,39(1,12)</w:t>
            </w:r>
          </w:p>
        </w:tc>
        <w:tc>
          <w:tcPr>
            <w:tcW w:w="992" w:type="dxa"/>
            <w:vMerge w:val="restart"/>
            <w:shd w:val="clear" w:color="auto" w:fill="FFFFFF" w:themeFill="background1"/>
            <w:vAlign w:val="center"/>
            <w:hideMark/>
          </w:tcPr>
          <w:p w14:paraId="40A36A02"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2,549</w:t>
            </w:r>
          </w:p>
        </w:tc>
        <w:tc>
          <w:tcPr>
            <w:tcW w:w="567" w:type="dxa"/>
            <w:vMerge w:val="restart"/>
            <w:shd w:val="clear" w:color="auto" w:fill="FFFFFF" w:themeFill="background1"/>
            <w:vAlign w:val="center"/>
            <w:hideMark/>
          </w:tcPr>
          <w:p w14:paraId="582692D6"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427</w:t>
            </w:r>
          </w:p>
        </w:tc>
        <w:tc>
          <w:tcPr>
            <w:tcW w:w="992" w:type="dxa"/>
            <w:vMerge w:val="restart"/>
            <w:shd w:val="clear" w:color="auto" w:fill="FFFFFF" w:themeFill="background1"/>
            <w:vAlign w:val="center"/>
            <w:hideMark/>
          </w:tcPr>
          <w:p w14:paraId="5ADBF9DA"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0,008</w:t>
            </w:r>
          </w:p>
        </w:tc>
        <w:tc>
          <w:tcPr>
            <w:tcW w:w="1134" w:type="dxa"/>
            <w:vMerge w:val="restart"/>
            <w:shd w:val="clear" w:color="auto" w:fill="FFFFFF" w:themeFill="background1"/>
            <w:vAlign w:val="center"/>
            <w:hideMark/>
          </w:tcPr>
          <w:p w14:paraId="440CFF6E"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0,07</w:t>
            </w:r>
          </w:p>
        </w:tc>
        <w:tc>
          <w:tcPr>
            <w:tcW w:w="992" w:type="dxa"/>
            <w:vMerge w:val="restart"/>
            <w:shd w:val="clear" w:color="auto" w:fill="FFFFFF" w:themeFill="background1"/>
            <w:vAlign w:val="center"/>
            <w:hideMark/>
          </w:tcPr>
          <w:p w14:paraId="41AFF3A1"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0,63</w:t>
            </w:r>
          </w:p>
        </w:tc>
        <w:tc>
          <w:tcPr>
            <w:tcW w:w="993" w:type="dxa"/>
            <w:vMerge w:val="restart"/>
            <w:shd w:val="clear" w:color="auto" w:fill="FFFFFF" w:themeFill="background1"/>
            <w:hideMark/>
          </w:tcPr>
          <w:p w14:paraId="16224B12"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0,32*</w:t>
            </w:r>
          </w:p>
        </w:tc>
      </w:tr>
      <w:tr w:rsidR="0038356E" w:rsidRPr="00B313D0" w14:paraId="1BF30868" w14:textId="77777777" w:rsidTr="00A73E64">
        <w:trPr>
          <w:cantSplit/>
        </w:trPr>
        <w:tc>
          <w:tcPr>
            <w:tcW w:w="1554" w:type="dxa"/>
            <w:vMerge/>
            <w:vAlign w:val="center"/>
            <w:hideMark/>
          </w:tcPr>
          <w:p w14:paraId="6262A19D" w14:textId="77777777" w:rsidR="0038356E" w:rsidRPr="00B313D0" w:rsidRDefault="0038356E" w:rsidP="00B313D0">
            <w:pPr>
              <w:spacing w:line="100" w:lineRule="atLeast"/>
              <w:rPr>
                <w:sz w:val="20"/>
                <w:szCs w:val="20"/>
              </w:rPr>
            </w:pPr>
          </w:p>
        </w:tc>
        <w:tc>
          <w:tcPr>
            <w:tcW w:w="567" w:type="dxa"/>
            <w:shd w:val="clear" w:color="auto" w:fill="FFFFFF" w:themeFill="background1"/>
            <w:hideMark/>
          </w:tcPr>
          <w:p w14:paraId="7CDEDC99"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Não</w:t>
            </w:r>
          </w:p>
        </w:tc>
        <w:tc>
          <w:tcPr>
            <w:tcW w:w="1423" w:type="dxa"/>
            <w:shd w:val="clear" w:color="auto" w:fill="FFFFFF" w:themeFill="background1"/>
            <w:vAlign w:val="center"/>
            <w:hideMark/>
          </w:tcPr>
          <w:p w14:paraId="0CC1CE40"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2,74(1,07)</w:t>
            </w:r>
          </w:p>
        </w:tc>
        <w:tc>
          <w:tcPr>
            <w:tcW w:w="4677" w:type="dxa"/>
            <w:vMerge/>
            <w:vAlign w:val="center"/>
            <w:hideMark/>
          </w:tcPr>
          <w:p w14:paraId="021219B0" w14:textId="77777777" w:rsidR="0038356E" w:rsidRPr="00B313D0" w:rsidRDefault="0038356E" w:rsidP="00B313D0">
            <w:pPr>
              <w:spacing w:line="100" w:lineRule="atLeast"/>
              <w:rPr>
                <w:sz w:val="20"/>
                <w:szCs w:val="20"/>
              </w:rPr>
            </w:pPr>
          </w:p>
        </w:tc>
        <w:tc>
          <w:tcPr>
            <w:tcW w:w="567" w:type="dxa"/>
            <w:vMerge/>
            <w:vAlign w:val="center"/>
            <w:hideMark/>
          </w:tcPr>
          <w:p w14:paraId="0B701D67" w14:textId="77777777" w:rsidR="0038356E" w:rsidRPr="00B313D0" w:rsidRDefault="0038356E" w:rsidP="00B313D0">
            <w:pPr>
              <w:spacing w:line="100" w:lineRule="atLeast"/>
              <w:rPr>
                <w:sz w:val="20"/>
                <w:szCs w:val="20"/>
              </w:rPr>
            </w:pPr>
          </w:p>
        </w:tc>
        <w:tc>
          <w:tcPr>
            <w:tcW w:w="992" w:type="dxa"/>
            <w:vMerge/>
            <w:vAlign w:val="center"/>
            <w:hideMark/>
          </w:tcPr>
          <w:p w14:paraId="6724AF31" w14:textId="77777777" w:rsidR="0038356E" w:rsidRPr="00B313D0" w:rsidRDefault="0038356E" w:rsidP="00B313D0">
            <w:pPr>
              <w:spacing w:line="100" w:lineRule="atLeast"/>
              <w:rPr>
                <w:sz w:val="20"/>
                <w:szCs w:val="20"/>
              </w:rPr>
            </w:pPr>
          </w:p>
        </w:tc>
        <w:tc>
          <w:tcPr>
            <w:tcW w:w="2126" w:type="dxa"/>
            <w:vMerge/>
            <w:vAlign w:val="center"/>
            <w:hideMark/>
          </w:tcPr>
          <w:p w14:paraId="0561D32C" w14:textId="77777777" w:rsidR="0038356E" w:rsidRPr="00B313D0" w:rsidRDefault="0038356E" w:rsidP="00B313D0">
            <w:pPr>
              <w:spacing w:line="100" w:lineRule="atLeast"/>
              <w:rPr>
                <w:sz w:val="20"/>
                <w:szCs w:val="20"/>
              </w:rPr>
            </w:pPr>
          </w:p>
        </w:tc>
        <w:tc>
          <w:tcPr>
            <w:tcW w:w="992" w:type="dxa"/>
            <w:vMerge/>
            <w:vAlign w:val="center"/>
            <w:hideMark/>
          </w:tcPr>
          <w:p w14:paraId="14EEE427" w14:textId="77777777" w:rsidR="0038356E" w:rsidRPr="00B313D0" w:rsidRDefault="0038356E" w:rsidP="00B313D0">
            <w:pPr>
              <w:spacing w:line="100" w:lineRule="atLeast"/>
              <w:rPr>
                <w:sz w:val="20"/>
                <w:szCs w:val="20"/>
              </w:rPr>
            </w:pPr>
          </w:p>
        </w:tc>
        <w:tc>
          <w:tcPr>
            <w:tcW w:w="993" w:type="dxa"/>
            <w:vMerge/>
            <w:vAlign w:val="center"/>
            <w:hideMark/>
          </w:tcPr>
          <w:p w14:paraId="2BB3633E" w14:textId="77777777" w:rsidR="0038356E" w:rsidRPr="00B313D0" w:rsidRDefault="0038356E" w:rsidP="00B313D0">
            <w:pPr>
              <w:spacing w:line="100" w:lineRule="atLeast"/>
              <w:rPr>
                <w:sz w:val="20"/>
                <w:szCs w:val="20"/>
              </w:rPr>
            </w:pPr>
          </w:p>
        </w:tc>
      </w:tr>
      <w:tr w:rsidR="0038356E" w:rsidRPr="00B313D0" w14:paraId="0437955E" w14:textId="77777777" w:rsidTr="00A73E64">
        <w:trPr>
          <w:cantSplit/>
        </w:trPr>
        <w:tc>
          <w:tcPr>
            <w:tcW w:w="987" w:type="dxa"/>
            <w:shd w:val="clear" w:color="auto" w:fill="FFFFFF" w:themeFill="background1"/>
          </w:tcPr>
          <w:p w14:paraId="5596512D" w14:textId="77777777" w:rsidR="0038356E" w:rsidRPr="00B313D0" w:rsidRDefault="0038356E" w:rsidP="00B313D0">
            <w:pPr>
              <w:autoSpaceDE w:val="0"/>
              <w:autoSpaceDN w:val="0"/>
              <w:adjustRightInd w:val="0"/>
              <w:spacing w:line="100" w:lineRule="atLeast"/>
              <w:jc w:val="both"/>
              <w:rPr>
                <w:sz w:val="20"/>
                <w:szCs w:val="20"/>
              </w:rPr>
            </w:pPr>
          </w:p>
        </w:tc>
        <w:tc>
          <w:tcPr>
            <w:tcW w:w="567" w:type="dxa"/>
            <w:shd w:val="clear" w:color="auto" w:fill="FFFFFF" w:themeFill="background1"/>
          </w:tcPr>
          <w:p w14:paraId="02B50B8F" w14:textId="77777777" w:rsidR="0038356E" w:rsidRPr="00B313D0" w:rsidRDefault="0038356E" w:rsidP="00B313D0">
            <w:pPr>
              <w:autoSpaceDE w:val="0"/>
              <w:autoSpaceDN w:val="0"/>
              <w:adjustRightInd w:val="0"/>
              <w:spacing w:line="100" w:lineRule="atLeast"/>
              <w:ind w:right="60"/>
              <w:rPr>
                <w:sz w:val="20"/>
                <w:szCs w:val="20"/>
              </w:rPr>
            </w:pPr>
          </w:p>
        </w:tc>
        <w:tc>
          <w:tcPr>
            <w:tcW w:w="1423" w:type="dxa"/>
            <w:tcBorders>
              <w:top w:val="nil"/>
              <w:left w:val="nil"/>
              <w:bottom w:val="single" w:sz="4" w:space="0" w:color="auto"/>
              <w:right w:val="nil"/>
            </w:tcBorders>
            <w:shd w:val="clear" w:color="auto" w:fill="FFFFFF" w:themeFill="background1"/>
            <w:vAlign w:val="center"/>
          </w:tcPr>
          <w:p w14:paraId="7689291D" w14:textId="77777777" w:rsidR="0038356E" w:rsidRPr="00B313D0" w:rsidRDefault="0038356E" w:rsidP="00B313D0">
            <w:pPr>
              <w:autoSpaceDE w:val="0"/>
              <w:autoSpaceDN w:val="0"/>
              <w:adjustRightInd w:val="0"/>
              <w:spacing w:line="100" w:lineRule="atLeast"/>
              <w:jc w:val="center"/>
              <w:rPr>
                <w:sz w:val="20"/>
                <w:szCs w:val="20"/>
              </w:rPr>
            </w:pPr>
          </w:p>
          <w:p w14:paraId="06FB3846"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Escolaridade</w:t>
            </w:r>
          </w:p>
          <w:p w14:paraId="6EAA8DD9" w14:textId="77777777" w:rsidR="0038356E" w:rsidRPr="00B313D0" w:rsidRDefault="0038356E" w:rsidP="00B313D0">
            <w:pPr>
              <w:autoSpaceDE w:val="0"/>
              <w:autoSpaceDN w:val="0"/>
              <w:adjustRightInd w:val="0"/>
              <w:spacing w:line="100" w:lineRule="atLeast"/>
              <w:jc w:val="center"/>
              <w:rPr>
                <w:sz w:val="20"/>
                <w:szCs w:val="20"/>
              </w:rPr>
            </w:pPr>
          </w:p>
        </w:tc>
        <w:tc>
          <w:tcPr>
            <w:tcW w:w="992" w:type="dxa"/>
            <w:shd w:val="clear" w:color="auto" w:fill="FFFFFF" w:themeFill="background1"/>
            <w:vAlign w:val="center"/>
          </w:tcPr>
          <w:p w14:paraId="2010B56B"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567" w:type="dxa"/>
            <w:shd w:val="clear" w:color="auto" w:fill="FFFFFF" w:themeFill="background1"/>
            <w:vAlign w:val="center"/>
          </w:tcPr>
          <w:p w14:paraId="3C0C9FD0"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4B5BD583"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1134" w:type="dxa"/>
            <w:shd w:val="clear" w:color="auto" w:fill="FFFFFF" w:themeFill="background1"/>
            <w:vAlign w:val="center"/>
          </w:tcPr>
          <w:p w14:paraId="1D1AF276"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2DD4539D"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3" w:type="dxa"/>
            <w:shd w:val="clear" w:color="auto" w:fill="FFFFFF" w:themeFill="background1"/>
          </w:tcPr>
          <w:p w14:paraId="45987119" w14:textId="77777777" w:rsidR="0038356E" w:rsidRPr="00B313D0" w:rsidRDefault="0038356E" w:rsidP="00B313D0">
            <w:pPr>
              <w:autoSpaceDE w:val="0"/>
              <w:autoSpaceDN w:val="0"/>
              <w:adjustRightInd w:val="0"/>
              <w:spacing w:line="100" w:lineRule="atLeast"/>
              <w:ind w:left="60" w:right="60"/>
              <w:jc w:val="center"/>
              <w:rPr>
                <w:sz w:val="20"/>
                <w:szCs w:val="20"/>
              </w:rPr>
            </w:pPr>
          </w:p>
        </w:tc>
      </w:tr>
      <w:tr w:rsidR="0038356E" w:rsidRPr="00B313D0" w14:paraId="45D6466E" w14:textId="77777777" w:rsidTr="00A73E64">
        <w:trPr>
          <w:cantSplit/>
        </w:trPr>
        <w:tc>
          <w:tcPr>
            <w:tcW w:w="987" w:type="dxa"/>
            <w:shd w:val="clear" w:color="auto" w:fill="FFFFFF" w:themeFill="background1"/>
            <w:hideMark/>
          </w:tcPr>
          <w:p w14:paraId="6369DCFC" w14:textId="77777777" w:rsidR="0038356E" w:rsidRPr="00B313D0" w:rsidRDefault="0038356E" w:rsidP="00B313D0">
            <w:pPr>
              <w:autoSpaceDE w:val="0"/>
              <w:autoSpaceDN w:val="0"/>
              <w:adjustRightInd w:val="0"/>
              <w:spacing w:line="100" w:lineRule="atLeast"/>
              <w:jc w:val="both"/>
              <w:rPr>
                <w:sz w:val="20"/>
                <w:szCs w:val="20"/>
              </w:rPr>
            </w:pPr>
            <w:r w:rsidRPr="00B313D0">
              <w:rPr>
                <w:sz w:val="20"/>
                <w:szCs w:val="20"/>
              </w:rPr>
              <w:t>Branca</w:t>
            </w:r>
          </w:p>
        </w:tc>
        <w:tc>
          <w:tcPr>
            <w:tcW w:w="567" w:type="dxa"/>
            <w:shd w:val="clear" w:color="auto" w:fill="FFFFFF" w:themeFill="background1"/>
            <w:hideMark/>
          </w:tcPr>
          <w:p w14:paraId="6F4FA555"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Sim</w:t>
            </w:r>
          </w:p>
        </w:tc>
        <w:tc>
          <w:tcPr>
            <w:tcW w:w="1423" w:type="dxa"/>
            <w:tcBorders>
              <w:top w:val="single" w:sz="4" w:space="0" w:color="auto"/>
              <w:left w:val="nil"/>
              <w:bottom w:val="nil"/>
              <w:right w:val="nil"/>
            </w:tcBorders>
            <w:shd w:val="clear" w:color="auto" w:fill="FFFFFF" w:themeFill="background1"/>
            <w:vAlign w:val="center"/>
            <w:hideMark/>
          </w:tcPr>
          <w:p w14:paraId="5D869C66"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7,50(0,89)</w:t>
            </w:r>
          </w:p>
        </w:tc>
        <w:tc>
          <w:tcPr>
            <w:tcW w:w="992" w:type="dxa"/>
            <w:shd w:val="clear" w:color="auto" w:fill="FFFFFF" w:themeFill="background1"/>
            <w:vAlign w:val="center"/>
            <w:hideMark/>
          </w:tcPr>
          <w:p w14:paraId="102ACBE6"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-4,096</w:t>
            </w:r>
          </w:p>
        </w:tc>
        <w:tc>
          <w:tcPr>
            <w:tcW w:w="567" w:type="dxa"/>
            <w:shd w:val="clear" w:color="auto" w:fill="FFFFFF" w:themeFill="background1"/>
            <w:vAlign w:val="center"/>
            <w:hideMark/>
          </w:tcPr>
          <w:p w14:paraId="54DCFE09"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427</w:t>
            </w:r>
          </w:p>
        </w:tc>
        <w:tc>
          <w:tcPr>
            <w:tcW w:w="992" w:type="dxa"/>
            <w:shd w:val="clear" w:color="auto" w:fill="FFFFFF" w:themeFill="background1"/>
            <w:vAlign w:val="center"/>
            <w:hideMark/>
          </w:tcPr>
          <w:p w14:paraId="3D0A840C"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0,001</w:t>
            </w:r>
          </w:p>
        </w:tc>
        <w:tc>
          <w:tcPr>
            <w:tcW w:w="1134" w:type="dxa"/>
            <w:shd w:val="clear" w:color="auto" w:fill="FFFFFF" w:themeFill="background1"/>
            <w:vAlign w:val="center"/>
            <w:hideMark/>
          </w:tcPr>
          <w:p w14:paraId="5778A5F6"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-0,67</w:t>
            </w:r>
          </w:p>
        </w:tc>
        <w:tc>
          <w:tcPr>
            <w:tcW w:w="992" w:type="dxa"/>
            <w:shd w:val="clear" w:color="auto" w:fill="FFFFFF" w:themeFill="background1"/>
            <w:vAlign w:val="center"/>
            <w:hideMark/>
          </w:tcPr>
          <w:p w14:paraId="4A83B3E5"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-0,27</w:t>
            </w:r>
          </w:p>
        </w:tc>
        <w:tc>
          <w:tcPr>
            <w:tcW w:w="993" w:type="dxa"/>
            <w:shd w:val="clear" w:color="auto" w:fill="FFFFFF" w:themeFill="background1"/>
            <w:hideMark/>
          </w:tcPr>
          <w:p w14:paraId="399936C0"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0,38*</w:t>
            </w:r>
          </w:p>
        </w:tc>
      </w:tr>
      <w:tr w:rsidR="0038356E" w:rsidRPr="00B313D0" w14:paraId="3AB22C67" w14:textId="77777777" w:rsidTr="00A73E64">
        <w:trPr>
          <w:cantSplit/>
        </w:trPr>
        <w:tc>
          <w:tcPr>
            <w:tcW w:w="987" w:type="dxa"/>
            <w:shd w:val="clear" w:color="auto" w:fill="FFFFFF" w:themeFill="background1"/>
          </w:tcPr>
          <w:p w14:paraId="4858CC44" w14:textId="77777777" w:rsidR="0038356E" w:rsidRPr="00B313D0" w:rsidRDefault="0038356E" w:rsidP="00B313D0">
            <w:pPr>
              <w:autoSpaceDE w:val="0"/>
              <w:autoSpaceDN w:val="0"/>
              <w:adjustRightInd w:val="0"/>
              <w:spacing w:line="100" w:lineRule="atLeast"/>
              <w:jc w:val="both"/>
              <w:rPr>
                <w:sz w:val="20"/>
                <w:szCs w:val="20"/>
              </w:rPr>
            </w:pPr>
          </w:p>
        </w:tc>
        <w:tc>
          <w:tcPr>
            <w:tcW w:w="567" w:type="dxa"/>
            <w:shd w:val="clear" w:color="auto" w:fill="FFFFFF" w:themeFill="background1"/>
            <w:hideMark/>
          </w:tcPr>
          <w:p w14:paraId="11A13289"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Não</w:t>
            </w:r>
          </w:p>
        </w:tc>
        <w:tc>
          <w:tcPr>
            <w:tcW w:w="1423" w:type="dxa"/>
            <w:shd w:val="clear" w:color="auto" w:fill="FFFFFF" w:themeFill="background1"/>
            <w:vAlign w:val="center"/>
            <w:hideMark/>
          </w:tcPr>
          <w:p w14:paraId="701C5F79"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7,04(1,43)</w:t>
            </w:r>
          </w:p>
        </w:tc>
        <w:tc>
          <w:tcPr>
            <w:tcW w:w="992" w:type="dxa"/>
            <w:shd w:val="clear" w:color="auto" w:fill="FFFFFF" w:themeFill="background1"/>
            <w:vAlign w:val="center"/>
          </w:tcPr>
          <w:p w14:paraId="0B879D85"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567" w:type="dxa"/>
            <w:shd w:val="clear" w:color="auto" w:fill="FFFFFF" w:themeFill="background1"/>
            <w:vAlign w:val="center"/>
          </w:tcPr>
          <w:p w14:paraId="6CB2B4D5"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1ED02E17"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1134" w:type="dxa"/>
            <w:shd w:val="clear" w:color="auto" w:fill="FFFFFF" w:themeFill="background1"/>
            <w:vAlign w:val="center"/>
          </w:tcPr>
          <w:p w14:paraId="3384F29C"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0E5C24BD"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3" w:type="dxa"/>
            <w:shd w:val="clear" w:color="auto" w:fill="FFFFFF" w:themeFill="background1"/>
          </w:tcPr>
          <w:p w14:paraId="7FFA26DF" w14:textId="77777777" w:rsidR="0038356E" w:rsidRPr="00B313D0" w:rsidRDefault="0038356E" w:rsidP="00B313D0">
            <w:pPr>
              <w:autoSpaceDE w:val="0"/>
              <w:autoSpaceDN w:val="0"/>
              <w:adjustRightInd w:val="0"/>
              <w:spacing w:line="100" w:lineRule="atLeast"/>
              <w:ind w:left="60" w:right="60"/>
              <w:jc w:val="center"/>
              <w:rPr>
                <w:sz w:val="20"/>
                <w:szCs w:val="20"/>
              </w:rPr>
            </w:pPr>
          </w:p>
        </w:tc>
      </w:tr>
      <w:tr w:rsidR="0038356E" w:rsidRPr="00B313D0" w14:paraId="3667836C" w14:textId="77777777" w:rsidTr="00A73E64">
        <w:trPr>
          <w:cantSplit/>
        </w:trPr>
        <w:tc>
          <w:tcPr>
            <w:tcW w:w="987" w:type="dxa"/>
            <w:shd w:val="clear" w:color="auto" w:fill="FFFFFF" w:themeFill="background1"/>
            <w:hideMark/>
          </w:tcPr>
          <w:p w14:paraId="605E3AC4" w14:textId="77777777" w:rsidR="0038356E" w:rsidRPr="00B313D0" w:rsidRDefault="0038356E" w:rsidP="00B313D0">
            <w:pPr>
              <w:autoSpaceDE w:val="0"/>
              <w:autoSpaceDN w:val="0"/>
              <w:adjustRightInd w:val="0"/>
              <w:spacing w:line="100" w:lineRule="atLeast"/>
              <w:jc w:val="both"/>
              <w:rPr>
                <w:sz w:val="20"/>
                <w:szCs w:val="20"/>
              </w:rPr>
            </w:pPr>
            <w:r w:rsidRPr="00B313D0">
              <w:rPr>
                <w:sz w:val="20"/>
                <w:szCs w:val="20"/>
              </w:rPr>
              <w:t>Parda</w:t>
            </w:r>
          </w:p>
        </w:tc>
        <w:tc>
          <w:tcPr>
            <w:tcW w:w="567" w:type="dxa"/>
            <w:shd w:val="clear" w:color="auto" w:fill="FFFFFF" w:themeFill="background1"/>
            <w:hideMark/>
          </w:tcPr>
          <w:p w14:paraId="1A0158C2"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Sim</w:t>
            </w:r>
          </w:p>
        </w:tc>
        <w:tc>
          <w:tcPr>
            <w:tcW w:w="1423" w:type="dxa"/>
            <w:shd w:val="clear" w:color="auto" w:fill="FFFFFF" w:themeFill="background1"/>
            <w:vAlign w:val="center"/>
            <w:hideMark/>
          </w:tcPr>
          <w:p w14:paraId="40B6BF00"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7,07(1,34)</w:t>
            </w:r>
          </w:p>
        </w:tc>
        <w:tc>
          <w:tcPr>
            <w:tcW w:w="992" w:type="dxa"/>
            <w:shd w:val="clear" w:color="auto" w:fill="FFFFFF" w:themeFill="background1"/>
            <w:vAlign w:val="center"/>
            <w:hideMark/>
          </w:tcPr>
          <w:p w14:paraId="3DCA4981"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2,095</w:t>
            </w:r>
          </w:p>
        </w:tc>
        <w:tc>
          <w:tcPr>
            <w:tcW w:w="567" w:type="dxa"/>
            <w:shd w:val="clear" w:color="auto" w:fill="FFFFFF" w:themeFill="background1"/>
            <w:vAlign w:val="center"/>
            <w:hideMark/>
          </w:tcPr>
          <w:p w14:paraId="14729FED"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427</w:t>
            </w:r>
          </w:p>
        </w:tc>
        <w:tc>
          <w:tcPr>
            <w:tcW w:w="992" w:type="dxa"/>
            <w:shd w:val="clear" w:color="auto" w:fill="FFFFFF" w:themeFill="background1"/>
            <w:vAlign w:val="center"/>
            <w:hideMark/>
          </w:tcPr>
          <w:p w14:paraId="0C6DF435"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0,037</w:t>
            </w:r>
          </w:p>
        </w:tc>
        <w:tc>
          <w:tcPr>
            <w:tcW w:w="1134" w:type="dxa"/>
            <w:shd w:val="clear" w:color="auto" w:fill="FFFFFF" w:themeFill="background1"/>
            <w:vAlign w:val="center"/>
            <w:hideMark/>
          </w:tcPr>
          <w:p w14:paraId="713E5610"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0,02</w:t>
            </w:r>
          </w:p>
        </w:tc>
        <w:tc>
          <w:tcPr>
            <w:tcW w:w="992" w:type="dxa"/>
            <w:shd w:val="clear" w:color="auto" w:fill="FFFFFF" w:themeFill="background1"/>
            <w:vAlign w:val="center"/>
            <w:hideMark/>
          </w:tcPr>
          <w:p w14:paraId="7F78A895"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0,53</w:t>
            </w:r>
          </w:p>
        </w:tc>
        <w:tc>
          <w:tcPr>
            <w:tcW w:w="993" w:type="dxa"/>
            <w:shd w:val="clear" w:color="auto" w:fill="FFFFFF" w:themeFill="background1"/>
            <w:hideMark/>
          </w:tcPr>
          <w:p w14:paraId="52E8573C"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0,21*</w:t>
            </w:r>
          </w:p>
        </w:tc>
      </w:tr>
      <w:tr w:rsidR="0038356E" w:rsidRPr="00B313D0" w14:paraId="4197EA11" w14:textId="77777777" w:rsidTr="00A73E64">
        <w:trPr>
          <w:cantSplit/>
        </w:trPr>
        <w:tc>
          <w:tcPr>
            <w:tcW w:w="987" w:type="dxa"/>
            <w:shd w:val="clear" w:color="auto" w:fill="FFFFFF" w:themeFill="background1"/>
          </w:tcPr>
          <w:p w14:paraId="3C298BEB" w14:textId="77777777" w:rsidR="0038356E" w:rsidRPr="00B313D0" w:rsidRDefault="0038356E" w:rsidP="00B313D0">
            <w:pPr>
              <w:autoSpaceDE w:val="0"/>
              <w:autoSpaceDN w:val="0"/>
              <w:adjustRightInd w:val="0"/>
              <w:spacing w:line="100" w:lineRule="atLeast"/>
              <w:jc w:val="both"/>
              <w:rPr>
                <w:sz w:val="20"/>
                <w:szCs w:val="20"/>
              </w:rPr>
            </w:pPr>
          </w:p>
        </w:tc>
        <w:tc>
          <w:tcPr>
            <w:tcW w:w="567" w:type="dxa"/>
            <w:shd w:val="clear" w:color="auto" w:fill="FFFFFF" w:themeFill="background1"/>
            <w:hideMark/>
          </w:tcPr>
          <w:p w14:paraId="20E98D5D"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Não</w:t>
            </w:r>
          </w:p>
        </w:tc>
        <w:tc>
          <w:tcPr>
            <w:tcW w:w="1423" w:type="dxa"/>
            <w:shd w:val="clear" w:color="auto" w:fill="FFFFFF" w:themeFill="background1"/>
            <w:vAlign w:val="center"/>
            <w:hideMark/>
          </w:tcPr>
          <w:p w14:paraId="3AE0FE34"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7,33(1,17)</w:t>
            </w:r>
          </w:p>
        </w:tc>
        <w:tc>
          <w:tcPr>
            <w:tcW w:w="992" w:type="dxa"/>
            <w:shd w:val="clear" w:color="auto" w:fill="FFFFFF" w:themeFill="background1"/>
            <w:vAlign w:val="center"/>
          </w:tcPr>
          <w:p w14:paraId="6484ED6D"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567" w:type="dxa"/>
            <w:shd w:val="clear" w:color="auto" w:fill="FFFFFF" w:themeFill="background1"/>
            <w:vAlign w:val="center"/>
          </w:tcPr>
          <w:p w14:paraId="5A9554F3"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2DE8CCC3"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1134" w:type="dxa"/>
            <w:shd w:val="clear" w:color="auto" w:fill="FFFFFF" w:themeFill="background1"/>
            <w:vAlign w:val="center"/>
          </w:tcPr>
          <w:p w14:paraId="5704308D"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56C777A6"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3" w:type="dxa"/>
            <w:shd w:val="clear" w:color="auto" w:fill="FFFFFF" w:themeFill="background1"/>
          </w:tcPr>
          <w:p w14:paraId="3D4600C2" w14:textId="77777777" w:rsidR="0038356E" w:rsidRPr="00B313D0" w:rsidRDefault="0038356E" w:rsidP="00B313D0">
            <w:pPr>
              <w:autoSpaceDE w:val="0"/>
              <w:autoSpaceDN w:val="0"/>
              <w:adjustRightInd w:val="0"/>
              <w:spacing w:line="100" w:lineRule="atLeast"/>
              <w:ind w:left="60" w:right="60"/>
              <w:jc w:val="center"/>
              <w:rPr>
                <w:sz w:val="20"/>
                <w:szCs w:val="20"/>
              </w:rPr>
            </w:pPr>
          </w:p>
        </w:tc>
      </w:tr>
      <w:tr w:rsidR="0038356E" w:rsidRPr="00B313D0" w14:paraId="26E25CDC" w14:textId="77777777" w:rsidTr="00A73E64">
        <w:trPr>
          <w:cantSplit/>
        </w:trPr>
        <w:tc>
          <w:tcPr>
            <w:tcW w:w="987" w:type="dxa"/>
            <w:shd w:val="clear" w:color="auto" w:fill="FFFFFF" w:themeFill="background1"/>
            <w:hideMark/>
          </w:tcPr>
          <w:p w14:paraId="7BFB74F9" w14:textId="77777777" w:rsidR="0038356E" w:rsidRPr="00B313D0" w:rsidRDefault="0038356E" w:rsidP="00B313D0">
            <w:pPr>
              <w:autoSpaceDE w:val="0"/>
              <w:autoSpaceDN w:val="0"/>
              <w:adjustRightInd w:val="0"/>
              <w:spacing w:line="100" w:lineRule="atLeast"/>
              <w:jc w:val="both"/>
              <w:rPr>
                <w:sz w:val="20"/>
                <w:szCs w:val="20"/>
              </w:rPr>
            </w:pPr>
            <w:r w:rsidRPr="00B313D0">
              <w:rPr>
                <w:sz w:val="20"/>
                <w:szCs w:val="20"/>
              </w:rPr>
              <w:t>Preta</w:t>
            </w:r>
          </w:p>
        </w:tc>
        <w:tc>
          <w:tcPr>
            <w:tcW w:w="567" w:type="dxa"/>
            <w:shd w:val="clear" w:color="auto" w:fill="FFFFFF" w:themeFill="background1"/>
            <w:hideMark/>
          </w:tcPr>
          <w:p w14:paraId="78C37CC0"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Sim</w:t>
            </w:r>
          </w:p>
        </w:tc>
        <w:tc>
          <w:tcPr>
            <w:tcW w:w="1423" w:type="dxa"/>
            <w:shd w:val="clear" w:color="auto" w:fill="FFFFFF" w:themeFill="background1"/>
            <w:vAlign w:val="center"/>
            <w:hideMark/>
          </w:tcPr>
          <w:p w14:paraId="7E95BB2C"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6,96(1,61)</w:t>
            </w:r>
          </w:p>
        </w:tc>
        <w:tc>
          <w:tcPr>
            <w:tcW w:w="992" w:type="dxa"/>
            <w:shd w:val="clear" w:color="auto" w:fill="FFFFFF" w:themeFill="background1"/>
            <w:vAlign w:val="center"/>
            <w:hideMark/>
          </w:tcPr>
          <w:p w14:paraId="513A76B4"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1,826</w:t>
            </w:r>
          </w:p>
        </w:tc>
        <w:tc>
          <w:tcPr>
            <w:tcW w:w="567" w:type="dxa"/>
            <w:shd w:val="clear" w:color="auto" w:fill="FFFFFF" w:themeFill="background1"/>
            <w:vAlign w:val="center"/>
            <w:hideMark/>
          </w:tcPr>
          <w:p w14:paraId="4AE8AAA3"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427</w:t>
            </w:r>
          </w:p>
        </w:tc>
        <w:tc>
          <w:tcPr>
            <w:tcW w:w="992" w:type="dxa"/>
            <w:shd w:val="clear" w:color="auto" w:fill="FFFFFF" w:themeFill="background1"/>
            <w:vAlign w:val="center"/>
            <w:hideMark/>
          </w:tcPr>
          <w:p w14:paraId="5AE7017C"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0,060</w:t>
            </w:r>
          </w:p>
        </w:tc>
        <w:tc>
          <w:tcPr>
            <w:tcW w:w="1134" w:type="dxa"/>
            <w:shd w:val="clear" w:color="auto" w:fill="FFFFFF" w:themeFill="background1"/>
            <w:vAlign w:val="center"/>
            <w:hideMark/>
          </w:tcPr>
          <w:p w14:paraId="6B30DCD1"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0,01</w:t>
            </w:r>
          </w:p>
        </w:tc>
        <w:tc>
          <w:tcPr>
            <w:tcW w:w="992" w:type="dxa"/>
            <w:shd w:val="clear" w:color="auto" w:fill="FFFFFF" w:themeFill="background1"/>
            <w:vAlign w:val="center"/>
            <w:hideMark/>
          </w:tcPr>
          <w:p w14:paraId="4C9437E9"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0,68</w:t>
            </w:r>
          </w:p>
        </w:tc>
        <w:tc>
          <w:tcPr>
            <w:tcW w:w="993" w:type="dxa"/>
            <w:shd w:val="clear" w:color="auto" w:fill="FFFFFF" w:themeFill="background1"/>
            <w:hideMark/>
          </w:tcPr>
          <w:p w14:paraId="6D31B464"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0,28*</w:t>
            </w:r>
          </w:p>
        </w:tc>
      </w:tr>
      <w:tr w:rsidR="0038356E" w:rsidRPr="00B313D0" w14:paraId="75A09490" w14:textId="77777777" w:rsidTr="00A73E64">
        <w:trPr>
          <w:cantSplit/>
        </w:trPr>
        <w:tc>
          <w:tcPr>
            <w:tcW w:w="987" w:type="dxa"/>
            <w:shd w:val="clear" w:color="auto" w:fill="FFFFFF" w:themeFill="background1"/>
          </w:tcPr>
          <w:p w14:paraId="55113990" w14:textId="77777777" w:rsidR="0038356E" w:rsidRPr="00B313D0" w:rsidRDefault="0038356E" w:rsidP="00B313D0">
            <w:pPr>
              <w:autoSpaceDE w:val="0"/>
              <w:autoSpaceDN w:val="0"/>
              <w:adjustRightInd w:val="0"/>
              <w:spacing w:line="100" w:lineRule="atLeast"/>
              <w:jc w:val="center"/>
              <w:rPr>
                <w:sz w:val="20"/>
                <w:szCs w:val="20"/>
              </w:rPr>
            </w:pPr>
          </w:p>
        </w:tc>
        <w:tc>
          <w:tcPr>
            <w:tcW w:w="567" w:type="dxa"/>
            <w:shd w:val="clear" w:color="auto" w:fill="FFFFFF" w:themeFill="background1"/>
            <w:hideMark/>
          </w:tcPr>
          <w:p w14:paraId="10DA3AC2"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Não</w:t>
            </w:r>
          </w:p>
        </w:tc>
        <w:tc>
          <w:tcPr>
            <w:tcW w:w="1423" w:type="dxa"/>
            <w:shd w:val="clear" w:color="auto" w:fill="FFFFFF" w:themeFill="background1"/>
            <w:vAlign w:val="center"/>
            <w:hideMark/>
          </w:tcPr>
          <w:p w14:paraId="1F0CD81B"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7,31(1,13)</w:t>
            </w:r>
          </w:p>
        </w:tc>
        <w:tc>
          <w:tcPr>
            <w:tcW w:w="992" w:type="dxa"/>
            <w:shd w:val="clear" w:color="auto" w:fill="FFFFFF" w:themeFill="background1"/>
            <w:vAlign w:val="center"/>
          </w:tcPr>
          <w:p w14:paraId="4ACB3D0E"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567" w:type="dxa"/>
            <w:shd w:val="clear" w:color="auto" w:fill="FFFFFF" w:themeFill="background1"/>
            <w:vAlign w:val="center"/>
          </w:tcPr>
          <w:p w14:paraId="71F2133B"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6ED8B3C5"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1134" w:type="dxa"/>
            <w:shd w:val="clear" w:color="auto" w:fill="FFFFFF" w:themeFill="background1"/>
            <w:vAlign w:val="center"/>
          </w:tcPr>
          <w:p w14:paraId="0A7577CB"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57815786"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3" w:type="dxa"/>
            <w:shd w:val="clear" w:color="auto" w:fill="FFFFFF" w:themeFill="background1"/>
          </w:tcPr>
          <w:p w14:paraId="1807930A" w14:textId="77777777" w:rsidR="0038356E" w:rsidRPr="00B313D0" w:rsidRDefault="0038356E" w:rsidP="00B313D0">
            <w:pPr>
              <w:autoSpaceDE w:val="0"/>
              <w:autoSpaceDN w:val="0"/>
              <w:adjustRightInd w:val="0"/>
              <w:spacing w:line="100" w:lineRule="atLeast"/>
              <w:ind w:left="60" w:right="60"/>
              <w:jc w:val="center"/>
              <w:rPr>
                <w:sz w:val="20"/>
                <w:szCs w:val="20"/>
              </w:rPr>
            </w:pPr>
          </w:p>
        </w:tc>
      </w:tr>
      <w:tr w:rsidR="0038356E" w:rsidRPr="00B313D0" w14:paraId="2C488570" w14:textId="77777777" w:rsidTr="00A73E64">
        <w:trPr>
          <w:cantSplit/>
        </w:trPr>
        <w:tc>
          <w:tcPr>
            <w:tcW w:w="987" w:type="dxa"/>
            <w:shd w:val="clear" w:color="auto" w:fill="FFFFFF" w:themeFill="background1"/>
          </w:tcPr>
          <w:p w14:paraId="2C703F6A" w14:textId="77777777" w:rsidR="0038356E" w:rsidRPr="00B313D0" w:rsidRDefault="0038356E" w:rsidP="00B313D0">
            <w:pPr>
              <w:autoSpaceDE w:val="0"/>
              <w:autoSpaceDN w:val="0"/>
              <w:adjustRightInd w:val="0"/>
              <w:spacing w:line="100" w:lineRule="atLeast"/>
              <w:jc w:val="center"/>
              <w:rPr>
                <w:sz w:val="20"/>
                <w:szCs w:val="20"/>
              </w:rPr>
            </w:pPr>
          </w:p>
        </w:tc>
        <w:tc>
          <w:tcPr>
            <w:tcW w:w="567" w:type="dxa"/>
            <w:shd w:val="clear" w:color="auto" w:fill="FFFFFF" w:themeFill="background1"/>
          </w:tcPr>
          <w:p w14:paraId="693D9CF2"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1423" w:type="dxa"/>
            <w:tcBorders>
              <w:top w:val="nil"/>
              <w:left w:val="nil"/>
              <w:bottom w:val="single" w:sz="4" w:space="0" w:color="auto"/>
              <w:right w:val="nil"/>
            </w:tcBorders>
            <w:shd w:val="clear" w:color="auto" w:fill="FFFFFF" w:themeFill="background1"/>
            <w:vAlign w:val="center"/>
          </w:tcPr>
          <w:p w14:paraId="7BBAEF24" w14:textId="77777777" w:rsidR="0038356E" w:rsidRPr="00B313D0" w:rsidRDefault="0038356E" w:rsidP="00B313D0">
            <w:pPr>
              <w:autoSpaceDE w:val="0"/>
              <w:autoSpaceDN w:val="0"/>
              <w:adjustRightInd w:val="0"/>
              <w:spacing w:line="100" w:lineRule="atLeast"/>
              <w:jc w:val="center"/>
              <w:rPr>
                <w:sz w:val="20"/>
                <w:szCs w:val="20"/>
              </w:rPr>
            </w:pPr>
          </w:p>
          <w:p w14:paraId="4D752240"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Saúde percebida</w:t>
            </w:r>
          </w:p>
          <w:p w14:paraId="21AFD9ED" w14:textId="77777777" w:rsidR="0038356E" w:rsidRPr="00B313D0" w:rsidRDefault="0038356E" w:rsidP="00B313D0">
            <w:pPr>
              <w:autoSpaceDE w:val="0"/>
              <w:autoSpaceDN w:val="0"/>
              <w:adjustRightInd w:val="0"/>
              <w:spacing w:line="100" w:lineRule="atLeast"/>
              <w:jc w:val="center"/>
              <w:rPr>
                <w:sz w:val="20"/>
                <w:szCs w:val="20"/>
              </w:rPr>
            </w:pPr>
          </w:p>
        </w:tc>
        <w:tc>
          <w:tcPr>
            <w:tcW w:w="992" w:type="dxa"/>
            <w:shd w:val="clear" w:color="auto" w:fill="FFFFFF" w:themeFill="background1"/>
            <w:vAlign w:val="center"/>
          </w:tcPr>
          <w:p w14:paraId="7248296B"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567" w:type="dxa"/>
            <w:shd w:val="clear" w:color="auto" w:fill="FFFFFF" w:themeFill="background1"/>
            <w:vAlign w:val="center"/>
          </w:tcPr>
          <w:p w14:paraId="5569E348"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5A413345"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1134" w:type="dxa"/>
            <w:shd w:val="clear" w:color="auto" w:fill="FFFFFF" w:themeFill="background1"/>
            <w:vAlign w:val="center"/>
          </w:tcPr>
          <w:p w14:paraId="1258D069"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744006A9"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3" w:type="dxa"/>
            <w:shd w:val="clear" w:color="auto" w:fill="FFFFFF" w:themeFill="background1"/>
          </w:tcPr>
          <w:p w14:paraId="574C7C47" w14:textId="77777777" w:rsidR="0038356E" w:rsidRPr="00B313D0" w:rsidRDefault="0038356E" w:rsidP="00B313D0">
            <w:pPr>
              <w:autoSpaceDE w:val="0"/>
              <w:autoSpaceDN w:val="0"/>
              <w:adjustRightInd w:val="0"/>
              <w:spacing w:line="100" w:lineRule="atLeast"/>
              <w:ind w:left="60" w:right="60"/>
              <w:jc w:val="center"/>
              <w:rPr>
                <w:sz w:val="20"/>
                <w:szCs w:val="20"/>
              </w:rPr>
            </w:pPr>
          </w:p>
        </w:tc>
      </w:tr>
      <w:tr w:rsidR="0038356E" w:rsidRPr="00B313D0" w14:paraId="1F0CB8DD" w14:textId="77777777" w:rsidTr="00A73E64">
        <w:trPr>
          <w:cantSplit/>
        </w:trPr>
        <w:tc>
          <w:tcPr>
            <w:tcW w:w="987" w:type="dxa"/>
            <w:shd w:val="clear" w:color="auto" w:fill="FFFFFF" w:themeFill="background1"/>
            <w:hideMark/>
          </w:tcPr>
          <w:p w14:paraId="7533E4C3" w14:textId="77777777" w:rsidR="0038356E" w:rsidRPr="00B313D0" w:rsidRDefault="0038356E" w:rsidP="00B313D0">
            <w:pPr>
              <w:autoSpaceDE w:val="0"/>
              <w:autoSpaceDN w:val="0"/>
              <w:adjustRightInd w:val="0"/>
              <w:spacing w:line="100" w:lineRule="atLeast"/>
              <w:jc w:val="both"/>
              <w:rPr>
                <w:sz w:val="20"/>
                <w:szCs w:val="20"/>
              </w:rPr>
            </w:pPr>
            <w:r w:rsidRPr="00B313D0">
              <w:rPr>
                <w:sz w:val="20"/>
                <w:szCs w:val="20"/>
              </w:rPr>
              <w:t>Branca</w:t>
            </w:r>
          </w:p>
        </w:tc>
        <w:tc>
          <w:tcPr>
            <w:tcW w:w="567" w:type="dxa"/>
            <w:shd w:val="clear" w:color="auto" w:fill="FFFFFF" w:themeFill="background1"/>
            <w:hideMark/>
          </w:tcPr>
          <w:p w14:paraId="62DC0D31"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Sim</w:t>
            </w:r>
          </w:p>
        </w:tc>
        <w:tc>
          <w:tcPr>
            <w:tcW w:w="1423" w:type="dxa"/>
            <w:tcBorders>
              <w:top w:val="single" w:sz="4" w:space="0" w:color="auto"/>
              <w:left w:val="nil"/>
              <w:bottom w:val="nil"/>
              <w:right w:val="nil"/>
            </w:tcBorders>
            <w:shd w:val="clear" w:color="auto" w:fill="FFFFFF" w:themeFill="background1"/>
            <w:vAlign w:val="center"/>
            <w:hideMark/>
          </w:tcPr>
          <w:p w14:paraId="2EF2F07C"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2,42(0,80)</w:t>
            </w:r>
          </w:p>
        </w:tc>
        <w:tc>
          <w:tcPr>
            <w:tcW w:w="992" w:type="dxa"/>
            <w:shd w:val="clear" w:color="auto" w:fill="FFFFFF" w:themeFill="background1"/>
            <w:vAlign w:val="center"/>
            <w:hideMark/>
          </w:tcPr>
          <w:p w14:paraId="39009D2A"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3,902</w:t>
            </w:r>
          </w:p>
        </w:tc>
        <w:tc>
          <w:tcPr>
            <w:tcW w:w="567" w:type="dxa"/>
            <w:shd w:val="clear" w:color="auto" w:fill="FFFFFF" w:themeFill="background1"/>
            <w:vAlign w:val="center"/>
            <w:hideMark/>
          </w:tcPr>
          <w:p w14:paraId="679A1F1C"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427</w:t>
            </w:r>
          </w:p>
        </w:tc>
        <w:tc>
          <w:tcPr>
            <w:tcW w:w="992" w:type="dxa"/>
            <w:shd w:val="clear" w:color="auto" w:fill="FFFFFF" w:themeFill="background1"/>
            <w:vAlign w:val="center"/>
            <w:hideMark/>
          </w:tcPr>
          <w:p w14:paraId="1EA8609F"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0,001</w:t>
            </w:r>
          </w:p>
        </w:tc>
        <w:tc>
          <w:tcPr>
            <w:tcW w:w="1134" w:type="dxa"/>
            <w:shd w:val="clear" w:color="auto" w:fill="FFFFFF" w:themeFill="background1"/>
            <w:vAlign w:val="center"/>
            <w:hideMark/>
          </w:tcPr>
          <w:p w14:paraId="3C8F795F"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0,17</w:t>
            </w:r>
          </w:p>
        </w:tc>
        <w:tc>
          <w:tcPr>
            <w:tcW w:w="992" w:type="dxa"/>
            <w:shd w:val="clear" w:color="auto" w:fill="FFFFFF" w:themeFill="background1"/>
            <w:vAlign w:val="center"/>
            <w:hideMark/>
          </w:tcPr>
          <w:p w14:paraId="67300188"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0,50</w:t>
            </w:r>
          </w:p>
        </w:tc>
        <w:tc>
          <w:tcPr>
            <w:tcW w:w="993" w:type="dxa"/>
            <w:shd w:val="clear" w:color="auto" w:fill="FFFFFF" w:themeFill="background1"/>
            <w:hideMark/>
          </w:tcPr>
          <w:p w14:paraId="37B7BE4F"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0,38*</w:t>
            </w:r>
          </w:p>
        </w:tc>
      </w:tr>
      <w:tr w:rsidR="0038356E" w:rsidRPr="00B313D0" w14:paraId="77E7C5FF" w14:textId="77777777" w:rsidTr="00A73E64">
        <w:trPr>
          <w:cantSplit/>
        </w:trPr>
        <w:tc>
          <w:tcPr>
            <w:tcW w:w="987" w:type="dxa"/>
            <w:shd w:val="clear" w:color="auto" w:fill="FFFFFF" w:themeFill="background1"/>
          </w:tcPr>
          <w:p w14:paraId="461CB9CC" w14:textId="77777777" w:rsidR="0038356E" w:rsidRPr="00B313D0" w:rsidRDefault="0038356E" w:rsidP="00B313D0">
            <w:pPr>
              <w:autoSpaceDE w:val="0"/>
              <w:autoSpaceDN w:val="0"/>
              <w:adjustRightInd w:val="0"/>
              <w:spacing w:line="100" w:lineRule="atLeast"/>
              <w:jc w:val="both"/>
              <w:rPr>
                <w:sz w:val="20"/>
                <w:szCs w:val="20"/>
              </w:rPr>
            </w:pPr>
          </w:p>
        </w:tc>
        <w:tc>
          <w:tcPr>
            <w:tcW w:w="567" w:type="dxa"/>
            <w:shd w:val="clear" w:color="auto" w:fill="FFFFFF" w:themeFill="background1"/>
            <w:hideMark/>
          </w:tcPr>
          <w:p w14:paraId="571093D6"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Não</w:t>
            </w:r>
          </w:p>
        </w:tc>
        <w:tc>
          <w:tcPr>
            <w:tcW w:w="1423" w:type="dxa"/>
            <w:shd w:val="clear" w:color="auto" w:fill="FFFFFF" w:themeFill="background1"/>
            <w:vAlign w:val="center"/>
            <w:hideMark/>
          </w:tcPr>
          <w:p w14:paraId="32045295"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2,75(0,91)</w:t>
            </w:r>
          </w:p>
        </w:tc>
        <w:tc>
          <w:tcPr>
            <w:tcW w:w="992" w:type="dxa"/>
            <w:shd w:val="clear" w:color="auto" w:fill="FFFFFF" w:themeFill="background1"/>
            <w:vAlign w:val="center"/>
          </w:tcPr>
          <w:p w14:paraId="6AE0EFCC"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567" w:type="dxa"/>
            <w:shd w:val="clear" w:color="auto" w:fill="FFFFFF" w:themeFill="background1"/>
            <w:vAlign w:val="center"/>
          </w:tcPr>
          <w:p w14:paraId="525C64DC"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3D964096"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1134" w:type="dxa"/>
            <w:shd w:val="clear" w:color="auto" w:fill="FFFFFF" w:themeFill="background1"/>
            <w:vAlign w:val="center"/>
          </w:tcPr>
          <w:p w14:paraId="48388D36"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3C8E3ED6"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3" w:type="dxa"/>
            <w:shd w:val="clear" w:color="auto" w:fill="FFFFFF" w:themeFill="background1"/>
          </w:tcPr>
          <w:p w14:paraId="380D7900" w14:textId="77777777" w:rsidR="0038356E" w:rsidRPr="00B313D0" w:rsidRDefault="0038356E" w:rsidP="00B313D0">
            <w:pPr>
              <w:autoSpaceDE w:val="0"/>
              <w:autoSpaceDN w:val="0"/>
              <w:adjustRightInd w:val="0"/>
              <w:spacing w:line="100" w:lineRule="atLeast"/>
              <w:ind w:left="60" w:right="60"/>
              <w:jc w:val="center"/>
              <w:rPr>
                <w:sz w:val="20"/>
                <w:szCs w:val="20"/>
              </w:rPr>
            </w:pPr>
          </w:p>
        </w:tc>
      </w:tr>
      <w:tr w:rsidR="0038356E" w:rsidRPr="00B313D0" w14:paraId="030D0F2C" w14:textId="77777777" w:rsidTr="00A73E64">
        <w:trPr>
          <w:cantSplit/>
        </w:trPr>
        <w:tc>
          <w:tcPr>
            <w:tcW w:w="987" w:type="dxa"/>
            <w:shd w:val="clear" w:color="auto" w:fill="FFFFFF" w:themeFill="background1"/>
            <w:hideMark/>
          </w:tcPr>
          <w:p w14:paraId="11A3AF0A" w14:textId="77777777" w:rsidR="0038356E" w:rsidRPr="00B313D0" w:rsidRDefault="0038356E" w:rsidP="00B313D0">
            <w:pPr>
              <w:autoSpaceDE w:val="0"/>
              <w:autoSpaceDN w:val="0"/>
              <w:adjustRightInd w:val="0"/>
              <w:spacing w:line="100" w:lineRule="atLeast"/>
              <w:jc w:val="both"/>
              <w:rPr>
                <w:sz w:val="20"/>
                <w:szCs w:val="20"/>
              </w:rPr>
            </w:pPr>
            <w:r w:rsidRPr="00B313D0">
              <w:rPr>
                <w:sz w:val="20"/>
                <w:szCs w:val="20"/>
              </w:rPr>
              <w:t>Parda</w:t>
            </w:r>
          </w:p>
        </w:tc>
        <w:tc>
          <w:tcPr>
            <w:tcW w:w="567" w:type="dxa"/>
            <w:shd w:val="clear" w:color="auto" w:fill="FFFFFF" w:themeFill="background1"/>
            <w:hideMark/>
          </w:tcPr>
          <w:p w14:paraId="4F7EDF95"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Sim</w:t>
            </w:r>
          </w:p>
        </w:tc>
        <w:tc>
          <w:tcPr>
            <w:tcW w:w="1423" w:type="dxa"/>
            <w:shd w:val="clear" w:color="auto" w:fill="FFFFFF" w:themeFill="background1"/>
            <w:vAlign w:val="center"/>
            <w:hideMark/>
          </w:tcPr>
          <w:p w14:paraId="515445DF"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2,78(0,86)</w:t>
            </w:r>
          </w:p>
        </w:tc>
        <w:tc>
          <w:tcPr>
            <w:tcW w:w="992" w:type="dxa"/>
            <w:shd w:val="clear" w:color="auto" w:fill="FFFFFF" w:themeFill="background1"/>
            <w:vAlign w:val="center"/>
            <w:hideMark/>
          </w:tcPr>
          <w:p w14:paraId="290967AF"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-3,118</w:t>
            </w:r>
          </w:p>
        </w:tc>
        <w:tc>
          <w:tcPr>
            <w:tcW w:w="567" w:type="dxa"/>
            <w:shd w:val="clear" w:color="auto" w:fill="FFFFFF" w:themeFill="background1"/>
            <w:vAlign w:val="center"/>
            <w:hideMark/>
          </w:tcPr>
          <w:p w14:paraId="68DB7F16"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427</w:t>
            </w:r>
          </w:p>
        </w:tc>
        <w:tc>
          <w:tcPr>
            <w:tcW w:w="992" w:type="dxa"/>
            <w:shd w:val="clear" w:color="auto" w:fill="FFFFFF" w:themeFill="background1"/>
            <w:vAlign w:val="center"/>
            <w:hideMark/>
          </w:tcPr>
          <w:p w14:paraId="47A75904"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0,004</w:t>
            </w:r>
          </w:p>
        </w:tc>
        <w:tc>
          <w:tcPr>
            <w:tcW w:w="1134" w:type="dxa"/>
            <w:shd w:val="clear" w:color="auto" w:fill="FFFFFF" w:themeFill="background1"/>
            <w:vAlign w:val="center"/>
            <w:hideMark/>
          </w:tcPr>
          <w:p w14:paraId="7A0EC91D"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-0,46</w:t>
            </w:r>
          </w:p>
        </w:tc>
        <w:tc>
          <w:tcPr>
            <w:tcW w:w="992" w:type="dxa"/>
            <w:shd w:val="clear" w:color="auto" w:fill="FFFFFF" w:themeFill="background1"/>
            <w:vAlign w:val="center"/>
            <w:hideMark/>
          </w:tcPr>
          <w:p w14:paraId="2446557F"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-0,11</w:t>
            </w:r>
          </w:p>
        </w:tc>
        <w:tc>
          <w:tcPr>
            <w:tcW w:w="993" w:type="dxa"/>
            <w:shd w:val="clear" w:color="auto" w:fill="FFFFFF" w:themeFill="background1"/>
            <w:hideMark/>
          </w:tcPr>
          <w:p w14:paraId="394ABBA2"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0,31*</w:t>
            </w:r>
          </w:p>
        </w:tc>
      </w:tr>
      <w:tr w:rsidR="0038356E" w:rsidRPr="00B313D0" w14:paraId="4C60ADC9" w14:textId="77777777" w:rsidTr="00A73E64">
        <w:trPr>
          <w:cantSplit/>
        </w:trPr>
        <w:tc>
          <w:tcPr>
            <w:tcW w:w="987" w:type="dxa"/>
            <w:tcBorders>
              <w:top w:val="nil"/>
              <w:left w:val="nil"/>
              <w:bottom w:val="single" w:sz="4" w:space="0" w:color="auto"/>
              <w:right w:val="nil"/>
            </w:tcBorders>
            <w:shd w:val="clear" w:color="auto" w:fill="FFFFFF" w:themeFill="background1"/>
          </w:tcPr>
          <w:p w14:paraId="270BABE1" w14:textId="77777777" w:rsidR="0038356E" w:rsidRPr="00B313D0" w:rsidRDefault="0038356E" w:rsidP="00B313D0">
            <w:pPr>
              <w:autoSpaceDE w:val="0"/>
              <w:autoSpaceDN w:val="0"/>
              <w:adjustRightInd w:val="0"/>
              <w:spacing w:line="100" w:lineRule="atLeast"/>
              <w:jc w:val="center"/>
              <w:rPr>
                <w:sz w:val="20"/>
                <w:szCs w:val="20"/>
              </w:rPr>
            </w:pPr>
          </w:p>
        </w:tc>
        <w:tc>
          <w:tcPr>
            <w:tcW w:w="567" w:type="dxa"/>
            <w:tcBorders>
              <w:top w:val="nil"/>
              <w:left w:val="nil"/>
              <w:bottom w:val="single" w:sz="4" w:space="0" w:color="auto"/>
              <w:right w:val="nil"/>
            </w:tcBorders>
            <w:shd w:val="clear" w:color="auto" w:fill="FFFFFF" w:themeFill="background1"/>
            <w:hideMark/>
          </w:tcPr>
          <w:p w14:paraId="05CDA69E"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Não</w:t>
            </w:r>
          </w:p>
        </w:tc>
        <w:tc>
          <w:tcPr>
            <w:tcW w:w="1423" w:type="dxa"/>
            <w:tcBorders>
              <w:top w:val="nil"/>
              <w:left w:val="nil"/>
              <w:bottom w:val="single" w:sz="4" w:space="0" w:color="auto"/>
              <w:right w:val="nil"/>
            </w:tcBorders>
            <w:shd w:val="clear" w:color="auto" w:fill="FFFFFF" w:themeFill="background1"/>
            <w:vAlign w:val="center"/>
            <w:hideMark/>
          </w:tcPr>
          <w:p w14:paraId="3D7DB7A4"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2,51(0,87)</w:t>
            </w:r>
          </w:p>
        </w:tc>
        <w:tc>
          <w:tcPr>
            <w:tcW w:w="992" w:type="dxa"/>
            <w:tcBorders>
              <w:top w:val="nil"/>
              <w:left w:val="nil"/>
              <w:bottom w:val="single" w:sz="4" w:space="0" w:color="auto"/>
              <w:right w:val="nil"/>
            </w:tcBorders>
            <w:shd w:val="clear" w:color="auto" w:fill="FFFFFF" w:themeFill="background1"/>
            <w:vAlign w:val="center"/>
          </w:tcPr>
          <w:p w14:paraId="1AFAE9EB"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567" w:type="dxa"/>
            <w:tcBorders>
              <w:top w:val="nil"/>
              <w:left w:val="nil"/>
              <w:bottom w:val="single" w:sz="4" w:space="0" w:color="auto"/>
              <w:right w:val="nil"/>
            </w:tcBorders>
            <w:shd w:val="clear" w:color="auto" w:fill="FFFFFF" w:themeFill="background1"/>
            <w:vAlign w:val="center"/>
          </w:tcPr>
          <w:p w14:paraId="26EC9FF5"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tcBorders>
              <w:top w:val="nil"/>
              <w:left w:val="nil"/>
              <w:bottom w:val="single" w:sz="4" w:space="0" w:color="auto"/>
              <w:right w:val="nil"/>
            </w:tcBorders>
            <w:shd w:val="clear" w:color="auto" w:fill="FFFFFF" w:themeFill="background1"/>
            <w:vAlign w:val="center"/>
          </w:tcPr>
          <w:p w14:paraId="5EC14DB2"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1134" w:type="dxa"/>
            <w:tcBorders>
              <w:top w:val="nil"/>
              <w:left w:val="nil"/>
              <w:bottom w:val="single" w:sz="4" w:space="0" w:color="auto"/>
              <w:right w:val="nil"/>
            </w:tcBorders>
            <w:shd w:val="clear" w:color="auto" w:fill="FFFFFF" w:themeFill="background1"/>
            <w:vAlign w:val="center"/>
          </w:tcPr>
          <w:p w14:paraId="38CEA1BF"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tcBorders>
              <w:top w:val="nil"/>
              <w:left w:val="nil"/>
              <w:bottom w:val="single" w:sz="4" w:space="0" w:color="auto"/>
              <w:right w:val="nil"/>
            </w:tcBorders>
            <w:shd w:val="clear" w:color="auto" w:fill="FFFFFF" w:themeFill="background1"/>
            <w:vAlign w:val="center"/>
          </w:tcPr>
          <w:p w14:paraId="6A1FEE6E"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3" w:type="dxa"/>
            <w:tcBorders>
              <w:top w:val="nil"/>
              <w:left w:val="nil"/>
              <w:bottom w:val="single" w:sz="4" w:space="0" w:color="auto"/>
              <w:right w:val="nil"/>
            </w:tcBorders>
            <w:shd w:val="clear" w:color="auto" w:fill="FFFFFF" w:themeFill="background1"/>
          </w:tcPr>
          <w:p w14:paraId="660AEE31" w14:textId="77777777" w:rsidR="0038356E" w:rsidRPr="00B313D0" w:rsidRDefault="0038356E" w:rsidP="00B313D0">
            <w:pPr>
              <w:autoSpaceDE w:val="0"/>
              <w:autoSpaceDN w:val="0"/>
              <w:adjustRightInd w:val="0"/>
              <w:spacing w:line="100" w:lineRule="atLeast"/>
              <w:ind w:left="60" w:right="60"/>
              <w:jc w:val="center"/>
              <w:rPr>
                <w:sz w:val="20"/>
                <w:szCs w:val="20"/>
              </w:rPr>
            </w:pPr>
          </w:p>
        </w:tc>
      </w:tr>
    </w:tbl>
    <w:p w14:paraId="33F7C5A5" w14:textId="77777777" w:rsidR="0038356E" w:rsidRPr="00B313D0" w:rsidRDefault="0038356E" w:rsidP="0038356E">
      <w:pPr>
        <w:spacing w:line="480" w:lineRule="auto"/>
        <w:ind w:firstLine="720"/>
        <w:rPr>
          <w:sz w:val="20"/>
          <w:szCs w:val="20"/>
        </w:rPr>
      </w:pPr>
      <w:r w:rsidRPr="00B313D0">
        <w:rPr>
          <w:i/>
          <w:iCs/>
          <w:sz w:val="20"/>
          <w:szCs w:val="20"/>
        </w:rPr>
        <w:t>Nota</w:t>
      </w:r>
      <w:r w:rsidRPr="00B313D0">
        <w:rPr>
          <w:sz w:val="20"/>
          <w:szCs w:val="20"/>
        </w:rPr>
        <w:t>: *Efeito pequeno; **Efeito médio</w:t>
      </w:r>
    </w:p>
    <w:p w14:paraId="0582DF4F" w14:textId="77777777" w:rsidR="00BF0291" w:rsidRDefault="00BF0291" w:rsidP="00B313D0">
      <w:pPr>
        <w:spacing w:line="360" w:lineRule="auto"/>
        <w:ind w:right="142" w:firstLine="708"/>
        <w:jc w:val="both"/>
      </w:pPr>
    </w:p>
    <w:p w14:paraId="43662BAD" w14:textId="77777777" w:rsidR="0038356E" w:rsidRPr="00B10BA9" w:rsidRDefault="0038356E" w:rsidP="00B313D0">
      <w:pPr>
        <w:spacing w:line="360" w:lineRule="auto"/>
        <w:ind w:right="142" w:firstLine="708"/>
        <w:jc w:val="both"/>
      </w:pPr>
      <w:r w:rsidRPr="00B10BA9">
        <w:tab/>
        <w:t>Os resultados da ANOVA fatorial demonstraram que houve um efeito estatisticamente significativo apenas para a interação entre raça/cor da pele preta e estado civil solteira (</w:t>
      </w:r>
      <w:proofErr w:type="gramStart"/>
      <w:r w:rsidRPr="00B10BA9">
        <w:rPr>
          <w:i/>
          <w:iCs/>
        </w:rPr>
        <w:t>F</w:t>
      </w:r>
      <w:r w:rsidRPr="00B10BA9">
        <w:t>(</w:t>
      </w:r>
      <w:proofErr w:type="gramEnd"/>
      <w:r w:rsidRPr="00B10BA9">
        <w:t xml:space="preserve">1, 541) = 5,721, </w:t>
      </w:r>
      <w:r w:rsidRPr="00B10BA9">
        <w:rPr>
          <w:i/>
          <w:iCs/>
        </w:rPr>
        <w:t>p</w:t>
      </w:r>
      <w:r w:rsidRPr="00B10BA9">
        <w:t xml:space="preserve"> = 0,017), isto é, mulheres pretas solteiras apresentaram maior morbidade psiquiátrica (Tabela 3).</w:t>
      </w:r>
    </w:p>
    <w:p w14:paraId="41A6526E" w14:textId="77777777" w:rsidR="0038356E" w:rsidRDefault="0038356E" w:rsidP="00B313D0">
      <w:pPr>
        <w:spacing w:line="360" w:lineRule="auto"/>
        <w:ind w:right="142"/>
        <w:jc w:val="both"/>
      </w:pPr>
    </w:p>
    <w:p w14:paraId="36F61424" w14:textId="77777777" w:rsidR="00BF0291" w:rsidRDefault="00BF0291" w:rsidP="00B313D0">
      <w:pPr>
        <w:spacing w:line="360" w:lineRule="auto"/>
        <w:ind w:right="142"/>
        <w:jc w:val="both"/>
      </w:pPr>
    </w:p>
    <w:p w14:paraId="196F7462" w14:textId="77777777" w:rsidR="00BF0291" w:rsidRDefault="00BF0291" w:rsidP="00B313D0">
      <w:pPr>
        <w:spacing w:line="360" w:lineRule="auto"/>
        <w:ind w:right="142"/>
        <w:jc w:val="both"/>
      </w:pPr>
    </w:p>
    <w:p w14:paraId="63D09C21" w14:textId="77777777" w:rsidR="00BF0291" w:rsidRPr="00B10BA9" w:rsidRDefault="00BF0291" w:rsidP="00B313D0">
      <w:pPr>
        <w:spacing w:line="360" w:lineRule="auto"/>
        <w:ind w:right="142"/>
        <w:jc w:val="both"/>
      </w:pPr>
    </w:p>
    <w:p w14:paraId="24B523D9" w14:textId="77777777" w:rsidR="0038356E" w:rsidRPr="0038356E" w:rsidRDefault="0038356E" w:rsidP="0038356E">
      <w:pPr>
        <w:spacing w:line="0" w:lineRule="atLeast"/>
        <w:ind w:right="139"/>
        <w:jc w:val="both"/>
        <w:rPr>
          <w:sz w:val="20"/>
          <w:szCs w:val="20"/>
        </w:rPr>
      </w:pPr>
      <w:r w:rsidRPr="0038356E">
        <w:rPr>
          <w:sz w:val="20"/>
          <w:szCs w:val="20"/>
        </w:rPr>
        <w:lastRenderedPageBreak/>
        <w:t xml:space="preserve">Tabela 3. </w:t>
      </w:r>
    </w:p>
    <w:p w14:paraId="542D0629" w14:textId="77777777" w:rsidR="0038356E" w:rsidRDefault="0038356E" w:rsidP="0038356E">
      <w:pPr>
        <w:spacing w:line="0" w:lineRule="atLeast"/>
        <w:jc w:val="both"/>
        <w:rPr>
          <w:i/>
          <w:sz w:val="20"/>
          <w:szCs w:val="20"/>
          <w:lang w:val="en-US"/>
        </w:rPr>
      </w:pPr>
      <w:r w:rsidRPr="0038356E">
        <w:rPr>
          <w:i/>
          <w:sz w:val="20"/>
          <w:szCs w:val="20"/>
        </w:rPr>
        <w:t xml:space="preserve">Estatísticas descritivas das comparações múltiplas segundo escore total de TMC </w:t>
      </w:r>
      <w:r w:rsidRPr="0038356E">
        <w:rPr>
          <w:i/>
          <w:sz w:val="20"/>
          <w:szCs w:val="20"/>
          <w:lang w:val="en-US"/>
        </w:rPr>
        <w:t>com Bootstrapping (95% IC Bca)</w:t>
      </w:r>
    </w:p>
    <w:p w14:paraId="746302C0" w14:textId="77777777" w:rsidR="00B313D0" w:rsidRPr="0038356E" w:rsidRDefault="00B313D0" w:rsidP="0038356E">
      <w:pPr>
        <w:spacing w:line="0" w:lineRule="atLeast"/>
        <w:jc w:val="both"/>
        <w:rPr>
          <w:i/>
          <w:sz w:val="20"/>
          <w:szCs w:val="20"/>
          <w:lang w:val="en-US"/>
        </w:rPr>
      </w:pPr>
    </w:p>
    <w:tbl>
      <w:tblPr>
        <w:tblW w:w="9210"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419"/>
        <w:gridCol w:w="567"/>
        <w:gridCol w:w="1696"/>
        <w:gridCol w:w="1281"/>
        <w:gridCol w:w="703"/>
        <w:gridCol w:w="851"/>
        <w:gridCol w:w="992"/>
        <w:gridCol w:w="1701"/>
      </w:tblGrid>
      <w:tr w:rsidR="0038356E" w:rsidRPr="0038356E" w14:paraId="125CB573" w14:textId="77777777" w:rsidTr="00BF0291">
        <w:trPr>
          <w:cantSplit/>
          <w:jc w:val="center"/>
        </w:trPr>
        <w:tc>
          <w:tcPr>
            <w:tcW w:w="1986" w:type="dxa"/>
            <w:gridSpan w:val="2"/>
            <w:vMerge w:val="restart"/>
            <w:tcBorders>
              <w:top w:val="single" w:sz="4" w:space="0" w:color="auto"/>
              <w:left w:val="nil"/>
              <w:bottom w:val="single" w:sz="4" w:space="0" w:color="auto"/>
              <w:right w:val="nil"/>
            </w:tcBorders>
            <w:shd w:val="clear" w:color="auto" w:fill="FFFFFF" w:themeFill="background1"/>
            <w:vAlign w:val="center"/>
            <w:hideMark/>
          </w:tcPr>
          <w:p w14:paraId="5E5233ED"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themeColor="text1"/>
                <w:sz w:val="20"/>
                <w:szCs w:val="20"/>
              </w:rPr>
              <w:t>Raça/cor</w:t>
            </w:r>
          </w:p>
        </w:tc>
        <w:tc>
          <w:tcPr>
            <w:tcW w:w="1696" w:type="dxa"/>
            <w:vMerge w:val="restart"/>
            <w:tcBorders>
              <w:top w:val="single" w:sz="4" w:space="0" w:color="auto"/>
              <w:left w:val="nil"/>
              <w:bottom w:val="single" w:sz="4" w:space="0" w:color="auto"/>
              <w:right w:val="nil"/>
            </w:tcBorders>
            <w:shd w:val="clear" w:color="auto" w:fill="FFFFFF" w:themeFill="background1"/>
            <w:vAlign w:val="center"/>
            <w:hideMark/>
          </w:tcPr>
          <w:p w14:paraId="129EED8E"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Grupos comparados</w:t>
            </w:r>
          </w:p>
        </w:tc>
        <w:tc>
          <w:tcPr>
            <w:tcW w:w="1281" w:type="dxa"/>
            <w:vMerge w:val="restart"/>
            <w:tcBorders>
              <w:top w:val="single" w:sz="4" w:space="0" w:color="auto"/>
              <w:left w:val="nil"/>
              <w:bottom w:val="single" w:sz="4" w:space="0" w:color="auto"/>
              <w:right w:val="nil"/>
            </w:tcBorders>
            <w:shd w:val="clear" w:color="auto" w:fill="FFFFFF" w:themeFill="background1"/>
            <w:vAlign w:val="center"/>
            <w:hideMark/>
          </w:tcPr>
          <w:p w14:paraId="760C2DFC"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Média (Desvio-Padrão)</w:t>
            </w:r>
          </w:p>
        </w:tc>
        <w:tc>
          <w:tcPr>
            <w:tcW w:w="2546" w:type="dxa"/>
            <w:gridSpan w:val="3"/>
            <w:tcBorders>
              <w:top w:val="single" w:sz="4" w:space="0" w:color="auto"/>
              <w:left w:val="nil"/>
              <w:bottom w:val="single" w:sz="4" w:space="0" w:color="auto"/>
              <w:right w:val="nil"/>
            </w:tcBorders>
            <w:shd w:val="clear" w:color="auto" w:fill="FFFFFF" w:themeFill="background1"/>
            <w:hideMark/>
          </w:tcPr>
          <w:p w14:paraId="4C4D0EBD"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Estimativas de Bootstrapping</w:t>
            </w:r>
          </w:p>
          <w:p w14:paraId="433B3B9B"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(95% IC BCa)</w:t>
            </w:r>
          </w:p>
        </w:tc>
        <w:tc>
          <w:tcPr>
            <w:tcW w:w="1701" w:type="dxa"/>
            <w:tcBorders>
              <w:top w:val="single" w:sz="4" w:space="0" w:color="auto"/>
              <w:left w:val="nil"/>
              <w:bottom w:val="nil"/>
              <w:right w:val="nil"/>
            </w:tcBorders>
            <w:shd w:val="clear" w:color="auto" w:fill="FFFFFF" w:themeFill="background1"/>
            <w:vAlign w:val="center"/>
            <w:hideMark/>
          </w:tcPr>
          <w:p w14:paraId="5BA6356E" w14:textId="721F5468" w:rsidR="0038356E" w:rsidRPr="0038356E" w:rsidRDefault="00BF0291" w:rsidP="0038356E">
            <w:pPr>
              <w:autoSpaceDE w:val="0"/>
              <w:autoSpaceDN w:val="0"/>
              <w:adjustRightInd w:val="0"/>
              <w:spacing w:line="100" w:lineRule="atLeast"/>
              <w:ind w:left="60" w:right="60"/>
              <w:jc w:val="center"/>
              <w:rPr>
                <w:color w:val="000000"/>
                <w:sz w:val="20"/>
                <w:szCs w:val="20"/>
              </w:rPr>
            </w:pPr>
            <w:r w:rsidRPr="00B313D0">
              <w:rPr>
                <w:i/>
                <w:iCs/>
                <w:sz w:val="20"/>
                <w:szCs w:val="20"/>
              </w:rPr>
              <w:t>d</w:t>
            </w:r>
            <w:r w:rsidRPr="00B313D0">
              <w:rPr>
                <w:sz w:val="20"/>
                <w:szCs w:val="20"/>
              </w:rPr>
              <w:t xml:space="preserve"> de Cohen</w:t>
            </w:r>
          </w:p>
        </w:tc>
      </w:tr>
      <w:tr w:rsidR="0038356E" w:rsidRPr="0038356E" w14:paraId="3479208E" w14:textId="77777777" w:rsidTr="00BF0291">
        <w:trPr>
          <w:cantSplit/>
          <w:jc w:val="center"/>
        </w:trPr>
        <w:tc>
          <w:tcPr>
            <w:tcW w:w="1986" w:type="dxa"/>
            <w:gridSpan w:val="2"/>
            <w:vMerge/>
            <w:vAlign w:val="center"/>
            <w:hideMark/>
          </w:tcPr>
          <w:p w14:paraId="09A9B341" w14:textId="77777777" w:rsidR="0038356E" w:rsidRPr="0038356E" w:rsidRDefault="0038356E" w:rsidP="0038356E">
            <w:pPr>
              <w:spacing w:line="100" w:lineRule="atLeast"/>
              <w:rPr>
                <w:color w:val="000000"/>
                <w:sz w:val="20"/>
                <w:szCs w:val="20"/>
              </w:rPr>
            </w:pPr>
          </w:p>
        </w:tc>
        <w:tc>
          <w:tcPr>
            <w:tcW w:w="1696" w:type="dxa"/>
            <w:vMerge/>
            <w:vAlign w:val="center"/>
            <w:hideMark/>
          </w:tcPr>
          <w:p w14:paraId="4E4E7A1D" w14:textId="77777777" w:rsidR="0038356E" w:rsidRPr="0038356E" w:rsidRDefault="0038356E" w:rsidP="0038356E">
            <w:pPr>
              <w:spacing w:line="100" w:lineRule="atLeast"/>
              <w:rPr>
                <w:color w:val="000000"/>
                <w:sz w:val="20"/>
                <w:szCs w:val="20"/>
              </w:rPr>
            </w:pPr>
          </w:p>
        </w:tc>
        <w:tc>
          <w:tcPr>
            <w:tcW w:w="1281" w:type="dxa"/>
            <w:vMerge/>
            <w:vAlign w:val="center"/>
            <w:hideMark/>
          </w:tcPr>
          <w:p w14:paraId="33AF7889" w14:textId="77777777" w:rsidR="0038356E" w:rsidRPr="0038356E" w:rsidRDefault="0038356E" w:rsidP="0038356E">
            <w:pPr>
              <w:spacing w:line="100" w:lineRule="atLeast"/>
              <w:rPr>
                <w:color w:val="000000"/>
                <w:sz w:val="20"/>
                <w:szCs w:val="20"/>
              </w:rPr>
            </w:pPr>
          </w:p>
        </w:tc>
        <w:tc>
          <w:tcPr>
            <w:tcW w:w="703" w:type="dxa"/>
            <w:tcBorders>
              <w:top w:val="single" w:sz="4" w:space="0" w:color="auto"/>
              <w:left w:val="nil"/>
              <w:bottom w:val="single" w:sz="4" w:space="0" w:color="auto"/>
              <w:right w:val="nil"/>
            </w:tcBorders>
            <w:shd w:val="clear" w:color="auto" w:fill="FFFFFF" w:themeFill="background1"/>
            <w:hideMark/>
          </w:tcPr>
          <w:p w14:paraId="6DAFFCFA" w14:textId="77777777" w:rsidR="0038356E" w:rsidRPr="0038356E" w:rsidRDefault="0038356E" w:rsidP="0038356E">
            <w:pPr>
              <w:autoSpaceDE w:val="0"/>
              <w:autoSpaceDN w:val="0"/>
              <w:adjustRightInd w:val="0"/>
              <w:spacing w:line="100" w:lineRule="atLeast"/>
              <w:ind w:left="60" w:right="60"/>
              <w:jc w:val="center"/>
              <w:rPr>
                <w:i/>
                <w:color w:val="000000"/>
                <w:sz w:val="20"/>
                <w:szCs w:val="20"/>
              </w:rPr>
            </w:pPr>
            <w:r w:rsidRPr="0038356E">
              <w:rPr>
                <w:i/>
                <w:color w:val="000000"/>
                <w:sz w:val="20"/>
                <w:szCs w:val="20"/>
              </w:rPr>
              <w:t>p</w:t>
            </w:r>
          </w:p>
        </w:tc>
        <w:tc>
          <w:tcPr>
            <w:tcW w:w="851" w:type="dxa"/>
            <w:tcBorders>
              <w:top w:val="single" w:sz="4" w:space="0" w:color="auto"/>
              <w:left w:val="nil"/>
              <w:bottom w:val="single" w:sz="4" w:space="0" w:color="auto"/>
              <w:right w:val="nil"/>
            </w:tcBorders>
            <w:shd w:val="clear" w:color="auto" w:fill="FFFFFF" w:themeFill="background1"/>
            <w:vAlign w:val="center"/>
            <w:hideMark/>
          </w:tcPr>
          <w:p w14:paraId="13890187"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Limite inferior</w:t>
            </w:r>
          </w:p>
        </w:tc>
        <w:tc>
          <w:tcPr>
            <w:tcW w:w="992" w:type="dxa"/>
            <w:tcBorders>
              <w:top w:val="single" w:sz="4" w:space="0" w:color="auto"/>
              <w:left w:val="nil"/>
              <w:bottom w:val="single" w:sz="4" w:space="0" w:color="auto"/>
              <w:right w:val="nil"/>
            </w:tcBorders>
            <w:shd w:val="clear" w:color="auto" w:fill="FFFFFF" w:themeFill="background1"/>
            <w:vAlign w:val="center"/>
            <w:hideMark/>
          </w:tcPr>
          <w:p w14:paraId="0A0C5184"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Limite Superior</w:t>
            </w:r>
          </w:p>
        </w:tc>
        <w:tc>
          <w:tcPr>
            <w:tcW w:w="1701" w:type="dxa"/>
            <w:tcBorders>
              <w:top w:val="nil"/>
              <w:left w:val="nil"/>
              <w:bottom w:val="single" w:sz="4" w:space="0" w:color="auto"/>
              <w:right w:val="nil"/>
            </w:tcBorders>
            <w:shd w:val="clear" w:color="auto" w:fill="FFFFFF" w:themeFill="background1"/>
          </w:tcPr>
          <w:p w14:paraId="159FF4A5"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p>
        </w:tc>
      </w:tr>
      <w:tr w:rsidR="0038356E" w:rsidRPr="0038356E" w14:paraId="54D8FF69" w14:textId="77777777" w:rsidTr="00BF0291">
        <w:trPr>
          <w:cantSplit/>
          <w:jc w:val="center"/>
        </w:trPr>
        <w:tc>
          <w:tcPr>
            <w:tcW w:w="1419" w:type="dxa"/>
            <w:vMerge w:val="restart"/>
            <w:tcBorders>
              <w:top w:val="single" w:sz="4" w:space="0" w:color="auto"/>
              <w:left w:val="nil"/>
              <w:bottom w:val="nil"/>
              <w:right w:val="nil"/>
            </w:tcBorders>
            <w:shd w:val="clear" w:color="auto" w:fill="FFFFFF" w:themeFill="background1"/>
            <w:vAlign w:val="center"/>
            <w:hideMark/>
          </w:tcPr>
          <w:p w14:paraId="25E2AD6C" w14:textId="77777777" w:rsidR="0038356E" w:rsidRPr="0038356E" w:rsidRDefault="0038356E" w:rsidP="0038356E">
            <w:pPr>
              <w:autoSpaceDE w:val="0"/>
              <w:autoSpaceDN w:val="0"/>
              <w:adjustRightInd w:val="0"/>
              <w:spacing w:line="100" w:lineRule="atLeast"/>
              <w:ind w:left="60" w:right="60" w:firstLine="82"/>
              <w:jc w:val="center"/>
              <w:rPr>
                <w:color w:val="000000"/>
                <w:sz w:val="20"/>
                <w:szCs w:val="20"/>
              </w:rPr>
            </w:pPr>
            <w:r w:rsidRPr="0038356E">
              <w:rPr>
                <w:color w:val="000000"/>
                <w:sz w:val="20"/>
                <w:szCs w:val="20"/>
              </w:rPr>
              <w:t>Preta</w:t>
            </w:r>
          </w:p>
        </w:tc>
        <w:tc>
          <w:tcPr>
            <w:tcW w:w="567" w:type="dxa"/>
            <w:tcBorders>
              <w:top w:val="single" w:sz="4" w:space="0" w:color="auto"/>
              <w:left w:val="nil"/>
              <w:bottom w:val="nil"/>
              <w:right w:val="nil"/>
            </w:tcBorders>
            <w:shd w:val="clear" w:color="auto" w:fill="FFFFFF" w:themeFill="background1"/>
            <w:vAlign w:val="center"/>
          </w:tcPr>
          <w:p w14:paraId="0423C6CE" w14:textId="77777777" w:rsidR="0038356E" w:rsidRPr="0038356E" w:rsidRDefault="0038356E" w:rsidP="0038356E">
            <w:pPr>
              <w:autoSpaceDE w:val="0"/>
              <w:autoSpaceDN w:val="0"/>
              <w:adjustRightInd w:val="0"/>
              <w:spacing w:line="100" w:lineRule="atLeast"/>
              <w:ind w:left="60" w:right="60"/>
              <w:rPr>
                <w:color w:val="000000"/>
                <w:sz w:val="20"/>
                <w:szCs w:val="20"/>
              </w:rPr>
            </w:pPr>
          </w:p>
          <w:p w14:paraId="6B8E73A5" w14:textId="77777777" w:rsidR="0038356E" w:rsidRPr="0038356E" w:rsidRDefault="0038356E" w:rsidP="0038356E">
            <w:pPr>
              <w:autoSpaceDE w:val="0"/>
              <w:autoSpaceDN w:val="0"/>
              <w:adjustRightInd w:val="0"/>
              <w:spacing w:line="100" w:lineRule="atLeast"/>
              <w:ind w:left="60" w:right="60"/>
              <w:rPr>
                <w:color w:val="000000"/>
                <w:sz w:val="20"/>
                <w:szCs w:val="20"/>
              </w:rPr>
            </w:pPr>
            <w:r w:rsidRPr="0038356E">
              <w:rPr>
                <w:color w:val="000000"/>
                <w:sz w:val="20"/>
                <w:szCs w:val="20"/>
              </w:rPr>
              <w:t>Sim</w:t>
            </w:r>
          </w:p>
        </w:tc>
        <w:tc>
          <w:tcPr>
            <w:tcW w:w="1696" w:type="dxa"/>
            <w:tcBorders>
              <w:top w:val="single" w:sz="4" w:space="0" w:color="auto"/>
              <w:left w:val="nil"/>
              <w:bottom w:val="nil"/>
              <w:right w:val="nil"/>
            </w:tcBorders>
            <w:shd w:val="clear" w:color="auto" w:fill="FFFFFF" w:themeFill="background1"/>
            <w:hideMark/>
          </w:tcPr>
          <w:p w14:paraId="52F78497"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Solteira</w:t>
            </w:r>
          </w:p>
          <w:p w14:paraId="7CA6743C"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Sim (</w:t>
            </w:r>
            <w:r w:rsidRPr="0038356E">
              <w:rPr>
                <w:i/>
                <w:color w:val="000000"/>
                <w:sz w:val="20"/>
                <w:szCs w:val="20"/>
              </w:rPr>
              <w:t>n=</w:t>
            </w:r>
            <w:r w:rsidRPr="0038356E">
              <w:rPr>
                <w:color w:val="000000"/>
                <w:sz w:val="20"/>
                <w:szCs w:val="20"/>
              </w:rPr>
              <w:t>46)</w:t>
            </w:r>
          </w:p>
        </w:tc>
        <w:tc>
          <w:tcPr>
            <w:tcW w:w="1281" w:type="dxa"/>
            <w:tcBorders>
              <w:top w:val="single" w:sz="4" w:space="0" w:color="auto"/>
              <w:left w:val="nil"/>
              <w:bottom w:val="nil"/>
              <w:right w:val="nil"/>
            </w:tcBorders>
            <w:shd w:val="clear" w:color="auto" w:fill="FFFFFF" w:themeFill="background1"/>
          </w:tcPr>
          <w:p w14:paraId="18C62AC5"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p>
          <w:p w14:paraId="05637C8B"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8,17 (4,9)</w:t>
            </w:r>
          </w:p>
        </w:tc>
        <w:tc>
          <w:tcPr>
            <w:tcW w:w="703" w:type="dxa"/>
            <w:tcBorders>
              <w:top w:val="single" w:sz="4" w:space="0" w:color="auto"/>
              <w:left w:val="nil"/>
              <w:bottom w:val="nil"/>
              <w:right w:val="nil"/>
            </w:tcBorders>
            <w:shd w:val="clear" w:color="auto" w:fill="FFFFFF" w:themeFill="background1"/>
          </w:tcPr>
          <w:p w14:paraId="54ADA415"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p>
          <w:p w14:paraId="247C8D53"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0,26</w:t>
            </w:r>
          </w:p>
        </w:tc>
        <w:tc>
          <w:tcPr>
            <w:tcW w:w="851" w:type="dxa"/>
            <w:tcBorders>
              <w:top w:val="single" w:sz="4" w:space="0" w:color="auto"/>
              <w:left w:val="nil"/>
              <w:bottom w:val="nil"/>
              <w:right w:val="nil"/>
            </w:tcBorders>
            <w:shd w:val="clear" w:color="auto" w:fill="FFFFFF" w:themeFill="background1"/>
            <w:vAlign w:val="center"/>
            <w:hideMark/>
          </w:tcPr>
          <w:p w14:paraId="59467EDE"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0,410</w:t>
            </w:r>
          </w:p>
        </w:tc>
        <w:tc>
          <w:tcPr>
            <w:tcW w:w="992" w:type="dxa"/>
            <w:tcBorders>
              <w:top w:val="single" w:sz="4" w:space="0" w:color="auto"/>
              <w:left w:val="nil"/>
              <w:bottom w:val="nil"/>
              <w:right w:val="nil"/>
            </w:tcBorders>
            <w:shd w:val="clear" w:color="auto" w:fill="FFFFFF" w:themeFill="background1"/>
            <w:vAlign w:val="center"/>
            <w:hideMark/>
          </w:tcPr>
          <w:p w14:paraId="007E0310"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4,092</w:t>
            </w:r>
          </w:p>
        </w:tc>
        <w:tc>
          <w:tcPr>
            <w:tcW w:w="1701" w:type="dxa"/>
            <w:tcBorders>
              <w:top w:val="single" w:sz="4" w:space="0" w:color="auto"/>
              <w:left w:val="nil"/>
              <w:bottom w:val="nil"/>
              <w:right w:val="nil"/>
            </w:tcBorders>
            <w:shd w:val="clear" w:color="auto" w:fill="FFFFFF" w:themeFill="background1"/>
            <w:vAlign w:val="center"/>
            <w:hideMark/>
          </w:tcPr>
          <w:p w14:paraId="7D482C50" w14:textId="4614D531" w:rsidR="0038356E" w:rsidRPr="0038356E" w:rsidRDefault="0038356E" w:rsidP="00BF0291">
            <w:pPr>
              <w:autoSpaceDE w:val="0"/>
              <w:autoSpaceDN w:val="0"/>
              <w:adjustRightInd w:val="0"/>
              <w:spacing w:line="100" w:lineRule="atLeast"/>
              <w:ind w:left="60" w:right="60"/>
              <w:jc w:val="center"/>
              <w:rPr>
                <w:color w:val="000000"/>
                <w:sz w:val="20"/>
                <w:szCs w:val="20"/>
              </w:rPr>
            </w:pPr>
            <w:r w:rsidRPr="0038356E">
              <w:rPr>
                <w:color w:val="000000"/>
                <w:sz w:val="20"/>
                <w:szCs w:val="20"/>
              </w:rPr>
              <w:t xml:space="preserve">0,45 </w:t>
            </w:r>
            <w:r w:rsidR="00BF0291">
              <w:rPr>
                <w:color w:val="000000"/>
                <w:sz w:val="20"/>
                <w:szCs w:val="20"/>
              </w:rPr>
              <w:t>**</w:t>
            </w:r>
          </w:p>
        </w:tc>
      </w:tr>
      <w:tr w:rsidR="0038356E" w:rsidRPr="0038356E" w14:paraId="7CEF5CBA" w14:textId="77777777" w:rsidTr="00BF0291">
        <w:trPr>
          <w:cantSplit/>
          <w:jc w:val="center"/>
        </w:trPr>
        <w:tc>
          <w:tcPr>
            <w:tcW w:w="1419" w:type="dxa"/>
            <w:vMerge/>
            <w:vAlign w:val="center"/>
            <w:hideMark/>
          </w:tcPr>
          <w:p w14:paraId="23CB3863" w14:textId="77777777" w:rsidR="0038356E" w:rsidRPr="0038356E" w:rsidRDefault="0038356E" w:rsidP="0038356E">
            <w:pPr>
              <w:spacing w:line="100" w:lineRule="atLeast"/>
              <w:rPr>
                <w:color w:val="000000"/>
                <w:sz w:val="20"/>
                <w:szCs w:val="20"/>
              </w:rPr>
            </w:pPr>
          </w:p>
        </w:tc>
        <w:tc>
          <w:tcPr>
            <w:tcW w:w="567" w:type="dxa"/>
            <w:tcBorders>
              <w:top w:val="nil"/>
              <w:left w:val="nil"/>
              <w:bottom w:val="nil"/>
              <w:right w:val="nil"/>
            </w:tcBorders>
            <w:shd w:val="clear" w:color="auto" w:fill="FFFFFF" w:themeFill="background1"/>
            <w:vAlign w:val="center"/>
          </w:tcPr>
          <w:p w14:paraId="463EEE41" w14:textId="77777777" w:rsidR="0038356E" w:rsidRPr="0038356E" w:rsidRDefault="0038356E" w:rsidP="0038356E">
            <w:pPr>
              <w:autoSpaceDE w:val="0"/>
              <w:autoSpaceDN w:val="0"/>
              <w:adjustRightInd w:val="0"/>
              <w:spacing w:line="100" w:lineRule="atLeast"/>
              <w:ind w:right="60"/>
              <w:rPr>
                <w:color w:val="000000"/>
                <w:sz w:val="20"/>
                <w:szCs w:val="20"/>
              </w:rPr>
            </w:pPr>
          </w:p>
        </w:tc>
        <w:tc>
          <w:tcPr>
            <w:tcW w:w="1696" w:type="dxa"/>
            <w:tcBorders>
              <w:top w:val="nil"/>
              <w:left w:val="nil"/>
              <w:bottom w:val="nil"/>
              <w:right w:val="nil"/>
            </w:tcBorders>
            <w:shd w:val="clear" w:color="auto" w:fill="FFFFFF" w:themeFill="background1"/>
            <w:hideMark/>
          </w:tcPr>
          <w:p w14:paraId="7747079B"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Não (</w:t>
            </w:r>
            <w:r w:rsidRPr="0038356E">
              <w:rPr>
                <w:i/>
                <w:color w:val="000000"/>
                <w:sz w:val="20"/>
                <w:szCs w:val="20"/>
              </w:rPr>
              <w:t>n=</w:t>
            </w:r>
            <w:r w:rsidRPr="0038356E">
              <w:rPr>
                <w:color w:val="000000"/>
                <w:sz w:val="20"/>
                <w:szCs w:val="20"/>
              </w:rPr>
              <w:t>58)</w:t>
            </w:r>
          </w:p>
        </w:tc>
        <w:tc>
          <w:tcPr>
            <w:tcW w:w="1281" w:type="dxa"/>
            <w:tcBorders>
              <w:top w:val="nil"/>
              <w:left w:val="nil"/>
              <w:bottom w:val="nil"/>
              <w:right w:val="nil"/>
            </w:tcBorders>
            <w:shd w:val="clear" w:color="auto" w:fill="FFFFFF" w:themeFill="background1"/>
            <w:hideMark/>
          </w:tcPr>
          <w:p w14:paraId="7AFBB6E6"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5,94 (4,94)</w:t>
            </w:r>
          </w:p>
        </w:tc>
        <w:tc>
          <w:tcPr>
            <w:tcW w:w="703" w:type="dxa"/>
            <w:tcBorders>
              <w:top w:val="nil"/>
              <w:left w:val="nil"/>
              <w:bottom w:val="nil"/>
              <w:right w:val="nil"/>
            </w:tcBorders>
            <w:shd w:val="clear" w:color="auto" w:fill="FFFFFF" w:themeFill="background1"/>
          </w:tcPr>
          <w:p w14:paraId="25A47D7B"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p>
        </w:tc>
        <w:tc>
          <w:tcPr>
            <w:tcW w:w="851" w:type="dxa"/>
            <w:tcBorders>
              <w:top w:val="nil"/>
              <w:left w:val="nil"/>
              <w:bottom w:val="nil"/>
              <w:right w:val="nil"/>
            </w:tcBorders>
            <w:shd w:val="clear" w:color="auto" w:fill="FFFFFF" w:themeFill="background1"/>
            <w:vAlign w:val="center"/>
            <w:hideMark/>
          </w:tcPr>
          <w:p w14:paraId="326EAF20"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-4,037</w:t>
            </w:r>
          </w:p>
        </w:tc>
        <w:tc>
          <w:tcPr>
            <w:tcW w:w="992" w:type="dxa"/>
            <w:tcBorders>
              <w:top w:val="nil"/>
              <w:left w:val="nil"/>
              <w:bottom w:val="nil"/>
              <w:right w:val="nil"/>
            </w:tcBorders>
            <w:shd w:val="clear" w:color="auto" w:fill="FFFFFF" w:themeFill="background1"/>
            <w:vAlign w:val="center"/>
            <w:hideMark/>
          </w:tcPr>
          <w:p w14:paraId="5B41377D"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-0,476</w:t>
            </w:r>
          </w:p>
        </w:tc>
        <w:tc>
          <w:tcPr>
            <w:tcW w:w="1701" w:type="dxa"/>
            <w:tcBorders>
              <w:top w:val="nil"/>
              <w:left w:val="nil"/>
              <w:bottom w:val="nil"/>
              <w:right w:val="nil"/>
            </w:tcBorders>
            <w:shd w:val="clear" w:color="auto" w:fill="FFFFFF" w:themeFill="background1"/>
            <w:vAlign w:val="center"/>
          </w:tcPr>
          <w:p w14:paraId="6FFAA095"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p>
        </w:tc>
      </w:tr>
      <w:tr w:rsidR="0038356E" w:rsidRPr="0038356E" w14:paraId="39CA3D75" w14:textId="77777777" w:rsidTr="00BF0291">
        <w:trPr>
          <w:cantSplit/>
          <w:jc w:val="center"/>
        </w:trPr>
        <w:tc>
          <w:tcPr>
            <w:tcW w:w="1419" w:type="dxa"/>
            <w:vMerge/>
            <w:vAlign w:val="center"/>
            <w:hideMark/>
          </w:tcPr>
          <w:p w14:paraId="05C53B4B" w14:textId="77777777" w:rsidR="0038356E" w:rsidRPr="0038356E" w:rsidRDefault="0038356E" w:rsidP="0038356E">
            <w:pPr>
              <w:spacing w:line="100" w:lineRule="atLeast"/>
              <w:rPr>
                <w:color w:val="000000"/>
                <w:sz w:val="20"/>
                <w:szCs w:val="20"/>
              </w:rPr>
            </w:pPr>
          </w:p>
        </w:tc>
        <w:tc>
          <w:tcPr>
            <w:tcW w:w="567" w:type="dxa"/>
            <w:tcBorders>
              <w:top w:val="nil"/>
              <w:left w:val="nil"/>
              <w:bottom w:val="nil"/>
              <w:right w:val="nil"/>
            </w:tcBorders>
            <w:shd w:val="clear" w:color="auto" w:fill="FFFFFF" w:themeFill="background1"/>
            <w:vAlign w:val="center"/>
            <w:hideMark/>
          </w:tcPr>
          <w:p w14:paraId="7A805920" w14:textId="77777777" w:rsidR="0038356E" w:rsidRPr="0038356E" w:rsidRDefault="0038356E" w:rsidP="0038356E">
            <w:pPr>
              <w:autoSpaceDE w:val="0"/>
              <w:autoSpaceDN w:val="0"/>
              <w:adjustRightInd w:val="0"/>
              <w:spacing w:line="100" w:lineRule="atLeast"/>
              <w:ind w:left="60" w:right="60"/>
              <w:rPr>
                <w:color w:val="000000"/>
                <w:sz w:val="20"/>
                <w:szCs w:val="20"/>
              </w:rPr>
            </w:pPr>
            <w:r w:rsidRPr="0038356E">
              <w:rPr>
                <w:color w:val="000000"/>
                <w:sz w:val="20"/>
                <w:szCs w:val="20"/>
              </w:rPr>
              <w:t>Não</w:t>
            </w:r>
          </w:p>
        </w:tc>
        <w:tc>
          <w:tcPr>
            <w:tcW w:w="1696" w:type="dxa"/>
            <w:tcBorders>
              <w:top w:val="nil"/>
              <w:left w:val="nil"/>
              <w:bottom w:val="nil"/>
              <w:right w:val="nil"/>
            </w:tcBorders>
            <w:shd w:val="clear" w:color="auto" w:fill="FFFFFF" w:themeFill="background1"/>
            <w:hideMark/>
          </w:tcPr>
          <w:p w14:paraId="28E81943"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Sim (</w:t>
            </w:r>
            <w:r w:rsidRPr="0038356E">
              <w:rPr>
                <w:i/>
                <w:color w:val="000000"/>
                <w:sz w:val="20"/>
                <w:szCs w:val="20"/>
              </w:rPr>
              <w:t>n=</w:t>
            </w:r>
            <w:r w:rsidRPr="0038356E">
              <w:rPr>
                <w:color w:val="000000"/>
                <w:sz w:val="20"/>
                <w:szCs w:val="20"/>
              </w:rPr>
              <w:t>88)</w:t>
            </w:r>
          </w:p>
        </w:tc>
        <w:tc>
          <w:tcPr>
            <w:tcW w:w="1281" w:type="dxa"/>
            <w:tcBorders>
              <w:top w:val="nil"/>
              <w:left w:val="nil"/>
              <w:bottom w:val="nil"/>
              <w:right w:val="nil"/>
            </w:tcBorders>
            <w:shd w:val="clear" w:color="auto" w:fill="FFFFFF" w:themeFill="background1"/>
            <w:vAlign w:val="center"/>
            <w:hideMark/>
          </w:tcPr>
          <w:p w14:paraId="6B1DE3E6"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5,89 (4,78)</w:t>
            </w:r>
          </w:p>
        </w:tc>
        <w:tc>
          <w:tcPr>
            <w:tcW w:w="703" w:type="dxa"/>
            <w:tcBorders>
              <w:top w:val="nil"/>
              <w:left w:val="nil"/>
              <w:bottom w:val="nil"/>
              <w:right w:val="nil"/>
            </w:tcBorders>
            <w:shd w:val="clear" w:color="auto" w:fill="FFFFFF" w:themeFill="background1"/>
            <w:hideMark/>
          </w:tcPr>
          <w:p w14:paraId="74BCD01C"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0,50</w:t>
            </w:r>
          </w:p>
        </w:tc>
        <w:tc>
          <w:tcPr>
            <w:tcW w:w="851" w:type="dxa"/>
            <w:tcBorders>
              <w:top w:val="nil"/>
              <w:left w:val="nil"/>
              <w:bottom w:val="nil"/>
              <w:right w:val="nil"/>
            </w:tcBorders>
            <w:shd w:val="clear" w:color="auto" w:fill="FFFFFF" w:themeFill="background1"/>
            <w:vAlign w:val="center"/>
            <w:hideMark/>
          </w:tcPr>
          <w:p w14:paraId="0A88AF32"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-1,441</w:t>
            </w:r>
          </w:p>
        </w:tc>
        <w:tc>
          <w:tcPr>
            <w:tcW w:w="992" w:type="dxa"/>
            <w:tcBorders>
              <w:top w:val="nil"/>
              <w:left w:val="nil"/>
              <w:bottom w:val="nil"/>
              <w:right w:val="nil"/>
            </w:tcBorders>
            <w:shd w:val="clear" w:color="auto" w:fill="FFFFFF" w:themeFill="background1"/>
            <w:vAlign w:val="center"/>
            <w:hideMark/>
          </w:tcPr>
          <w:p w14:paraId="38B5CFBB"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0,785</w:t>
            </w:r>
          </w:p>
        </w:tc>
        <w:tc>
          <w:tcPr>
            <w:tcW w:w="1701" w:type="dxa"/>
            <w:tcBorders>
              <w:top w:val="nil"/>
              <w:left w:val="nil"/>
              <w:bottom w:val="nil"/>
              <w:right w:val="nil"/>
            </w:tcBorders>
            <w:shd w:val="clear" w:color="auto" w:fill="FFFFFF" w:themeFill="background1"/>
            <w:vAlign w:val="center"/>
            <w:hideMark/>
          </w:tcPr>
          <w:p w14:paraId="31EF061C" w14:textId="7934EEA0" w:rsidR="0038356E" w:rsidRPr="0038356E" w:rsidRDefault="0038356E" w:rsidP="00BF0291">
            <w:pPr>
              <w:autoSpaceDE w:val="0"/>
              <w:autoSpaceDN w:val="0"/>
              <w:adjustRightInd w:val="0"/>
              <w:spacing w:line="100" w:lineRule="atLeast"/>
              <w:ind w:left="60" w:right="60"/>
              <w:jc w:val="center"/>
              <w:rPr>
                <w:color w:val="000000"/>
                <w:sz w:val="20"/>
                <w:szCs w:val="20"/>
              </w:rPr>
            </w:pPr>
            <w:r w:rsidRPr="0038356E">
              <w:rPr>
                <w:color w:val="000000"/>
                <w:sz w:val="20"/>
                <w:szCs w:val="20"/>
              </w:rPr>
              <w:t xml:space="preserve">0,08 </w:t>
            </w:r>
            <w:r w:rsidR="00BF0291">
              <w:rPr>
                <w:color w:val="000000"/>
                <w:sz w:val="20"/>
                <w:szCs w:val="20"/>
              </w:rPr>
              <w:t>*</w:t>
            </w:r>
          </w:p>
        </w:tc>
      </w:tr>
      <w:tr w:rsidR="0038356E" w:rsidRPr="0038356E" w14:paraId="0DCA1D30" w14:textId="77777777" w:rsidTr="00BF0291">
        <w:trPr>
          <w:cantSplit/>
          <w:jc w:val="center"/>
        </w:trPr>
        <w:tc>
          <w:tcPr>
            <w:tcW w:w="1419" w:type="dxa"/>
            <w:tcBorders>
              <w:top w:val="nil"/>
              <w:left w:val="nil"/>
              <w:bottom w:val="single" w:sz="4" w:space="0" w:color="auto"/>
              <w:right w:val="nil"/>
            </w:tcBorders>
            <w:shd w:val="clear" w:color="auto" w:fill="FFFFFF" w:themeFill="background1"/>
            <w:vAlign w:val="center"/>
          </w:tcPr>
          <w:p w14:paraId="1EA490D1" w14:textId="77777777" w:rsidR="0038356E" w:rsidRPr="0038356E" w:rsidRDefault="0038356E" w:rsidP="0038356E">
            <w:pPr>
              <w:autoSpaceDE w:val="0"/>
              <w:autoSpaceDN w:val="0"/>
              <w:adjustRightInd w:val="0"/>
              <w:spacing w:line="100" w:lineRule="atLeast"/>
              <w:ind w:firstLine="82"/>
              <w:jc w:val="center"/>
              <w:rPr>
                <w:color w:val="000000"/>
                <w:sz w:val="20"/>
                <w:szCs w:val="20"/>
              </w:rPr>
            </w:pPr>
          </w:p>
        </w:tc>
        <w:tc>
          <w:tcPr>
            <w:tcW w:w="567" w:type="dxa"/>
            <w:tcBorders>
              <w:top w:val="nil"/>
              <w:left w:val="nil"/>
              <w:bottom w:val="single" w:sz="4" w:space="0" w:color="auto"/>
              <w:right w:val="nil"/>
            </w:tcBorders>
            <w:shd w:val="clear" w:color="auto" w:fill="FFFFFF" w:themeFill="background1"/>
            <w:vAlign w:val="center"/>
          </w:tcPr>
          <w:p w14:paraId="2A545734" w14:textId="77777777" w:rsidR="0038356E" w:rsidRPr="0038356E" w:rsidRDefault="0038356E" w:rsidP="0038356E">
            <w:pPr>
              <w:autoSpaceDE w:val="0"/>
              <w:autoSpaceDN w:val="0"/>
              <w:adjustRightInd w:val="0"/>
              <w:spacing w:line="100" w:lineRule="atLeast"/>
              <w:ind w:left="60" w:right="60"/>
              <w:rPr>
                <w:color w:val="000000"/>
                <w:sz w:val="20"/>
                <w:szCs w:val="20"/>
              </w:rPr>
            </w:pPr>
          </w:p>
        </w:tc>
        <w:tc>
          <w:tcPr>
            <w:tcW w:w="1696" w:type="dxa"/>
            <w:tcBorders>
              <w:top w:val="nil"/>
              <w:left w:val="nil"/>
              <w:bottom w:val="single" w:sz="4" w:space="0" w:color="auto"/>
              <w:right w:val="nil"/>
            </w:tcBorders>
            <w:shd w:val="clear" w:color="auto" w:fill="FFFFFF" w:themeFill="background1"/>
            <w:hideMark/>
          </w:tcPr>
          <w:p w14:paraId="00A21EFD"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Não (</w:t>
            </w:r>
            <w:r w:rsidRPr="0038356E">
              <w:rPr>
                <w:i/>
                <w:color w:val="000000"/>
                <w:sz w:val="20"/>
                <w:szCs w:val="20"/>
              </w:rPr>
              <w:t>n=</w:t>
            </w:r>
            <w:r w:rsidRPr="0038356E">
              <w:rPr>
                <w:color w:val="000000"/>
                <w:sz w:val="20"/>
                <w:szCs w:val="20"/>
              </w:rPr>
              <w:t>353)</w:t>
            </w:r>
          </w:p>
        </w:tc>
        <w:tc>
          <w:tcPr>
            <w:tcW w:w="1281" w:type="dxa"/>
            <w:tcBorders>
              <w:top w:val="nil"/>
              <w:left w:val="nil"/>
              <w:bottom w:val="single" w:sz="4" w:space="0" w:color="auto"/>
              <w:right w:val="nil"/>
            </w:tcBorders>
            <w:shd w:val="clear" w:color="auto" w:fill="FFFFFF" w:themeFill="background1"/>
            <w:vAlign w:val="center"/>
            <w:hideMark/>
          </w:tcPr>
          <w:p w14:paraId="668B931E" w14:textId="77777777" w:rsidR="0038356E" w:rsidRPr="0038356E" w:rsidRDefault="0038356E" w:rsidP="0038356E">
            <w:pPr>
              <w:autoSpaceDE w:val="0"/>
              <w:autoSpaceDN w:val="0"/>
              <w:adjustRightInd w:val="0"/>
              <w:spacing w:line="100" w:lineRule="atLeast"/>
              <w:ind w:right="60"/>
              <w:jc w:val="center"/>
              <w:rPr>
                <w:color w:val="000000"/>
                <w:sz w:val="20"/>
                <w:szCs w:val="20"/>
              </w:rPr>
            </w:pPr>
            <w:r w:rsidRPr="0038356E">
              <w:rPr>
                <w:color w:val="000000"/>
                <w:sz w:val="20"/>
                <w:szCs w:val="20"/>
              </w:rPr>
              <w:t>6,28 (4,69)</w:t>
            </w:r>
          </w:p>
        </w:tc>
        <w:tc>
          <w:tcPr>
            <w:tcW w:w="703" w:type="dxa"/>
            <w:tcBorders>
              <w:top w:val="nil"/>
              <w:left w:val="nil"/>
              <w:bottom w:val="single" w:sz="4" w:space="0" w:color="auto"/>
              <w:right w:val="nil"/>
            </w:tcBorders>
            <w:shd w:val="clear" w:color="auto" w:fill="FFFFFF" w:themeFill="background1"/>
          </w:tcPr>
          <w:p w14:paraId="1397E37C"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p>
        </w:tc>
        <w:tc>
          <w:tcPr>
            <w:tcW w:w="851" w:type="dxa"/>
            <w:tcBorders>
              <w:top w:val="nil"/>
              <w:left w:val="nil"/>
              <w:bottom w:val="single" w:sz="4" w:space="0" w:color="auto"/>
              <w:right w:val="nil"/>
            </w:tcBorders>
            <w:shd w:val="clear" w:color="auto" w:fill="FFFFFF" w:themeFill="background1"/>
            <w:vAlign w:val="center"/>
            <w:hideMark/>
          </w:tcPr>
          <w:p w14:paraId="44FEB51C"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-0,765</w:t>
            </w:r>
          </w:p>
        </w:tc>
        <w:tc>
          <w:tcPr>
            <w:tcW w:w="992" w:type="dxa"/>
            <w:tcBorders>
              <w:top w:val="nil"/>
              <w:left w:val="nil"/>
              <w:bottom w:val="single" w:sz="4" w:space="0" w:color="auto"/>
              <w:right w:val="nil"/>
            </w:tcBorders>
            <w:shd w:val="clear" w:color="auto" w:fill="FFFFFF" w:themeFill="background1"/>
            <w:vAlign w:val="center"/>
            <w:hideMark/>
          </w:tcPr>
          <w:p w14:paraId="7A76BB53"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1,426</w:t>
            </w:r>
          </w:p>
        </w:tc>
        <w:tc>
          <w:tcPr>
            <w:tcW w:w="1701" w:type="dxa"/>
            <w:tcBorders>
              <w:top w:val="nil"/>
              <w:left w:val="nil"/>
              <w:bottom w:val="single" w:sz="4" w:space="0" w:color="auto"/>
              <w:right w:val="nil"/>
            </w:tcBorders>
            <w:shd w:val="clear" w:color="auto" w:fill="FFFFFF" w:themeFill="background1"/>
            <w:vAlign w:val="center"/>
          </w:tcPr>
          <w:p w14:paraId="37FD5C49"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p>
        </w:tc>
      </w:tr>
    </w:tbl>
    <w:p w14:paraId="72A08234" w14:textId="6BD9C471" w:rsidR="00BF0291" w:rsidRPr="00B313D0" w:rsidRDefault="00BF0291" w:rsidP="00BF0291">
      <w:pPr>
        <w:spacing w:line="480" w:lineRule="auto"/>
        <w:ind w:firstLine="720"/>
        <w:rPr>
          <w:sz w:val="20"/>
          <w:szCs w:val="20"/>
        </w:rPr>
      </w:pPr>
      <w:r w:rsidRPr="00B313D0">
        <w:rPr>
          <w:i/>
          <w:iCs/>
          <w:sz w:val="20"/>
          <w:szCs w:val="20"/>
        </w:rPr>
        <w:t>Nota</w:t>
      </w:r>
      <w:r>
        <w:rPr>
          <w:sz w:val="20"/>
          <w:szCs w:val="20"/>
        </w:rPr>
        <w:t>: *Efeito irrisório</w:t>
      </w:r>
      <w:r w:rsidRPr="00B313D0">
        <w:rPr>
          <w:sz w:val="20"/>
          <w:szCs w:val="20"/>
        </w:rPr>
        <w:t>; **Efeito médio</w:t>
      </w:r>
    </w:p>
    <w:p w14:paraId="220C813D" w14:textId="2CFB3A55" w:rsidR="00CE7D65" w:rsidRPr="00E23C9E" w:rsidRDefault="00CD7EC5" w:rsidP="00CE7D65">
      <w:pPr>
        <w:pStyle w:val="Ttulosinternos"/>
        <w:rPr>
          <w:lang w:val="es-ES_tradnl"/>
        </w:rPr>
      </w:pPr>
      <w:r>
        <w:rPr>
          <w:bCs/>
        </w:rPr>
        <w:t>Discussão</w:t>
      </w:r>
    </w:p>
    <w:p w14:paraId="4AB435C0" w14:textId="15058754" w:rsidR="0038356E" w:rsidRPr="00B10BA9" w:rsidRDefault="0038356E" w:rsidP="0038356E">
      <w:pPr>
        <w:spacing w:line="360" w:lineRule="auto"/>
        <w:ind w:right="139" w:firstLine="720"/>
        <w:jc w:val="both"/>
      </w:pPr>
      <w:r w:rsidRPr="682190EC">
        <w:t xml:space="preserve">Dentre as mulheres de meia idade e idosas participantes desse estudo, foram observadas diferenças por raça/cor nas condições de vida, em especial quanto à configuração familiar e situação financeira. As diferenças observadas apresentaram um tamanho de efeito pequeno e embora ajudem a compreender o contexto dos diferentes perfis de mulheres por raça/cor, devem ser interpretadas com parcimônia. Sugerem distintas condições sociais nos quais o envelhecimento de mulheres é estruturado segundo posições racializadas de gênero. A maior proporção de mulheres pretas entre aquelas em uma configuração familiar monoparental e que com potencial de gerar sobrecarga e dificuldades financeiras; as pardas em configurações familiares não monoparentais com características de maior apoio e menor sobrecarga; e as brancas com os melhores índices de renda sem associação com a configuração familiar, o que poderia indicar maior possibilidade de autonomia dessas mulheres. </w:t>
      </w:r>
    </w:p>
    <w:p w14:paraId="7E7ED905" w14:textId="77777777" w:rsidR="0038356E" w:rsidRPr="00B10BA9" w:rsidRDefault="0038356E" w:rsidP="0038356E">
      <w:pPr>
        <w:spacing w:line="360" w:lineRule="auto"/>
        <w:ind w:right="139" w:firstLine="720"/>
        <w:jc w:val="both"/>
      </w:pPr>
      <w:r w:rsidRPr="00B10BA9">
        <w:t xml:space="preserve">Considerando o processo de feminização da velhice, refletir sobre esses diferentes cenários é relevante para compreender o envelhecimento de mulheres em uma perspectiva interseccional. No Brasil, mais de 60% das famílias monoparentais são chefiadas por mulheres negras (IBGE, 2021), uma conjuntura que reflete a dimensão dos privilégios e desigualdades entre as famílias e seus efeitos sobre o acesso a recursos materiais e sociais (Biroli &amp; Miguel, 2015). Por exemplo, entre idosas, ser negra, chefe de família, totalmente responsável pelo sustento familiar e em arranjos de moradia multigeracionais esteve associado a maiores níveis de ansiedade (Barbosa, Rabelo &amp; Fernandes-Eloi, 2020).  </w:t>
      </w:r>
    </w:p>
    <w:p w14:paraId="63588B0D" w14:textId="77777777" w:rsidR="0038356E" w:rsidRPr="00B10BA9" w:rsidRDefault="0038356E" w:rsidP="0038356E">
      <w:pPr>
        <w:spacing w:line="360" w:lineRule="auto"/>
        <w:ind w:right="139" w:firstLine="720"/>
        <w:jc w:val="both"/>
      </w:pPr>
      <w:r w:rsidRPr="00B10BA9">
        <w:t xml:space="preserve">As repercussões podem ser multigeracionais, uma vez que essas desigualdades afetam a vida de todos os membros da família (Biroli &amp; Miguel, 2015). De modo geral, além do dado </w:t>
      </w:r>
      <w:r w:rsidRPr="00B10BA9">
        <w:lastRenderedPageBreak/>
        <w:t xml:space="preserve">objetivo da renda, a avaliação subjetiva da suficiência dessa renda para cobrir as necessidades de vida diária a partir de diferentes demandas familiares apresentou-se nesse estudo, indicando o quanto é importante no envelhecimento de mulheres ter proteção e segurança social e possibilidades materiais para a construção de trajetórias de vida com mais autonomia e apoio social (Silva, 2016). </w:t>
      </w:r>
    </w:p>
    <w:p w14:paraId="56DB63D6" w14:textId="4180E1E1" w:rsidR="0038356E" w:rsidRPr="00B10BA9" w:rsidRDefault="0038356E" w:rsidP="0038356E">
      <w:pPr>
        <w:spacing w:line="360" w:lineRule="auto"/>
        <w:ind w:right="139" w:firstLine="720"/>
        <w:jc w:val="both"/>
      </w:pPr>
      <w:r w:rsidRPr="682190EC">
        <w:t xml:space="preserve">Com relação à saúde mental, as mulheres brancas estavam mais protegidas e foram as pardas as que apresentaram mais TMC. Embora as pretas tenham apresentado piores índices de condições de vida, não foram observadas associações da </w:t>
      </w:r>
      <w:r w:rsidR="00003C2D">
        <w:t>raça/</w:t>
      </w:r>
      <w:r w:rsidRPr="682190EC">
        <w:t xml:space="preserve">cor preta com o TMC, com exceção da interação com o estado civil solteira. É preciso mencionar que a maioria da amostra do estudo tinha alta escolaridade (mais de 70% tinha curso superior) e uma melhor renda (55,8% tinham renda familiar superior a 5 salários-mínimos). Apesar dos dados sugerirem diferenças nas condições sociais entre os grupos de mulheres, existem evidências na literatura sinalizando que a mobilidade social e a melhora na situação econômica podem mitigar os efeitos deletérios das desigualdades </w:t>
      </w:r>
      <w:r w:rsidR="00003C2D">
        <w:t xml:space="preserve">raciais </w:t>
      </w:r>
      <w:r w:rsidRPr="682190EC">
        <w:t xml:space="preserve">sobre a saúde mental (Almeida-Filho et al., 2004; Ettman, Chen &amp; Galea, 2020). É possível que as características específicas da amostra desse estudo tenham nublado potenciais efeitos das condições sociais na saúde mental por raça/cor. </w:t>
      </w:r>
    </w:p>
    <w:p w14:paraId="3991FB15" w14:textId="11ADC676" w:rsidR="0038356E" w:rsidRPr="00B10BA9" w:rsidRDefault="0038356E" w:rsidP="0038356E">
      <w:pPr>
        <w:spacing w:line="360" w:lineRule="auto"/>
        <w:ind w:right="139" w:firstLine="720"/>
        <w:jc w:val="both"/>
      </w:pPr>
      <w:r w:rsidRPr="00B10BA9">
        <w:t xml:space="preserve">Uma outra possível explicação para a ausência de associação entre TMC e </w:t>
      </w:r>
      <w:r w:rsidR="006E40D3">
        <w:t>raça/</w:t>
      </w:r>
      <w:r w:rsidRPr="00B10BA9">
        <w:t xml:space="preserve">cor preta, mesmo em piores condições de vida, é o chamado </w:t>
      </w:r>
      <w:r w:rsidR="006E40D3">
        <w:t>“</w:t>
      </w:r>
      <w:r w:rsidRPr="00B10BA9">
        <w:t>esquema da mulher negra forte</w:t>
      </w:r>
      <w:r w:rsidR="006E40D3">
        <w:t>”</w:t>
      </w:r>
      <w:r w:rsidRPr="00B10BA9">
        <w:t xml:space="preserve"> que diz respeito a crenças e expectativas culturais de resiliência, independência e força incessantes que orientam a construção de significado, a cognição e o comportamento relacionados à feminilidade negra (Abrams et al.2014). A influência desse esquema na saúde mental tem sido investigada, e o autosilenciamento tem sido o mecanismo destacado para explicar como esse relacionamento ocorre (</w:t>
      </w:r>
      <w:r w:rsidR="00005C39">
        <w:rPr>
          <w:color w:val="000000"/>
          <w:shd w:val="clear" w:color="auto" w:fill="FFFFFF"/>
        </w:rPr>
        <w:t>Abrams, Hill &amp; Maxwell, 2019</w:t>
      </w:r>
      <w:r w:rsidRPr="00B10BA9">
        <w:rPr>
          <w:color w:val="000000"/>
          <w:shd w:val="clear" w:color="auto" w:fill="FFFFFF"/>
        </w:rPr>
        <w:t>)</w:t>
      </w:r>
      <w:r w:rsidRPr="00B10BA9">
        <w:t>. Isto é, retratar a força e evocar a resiliência enquanto esconde um trauma ou precisa lidar com grandes adversidades funciona como um ideal cultural e um mecanismo de enfrentamento psicoló</w:t>
      </w:r>
      <w:r w:rsidR="006E40D3">
        <w:t>gico para muitas mulheres pretas</w:t>
      </w:r>
      <w:r w:rsidRPr="00B10BA9">
        <w:t xml:space="preserve">, mesmo elas acumulando funções, responsabilidade e sobrecarga. Diversos contextos podem ter uma influência no reforçamento desse esquema, como por exemplo, o do trabalho, que modela a expressão da identidade de mulheres racializadas (Jones et al., 2021).  </w:t>
      </w:r>
    </w:p>
    <w:p w14:paraId="305A3583" w14:textId="77777777" w:rsidR="0038356E" w:rsidRPr="00B10BA9" w:rsidRDefault="0038356E" w:rsidP="0038356E">
      <w:pPr>
        <w:spacing w:line="360" w:lineRule="auto"/>
        <w:ind w:right="139" w:firstLine="720"/>
        <w:jc w:val="both"/>
      </w:pPr>
      <w:r w:rsidRPr="00B10BA9">
        <w:t xml:space="preserve">Porém, no âmbito afetivo, a questão da solidão e do preterimento da mulher preta pode ter efeitos negativos na saúde mental. As solteiras apresentaram pior morbidade psiquiátrica, cujo tamanho de efeito médio indica uma implicação prática. Especialmente considerando que se trata </w:t>
      </w:r>
      <w:r w:rsidRPr="00B10BA9">
        <w:lastRenderedPageBreak/>
        <w:t>de mulheres mais velhas, esta intersecção as coloca em uma posição desfavorável na “prateleira do amor”, expressão cunhada por Zanello (2018) para se referir a uma das formas pelo qual o dispositivo amoroso opera para a desproteção psíquica de mulheres. Segundo a autora, essa prateleira tem relação com o senso de valor e de sucesso como uma mulher em uma sociedade patriarcal e machista, de maneira que não ser “escolhida” por um homem causa uma ferida narcísica. Assim, mulheres pretas enfrentariam a falta de um parceiro, o abandono parental e/ou do próprio parceiro e a rejeição afetivo-sexual com maior frequência, sendo o racismo o fator determinante dessa solidão (Mizael, Barrozo &amp; Hunziker, 2021).</w:t>
      </w:r>
    </w:p>
    <w:p w14:paraId="0FC3B71D" w14:textId="77777777" w:rsidR="0038356E" w:rsidRDefault="0038356E" w:rsidP="0038356E">
      <w:pPr>
        <w:spacing w:line="360" w:lineRule="auto"/>
        <w:ind w:right="139" w:firstLine="720"/>
        <w:jc w:val="both"/>
      </w:pPr>
      <w:r w:rsidRPr="00B10BA9">
        <w:t xml:space="preserve">Normas racializadas de gênero podem influenciar nos diferentes perfis de saúde mental. Por exemplo, ter um forte sentido da identidade racial de gênero protege mulheres negras dos efeitos psicossociais deletérios do racismo (Jones et al., 2021). Porém, essa centralidade da identidade pode ser diferente segundo geração e contexto cultural. Abraçar uma identidade racial pode ser especialmente difícil para mulheres pardas pois, no contexto do racismo brasileiro, é importante considerar a influência de tecnologias racistas específicas que foram implantadas para ajudar a compreender a diferença entre pardas e pretas. Dentre essas tecnologias, pode-se citar a mestiçagem e o colorismo que colocam as pardas em um limbo identitário no qual os processos de subjetivação dessas mulheres são atravessados pela negação da identidade racial (Lago, Montibeler &amp; Miguel, 2023). </w:t>
      </w:r>
    </w:p>
    <w:p w14:paraId="625482D0" w14:textId="2AB9D890" w:rsidR="0038356E" w:rsidRPr="00B10BA9" w:rsidRDefault="0038356E" w:rsidP="0038356E">
      <w:pPr>
        <w:autoSpaceDE w:val="0"/>
        <w:autoSpaceDN w:val="0"/>
        <w:adjustRightInd w:val="0"/>
        <w:spacing w:line="360" w:lineRule="auto"/>
        <w:ind w:firstLine="720"/>
        <w:jc w:val="both"/>
      </w:pPr>
      <w:r w:rsidRPr="682190EC">
        <w:t xml:space="preserve">A mestiçagem/miscigenação </w:t>
      </w:r>
      <w:r w:rsidR="00346FD9">
        <w:t>foi um projeto colonial no territorio brasileiro que tinha o objetivo de apagar as marcas da negritude na população, sendo o pardo o produto dessa política de embranquecimento (Devulsky, 2021). A mestiçagem é</w:t>
      </w:r>
      <w:r w:rsidRPr="682190EC">
        <w:t xml:space="preserve"> atravessada por questões político-ideológic</w:t>
      </w:r>
      <w:r w:rsidR="00346FD9">
        <w:t>as com</w:t>
      </w:r>
      <w:r w:rsidRPr="682190EC">
        <w:t xml:space="preserve"> efeitos sociais, psicológicos, econômi</w:t>
      </w:r>
      <w:r w:rsidR="002C48CD">
        <w:t>cos e sociopolíticos (</w:t>
      </w:r>
      <w:r w:rsidRPr="682190EC">
        <w:t xml:space="preserve">Munanga, 2019). </w:t>
      </w:r>
      <w:r w:rsidR="00346FD9">
        <w:t>O</w:t>
      </w:r>
      <w:r w:rsidR="006A1E6F">
        <w:t xml:space="preserve"> c</w:t>
      </w:r>
      <w:r w:rsidRPr="682190EC">
        <w:t>olorismo</w:t>
      </w:r>
      <w:r w:rsidR="00346FD9">
        <w:t xml:space="preserve"> diz respeito a uma </w:t>
      </w:r>
      <w:r w:rsidRPr="682190EC">
        <w:t xml:space="preserve">ideologia na qual opera o processo de hierarquização das pessoas negras </w:t>
      </w:r>
      <w:r w:rsidR="006A1E6F">
        <w:t>segundo</w:t>
      </w:r>
      <w:r w:rsidRPr="682190EC">
        <w:t xml:space="preserve"> a aproximação e distanciamento da africanidade ou europeidade. Esse conceito se expressa no âmbito social </w:t>
      </w:r>
      <w:r w:rsidR="00346FD9">
        <w:t>na maior aceitação em espaços sociais de</w:t>
      </w:r>
      <w:r w:rsidR="006A1E6F">
        <w:t xml:space="preserve"> pessoas</w:t>
      </w:r>
      <w:r w:rsidRPr="682190EC">
        <w:t xml:space="preserve"> com tonalidade de pele mais clara (Devulsky, 2021).</w:t>
      </w:r>
    </w:p>
    <w:p w14:paraId="5F2B5701" w14:textId="314F7B59" w:rsidR="0038356E" w:rsidRPr="00B10BA9" w:rsidRDefault="002C48CD" w:rsidP="0038356E">
      <w:pPr>
        <w:spacing w:line="360" w:lineRule="auto"/>
        <w:ind w:right="139" w:firstLine="720"/>
        <w:jc w:val="both"/>
      </w:pPr>
      <w:r>
        <w:t>Assim, e</w:t>
      </w:r>
      <w:r w:rsidR="0038356E" w:rsidRPr="00B10BA9">
        <w:t>mbora as pardas de pele mais claras sejam mais capazes de auferir algumas vantagens em condições de vida, estas ainda não são suficientes para proteger a saúde mental das mulheres que ocupam essa posição.</w:t>
      </w:r>
      <w:r w:rsidR="0038356E" w:rsidRPr="00B10BA9">
        <w:rPr>
          <w:shd w:val="clear" w:color="auto" w:fill="FFFFFF"/>
        </w:rPr>
        <w:t xml:space="preserve"> O fenômeno do colorismo na sociedade brasileira incide com mais força sobre mulheres, gerando maior questionamento da legitimidade da sua racialização e traz impactos no mercado afetivo </w:t>
      </w:r>
      <w:r w:rsidR="0038356E" w:rsidRPr="00B10BA9">
        <w:t>(Lago, Montibeler &amp; Miguel, 2023)</w:t>
      </w:r>
      <w:r w:rsidR="0038356E" w:rsidRPr="00B10BA9">
        <w:rPr>
          <w:shd w:val="clear" w:color="auto" w:fill="FFFFFF"/>
        </w:rPr>
        <w:t xml:space="preserve">. Considerando que essa </w:t>
      </w:r>
      <w:r w:rsidR="0038356E" w:rsidRPr="00B10BA9">
        <w:rPr>
          <w:color w:val="000000"/>
        </w:rPr>
        <w:lastRenderedPageBreak/>
        <w:t>categoria intermediária é um nó nas discussões sobre racismo e antirracismo no Brasil, a compreensão da saúde mental ao longo do envelhecimento dessas mulheres demanda reflexões complexas sobre processos de identidade racial, senso de pertencimento e determinantes materiais e simbólicos (</w:t>
      </w:r>
      <w:r w:rsidR="0038356E" w:rsidRPr="00B10BA9">
        <w:rPr>
          <w:shd w:val="clear" w:color="auto" w:fill="FFFFFF"/>
        </w:rPr>
        <w:t>Costa &amp; Schucman, 2022).</w:t>
      </w:r>
    </w:p>
    <w:p w14:paraId="7E15AB4D" w14:textId="60E99263" w:rsidR="0038356E" w:rsidRPr="00B10BA9" w:rsidRDefault="0038356E" w:rsidP="0052548C">
      <w:pPr>
        <w:spacing w:line="360" w:lineRule="auto"/>
        <w:ind w:right="139" w:firstLine="720"/>
        <w:jc w:val="both"/>
      </w:pPr>
      <w:r w:rsidRPr="00B10BA9">
        <w:t xml:space="preserve">As mulheres brancas desse estudo apresentaram um conjunto de condições de vida favoráveis a um envelhecimento com melhor saúde e autonomia, indicando a vigência e os efeitos de privilégios associados à branquitude (Bento, 2014) no envelhecimento. </w:t>
      </w:r>
      <w:r w:rsidR="0052548C">
        <w:t>Entende-se que a b</w:t>
      </w:r>
      <w:r w:rsidR="0052548C" w:rsidRPr="682190EC">
        <w:t xml:space="preserve">ranquitude se expressa a partir dos benefícios concretos e simbólicos caracterizando o lugar ocupado pelo branco no âmbito social, uma vez que, a herança escravocrata continua reverberando </w:t>
      </w:r>
      <w:r w:rsidR="0052548C">
        <w:t>privilégios</w:t>
      </w:r>
      <w:r w:rsidR="0052548C" w:rsidRPr="682190EC">
        <w:t xml:space="preserve"> para população branca</w:t>
      </w:r>
      <w:r w:rsidR="0052548C">
        <w:t xml:space="preserve"> (Bento, 2014)</w:t>
      </w:r>
      <w:r w:rsidR="0052548C" w:rsidRPr="682190EC">
        <w:t>.</w:t>
      </w:r>
      <w:r w:rsidR="0052548C">
        <w:t xml:space="preserve"> </w:t>
      </w:r>
      <w:r w:rsidRPr="00B10BA9">
        <w:t xml:space="preserve">O usufruto desse pertencimento racial também precisa ser ressaltado pois modelos prescritivos de envelhecimento bem sucedido costumam ser calcados na naturalização dessa condição racial como norma e referência na construção de manuais técnicos ou guias de referência na Gerontologia (Silva, 2019). Dessa forma, pensar em saúde mental no envelhecimento de mulheres exige o </w:t>
      </w:r>
      <w:r w:rsidRPr="00B10BA9">
        <w:rPr>
          <w:shd w:val="clear" w:color="auto" w:fill="FFFFFF"/>
        </w:rPr>
        <w:t>tensionamento de hierarquias raciais intragênero.</w:t>
      </w:r>
    </w:p>
    <w:p w14:paraId="2059A07C" w14:textId="77777777" w:rsidR="0038356E" w:rsidRPr="00B10BA9" w:rsidRDefault="0038356E" w:rsidP="0038356E">
      <w:pPr>
        <w:spacing w:line="360" w:lineRule="auto"/>
        <w:ind w:right="139" w:firstLine="720"/>
        <w:jc w:val="both"/>
      </w:pPr>
      <w:r w:rsidRPr="682190EC">
        <w:t xml:space="preserve">Este estudo pode contribuir para uma melhor compreensão das relações entre as condições de vida e a saúde mental de mulheres em envelhecimento por raça/cor. A utilização dos critérios formais do IBGE para categorização de raça/cor auxilia na padronização e nas comparações entre estudos. O destaque para a intersecção entre gênero e idade coloca em evidência um grupo que precisa de investimento das políticas públicas e neste estudo ressalta-se que a saúde mental é um campo político que exige o reconhecimento das condições de vida e de envelhecimento de mulheres, em especial, daquelas em maior vulneração. </w:t>
      </w:r>
    </w:p>
    <w:p w14:paraId="296E8419" w14:textId="780EB388" w:rsidR="0038356E" w:rsidRPr="00B10BA9" w:rsidRDefault="0038356E" w:rsidP="0038356E">
      <w:pPr>
        <w:spacing w:line="360" w:lineRule="auto"/>
        <w:ind w:right="139" w:firstLine="720"/>
        <w:jc w:val="both"/>
      </w:pPr>
      <w:r w:rsidRPr="00B10BA9">
        <w:t xml:space="preserve">Algumas limitações do estudo podem ser citadas: um estudo transversal com uma amostra não representativa e de mulheres escolarizadas com acesso às tecnologias digitais pode ofuscar possíveis associações entre as condições de vida e a saúde mental. </w:t>
      </w:r>
      <w:r w:rsidR="00181C54">
        <w:t xml:space="preserve">Considerando as especificidades do contexto brasileiro, no qual a população negra é composta por pardos e pretos, assume-se também como uma limitação o efeito do agrupamento racial utilizado nesse estudo. Isto é, a maneira como as </w:t>
      </w:r>
      <w:r w:rsidR="00F84949">
        <w:t>categori</w:t>
      </w:r>
      <w:r w:rsidR="00181C54">
        <w:t>as de raça/cor foram agrupadas nas análises (por exemplo, comparar as pretas com todos os outros grupos</w:t>
      </w:r>
      <w:r w:rsidR="00F84949">
        <w:t>, incluindo</w:t>
      </w:r>
      <w:r w:rsidR="00181C54">
        <w:t xml:space="preserve"> as pardas) pode ter diminuído a magnitude das associações encontradas. </w:t>
      </w:r>
      <w:r w:rsidRPr="00B10BA9">
        <w:t xml:space="preserve">Sugere-se que outros estudos busquem </w:t>
      </w:r>
      <w:r w:rsidR="00181C54">
        <w:t xml:space="preserve">fazer outras formas de agrupamento racial, investir em </w:t>
      </w:r>
      <w:r w:rsidRPr="00B10BA9">
        <w:t xml:space="preserve">uma avaliação mais ampla de saúde mental, com </w:t>
      </w:r>
      <w:r w:rsidRPr="00B10BA9">
        <w:lastRenderedPageBreak/>
        <w:t>maiores informações sobre demandas e configurações familiares, incluam os recursos sociais e psicológicos, além de amostras mais heterogêneas e representativas da população brasileira.</w:t>
      </w:r>
    </w:p>
    <w:p w14:paraId="132340D7" w14:textId="77777777" w:rsidR="0038356E" w:rsidRPr="00B10BA9" w:rsidRDefault="0038356E" w:rsidP="0038356E">
      <w:pPr>
        <w:spacing w:line="360" w:lineRule="auto"/>
        <w:ind w:right="139" w:firstLine="720"/>
        <w:jc w:val="both"/>
      </w:pPr>
      <w:r w:rsidRPr="682190EC">
        <w:t xml:space="preserve">Este estudo sugeriu diferenças por raça/cor entre as mulheres de meia idade e idosas quanto à configuração familiar e às condições socioeconômicas, com mulheres pretas entre aquelas em uma configuração familiar monoparental com maiores dificuldades financeiras, as pardas em configurações familiares com maior apoio e as brancas com maior possibilidade de autonomia. Com relação à saúde mental, as mulheres brancas estavam mais protegidas e no grupo das negras foram as pardas as que apresentaram mais TMC. Diferenças importantes foram observadas com relação à melhor renda de mulheres brancas e a pior saúde mental de mulheres pretas com o estado civil solteira. </w:t>
      </w:r>
    </w:p>
    <w:p w14:paraId="4A7B25E3" w14:textId="77777777" w:rsidR="0038356E" w:rsidRPr="00B10BA9" w:rsidRDefault="0038356E" w:rsidP="0038356E">
      <w:pPr>
        <w:spacing w:line="360" w:lineRule="auto"/>
        <w:ind w:right="139" w:firstLine="720"/>
        <w:jc w:val="both"/>
      </w:pPr>
      <w:r w:rsidRPr="682190EC">
        <w:t xml:space="preserve">Os dados indicaram a complexidade envolvida na saúde mental e que determinadas condições de vida têm limitações na explicação dos níveis de TMC de mulheres mais velhas segundo raça/cor. Os dados não mostraram evidências suficientes para corroborar o “paradoxo da saúde mental entre negros e brancos”, possivelmente em função de dispositivos racistas específicos da realidade brasileira, como a mestiçagem e o colorismo que não estão presentes do mesmo modo em outros contextos culturais. Desse modo, compreender a saúde mental de mulheres negras em envelhecimento torna-se ainda mais desafiador. </w:t>
      </w:r>
    </w:p>
    <w:p w14:paraId="13FA8237" w14:textId="019BA276" w:rsidR="007E3B8D" w:rsidRPr="00CD7EC5" w:rsidRDefault="007E3B8D" w:rsidP="0038356E">
      <w:pPr>
        <w:pStyle w:val="Prrafocomn"/>
        <w:rPr>
          <w:lang w:val="pt-BR"/>
        </w:rPr>
      </w:pPr>
      <w:r w:rsidRPr="00CD7EC5">
        <w:rPr>
          <w:lang w:val="pt-BR"/>
        </w:rPr>
        <w:br w:type="page"/>
      </w:r>
    </w:p>
    <w:p w14:paraId="6CD8B4A8" w14:textId="2B75B031" w:rsidR="006F7E7E" w:rsidRPr="00CD7EC5" w:rsidRDefault="00CD7EC5" w:rsidP="00CD7EC5">
      <w:pPr>
        <w:pStyle w:val="Ttulosinternos"/>
        <w:rPr>
          <w:bCs/>
        </w:rPr>
      </w:pPr>
      <w:r w:rsidRPr="00CD7EC5">
        <w:rPr>
          <w:bCs/>
        </w:rPr>
        <w:lastRenderedPageBreak/>
        <w:t>Referências</w:t>
      </w:r>
    </w:p>
    <w:p w14:paraId="781B2C0D" w14:textId="22C952AB" w:rsidR="00B313D0" w:rsidRPr="002E301A" w:rsidRDefault="00B313D0" w:rsidP="003B3823">
      <w:pPr>
        <w:ind w:left="709" w:right="139" w:hanging="709"/>
        <w:jc w:val="both"/>
        <w:rPr>
          <w:shd w:val="clear" w:color="auto" w:fill="FFFFFF"/>
        </w:rPr>
      </w:pPr>
      <w:r w:rsidRPr="002E301A">
        <w:rPr>
          <w:shd w:val="clear" w:color="auto" w:fill="FFFFFF"/>
        </w:rPr>
        <w:t>Abrams, J. A.</w:t>
      </w:r>
      <w:r w:rsidR="00005C39" w:rsidRPr="002E301A">
        <w:rPr>
          <w:shd w:val="clear" w:color="auto" w:fill="FFFFFF"/>
        </w:rPr>
        <w:t>,</w:t>
      </w:r>
      <w:r w:rsidRPr="002E301A">
        <w:rPr>
          <w:shd w:val="clear" w:color="auto" w:fill="FFFFFF"/>
        </w:rPr>
        <w:t xml:space="preserve"> Hill, A.</w:t>
      </w:r>
      <w:r w:rsidR="00005C39" w:rsidRPr="002E301A">
        <w:rPr>
          <w:shd w:val="clear" w:color="auto" w:fill="FFFFFF"/>
        </w:rPr>
        <w:t>, &amp; Maxwell, M. (2019</w:t>
      </w:r>
      <w:r w:rsidRPr="002E301A">
        <w:rPr>
          <w:shd w:val="clear" w:color="auto" w:fill="FFFFFF"/>
        </w:rPr>
        <w:t>). Underneath the Mask of the Strong Black Woman Schema: Disentangling Influences of Strength and Self-Silencing on Depressive Symptoms among U.S. Black Women</w:t>
      </w:r>
      <w:r w:rsidRPr="002E301A">
        <w:rPr>
          <w:i/>
          <w:iCs/>
          <w:shd w:val="clear" w:color="auto" w:fill="FFFFFF"/>
        </w:rPr>
        <w:t>.</w:t>
      </w:r>
      <w:r w:rsidR="004740BD" w:rsidRPr="002E301A">
        <w:rPr>
          <w:i/>
          <w:iCs/>
          <w:shd w:val="clear" w:color="auto" w:fill="FFFFFF"/>
        </w:rPr>
        <w:t xml:space="preserve"> Journal</w:t>
      </w:r>
      <w:r w:rsidRPr="002E301A">
        <w:rPr>
          <w:i/>
          <w:iCs/>
          <w:shd w:val="clear" w:color="auto" w:fill="FFFFFF"/>
        </w:rPr>
        <w:t xml:space="preserve"> Sex Roles</w:t>
      </w:r>
      <w:r w:rsidR="00005C39" w:rsidRPr="002E301A">
        <w:rPr>
          <w:i/>
          <w:iCs/>
          <w:shd w:val="clear" w:color="auto" w:fill="FFFFFF"/>
        </w:rPr>
        <w:t xml:space="preserve">, 80, </w:t>
      </w:r>
      <w:r w:rsidR="004B4522" w:rsidRPr="002E301A">
        <w:rPr>
          <w:shd w:val="clear" w:color="auto" w:fill="FFFFFF"/>
        </w:rPr>
        <w:t>517-527</w:t>
      </w:r>
      <w:r w:rsidR="004B4522" w:rsidRPr="002E301A">
        <w:rPr>
          <w:i/>
          <w:iCs/>
          <w:shd w:val="clear" w:color="auto" w:fill="FFFFFF"/>
        </w:rPr>
        <w:t>.</w:t>
      </w:r>
      <w:r w:rsidRPr="002E301A">
        <w:rPr>
          <w:shd w:val="clear" w:color="auto" w:fill="FFFFFF"/>
        </w:rPr>
        <w:t> </w:t>
      </w:r>
      <w:hyperlink r:id="rId11" w:history="1">
        <w:r w:rsidR="00A51CE0" w:rsidRPr="002E301A">
          <w:rPr>
            <w:rStyle w:val="Hyperlink"/>
            <w:color w:val="auto"/>
            <w:shd w:val="clear" w:color="auto" w:fill="FFFFFF"/>
          </w:rPr>
          <w:t>https://doi.org/10.1007/s11199-018-0956-y</w:t>
        </w:r>
      </w:hyperlink>
    </w:p>
    <w:p w14:paraId="55454F55" w14:textId="4099237F" w:rsidR="00B313D0" w:rsidRPr="002E301A" w:rsidRDefault="00B313D0" w:rsidP="003B3823">
      <w:pPr>
        <w:ind w:left="709" w:right="139" w:hanging="709"/>
        <w:jc w:val="both"/>
      </w:pPr>
      <w:r w:rsidRPr="002E301A">
        <w:t>Abrams, J. A.</w:t>
      </w:r>
      <w:r w:rsidR="00A51CE0" w:rsidRPr="002E301A">
        <w:t>,</w:t>
      </w:r>
      <w:r w:rsidRPr="002E301A">
        <w:t xml:space="preserve"> Maxwell, M.</w:t>
      </w:r>
      <w:r w:rsidR="00A51CE0" w:rsidRPr="002E301A">
        <w:t>,</w:t>
      </w:r>
      <w:r w:rsidRPr="002E301A">
        <w:t xml:space="preserve"> Pope, M.</w:t>
      </w:r>
      <w:r w:rsidR="00A51CE0" w:rsidRPr="002E301A">
        <w:t>,</w:t>
      </w:r>
      <w:r w:rsidRPr="002E301A">
        <w:t xml:space="preserve"> &amp; Belgrave, F. Z. (2014). Carrying the world with the grace of a lady and the grit of a warrior: Deepening our understanding of the Bstrong Black woman schema. </w:t>
      </w:r>
      <w:r w:rsidRPr="002E301A">
        <w:rPr>
          <w:i/>
          <w:iCs/>
        </w:rPr>
        <w:t>Psychology of Women Quarterly</w:t>
      </w:r>
      <w:r w:rsidRPr="002E301A">
        <w:t xml:space="preserve">, </w:t>
      </w:r>
      <w:r w:rsidRPr="002E301A">
        <w:rPr>
          <w:i/>
        </w:rPr>
        <w:t>38</w:t>
      </w:r>
      <w:r w:rsidRPr="002E301A">
        <w:t xml:space="preserve">(4), 503–518. </w:t>
      </w:r>
      <w:hyperlink r:id="rId12" w:history="1">
        <w:r w:rsidRPr="002E301A">
          <w:rPr>
            <w:rStyle w:val="Hyperlink"/>
            <w:color w:val="auto"/>
          </w:rPr>
          <w:t>https://doi.org/10. 1177/0361684314541418</w:t>
        </w:r>
      </w:hyperlink>
    </w:p>
    <w:p w14:paraId="5280E678" w14:textId="3912A4C6" w:rsidR="00B313D0" w:rsidRPr="002E301A" w:rsidRDefault="00B313D0" w:rsidP="004740BD">
      <w:pPr>
        <w:ind w:left="709" w:right="139" w:hanging="709"/>
        <w:jc w:val="both"/>
        <w:rPr>
          <w:shd w:val="clear" w:color="auto" w:fill="FFFFFF"/>
        </w:rPr>
      </w:pPr>
      <w:r w:rsidRPr="002E301A">
        <w:rPr>
          <w:shd w:val="clear" w:color="auto" w:fill="FFFFFF"/>
        </w:rPr>
        <w:t>Almeida-Filho N</w:t>
      </w:r>
      <w:r w:rsidR="0070716C" w:rsidRPr="002E301A">
        <w:rPr>
          <w:shd w:val="clear" w:color="auto" w:fill="FFFFFF"/>
        </w:rPr>
        <w:t>.</w:t>
      </w:r>
      <w:r w:rsidR="00A51CE0" w:rsidRPr="002E301A">
        <w:rPr>
          <w:shd w:val="clear" w:color="auto" w:fill="FFFFFF"/>
        </w:rPr>
        <w:t xml:space="preserve">, </w:t>
      </w:r>
      <w:r w:rsidR="00A51CE0" w:rsidRPr="002E301A">
        <w:rPr>
          <w:shd w:val="clear" w:color="auto" w:fill="FFFFFF"/>
        </w:rPr>
        <w:t>Lessa</w:t>
      </w:r>
      <w:r w:rsidR="00A51CE0" w:rsidRPr="002E301A">
        <w:rPr>
          <w:shd w:val="clear" w:color="auto" w:fill="FFFFFF"/>
        </w:rPr>
        <w:t>,</w:t>
      </w:r>
      <w:r w:rsidR="00A51CE0" w:rsidRPr="002E301A">
        <w:rPr>
          <w:shd w:val="clear" w:color="auto" w:fill="FFFFFF"/>
        </w:rPr>
        <w:t xml:space="preserve"> I</w:t>
      </w:r>
      <w:r w:rsidR="00A51CE0" w:rsidRPr="002E301A">
        <w:rPr>
          <w:shd w:val="clear" w:color="auto" w:fill="FFFFFF"/>
        </w:rPr>
        <w:t>.</w:t>
      </w:r>
      <w:r w:rsidR="00A51CE0" w:rsidRPr="002E301A">
        <w:rPr>
          <w:shd w:val="clear" w:color="auto" w:fill="FFFFFF"/>
        </w:rPr>
        <w:t>, Magalhães</w:t>
      </w:r>
      <w:r w:rsidR="00A51CE0" w:rsidRPr="002E301A">
        <w:rPr>
          <w:shd w:val="clear" w:color="auto" w:fill="FFFFFF"/>
        </w:rPr>
        <w:t>,</w:t>
      </w:r>
      <w:r w:rsidR="00A51CE0" w:rsidRPr="002E301A">
        <w:rPr>
          <w:shd w:val="clear" w:color="auto" w:fill="FFFFFF"/>
        </w:rPr>
        <w:t xml:space="preserve"> L</w:t>
      </w:r>
      <w:r w:rsidR="00A51CE0" w:rsidRPr="002E301A">
        <w:rPr>
          <w:shd w:val="clear" w:color="auto" w:fill="FFFFFF"/>
        </w:rPr>
        <w:t>.</w:t>
      </w:r>
      <w:r w:rsidR="00A51CE0" w:rsidRPr="002E301A">
        <w:rPr>
          <w:shd w:val="clear" w:color="auto" w:fill="FFFFFF"/>
        </w:rPr>
        <w:t>, Araújo</w:t>
      </w:r>
      <w:r w:rsidR="00A51CE0" w:rsidRPr="002E301A">
        <w:rPr>
          <w:shd w:val="clear" w:color="auto" w:fill="FFFFFF"/>
        </w:rPr>
        <w:t>,</w:t>
      </w:r>
      <w:r w:rsidR="00A51CE0" w:rsidRPr="002E301A">
        <w:rPr>
          <w:shd w:val="clear" w:color="auto" w:fill="FFFFFF"/>
        </w:rPr>
        <w:t xml:space="preserve"> M</w:t>
      </w:r>
      <w:r w:rsidR="00A51CE0" w:rsidRPr="002E301A">
        <w:rPr>
          <w:shd w:val="clear" w:color="auto" w:fill="FFFFFF"/>
        </w:rPr>
        <w:t xml:space="preserve">.  </w:t>
      </w:r>
      <w:r w:rsidR="00A51CE0" w:rsidRPr="002E301A">
        <w:rPr>
          <w:shd w:val="clear" w:color="auto" w:fill="FFFFFF"/>
        </w:rPr>
        <w:t>J</w:t>
      </w:r>
      <w:r w:rsidR="00A51CE0" w:rsidRPr="002E301A">
        <w:rPr>
          <w:shd w:val="clear" w:color="auto" w:fill="FFFFFF"/>
        </w:rPr>
        <w:t>.</w:t>
      </w:r>
      <w:r w:rsidR="00A51CE0" w:rsidRPr="002E301A">
        <w:rPr>
          <w:shd w:val="clear" w:color="auto" w:fill="FFFFFF"/>
        </w:rPr>
        <w:t>, Aquino</w:t>
      </w:r>
      <w:r w:rsidR="00A51CE0" w:rsidRPr="002E301A">
        <w:rPr>
          <w:shd w:val="clear" w:color="auto" w:fill="FFFFFF"/>
        </w:rPr>
        <w:t>,</w:t>
      </w:r>
      <w:r w:rsidR="00A51CE0" w:rsidRPr="002E301A">
        <w:rPr>
          <w:shd w:val="clear" w:color="auto" w:fill="FFFFFF"/>
        </w:rPr>
        <w:t xml:space="preserve"> E</w:t>
      </w:r>
      <w:r w:rsidR="00A51CE0" w:rsidRPr="002E301A">
        <w:rPr>
          <w:shd w:val="clear" w:color="auto" w:fill="FFFFFF"/>
        </w:rPr>
        <w:t>.</w:t>
      </w:r>
      <w:r w:rsidR="00A51CE0" w:rsidRPr="002E301A">
        <w:rPr>
          <w:shd w:val="clear" w:color="auto" w:fill="FFFFFF"/>
        </w:rPr>
        <w:t>, James</w:t>
      </w:r>
      <w:r w:rsidR="00A51CE0" w:rsidRPr="002E301A">
        <w:rPr>
          <w:shd w:val="clear" w:color="auto" w:fill="FFFFFF"/>
        </w:rPr>
        <w:t>,</w:t>
      </w:r>
      <w:r w:rsidR="00A51CE0" w:rsidRPr="002E301A">
        <w:rPr>
          <w:shd w:val="clear" w:color="auto" w:fill="FFFFFF"/>
        </w:rPr>
        <w:t xml:space="preserve"> S</w:t>
      </w:r>
      <w:r w:rsidR="00A51CE0" w:rsidRPr="002E301A">
        <w:rPr>
          <w:shd w:val="clear" w:color="auto" w:fill="FFFFFF"/>
        </w:rPr>
        <w:t xml:space="preserve">. </w:t>
      </w:r>
      <w:r w:rsidR="00A51CE0" w:rsidRPr="002E301A">
        <w:rPr>
          <w:shd w:val="clear" w:color="auto" w:fill="FFFFFF"/>
        </w:rPr>
        <w:t>A</w:t>
      </w:r>
      <w:r w:rsidR="00A51CE0" w:rsidRPr="002E301A">
        <w:rPr>
          <w:shd w:val="clear" w:color="auto" w:fill="FFFFFF"/>
        </w:rPr>
        <w:t>.</w:t>
      </w:r>
      <w:r w:rsidR="00A51CE0" w:rsidRPr="002E301A">
        <w:rPr>
          <w:shd w:val="clear" w:color="auto" w:fill="FFFFFF"/>
        </w:rPr>
        <w:t xml:space="preserve">, </w:t>
      </w:r>
      <w:r w:rsidR="00130132" w:rsidRPr="002E301A">
        <w:rPr>
          <w:shd w:val="clear" w:color="auto" w:fill="FFFFFF"/>
        </w:rPr>
        <w:t xml:space="preserve">&amp; </w:t>
      </w:r>
      <w:r w:rsidR="00A51CE0" w:rsidRPr="002E301A">
        <w:rPr>
          <w:shd w:val="clear" w:color="auto" w:fill="FFFFFF"/>
        </w:rPr>
        <w:t>Kawachi I.</w:t>
      </w:r>
      <w:r w:rsidR="004740BD" w:rsidRPr="002E301A">
        <w:rPr>
          <w:shd w:val="clear" w:color="auto" w:fill="FFFFFF"/>
        </w:rPr>
        <w:t xml:space="preserve"> (2004). </w:t>
      </w:r>
      <w:r w:rsidRPr="002E301A">
        <w:rPr>
          <w:shd w:val="clear" w:color="auto" w:fill="FFFFFF"/>
        </w:rPr>
        <w:t>Social inequality and depressive disorders in Bahia, Brazil: interactions of gender, ethnicity, and social class</w:t>
      </w:r>
      <w:r w:rsidRPr="002E301A">
        <w:rPr>
          <w:i/>
          <w:iCs/>
          <w:shd w:val="clear" w:color="auto" w:fill="FFFFFF"/>
        </w:rPr>
        <w:t>. Soc</w:t>
      </w:r>
      <w:r w:rsidR="004740BD" w:rsidRPr="002E301A">
        <w:rPr>
          <w:i/>
          <w:iCs/>
          <w:shd w:val="clear" w:color="auto" w:fill="FFFFFF"/>
        </w:rPr>
        <w:t>ial</w:t>
      </w:r>
      <w:r w:rsidRPr="002E301A">
        <w:rPr>
          <w:i/>
          <w:iCs/>
          <w:shd w:val="clear" w:color="auto" w:fill="FFFFFF"/>
        </w:rPr>
        <w:t xml:space="preserve"> Sci</w:t>
      </w:r>
      <w:r w:rsidR="004740BD" w:rsidRPr="002E301A">
        <w:rPr>
          <w:i/>
          <w:iCs/>
          <w:shd w:val="clear" w:color="auto" w:fill="FFFFFF"/>
        </w:rPr>
        <w:t>ence &amp;</w:t>
      </w:r>
      <w:r w:rsidRPr="002E301A">
        <w:rPr>
          <w:i/>
          <w:iCs/>
          <w:shd w:val="clear" w:color="auto" w:fill="FFFFFF"/>
        </w:rPr>
        <w:t xml:space="preserve"> Med</w:t>
      </w:r>
      <w:r w:rsidR="004740BD" w:rsidRPr="002E301A">
        <w:rPr>
          <w:i/>
          <w:iCs/>
          <w:shd w:val="clear" w:color="auto" w:fill="FFFFFF"/>
        </w:rPr>
        <w:t>icine</w:t>
      </w:r>
      <w:r w:rsidR="00A51CE0" w:rsidRPr="002E301A">
        <w:rPr>
          <w:shd w:val="clear" w:color="auto" w:fill="FFFFFF"/>
        </w:rPr>
        <w:t xml:space="preserve">, </w:t>
      </w:r>
      <w:r w:rsidRPr="002E301A">
        <w:rPr>
          <w:i/>
          <w:shd w:val="clear" w:color="auto" w:fill="FFFFFF"/>
        </w:rPr>
        <w:t>59</w:t>
      </w:r>
      <w:r w:rsidR="00A51CE0" w:rsidRPr="002E301A">
        <w:rPr>
          <w:shd w:val="clear" w:color="auto" w:fill="FFFFFF"/>
        </w:rPr>
        <w:t>(7</w:t>
      </w:r>
      <w:proofErr w:type="gramStart"/>
      <w:r w:rsidR="00A51CE0" w:rsidRPr="002E301A">
        <w:rPr>
          <w:shd w:val="clear" w:color="auto" w:fill="FFFFFF"/>
        </w:rPr>
        <w:t>),</w:t>
      </w:r>
      <w:proofErr w:type="gramEnd"/>
      <w:r w:rsidRPr="002E301A">
        <w:rPr>
          <w:shd w:val="clear" w:color="auto" w:fill="FFFFFF"/>
        </w:rPr>
        <w:t>1339-</w:t>
      </w:r>
      <w:r w:rsidR="00A51CE0" w:rsidRPr="002E301A">
        <w:rPr>
          <w:shd w:val="clear" w:color="auto" w:fill="FFFFFF"/>
        </w:rPr>
        <w:t>13</w:t>
      </w:r>
      <w:r w:rsidRPr="002E301A">
        <w:rPr>
          <w:shd w:val="clear" w:color="auto" w:fill="FFFFFF"/>
        </w:rPr>
        <w:t xml:space="preserve">53. </w:t>
      </w:r>
      <w:hyperlink r:id="rId13" w:history="1">
        <w:r w:rsidR="00A51CE0" w:rsidRPr="002E301A">
          <w:rPr>
            <w:rStyle w:val="Hyperlink"/>
            <w:color w:val="auto"/>
            <w:shd w:val="clear" w:color="auto" w:fill="FFFFFF"/>
          </w:rPr>
          <w:t>https://doi:10.1016/j.socscimed.2003.11.037</w:t>
        </w:r>
      </w:hyperlink>
    </w:p>
    <w:p w14:paraId="133C5326" w14:textId="7D7B6AE7" w:rsidR="00B313D0" w:rsidRPr="002E301A" w:rsidRDefault="00B313D0" w:rsidP="003B3823">
      <w:pPr>
        <w:ind w:left="709" w:right="139" w:hanging="709"/>
        <w:jc w:val="both"/>
      </w:pPr>
      <w:r w:rsidRPr="002E301A">
        <w:t>Andrade, A. P. M</w:t>
      </w:r>
      <w:r w:rsidR="0070716C" w:rsidRPr="002E301A">
        <w:t xml:space="preserve">. </w:t>
      </w:r>
      <w:r w:rsidRPr="002E301A">
        <w:t>(2014). (Entre</w:t>
      </w:r>
      <w:proofErr w:type="gramStart"/>
      <w:r w:rsidRPr="002E301A">
        <w:t>)laçamentos</w:t>
      </w:r>
      <w:proofErr w:type="gramEnd"/>
      <w:r w:rsidRPr="002E301A">
        <w:t xml:space="preserve"> possív</w:t>
      </w:r>
      <w:r w:rsidR="00130132" w:rsidRPr="002E301A">
        <w:t>eis entre Gênero e Saúde Mental.</w:t>
      </w:r>
      <w:r w:rsidRPr="002E301A">
        <w:t xml:space="preserve"> In </w:t>
      </w:r>
      <w:r w:rsidR="00130132" w:rsidRPr="002E301A">
        <w:t xml:space="preserve">V. </w:t>
      </w:r>
      <w:r w:rsidRPr="002E301A">
        <w:t>Zanelo</w:t>
      </w:r>
      <w:r w:rsidR="00130132" w:rsidRPr="002E301A">
        <w:t xml:space="preserve"> &amp; </w:t>
      </w:r>
      <w:r w:rsidR="00130132" w:rsidRPr="002E301A">
        <w:t>A. P. M</w:t>
      </w:r>
      <w:r w:rsidR="00130132" w:rsidRPr="002E301A">
        <w:t>.</w:t>
      </w:r>
      <w:r w:rsidR="00130132" w:rsidRPr="002E301A">
        <w:t xml:space="preserve"> </w:t>
      </w:r>
      <w:r w:rsidR="00130132" w:rsidRPr="002E301A">
        <w:t>Andrade</w:t>
      </w:r>
      <w:r w:rsidRPr="002E301A">
        <w:t xml:space="preserve"> (Org.), </w:t>
      </w:r>
      <w:r w:rsidRPr="002E301A">
        <w:rPr>
          <w:i/>
          <w:iCs/>
        </w:rPr>
        <w:t>Saúde Mental e Gênero: Diálogos e Interdisciplinaridade</w:t>
      </w:r>
      <w:r w:rsidR="00130132" w:rsidRPr="002E301A">
        <w:rPr>
          <w:i/>
          <w:iCs/>
        </w:rPr>
        <w:t xml:space="preserve"> </w:t>
      </w:r>
      <w:r w:rsidR="00130132" w:rsidRPr="002E301A">
        <w:rPr>
          <w:iCs/>
        </w:rPr>
        <w:t xml:space="preserve">(pp. </w:t>
      </w:r>
      <w:r w:rsidR="003A27A3" w:rsidRPr="002E301A">
        <w:rPr>
          <w:iCs/>
        </w:rPr>
        <w:t>59-77)</w:t>
      </w:r>
      <w:r w:rsidRPr="002E301A">
        <w:t>.</w:t>
      </w:r>
      <w:r w:rsidR="00130132" w:rsidRPr="002E301A">
        <w:t xml:space="preserve"> </w:t>
      </w:r>
      <w:r w:rsidR="003A27A3" w:rsidRPr="002E301A">
        <w:t>Appris.</w:t>
      </w:r>
    </w:p>
    <w:p w14:paraId="3B0127FF" w14:textId="23BD43A6" w:rsidR="00B313D0" w:rsidRPr="002E301A" w:rsidRDefault="00B313D0" w:rsidP="003B3823">
      <w:pPr>
        <w:ind w:left="709" w:right="139" w:hanging="709"/>
        <w:jc w:val="both"/>
      </w:pPr>
      <w:r w:rsidRPr="002E301A">
        <w:t>American Psychiatric Association</w:t>
      </w:r>
      <w:r w:rsidR="0070716C" w:rsidRPr="002E301A">
        <w:t xml:space="preserve"> (2014)</w:t>
      </w:r>
      <w:r w:rsidRPr="002E301A">
        <w:t xml:space="preserve">. </w:t>
      </w:r>
      <w:r w:rsidRPr="002E301A">
        <w:rPr>
          <w:i/>
          <w:iCs/>
        </w:rPr>
        <w:t>Manual diagnóstico e Estatístico de Transtornos Mentais-5</w:t>
      </w:r>
      <w:r w:rsidR="003A27A3" w:rsidRPr="002E301A">
        <w:t>: DSM. Artmed</w:t>
      </w:r>
      <w:r w:rsidRPr="002E301A">
        <w:t>.</w:t>
      </w:r>
    </w:p>
    <w:p w14:paraId="506342B6" w14:textId="3C678BAF" w:rsidR="003A27A3" w:rsidRPr="002E301A" w:rsidRDefault="00B313D0" w:rsidP="003B3823">
      <w:pPr>
        <w:ind w:left="709" w:right="139" w:hanging="709"/>
        <w:jc w:val="both"/>
        <w:rPr>
          <w:shd w:val="clear" w:color="auto" w:fill="FFFFFF"/>
        </w:rPr>
      </w:pPr>
      <w:r w:rsidRPr="002E301A">
        <w:t>Antunes, P. C.</w:t>
      </w:r>
      <w:r w:rsidR="003A27A3" w:rsidRPr="002E301A">
        <w:t>,</w:t>
      </w:r>
      <w:r w:rsidR="0070716C" w:rsidRPr="002E301A">
        <w:t xml:space="preserve"> &amp;</w:t>
      </w:r>
      <w:r w:rsidRPr="002E301A">
        <w:t xml:space="preserve"> Silva, A. M. (2013). Elementos sobre a concepção de meia-idade, no processo de envelhecimento humano. </w:t>
      </w:r>
      <w:r w:rsidRPr="002E301A">
        <w:rPr>
          <w:i/>
          <w:iCs/>
        </w:rPr>
        <w:t>Rev</w:t>
      </w:r>
      <w:r w:rsidR="0070716C" w:rsidRPr="002E301A">
        <w:rPr>
          <w:i/>
          <w:iCs/>
        </w:rPr>
        <w:t>ista</w:t>
      </w:r>
      <w:r w:rsidRPr="002E301A">
        <w:rPr>
          <w:i/>
          <w:iCs/>
        </w:rPr>
        <w:t xml:space="preserve"> Kairós</w:t>
      </w:r>
      <w:r w:rsidRPr="002E301A">
        <w:t xml:space="preserve">, </w:t>
      </w:r>
      <w:r w:rsidR="003A27A3" w:rsidRPr="002E301A">
        <w:rPr>
          <w:i/>
          <w:iCs/>
          <w:shd w:val="clear" w:color="auto" w:fill="FFFFFF"/>
        </w:rPr>
        <w:t>16</w:t>
      </w:r>
      <w:r w:rsidR="003A27A3" w:rsidRPr="002E301A">
        <w:rPr>
          <w:shd w:val="clear" w:color="auto" w:fill="FFFFFF"/>
        </w:rPr>
        <w:t xml:space="preserve">(3), 123–140. </w:t>
      </w:r>
      <w:hyperlink r:id="rId14" w:history="1">
        <w:r w:rsidR="003A27A3" w:rsidRPr="002E301A">
          <w:rPr>
            <w:rStyle w:val="Hyperlink"/>
            <w:color w:val="auto"/>
            <w:shd w:val="clear" w:color="auto" w:fill="FFFFFF"/>
          </w:rPr>
          <w:t>https://doi.org/10.23925/2176-901X.2013v16i3p123-140</w:t>
        </w:r>
      </w:hyperlink>
    </w:p>
    <w:p w14:paraId="775CA45A" w14:textId="6D824C5D" w:rsidR="00B313D0" w:rsidRPr="002E301A" w:rsidRDefault="003A27A3" w:rsidP="003B3823">
      <w:pPr>
        <w:ind w:left="709" w:right="139" w:hanging="709"/>
        <w:jc w:val="both"/>
        <w:rPr>
          <w:rStyle w:val="Hyperlink"/>
          <w:color w:val="auto"/>
        </w:rPr>
      </w:pPr>
      <w:r w:rsidRPr="002E301A">
        <w:t xml:space="preserve"> Araújo, T. M., Pinho, P. </w:t>
      </w:r>
      <w:r w:rsidR="00B313D0" w:rsidRPr="002E301A">
        <w:t>S.</w:t>
      </w:r>
      <w:r w:rsidRPr="002E301A">
        <w:t>, &amp; Almeida, M. M. G.</w:t>
      </w:r>
      <w:r w:rsidR="00B313D0" w:rsidRPr="002E301A">
        <w:t xml:space="preserve"> (2005). Prevalência de transtornos mentais comuns em mulheres e sua relação com as características sociodemográficas e o trabalho doméstico. </w:t>
      </w:r>
      <w:r w:rsidR="00B313D0" w:rsidRPr="002E301A">
        <w:rPr>
          <w:i/>
          <w:iCs/>
        </w:rPr>
        <w:t>Revista Brasileira De Saúde Materno Infantil</w:t>
      </w:r>
      <w:r w:rsidR="00B313D0" w:rsidRPr="002E301A">
        <w:t xml:space="preserve">, </w:t>
      </w:r>
      <w:r w:rsidR="00B313D0" w:rsidRPr="002E301A">
        <w:rPr>
          <w:i/>
        </w:rPr>
        <w:t>5</w:t>
      </w:r>
      <w:r w:rsidR="00B313D0" w:rsidRPr="002E301A">
        <w:t xml:space="preserve">(3), 337–348. </w:t>
      </w:r>
      <w:hyperlink r:id="rId15" w:history="1">
        <w:r w:rsidR="00B313D0" w:rsidRPr="002E301A">
          <w:rPr>
            <w:rStyle w:val="Hyperlink"/>
            <w:color w:val="auto"/>
          </w:rPr>
          <w:t>https://doi.org/10.1590/S1519-38292005000300010</w:t>
        </w:r>
      </w:hyperlink>
    </w:p>
    <w:p w14:paraId="1F0757CC" w14:textId="1472A6C8" w:rsidR="00B313D0" w:rsidRPr="002E301A" w:rsidRDefault="003A27A3" w:rsidP="003B3823">
      <w:pPr>
        <w:shd w:val="clear" w:color="auto" w:fill="FFFFFF"/>
        <w:ind w:left="709" w:right="139" w:hanging="709"/>
        <w:jc w:val="both"/>
      </w:pPr>
      <w:r w:rsidRPr="002E301A">
        <w:t>Barbosa, V. S., Rabelo, D. F.,</w:t>
      </w:r>
      <w:r w:rsidR="00B313D0" w:rsidRPr="002E301A">
        <w:t xml:space="preserve"> &amp; Fernandes-Eloi, J. (2020)</w:t>
      </w:r>
      <w:r w:rsidRPr="002E301A">
        <w:t>.</w:t>
      </w:r>
      <w:r w:rsidR="00B313D0" w:rsidRPr="002E301A">
        <w:t xml:space="preserve"> Indicadores de Saúde Mental e do Clima Familiar de Idosas Negras Matriarcas. </w:t>
      </w:r>
      <w:r w:rsidR="00B313D0" w:rsidRPr="002E301A">
        <w:rPr>
          <w:rStyle w:val="Forte"/>
          <w:b w:val="0"/>
          <w:bCs w:val="0"/>
          <w:i/>
          <w:iCs/>
        </w:rPr>
        <w:t>Revista de Psicologia da IMED</w:t>
      </w:r>
      <w:r w:rsidRPr="002E301A">
        <w:t>,</w:t>
      </w:r>
      <w:r w:rsidR="0070716C" w:rsidRPr="002E301A">
        <w:t xml:space="preserve"> </w:t>
      </w:r>
      <w:r w:rsidR="00B313D0" w:rsidRPr="002E301A">
        <w:rPr>
          <w:i/>
        </w:rPr>
        <w:t>12</w:t>
      </w:r>
      <w:r w:rsidRPr="002E301A">
        <w:t>(2)</w:t>
      </w:r>
      <w:r w:rsidR="00B313D0" w:rsidRPr="002E301A">
        <w:t>, 94-107.</w:t>
      </w:r>
      <w:r w:rsidRPr="002E301A">
        <w:t xml:space="preserve"> </w:t>
      </w:r>
      <w:hyperlink r:id="rId16" w:history="1">
        <w:r w:rsidR="00B313D0" w:rsidRPr="002E301A">
          <w:rPr>
            <w:rStyle w:val="Hyperlink"/>
            <w:color w:val="auto"/>
          </w:rPr>
          <w:t>https://doi.org/10.18256/2175-5027.2020.v12i2.3599</w:t>
        </w:r>
      </w:hyperlink>
    </w:p>
    <w:p w14:paraId="77BFF2DD" w14:textId="5BA99980" w:rsidR="00B313D0" w:rsidRPr="002E301A" w:rsidRDefault="00B313D0" w:rsidP="003B3823">
      <w:pPr>
        <w:shd w:val="clear" w:color="auto" w:fill="FFFFFF"/>
        <w:ind w:left="709" w:right="139" w:hanging="709"/>
        <w:jc w:val="both"/>
      </w:pPr>
      <w:r w:rsidRPr="002E301A">
        <w:t>Bento, M. A. S. (2014)</w:t>
      </w:r>
      <w:r w:rsidR="003A27A3" w:rsidRPr="002E301A">
        <w:t>.</w:t>
      </w:r>
      <w:r w:rsidRPr="002E301A">
        <w:t xml:space="preserve"> Branqueamento e Branquitude no Brasil</w:t>
      </w:r>
      <w:r w:rsidR="003A27A3" w:rsidRPr="002E301A">
        <w:t>.</w:t>
      </w:r>
      <w:r w:rsidRPr="002E301A">
        <w:t xml:space="preserve"> In </w:t>
      </w:r>
      <w:r w:rsidR="003A27A3" w:rsidRPr="002E301A">
        <w:t xml:space="preserve">I. Carone &amp; </w:t>
      </w:r>
      <w:r w:rsidR="003A27A3" w:rsidRPr="002E301A">
        <w:t>M. A. S</w:t>
      </w:r>
      <w:r w:rsidR="003A27A3" w:rsidRPr="002E301A">
        <w:t>.</w:t>
      </w:r>
      <w:r w:rsidR="003A27A3" w:rsidRPr="002E301A">
        <w:t xml:space="preserve"> </w:t>
      </w:r>
      <w:r w:rsidR="003A27A3" w:rsidRPr="002E301A">
        <w:t>Bento</w:t>
      </w:r>
      <w:r w:rsidRPr="002E301A">
        <w:t xml:space="preserve"> </w:t>
      </w:r>
      <w:r w:rsidR="003A27A3" w:rsidRPr="002E301A">
        <w:t>(O</w:t>
      </w:r>
      <w:r w:rsidRPr="002E301A">
        <w:t xml:space="preserve">rg.), </w:t>
      </w:r>
      <w:r w:rsidRPr="002E301A">
        <w:rPr>
          <w:i/>
          <w:iCs/>
        </w:rPr>
        <w:t>Psicologia Social do Racismo</w:t>
      </w:r>
      <w:r w:rsidRPr="002E301A">
        <w:t>: Estudos sobre Branquitude e Branqueamento no Brasil</w:t>
      </w:r>
      <w:r w:rsidR="003A27A3" w:rsidRPr="002E301A">
        <w:t xml:space="preserve"> (pp.</w:t>
      </w:r>
      <w:r w:rsidRPr="002E301A">
        <w:t xml:space="preserve"> 25-58</w:t>
      </w:r>
      <w:r w:rsidR="003A27A3" w:rsidRPr="002E301A">
        <w:t>)</w:t>
      </w:r>
      <w:r w:rsidRPr="002E301A">
        <w:t>.</w:t>
      </w:r>
      <w:r w:rsidR="003A27A3" w:rsidRPr="002E301A">
        <w:t xml:space="preserve"> Vozes.</w:t>
      </w:r>
    </w:p>
    <w:p w14:paraId="19D50C9C" w14:textId="750DC9DE" w:rsidR="00B313D0" w:rsidRPr="002E301A" w:rsidRDefault="00B313D0" w:rsidP="003B3823">
      <w:pPr>
        <w:widowControl w:val="0"/>
        <w:ind w:left="709" w:right="139" w:hanging="709"/>
        <w:jc w:val="both"/>
        <w:rPr>
          <w:shd w:val="clear" w:color="auto" w:fill="FFFFFF"/>
        </w:rPr>
      </w:pPr>
      <w:r w:rsidRPr="002E301A">
        <w:rPr>
          <w:shd w:val="clear" w:color="auto" w:fill="FFFFFF"/>
        </w:rPr>
        <w:t>Biroli, F. &amp; Miguel, L. F.</w:t>
      </w:r>
      <w:r w:rsidR="0070716C" w:rsidRPr="002E301A">
        <w:rPr>
          <w:shd w:val="clear" w:color="auto" w:fill="FFFFFF"/>
        </w:rPr>
        <w:t xml:space="preserve"> (2015).</w:t>
      </w:r>
      <w:r w:rsidRPr="002E301A">
        <w:rPr>
          <w:shd w:val="clear" w:color="auto" w:fill="FFFFFF"/>
        </w:rPr>
        <w:t xml:space="preserve"> Gênero, raça, classe: opressões cruzadas e convergências na reprodução das desigualdades. </w:t>
      </w:r>
      <w:r w:rsidRPr="002E301A">
        <w:rPr>
          <w:i/>
          <w:iCs/>
          <w:shd w:val="clear" w:color="auto" w:fill="FFFFFF"/>
        </w:rPr>
        <w:t>Mediaçõe</w:t>
      </w:r>
      <w:r w:rsidR="0070716C" w:rsidRPr="002E301A">
        <w:rPr>
          <w:i/>
          <w:iCs/>
          <w:shd w:val="clear" w:color="auto" w:fill="FFFFFF"/>
        </w:rPr>
        <w:t>s -</w:t>
      </w:r>
      <w:r w:rsidRPr="002E301A">
        <w:rPr>
          <w:i/>
          <w:iCs/>
          <w:shd w:val="clear" w:color="auto" w:fill="FFFFFF"/>
        </w:rPr>
        <w:t xml:space="preserve"> Revista de Ciências Sociais</w:t>
      </w:r>
      <w:r w:rsidR="003A27A3" w:rsidRPr="002E301A">
        <w:rPr>
          <w:i/>
          <w:iCs/>
          <w:shd w:val="clear" w:color="auto" w:fill="FFFFFF"/>
        </w:rPr>
        <w:t xml:space="preserve">, </w:t>
      </w:r>
      <w:r w:rsidRPr="002E301A">
        <w:rPr>
          <w:i/>
          <w:shd w:val="clear" w:color="auto" w:fill="FFFFFF"/>
        </w:rPr>
        <w:t>20</w:t>
      </w:r>
      <w:r w:rsidR="003A27A3" w:rsidRPr="002E301A">
        <w:rPr>
          <w:shd w:val="clear" w:color="auto" w:fill="FFFFFF"/>
        </w:rPr>
        <w:t>(</w:t>
      </w:r>
      <w:r w:rsidRPr="002E301A">
        <w:rPr>
          <w:shd w:val="clear" w:color="auto" w:fill="FFFFFF"/>
        </w:rPr>
        <w:t>2</w:t>
      </w:r>
      <w:r w:rsidR="003A27A3" w:rsidRPr="002E301A">
        <w:rPr>
          <w:shd w:val="clear" w:color="auto" w:fill="FFFFFF"/>
        </w:rPr>
        <w:t>)</w:t>
      </w:r>
      <w:r w:rsidRPr="002E301A">
        <w:rPr>
          <w:shd w:val="clear" w:color="auto" w:fill="FFFFFF"/>
        </w:rPr>
        <w:t xml:space="preserve">, </w:t>
      </w:r>
      <w:r w:rsidR="003A27A3" w:rsidRPr="002E301A">
        <w:rPr>
          <w:shd w:val="clear" w:color="auto" w:fill="FFFFFF"/>
        </w:rPr>
        <w:t xml:space="preserve">27–55. </w:t>
      </w:r>
      <w:hyperlink r:id="rId17" w:history="1">
        <w:r w:rsidR="003A27A3" w:rsidRPr="002E301A">
          <w:rPr>
            <w:rStyle w:val="Hyperlink"/>
            <w:color w:val="auto"/>
            <w:shd w:val="clear" w:color="auto" w:fill="FFFFFF"/>
          </w:rPr>
          <w:t>https://doi.org/10.5433/2176-6665.2015v20n2p27</w:t>
        </w:r>
      </w:hyperlink>
    </w:p>
    <w:p w14:paraId="5CC5FFBF" w14:textId="0D0893F1" w:rsidR="00B313D0" w:rsidRPr="002E301A" w:rsidRDefault="00B313D0" w:rsidP="003B3823">
      <w:pPr>
        <w:ind w:left="709" w:right="139" w:hanging="709"/>
        <w:jc w:val="both"/>
      </w:pPr>
      <w:r w:rsidRPr="002E301A">
        <w:t>Bromberger, J.</w:t>
      </w:r>
      <w:r w:rsidR="003A27A3" w:rsidRPr="002E301A">
        <w:t>,</w:t>
      </w:r>
      <w:r w:rsidR="0070716C" w:rsidRPr="002E301A">
        <w:t xml:space="preserve"> </w:t>
      </w:r>
      <w:r w:rsidRPr="002E301A">
        <w:t>Harlow, S.</w:t>
      </w:r>
      <w:proofErr w:type="gramStart"/>
      <w:r w:rsidR="006F2D48" w:rsidRPr="002E301A">
        <w:t>,</w:t>
      </w:r>
      <w:r w:rsidR="0070716C" w:rsidRPr="002E301A">
        <w:t xml:space="preserve"> </w:t>
      </w:r>
      <w:r w:rsidRPr="002E301A">
        <w:t xml:space="preserve"> Avis</w:t>
      </w:r>
      <w:proofErr w:type="gramEnd"/>
      <w:r w:rsidRPr="002E301A">
        <w:t>, N.</w:t>
      </w:r>
      <w:r w:rsidR="006F2D48" w:rsidRPr="002E301A">
        <w:t>,</w:t>
      </w:r>
      <w:r w:rsidR="0070716C" w:rsidRPr="002E301A">
        <w:t xml:space="preserve"> </w:t>
      </w:r>
      <w:r w:rsidRPr="002E301A">
        <w:t xml:space="preserve"> Kravitz, H.</w:t>
      </w:r>
      <w:r w:rsidR="006F2D48" w:rsidRPr="002E301A">
        <w:t>,</w:t>
      </w:r>
      <w:r w:rsidRPr="002E301A">
        <w:t xml:space="preserve"> &amp; Cordal, A. (2004). Racial/ethnic differences in the prevalence of depressive symptoms among middle-aged women: The Study of Women's Health Across the Nation (SWAN). </w:t>
      </w:r>
      <w:r w:rsidRPr="002E301A">
        <w:rPr>
          <w:i/>
          <w:iCs/>
        </w:rPr>
        <w:t>American journal of public health</w:t>
      </w:r>
      <w:r w:rsidRPr="002E301A">
        <w:t xml:space="preserve">, </w:t>
      </w:r>
      <w:r w:rsidRPr="002E301A">
        <w:rPr>
          <w:i/>
        </w:rPr>
        <w:t>94</w:t>
      </w:r>
      <w:r w:rsidR="006F2D48" w:rsidRPr="002E301A">
        <w:t>(</w:t>
      </w:r>
      <w:r w:rsidRPr="002E301A">
        <w:t>8</w:t>
      </w:r>
      <w:r w:rsidR="006F2D48" w:rsidRPr="002E301A">
        <w:t>)</w:t>
      </w:r>
      <w:r w:rsidRPr="002E301A">
        <w:t>, 1378-</w:t>
      </w:r>
      <w:r w:rsidR="006F2D48" w:rsidRPr="002E301A">
        <w:t>13</w:t>
      </w:r>
      <w:r w:rsidRPr="002E301A">
        <w:t xml:space="preserve">85. </w:t>
      </w:r>
      <w:hyperlink r:id="rId18" w:history="1">
        <w:r w:rsidRPr="002E301A">
          <w:rPr>
            <w:rStyle w:val="Hyperlink"/>
            <w:color w:val="auto"/>
          </w:rPr>
          <w:t>https://doi.org/10.2105/AJPH.94.8.1378</w:t>
        </w:r>
      </w:hyperlink>
    </w:p>
    <w:p w14:paraId="66F16D72" w14:textId="3ECB2E7D" w:rsidR="00B313D0" w:rsidRPr="002E301A" w:rsidRDefault="00B313D0" w:rsidP="003B3823">
      <w:pPr>
        <w:ind w:left="709" w:right="139" w:hanging="709"/>
        <w:jc w:val="both"/>
      </w:pPr>
      <w:r w:rsidRPr="002E301A">
        <w:t>Campos, I.</w:t>
      </w:r>
      <w:r w:rsidR="00552D66" w:rsidRPr="002E301A">
        <w:t xml:space="preserve"> &amp;</w:t>
      </w:r>
      <w:r w:rsidRPr="002E301A">
        <w:t xml:space="preserve"> Zanello, V. (2017). Sofrimento psíquico, gênero e violência: narrativas de mulheres atendidas em um Centro de Atençã</w:t>
      </w:r>
      <w:r w:rsidR="002D3CCB" w:rsidRPr="002E301A">
        <w:t>o Psicossocial II (Caps II). In</w:t>
      </w:r>
      <w:r w:rsidRPr="002E301A">
        <w:t xml:space="preserve"> </w:t>
      </w:r>
      <w:r w:rsidR="002D3CCB" w:rsidRPr="002E301A">
        <w:t xml:space="preserve">C. </w:t>
      </w:r>
      <w:r w:rsidRPr="002E301A">
        <w:t>S</w:t>
      </w:r>
      <w:r w:rsidR="00552D66" w:rsidRPr="002E301A">
        <w:t>tevens</w:t>
      </w:r>
      <w:r w:rsidR="002D3CCB" w:rsidRPr="002E301A">
        <w:t xml:space="preserve">, </w:t>
      </w:r>
      <w:r w:rsidR="001C5F55" w:rsidRPr="002E301A">
        <w:t xml:space="preserve">S. </w:t>
      </w:r>
      <w:r w:rsidR="002D3CCB" w:rsidRPr="002E301A">
        <w:t>Oliveira</w:t>
      </w:r>
      <w:r w:rsidR="001C5F55" w:rsidRPr="002E301A">
        <w:t>, V. Zanello, E. Silva, &amp; C. Portela</w:t>
      </w:r>
      <w:r w:rsidR="002D3CCB" w:rsidRPr="002E301A">
        <w:t xml:space="preserve"> (Org.),</w:t>
      </w:r>
      <w:r w:rsidRPr="002E301A">
        <w:t xml:space="preserve"> </w:t>
      </w:r>
      <w:r w:rsidRPr="002E301A">
        <w:rPr>
          <w:i/>
          <w:iCs/>
        </w:rPr>
        <w:t>Mulheres e violências: interseccionalidades</w:t>
      </w:r>
      <w:r w:rsidR="002D3CCB" w:rsidRPr="002E301A">
        <w:rPr>
          <w:i/>
          <w:iCs/>
        </w:rPr>
        <w:t xml:space="preserve"> </w:t>
      </w:r>
      <w:r w:rsidR="002D3CCB" w:rsidRPr="002E301A">
        <w:rPr>
          <w:iCs/>
        </w:rPr>
        <w:t>(pp</w:t>
      </w:r>
      <w:r w:rsidRPr="002E301A">
        <w:t>. 505-522</w:t>
      </w:r>
      <w:r w:rsidR="002D3CCB" w:rsidRPr="002E301A">
        <w:t>)</w:t>
      </w:r>
      <w:r w:rsidRPr="002E301A">
        <w:t xml:space="preserve">. </w:t>
      </w:r>
      <w:r w:rsidR="001C5F55" w:rsidRPr="002E301A">
        <w:t>T</w:t>
      </w:r>
      <w:r w:rsidR="001C5F55" w:rsidRPr="002E301A">
        <w:rPr>
          <w:shd w:val="clear" w:color="auto" w:fill="FFFFFF"/>
        </w:rPr>
        <w:t>echnopolitik</w:t>
      </w:r>
      <w:r w:rsidR="001C5F55" w:rsidRPr="002E301A">
        <w:rPr>
          <w:shd w:val="clear" w:color="auto" w:fill="FFFFFF"/>
        </w:rPr>
        <w:t>.</w:t>
      </w:r>
    </w:p>
    <w:p w14:paraId="0DFF92E0" w14:textId="2D876BBF" w:rsidR="00552D66" w:rsidRPr="002E301A" w:rsidRDefault="00B313D0" w:rsidP="00552D66">
      <w:pPr>
        <w:ind w:left="709" w:right="139" w:hanging="709"/>
        <w:jc w:val="both"/>
      </w:pPr>
      <w:r w:rsidRPr="002E301A">
        <w:t xml:space="preserve">Cohen, J. (2013). </w:t>
      </w:r>
      <w:r w:rsidRPr="002E301A">
        <w:rPr>
          <w:i/>
        </w:rPr>
        <w:t>Statistical Power Analysis for the Behavioral Sciences</w:t>
      </w:r>
      <w:r w:rsidRPr="002E301A">
        <w:t xml:space="preserve">. </w:t>
      </w:r>
      <w:r w:rsidRPr="002E301A">
        <w:rPr>
          <w:iCs/>
        </w:rPr>
        <w:t>Routledge Academic</w:t>
      </w:r>
      <w:r w:rsidRPr="002E301A">
        <w:t>.</w:t>
      </w:r>
    </w:p>
    <w:p w14:paraId="54B84BC3" w14:textId="24551651" w:rsidR="00B313D0" w:rsidRPr="002E301A" w:rsidRDefault="00B313D0" w:rsidP="003B3823">
      <w:pPr>
        <w:ind w:left="709" w:right="139" w:hanging="709"/>
        <w:jc w:val="both"/>
      </w:pPr>
      <w:r w:rsidRPr="002E301A">
        <w:t>Collins, P.</w:t>
      </w:r>
      <w:r w:rsidR="00552D66" w:rsidRPr="002E301A">
        <w:t xml:space="preserve"> &amp;</w:t>
      </w:r>
      <w:r w:rsidRPr="002E301A">
        <w:t xml:space="preserve"> Bilge, S. (2020)</w:t>
      </w:r>
      <w:r w:rsidR="001C5F55" w:rsidRPr="002E301A">
        <w:t>.</w:t>
      </w:r>
      <w:r w:rsidRPr="002E301A">
        <w:t xml:space="preserve"> </w:t>
      </w:r>
      <w:r w:rsidRPr="002E301A">
        <w:rPr>
          <w:i/>
          <w:iCs/>
        </w:rPr>
        <w:t>Interseccionalidade</w:t>
      </w:r>
      <w:r w:rsidR="001C5F55" w:rsidRPr="002E301A">
        <w:rPr>
          <w:i/>
          <w:iCs/>
        </w:rPr>
        <w:t xml:space="preserve">. </w:t>
      </w:r>
      <w:r w:rsidR="001C5F55" w:rsidRPr="002E301A">
        <w:rPr>
          <w:iCs/>
        </w:rPr>
        <w:t>Boitempo.</w:t>
      </w:r>
    </w:p>
    <w:p w14:paraId="3D3F6B74" w14:textId="77777777" w:rsidR="00B313D0" w:rsidRPr="002E301A" w:rsidRDefault="00B313D0" w:rsidP="003B3823">
      <w:pPr>
        <w:ind w:left="709" w:right="139" w:hanging="709"/>
        <w:jc w:val="both"/>
      </w:pPr>
    </w:p>
    <w:p w14:paraId="450A2565" w14:textId="029FD617" w:rsidR="00B313D0" w:rsidRPr="002E301A" w:rsidRDefault="00B313D0" w:rsidP="003B3823">
      <w:pPr>
        <w:ind w:left="709" w:right="139" w:hanging="709"/>
        <w:jc w:val="both"/>
        <w:rPr>
          <w:rStyle w:val="Hyperlink"/>
          <w:color w:val="auto"/>
          <w:shd w:val="clear" w:color="auto" w:fill="FFFFFF"/>
        </w:rPr>
      </w:pPr>
      <w:r w:rsidRPr="002E301A">
        <w:rPr>
          <w:shd w:val="clear" w:color="auto" w:fill="FFFFFF"/>
        </w:rPr>
        <w:lastRenderedPageBreak/>
        <w:t>Costa, E. S. &amp; Schucman, L. V. (2022). Identidades, Identificações e Classificações Raciais no Brasil: O Pardo e as Ações Afirmativas. </w:t>
      </w:r>
      <w:r w:rsidR="003A7B81" w:rsidRPr="002E301A">
        <w:rPr>
          <w:i/>
          <w:iCs/>
          <w:shd w:val="clear" w:color="auto" w:fill="FFFFFF"/>
        </w:rPr>
        <w:t>Estudos e</w:t>
      </w:r>
      <w:r w:rsidRPr="002E301A">
        <w:rPr>
          <w:i/>
          <w:iCs/>
          <w:shd w:val="clear" w:color="auto" w:fill="FFFFFF"/>
        </w:rPr>
        <w:t xml:space="preserve"> Pesquisas Em Psicologia</w:t>
      </w:r>
      <w:r w:rsidRPr="002E301A">
        <w:rPr>
          <w:shd w:val="clear" w:color="auto" w:fill="FFFFFF"/>
        </w:rPr>
        <w:t>, </w:t>
      </w:r>
      <w:r w:rsidRPr="002E301A">
        <w:rPr>
          <w:i/>
          <w:iCs/>
          <w:shd w:val="clear" w:color="auto" w:fill="FFFFFF"/>
        </w:rPr>
        <w:t>22</w:t>
      </w:r>
      <w:r w:rsidRPr="002E301A">
        <w:rPr>
          <w:shd w:val="clear" w:color="auto" w:fill="FFFFFF"/>
        </w:rPr>
        <w:t xml:space="preserve">(2), 466–484. </w:t>
      </w:r>
      <w:hyperlink r:id="rId19" w:history="1">
        <w:r w:rsidRPr="002E301A">
          <w:rPr>
            <w:rStyle w:val="Hyperlink"/>
            <w:color w:val="auto"/>
            <w:shd w:val="clear" w:color="auto" w:fill="FFFFFF"/>
          </w:rPr>
          <w:t>https://doi.org/10.12957/epp.2022.68631</w:t>
        </w:r>
      </w:hyperlink>
    </w:p>
    <w:p w14:paraId="692F89BF" w14:textId="19F0E810" w:rsidR="00B313D0" w:rsidRPr="002E301A" w:rsidRDefault="00B313D0" w:rsidP="003B3823">
      <w:pPr>
        <w:ind w:left="709" w:right="139" w:hanging="709"/>
        <w:jc w:val="both"/>
        <w:rPr>
          <w:shd w:val="clear" w:color="auto" w:fill="FFFFFF"/>
        </w:rPr>
      </w:pPr>
      <w:r w:rsidRPr="002E301A">
        <w:rPr>
          <w:shd w:val="clear" w:color="auto" w:fill="FFFFFF"/>
        </w:rPr>
        <w:t>D</w:t>
      </w:r>
      <w:r w:rsidR="00552D66" w:rsidRPr="002E301A">
        <w:rPr>
          <w:shd w:val="clear" w:color="auto" w:fill="FFFFFF"/>
        </w:rPr>
        <w:t>evulsky</w:t>
      </w:r>
      <w:r w:rsidRPr="002E301A">
        <w:rPr>
          <w:shd w:val="clear" w:color="auto" w:fill="FFFFFF"/>
        </w:rPr>
        <w:t>, A.</w:t>
      </w:r>
      <w:r w:rsidR="003A7B81" w:rsidRPr="002E301A">
        <w:rPr>
          <w:shd w:val="clear" w:color="auto" w:fill="FFFFFF"/>
        </w:rPr>
        <w:t xml:space="preserve"> (2021) </w:t>
      </w:r>
      <w:r w:rsidRPr="002E301A">
        <w:rPr>
          <w:shd w:val="clear" w:color="auto" w:fill="FFFFFF"/>
        </w:rPr>
        <w:t xml:space="preserve">O colorismo </w:t>
      </w:r>
      <w:r w:rsidR="003A7B81" w:rsidRPr="002E301A">
        <w:rPr>
          <w:shd w:val="clear" w:color="auto" w:fill="FFFFFF"/>
        </w:rPr>
        <w:t>é o braço articulado do racismo</w:t>
      </w:r>
      <w:r w:rsidRPr="002E301A">
        <w:rPr>
          <w:shd w:val="clear" w:color="auto" w:fill="FFFFFF"/>
        </w:rPr>
        <w:t xml:space="preserve">. </w:t>
      </w:r>
      <w:r w:rsidRPr="002E301A">
        <w:rPr>
          <w:i/>
          <w:iCs/>
          <w:shd w:val="clear" w:color="auto" w:fill="FFFFFF"/>
        </w:rPr>
        <w:t>Carta Capital</w:t>
      </w:r>
      <w:r w:rsidR="00552D66" w:rsidRPr="002E301A">
        <w:rPr>
          <w:i/>
          <w:iCs/>
          <w:shd w:val="clear" w:color="auto" w:fill="FFFFFF"/>
        </w:rPr>
        <w:t>.</w:t>
      </w:r>
      <w:r w:rsidRPr="002E301A">
        <w:rPr>
          <w:shd w:val="clear" w:color="auto" w:fill="FFFFFF"/>
        </w:rPr>
        <w:t xml:space="preserve"> Disponível em https://www.cartacapital.com.br/entrevistas/o-colorismo-e-o-bracoarticulado-do-racismo/. Acesso em 11/12/2023</w:t>
      </w:r>
      <w:r w:rsidR="00552D66" w:rsidRPr="002E301A">
        <w:rPr>
          <w:shd w:val="clear" w:color="auto" w:fill="FFFFFF"/>
        </w:rPr>
        <w:t>.</w:t>
      </w:r>
    </w:p>
    <w:p w14:paraId="0CA442E9" w14:textId="4A78A89A" w:rsidR="00B313D0" w:rsidRPr="002E301A" w:rsidRDefault="00B313D0" w:rsidP="003B3823">
      <w:pPr>
        <w:ind w:left="709" w:right="139" w:hanging="709"/>
        <w:jc w:val="both"/>
      </w:pPr>
      <w:r w:rsidRPr="002E301A">
        <w:t>Erving, C.</w:t>
      </w:r>
      <w:r w:rsidR="003A7B81" w:rsidRPr="002E301A">
        <w:t>,</w:t>
      </w:r>
      <w:r w:rsidRPr="002E301A">
        <w:t xml:space="preserve"> &amp; Smith, M. (2021). Disrupting Monolithic Thinking about Black Women and Their Mental Health: Does Stress Exposure Explain Intersectional Ethnic, Nativity, and Socioeconomic Differences</w:t>
      </w:r>
      <w:proofErr w:type="gramStart"/>
      <w:r w:rsidRPr="002E301A">
        <w:t>?.</w:t>
      </w:r>
      <w:proofErr w:type="gramEnd"/>
      <w:r w:rsidRPr="002E301A">
        <w:t xml:space="preserve"> </w:t>
      </w:r>
      <w:r w:rsidRPr="002E301A">
        <w:rPr>
          <w:i/>
          <w:iCs/>
        </w:rPr>
        <w:t>Social Problems</w:t>
      </w:r>
      <w:r w:rsidR="003A7B81" w:rsidRPr="002E301A">
        <w:t xml:space="preserve">, </w:t>
      </w:r>
      <w:r w:rsidR="003A7B81" w:rsidRPr="002E301A">
        <w:rPr>
          <w:i/>
        </w:rPr>
        <w:t>69</w:t>
      </w:r>
      <w:r w:rsidR="003A7B81" w:rsidRPr="002E301A">
        <w:t>(</w:t>
      </w:r>
      <w:r w:rsidR="00552D66" w:rsidRPr="002E301A">
        <w:t>4</w:t>
      </w:r>
      <w:r w:rsidR="003A7B81" w:rsidRPr="002E301A">
        <w:t>)</w:t>
      </w:r>
      <w:r w:rsidR="00552D66" w:rsidRPr="002E301A">
        <w:t xml:space="preserve">, </w:t>
      </w:r>
      <w:r w:rsidR="003A7B81" w:rsidRPr="002E301A">
        <w:t>1046-</w:t>
      </w:r>
      <w:r w:rsidR="00552D66" w:rsidRPr="002E301A">
        <w:t>1067.</w:t>
      </w:r>
      <w:hyperlink r:id="rId20" w:history="1">
        <w:r w:rsidR="00552D66" w:rsidRPr="002E301A">
          <w:rPr>
            <w:rStyle w:val="Hyperlink"/>
            <w:color w:val="auto"/>
          </w:rPr>
          <w:t>https://doi.org/10.1093/SOCPRO/SPAB022</w:t>
        </w:r>
      </w:hyperlink>
      <w:r w:rsidRPr="002E301A">
        <w:t>.</w:t>
      </w:r>
    </w:p>
    <w:p w14:paraId="7C66F039" w14:textId="6B52B4EE" w:rsidR="00B313D0" w:rsidRPr="002E301A" w:rsidRDefault="00B313D0" w:rsidP="003B3823">
      <w:pPr>
        <w:ind w:left="709" w:right="139" w:hanging="709"/>
        <w:jc w:val="both"/>
        <w:rPr>
          <w:rStyle w:val="Hyperlink"/>
          <w:color w:val="auto"/>
        </w:rPr>
      </w:pPr>
      <w:r w:rsidRPr="002E301A">
        <w:t>Erving, C.</w:t>
      </w:r>
      <w:r w:rsidR="003A7B81" w:rsidRPr="002E301A">
        <w:t>,</w:t>
      </w:r>
      <w:r w:rsidRPr="002E301A">
        <w:t xml:space="preserve"> Thomas, C.</w:t>
      </w:r>
      <w:r w:rsidR="003A7B81" w:rsidRPr="002E301A">
        <w:t>,</w:t>
      </w:r>
      <w:r w:rsidRPr="002E301A">
        <w:t xml:space="preserve"> &amp; Frazier, C. (2018). Is the Black-White Mental Health Paradox Consistent Across Gender and Psychiatric Disorders</w:t>
      </w:r>
      <w:proofErr w:type="gramStart"/>
      <w:r w:rsidRPr="002E301A">
        <w:t>?.</w:t>
      </w:r>
      <w:proofErr w:type="gramEnd"/>
      <w:r w:rsidRPr="002E301A">
        <w:t xml:space="preserve"> </w:t>
      </w:r>
      <w:r w:rsidRPr="002E301A">
        <w:rPr>
          <w:i/>
          <w:iCs/>
        </w:rPr>
        <w:t>American Journal of Epidemiology</w:t>
      </w:r>
      <w:r w:rsidRPr="002E301A">
        <w:t xml:space="preserve">, </w:t>
      </w:r>
      <w:r w:rsidRPr="002E301A">
        <w:rPr>
          <w:i/>
        </w:rPr>
        <w:t>188</w:t>
      </w:r>
      <w:r w:rsidRPr="002E301A">
        <w:t xml:space="preserve">, 314–322. </w:t>
      </w:r>
      <w:hyperlink r:id="rId21" w:history="1">
        <w:r w:rsidRPr="002E301A">
          <w:rPr>
            <w:rStyle w:val="Hyperlink"/>
            <w:color w:val="auto"/>
          </w:rPr>
          <w:t>https://doi.org/10.1093/aje/kwy224</w:t>
        </w:r>
      </w:hyperlink>
    </w:p>
    <w:p w14:paraId="60DD4A40" w14:textId="245F8BF7" w:rsidR="00B313D0" w:rsidRPr="002E301A" w:rsidRDefault="00B313D0" w:rsidP="003B3823">
      <w:pPr>
        <w:ind w:left="709" w:right="139" w:hanging="709"/>
        <w:jc w:val="both"/>
      </w:pPr>
      <w:r w:rsidRPr="002E301A">
        <w:t>Ettman, C.</w:t>
      </w:r>
      <w:r w:rsidR="003A7B81" w:rsidRPr="002E301A">
        <w:t>,</w:t>
      </w:r>
      <w:r w:rsidRPr="002E301A">
        <w:t xml:space="preserve"> Cohen, G.</w:t>
      </w:r>
      <w:r w:rsidR="003A7B81" w:rsidRPr="002E301A">
        <w:t>,</w:t>
      </w:r>
      <w:r w:rsidRPr="002E301A">
        <w:t xml:space="preserve"> Abdalla, S.</w:t>
      </w:r>
      <w:r w:rsidR="003A7B81" w:rsidRPr="002E301A">
        <w:t>,</w:t>
      </w:r>
      <w:r w:rsidRPr="002E301A">
        <w:t xml:space="preserve"> &amp; Galea, S. (2020). Do assets explain the relation between race/ethnicity and probable depression in U.S. adults</w:t>
      </w:r>
      <w:proofErr w:type="gramStart"/>
      <w:r w:rsidRPr="002E301A">
        <w:t>?.</w:t>
      </w:r>
      <w:proofErr w:type="gramEnd"/>
      <w:r w:rsidRPr="002E301A">
        <w:t xml:space="preserve"> </w:t>
      </w:r>
      <w:r w:rsidRPr="002E301A">
        <w:rPr>
          <w:i/>
          <w:iCs/>
        </w:rPr>
        <w:t>P</w:t>
      </w:r>
      <w:r w:rsidR="00552D66" w:rsidRPr="002E301A">
        <w:rPr>
          <w:i/>
          <w:iCs/>
        </w:rPr>
        <w:t>los</w:t>
      </w:r>
      <w:r w:rsidRPr="002E301A">
        <w:rPr>
          <w:i/>
          <w:iCs/>
        </w:rPr>
        <w:t xml:space="preserve"> O</w:t>
      </w:r>
      <w:r w:rsidR="00552D66" w:rsidRPr="002E301A">
        <w:rPr>
          <w:i/>
          <w:iCs/>
        </w:rPr>
        <w:t>ne</w:t>
      </w:r>
      <w:r w:rsidRPr="002E301A">
        <w:t xml:space="preserve">, </w:t>
      </w:r>
      <w:r w:rsidR="003A7B81" w:rsidRPr="002E301A">
        <w:rPr>
          <w:shd w:val="clear" w:color="auto" w:fill="FFFFFF"/>
        </w:rPr>
        <w:t>15(10): e0239618.</w:t>
      </w:r>
      <w:r w:rsidRPr="002E301A">
        <w:t xml:space="preserve"> </w:t>
      </w:r>
      <w:hyperlink r:id="rId22" w:history="1">
        <w:r w:rsidRPr="002E301A">
          <w:rPr>
            <w:rStyle w:val="Hyperlink"/>
            <w:color w:val="auto"/>
          </w:rPr>
          <w:t>https://doi.org/10.1371/journal.pone.0239618</w:t>
        </w:r>
      </w:hyperlink>
    </w:p>
    <w:p w14:paraId="24766F30" w14:textId="67D3CCF3" w:rsidR="00B313D0" w:rsidRPr="002E301A" w:rsidRDefault="00BF269D" w:rsidP="00E51B6E">
      <w:pPr>
        <w:ind w:left="709" w:right="139" w:hanging="709"/>
        <w:jc w:val="both"/>
      </w:pPr>
      <w:r w:rsidRPr="002E301A">
        <w:t>Freitas, M. C., Queiroz, T. A., &amp; Sousa, J. A. V.</w:t>
      </w:r>
      <w:r w:rsidR="00B313D0" w:rsidRPr="002E301A">
        <w:t xml:space="preserve"> (2010)</w:t>
      </w:r>
      <w:r w:rsidR="00E51B6E" w:rsidRPr="002E301A">
        <w:t>.</w:t>
      </w:r>
      <w:r w:rsidR="00B313D0" w:rsidRPr="002E301A">
        <w:t xml:space="preserve"> O significado da velhice e da experiência de envelhecer para os idosos</w:t>
      </w:r>
      <w:r w:rsidR="00B313D0" w:rsidRPr="002E301A">
        <w:rPr>
          <w:i/>
          <w:iCs/>
        </w:rPr>
        <w:t>. Revista da Escola de Enfermagem USP</w:t>
      </w:r>
      <w:r w:rsidR="00B313D0" w:rsidRPr="002E301A">
        <w:t xml:space="preserve">, </w:t>
      </w:r>
      <w:r w:rsidR="00B313D0" w:rsidRPr="002E301A">
        <w:rPr>
          <w:i/>
        </w:rPr>
        <w:t>44</w:t>
      </w:r>
      <w:r w:rsidRPr="002E301A">
        <w:t>(</w:t>
      </w:r>
      <w:r w:rsidR="00B313D0" w:rsidRPr="002E301A">
        <w:t>2</w:t>
      </w:r>
      <w:r w:rsidRPr="002E301A">
        <w:t>)</w:t>
      </w:r>
      <w:r w:rsidR="00B313D0" w:rsidRPr="002E301A">
        <w:t>, 407-412</w:t>
      </w:r>
      <w:r w:rsidRPr="002E301A">
        <w:t xml:space="preserve">. </w:t>
      </w:r>
    </w:p>
    <w:p w14:paraId="4C61E1EE" w14:textId="436A752C" w:rsidR="00B313D0" w:rsidRPr="002E301A" w:rsidRDefault="00B313D0" w:rsidP="003B3823">
      <w:pPr>
        <w:ind w:left="709" w:right="139" w:hanging="709"/>
        <w:jc w:val="both"/>
      </w:pPr>
      <w:r w:rsidRPr="002E301A">
        <w:t>Goldberg D</w:t>
      </w:r>
      <w:r w:rsidR="00E51B6E" w:rsidRPr="002E301A">
        <w:t>.</w:t>
      </w:r>
      <w:r w:rsidRPr="002E301A">
        <w:t>P</w:t>
      </w:r>
      <w:r w:rsidR="00E51B6E" w:rsidRPr="002E301A">
        <w:t>.</w:t>
      </w:r>
      <w:r w:rsidR="00BF269D" w:rsidRPr="002E301A">
        <w:t>,</w:t>
      </w:r>
      <w:r w:rsidR="00E51B6E" w:rsidRPr="002E301A">
        <w:t xml:space="preserve"> &amp; </w:t>
      </w:r>
      <w:r w:rsidRPr="002E301A">
        <w:t>Huxley P.</w:t>
      </w:r>
      <w:r w:rsidR="00E51B6E" w:rsidRPr="002E301A">
        <w:t xml:space="preserve"> (1992).</w:t>
      </w:r>
      <w:r w:rsidRPr="002E301A">
        <w:t xml:space="preserve"> Common mental dis</w:t>
      </w:r>
      <w:r w:rsidRPr="002E301A">
        <w:softHyphen/>
        <w:t xml:space="preserve">orders: a bio-social model. </w:t>
      </w:r>
      <w:r w:rsidRPr="002E301A">
        <w:rPr>
          <w:i/>
          <w:iCs/>
        </w:rPr>
        <w:t>New York: Tavis</w:t>
      </w:r>
      <w:r w:rsidRPr="002E301A">
        <w:rPr>
          <w:i/>
          <w:iCs/>
        </w:rPr>
        <w:softHyphen/>
        <w:t>tock/Routledge</w:t>
      </w:r>
      <w:r w:rsidRPr="002E301A">
        <w:t>.</w:t>
      </w:r>
    </w:p>
    <w:p w14:paraId="62254F16" w14:textId="26BB81B8" w:rsidR="00B313D0" w:rsidRPr="002E301A" w:rsidRDefault="00B313D0" w:rsidP="003B3823">
      <w:pPr>
        <w:ind w:left="709" w:right="139" w:hanging="709"/>
        <w:jc w:val="both"/>
      </w:pPr>
      <w:r w:rsidRPr="002E301A">
        <w:t>Gonçalves, D. M</w:t>
      </w:r>
      <w:r w:rsidR="00BF269D" w:rsidRPr="002E301A">
        <w:t>.,</w:t>
      </w:r>
      <w:r w:rsidRPr="002E301A">
        <w:t xml:space="preserve"> Stein, A. T</w:t>
      </w:r>
      <w:r w:rsidR="00BF269D" w:rsidRPr="002E301A">
        <w:t>.,</w:t>
      </w:r>
      <w:r w:rsidR="00E51B6E" w:rsidRPr="002E301A">
        <w:t xml:space="preserve"> </w:t>
      </w:r>
      <w:r w:rsidRPr="002E301A">
        <w:t>&amp; Kapczinski F. (2008)</w:t>
      </w:r>
      <w:r w:rsidR="00E51B6E" w:rsidRPr="002E301A">
        <w:t>.</w:t>
      </w:r>
      <w:r w:rsidRPr="002E301A">
        <w:t xml:space="preserve"> Avaliação de desempenho do Self-Reporting Questionnaire como instrumento de rastreamento psiquiátrico: um estudo comparativo com o Structured Clinical Interview for DSM-IV-TR. </w:t>
      </w:r>
      <w:r w:rsidRPr="002E301A">
        <w:rPr>
          <w:i/>
          <w:iCs/>
        </w:rPr>
        <w:t>Cad</w:t>
      </w:r>
      <w:r w:rsidR="00E51B6E" w:rsidRPr="002E301A">
        <w:rPr>
          <w:i/>
          <w:iCs/>
        </w:rPr>
        <w:t>erno de</w:t>
      </w:r>
      <w:r w:rsidRPr="002E301A">
        <w:rPr>
          <w:i/>
          <w:iCs/>
        </w:rPr>
        <w:t xml:space="preserve"> Saúde Pública</w:t>
      </w:r>
      <w:r w:rsidR="00BF269D" w:rsidRPr="002E301A">
        <w:rPr>
          <w:i/>
          <w:iCs/>
        </w:rPr>
        <w:t xml:space="preserve">, </w:t>
      </w:r>
      <w:r w:rsidR="00BF269D" w:rsidRPr="002E301A">
        <w:rPr>
          <w:i/>
        </w:rPr>
        <w:t>24</w:t>
      </w:r>
      <w:r w:rsidR="00BF269D" w:rsidRPr="002E301A">
        <w:t>(2), 380-</w:t>
      </w:r>
      <w:r w:rsidRPr="002E301A">
        <w:t xml:space="preserve">90. </w:t>
      </w:r>
      <w:hyperlink r:id="rId23" w:history="1">
        <w:r w:rsidRPr="002E301A">
          <w:rPr>
            <w:rStyle w:val="Hyperlink"/>
            <w:color w:val="auto"/>
          </w:rPr>
          <w:t>https://doi.org/10.1590/S0102-311X2008000200017</w:t>
        </w:r>
      </w:hyperlink>
    </w:p>
    <w:p w14:paraId="6259C736" w14:textId="57B47CB9" w:rsidR="00B313D0" w:rsidRPr="002E301A" w:rsidRDefault="00B313D0" w:rsidP="003B3823">
      <w:pPr>
        <w:ind w:left="709" w:hanging="709"/>
        <w:jc w:val="both"/>
        <w:rPr>
          <w:shd w:val="clear" w:color="auto" w:fill="FFFFFF"/>
        </w:rPr>
      </w:pPr>
      <w:r w:rsidRPr="002E301A">
        <w:rPr>
          <w:shd w:val="clear" w:color="auto" w:fill="FFFFFF"/>
        </w:rPr>
        <w:t>Haukoos, J. S.</w:t>
      </w:r>
      <w:r w:rsidR="00FA6255" w:rsidRPr="002E301A">
        <w:rPr>
          <w:shd w:val="clear" w:color="auto" w:fill="FFFFFF"/>
        </w:rPr>
        <w:t>,</w:t>
      </w:r>
      <w:r w:rsidR="00E51B6E" w:rsidRPr="002E301A">
        <w:rPr>
          <w:shd w:val="clear" w:color="auto" w:fill="FFFFFF"/>
        </w:rPr>
        <w:t xml:space="preserve"> </w:t>
      </w:r>
      <w:r w:rsidRPr="002E301A">
        <w:rPr>
          <w:shd w:val="clear" w:color="auto" w:fill="FFFFFF"/>
        </w:rPr>
        <w:t xml:space="preserve">&amp; Lewis, R. J. (2005). Advanced statistics: Bootstrapping confidence intervals for statistics with “difficult” distributions. </w:t>
      </w:r>
      <w:r w:rsidRPr="002E301A">
        <w:rPr>
          <w:i/>
          <w:iCs/>
          <w:shd w:val="clear" w:color="auto" w:fill="FFFFFF"/>
        </w:rPr>
        <w:t>Academic Emergency Medicine</w:t>
      </w:r>
      <w:r w:rsidRPr="002E301A">
        <w:rPr>
          <w:shd w:val="clear" w:color="auto" w:fill="FFFFFF"/>
        </w:rPr>
        <w:t xml:space="preserve">, </w:t>
      </w:r>
      <w:r w:rsidRPr="002E301A">
        <w:rPr>
          <w:i/>
          <w:shd w:val="clear" w:color="auto" w:fill="FFFFFF"/>
        </w:rPr>
        <w:t>12</w:t>
      </w:r>
      <w:r w:rsidRPr="002E301A">
        <w:rPr>
          <w:shd w:val="clear" w:color="auto" w:fill="FFFFFF"/>
        </w:rPr>
        <w:t xml:space="preserve">(4), 360-365. </w:t>
      </w:r>
      <w:hyperlink r:id="rId24" w:history="1">
        <w:r w:rsidR="00FA6255" w:rsidRPr="002E301A">
          <w:rPr>
            <w:rStyle w:val="Hyperlink"/>
            <w:color w:val="auto"/>
            <w:shd w:val="clear" w:color="auto" w:fill="FFFFFF"/>
          </w:rPr>
          <w:t>https://doi.org/10.1197/j.aem.2004.11.018</w:t>
        </w:r>
      </w:hyperlink>
    </w:p>
    <w:p w14:paraId="09BF6576" w14:textId="218E1EFC" w:rsidR="00B313D0" w:rsidRPr="002E301A" w:rsidRDefault="00B313D0" w:rsidP="00E51B6E">
      <w:pPr>
        <w:ind w:left="709" w:right="139" w:hanging="709"/>
        <w:jc w:val="both"/>
        <w:rPr>
          <w:rStyle w:val="Hyperlink"/>
          <w:color w:val="auto"/>
          <w:u w:val="none"/>
          <w:shd w:val="clear" w:color="auto" w:fill="FFFFFF"/>
        </w:rPr>
      </w:pPr>
      <w:r w:rsidRPr="002E301A">
        <w:rPr>
          <w:shd w:val="clear" w:color="auto" w:fill="FFFFFF"/>
        </w:rPr>
        <w:t>Instituto Brasileiro de Geografia e Estatística</w:t>
      </w:r>
      <w:r w:rsidR="00DA6B4E" w:rsidRPr="002E301A">
        <w:rPr>
          <w:shd w:val="clear" w:color="auto" w:fill="FFFFFF"/>
        </w:rPr>
        <w:t xml:space="preserve"> (IBGE)</w:t>
      </w:r>
      <w:r w:rsidR="00E51B6E" w:rsidRPr="002E301A">
        <w:rPr>
          <w:shd w:val="clear" w:color="auto" w:fill="FFFFFF"/>
        </w:rPr>
        <w:t xml:space="preserve">. </w:t>
      </w:r>
      <w:r w:rsidRPr="002E301A">
        <w:rPr>
          <w:shd w:val="clear" w:color="auto" w:fill="FFFFFF"/>
        </w:rPr>
        <w:t>(2021)</w:t>
      </w:r>
      <w:r w:rsidR="00E51B6E" w:rsidRPr="002E301A">
        <w:rPr>
          <w:shd w:val="clear" w:color="auto" w:fill="FFFFFF"/>
        </w:rPr>
        <w:t xml:space="preserve">. </w:t>
      </w:r>
      <w:r w:rsidRPr="002E301A">
        <w:rPr>
          <w:i/>
          <w:iCs/>
          <w:shd w:val="clear" w:color="auto" w:fill="FFFFFF"/>
        </w:rPr>
        <w:t>Estatísticas do Registro Civil</w:t>
      </w:r>
      <w:r w:rsidR="00E51B6E" w:rsidRPr="002E301A">
        <w:rPr>
          <w:shd w:val="clear" w:color="auto" w:fill="FFFFFF"/>
        </w:rPr>
        <w:t xml:space="preserve">: </w:t>
      </w:r>
      <w:r w:rsidRPr="002E301A">
        <w:rPr>
          <w:shd w:val="clear" w:color="auto" w:fill="FFFFFF"/>
        </w:rPr>
        <w:t xml:space="preserve">Boletim Especial de 8 de março – Dieese com dados do IBGE – PnadC. </w:t>
      </w:r>
      <w:hyperlink r:id="rId25" w:history="1">
        <w:r w:rsidRPr="002E301A">
          <w:rPr>
            <w:rStyle w:val="Hyperlink"/>
            <w:color w:val="auto"/>
            <w:shd w:val="clear" w:color="auto" w:fill="FFFFFF"/>
          </w:rPr>
          <w:t>https://www.ibge.gov.br/estatisticas/sociais/populacao/9110-estatisticas-do-registro-civil.html</w:t>
        </w:r>
      </w:hyperlink>
    </w:p>
    <w:p w14:paraId="4670152F" w14:textId="64652D4A" w:rsidR="00B313D0" w:rsidRPr="002E301A" w:rsidRDefault="00B313D0" w:rsidP="003B3823">
      <w:pPr>
        <w:ind w:left="709" w:right="139" w:hanging="709"/>
        <w:jc w:val="both"/>
        <w:rPr>
          <w:shd w:val="clear" w:color="auto" w:fill="FFFFFF"/>
        </w:rPr>
      </w:pPr>
      <w:r w:rsidRPr="002E301A">
        <w:rPr>
          <w:shd w:val="clear" w:color="auto" w:fill="FFFFFF"/>
        </w:rPr>
        <w:t>Instituto Brasileiro de Geografia e Estatística</w:t>
      </w:r>
      <w:r w:rsidR="00DA6B4E" w:rsidRPr="002E301A">
        <w:rPr>
          <w:shd w:val="clear" w:color="auto" w:fill="FFFFFF"/>
        </w:rPr>
        <w:t xml:space="preserve"> (IBGE)</w:t>
      </w:r>
      <w:r w:rsidR="00E51B6E" w:rsidRPr="002E301A">
        <w:rPr>
          <w:shd w:val="clear" w:color="auto" w:fill="FFFFFF"/>
        </w:rPr>
        <w:t>.</w:t>
      </w:r>
      <w:r w:rsidRPr="002E301A">
        <w:rPr>
          <w:shd w:val="clear" w:color="auto" w:fill="FFFFFF"/>
        </w:rPr>
        <w:t xml:space="preserve"> (2022)</w:t>
      </w:r>
      <w:r w:rsidR="00E51B6E" w:rsidRPr="002E301A">
        <w:rPr>
          <w:shd w:val="clear" w:color="auto" w:fill="FFFFFF"/>
        </w:rPr>
        <w:t>.</w:t>
      </w:r>
      <w:r w:rsidRPr="002E301A">
        <w:rPr>
          <w:shd w:val="clear" w:color="auto" w:fill="FFFFFF"/>
        </w:rPr>
        <w:t> </w:t>
      </w:r>
      <w:r w:rsidRPr="002E301A">
        <w:rPr>
          <w:i/>
          <w:iCs/>
          <w:shd w:val="clear" w:color="auto" w:fill="FFFFFF"/>
        </w:rPr>
        <w:t>Desigualdades Sociais por Cor ou Raça no Brasil</w:t>
      </w:r>
      <w:r w:rsidR="00E51B6E" w:rsidRPr="002E301A">
        <w:rPr>
          <w:shd w:val="clear" w:color="auto" w:fill="FFFFFF"/>
        </w:rPr>
        <w:t>:</w:t>
      </w:r>
      <w:r w:rsidRPr="002E301A">
        <w:rPr>
          <w:shd w:val="clear" w:color="auto" w:fill="FFFFFF"/>
        </w:rPr>
        <w:t xml:space="preserve"> Estudos e Pesquisas, Informação Demográfica e Socioeconômica, 48. https://biblioteca.ibge.gov.br/visualizacao/livros/liv101972_informativo.pdf</w:t>
      </w:r>
    </w:p>
    <w:p w14:paraId="6C1EE6BF" w14:textId="03221CA7" w:rsidR="00B313D0" w:rsidRPr="002E301A" w:rsidRDefault="00B313D0" w:rsidP="003B3823">
      <w:pPr>
        <w:ind w:left="709" w:right="139" w:hanging="709"/>
        <w:jc w:val="both"/>
      </w:pPr>
      <w:r w:rsidRPr="002E301A">
        <w:t>Jones, M.</w:t>
      </w:r>
      <w:r w:rsidR="00DA6B4E" w:rsidRPr="002E301A">
        <w:t>,</w:t>
      </w:r>
      <w:r w:rsidRPr="002E301A">
        <w:t xml:space="preserve"> Womack, V.</w:t>
      </w:r>
      <w:r w:rsidR="00DA6B4E" w:rsidRPr="002E301A">
        <w:t>,</w:t>
      </w:r>
      <w:r w:rsidRPr="002E301A">
        <w:t xml:space="preserve"> Jeremie-Brink, G.</w:t>
      </w:r>
      <w:r w:rsidR="00DA6B4E" w:rsidRPr="002E301A">
        <w:t>,</w:t>
      </w:r>
      <w:r w:rsidR="00822ADF" w:rsidRPr="002E301A">
        <w:t xml:space="preserve"> </w:t>
      </w:r>
      <w:r w:rsidRPr="002E301A">
        <w:t xml:space="preserve">&amp; Dickens, D. (2021). Gendered Racism and Mental Health among Young Adult U.S. Black Women: The Moderating Roles of Gendered Racial Identity Centrality and Identity Shifting. </w:t>
      </w:r>
      <w:r w:rsidR="00E51B6E" w:rsidRPr="002E301A">
        <w:rPr>
          <w:i/>
          <w:iCs/>
        </w:rPr>
        <w:t xml:space="preserve">Journal </w:t>
      </w:r>
      <w:r w:rsidRPr="002E301A">
        <w:rPr>
          <w:i/>
          <w:iCs/>
        </w:rPr>
        <w:t>Sex Roles</w:t>
      </w:r>
      <w:r w:rsidRPr="002E301A">
        <w:t xml:space="preserve">, </w:t>
      </w:r>
      <w:r w:rsidRPr="002E301A">
        <w:rPr>
          <w:i/>
        </w:rPr>
        <w:t>85</w:t>
      </w:r>
      <w:r w:rsidR="00DA6B4E" w:rsidRPr="002E301A">
        <w:t>, 221-</w:t>
      </w:r>
      <w:r w:rsidRPr="002E301A">
        <w:t xml:space="preserve">231. </w:t>
      </w:r>
      <w:hyperlink r:id="rId26" w:history="1">
        <w:r w:rsidRPr="002E301A">
          <w:rPr>
            <w:rStyle w:val="Hyperlink"/>
            <w:color w:val="auto"/>
          </w:rPr>
          <w:t>https://doi.org/10.1007/s11199-020-01214-1</w:t>
        </w:r>
      </w:hyperlink>
    </w:p>
    <w:p w14:paraId="736B9CEE" w14:textId="77777777" w:rsidR="00B313D0" w:rsidRPr="002E301A" w:rsidRDefault="00B313D0" w:rsidP="003B3823">
      <w:pPr>
        <w:ind w:left="709" w:right="139" w:hanging="709"/>
        <w:jc w:val="both"/>
      </w:pPr>
      <w:r w:rsidRPr="002E301A">
        <w:t xml:space="preserve">Lo, C., &amp; Cheng, T. (2018). Social Status, Discrimination, and Minority Individuals’ Mental Health: a Secondary Analysis of US National Surveys. </w:t>
      </w:r>
      <w:r w:rsidRPr="002E301A">
        <w:rPr>
          <w:i/>
          <w:iCs/>
        </w:rPr>
        <w:t>Journal of Racial and Ethnic Health Disparities</w:t>
      </w:r>
      <w:r w:rsidRPr="002E301A">
        <w:t xml:space="preserve">, </w:t>
      </w:r>
      <w:r w:rsidRPr="002E301A">
        <w:rPr>
          <w:i/>
        </w:rPr>
        <w:t>5</w:t>
      </w:r>
      <w:r w:rsidRPr="002E301A">
        <w:t xml:space="preserve">, 485-494. </w:t>
      </w:r>
      <w:hyperlink r:id="rId27" w:history="1">
        <w:r w:rsidRPr="002E301A">
          <w:rPr>
            <w:rStyle w:val="Hyperlink"/>
            <w:color w:val="auto"/>
          </w:rPr>
          <w:t>https://doi.org/10.1007/s40615-017-0390-9</w:t>
        </w:r>
      </w:hyperlink>
      <w:r w:rsidRPr="002E301A">
        <w:t>.</w:t>
      </w:r>
    </w:p>
    <w:p w14:paraId="283B6637" w14:textId="5F18D234" w:rsidR="00B313D0" w:rsidRPr="002E301A" w:rsidRDefault="00DA6B4E" w:rsidP="003B3823">
      <w:pPr>
        <w:ind w:left="709" w:right="139" w:hanging="709"/>
        <w:jc w:val="both"/>
      </w:pPr>
      <w:r w:rsidRPr="002E301A">
        <w:t xml:space="preserve">Lago, M. C. </w:t>
      </w:r>
      <w:r w:rsidR="00B313D0" w:rsidRPr="002E301A">
        <w:t>S.</w:t>
      </w:r>
      <w:r w:rsidRPr="002E301A">
        <w:t xml:space="preserve">, Montibeler, D. P. </w:t>
      </w:r>
      <w:r w:rsidR="00B313D0" w:rsidRPr="002E301A">
        <w:t>S.</w:t>
      </w:r>
      <w:r w:rsidRPr="002E301A">
        <w:t xml:space="preserve">, &amp; Miguel, R. </w:t>
      </w:r>
      <w:r w:rsidR="00B313D0" w:rsidRPr="002E301A">
        <w:t>B</w:t>
      </w:r>
      <w:r w:rsidRPr="002E301A">
        <w:t>. P.</w:t>
      </w:r>
      <w:r w:rsidR="00B313D0" w:rsidRPr="002E301A">
        <w:t xml:space="preserve"> (2023). Pardismo, Colorismo e a “Mulher Brasileira”: produção da identidade racial de mulheres negras de pele clara. </w:t>
      </w:r>
      <w:r w:rsidR="00B313D0" w:rsidRPr="002E301A">
        <w:rPr>
          <w:i/>
          <w:iCs/>
        </w:rPr>
        <w:t>Revista Estudos Feministas</w:t>
      </w:r>
      <w:r w:rsidR="00B313D0" w:rsidRPr="002E301A">
        <w:t xml:space="preserve">, </w:t>
      </w:r>
      <w:r w:rsidR="00B313D0" w:rsidRPr="002E301A">
        <w:rPr>
          <w:i/>
        </w:rPr>
        <w:t>31</w:t>
      </w:r>
      <w:r w:rsidR="00B313D0" w:rsidRPr="002E301A">
        <w:t xml:space="preserve">(2), e83015. </w:t>
      </w:r>
      <w:hyperlink r:id="rId28" w:history="1">
        <w:r w:rsidR="00B313D0" w:rsidRPr="002E301A">
          <w:rPr>
            <w:rStyle w:val="Hyperlink"/>
            <w:color w:val="auto"/>
          </w:rPr>
          <w:t>https://doi.org/10.1590/1806-9584-2023v31n283015</w:t>
        </w:r>
      </w:hyperlink>
    </w:p>
    <w:p w14:paraId="1E4AB0CD" w14:textId="742B1A8A" w:rsidR="00B313D0" w:rsidRPr="002E301A" w:rsidRDefault="00B313D0" w:rsidP="003B3823">
      <w:pPr>
        <w:ind w:left="709" w:right="139" w:hanging="709"/>
        <w:jc w:val="both"/>
      </w:pPr>
      <w:r w:rsidRPr="002E301A">
        <w:t>Mizael, T. M.</w:t>
      </w:r>
      <w:r w:rsidR="00DA6B4E" w:rsidRPr="002E301A">
        <w:t>,</w:t>
      </w:r>
      <w:r w:rsidRPr="002E301A">
        <w:t xml:space="preserve"> Barrozo, S. C. V.</w:t>
      </w:r>
      <w:r w:rsidR="00DA6B4E" w:rsidRPr="002E301A">
        <w:t>,</w:t>
      </w:r>
      <w:r w:rsidRPr="002E301A">
        <w:t xml:space="preserve"> &amp; Hunziker, M. H. L. (2021). </w:t>
      </w:r>
      <w:r w:rsidR="00822ADF" w:rsidRPr="002E301A">
        <w:t>Solidão da Mulher Negra: uma revisão da literatura.</w:t>
      </w:r>
      <w:r w:rsidRPr="002E301A">
        <w:t xml:space="preserve"> </w:t>
      </w:r>
      <w:r w:rsidRPr="002E301A">
        <w:rPr>
          <w:i/>
          <w:iCs/>
        </w:rPr>
        <w:t xml:space="preserve">Revista Da Associação Brasileira De Pesquisadores/as Negros/As </w:t>
      </w:r>
      <w:r w:rsidRPr="002E301A">
        <w:rPr>
          <w:i/>
          <w:iCs/>
        </w:rPr>
        <w:lastRenderedPageBreak/>
        <w:t>(ABPN)</w:t>
      </w:r>
      <w:r w:rsidRPr="002E301A">
        <w:t xml:space="preserve">, </w:t>
      </w:r>
      <w:r w:rsidRPr="002E301A">
        <w:rPr>
          <w:i/>
        </w:rPr>
        <w:t>13</w:t>
      </w:r>
      <w:r w:rsidR="00DA6B4E" w:rsidRPr="002E301A">
        <w:t>(38), 212-</w:t>
      </w:r>
      <w:r w:rsidRPr="002E301A">
        <w:t xml:space="preserve">239. Recuperado de </w:t>
      </w:r>
      <w:hyperlink r:id="rId29" w:history="1">
        <w:r w:rsidRPr="002E301A">
          <w:rPr>
            <w:rStyle w:val="Hyperlink"/>
            <w:color w:val="auto"/>
          </w:rPr>
          <w:t>https://abpnrevista.org.br/site/article/view/1270</w:t>
        </w:r>
      </w:hyperlink>
    </w:p>
    <w:p w14:paraId="24D959BD" w14:textId="77777777" w:rsidR="00DA6B4E" w:rsidRPr="002E301A" w:rsidRDefault="00B313D0" w:rsidP="00DA6B4E">
      <w:pPr>
        <w:ind w:left="709" w:right="139" w:hanging="709"/>
        <w:jc w:val="both"/>
      </w:pPr>
      <w:r w:rsidRPr="002E301A">
        <w:t>M</w:t>
      </w:r>
      <w:r w:rsidR="00822ADF" w:rsidRPr="002E301A">
        <w:t>unanga</w:t>
      </w:r>
      <w:r w:rsidRPr="002E301A">
        <w:t>, K.</w:t>
      </w:r>
      <w:r w:rsidR="00822ADF" w:rsidRPr="002E301A">
        <w:t xml:space="preserve"> (2019). </w:t>
      </w:r>
      <w:r w:rsidRPr="002E301A">
        <w:rPr>
          <w:i/>
          <w:iCs/>
        </w:rPr>
        <w:t>Rediscutindo a Mestiçagem no Brasil:</w:t>
      </w:r>
      <w:r w:rsidRPr="002E301A">
        <w:t xml:space="preserve"> Identidade nacional versus ide</w:t>
      </w:r>
      <w:r w:rsidR="00DA6B4E" w:rsidRPr="002E301A">
        <w:t>ntidade negra.</w:t>
      </w:r>
      <w:r w:rsidRPr="002E301A">
        <w:t xml:space="preserve"> Vozes</w:t>
      </w:r>
      <w:r w:rsidR="00DA6B4E" w:rsidRPr="002E301A">
        <w:t>.</w:t>
      </w:r>
    </w:p>
    <w:p w14:paraId="41F3F29C" w14:textId="41547117" w:rsidR="00DA6B4E" w:rsidRPr="002E301A" w:rsidRDefault="00B313D0" w:rsidP="00DA6B4E">
      <w:pPr>
        <w:ind w:left="709" w:right="139" w:hanging="709"/>
        <w:jc w:val="both"/>
      </w:pPr>
      <w:r w:rsidRPr="002E301A">
        <w:rPr>
          <w:highlight w:val="white"/>
        </w:rPr>
        <w:t>R</w:t>
      </w:r>
      <w:r w:rsidR="00822ADF" w:rsidRPr="002E301A">
        <w:rPr>
          <w:highlight w:val="white"/>
        </w:rPr>
        <w:t>abelo</w:t>
      </w:r>
      <w:r w:rsidRPr="002E301A">
        <w:rPr>
          <w:highlight w:val="white"/>
        </w:rPr>
        <w:t>, D. F.</w:t>
      </w:r>
      <w:r w:rsidR="00DA6B4E" w:rsidRPr="002E301A">
        <w:rPr>
          <w:highlight w:val="white"/>
        </w:rPr>
        <w:t>,</w:t>
      </w:r>
      <w:r w:rsidRPr="002E301A">
        <w:rPr>
          <w:highlight w:val="white"/>
        </w:rPr>
        <w:t xml:space="preserve"> </w:t>
      </w:r>
      <w:r w:rsidR="00DA6B4E" w:rsidRPr="002E301A">
        <w:rPr>
          <w:shd w:val="clear" w:color="auto" w:fill="FFFFFF"/>
        </w:rPr>
        <w:t>Silva, J., Rocha, N. M. F. D., Gomes, H. V., &amp; Araújo, L. F.</w:t>
      </w:r>
      <w:r w:rsidR="00DA6B4E" w:rsidRPr="002E301A">
        <w:rPr>
          <w:highlight w:val="white"/>
        </w:rPr>
        <w:t xml:space="preserve"> </w:t>
      </w:r>
      <w:r w:rsidR="00822ADF" w:rsidRPr="002E301A">
        <w:rPr>
          <w:highlight w:val="white"/>
        </w:rPr>
        <w:t>(2018)</w:t>
      </w:r>
      <w:r w:rsidRPr="002E301A">
        <w:rPr>
          <w:highlight w:val="white"/>
        </w:rPr>
        <w:t xml:space="preserve"> Racismo e envelhecimento da população negra. </w:t>
      </w:r>
      <w:r w:rsidRPr="002E301A">
        <w:rPr>
          <w:i/>
          <w:highlight w:val="white"/>
        </w:rPr>
        <w:t>Revista Kairós</w:t>
      </w:r>
      <w:r w:rsidRPr="002E301A">
        <w:rPr>
          <w:highlight w:val="white"/>
        </w:rPr>
        <w:t>, 21</w:t>
      </w:r>
      <w:r w:rsidR="00DA6B4E" w:rsidRPr="002E301A">
        <w:rPr>
          <w:highlight w:val="white"/>
        </w:rPr>
        <w:t>(</w:t>
      </w:r>
      <w:r w:rsidRPr="002E301A">
        <w:rPr>
          <w:highlight w:val="white"/>
        </w:rPr>
        <w:t>3</w:t>
      </w:r>
      <w:r w:rsidR="00DA6B4E" w:rsidRPr="002E301A">
        <w:rPr>
          <w:highlight w:val="white"/>
        </w:rPr>
        <w:t>)</w:t>
      </w:r>
      <w:r w:rsidRPr="002E301A">
        <w:rPr>
          <w:highlight w:val="white"/>
        </w:rPr>
        <w:t>, 193-215.</w:t>
      </w:r>
      <w:r w:rsidR="00DA6B4E" w:rsidRPr="002E301A">
        <w:rPr>
          <w:highlight w:val="white"/>
        </w:rPr>
        <w:t xml:space="preserve"> </w:t>
      </w:r>
      <w:r w:rsidR="00DA6B4E" w:rsidRPr="002E301A">
        <w:rPr>
          <w:rFonts w:ascii="Segoe UI" w:hAnsi="Segoe UI" w:cs="Segoe UI"/>
          <w:sz w:val="21"/>
          <w:szCs w:val="21"/>
        </w:rPr>
        <w:t> </w:t>
      </w:r>
    </w:p>
    <w:p w14:paraId="2E736DB7" w14:textId="46AF32E6" w:rsidR="00B313D0" w:rsidRPr="002E301A" w:rsidRDefault="00DA6B4E" w:rsidP="00DA6B4E">
      <w:pPr>
        <w:widowControl w:val="0"/>
        <w:ind w:left="709" w:right="139" w:hanging="709"/>
        <w:jc w:val="both"/>
        <w:rPr>
          <w:highlight w:val="white"/>
        </w:rPr>
      </w:pPr>
      <w:hyperlink r:id="rId30" w:history="1">
        <w:r w:rsidRPr="002E301A">
          <w:rPr>
            <w:rStyle w:val="Hyperlink"/>
            <w:color w:val="auto"/>
          </w:rPr>
          <w:t>https://doi.org/10.23925/2176-901X.2018v21i3p193-215</w:t>
        </w:r>
      </w:hyperlink>
    </w:p>
    <w:p w14:paraId="1D44D0DC" w14:textId="19C673C3" w:rsidR="00B313D0" w:rsidRPr="002E301A" w:rsidRDefault="00B313D0" w:rsidP="003B3823">
      <w:pPr>
        <w:ind w:left="709" w:right="139" w:hanging="709"/>
        <w:jc w:val="both"/>
      </w:pPr>
      <w:r w:rsidRPr="002E301A">
        <w:t>Rosen, D.</w:t>
      </w:r>
      <w:r w:rsidR="00DA6B4E" w:rsidRPr="002E301A">
        <w:t>,</w:t>
      </w:r>
      <w:r w:rsidRPr="002E301A">
        <w:t xml:space="preserve"> Tolman, R.</w:t>
      </w:r>
      <w:r w:rsidR="00DA6B4E" w:rsidRPr="002E301A">
        <w:t xml:space="preserve">, </w:t>
      </w:r>
      <w:r w:rsidRPr="002E301A">
        <w:t>Warner, L.</w:t>
      </w:r>
      <w:r w:rsidR="00DA6B4E" w:rsidRPr="002E301A">
        <w:t>,</w:t>
      </w:r>
      <w:r w:rsidRPr="002E301A">
        <w:t xml:space="preserve"> &amp; Conner, K. (2007). Racial Differences in Mental Health Service Utilization Among Low-Income Women. </w:t>
      </w:r>
      <w:r w:rsidRPr="002E301A">
        <w:rPr>
          <w:i/>
          <w:iCs/>
        </w:rPr>
        <w:t>Social Work in Public Health</w:t>
      </w:r>
      <w:r w:rsidRPr="002E301A">
        <w:t xml:space="preserve">, </w:t>
      </w:r>
      <w:r w:rsidRPr="002E301A">
        <w:rPr>
          <w:i/>
        </w:rPr>
        <w:t>23</w:t>
      </w:r>
      <w:r w:rsidR="00DA6B4E" w:rsidRPr="002E301A">
        <w:t>, 105-</w:t>
      </w:r>
      <w:r w:rsidRPr="002E301A">
        <w:t xml:space="preserve">89. </w:t>
      </w:r>
      <w:hyperlink r:id="rId31" w:history="1">
        <w:r w:rsidR="00DA6B4E" w:rsidRPr="002E301A">
          <w:rPr>
            <w:rStyle w:val="Hyperlink"/>
            <w:color w:val="auto"/>
          </w:rPr>
          <w:t>https://doi.org/10.1080/19371910802151747</w:t>
        </w:r>
      </w:hyperlink>
    </w:p>
    <w:p w14:paraId="740D576B" w14:textId="398DDEAC" w:rsidR="00B313D0" w:rsidRPr="002E301A" w:rsidRDefault="00B313D0" w:rsidP="003B3823">
      <w:pPr>
        <w:pStyle w:val="selectable-text"/>
        <w:spacing w:before="0" w:beforeAutospacing="0" w:after="0" w:afterAutospacing="0"/>
        <w:ind w:left="709" w:hanging="709"/>
        <w:rPr>
          <w:rStyle w:val="selectable-text1"/>
        </w:rPr>
      </w:pPr>
      <w:r w:rsidRPr="002E301A">
        <w:rPr>
          <w:rStyle w:val="selectable-text1"/>
        </w:rPr>
        <w:t xml:space="preserve">Santos, G. </w:t>
      </w:r>
      <w:r w:rsidR="00DA6B4E" w:rsidRPr="002E301A">
        <w:rPr>
          <w:rStyle w:val="selectable-text1"/>
        </w:rPr>
        <w:t>B. V.,</w:t>
      </w:r>
      <w:r w:rsidR="00CC6D72" w:rsidRPr="002E301A">
        <w:rPr>
          <w:rStyle w:val="selectable-text1"/>
        </w:rPr>
        <w:t xml:space="preserve"> Alves</w:t>
      </w:r>
      <w:r w:rsidRPr="002E301A">
        <w:rPr>
          <w:rStyle w:val="selectable-text1"/>
        </w:rPr>
        <w:t>, M. C. G. P.</w:t>
      </w:r>
      <w:r w:rsidR="00DA6B4E" w:rsidRPr="002E301A">
        <w:rPr>
          <w:rStyle w:val="selectable-text1"/>
        </w:rPr>
        <w:t>,</w:t>
      </w:r>
      <w:r w:rsidRPr="002E301A">
        <w:rPr>
          <w:rStyle w:val="selectable-text1"/>
        </w:rPr>
        <w:t xml:space="preserve"> Goldbaum, M.</w:t>
      </w:r>
      <w:r w:rsidR="00DA6B4E" w:rsidRPr="002E301A">
        <w:rPr>
          <w:rStyle w:val="selectable-text1"/>
        </w:rPr>
        <w:t>,</w:t>
      </w:r>
      <w:r w:rsidR="00CC6D72" w:rsidRPr="002E301A">
        <w:rPr>
          <w:rStyle w:val="selectable-text1"/>
        </w:rPr>
        <w:t xml:space="preserve"> </w:t>
      </w:r>
      <w:r w:rsidRPr="002E301A">
        <w:rPr>
          <w:rStyle w:val="selectable-text1"/>
        </w:rPr>
        <w:t>Cesar, C. L. G.</w:t>
      </w:r>
      <w:r w:rsidR="00DA6B4E" w:rsidRPr="002E301A">
        <w:rPr>
          <w:rStyle w:val="selectable-text1"/>
        </w:rPr>
        <w:t>,</w:t>
      </w:r>
      <w:r w:rsidRPr="002E301A">
        <w:rPr>
          <w:rStyle w:val="selectable-text1"/>
        </w:rPr>
        <w:t xml:space="preserve"> &amp; Gianini, R. </w:t>
      </w:r>
      <w:r w:rsidR="00CC6D72" w:rsidRPr="002E301A">
        <w:rPr>
          <w:rStyle w:val="selectable-text1"/>
        </w:rPr>
        <w:t>J.</w:t>
      </w:r>
      <w:r w:rsidR="00822ADF" w:rsidRPr="002E301A">
        <w:rPr>
          <w:rStyle w:val="selectable-text1"/>
        </w:rPr>
        <w:t xml:space="preserve"> </w:t>
      </w:r>
      <w:r w:rsidRPr="002E301A">
        <w:rPr>
          <w:rStyle w:val="selectable-text1"/>
        </w:rPr>
        <w:t xml:space="preserve">(2019). Prevalência de transtornos mentais comuns e fatores associados em moradores da área urbana de São Paulo, Brasil. </w:t>
      </w:r>
      <w:r w:rsidRPr="002E301A">
        <w:rPr>
          <w:rStyle w:val="selectable-text1"/>
          <w:i/>
          <w:iCs/>
        </w:rPr>
        <w:t>Cadernos De Saúde Pública</w:t>
      </w:r>
      <w:r w:rsidRPr="002E301A">
        <w:rPr>
          <w:rStyle w:val="selectable-text1"/>
        </w:rPr>
        <w:t xml:space="preserve">, </w:t>
      </w:r>
      <w:r w:rsidRPr="002E301A">
        <w:rPr>
          <w:rStyle w:val="selectable-text1"/>
          <w:i/>
        </w:rPr>
        <w:t>35</w:t>
      </w:r>
      <w:r w:rsidRPr="002E301A">
        <w:rPr>
          <w:rStyle w:val="selectable-text1"/>
        </w:rPr>
        <w:t xml:space="preserve">(11), e00236318. </w:t>
      </w:r>
      <w:hyperlink r:id="rId32" w:history="1">
        <w:r w:rsidR="00DA6B4E" w:rsidRPr="002E301A">
          <w:rPr>
            <w:rStyle w:val="Hyperlink"/>
            <w:color w:val="auto"/>
          </w:rPr>
          <w:t>https://doi.org/10.1590/0102-311X00236318</w:t>
        </w:r>
      </w:hyperlink>
    </w:p>
    <w:p w14:paraId="3EDF995C" w14:textId="12A4323F" w:rsidR="00B313D0" w:rsidRPr="002E301A" w:rsidRDefault="00B313D0" w:rsidP="003B3823">
      <w:pPr>
        <w:ind w:left="709" w:right="139" w:hanging="709"/>
        <w:jc w:val="both"/>
        <w:rPr>
          <w:rStyle w:val="Hyperlink"/>
          <w:color w:val="auto"/>
        </w:rPr>
      </w:pPr>
      <w:r w:rsidRPr="002E301A">
        <w:t>Santos, N. R. P</w:t>
      </w:r>
      <w:r w:rsidR="00DA6B4E" w:rsidRPr="002E301A">
        <w:t>.</w:t>
      </w:r>
      <w:r w:rsidRPr="002E301A">
        <w:t>, &amp; Rabelo, D. F. (2022). Racismo e eventos produtores de estresse: narrativas de pessoas idosas negras. </w:t>
      </w:r>
      <w:r w:rsidRPr="002E301A">
        <w:rPr>
          <w:i/>
          <w:iCs/>
        </w:rPr>
        <w:t>Ciencias Psicológicas</w:t>
      </w:r>
      <w:r w:rsidRPr="002E301A">
        <w:t>, </w:t>
      </w:r>
      <w:r w:rsidRPr="002E301A">
        <w:rPr>
          <w:i/>
          <w:iCs/>
        </w:rPr>
        <w:t>16</w:t>
      </w:r>
      <w:r w:rsidRPr="002E301A">
        <w:t xml:space="preserve">(2), e2494. </w:t>
      </w:r>
      <w:hyperlink r:id="rId33" w:history="1">
        <w:r w:rsidRPr="002E301A">
          <w:rPr>
            <w:rStyle w:val="Hyperlink"/>
            <w:color w:val="auto"/>
          </w:rPr>
          <w:t>https://doi.org/10.22235/cp.v16i2.2494</w:t>
        </w:r>
      </w:hyperlink>
    </w:p>
    <w:p w14:paraId="616AA5C7" w14:textId="2C99988D" w:rsidR="00DA6B4E" w:rsidRPr="002E301A" w:rsidRDefault="00B313D0" w:rsidP="00DA6B4E">
      <w:pPr>
        <w:widowControl w:val="0"/>
        <w:ind w:left="709" w:right="139" w:hanging="709"/>
        <w:jc w:val="both"/>
      </w:pPr>
      <w:r w:rsidRPr="002E301A">
        <w:rPr>
          <w:highlight w:val="white"/>
        </w:rPr>
        <w:t>Silva, A. (2019)</w:t>
      </w:r>
      <w:r w:rsidR="00CC6D72" w:rsidRPr="002E301A">
        <w:rPr>
          <w:highlight w:val="white"/>
        </w:rPr>
        <w:t>.</w:t>
      </w:r>
      <w:r w:rsidRPr="002E301A">
        <w:rPr>
          <w:highlight w:val="white"/>
        </w:rPr>
        <w:t xml:space="preserve"> Aging from the perspective of racism and other forms of discrimination: influences of institutional and structural determinants on the lives of older adults. </w:t>
      </w:r>
      <w:r w:rsidRPr="002E301A">
        <w:rPr>
          <w:i/>
          <w:highlight w:val="white"/>
        </w:rPr>
        <w:t>Revista Brasileira de Geriatria e Gerontologia</w:t>
      </w:r>
      <w:r w:rsidRPr="002E301A">
        <w:rPr>
          <w:highlight w:val="white"/>
        </w:rPr>
        <w:t xml:space="preserve">, </w:t>
      </w:r>
      <w:r w:rsidRPr="002E301A">
        <w:rPr>
          <w:i/>
          <w:highlight w:val="white"/>
        </w:rPr>
        <w:t>22</w:t>
      </w:r>
      <w:r w:rsidR="00DA6B4E" w:rsidRPr="002E301A">
        <w:rPr>
          <w:highlight w:val="white"/>
        </w:rPr>
        <w:t>(</w:t>
      </w:r>
      <w:r w:rsidRPr="002E301A">
        <w:rPr>
          <w:highlight w:val="white"/>
        </w:rPr>
        <w:t>4</w:t>
      </w:r>
      <w:r w:rsidR="00DA6B4E" w:rsidRPr="002E301A">
        <w:rPr>
          <w:highlight w:val="white"/>
        </w:rPr>
        <w:t xml:space="preserve">), </w:t>
      </w:r>
      <w:r w:rsidR="00DA6B4E" w:rsidRPr="002E301A">
        <w:t xml:space="preserve">e190210. </w:t>
      </w:r>
      <w:hyperlink r:id="rId34" w:history="1">
        <w:r w:rsidR="00DA6B4E" w:rsidRPr="002E301A">
          <w:rPr>
            <w:rStyle w:val="Hyperlink"/>
            <w:color w:val="auto"/>
          </w:rPr>
          <w:t>https://doi.org/10.1590/1981-22562019022.190210</w:t>
        </w:r>
      </w:hyperlink>
    </w:p>
    <w:p w14:paraId="7F66406C" w14:textId="74F1A177" w:rsidR="00B313D0" w:rsidRPr="002E301A" w:rsidRDefault="00B313D0" w:rsidP="003B3823">
      <w:pPr>
        <w:ind w:left="709" w:right="139" w:hanging="709"/>
        <w:jc w:val="both"/>
        <w:rPr>
          <w:shd w:val="clear" w:color="auto" w:fill="FFFFFF"/>
        </w:rPr>
      </w:pPr>
      <w:r w:rsidRPr="002E301A">
        <w:rPr>
          <w:shd w:val="clear" w:color="auto" w:fill="FFFFFF"/>
        </w:rPr>
        <w:t xml:space="preserve">Silva, M. R. </w:t>
      </w:r>
      <w:r w:rsidR="007F300A" w:rsidRPr="002E301A">
        <w:rPr>
          <w:shd w:val="clear" w:color="auto" w:fill="FFFFFF"/>
        </w:rPr>
        <w:t>F.</w:t>
      </w:r>
      <w:r w:rsidR="00CC6D72" w:rsidRPr="002E301A">
        <w:rPr>
          <w:shd w:val="clear" w:color="auto" w:fill="FFFFFF"/>
        </w:rPr>
        <w:t xml:space="preserve"> </w:t>
      </w:r>
      <w:r w:rsidRPr="002E301A">
        <w:rPr>
          <w:shd w:val="clear" w:color="auto" w:fill="FFFFFF"/>
        </w:rPr>
        <w:t xml:space="preserve">(2016). Envelhecimento e proteção social: aproximações entre Brasil, América Latina e Portugal. </w:t>
      </w:r>
      <w:r w:rsidRPr="002E301A">
        <w:rPr>
          <w:i/>
          <w:iCs/>
          <w:shd w:val="clear" w:color="auto" w:fill="FFFFFF"/>
        </w:rPr>
        <w:t>Serviço Social &amp; Sociedade</w:t>
      </w:r>
      <w:r w:rsidR="007F300A" w:rsidRPr="002E301A">
        <w:rPr>
          <w:shd w:val="clear" w:color="auto" w:fill="FFFFFF"/>
        </w:rPr>
        <w:t xml:space="preserve">, </w:t>
      </w:r>
      <w:r w:rsidRPr="002E301A">
        <w:rPr>
          <w:i/>
          <w:shd w:val="clear" w:color="auto" w:fill="FFFFFF"/>
        </w:rPr>
        <w:t>126,</w:t>
      </w:r>
      <w:r w:rsidRPr="002E301A">
        <w:rPr>
          <w:shd w:val="clear" w:color="auto" w:fill="FFFFFF"/>
        </w:rPr>
        <w:t xml:space="preserve"> 215–234. </w:t>
      </w:r>
      <w:hyperlink r:id="rId35" w:history="1">
        <w:r w:rsidRPr="002E301A">
          <w:rPr>
            <w:rStyle w:val="Hyperlink"/>
            <w:color w:val="auto"/>
            <w:shd w:val="clear" w:color="auto" w:fill="FFFFFF"/>
          </w:rPr>
          <w:t>https://doi.org/10.1590/0101-6628.066</w:t>
        </w:r>
      </w:hyperlink>
    </w:p>
    <w:p w14:paraId="0FF49985" w14:textId="72FE8E20" w:rsidR="00B313D0" w:rsidRPr="002E301A" w:rsidRDefault="00B313D0" w:rsidP="003B3823">
      <w:pPr>
        <w:ind w:left="709" w:right="139" w:hanging="709"/>
        <w:jc w:val="both"/>
      </w:pPr>
      <w:r w:rsidRPr="002E301A">
        <w:t>Smolen, J.</w:t>
      </w:r>
      <w:r w:rsidR="00057BA3" w:rsidRPr="002E301A">
        <w:t xml:space="preserve"> </w:t>
      </w:r>
      <w:r w:rsidRPr="002E301A">
        <w:t>R</w:t>
      </w:r>
      <w:r w:rsidR="00057BA3" w:rsidRPr="002E301A">
        <w:t>.,</w:t>
      </w:r>
      <w:r w:rsidRPr="002E301A">
        <w:t xml:space="preserve"> &amp; Araújo, E. M. (2017)</w:t>
      </w:r>
      <w:r w:rsidR="00CC6D72" w:rsidRPr="002E301A">
        <w:t>.</w:t>
      </w:r>
      <w:r w:rsidRPr="002E301A">
        <w:t xml:space="preserve"> Raça/cor da pele e transtornos mentais no Brasil: uma revisão sistemática. </w:t>
      </w:r>
      <w:r w:rsidR="00CC6D72" w:rsidRPr="002E301A">
        <w:rPr>
          <w:rStyle w:val="selectable-text1"/>
          <w:i/>
          <w:iCs/>
        </w:rPr>
        <w:t>Ciência &amp; Saúde Coletiva</w:t>
      </w:r>
      <w:r w:rsidR="00057BA3" w:rsidRPr="002E301A">
        <w:rPr>
          <w:rStyle w:val="selectable-text1"/>
          <w:i/>
          <w:iCs/>
        </w:rPr>
        <w:t xml:space="preserve">, </w:t>
      </w:r>
      <w:r w:rsidRPr="002E301A">
        <w:rPr>
          <w:i/>
        </w:rPr>
        <w:t>22</w:t>
      </w:r>
      <w:r w:rsidR="00057BA3" w:rsidRPr="002E301A">
        <w:t>(12), 4021-</w:t>
      </w:r>
      <w:r w:rsidRPr="002E301A">
        <w:t xml:space="preserve">30. </w:t>
      </w:r>
      <w:hyperlink r:id="rId36" w:history="1">
        <w:r w:rsidRPr="002E301A">
          <w:rPr>
            <w:rStyle w:val="Hyperlink"/>
            <w:color w:val="auto"/>
          </w:rPr>
          <w:t>https://doi.org/10.1590/1413-812320172212.19782016</w:t>
        </w:r>
      </w:hyperlink>
    </w:p>
    <w:p w14:paraId="148791E8" w14:textId="7A644F33" w:rsidR="00B313D0" w:rsidRPr="002E301A" w:rsidRDefault="00B313D0" w:rsidP="00057BA3">
      <w:pPr>
        <w:pStyle w:val="selectable-text"/>
        <w:spacing w:before="0" w:beforeAutospacing="0" w:after="0" w:afterAutospacing="0"/>
        <w:ind w:left="709" w:hanging="709"/>
        <w:jc w:val="both"/>
        <w:rPr>
          <w:rStyle w:val="selectable-text1"/>
        </w:rPr>
      </w:pPr>
      <w:r w:rsidRPr="002E301A">
        <w:rPr>
          <w:rStyle w:val="selectable-text1"/>
        </w:rPr>
        <w:t>Senicato, C.</w:t>
      </w:r>
      <w:r w:rsidR="00057BA3" w:rsidRPr="002E301A">
        <w:rPr>
          <w:rStyle w:val="selectable-text1"/>
        </w:rPr>
        <w:t>,</w:t>
      </w:r>
      <w:r w:rsidR="00CC6D72" w:rsidRPr="002E301A">
        <w:rPr>
          <w:rStyle w:val="selectable-text1"/>
        </w:rPr>
        <w:t xml:space="preserve"> </w:t>
      </w:r>
      <w:r w:rsidR="00057BA3" w:rsidRPr="002E301A">
        <w:rPr>
          <w:rStyle w:val="selectable-text1"/>
        </w:rPr>
        <w:t>Azevedo, R. C. S., &amp; Barros, M. B. A.</w:t>
      </w:r>
      <w:r w:rsidRPr="002E301A">
        <w:rPr>
          <w:rStyle w:val="selectable-text1"/>
        </w:rPr>
        <w:t xml:space="preserve"> (2018). Transtorno mental comum em mulheres adultas: identificando os segmentos mais vulneráveis. </w:t>
      </w:r>
      <w:r w:rsidRPr="002E301A">
        <w:rPr>
          <w:rStyle w:val="selectable-text1"/>
          <w:i/>
          <w:iCs/>
        </w:rPr>
        <w:t>Ciência &amp; Saúde Coletiva</w:t>
      </w:r>
      <w:r w:rsidRPr="002E301A">
        <w:rPr>
          <w:rStyle w:val="selectable-text1"/>
        </w:rPr>
        <w:t xml:space="preserve">, </w:t>
      </w:r>
      <w:r w:rsidRPr="002E301A">
        <w:rPr>
          <w:rStyle w:val="selectable-text1"/>
          <w:i/>
        </w:rPr>
        <w:t>23</w:t>
      </w:r>
      <w:r w:rsidR="00057BA3" w:rsidRPr="002E301A">
        <w:rPr>
          <w:rStyle w:val="selectable-text1"/>
        </w:rPr>
        <w:t>(8), 2543-</w:t>
      </w:r>
      <w:r w:rsidRPr="002E301A">
        <w:rPr>
          <w:rStyle w:val="selectable-text1"/>
        </w:rPr>
        <w:t xml:space="preserve">2554. </w:t>
      </w:r>
      <w:hyperlink r:id="rId37" w:history="1">
        <w:r w:rsidR="00057BA3" w:rsidRPr="002E301A">
          <w:rPr>
            <w:rStyle w:val="Hyperlink"/>
            <w:color w:val="auto"/>
          </w:rPr>
          <w:t>https://doi.org/10.1590/1413-81232018238.13652016</w:t>
        </w:r>
      </w:hyperlink>
    </w:p>
    <w:p w14:paraId="416CC4E0" w14:textId="40320539" w:rsidR="00B313D0" w:rsidRPr="002E301A" w:rsidRDefault="00B313D0" w:rsidP="00057BA3">
      <w:pPr>
        <w:ind w:left="709" w:right="4" w:hanging="709"/>
        <w:jc w:val="both"/>
      </w:pPr>
      <w:r w:rsidRPr="002E301A">
        <w:t>Tobin, C.</w:t>
      </w:r>
      <w:r w:rsidR="00057BA3" w:rsidRPr="002E301A">
        <w:t>,</w:t>
      </w:r>
      <w:r w:rsidRPr="002E301A">
        <w:t xml:space="preserve"> Erving, C.</w:t>
      </w:r>
      <w:r w:rsidR="00057BA3" w:rsidRPr="002E301A">
        <w:t>,</w:t>
      </w:r>
      <w:r w:rsidRPr="002E301A">
        <w:t xml:space="preserve"> Hargrove, T.</w:t>
      </w:r>
      <w:r w:rsidR="00057BA3" w:rsidRPr="002E301A">
        <w:t>,</w:t>
      </w:r>
      <w:r w:rsidRPr="002E301A">
        <w:t xml:space="preserve"> &amp; Satcher, L. (2020). Is the Black-White mental health paradox consistent across age, gender, and psychiatric disorders</w:t>
      </w:r>
      <w:proofErr w:type="gramStart"/>
      <w:r w:rsidRPr="002E301A">
        <w:t>?.</w:t>
      </w:r>
      <w:proofErr w:type="gramEnd"/>
      <w:r w:rsidRPr="002E301A">
        <w:t xml:space="preserve"> </w:t>
      </w:r>
      <w:r w:rsidR="00057BA3" w:rsidRPr="002E301A">
        <w:rPr>
          <w:i/>
          <w:iCs/>
        </w:rPr>
        <w:t xml:space="preserve">Aging &amp; Mental </w:t>
      </w:r>
      <w:r w:rsidRPr="002E301A">
        <w:rPr>
          <w:i/>
          <w:iCs/>
        </w:rPr>
        <w:t>Health</w:t>
      </w:r>
      <w:r w:rsidRPr="002E301A">
        <w:t xml:space="preserve">, </w:t>
      </w:r>
      <w:r w:rsidRPr="002E301A">
        <w:rPr>
          <w:i/>
        </w:rPr>
        <w:t>26</w:t>
      </w:r>
      <w:r w:rsidRPr="002E301A">
        <w:t xml:space="preserve">, 196 - 204. </w:t>
      </w:r>
      <w:hyperlink r:id="rId38" w:history="1">
        <w:r w:rsidRPr="002E301A">
          <w:rPr>
            <w:rStyle w:val="Hyperlink"/>
            <w:color w:val="auto"/>
          </w:rPr>
          <w:t>https://doi.org/10.1080/13607863.2020.1855627</w:t>
        </w:r>
      </w:hyperlink>
      <w:r w:rsidRPr="002E301A">
        <w:t>.</w:t>
      </w:r>
    </w:p>
    <w:p w14:paraId="473B43A7" w14:textId="0CE02E99" w:rsidR="00B313D0" w:rsidRPr="002E301A" w:rsidRDefault="00B313D0" w:rsidP="00057BA3">
      <w:pPr>
        <w:ind w:left="709" w:right="4" w:hanging="709"/>
        <w:jc w:val="both"/>
      </w:pPr>
      <w:r w:rsidRPr="002E301A">
        <w:t>Vieira, P. P. F.</w:t>
      </w:r>
      <w:r w:rsidR="00057BA3" w:rsidRPr="002E301A">
        <w:t>,</w:t>
      </w:r>
      <w:r w:rsidR="00CC6D72" w:rsidRPr="002E301A">
        <w:t xml:space="preserve"> </w:t>
      </w:r>
      <w:r w:rsidRPr="002E301A">
        <w:t>Paz, H.</w:t>
      </w:r>
      <w:r w:rsidR="00057BA3" w:rsidRPr="002E301A">
        <w:t>,</w:t>
      </w:r>
      <w:r w:rsidRPr="002E301A">
        <w:t xml:space="preserve"> Fernandes, C.</w:t>
      </w:r>
      <w:r w:rsidR="00057BA3" w:rsidRPr="002E301A">
        <w:t>,</w:t>
      </w:r>
      <w:r w:rsidRPr="002E301A">
        <w:t xml:space="preserve"> Silveira, L. S.</w:t>
      </w:r>
      <w:r w:rsidR="00057BA3" w:rsidRPr="002E301A">
        <w:t>,</w:t>
      </w:r>
      <w:r w:rsidRPr="002E301A">
        <w:t xml:space="preserve"> &amp; Bicev, J. T. (2023)</w:t>
      </w:r>
      <w:r w:rsidR="00CC6D72" w:rsidRPr="002E301A">
        <w:t xml:space="preserve">. </w:t>
      </w:r>
      <w:r w:rsidRPr="002E301A">
        <w:rPr>
          <w:i/>
          <w:iCs/>
        </w:rPr>
        <w:t>Envelhecimento e desigualdades raciais</w:t>
      </w:r>
      <w:r w:rsidR="00057BA3" w:rsidRPr="002E301A">
        <w:t>.</w:t>
      </w:r>
      <w:r w:rsidRPr="002E301A">
        <w:t xml:space="preserve"> Centro Brasileiro de Análise e Planejamento Cebrap,</w:t>
      </w:r>
      <w:r w:rsidR="00CC6D72" w:rsidRPr="002E301A">
        <w:t xml:space="preserve"> </w:t>
      </w:r>
      <w:r w:rsidRPr="002E301A">
        <w:t>9-52.</w:t>
      </w:r>
      <w:r w:rsidR="00CC6D72" w:rsidRPr="002E301A">
        <w:t xml:space="preserve"> </w:t>
      </w:r>
      <w:hyperlink r:id="rId39" w:history="1">
        <w:r w:rsidR="002E301A" w:rsidRPr="002E301A">
          <w:rPr>
            <w:rStyle w:val="Hyperlink"/>
            <w:color w:val="auto"/>
          </w:rPr>
          <w:t>https://cebrap.org.br/wpcontent/uploads/2023/06/desigualdades_envelhecimento_relatorio.pdf</w:t>
        </w:r>
      </w:hyperlink>
    </w:p>
    <w:p w14:paraId="479F2560" w14:textId="5358AE10" w:rsidR="00B313D0" w:rsidRPr="002E301A" w:rsidRDefault="00B313D0" w:rsidP="00057BA3">
      <w:pPr>
        <w:ind w:left="709" w:right="4" w:hanging="709"/>
        <w:jc w:val="both"/>
        <w:rPr>
          <w:shd w:val="clear" w:color="auto" w:fill="FFFFFF"/>
        </w:rPr>
      </w:pPr>
      <w:r w:rsidRPr="002E301A">
        <w:rPr>
          <w:shd w:val="clear" w:color="auto" w:fill="FFFFFF"/>
        </w:rPr>
        <w:t>Z</w:t>
      </w:r>
      <w:r w:rsidR="0046663F" w:rsidRPr="002E301A">
        <w:rPr>
          <w:shd w:val="clear" w:color="auto" w:fill="FFFFFF"/>
        </w:rPr>
        <w:t>anello</w:t>
      </w:r>
      <w:r w:rsidRPr="002E301A">
        <w:rPr>
          <w:shd w:val="clear" w:color="auto" w:fill="FFFFFF"/>
        </w:rPr>
        <w:t>, V. (2018)</w:t>
      </w:r>
      <w:r w:rsidR="00CC6D72" w:rsidRPr="002E301A">
        <w:rPr>
          <w:shd w:val="clear" w:color="auto" w:fill="FFFFFF"/>
        </w:rPr>
        <w:t xml:space="preserve">. </w:t>
      </w:r>
      <w:r w:rsidRPr="002E301A">
        <w:rPr>
          <w:i/>
          <w:iCs/>
          <w:shd w:val="clear" w:color="auto" w:fill="FFFFFF"/>
        </w:rPr>
        <w:t>Saúde mental, gênero e dispositivos</w:t>
      </w:r>
      <w:r w:rsidRPr="002E301A">
        <w:rPr>
          <w:shd w:val="clear" w:color="auto" w:fill="FFFFFF"/>
        </w:rPr>
        <w:t>: cultura e pro</w:t>
      </w:r>
      <w:r w:rsidR="00057BA3" w:rsidRPr="002E301A">
        <w:rPr>
          <w:shd w:val="clear" w:color="auto" w:fill="FFFFFF"/>
        </w:rPr>
        <w:t xml:space="preserve">cessos de subjetivação. </w:t>
      </w:r>
      <w:r w:rsidRPr="002E301A">
        <w:rPr>
          <w:shd w:val="clear" w:color="auto" w:fill="FFFFFF"/>
        </w:rPr>
        <w:t>Appris.</w:t>
      </w:r>
      <w:bookmarkStart w:id="1" w:name="_GoBack"/>
      <w:bookmarkEnd w:id="1"/>
    </w:p>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7CE0D8E" w:rsidR="00594317" w:rsidRPr="00E25900" w:rsidRDefault="00594317" w:rsidP="007C3C14">
      <w:pPr>
        <w:shd w:val="clear" w:color="auto" w:fill="FFFFFF"/>
        <w:jc w:val="right"/>
        <w:rPr>
          <w:i/>
          <w:iCs/>
          <w:sz w:val="20"/>
          <w:szCs w:val="20"/>
          <w:lang w:val="es-AR"/>
        </w:rPr>
      </w:pPr>
      <w:r w:rsidRPr="00082D68">
        <w:rPr>
          <w:i/>
          <w:iCs/>
          <w:sz w:val="20"/>
          <w:szCs w:val="20"/>
          <w:lang w:val="es-AR"/>
        </w:rPr>
        <w:t xml:space="preserve">Received: </w:t>
      </w:r>
    </w:p>
    <w:p w14:paraId="0C84C4CC" w14:textId="2C75AF23" w:rsidR="00594317" w:rsidRPr="00594317" w:rsidRDefault="00594317" w:rsidP="007C3C14">
      <w:pPr>
        <w:shd w:val="clear" w:color="auto" w:fill="FFFFFF"/>
        <w:jc w:val="right"/>
        <w:rPr>
          <w:i/>
          <w:iCs/>
          <w:sz w:val="20"/>
          <w:szCs w:val="20"/>
          <w:lang w:val="es-AR"/>
        </w:rPr>
      </w:pPr>
      <w:r w:rsidRPr="00E25900">
        <w:rPr>
          <w:i/>
          <w:iCs/>
          <w:sz w:val="20"/>
          <w:szCs w:val="20"/>
          <w:lang w:val="es-AR"/>
        </w:rPr>
        <w:t>Accepted:</w:t>
      </w:r>
    </w:p>
    <w:p w14:paraId="4E83660D" w14:textId="66EBB5D1" w:rsidR="003D21B8" w:rsidRPr="00082D68" w:rsidRDefault="003D21B8">
      <w:pPr>
        <w:rPr>
          <w:i/>
          <w:sz w:val="28"/>
          <w:szCs w:val="28"/>
          <w:lang w:val="es-AR"/>
        </w:rPr>
      </w:pPr>
    </w:p>
    <w:sectPr w:rsidR="003D21B8" w:rsidRPr="00082D68" w:rsidSect="0059034C">
      <w:headerReference w:type="even" r:id="rId40"/>
      <w:headerReference w:type="default" r:id="rId41"/>
      <w:footerReference w:type="even"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62FCD" w14:textId="77777777" w:rsidR="008A7EC9" w:rsidRDefault="008A7EC9" w:rsidP="00C413D4">
      <w:r>
        <w:separator/>
      </w:r>
    </w:p>
  </w:endnote>
  <w:endnote w:type="continuationSeparator" w:id="0">
    <w:p w14:paraId="762B0EAA" w14:textId="77777777" w:rsidR="008A7EC9" w:rsidRDefault="008A7EC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ngsuh">
    <w:altName w:val="Times New Roman"/>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6A1E6F" w:rsidRDefault="006A1E6F"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6663F">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6A1E6F" w:rsidRDefault="006A1E6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6A1E6F" w:rsidRDefault="006A1E6F"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6663F">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6A1E6F" w:rsidRDefault="006A1E6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17913" w14:textId="77777777" w:rsidR="008A7EC9" w:rsidRDefault="008A7EC9" w:rsidP="00C413D4">
      <w:r>
        <w:separator/>
      </w:r>
    </w:p>
  </w:footnote>
  <w:footnote w:type="continuationSeparator" w:id="0">
    <w:p w14:paraId="6087201D" w14:textId="77777777" w:rsidR="008A7EC9" w:rsidRDefault="008A7EC9" w:rsidP="00C4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20193" w14:textId="7B62876B" w:rsidR="006A1E6F" w:rsidRPr="001566F6" w:rsidRDefault="006A1E6F"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Modelo de submissão de manuscritos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0CEF" w14:textId="2BDE3CB7" w:rsidR="006A1E6F" w:rsidRDefault="006A1E6F"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46D6078A" w:rsidR="006A1E6F" w:rsidRPr="0027261B" w:rsidRDefault="006A1E6F" w:rsidP="00977250">
    <w:pPr>
      <w:pStyle w:val="Cabealho"/>
      <w:jc w:val="right"/>
      <w:rPr>
        <w:lang w:val="es-AR"/>
      </w:rPr>
    </w:pPr>
    <w:r w:rsidRPr="00CD7EC5">
      <w:rPr>
        <w:rFonts w:ascii="Times" w:hAnsi="Times"/>
        <w:i/>
        <w:sz w:val="18"/>
        <w:szCs w:val="18"/>
        <w:lang w:val="es-ES"/>
      </w:rPr>
      <w:t>Modelo de submissão de manuscritos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99406CA"/>
    <w:lvl w:ilvl="0">
      <w:start w:val="1"/>
      <w:numFmt w:val="decimal"/>
      <w:lvlText w:val="%1."/>
      <w:lvlJc w:val="left"/>
      <w:pPr>
        <w:tabs>
          <w:tab w:val="num" w:pos="1492"/>
        </w:tabs>
        <w:ind w:left="1492" w:hanging="360"/>
      </w:pPr>
    </w:lvl>
  </w:abstractNum>
  <w:abstractNum w:abstractNumId="1">
    <w:nsid w:val="FFFFFF7D"/>
    <w:multiLevelType w:val="singleLevel"/>
    <w:tmpl w:val="30220520"/>
    <w:lvl w:ilvl="0">
      <w:start w:val="1"/>
      <w:numFmt w:val="decimal"/>
      <w:lvlText w:val="%1."/>
      <w:lvlJc w:val="left"/>
      <w:pPr>
        <w:tabs>
          <w:tab w:val="num" w:pos="1209"/>
        </w:tabs>
        <w:ind w:left="1209" w:hanging="360"/>
      </w:pPr>
    </w:lvl>
  </w:abstractNum>
  <w:abstractNum w:abstractNumId="2">
    <w:nsid w:val="FFFFFF7E"/>
    <w:multiLevelType w:val="singleLevel"/>
    <w:tmpl w:val="AE127B42"/>
    <w:lvl w:ilvl="0">
      <w:start w:val="1"/>
      <w:numFmt w:val="decimal"/>
      <w:lvlText w:val="%1."/>
      <w:lvlJc w:val="left"/>
      <w:pPr>
        <w:tabs>
          <w:tab w:val="num" w:pos="926"/>
        </w:tabs>
        <w:ind w:left="926" w:hanging="360"/>
      </w:pPr>
    </w:lvl>
  </w:abstractNum>
  <w:abstractNum w:abstractNumId="3">
    <w:nsid w:val="FFFFFF7F"/>
    <w:multiLevelType w:val="singleLevel"/>
    <w:tmpl w:val="C5560D58"/>
    <w:lvl w:ilvl="0">
      <w:start w:val="1"/>
      <w:numFmt w:val="decimal"/>
      <w:lvlText w:val="%1."/>
      <w:lvlJc w:val="left"/>
      <w:pPr>
        <w:tabs>
          <w:tab w:val="num" w:pos="643"/>
        </w:tabs>
        <w:ind w:left="643" w:hanging="360"/>
      </w:pPr>
    </w:lvl>
  </w:abstractNum>
  <w:abstractNum w:abstractNumId="4">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72AF8DA"/>
    <w:lvl w:ilvl="0">
      <w:start w:val="1"/>
      <w:numFmt w:val="decimal"/>
      <w:lvlText w:val="%1."/>
      <w:lvlJc w:val="left"/>
      <w:pPr>
        <w:tabs>
          <w:tab w:val="num" w:pos="360"/>
        </w:tabs>
        <w:ind w:left="360" w:hanging="360"/>
      </w:pPr>
    </w:lvl>
  </w:abstractNum>
  <w:abstractNum w:abstractNumId="9">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534C5862"/>
    <w:multiLevelType w:val="multilevel"/>
    <w:tmpl w:val="FAE82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3C2D"/>
    <w:rsid w:val="00005C39"/>
    <w:rsid w:val="000365CA"/>
    <w:rsid w:val="00057BA3"/>
    <w:rsid w:val="00076F0A"/>
    <w:rsid w:val="00082D68"/>
    <w:rsid w:val="000B6EBC"/>
    <w:rsid w:val="000E3B16"/>
    <w:rsid w:val="00107993"/>
    <w:rsid w:val="001109E7"/>
    <w:rsid w:val="001253E7"/>
    <w:rsid w:val="00127870"/>
    <w:rsid w:val="00130132"/>
    <w:rsid w:val="00141505"/>
    <w:rsid w:val="001516ED"/>
    <w:rsid w:val="00153DC5"/>
    <w:rsid w:val="00154169"/>
    <w:rsid w:val="001566F6"/>
    <w:rsid w:val="00181C54"/>
    <w:rsid w:val="001C5F55"/>
    <w:rsid w:val="001F7509"/>
    <w:rsid w:val="00210B54"/>
    <w:rsid w:val="00216AFF"/>
    <w:rsid w:val="00234E5C"/>
    <w:rsid w:val="00246D04"/>
    <w:rsid w:val="0025485B"/>
    <w:rsid w:val="002624E0"/>
    <w:rsid w:val="00271502"/>
    <w:rsid w:val="0027261B"/>
    <w:rsid w:val="00294547"/>
    <w:rsid w:val="00297AFB"/>
    <w:rsid w:val="002B2297"/>
    <w:rsid w:val="002C009C"/>
    <w:rsid w:val="002C1EB1"/>
    <w:rsid w:val="002C3A8D"/>
    <w:rsid w:val="002C40AF"/>
    <w:rsid w:val="002C48CD"/>
    <w:rsid w:val="002C7C6D"/>
    <w:rsid w:val="002C7DF0"/>
    <w:rsid w:val="002D1053"/>
    <w:rsid w:val="002D3CCB"/>
    <w:rsid w:val="002E0320"/>
    <w:rsid w:val="002E301A"/>
    <w:rsid w:val="002F070D"/>
    <w:rsid w:val="002F257B"/>
    <w:rsid w:val="002F38C8"/>
    <w:rsid w:val="00302C5C"/>
    <w:rsid w:val="00346FD9"/>
    <w:rsid w:val="0038356E"/>
    <w:rsid w:val="003909A7"/>
    <w:rsid w:val="003A27A3"/>
    <w:rsid w:val="003A7B81"/>
    <w:rsid w:val="003B3823"/>
    <w:rsid w:val="003C4AA4"/>
    <w:rsid w:val="003D21B8"/>
    <w:rsid w:val="003E4B06"/>
    <w:rsid w:val="0042142D"/>
    <w:rsid w:val="00430C97"/>
    <w:rsid w:val="00447E89"/>
    <w:rsid w:val="0046663F"/>
    <w:rsid w:val="004740BD"/>
    <w:rsid w:val="00475FC0"/>
    <w:rsid w:val="0047695E"/>
    <w:rsid w:val="00483D6B"/>
    <w:rsid w:val="0048651A"/>
    <w:rsid w:val="004B4522"/>
    <w:rsid w:val="004C0823"/>
    <w:rsid w:val="004D5719"/>
    <w:rsid w:val="004F7FAD"/>
    <w:rsid w:val="00510E52"/>
    <w:rsid w:val="0052548C"/>
    <w:rsid w:val="005342FF"/>
    <w:rsid w:val="00542090"/>
    <w:rsid w:val="00546386"/>
    <w:rsid w:val="00552D66"/>
    <w:rsid w:val="00576894"/>
    <w:rsid w:val="0059034C"/>
    <w:rsid w:val="00594317"/>
    <w:rsid w:val="005B24FF"/>
    <w:rsid w:val="005B5614"/>
    <w:rsid w:val="0061199D"/>
    <w:rsid w:val="00613309"/>
    <w:rsid w:val="006136CB"/>
    <w:rsid w:val="006937D3"/>
    <w:rsid w:val="006A1BA2"/>
    <w:rsid w:val="006A1E6F"/>
    <w:rsid w:val="006B0812"/>
    <w:rsid w:val="006B088F"/>
    <w:rsid w:val="006C21BC"/>
    <w:rsid w:val="006E40D3"/>
    <w:rsid w:val="006F2D48"/>
    <w:rsid w:val="006F6924"/>
    <w:rsid w:val="006F7E7E"/>
    <w:rsid w:val="00700F77"/>
    <w:rsid w:val="00704ECD"/>
    <w:rsid w:val="0070716C"/>
    <w:rsid w:val="00724F5C"/>
    <w:rsid w:val="00742E4A"/>
    <w:rsid w:val="00770AE4"/>
    <w:rsid w:val="00795BE0"/>
    <w:rsid w:val="00795D57"/>
    <w:rsid w:val="007A37AF"/>
    <w:rsid w:val="007A7C7C"/>
    <w:rsid w:val="007A7CDC"/>
    <w:rsid w:val="007C3C14"/>
    <w:rsid w:val="007E2763"/>
    <w:rsid w:val="007E34D6"/>
    <w:rsid w:val="007E3B8D"/>
    <w:rsid w:val="007F300A"/>
    <w:rsid w:val="007F3B75"/>
    <w:rsid w:val="008114AC"/>
    <w:rsid w:val="008151AB"/>
    <w:rsid w:val="00816268"/>
    <w:rsid w:val="00822ADF"/>
    <w:rsid w:val="00824D3A"/>
    <w:rsid w:val="00863414"/>
    <w:rsid w:val="00872EFD"/>
    <w:rsid w:val="00880120"/>
    <w:rsid w:val="008A7EC9"/>
    <w:rsid w:val="008B0F10"/>
    <w:rsid w:val="008C409A"/>
    <w:rsid w:val="008C775E"/>
    <w:rsid w:val="008D509E"/>
    <w:rsid w:val="009032D5"/>
    <w:rsid w:val="00903DEB"/>
    <w:rsid w:val="00927454"/>
    <w:rsid w:val="00977250"/>
    <w:rsid w:val="00993241"/>
    <w:rsid w:val="009A583F"/>
    <w:rsid w:val="009B3EF3"/>
    <w:rsid w:val="009D2551"/>
    <w:rsid w:val="00A30790"/>
    <w:rsid w:val="00A32751"/>
    <w:rsid w:val="00A457D0"/>
    <w:rsid w:val="00A516C7"/>
    <w:rsid w:val="00A51CE0"/>
    <w:rsid w:val="00A62218"/>
    <w:rsid w:val="00A73E64"/>
    <w:rsid w:val="00A741BB"/>
    <w:rsid w:val="00A871FB"/>
    <w:rsid w:val="00AC0FD7"/>
    <w:rsid w:val="00AC5736"/>
    <w:rsid w:val="00AD3238"/>
    <w:rsid w:val="00AE48D4"/>
    <w:rsid w:val="00B02133"/>
    <w:rsid w:val="00B06283"/>
    <w:rsid w:val="00B246AC"/>
    <w:rsid w:val="00B313D0"/>
    <w:rsid w:val="00B35B61"/>
    <w:rsid w:val="00B511FB"/>
    <w:rsid w:val="00B579CB"/>
    <w:rsid w:val="00B60E75"/>
    <w:rsid w:val="00B6522A"/>
    <w:rsid w:val="00B74D71"/>
    <w:rsid w:val="00B8197F"/>
    <w:rsid w:val="00B83A6E"/>
    <w:rsid w:val="00B845A1"/>
    <w:rsid w:val="00B9678D"/>
    <w:rsid w:val="00BC2AFB"/>
    <w:rsid w:val="00BD26F5"/>
    <w:rsid w:val="00BF0291"/>
    <w:rsid w:val="00BF269D"/>
    <w:rsid w:val="00BF59E7"/>
    <w:rsid w:val="00C1153E"/>
    <w:rsid w:val="00C413D4"/>
    <w:rsid w:val="00C43335"/>
    <w:rsid w:val="00C64ECF"/>
    <w:rsid w:val="00C84812"/>
    <w:rsid w:val="00CA3BFF"/>
    <w:rsid w:val="00CA3C92"/>
    <w:rsid w:val="00CC6D72"/>
    <w:rsid w:val="00CD7EC5"/>
    <w:rsid w:val="00CE7D65"/>
    <w:rsid w:val="00CF4E1F"/>
    <w:rsid w:val="00CF5D21"/>
    <w:rsid w:val="00CF7262"/>
    <w:rsid w:val="00D609BB"/>
    <w:rsid w:val="00D94A3F"/>
    <w:rsid w:val="00DA6B4E"/>
    <w:rsid w:val="00DB4A71"/>
    <w:rsid w:val="00DB6400"/>
    <w:rsid w:val="00DE1119"/>
    <w:rsid w:val="00DE7EB8"/>
    <w:rsid w:val="00E10FC6"/>
    <w:rsid w:val="00E22381"/>
    <w:rsid w:val="00E23C9E"/>
    <w:rsid w:val="00E25900"/>
    <w:rsid w:val="00E26883"/>
    <w:rsid w:val="00E3671F"/>
    <w:rsid w:val="00E416F6"/>
    <w:rsid w:val="00E449A9"/>
    <w:rsid w:val="00E51B6E"/>
    <w:rsid w:val="00E55124"/>
    <w:rsid w:val="00E97D42"/>
    <w:rsid w:val="00EA6646"/>
    <w:rsid w:val="00EB213C"/>
    <w:rsid w:val="00ED2663"/>
    <w:rsid w:val="00F21272"/>
    <w:rsid w:val="00F84949"/>
    <w:rsid w:val="00F92F1A"/>
    <w:rsid w:val="00FA6255"/>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38356E"/>
    <w:pPr>
      <w:jc w:val="center"/>
      <w:outlineLvl w:val="0"/>
    </w:pPr>
    <w:rPr>
      <w:bCs/>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38356E"/>
    <w:rPr>
      <w:rFonts w:ascii="Times New Roman" w:eastAsia="Times New Roman" w:hAnsi="Times New Roman" w:cs="Times New Roman"/>
      <w:bCs/>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elaSimples2">
    <w:name w:val="Plain Table 2"/>
    <w:basedOn w:val="Tabelanormal"/>
    <w:uiPriority w:val="99"/>
    <w:rsid w:val="00E23C9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styleId="Forte">
    <w:name w:val="Strong"/>
    <w:basedOn w:val="Fontepargpadro"/>
    <w:uiPriority w:val="22"/>
    <w:qFormat/>
    <w:rsid w:val="00B313D0"/>
    <w:rPr>
      <w:b/>
      <w:bCs/>
    </w:rPr>
  </w:style>
  <w:style w:type="paragraph" w:customStyle="1" w:styleId="selectable-text">
    <w:name w:val="selectable-text"/>
    <w:basedOn w:val="Normal"/>
    <w:rsid w:val="00B313D0"/>
    <w:pPr>
      <w:spacing w:before="100" w:beforeAutospacing="1" w:after="100" w:afterAutospacing="1"/>
    </w:pPr>
    <w:rPr>
      <w:lang w:val="pt-BR" w:eastAsia="pt-BR"/>
    </w:rPr>
  </w:style>
  <w:style w:type="character" w:customStyle="1" w:styleId="selectable-text1">
    <w:name w:val="selectable-text1"/>
    <w:basedOn w:val="Fontepargpadro"/>
    <w:rsid w:val="00B313D0"/>
  </w:style>
  <w:style w:type="paragraph" w:styleId="PargrafodaLista">
    <w:name w:val="List Paragraph"/>
    <w:basedOn w:val="Normal"/>
    <w:uiPriority w:val="34"/>
    <w:qFormat/>
    <w:rsid w:val="00B8197F"/>
    <w:pPr>
      <w:ind w:left="720"/>
      <w:contextualSpacing/>
    </w:pPr>
  </w:style>
  <w:style w:type="character" w:styleId="HiperlinkVisitado">
    <w:name w:val="FollowedHyperlink"/>
    <w:basedOn w:val="Fontepargpadro"/>
    <w:uiPriority w:val="99"/>
    <w:semiHidden/>
    <w:unhideWhenUsed/>
    <w:rsid w:val="00E22381"/>
    <w:rPr>
      <w:color w:val="954F72" w:themeColor="followedHyperlink"/>
      <w:u w:val="single"/>
    </w:rPr>
  </w:style>
  <w:style w:type="character" w:customStyle="1" w:styleId="UnresolvedMention">
    <w:name w:val="Unresolved Mention"/>
    <w:basedOn w:val="Fontepargpadro"/>
    <w:uiPriority w:val="99"/>
    <w:semiHidden/>
    <w:unhideWhenUsed/>
    <w:rsid w:val="00552D66"/>
    <w:rPr>
      <w:color w:val="605E5C"/>
      <w:shd w:val="clear" w:color="auto" w:fill="E1DFDD"/>
    </w:rPr>
  </w:style>
  <w:style w:type="character" w:customStyle="1" w:styleId="value">
    <w:name w:val="value"/>
    <w:basedOn w:val="Fontepargpadro"/>
    <w:rsid w:val="00DA6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6810061">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94904165">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10.1016/j.socscimed.2003.11.037" TargetMode="External"/><Relationship Id="rId18" Type="http://schemas.openxmlformats.org/officeDocument/2006/relationships/hyperlink" Target="https://doi.org/10.2105/AJPH.94.8.1378" TargetMode="External"/><Relationship Id="rId26" Type="http://schemas.openxmlformats.org/officeDocument/2006/relationships/hyperlink" Target="https://doi.org/10.1007/s11199-020-01214-1" TargetMode="External"/><Relationship Id="rId39" Type="http://schemas.openxmlformats.org/officeDocument/2006/relationships/hyperlink" Target="https://cebrap.org.br/wpcontent/uploads/2023/06/desigualdades_envelhecimento_relatorio.pdf" TargetMode="External"/><Relationship Id="rId21" Type="http://schemas.openxmlformats.org/officeDocument/2006/relationships/hyperlink" Target="https://doi.org/10.1093/aje/kwy224" TargetMode="External"/><Relationship Id="rId34" Type="http://schemas.openxmlformats.org/officeDocument/2006/relationships/hyperlink" Target="https://doi.org/10.1590/1981-22562019022.190210"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8256/2175-5027.2020.v12i2.3599" TargetMode="External"/><Relationship Id="rId29" Type="http://schemas.openxmlformats.org/officeDocument/2006/relationships/hyperlink" Target="https://abpnrevista.org.br/site/article/view/12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199-018-0956-y" TargetMode="External"/><Relationship Id="rId24" Type="http://schemas.openxmlformats.org/officeDocument/2006/relationships/hyperlink" Target="https://doi.org/10.1197/j.aem.2004.11.018" TargetMode="External"/><Relationship Id="rId32" Type="http://schemas.openxmlformats.org/officeDocument/2006/relationships/hyperlink" Target="https://doi.org/10.1590/0102-311X00236318" TargetMode="External"/><Relationship Id="rId37" Type="http://schemas.openxmlformats.org/officeDocument/2006/relationships/hyperlink" Target="https://doi.org/10.1590/1413-81232018238.13652016"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590/S1519-38292005000300010" TargetMode="External"/><Relationship Id="rId23" Type="http://schemas.openxmlformats.org/officeDocument/2006/relationships/hyperlink" Target="https://doi.org/10.1590/S0102-311X2008000200017" TargetMode="External"/><Relationship Id="rId28" Type="http://schemas.openxmlformats.org/officeDocument/2006/relationships/hyperlink" Target="https://doi.org/10.1590/1806-9584-2023v31n283015" TargetMode="External"/><Relationship Id="rId36" Type="http://schemas.openxmlformats.org/officeDocument/2006/relationships/hyperlink" Target="https://doi.org/10.1590/1413-812320172212.19782016" TargetMode="External"/><Relationship Id="rId10" Type="http://schemas.openxmlformats.org/officeDocument/2006/relationships/image" Target="media/image2.svg"/><Relationship Id="rId19" Type="http://schemas.openxmlformats.org/officeDocument/2006/relationships/hyperlink" Target="https://doi.org/10.12957/epp.2022.68631" TargetMode="External"/><Relationship Id="rId31" Type="http://schemas.openxmlformats.org/officeDocument/2006/relationships/hyperlink" Target="https://doi.org/10.1080/1937191080215174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3925/2176-901X.2013v16i3p123-140" TargetMode="External"/><Relationship Id="rId22" Type="http://schemas.openxmlformats.org/officeDocument/2006/relationships/hyperlink" Target="https://doi.org/10.1371/journal.pone.0239618" TargetMode="External"/><Relationship Id="rId27" Type="http://schemas.openxmlformats.org/officeDocument/2006/relationships/hyperlink" Target="https://doi.org/10.1007/s40615-017-0390-9" TargetMode="External"/><Relationship Id="rId30" Type="http://schemas.openxmlformats.org/officeDocument/2006/relationships/hyperlink" Target="https://doi.org/10.23925/2176-901X.2018v21i3p193-215" TargetMode="External"/><Relationship Id="rId35" Type="http://schemas.openxmlformats.org/officeDocument/2006/relationships/hyperlink" Target="https://doi.org/10.1590/0101-6628.066" TargetMode="External"/><Relationship Id="rId43" Type="http://schemas.openxmlformats.org/officeDocument/2006/relationships/footer" Target="footer2.xml"/><Relationship Id="rId8" Type="http://schemas.openxmlformats.org/officeDocument/2006/relationships/hyperlink" Target="https://sipsych.org/" TargetMode="External"/><Relationship Id="rId3" Type="http://schemas.openxmlformats.org/officeDocument/2006/relationships/styles" Target="styles.xml"/><Relationship Id="rId12" Type="http://schemas.openxmlformats.org/officeDocument/2006/relationships/hyperlink" Target="https://doi.org/10.%201177/0361684314541418" TargetMode="External"/><Relationship Id="rId17" Type="http://schemas.openxmlformats.org/officeDocument/2006/relationships/hyperlink" Target="https://doi.org/10.5433/2176-6665.2015v20n2p27" TargetMode="External"/><Relationship Id="rId25" Type="http://schemas.openxmlformats.org/officeDocument/2006/relationships/hyperlink" Target="https://www.ibge.gov.br/estatisticas/sociais/populacao/9110-estatisticas-do-registro-civil.html" TargetMode="External"/><Relationship Id="rId33" Type="http://schemas.openxmlformats.org/officeDocument/2006/relationships/hyperlink" Target="https://doi.org/10.22235/cp.v16i2.2494" TargetMode="External"/><Relationship Id="rId38" Type="http://schemas.openxmlformats.org/officeDocument/2006/relationships/hyperlink" Target="https://doi.org/10.1080/13607863.2020.1855627" TargetMode="External"/><Relationship Id="rId20" Type="http://schemas.openxmlformats.org/officeDocument/2006/relationships/hyperlink" Target="https://doi.org/10.1093/SOCPRO/SPAB022"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730BD-EA23-4E1F-AEDC-C9D45F986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6645</Words>
  <Characters>35885</Characters>
  <DocSecurity>0</DocSecurity>
  <Lines>299</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2020-04-16T16:22:00Z</cp:lastPrinted>
  <dcterms:created xsi:type="dcterms:W3CDTF">2023-12-13T10:30:00Z</dcterms:created>
  <dcterms:modified xsi:type="dcterms:W3CDTF">2023-12-13T11:31:00Z</dcterms:modified>
</cp:coreProperties>
</file>